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7A28" w:rsidRDefault="00497A28" w:rsidP="00FD4BB8">
      <w:pPr>
        <w:jc w:val="center"/>
        <w:rPr>
          <w:rFonts w:ascii="Times New Roman" w:hAnsi="Times New Roman"/>
          <w:b/>
          <w:color w:val="000000"/>
          <w:sz w:val="32"/>
          <w:u w:val="single"/>
        </w:rPr>
      </w:pPr>
    </w:p>
    <w:p w:rsidR="00497A28" w:rsidRDefault="00497A28" w:rsidP="00FD4BB8">
      <w:pPr>
        <w:jc w:val="center"/>
        <w:rPr>
          <w:rFonts w:ascii="Times New Roman" w:hAnsi="Times New Roman"/>
          <w:b/>
          <w:color w:val="000000"/>
          <w:sz w:val="32"/>
          <w:u w:val="single"/>
        </w:rPr>
      </w:pPr>
    </w:p>
    <w:p w:rsidR="00497A28" w:rsidRDefault="00497A28" w:rsidP="00FD4BB8">
      <w:pPr>
        <w:jc w:val="center"/>
        <w:rPr>
          <w:rFonts w:ascii="Times New Roman" w:hAnsi="Times New Roman"/>
          <w:b/>
          <w:color w:val="000000"/>
          <w:sz w:val="32"/>
          <w:u w:val="single"/>
        </w:rPr>
      </w:pPr>
      <w:r>
        <w:rPr>
          <w:rFonts w:ascii="Times New Roman" w:hAnsi="Times New Roman"/>
          <w:b/>
          <w:color w:val="000000"/>
          <w:sz w:val="32"/>
          <w:u w:val="single"/>
        </w:rPr>
        <w:t>Bachelor scriptie</w:t>
      </w:r>
    </w:p>
    <w:p w:rsidR="00497A28" w:rsidRPr="00FD4BB8" w:rsidRDefault="00497A28" w:rsidP="00FD4BB8">
      <w:pPr>
        <w:jc w:val="center"/>
        <w:rPr>
          <w:rFonts w:ascii="Times New Roman" w:hAnsi="Times New Roman"/>
          <w:b/>
          <w:color w:val="000000"/>
          <w:sz w:val="40"/>
          <w:u w:val="single"/>
        </w:rPr>
      </w:pPr>
    </w:p>
    <w:p w:rsidR="00497A28" w:rsidRDefault="00497A28" w:rsidP="00FD4BB8">
      <w:pPr>
        <w:jc w:val="center"/>
        <w:rPr>
          <w:rFonts w:ascii="Times New Roman" w:hAnsi="Times New Roman"/>
          <w:b/>
          <w:color w:val="000000"/>
          <w:sz w:val="40"/>
          <w:u w:val="single"/>
        </w:rPr>
      </w:pPr>
      <w:r>
        <w:rPr>
          <w:rFonts w:ascii="Times New Roman" w:hAnsi="Times New Roman"/>
          <w:b/>
          <w:color w:val="000000"/>
          <w:sz w:val="40"/>
          <w:u w:val="single"/>
        </w:rPr>
        <w:t>"</w:t>
      </w:r>
      <w:r w:rsidRPr="00FD4BB8">
        <w:rPr>
          <w:rFonts w:ascii="Times New Roman" w:hAnsi="Times New Roman"/>
          <w:b/>
          <w:color w:val="000000"/>
          <w:sz w:val="40"/>
          <w:u w:val="single"/>
        </w:rPr>
        <w:t>Consolidatieproblematiek</w:t>
      </w:r>
      <w:r>
        <w:rPr>
          <w:rFonts w:ascii="Times New Roman" w:hAnsi="Times New Roman"/>
          <w:b/>
          <w:color w:val="000000"/>
          <w:sz w:val="40"/>
          <w:u w:val="single"/>
        </w:rPr>
        <w:t>"</w:t>
      </w:r>
    </w:p>
    <w:p w:rsidR="00497A28" w:rsidRDefault="00497A28" w:rsidP="00FD4BB8">
      <w:pPr>
        <w:jc w:val="center"/>
        <w:rPr>
          <w:rFonts w:ascii="Times New Roman" w:hAnsi="Times New Roman"/>
          <w:b/>
          <w:color w:val="000000"/>
          <w:sz w:val="40"/>
          <w:u w:val="single"/>
        </w:rPr>
      </w:pPr>
    </w:p>
    <w:p w:rsidR="00497A28" w:rsidRDefault="00497A28" w:rsidP="00FD4BB8">
      <w:pPr>
        <w:rPr>
          <w:rFonts w:ascii="Times New Roman" w:hAnsi="Times New Roman"/>
          <w:color w:val="000000"/>
          <w:sz w:val="24"/>
        </w:rPr>
      </w:pPr>
    </w:p>
    <w:p w:rsidR="00497A28" w:rsidRDefault="00497A28" w:rsidP="00FD4BB8">
      <w:pPr>
        <w:rPr>
          <w:rFonts w:ascii="Times New Roman" w:hAnsi="Times New Roman"/>
          <w:color w:val="000000"/>
          <w:sz w:val="24"/>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0" o:spid="_x0000_s1026" type="#_x0000_t75" alt="20081024115412_ahold.jpg" style="position:absolute;margin-left:141.4pt;margin-top:17.7pt;width:170.25pt;height:170.25pt;z-index:-251658240;visibility:visible" wrapcoords="-95 0 -95 21505 21600 21505 21600 0 -95 0">
            <v:imagedata r:id="rId6" o:title=""/>
            <w10:wrap type="tight"/>
          </v:shape>
        </w:pict>
      </w:r>
    </w:p>
    <w:p w:rsidR="00497A28" w:rsidRDefault="00497A28" w:rsidP="00FD4BB8">
      <w:pPr>
        <w:rPr>
          <w:rFonts w:ascii="Times New Roman" w:hAnsi="Times New Roman"/>
          <w:color w:val="000000"/>
          <w:sz w:val="24"/>
        </w:rPr>
      </w:pPr>
    </w:p>
    <w:p w:rsidR="00497A28" w:rsidRDefault="00497A28" w:rsidP="00FD4BB8">
      <w:pPr>
        <w:rPr>
          <w:rFonts w:ascii="Times New Roman" w:hAnsi="Times New Roman"/>
          <w:color w:val="000000"/>
          <w:sz w:val="24"/>
        </w:rPr>
      </w:pPr>
    </w:p>
    <w:p w:rsidR="00497A28" w:rsidRDefault="00497A28" w:rsidP="00FD4BB8">
      <w:pPr>
        <w:rPr>
          <w:rFonts w:ascii="Times New Roman" w:hAnsi="Times New Roman"/>
          <w:color w:val="000000"/>
          <w:sz w:val="24"/>
        </w:rPr>
      </w:pPr>
    </w:p>
    <w:p w:rsidR="00497A28" w:rsidRDefault="00497A28" w:rsidP="00FD4BB8">
      <w:pPr>
        <w:rPr>
          <w:rFonts w:ascii="Times New Roman" w:hAnsi="Times New Roman"/>
          <w:color w:val="000000"/>
          <w:sz w:val="24"/>
        </w:rPr>
      </w:pPr>
    </w:p>
    <w:p w:rsidR="00497A28" w:rsidRDefault="00497A28" w:rsidP="00FD4BB8">
      <w:pPr>
        <w:rPr>
          <w:rFonts w:ascii="Times New Roman" w:hAnsi="Times New Roman"/>
          <w:color w:val="000000"/>
          <w:sz w:val="24"/>
        </w:rPr>
      </w:pPr>
    </w:p>
    <w:p w:rsidR="00497A28" w:rsidRDefault="00497A28" w:rsidP="00FD4BB8">
      <w:pPr>
        <w:rPr>
          <w:rFonts w:ascii="Times New Roman" w:hAnsi="Times New Roman"/>
          <w:color w:val="000000"/>
          <w:sz w:val="24"/>
        </w:rPr>
      </w:pPr>
    </w:p>
    <w:p w:rsidR="00497A28" w:rsidRDefault="00497A28" w:rsidP="00FD4BB8">
      <w:pPr>
        <w:rPr>
          <w:rFonts w:ascii="Times New Roman" w:hAnsi="Times New Roman"/>
          <w:color w:val="000000"/>
          <w:sz w:val="24"/>
        </w:rPr>
      </w:pPr>
    </w:p>
    <w:p w:rsidR="00497A28" w:rsidRDefault="00497A28" w:rsidP="00FD4BB8">
      <w:pPr>
        <w:rPr>
          <w:rFonts w:ascii="Times New Roman" w:hAnsi="Times New Roman"/>
          <w:color w:val="000000"/>
          <w:sz w:val="24"/>
        </w:rPr>
      </w:pPr>
    </w:p>
    <w:p w:rsidR="00497A28" w:rsidRDefault="00497A28" w:rsidP="00FD4BB8">
      <w:pPr>
        <w:rPr>
          <w:rFonts w:ascii="Times New Roman" w:hAnsi="Times New Roman"/>
          <w:color w:val="000000"/>
          <w:sz w:val="24"/>
        </w:rPr>
      </w:pPr>
    </w:p>
    <w:p w:rsidR="00497A28" w:rsidRDefault="00497A28" w:rsidP="00FD4BB8">
      <w:pPr>
        <w:rPr>
          <w:rFonts w:ascii="Times New Roman" w:hAnsi="Times New Roman"/>
          <w:color w:val="000000"/>
          <w:sz w:val="24"/>
        </w:rPr>
      </w:pPr>
    </w:p>
    <w:p w:rsidR="00497A28" w:rsidRDefault="00497A28" w:rsidP="00FD4BB8">
      <w:pPr>
        <w:rPr>
          <w:rFonts w:ascii="Times New Roman" w:hAnsi="Times New Roman"/>
          <w:color w:val="000000"/>
          <w:sz w:val="24"/>
        </w:rPr>
      </w:pPr>
    </w:p>
    <w:p w:rsidR="00497A28" w:rsidRPr="005D3FCA" w:rsidRDefault="00497A28" w:rsidP="00FD4BB8">
      <w:pPr>
        <w:rPr>
          <w:rFonts w:ascii="Times New Roman" w:hAnsi="Times New Roman"/>
          <w:color w:val="000000"/>
          <w:sz w:val="24"/>
        </w:rPr>
      </w:pPr>
      <w:r w:rsidRPr="005D3FCA">
        <w:rPr>
          <w:rFonts w:ascii="Times New Roman" w:hAnsi="Times New Roman"/>
          <w:color w:val="000000"/>
          <w:sz w:val="24"/>
        </w:rPr>
        <w:t>Studentnaam: Claudia Ton</w:t>
      </w:r>
    </w:p>
    <w:p w:rsidR="00497A28" w:rsidRPr="005D3FCA" w:rsidRDefault="00497A28" w:rsidP="00FD4BB8">
      <w:pPr>
        <w:rPr>
          <w:rFonts w:ascii="Times New Roman" w:hAnsi="Times New Roman"/>
          <w:color w:val="000000"/>
          <w:sz w:val="24"/>
        </w:rPr>
      </w:pPr>
      <w:r w:rsidRPr="005D3FCA">
        <w:rPr>
          <w:rFonts w:ascii="Times New Roman" w:hAnsi="Times New Roman"/>
          <w:color w:val="000000"/>
          <w:sz w:val="24"/>
        </w:rPr>
        <w:t>Studentnummer: 311975</w:t>
      </w:r>
    </w:p>
    <w:p w:rsidR="00497A28" w:rsidRPr="005D3FCA" w:rsidRDefault="00497A28" w:rsidP="00FD4BB8">
      <w:pPr>
        <w:rPr>
          <w:rFonts w:ascii="Times New Roman" w:hAnsi="Times New Roman"/>
          <w:color w:val="000000"/>
          <w:sz w:val="24"/>
        </w:rPr>
      </w:pPr>
      <w:r w:rsidRPr="005D3FCA">
        <w:rPr>
          <w:rFonts w:ascii="Times New Roman" w:hAnsi="Times New Roman"/>
          <w:color w:val="000000"/>
          <w:sz w:val="24"/>
        </w:rPr>
        <w:t>Begeleider: Eugène Kerpen, sectie Accounting</w:t>
      </w:r>
    </w:p>
    <w:p w:rsidR="00497A28" w:rsidRPr="005D3FCA" w:rsidRDefault="00497A28" w:rsidP="00FD4BB8">
      <w:pPr>
        <w:rPr>
          <w:rFonts w:ascii="Times New Roman" w:hAnsi="Times New Roman"/>
          <w:b/>
          <w:color w:val="000000"/>
          <w:sz w:val="28"/>
          <w:u w:val="single"/>
        </w:rPr>
      </w:pPr>
      <w:r w:rsidRPr="005D3FCA">
        <w:rPr>
          <w:rFonts w:ascii="Times New Roman" w:hAnsi="Times New Roman"/>
          <w:color w:val="000000"/>
          <w:sz w:val="24"/>
        </w:rPr>
        <w:t xml:space="preserve">Datum: </w:t>
      </w:r>
      <w:r>
        <w:rPr>
          <w:rFonts w:ascii="Times New Roman" w:hAnsi="Times New Roman"/>
          <w:color w:val="000000"/>
          <w:sz w:val="24"/>
        </w:rPr>
        <w:t>02</w:t>
      </w:r>
      <w:r w:rsidRPr="005D3FCA">
        <w:rPr>
          <w:rFonts w:ascii="Times New Roman" w:hAnsi="Times New Roman"/>
          <w:color w:val="000000"/>
          <w:sz w:val="24"/>
        </w:rPr>
        <w:t>-</w:t>
      </w:r>
      <w:r>
        <w:rPr>
          <w:rFonts w:ascii="Times New Roman" w:hAnsi="Times New Roman"/>
          <w:color w:val="000000"/>
          <w:sz w:val="24"/>
        </w:rPr>
        <w:t>07</w:t>
      </w:r>
      <w:r w:rsidRPr="005D3FCA">
        <w:rPr>
          <w:rFonts w:ascii="Times New Roman" w:hAnsi="Times New Roman"/>
          <w:color w:val="000000"/>
          <w:sz w:val="24"/>
        </w:rPr>
        <w:t>-2010</w:t>
      </w:r>
      <w:r w:rsidRPr="005D3FCA">
        <w:rPr>
          <w:rFonts w:ascii="Times New Roman" w:hAnsi="Times New Roman"/>
          <w:b/>
          <w:color w:val="000000"/>
          <w:sz w:val="28"/>
          <w:u w:val="single"/>
        </w:rPr>
        <w:br w:type="page"/>
      </w:r>
    </w:p>
    <w:p w:rsidR="00497A28" w:rsidRPr="00C27947" w:rsidRDefault="00497A28" w:rsidP="006E7FD1">
      <w:pPr>
        <w:rPr>
          <w:rFonts w:ascii="Times New Roman" w:hAnsi="Times New Roman"/>
          <w:b/>
          <w:color w:val="000000"/>
          <w:sz w:val="32"/>
          <w:u w:val="single"/>
        </w:rPr>
      </w:pPr>
      <w:r w:rsidRPr="00C27947">
        <w:rPr>
          <w:rFonts w:ascii="Times New Roman" w:hAnsi="Times New Roman"/>
          <w:b/>
          <w:color w:val="000000"/>
          <w:sz w:val="32"/>
          <w:u w:val="single"/>
        </w:rPr>
        <w:t>Inhoudsopgave</w:t>
      </w:r>
    </w:p>
    <w:p w:rsidR="00497A28" w:rsidRPr="00C27947" w:rsidRDefault="00497A28" w:rsidP="006E7FD1">
      <w:pPr>
        <w:rPr>
          <w:rFonts w:ascii="Times New Roman" w:hAnsi="Times New Roman"/>
          <w:b/>
          <w:sz w:val="24"/>
        </w:rPr>
      </w:pPr>
      <w:r w:rsidRPr="00C27947">
        <w:rPr>
          <w:rFonts w:ascii="Times New Roman" w:hAnsi="Times New Roman"/>
          <w:b/>
          <w:sz w:val="24"/>
        </w:rPr>
        <w:t>Hoofdstuk 1: Inleiding</w:t>
      </w:r>
    </w:p>
    <w:p w:rsidR="00497A28" w:rsidRPr="00C27947" w:rsidRDefault="00497A28" w:rsidP="006E7FD1">
      <w:pPr>
        <w:rPr>
          <w:rFonts w:ascii="Times New Roman" w:hAnsi="Times New Roman"/>
          <w:sz w:val="24"/>
        </w:rPr>
      </w:pPr>
      <w:r w:rsidRPr="00C27947">
        <w:rPr>
          <w:rFonts w:ascii="Times New Roman" w:hAnsi="Times New Roman"/>
          <w:sz w:val="24"/>
        </w:rPr>
        <w:tab/>
        <w:t>1.1 Inleiding</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3</w:t>
      </w:r>
      <w:r>
        <w:rPr>
          <w:rFonts w:ascii="Times New Roman" w:hAnsi="Times New Roman"/>
          <w:sz w:val="24"/>
        </w:rPr>
        <w:tab/>
      </w:r>
    </w:p>
    <w:p w:rsidR="00497A28" w:rsidRPr="00C27947" w:rsidRDefault="00497A28" w:rsidP="006E7FD1">
      <w:pPr>
        <w:rPr>
          <w:rFonts w:ascii="Times New Roman" w:hAnsi="Times New Roman"/>
          <w:sz w:val="24"/>
        </w:rPr>
      </w:pPr>
      <w:r w:rsidRPr="00C27947">
        <w:rPr>
          <w:rFonts w:ascii="Times New Roman" w:hAnsi="Times New Roman"/>
          <w:sz w:val="24"/>
        </w:rPr>
        <w:tab/>
        <w:t>1.2 Geconsolideerde jaarrekening</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4</w:t>
      </w:r>
    </w:p>
    <w:p w:rsidR="00497A28" w:rsidRPr="00C27947" w:rsidRDefault="00497A28" w:rsidP="006E7FD1">
      <w:pPr>
        <w:rPr>
          <w:rFonts w:ascii="Times New Roman" w:hAnsi="Times New Roman"/>
          <w:sz w:val="24"/>
        </w:rPr>
      </w:pPr>
      <w:r w:rsidRPr="00C27947">
        <w:rPr>
          <w:rFonts w:ascii="Times New Roman" w:hAnsi="Times New Roman"/>
          <w:sz w:val="24"/>
        </w:rPr>
        <w:tab/>
        <w:t>1.3 Probleemstelling en deelvragen</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4</w:t>
      </w:r>
    </w:p>
    <w:p w:rsidR="00497A28" w:rsidRPr="00C27947" w:rsidRDefault="00497A28" w:rsidP="006E7FD1">
      <w:pPr>
        <w:rPr>
          <w:rFonts w:ascii="Times New Roman" w:hAnsi="Times New Roman"/>
          <w:sz w:val="24"/>
        </w:rPr>
      </w:pPr>
      <w:r w:rsidRPr="00C27947">
        <w:rPr>
          <w:rFonts w:ascii="Times New Roman" w:hAnsi="Times New Roman"/>
          <w:sz w:val="24"/>
        </w:rPr>
        <w:tab/>
        <w:t>1.4 Relevantie</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5</w:t>
      </w:r>
    </w:p>
    <w:p w:rsidR="00497A28" w:rsidRPr="00C27947" w:rsidRDefault="00497A28" w:rsidP="006E7FD1">
      <w:pPr>
        <w:rPr>
          <w:rFonts w:ascii="Times New Roman" w:hAnsi="Times New Roman"/>
          <w:sz w:val="24"/>
        </w:rPr>
      </w:pPr>
      <w:r w:rsidRPr="00C27947">
        <w:rPr>
          <w:rFonts w:ascii="Times New Roman" w:hAnsi="Times New Roman"/>
          <w:sz w:val="24"/>
        </w:rPr>
        <w:tab/>
        <w:t>1.5 Opzet en leeswijzer</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6</w:t>
      </w:r>
    </w:p>
    <w:p w:rsidR="00497A28" w:rsidRPr="00C27947" w:rsidRDefault="00497A28" w:rsidP="006E7FD1">
      <w:pPr>
        <w:rPr>
          <w:rFonts w:ascii="Times New Roman" w:hAnsi="Times New Roman"/>
          <w:b/>
          <w:sz w:val="24"/>
        </w:rPr>
      </w:pPr>
      <w:r w:rsidRPr="00C27947">
        <w:rPr>
          <w:rFonts w:ascii="Times New Roman" w:hAnsi="Times New Roman"/>
          <w:b/>
          <w:sz w:val="24"/>
        </w:rPr>
        <w:t>Hoofdstuk 2: Consolideren</w:t>
      </w:r>
    </w:p>
    <w:p w:rsidR="00497A28" w:rsidRPr="00C27947" w:rsidRDefault="00497A28" w:rsidP="006E7FD1">
      <w:pPr>
        <w:rPr>
          <w:rFonts w:ascii="Times New Roman" w:hAnsi="Times New Roman"/>
          <w:sz w:val="24"/>
        </w:rPr>
      </w:pPr>
      <w:r w:rsidRPr="00C27947">
        <w:rPr>
          <w:rFonts w:ascii="Times New Roman" w:hAnsi="Times New Roman"/>
          <w:sz w:val="24"/>
        </w:rPr>
        <w:tab/>
        <w:t>2.1 Inleiding</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8</w:t>
      </w:r>
    </w:p>
    <w:p w:rsidR="00497A28" w:rsidRPr="00C27947" w:rsidRDefault="00497A28" w:rsidP="006E7FD1">
      <w:pPr>
        <w:rPr>
          <w:rFonts w:ascii="Times New Roman" w:hAnsi="Times New Roman"/>
          <w:sz w:val="24"/>
        </w:rPr>
      </w:pPr>
      <w:r w:rsidRPr="00C27947">
        <w:rPr>
          <w:rFonts w:ascii="Times New Roman" w:hAnsi="Times New Roman"/>
          <w:sz w:val="24"/>
        </w:rPr>
        <w:tab/>
        <w:t>2.2 Het consolidatieproces</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8</w:t>
      </w:r>
    </w:p>
    <w:p w:rsidR="00497A28" w:rsidRPr="00C27947" w:rsidRDefault="00497A28" w:rsidP="006E7FD1">
      <w:pPr>
        <w:rPr>
          <w:rFonts w:ascii="Times New Roman" w:hAnsi="Times New Roman"/>
          <w:sz w:val="24"/>
        </w:rPr>
      </w:pPr>
      <w:r w:rsidRPr="00C27947">
        <w:rPr>
          <w:rFonts w:ascii="Times New Roman" w:hAnsi="Times New Roman"/>
          <w:sz w:val="24"/>
        </w:rPr>
        <w:tab/>
        <w:t>2.3 Minderheidsbelang</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11</w:t>
      </w:r>
    </w:p>
    <w:p w:rsidR="00497A28" w:rsidRPr="00C27947" w:rsidRDefault="00497A28" w:rsidP="006E7FD1">
      <w:pPr>
        <w:rPr>
          <w:rFonts w:ascii="Times New Roman" w:hAnsi="Times New Roman"/>
          <w:sz w:val="24"/>
        </w:rPr>
      </w:pPr>
      <w:r w:rsidRPr="00C27947">
        <w:rPr>
          <w:rFonts w:ascii="Times New Roman" w:hAnsi="Times New Roman"/>
          <w:sz w:val="24"/>
        </w:rPr>
        <w:tab/>
        <w:t>2.4 Samenvatting</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12</w:t>
      </w:r>
    </w:p>
    <w:p w:rsidR="00497A28" w:rsidRPr="00C27947" w:rsidRDefault="00497A28" w:rsidP="006E7FD1">
      <w:pPr>
        <w:rPr>
          <w:rFonts w:ascii="Times New Roman" w:hAnsi="Times New Roman"/>
          <w:b/>
          <w:sz w:val="24"/>
        </w:rPr>
      </w:pPr>
      <w:r w:rsidRPr="00C27947">
        <w:rPr>
          <w:rFonts w:ascii="Times New Roman" w:hAnsi="Times New Roman"/>
          <w:b/>
          <w:sz w:val="24"/>
        </w:rPr>
        <w:t>Hoofdstuk 3: Wet- en regelgeving consolideren</w:t>
      </w:r>
    </w:p>
    <w:p w:rsidR="00497A28" w:rsidRPr="00C27947" w:rsidRDefault="00497A28" w:rsidP="006E7FD1">
      <w:pPr>
        <w:rPr>
          <w:rFonts w:ascii="Times New Roman" w:hAnsi="Times New Roman"/>
          <w:sz w:val="24"/>
        </w:rPr>
      </w:pPr>
      <w:r w:rsidRPr="00C27947">
        <w:rPr>
          <w:rFonts w:ascii="Times New Roman" w:hAnsi="Times New Roman"/>
          <w:sz w:val="24"/>
        </w:rPr>
        <w:tab/>
        <w:t>3.1 Inleiding</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13</w:t>
      </w:r>
    </w:p>
    <w:p w:rsidR="00497A28" w:rsidRPr="00C27947" w:rsidRDefault="00497A28" w:rsidP="006E7FD1">
      <w:pPr>
        <w:rPr>
          <w:rFonts w:ascii="Times New Roman" w:hAnsi="Times New Roman"/>
          <w:sz w:val="24"/>
        </w:rPr>
      </w:pPr>
      <w:r w:rsidRPr="00C27947">
        <w:rPr>
          <w:rFonts w:ascii="Times New Roman" w:hAnsi="Times New Roman"/>
          <w:sz w:val="24"/>
        </w:rPr>
        <w:tab/>
        <w:t>3.2 Criteria consolideren</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13</w:t>
      </w:r>
    </w:p>
    <w:p w:rsidR="00497A28" w:rsidRPr="00C27947" w:rsidRDefault="00497A28" w:rsidP="006E7FD1">
      <w:pPr>
        <w:rPr>
          <w:rFonts w:ascii="Times New Roman" w:hAnsi="Times New Roman"/>
          <w:sz w:val="24"/>
        </w:rPr>
      </w:pPr>
      <w:r w:rsidRPr="00C27947">
        <w:rPr>
          <w:rFonts w:ascii="Times New Roman" w:hAnsi="Times New Roman"/>
          <w:sz w:val="24"/>
        </w:rPr>
        <w:tab/>
        <w:t xml:space="preserve">3.3 Nederlandse wet- en regelgeving: </w:t>
      </w:r>
      <w:r>
        <w:rPr>
          <w:rFonts w:ascii="Times New Roman" w:hAnsi="Times New Roman"/>
          <w:sz w:val="24"/>
        </w:rPr>
        <w:t>RJ</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15</w:t>
      </w:r>
    </w:p>
    <w:p w:rsidR="00497A28" w:rsidRPr="00C27947" w:rsidRDefault="00497A28" w:rsidP="006E7FD1">
      <w:pPr>
        <w:rPr>
          <w:rFonts w:ascii="Times New Roman" w:hAnsi="Times New Roman"/>
          <w:sz w:val="24"/>
        </w:rPr>
      </w:pPr>
      <w:r w:rsidRPr="00C27947">
        <w:rPr>
          <w:rFonts w:ascii="Times New Roman" w:hAnsi="Times New Roman"/>
          <w:sz w:val="24"/>
        </w:rPr>
        <w:tab/>
        <w:t xml:space="preserve">3.4 Internationale wet- en regelgeving: </w:t>
      </w:r>
      <w:r>
        <w:rPr>
          <w:rFonts w:ascii="Times New Roman" w:hAnsi="Times New Roman"/>
          <w:sz w:val="24"/>
        </w:rPr>
        <w:t>IASB</w:t>
      </w:r>
      <w:r w:rsidRPr="00C27947">
        <w:rPr>
          <w:rFonts w:ascii="Times New Roman" w:hAnsi="Times New Roman"/>
          <w:sz w:val="24"/>
        </w:rPr>
        <w:t xml:space="preserve"> </w:t>
      </w:r>
      <w:r>
        <w:rPr>
          <w:rFonts w:ascii="Times New Roman" w:hAnsi="Times New Roman"/>
          <w:sz w:val="24"/>
        </w:rPr>
        <w:tab/>
      </w:r>
      <w:r>
        <w:rPr>
          <w:rFonts w:ascii="Times New Roman" w:hAnsi="Times New Roman"/>
          <w:sz w:val="24"/>
        </w:rPr>
        <w:tab/>
      </w:r>
      <w:r>
        <w:rPr>
          <w:rFonts w:ascii="Times New Roman" w:hAnsi="Times New Roman"/>
          <w:sz w:val="24"/>
        </w:rPr>
        <w:tab/>
        <w:t>17</w:t>
      </w:r>
    </w:p>
    <w:p w:rsidR="00497A28" w:rsidRPr="00C27947" w:rsidRDefault="00497A28" w:rsidP="006E7FD1">
      <w:pPr>
        <w:rPr>
          <w:rFonts w:ascii="Times New Roman" w:hAnsi="Times New Roman"/>
          <w:sz w:val="24"/>
        </w:rPr>
      </w:pPr>
      <w:r w:rsidRPr="00C27947">
        <w:rPr>
          <w:rFonts w:ascii="Times New Roman" w:hAnsi="Times New Roman"/>
          <w:sz w:val="24"/>
        </w:rPr>
        <w:tab/>
        <w:t>3.5 Samenvatting</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20</w:t>
      </w:r>
    </w:p>
    <w:p w:rsidR="00497A28" w:rsidRPr="00C27947" w:rsidRDefault="00497A28" w:rsidP="006E7FD1">
      <w:pPr>
        <w:rPr>
          <w:rFonts w:ascii="Times New Roman" w:hAnsi="Times New Roman"/>
          <w:b/>
          <w:sz w:val="24"/>
        </w:rPr>
      </w:pPr>
      <w:r w:rsidRPr="00C27947">
        <w:rPr>
          <w:rFonts w:ascii="Times New Roman" w:hAnsi="Times New Roman"/>
          <w:b/>
          <w:sz w:val="24"/>
        </w:rPr>
        <w:t>Hoofdstuk 4: Consolidatie en de invloed van het management</w:t>
      </w:r>
    </w:p>
    <w:p w:rsidR="00497A28" w:rsidRPr="00C27947" w:rsidRDefault="00497A28" w:rsidP="006E7FD1">
      <w:pPr>
        <w:rPr>
          <w:rFonts w:ascii="Times New Roman" w:hAnsi="Times New Roman"/>
          <w:sz w:val="24"/>
        </w:rPr>
      </w:pPr>
      <w:r w:rsidRPr="00C27947">
        <w:rPr>
          <w:rFonts w:ascii="Times New Roman" w:hAnsi="Times New Roman"/>
          <w:sz w:val="24"/>
        </w:rPr>
        <w:tab/>
        <w:t>4.1 Inleiding</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21</w:t>
      </w:r>
    </w:p>
    <w:p w:rsidR="00497A28" w:rsidRPr="00C27947" w:rsidRDefault="00497A28" w:rsidP="006E7FD1">
      <w:pPr>
        <w:rPr>
          <w:rFonts w:ascii="Times New Roman" w:hAnsi="Times New Roman"/>
          <w:sz w:val="24"/>
        </w:rPr>
      </w:pPr>
      <w:r w:rsidRPr="00C27947">
        <w:rPr>
          <w:rFonts w:ascii="Times New Roman" w:hAnsi="Times New Roman"/>
          <w:sz w:val="24"/>
        </w:rPr>
        <w:tab/>
        <w:t>4.2 De rol van het management in een organisatie</w:t>
      </w:r>
      <w:r>
        <w:rPr>
          <w:rFonts w:ascii="Times New Roman" w:hAnsi="Times New Roman"/>
          <w:sz w:val="24"/>
        </w:rPr>
        <w:tab/>
      </w:r>
      <w:r>
        <w:rPr>
          <w:rFonts w:ascii="Times New Roman" w:hAnsi="Times New Roman"/>
          <w:sz w:val="24"/>
        </w:rPr>
        <w:tab/>
      </w:r>
      <w:r>
        <w:rPr>
          <w:rFonts w:ascii="Times New Roman" w:hAnsi="Times New Roman"/>
          <w:sz w:val="24"/>
        </w:rPr>
        <w:tab/>
        <w:t>21</w:t>
      </w:r>
    </w:p>
    <w:p w:rsidR="00497A28" w:rsidRPr="00C27947" w:rsidRDefault="00497A28" w:rsidP="006E7FD1">
      <w:pPr>
        <w:rPr>
          <w:rFonts w:ascii="Times New Roman" w:hAnsi="Times New Roman"/>
          <w:sz w:val="24"/>
        </w:rPr>
      </w:pPr>
      <w:r w:rsidRPr="00C27947">
        <w:rPr>
          <w:rFonts w:ascii="Times New Roman" w:hAnsi="Times New Roman"/>
          <w:sz w:val="24"/>
        </w:rPr>
        <w:tab/>
        <w:t>4.3 Winststuring</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22</w:t>
      </w:r>
    </w:p>
    <w:p w:rsidR="00497A28" w:rsidRPr="00C27947" w:rsidRDefault="00497A28" w:rsidP="006E7FD1">
      <w:pPr>
        <w:rPr>
          <w:rFonts w:ascii="Times New Roman" w:hAnsi="Times New Roman"/>
          <w:sz w:val="24"/>
        </w:rPr>
      </w:pPr>
      <w:r w:rsidRPr="00C27947">
        <w:rPr>
          <w:rFonts w:ascii="Times New Roman" w:hAnsi="Times New Roman"/>
          <w:sz w:val="24"/>
        </w:rPr>
        <w:tab/>
        <w:t>4.4 De rol van managers bij het consolidatieproces</w:t>
      </w:r>
      <w:r>
        <w:rPr>
          <w:rFonts w:ascii="Times New Roman" w:hAnsi="Times New Roman"/>
          <w:sz w:val="24"/>
        </w:rPr>
        <w:tab/>
      </w:r>
      <w:r>
        <w:rPr>
          <w:rFonts w:ascii="Times New Roman" w:hAnsi="Times New Roman"/>
          <w:sz w:val="24"/>
        </w:rPr>
        <w:tab/>
      </w:r>
      <w:r>
        <w:rPr>
          <w:rFonts w:ascii="Times New Roman" w:hAnsi="Times New Roman"/>
          <w:sz w:val="24"/>
        </w:rPr>
        <w:tab/>
        <w:t>23</w:t>
      </w:r>
    </w:p>
    <w:p w:rsidR="00497A28" w:rsidRPr="00C27947" w:rsidRDefault="00497A28" w:rsidP="006E7FD1">
      <w:pPr>
        <w:rPr>
          <w:rFonts w:ascii="Times New Roman" w:hAnsi="Times New Roman"/>
          <w:sz w:val="24"/>
        </w:rPr>
      </w:pPr>
      <w:r w:rsidRPr="00C27947">
        <w:rPr>
          <w:rFonts w:ascii="Times New Roman" w:hAnsi="Times New Roman"/>
          <w:sz w:val="24"/>
        </w:rPr>
        <w:tab/>
        <w:t>4.5 Exposure Draft 10</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25</w:t>
      </w:r>
    </w:p>
    <w:p w:rsidR="00497A28" w:rsidRPr="00C27947" w:rsidRDefault="00497A28" w:rsidP="006E7FD1">
      <w:pPr>
        <w:rPr>
          <w:rFonts w:ascii="Times New Roman" w:hAnsi="Times New Roman"/>
          <w:sz w:val="24"/>
        </w:rPr>
      </w:pPr>
      <w:r w:rsidRPr="00C27947">
        <w:rPr>
          <w:rFonts w:ascii="Times New Roman" w:hAnsi="Times New Roman"/>
          <w:sz w:val="24"/>
        </w:rPr>
        <w:tab/>
        <w:t>4.6 Samenvatting</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26</w:t>
      </w:r>
    </w:p>
    <w:p w:rsidR="00497A28" w:rsidRPr="00C27947" w:rsidRDefault="00497A28" w:rsidP="006E7FD1">
      <w:pPr>
        <w:rPr>
          <w:rFonts w:ascii="Times New Roman" w:hAnsi="Times New Roman"/>
          <w:sz w:val="24"/>
        </w:rPr>
      </w:pPr>
    </w:p>
    <w:p w:rsidR="00497A28" w:rsidRDefault="00497A28" w:rsidP="006E7FD1">
      <w:pPr>
        <w:rPr>
          <w:rFonts w:ascii="Times New Roman" w:hAnsi="Times New Roman"/>
          <w:sz w:val="24"/>
        </w:rPr>
      </w:pPr>
    </w:p>
    <w:p w:rsidR="00497A28" w:rsidRPr="00C27947" w:rsidRDefault="00497A28" w:rsidP="006E7FD1">
      <w:pPr>
        <w:rPr>
          <w:rFonts w:ascii="Times New Roman" w:hAnsi="Times New Roman"/>
          <w:b/>
          <w:sz w:val="24"/>
        </w:rPr>
      </w:pPr>
      <w:r w:rsidRPr="00C27947">
        <w:rPr>
          <w:rFonts w:ascii="Times New Roman" w:hAnsi="Times New Roman"/>
          <w:b/>
          <w:sz w:val="24"/>
        </w:rPr>
        <w:t>Hoofdstuk 5: Praktijkstudie: De fraude bij Ahold</w:t>
      </w:r>
    </w:p>
    <w:p w:rsidR="00497A28" w:rsidRPr="00C27947" w:rsidRDefault="00497A28" w:rsidP="006E7FD1">
      <w:pPr>
        <w:rPr>
          <w:rFonts w:ascii="Times New Roman" w:hAnsi="Times New Roman"/>
          <w:sz w:val="24"/>
        </w:rPr>
      </w:pPr>
      <w:r w:rsidRPr="00C27947">
        <w:rPr>
          <w:rFonts w:ascii="Times New Roman" w:hAnsi="Times New Roman"/>
          <w:sz w:val="24"/>
        </w:rPr>
        <w:tab/>
        <w:t>5.1 Inleiding</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27</w:t>
      </w:r>
    </w:p>
    <w:p w:rsidR="00497A28" w:rsidRPr="00C27947" w:rsidRDefault="00497A28" w:rsidP="006E7FD1">
      <w:pPr>
        <w:rPr>
          <w:rFonts w:ascii="Times New Roman" w:hAnsi="Times New Roman"/>
          <w:sz w:val="24"/>
        </w:rPr>
      </w:pPr>
      <w:r w:rsidRPr="00C27947">
        <w:rPr>
          <w:rFonts w:ascii="Times New Roman" w:hAnsi="Times New Roman"/>
          <w:sz w:val="24"/>
        </w:rPr>
        <w:tab/>
        <w:t>5.2 Van kruidenierswinkel tot het machtige Ahold</w:t>
      </w:r>
      <w:r>
        <w:rPr>
          <w:rFonts w:ascii="Times New Roman" w:hAnsi="Times New Roman"/>
          <w:sz w:val="24"/>
        </w:rPr>
        <w:tab/>
      </w:r>
      <w:r>
        <w:rPr>
          <w:rFonts w:ascii="Times New Roman" w:hAnsi="Times New Roman"/>
          <w:sz w:val="24"/>
        </w:rPr>
        <w:tab/>
      </w:r>
      <w:r>
        <w:rPr>
          <w:rFonts w:ascii="Times New Roman" w:hAnsi="Times New Roman"/>
          <w:sz w:val="24"/>
        </w:rPr>
        <w:tab/>
        <w:t>27</w:t>
      </w:r>
    </w:p>
    <w:p w:rsidR="00497A28" w:rsidRPr="00C27947" w:rsidRDefault="00497A28" w:rsidP="006E7FD1">
      <w:pPr>
        <w:rPr>
          <w:rFonts w:ascii="Times New Roman" w:hAnsi="Times New Roman"/>
          <w:sz w:val="24"/>
        </w:rPr>
      </w:pPr>
      <w:r w:rsidRPr="00C27947">
        <w:rPr>
          <w:rFonts w:ascii="Times New Roman" w:hAnsi="Times New Roman"/>
          <w:sz w:val="24"/>
        </w:rPr>
        <w:tab/>
        <w:t>5.3 De fraude</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29</w:t>
      </w:r>
      <w:r>
        <w:rPr>
          <w:rFonts w:ascii="Times New Roman" w:hAnsi="Times New Roman"/>
          <w:sz w:val="24"/>
        </w:rPr>
        <w:tab/>
      </w:r>
    </w:p>
    <w:p w:rsidR="00497A28" w:rsidRPr="00C27947" w:rsidRDefault="00497A28" w:rsidP="006E7FD1">
      <w:pPr>
        <w:rPr>
          <w:rFonts w:ascii="Times New Roman" w:hAnsi="Times New Roman"/>
          <w:sz w:val="24"/>
        </w:rPr>
      </w:pPr>
      <w:r w:rsidRPr="00C27947">
        <w:rPr>
          <w:rFonts w:ascii="Times New Roman" w:hAnsi="Times New Roman"/>
          <w:sz w:val="24"/>
        </w:rPr>
        <w:tab/>
        <w:t>5.4 Ahold en ED 10</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32</w:t>
      </w:r>
    </w:p>
    <w:p w:rsidR="00497A28" w:rsidRPr="00C27947" w:rsidRDefault="00497A28" w:rsidP="006E7FD1">
      <w:pPr>
        <w:rPr>
          <w:rFonts w:ascii="Times New Roman" w:hAnsi="Times New Roman"/>
          <w:sz w:val="24"/>
        </w:rPr>
      </w:pPr>
      <w:r w:rsidRPr="00C27947">
        <w:rPr>
          <w:rFonts w:ascii="Times New Roman" w:hAnsi="Times New Roman"/>
          <w:sz w:val="24"/>
        </w:rPr>
        <w:tab/>
        <w:t>5.5 Samenvatting</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32</w:t>
      </w:r>
    </w:p>
    <w:p w:rsidR="00497A28" w:rsidRPr="00C27947" w:rsidRDefault="00497A28" w:rsidP="006E7FD1">
      <w:pPr>
        <w:rPr>
          <w:rFonts w:ascii="Times New Roman" w:hAnsi="Times New Roman"/>
          <w:b/>
          <w:sz w:val="24"/>
        </w:rPr>
      </w:pPr>
      <w:r w:rsidRPr="00C27947">
        <w:rPr>
          <w:rFonts w:ascii="Times New Roman" w:hAnsi="Times New Roman"/>
          <w:b/>
          <w:sz w:val="24"/>
        </w:rPr>
        <w:t>Hoofdstuk 6: Samenvatting en Conclusie</w:t>
      </w:r>
    </w:p>
    <w:p w:rsidR="00497A28" w:rsidRPr="00C27947" w:rsidRDefault="00497A28" w:rsidP="006E7FD1">
      <w:pPr>
        <w:rPr>
          <w:rFonts w:ascii="Times New Roman" w:hAnsi="Times New Roman"/>
          <w:sz w:val="24"/>
        </w:rPr>
      </w:pPr>
      <w:r w:rsidRPr="00C27947">
        <w:rPr>
          <w:rFonts w:ascii="Times New Roman" w:hAnsi="Times New Roman"/>
          <w:sz w:val="24"/>
        </w:rPr>
        <w:tab/>
        <w:t>6.1 Samenvatting</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34</w:t>
      </w:r>
    </w:p>
    <w:p w:rsidR="00497A28" w:rsidRPr="00C27947" w:rsidRDefault="00497A28" w:rsidP="006E7FD1">
      <w:pPr>
        <w:rPr>
          <w:rFonts w:ascii="Times New Roman" w:hAnsi="Times New Roman"/>
          <w:sz w:val="24"/>
        </w:rPr>
      </w:pPr>
      <w:r w:rsidRPr="00C27947">
        <w:rPr>
          <w:rFonts w:ascii="Times New Roman" w:hAnsi="Times New Roman"/>
          <w:sz w:val="24"/>
        </w:rPr>
        <w:tab/>
        <w:t>6.2 Conclusie</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36</w:t>
      </w:r>
    </w:p>
    <w:p w:rsidR="00497A28" w:rsidRPr="00C27947" w:rsidRDefault="00497A28" w:rsidP="006E7FD1">
      <w:pPr>
        <w:rPr>
          <w:rFonts w:ascii="Times New Roman" w:hAnsi="Times New Roman"/>
          <w:sz w:val="24"/>
        </w:rPr>
      </w:pPr>
      <w:r w:rsidRPr="00C27947">
        <w:rPr>
          <w:rFonts w:ascii="Times New Roman" w:hAnsi="Times New Roman"/>
          <w:sz w:val="24"/>
        </w:rPr>
        <w:tab/>
        <w:t>6.3 Aanbevelingen</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38</w:t>
      </w:r>
    </w:p>
    <w:p w:rsidR="00497A28" w:rsidRPr="00C27947" w:rsidRDefault="00497A28" w:rsidP="006E7FD1">
      <w:pPr>
        <w:rPr>
          <w:rFonts w:ascii="Times New Roman" w:hAnsi="Times New Roman"/>
          <w:sz w:val="24"/>
        </w:rPr>
      </w:pPr>
    </w:p>
    <w:p w:rsidR="00497A28" w:rsidRPr="00C27947" w:rsidRDefault="00497A28" w:rsidP="006E7FD1">
      <w:pPr>
        <w:rPr>
          <w:rFonts w:ascii="Times New Roman" w:hAnsi="Times New Roman"/>
          <w:b/>
          <w:sz w:val="24"/>
        </w:rPr>
      </w:pPr>
      <w:r w:rsidRPr="00C27947">
        <w:rPr>
          <w:rFonts w:ascii="Times New Roman" w:hAnsi="Times New Roman"/>
          <w:b/>
          <w:sz w:val="24"/>
        </w:rPr>
        <w:t>Bijlage 1: Voorbeeld bij hoofdstuk 2.3</w:t>
      </w: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t>39</w:t>
      </w:r>
    </w:p>
    <w:p w:rsidR="00497A28" w:rsidRPr="00C27947" w:rsidRDefault="00497A28" w:rsidP="006E7FD1">
      <w:pPr>
        <w:rPr>
          <w:rFonts w:ascii="Times New Roman" w:hAnsi="Times New Roman"/>
          <w:b/>
          <w:sz w:val="24"/>
        </w:rPr>
      </w:pPr>
      <w:r w:rsidRPr="00C27947">
        <w:rPr>
          <w:rFonts w:ascii="Times New Roman" w:hAnsi="Times New Roman"/>
          <w:b/>
          <w:sz w:val="24"/>
        </w:rPr>
        <w:t>Bijlage 2: Organogram Ahold</w:t>
      </w: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t>45</w:t>
      </w:r>
      <w:r>
        <w:rPr>
          <w:rFonts w:ascii="Times New Roman" w:hAnsi="Times New Roman"/>
          <w:b/>
          <w:sz w:val="24"/>
        </w:rPr>
        <w:tab/>
      </w:r>
    </w:p>
    <w:p w:rsidR="00497A28" w:rsidRPr="00C27947" w:rsidRDefault="00497A28" w:rsidP="006E7FD1">
      <w:pPr>
        <w:rPr>
          <w:rFonts w:ascii="Times New Roman" w:hAnsi="Times New Roman"/>
          <w:b/>
          <w:sz w:val="24"/>
        </w:rPr>
      </w:pPr>
      <w:r w:rsidRPr="00C27947">
        <w:rPr>
          <w:rFonts w:ascii="Times New Roman" w:hAnsi="Times New Roman"/>
          <w:b/>
          <w:sz w:val="24"/>
        </w:rPr>
        <w:t xml:space="preserve">Literatuurlijst </w:t>
      </w:r>
      <w:r w:rsidRPr="00C27947">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t>46</w:t>
      </w:r>
    </w:p>
    <w:p w:rsidR="00497A28" w:rsidRDefault="00497A28">
      <w:pPr>
        <w:rPr>
          <w:rFonts w:ascii="Times New Roman" w:hAnsi="Times New Roman"/>
          <w:b/>
          <w:sz w:val="28"/>
        </w:rPr>
      </w:pPr>
      <w:r>
        <w:rPr>
          <w:rFonts w:ascii="Times New Roman" w:hAnsi="Times New Roman"/>
          <w:b/>
          <w:sz w:val="28"/>
        </w:rPr>
        <w:br w:type="page"/>
      </w:r>
    </w:p>
    <w:p w:rsidR="00497A28" w:rsidRDefault="00497A28" w:rsidP="0005339E">
      <w:pPr>
        <w:rPr>
          <w:rFonts w:ascii="Times New Roman" w:hAnsi="Times New Roman"/>
          <w:b/>
          <w:sz w:val="28"/>
        </w:rPr>
      </w:pPr>
      <w:r w:rsidRPr="002B537A">
        <w:rPr>
          <w:rFonts w:ascii="Times New Roman" w:hAnsi="Times New Roman"/>
          <w:b/>
          <w:sz w:val="28"/>
        </w:rPr>
        <w:t>Hoofdstuk 1: Inleiding</w:t>
      </w:r>
    </w:p>
    <w:p w:rsidR="00497A28" w:rsidRDefault="00497A28" w:rsidP="000E05B6">
      <w:pPr>
        <w:spacing w:line="360" w:lineRule="auto"/>
        <w:rPr>
          <w:rFonts w:ascii="Times New Roman" w:hAnsi="Times New Roman"/>
          <w:color w:val="000000"/>
          <w:sz w:val="24"/>
        </w:rPr>
      </w:pPr>
      <w:r>
        <w:rPr>
          <w:rFonts w:ascii="Times New Roman" w:hAnsi="Times New Roman"/>
          <w:b/>
          <w:color w:val="000000"/>
          <w:sz w:val="24"/>
        </w:rPr>
        <w:t>1.1 Inleiding</w:t>
      </w:r>
      <w:r>
        <w:rPr>
          <w:rFonts w:ascii="Times New Roman" w:hAnsi="Times New Roman"/>
          <w:b/>
          <w:color w:val="000000"/>
          <w:sz w:val="24"/>
        </w:rPr>
        <w:br/>
      </w:r>
      <w:r w:rsidRPr="002B537A">
        <w:rPr>
          <w:rFonts w:ascii="Times New Roman" w:hAnsi="Times New Roman"/>
          <w:i/>
          <w:color w:val="000000"/>
          <w:sz w:val="24"/>
        </w:rPr>
        <w:t>DPA geeft aandelen uit voor overname dochter</w:t>
      </w:r>
      <w:r w:rsidRPr="002B537A">
        <w:rPr>
          <w:rFonts w:ascii="Times New Roman" w:hAnsi="Times New Roman"/>
          <w:color w:val="000000"/>
          <w:sz w:val="24"/>
        </w:rPr>
        <w:t xml:space="preserve"> </w:t>
      </w:r>
      <w:r w:rsidRPr="002B537A">
        <w:rPr>
          <w:rStyle w:val="FootnoteReference"/>
          <w:rFonts w:ascii="Times New Roman" w:hAnsi="Times New Roman"/>
          <w:color w:val="000000"/>
          <w:sz w:val="24"/>
        </w:rPr>
        <w:footnoteReference w:id="2"/>
      </w:r>
      <w:r w:rsidRPr="002B537A">
        <w:rPr>
          <w:rFonts w:ascii="Times New Roman" w:hAnsi="Times New Roman"/>
          <w:color w:val="000000"/>
          <w:sz w:val="24"/>
        </w:rPr>
        <w:t xml:space="preserve">. </w:t>
      </w:r>
      <w:r w:rsidRPr="002B537A">
        <w:rPr>
          <w:rFonts w:ascii="Times New Roman" w:hAnsi="Times New Roman"/>
          <w:i/>
          <w:color w:val="000000"/>
          <w:sz w:val="24"/>
        </w:rPr>
        <w:t>Heineken rondt overname bierdivisie Femsa af</w:t>
      </w:r>
      <w:r w:rsidRPr="002B537A">
        <w:rPr>
          <w:rFonts w:ascii="Times New Roman" w:hAnsi="Times New Roman"/>
          <w:color w:val="000000"/>
          <w:sz w:val="24"/>
        </w:rPr>
        <w:t xml:space="preserve"> </w:t>
      </w:r>
      <w:r w:rsidRPr="002B537A">
        <w:rPr>
          <w:rStyle w:val="FootnoteReference"/>
          <w:rFonts w:ascii="Times New Roman" w:hAnsi="Times New Roman"/>
          <w:color w:val="000000"/>
          <w:sz w:val="24"/>
        </w:rPr>
        <w:footnoteReference w:id="3"/>
      </w:r>
      <w:r w:rsidRPr="002B537A">
        <w:rPr>
          <w:rFonts w:ascii="Times New Roman" w:hAnsi="Times New Roman"/>
          <w:color w:val="000000"/>
          <w:sz w:val="24"/>
        </w:rPr>
        <w:t xml:space="preserve">. </w:t>
      </w:r>
      <w:r w:rsidRPr="002B537A">
        <w:rPr>
          <w:rFonts w:ascii="Times New Roman" w:hAnsi="Times New Roman"/>
          <w:i/>
          <w:color w:val="000000"/>
          <w:sz w:val="24"/>
        </w:rPr>
        <w:t>Newcrest en Lihir fuseren tot vijfde grootste goudmijn</w:t>
      </w:r>
      <w:r w:rsidRPr="002B537A">
        <w:rPr>
          <w:rFonts w:ascii="Times New Roman" w:hAnsi="Times New Roman"/>
          <w:color w:val="000000"/>
          <w:sz w:val="24"/>
        </w:rPr>
        <w:t xml:space="preserve"> </w:t>
      </w:r>
      <w:r w:rsidRPr="002B537A">
        <w:rPr>
          <w:rStyle w:val="FootnoteReference"/>
          <w:rFonts w:ascii="Times New Roman" w:hAnsi="Times New Roman"/>
          <w:color w:val="000000"/>
          <w:sz w:val="24"/>
        </w:rPr>
        <w:footnoteReference w:id="4"/>
      </w:r>
      <w:r w:rsidRPr="002B537A">
        <w:rPr>
          <w:rFonts w:ascii="Times New Roman" w:hAnsi="Times New Roman"/>
          <w:color w:val="000000"/>
          <w:sz w:val="24"/>
        </w:rPr>
        <w:t>. Dit zijn drie recente krantenkoppen waaruit blijkt dat fusies en overnames van bedrijven aan de orde van de dag zijn. Wekelijks of zelfs dagelijks vinden fusies en overnames tussen twee over meer bedrijven plaats. Dit kan worden verklaard omdat bedrijfscombinaties in deze tijd van steeds groter belang zijn. In een globaliserende wereld waarin de concurrentie sterk toeneemt, zijn grote, machtige bedrijven belangrijk</w:t>
      </w:r>
      <w:r>
        <w:rPr>
          <w:rFonts w:ascii="Times New Roman" w:hAnsi="Times New Roman"/>
          <w:color w:val="000000"/>
          <w:sz w:val="24"/>
        </w:rPr>
        <w:t>, soms zelfs noodzakelijk,</w:t>
      </w:r>
      <w:r w:rsidRPr="002B537A">
        <w:rPr>
          <w:rFonts w:ascii="Times New Roman" w:hAnsi="Times New Roman"/>
          <w:color w:val="000000"/>
          <w:sz w:val="24"/>
        </w:rPr>
        <w:t xml:space="preserve"> om te overleven. Sommige concerns bestaan uit wel meer dan honderd bedrijven. Steeds meer bedrijven richten zich dan ook op een fusie met of overname van een ander bedrijf. Een fusie of een overname is echter, in tegenstelling tot sommige gedachtegangen, niet hetzelfde. Bij een overname koopt een bedrijf de aandelen of de activa van een ander bedrijf. Beide vormen van een overname hebben een andere betekenis, maar dat is voor deze scriptie niet van belang. Het is belangrijk om te weten dat in het geval dat de overnemende partij meer dan 50% van de zeggenschap heeft in de overgenomen maatschappij, wordt gesproken van een dochtermaatschappij. </w:t>
      </w:r>
      <w:r>
        <w:rPr>
          <w:rFonts w:ascii="Times New Roman" w:hAnsi="Times New Roman"/>
          <w:color w:val="000000"/>
          <w:sz w:val="24"/>
        </w:rPr>
        <w:t xml:space="preserve">Een bedrijf kan ook aandelen kopen met andere doelen dan de zeggenschap verkrijgen. Als een bedrijf aandelen in een ander bedrijf koopt met als enig doel het maken van winst, wordt dit gezien als een investering. In alle andere gevallen wordt gesproken van een deelneming. Dit heeft als belangrijkste doel "het duurzaam dienen van de eigen bedrijfsactiviteiten van de eigenaar". (Klaassen en Hoogendoorn, 2006) </w:t>
      </w:r>
      <w:r w:rsidRPr="002B537A">
        <w:rPr>
          <w:rFonts w:ascii="Times New Roman" w:hAnsi="Times New Roman"/>
          <w:color w:val="000000"/>
          <w:sz w:val="24"/>
        </w:rPr>
        <w:t xml:space="preserve">In het geval </w:t>
      </w:r>
      <w:r>
        <w:rPr>
          <w:rFonts w:ascii="Times New Roman" w:hAnsi="Times New Roman"/>
          <w:color w:val="000000"/>
          <w:sz w:val="24"/>
        </w:rPr>
        <w:t>waarbij</w:t>
      </w:r>
      <w:r w:rsidRPr="002B537A">
        <w:rPr>
          <w:rFonts w:ascii="Times New Roman" w:hAnsi="Times New Roman"/>
          <w:color w:val="000000"/>
          <w:sz w:val="24"/>
        </w:rPr>
        <w:t xml:space="preserve"> tussen de 20% en de 50% van de zeggenschap overgenomen wordt, spreekt men van een</w:t>
      </w:r>
      <w:r>
        <w:rPr>
          <w:rFonts w:ascii="Times New Roman" w:hAnsi="Times New Roman"/>
          <w:color w:val="000000"/>
          <w:sz w:val="24"/>
        </w:rPr>
        <w:t xml:space="preserve"> geassocieerde</w:t>
      </w:r>
      <w:r w:rsidRPr="002B537A">
        <w:rPr>
          <w:rFonts w:ascii="Times New Roman" w:hAnsi="Times New Roman"/>
          <w:color w:val="000000"/>
          <w:sz w:val="24"/>
        </w:rPr>
        <w:t xml:space="preserve"> deelneming. </w:t>
      </w:r>
      <w:r>
        <w:rPr>
          <w:rFonts w:ascii="Times New Roman" w:hAnsi="Times New Roman"/>
          <w:color w:val="000000"/>
          <w:sz w:val="24"/>
        </w:rPr>
        <w:t>Bij precies 50% is er sprake van een joint-venture en bij een bezit vanaf 50% wordt de deelneming ook een dochteronderneming genoemd. Bij deze laatste vorm is sprake van het beheren van de zeggenschap in een deelneming.</w:t>
      </w:r>
      <w:r>
        <w:rPr>
          <w:rFonts w:ascii="Times New Roman" w:hAnsi="Times New Roman"/>
          <w:color w:val="000000"/>
          <w:sz w:val="24"/>
        </w:rPr>
        <w:br/>
      </w:r>
      <w:r w:rsidRPr="002B537A">
        <w:rPr>
          <w:rFonts w:ascii="Times New Roman" w:hAnsi="Times New Roman"/>
          <w:color w:val="000000"/>
          <w:sz w:val="24"/>
        </w:rPr>
        <w:t>Een fusie wordt vaak als synoniem voor een overname gebruikt, maar is wel degelijk iets anders. In dit geval fuseren twee partijen tot een nieuwe partij.</w:t>
      </w:r>
      <w:r>
        <w:rPr>
          <w:rFonts w:ascii="Times New Roman" w:hAnsi="Times New Roman"/>
          <w:color w:val="000000"/>
          <w:sz w:val="24"/>
        </w:rPr>
        <w:t xml:space="preserve"> Er vindt in feite een aandelenruil plaats. Partij A verkrijgt aandelen in partij B in ruil voor eigen aandelen en andersom.</w:t>
      </w:r>
      <w:r w:rsidRPr="002B537A">
        <w:rPr>
          <w:rFonts w:ascii="Times New Roman" w:hAnsi="Times New Roman"/>
          <w:color w:val="000000"/>
          <w:sz w:val="24"/>
        </w:rPr>
        <w:t xml:space="preserve"> Een belangrijk verschil is dat een overname vrijwillig of gedwongen plaats kan vinden, terwijl een fusie de instemming van beide partijen vereist. </w:t>
      </w:r>
      <w:r>
        <w:rPr>
          <w:rFonts w:ascii="Times New Roman" w:hAnsi="Times New Roman"/>
          <w:color w:val="000000"/>
          <w:sz w:val="24"/>
        </w:rPr>
        <w:t>In de rest van deze paper zal niet meer over fusies worden gesproken maar uitsluitend over overnames.</w:t>
      </w:r>
    </w:p>
    <w:p w:rsidR="00497A28" w:rsidRDefault="00497A28" w:rsidP="008F54D8">
      <w:pPr>
        <w:spacing w:line="360" w:lineRule="auto"/>
        <w:rPr>
          <w:rFonts w:ascii="Times New Roman" w:hAnsi="Times New Roman"/>
          <w:color w:val="000000"/>
          <w:sz w:val="24"/>
        </w:rPr>
      </w:pPr>
      <w:r>
        <w:rPr>
          <w:rFonts w:ascii="Times New Roman" w:hAnsi="Times New Roman"/>
          <w:b/>
          <w:color w:val="000000"/>
          <w:sz w:val="24"/>
        </w:rPr>
        <w:t xml:space="preserve">1.2 </w:t>
      </w:r>
      <w:r w:rsidRPr="0005339E">
        <w:rPr>
          <w:rFonts w:ascii="Times New Roman" w:hAnsi="Times New Roman"/>
          <w:b/>
          <w:color w:val="000000"/>
          <w:sz w:val="24"/>
        </w:rPr>
        <w:t>Geconsolideerde jaarrekening</w:t>
      </w:r>
      <w:r w:rsidRPr="002B537A">
        <w:rPr>
          <w:rFonts w:ascii="Times New Roman" w:hAnsi="Times New Roman"/>
          <w:color w:val="000000"/>
          <w:sz w:val="24"/>
        </w:rPr>
        <w:br/>
        <w:t xml:space="preserve">Zowel een fusie als een overname heeft voor beide partijen grote gevolgen, gezien het feit dat het totale concern groter wordt, wat invloed heeft op de cijfers van het bedrijf. De cijfers van het hele concern zijn zichtbaar in de geconsolideerde jaarrekening. </w:t>
      </w:r>
      <w:r>
        <w:rPr>
          <w:rFonts w:ascii="Times New Roman" w:hAnsi="Times New Roman"/>
          <w:color w:val="000000"/>
          <w:sz w:val="24"/>
        </w:rPr>
        <w:t xml:space="preserve">Een geconsolideerde jaarrekening bevat alle activa, passiva, baten en lasten van moeder en dochters alsof het één bedrijf is. </w:t>
      </w:r>
      <w:r w:rsidRPr="002B537A">
        <w:rPr>
          <w:rFonts w:ascii="Times New Roman" w:hAnsi="Times New Roman"/>
          <w:color w:val="000000"/>
          <w:sz w:val="24"/>
        </w:rPr>
        <w:t>Moederbedr</w:t>
      </w:r>
      <w:r>
        <w:rPr>
          <w:rFonts w:ascii="Times New Roman" w:hAnsi="Times New Roman"/>
          <w:color w:val="000000"/>
          <w:sz w:val="24"/>
        </w:rPr>
        <w:t>ijven die de meerderheid over éé</w:t>
      </w:r>
      <w:r w:rsidRPr="002B537A">
        <w:rPr>
          <w:rFonts w:ascii="Times New Roman" w:hAnsi="Times New Roman"/>
          <w:color w:val="000000"/>
          <w:sz w:val="24"/>
        </w:rPr>
        <w:t xml:space="preserve">n of meerdere dochterbedrijven bezitten, dat wil zeggen meer dan 50% van de zeggenschap, </w:t>
      </w:r>
      <w:r>
        <w:rPr>
          <w:rFonts w:ascii="Times New Roman" w:hAnsi="Times New Roman"/>
          <w:color w:val="000000"/>
          <w:sz w:val="24"/>
        </w:rPr>
        <w:t>zijn verplicht</w:t>
      </w:r>
      <w:r w:rsidRPr="002B537A">
        <w:rPr>
          <w:rFonts w:ascii="Times New Roman" w:hAnsi="Times New Roman"/>
          <w:color w:val="000000"/>
          <w:sz w:val="24"/>
        </w:rPr>
        <w:t xml:space="preserve"> een geconsolideerde jaarrekening </w:t>
      </w:r>
      <w:r>
        <w:rPr>
          <w:rFonts w:ascii="Times New Roman" w:hAnsi="Times New Roman"/>
          <w:color w:val="000000"/>
          <w:sz w:val="24"/>
        </w:rPr>
        <w:t xml:space="preserve">te </w:t>
      </w:r>
      <w:r w:rsidRPr="002B537A">
        <w:rPr>
          <w:rFonts w:ascii="Times New Roman" w:hAnsi="Times New Roman"/>
          <w:color w:val="000000"/>
          <w:sz w:val="24"/>
        </w:rPr>
        <w:t>presenteren.</w:t>
      </w:r>
      <w:r>
        <w:rPr>
          <w:rFonts w:ascii="Times New Roman" w:hAnsi="Times New Roman"/>
          <w:color w:val="000000"/>
          <w:sz w:val="24"/>
        </w:rPr>
        <w:t xml:space="preserve"> </w:t>
      </w:r>
      <w:r w:rsidRPr="002B537A">
        <w:rPr>
          <w:rFonts w:ascii="Times New Roman" w:hAnsi="Times New Roman"/>
          <w:color w:val="000000"/>
          <w:sz w:val="24"/>
        </w:rPr>
        <w:t>Een geconsolideerde jaarrekening is niets meer dan een jaarrekening die de cijfers va</w:t>
      </w:r>
      <w:r>
        <w:rPr>
          <w:rFonts w:ascii="Times New Roman" w:hAnsi="Times New Roman"/>
          <w:color w:val="000000"/>
          <w:sz w:val="24"/>
        </w:rPr>
        <w:t xml:space="preserve">n het hele concern presenteert. Het belang van een geconsolideerde jaarrekening is de vraag van belanghebbenden wat zich allemaal in het bedrijf afspeelt. Als een bedrijf grote winsten in de eigen jaarrekening laat zien, terwijl blijkt dat deze winsten vooral bestaan uit inkomsten die uit dochterondernemingen vloeien, is het voor bijvoorbeeld aandeelhouders belangrijk om dit te weten. De nadelen die kleven aan consolidatie, zoals het feit dat er veel tijd en geld moet worden ingestoken, wegen niet op tegen de voordelen die bedrijven kunnen halen uit consolidatie. </w:t>
      </w:r>
      <w:r>
        <w:rPr>
          <w:rFonts w:ascii="Times New Roman" w:hAnsi="Times New Roman"/>
          <w:color w:val="000000"/>
          <w:sz w:val="24"/>
        </w:rPr>
        <w:br/>
        <w:t>Hoe meer deelnemingen een bedrijf kan consolideren, hoe groter de omzet en de winstcijfers zullen zijn. Er zal dus geprobeerd worden om zo veel mogelijk bedrijven mee te consolideren. Dit maakt het proces in de praktijk complexer dan het</w:t>
      </w:r>
      <w:r w:rsidRPr="002B537A">
        <w:rPr>
          <w:rFonts w:ascii="Times New Roman" w:hAnsi="Times New Roman"/>
          <w:color w:val="000000"/>
          <w:sz w:val="24"/>
        </w:rPr>
        <w:t xml:space="preserve"> </w:t>
      </w:r>
      <w:r>
        <w:rPr>
          <w:rFonts w:ascii="Times New Roman" w:hAnsi="Times New Roman"/>
          <w:color w:val="000000"/>
          <w:sz w:val="24"/>
        </w:rPr>
        <w:t xml:space="preserve">in eerste instantie </w:t>
      </w:r>
      <w:r w:rsidRPr="002B537A">
        <w:rPr>
          <w:rFonts w:ascii="Times New Roman" w:hAnsi="Times New Roman"/>
          <w:color w:val="000000"/>
          <w:sz w:val="24"/>
        </w:rPr>
        <w:t xml:space="preserve">lijkt. Men moet zich verscheidene dingen afvragen, zoals wanneer </w:t>
      </w:r>
      <w:r>
        <w:rPr>
          <w:rFonts w:ascii="Times New Roman" w:hAnsi="Times New Roman"/>
          <w:color w:val="000000"/>
          <w:sz w:val="24"/>
        </w:rPr>
        <w:t xml:space="preserve">precies wordt </w:t>
      </w:r>
      <w:r w:rsidRPr="002B537A">
        <w:rPr>
          <w:rFonts w:ascii="Times New Roman" w:hAnsi="Times New Roman"/>
          <w:color w:val="000000"/>
          <w:sz w:val="24"/>
        </w:rPr>
        <w:t xml:space="preserve">gesproken over in het bezit zijn van een meerderheid. Is er een verschil tussen een binnen- en een buitenlandse deelneming? </w:t>
      </w:r>
      <w:r>
        <w:rPr>
          <w:rFonts w:ascii="Times New Roman" w:hAnsi="Times New Roman"/>
          <w:color w:val="000000"/>
          <w:sz w:val="24"/>
        </w:rPr>
        <w:t>Deze complexe vraagstukken zijn</w:t>
      </w:r>
      <w:r w:rsidRPr="002B537A">
        <w:rPr>
          <w:rFonts w:ascii="Times New Roman" w:hAnsi="Times New Roman"/>
          <w:color w:val="000000"/>
          <w:sz w:val="24"/>
        </w:rPr>
        <w:t xml:space="preserve"> de aanleiding tot het schrijven van deze scriptie. </w:t>
      </w:r>
    </w:p>
    <w:p w:rsidR="00497A28" w:rsidRDefault="00497A28" w:rsidP="000E05B6">
      <w:pPr>
        <w:spacing w:line="360" w:lineRule="auto"/>
        <w:rPr>
          <w:rFonts w:ascii="Times New Roman" w:hAnsi="Times New Roman"/>
          <w:color w:val="000000"/>
          <w:sz w:val="24"/>
        </w:rPr>
      </w:pPr>
      <w:r>
        <w:rPr>
          <w:rFonts w:ascii="Times New Roman" w:hAnsi="Times New Roman"/>
          <w:b/>
          <w:color w:val="000000"/>
          <w:sz w:val="24"/>
        </w:rPr>
        <w:t xml:space="preserve">1.3 </w:t>
      </w:r>
      <w:r w:rsidRPr="0005339E">
        <w:rPr>
          <w:rFonts w:ascii="Times New Roman" w:hAnsi="Times New Roman"/>
          <w:b/>
          <w:color w:val="000000"/>
          <w:sz w:val="24"/>
        </w:rPr>
        <w:t>Probleemstelling en deelvragen</w:t>
      </w:r>
      <w:r>
        <w:rPr>
          <w:rFonts w:ascii="Times New Roman" w:hAnsi="Times New Roman"/>
          <w:color w:val="000000"/>
          <w:sz w:val="24"/>
        </w:rPr>
        <w:br/>
      </w:r>
      <w:r w:rsidRPr="002B537A">
        <w:rPr>
          <w:rFonts w:ascii="Times New Roman" w:hAnsi="Times New Roman"/>
          <w:color w:val="000000"/>
          <w:sz w:val="24"/>
        </w:rPr>
        <w:t xml:space="preserve">Het kan niemand ontgaan zijn dat Ahold in 2003 betrokken is geraakt bij een groot boekhoudschandaal. Dit schandaal, het </w:t>
      </w:r>
      <w:r>
        <w:rPr>
          <w:rFonts w:ascii="Times New Roman" w:hAnsi="Times New Roman"/>
          <w:color w:val="000000"/>
          <w:sz w:val="24"/>
        </w:rPr>
        <w:t xml:space="preserve">ten onrechte </w:t>
      </w:r>
      <w:r w:rsidRPr="002B537A">
        <w:rPr>
          <w:rFonts w:ascii="Times New Roman" w:hAnsi="Times New Roman"/>
          <w:color w:val="000000"/>
          <w:sz w:val="24"/>
        </w:rPr>
        <w:t xml:space="preserve">consolideren van buitenlandse </w:t>
      </w:r>
      <w:r>
        <w:rPr>
          <w:rFonts w:ascii="Times New Roman" w:hAnsi="Times New Roman"/>
          <w:color w:val="000000"/>
          <w:sz w:val="24"/>
        </w:rPr>
        <w:t>joint-ventures</w:t>
      </w:r>
      <w:r w:rsidRPr="002B537A">
        <w:rPr>
          <w:rFonts w:ascii="Times New Roman" w:hAnsi="Times New Roman"/>
          <w:color w:val="000000"/>
          <w:sz w:val="24"/>
        </w:rPr>
        <w:t xml:space="preserve">, heeft vele miljoenen euro's gekost. Het is een interessante vraag hoe dit heeft kunnen gebeuren. Blijkbaar heeft de wet- en regelgeving niet goed gefunctioneerd, waardoor Ahold dit heeft kunnen doen. </w:t>
      </w:r>
      <w:r>
        <w:rPr>
          <w:rFonts w:ascii="Times New Roman" w:hAnsi="Times New Roman"/>
          <w:color w:val="000000"/>
          <w:sz w:val="24"/>
        </w:rPr>
        <w:t>Hier is</w:t>
      </w:r>
      <w:r w:rsidRPr="002B537A">
        <w:rPr>
          <w:rFonts w:ascii="Times New Roman" w:hAnsi="Times New Roman"/>
          <w:color w:val="000000"/>
          <w:sz w:val="24"/>
        </w:rPr>
        <w:t xml:space="preserve"> sprake van een probleem, namelijk de regelgeving rondom consolidatie. </w:t>
      </w:r>
      <w:r w:rsidRPr="00F97385">
        <w:rPr>
          <w:rFonts w:ascii="Times New Roman" w:hAnsi="Times New Roman"/>
          <w:color w:val="000000"/>
          <w:sz w:val="24"/>
        </w:rPr>
        <w:t>De hoofdvraag waarop</w:t>
      </w:r>
      <w:r w:rsidRPr="002B537A">
        <w:rPr>
          <w:rFonts w:ascii="Times New Roman" w:hAnsi="Times New Roman"/>
          <w:color w:val="000000"/>
          <w:sz w:val="24"/>
        </w:rPr>
        <w:t xml:space="preserve"> deze scriptie een antwoord tracht te krijgen is: </w:t>
      </w:r>
    </w:p>
    <w:p w:rsidR="00497A28" w:rsidRDefault="00497A28" w:rsidP="000E05B6">
      <w:pPr>
        <w:spacing w:line="360" w:lineRule="auto"/>
        <w:rPr>
          <w:rFonts w:ascii="Times New Roman" w:hAnsi="Times New Roman"/>
          <w:color w:val="000000"/>
          <w:sz w:val="24"/>
        </w:rPr>
      </w:pPr>
      <w:r w:rsidRPr="0005339E">
        <w:rPr>
          <w:rFonts w:ascii="Times New Roman" w:hAnsi="Times New Roman"/>
          <w:i/>
          <w:color w:val="000000"/>
          <w:sz w:val="24"/>
        </w:rPr>
        <w:t xml:space="preserve">Wat is de huidige wet- en regelgeving met betrekking tot het consolideren van buitenlandse deelnemingen? </w:t>
      </w:r>
      <w:r>
        <w:rPr>
          <w:rFonts w:ascii="Times New Roman" w:hAnsi="Times New Roman"/>
          <w:color w:val="000000"/>
          <w:sz w:val="24"/>
        </w:rPr>
        <w:t xml:space="preserve"> </w:t>
      </w:r>
    </w:p>
    <w:p w:rsidR="00497A28" w:rsidRPr="006B4494" w:rsidRDefault="00497A28" w:rsidP="000E05B6">
      <w:pPr>
        <w:spacing w:line="360" w:lineRule="auto"/>
        <w:rPr>
          <w:rFonts w:ascii="Times New Roman" w:hAnsi="Times New Roman"/>
          <w:i/>
          <w:color w:val="000000"/>
          <w:sz w:val="24"/>
        </w:rPr>
      </w:pPr>
      <w:r>
        <w:rPr>
          <w:rFonts w:ascii="Times New Roman" w:hAnsi="Times New Roman"/>
          <w:color w:val="000000"/>
          <w:sz w:val="24"/>
        </w:rPr>
        <w:t>De deelvragen die hierbij gesteld zullen worden zijn:</w:t>
      </w:r>
      <w:r>
        <w:rPr>
          <w:rFonts w:ascii="Times New Roman" w:hAnsi="Times New Roman"/>
          <w:color w:val="000000"/>
          <w:sz w:val="24"/>
        </w:rPr>
        <w:br/>
      </w:r>
      <w:r>
        <w:rPr>
          <w:rFonts w:ascii="Times New Roman" w:hAnsi="Times New Roman"/>
          <w:color w:val="000000"/>
          <w:sz w:val="24"/>
        </w:rPr>
        <w:tab/>
      </w:r>
      <w:r>
        <w:rPr>
          <w:rFonts w:ascii="Times New Roman" w:hAnsi="Times New Roman"/>
          <w:color w:val="000000"/>
          <w:sz w:val="24"/>
        </w:rPr>
        <w:tab/>
      </w:r>
      <w:r>
        <w:rPr>
          <w:rFonts w:ascii="Times New Roman" w:hAnsi="Times New Roman"/>
          <w:color w:val="000000"/>
          <w:sz w:val="24"/>
        </w:rPr>
        <w:tab/>
        <w:t xml:space="preserve">Deelvraag 1: </w:t>
      </w:r>
      <w:r w:rsidRPr="00507638">
        <w:rPr>
          <w:rFonts w:ascii="Times New Roman" w:hAnsi="Times New Roman"/>
          <w:i/>
          <w:color w:val="000000"/>
          <w:sz w:val="24"/>
        </w:rPr>
        <w:t>Wat is consolideren</w:t>
      </w:r>
      <w:r>
        <w:rPr>
          <w:rFonts w:ascii="Times New Roman" w:hAnsi="Times New Roman"/>
          <w:i/>
          <w:color w:val="000000"/>
          <w:sz w:val="24"/>
        </w:rPr>
        <w:t>?</w:t>
      </w:r>
      <w:r>
        <w:rPr>
          <w:rFonts w:ascii="Times New Roman" w:hAnsi="Times New Roman"/>
          <w:i/>
          <w:color w:val="000000"/>
          <w:sz w:val="24"/>
        </w:rPr>
        <w:br/>
      </w:r>
      <w:r>
        <w:rPr>
          <w:rFonts w:ascii="Times New Roman" w:hAnsi="Times New Roman"/>
          <w:color w:val="000000"/>
          <w:sz w:val="24"/>
        </w:rPr>
        <w:tab/>
      </w:r>
      <w:r>
        <w:rPr>
          <w:rFonts w:ascii="Times New Roman" w:hAnsi="Times New Roman"/>
          <w:color w:val="000000"/>
          <w:sz w:val="24"/>
        </w:rPr>
        <w:tab/>
      </w:r>
      <w:r>
        <w:rPr>
          <w:rFonts w:ascii="Times New Roman" w:hAnsi="Times New Roman"/>
          <w:color w:val="000000"/>
          <w:sz w:val="24"/>
        </w:rPr>
        <w:tab/>
      </w:r>
      <w:r w:rsidRPr="0005339E">
        <w:rPr>
          <w:rFonts w:ascii="Times New Roman" w:hAnsi="Times New Roman"/>
          <w:color w:val="000000"/>
          <w:sz w:val="24"/>
        </w:rPr>
        <w:t>Deelvraag 2:</w:t>
      </w:r>
      <w:r>
        <w:rPr>
          <w:rFonts w:ascii="Times New Roman" w:hAnsi="Times New Roman"/>
          <w:i/>
          <w:color w:val="000000"/>
          <w:sz w:val="24"/>
        </w:rPr>
        <w:t xml:space="preserve"> </w:t>
      </w:r>
      <w:r w:rsidRPr="00507638">
        <w:rPr>
          <w:rFonts w:ascii="Times New Roman" w:hAnsi="Times New Roman"/>
          <w:i/>
          <w:color w:val="000000"/>
          <w:sz w:val="24"/>
        </w:rPr>
        <w:t>Welke deelnemingen moeten geconsolideerd worden</w:t>
      </w:r>
      <w:r>
        <w:rPr>
          <w:rFonts w:ascii="Times New Roman" w:hAnsi="Times New Roman"/>
          <w:i/>
          <w:color w:val="000000"/>
          <w:sz w:val="24"/>
        </w:rPr>
        <w:t>?</w:t>
      </w:r>
      <w:r>
        <w:rPr>
          <w:rFonts w:ascii="Times New Roman" w:hAnsi="Times New Roman"/>
          <w:i/>
          <w:color w:val="000000"/>
          <w:sz w:val="24"/>
        </w:rPr>
        <w:br/>
      </w:r>
      <w:r>
        <w:rPr>
          <w:rFonts w:ascii="Times New Roman" w:hAnsi="Times New Roman"/>
          <w:color w:val="000000"/>
          <w:sz w:val="24"/>
        </w:rPr>
        <w:tab/>
      </w:r>
      <w:r>
        <w:rPr>
          <w:rFonts w:ascii="Times New Roman" w:hAnsi="Times New Roman"/>
          <w:color w:val="000000"/>
          <w:sz w:val="24"/>
        </w:rPr>
        <w:tab/>
      </w:r>
      <w:r>
        <w:rPr>
          <w:rFonts w:ascii="Times New Roman" w:hAnsi="Times New Roman"/>
          <w:color w:val="000000"/>
          <w:sz w:val="24"/>
        </w:rPr>
        <w:tab/>
      </w:r>
      <w:r w:rsidRPr="0005339E">
        <w:rPr>
          <w:rFonts w:ascii="Times New Roman" w:hAnsi="Times New Roman"/>
          <w:color w:val="000000"/>
          <w:sz w:val="24"/>
        </w:rPr>
        <w:t>Deelvraag 3:</w:t>
      </w:r>
      <w:r>
        <w:rPr>
          <w:rFonts w:ascii="Times New Roman" w:hAnsi="Times New Roman"/>
          <w:i/>
          <w:color w:val="000000"/>
          <w:sz w:val="24"/>
        </w:rPr>
        <w:t xml:space="preserve"> </w:t>
      </w:r>
      <w:r w:rsidRPr="00507638">
        <w:rPr>
          <w:rFonts w:ascii="Times New Roman" w:hAnsi="Times New Roman"/>
          <w:i/>
          <w:color w:val="000000"/>
          <w:sz w:val="24"/>
        </w:rPr>
        <w:t xml:space="preserve">Hoe kan het management van een bedrijf </w:t>
      </w:r>
      <w:r>
        <w:rPr>
          <w:rFonts w:ascii="Times New Roman" w:hAnsi="Times New Roman"/>
          <w:i/>
          <w:color w:val="000000"/>
          <w:sz w:val="24"/>
        </w:rPr>
        <w:t>de</w:t>
      </w:r>
      <w:r w:rsidRPr="00507638">
        <w:rPr>
          <w:rFonts w:ascii="Times New Roman" w:hAnsi="Times New Roman"/>
          <w:i/>
          <w:color w:val="000000"/>
          <w:sz w:val="24"/>
        </w:rPr>
        <w:t xml:space="preserve"> consolidatie </w:t>
      </w:r>
      <w:r>
        <w:rPr>
          <w:rFonts w:ascii="Times New Roman" w:hAnsi="Times New Roman"/>
          <w:i/>
          <w:color w:val="000000"/>
          <w:sz w:val="24"/>
        </w:rPr>
        <w:tab/>
      </w:r>
      <w:r>
        <w:rPr>
          <w:rFonts w:ascii="Times New Roman" w:hAnsi="Times New Roman"/>
          <w:i/>
          <w:color w:val="000000"/>
          <w:sz w:val="24"/>
        </w:rPr>
        <w:tab/>
      </w:r>
      <w:r>
        <w:rPr>
          <w:rFonts w:ascii="Times New Roman" w:hAnsi="Times New Roman"/>
          <w:i/>
          <w:color w:val="000000"/>
          <w:sz w:val="24"/>
        </w:rPr>
        <w:tab/>
        <w:t>uitkomsten</w:t>
      </w:r>
      <w:r w:rsidRPr="00507638">
        <w:rPr>
          <w:rFonts w:ascii="Times New Roman" w:hAnsi="Times New Roman"/>
          <w:i/>
          <w:color w:val="000000"/>
          <w:sz w:val="24"/>
        </w:rPr>
        <w:t xml:space="preserve"> beïnvloeden</w:t>
      </w:r>
      <w:r>
        <w:rPr>
          <w:rFonts w:ascii="Times New Roman" w:hAnsi="Times New Roman"/>
          <w:color w:val="000000"/>
          <w:sz w:val="24"/>
        </w:rPr>
        <w:t>?</w:t>
      </w:r>
    </w:p>
    <w:p w:rsidR="00497A28" w:rsidRDefault="00497A28" w:rsidP="000E05B6">
      <w:pPr>
        <w:spacing w:line="360" w:lineRule="auto"/>
        <w:rPr>
          <w:rFonts w:ascii="Times New Roman" w:hAnsi="Times New Roman"/>
          <w:color w:val="000000"/>
          <w:sz w:val="24"/>
        </w:rPr>
      </w:pPr>
      <w:r w:rsidRPr="002B537A">
        <w:rPr>
          <w:rFonts w:ascii="Times New Roman" w:hAnsi="Times New Roman"/>
          <w:color w:val="000000"/>
          <w:sz w:val="24"/>
        </w:rPr>
        <w:t xml:space="preserve">Er </w:t>
      </w:r>
      <w:r w:rsidRPr="00E038E2">
        <w:rPr>
          <w:rFonts w:ascii="Times New Roman" w:hAnsi="Times New Roman"/>
          <w:color w:val="000000"/>
          <w:sz w:val="24"/>
        </w:rPr>
        <w:t>is in de</w:t>
      </w:r>
      <w:r>
        <w:rPr>
          <w:rFonts w:ascii="Times New Roman" w:hAnsi="Times New Roman"/>
          <w:color w:val="000000"/>
          <w:sz w:val="24"/>
        </w:rPr>
        <w:t xml:space="preserve"> geschiedenis al veel onderzoek gedaan naar consolideren op zich. In de loop der jaren is</w:t>
      </w:r>
      <w:r w:rsidRPr="00E038E2">
        <w:rPr>
          <w:rFonts w:ascii="Times New Roman" w:hAnsi="Times New Roman"/>
          <w:color w:val="000000"/>
          <w:sz w:val="24"/>
        </w:rPr>
        <w:t xml:space="preserve"> </w:t>
      </w:r>
      <w:r>
        <w:rPr>
          <w:rFonts w:ascii="Times New Roman" w:hAnsi="Times New Roman"/>
          <w:color w:val="000000"/>
          <w:sz w:val="24"/>
        </w:rPr>
        <w:t xml:space="preserve">al </w:t>
      </w:r>
      <w:r w:rsidRPr="00E038E2">
        <w:rPr>
          <w:rFonts w:ascii="Times New Roman" w:hAnsi="Times New Roman"/>
          <w:color w:val="000000"/>
          <w:sz w:val="24"/>
        </w:rPr>
        <w:t>veel onderzoek gedaan</w:t>
      </w:r>
      <w:r w:rsidRPr="002B537A">
        <w:rPr>
          <w:rFonts w:ascii="Times New Roman" w:hAnsi="Times New Roman"/>
          <w:color w:val="000000"/>
          <w:sz w:val="24"/>
        </w:rPr>
        <w:t xml:space="preserve"> naar de oorzaak, de redenen en de betrokkenen van de fraude bij Ahold. Dit zijn echter heel gerichte onderzoeken en er wordt minder aandacht besteed aan de regelgeving rondom dit probleem op zich. Dit artikel zal uiteenzetten welke regelgeving er op dit moment geldt voor het consolideren van buitenlandse deelnemingen. Om tot dit antwoord te komen zullen een aantal ondersteunende deelvragen worden beantwoord. De eerste deelvraag is: </w:t>
      </w:r>
      <w:r w:rsidRPr="00507638">
        <w:rPr>
          <w:rFonts w:ascii="Times New Roman" w:hAnsi="Times New Roman"/>
          <w:i/>
          <w:color w:val="000000"/>
          <w:sz w:val="24"/>
        </w:rPr>
        <w:t>Wat is consolideren?</w:t>
      </w:r>
      <w:r w:rsidRPr="002B537A">
        <w:rPr>
          <w:rFonts w:ascii="Times New Roman" w:hAnsi="Times New Roman"/>
          <w:color w:val="000000"/>
          <w:sz w:val="24"/>
        </w:rPr>
        <w:t xml:space="preserve"> In het antwoord zal onder meer staan wat consolideren in houdt, voor welke bedrijven dit geldt en wat de implicaties van consolidatie zijn.</w:t>
      </w:r>
      <w:r>
        <w:rPr>
          <w:rFonts w:ascii="Times New Roman" w:hAnsi="Times New Roman"/>
          <w:color w:val="000000"/>
          <w:sz w:val="24"/>
        </w:rPr>
        <w:t xml:space="preserve"> </w:t>
      </w:r>
      <w:r w:rsidRPr="002B537A">
        <w:rPr>
          <w:rFonts w:ascii="Times New Roman" w:hAnsi="Times New Roman"/>
          <w:color w:val="000000"/>
          <w:sz w:val="24"/>
        </w:rPr>
        <w:t xml:space="preserve">De tweede deelvraag zal zijn: </w:t>
      </w:r>
      <w:r w:rsidRPr="00507638">
        <w:rPr>
          <w:rFonts w:ascii="Times New Roman" w:hAnsi="Times New Roman"/>
          <w:i/>
          <w:color w:val="000000"/>
          <w:sz w:val="24"/>
        </w:rPr>
        <w:t>Welke deelnemingen moeten geconsolideerd worden</w:t>
      </w:r>
      <w:r w:rsidRPr="002B537A">
        <w:rPr>
          <w:rFonts w:ascii="Times New Roman" w:hAnsi="Times New Roman"/>
          <w:color w:val="000000"/>
          <w:sz w:val="24"/>
        </w:rPr>
        <w:t>?</w:t>
      </w:r>
      <w:r>
        <w:rPr>
          <w:rFonts w:ascii="Times New Roman" w:hAnsi="Times New Roman"/>
          <w:color w:val="000000"/>
          <w:sz w:val="24"/>
        </w:rPr>
        <w:t xml:space="preserve"> </w:t>
      </w:r>
      <w:r w:rsidRPr="002B537A">
        <w:rPr>
          <w:rFonts w:ascii="Times New Roman" w:hAnsi="Times New Roman"/>
          <w:color w:val="000000"/>
          <w:sz w:val="24"/>
        </w:rPr>
        <w:t>Er zal</w:t>
      </w:r>
      <w:r w:rsidRPr="00915BD3">
        <w:rPr>
          <w:rFonts w:ascii="Times New Roman" w:hAnsi="Times New Roman"/>
          <w:color w:val="000000"/>
          <w:sz w:val="24"/>
        </w:rPr>
        <w:t xml:space="preserve"> </w:t>
      </w:r>
      <w:r w:rsidRPr="002B537A">
        <w:rPr>
          <w:rFonts w:ascii="Times New Roman" w:hAnsi="Times New Roman"/>
          <w:color w:val="000000"/>
          <w:sz w:val="24"/>
        </w:rPr>
        <w:t xml:space="preserve">worden uitgelegd welke criteria gelden om tot consolidatie over te gaan.   </w:t>
      </w:r>
      <w:r>
        <w:rPr>
          <w:rFonts w:ascii="Times New Roman" w:hAnsi="Times New Roman"/>
          <w:color w:val="000000"/>
          <w:sz w:val="24"/>
        </w:rPr>
        <w:t xml:space="preserve">Daarnaast wordt </w:t>
      </w:r>
      <w:r w:rsidRPr="002B537A">
        <w:rPr>
          <w:rFonts w:ascii="Times New Roman" w:hAnsi="Times New Roman"/>
          <w:color w:val="000000"/>
          <w:sz w:val="24"/>
        </w:rPr>
        <w:t>besproken of het alleen binnenlandse of ook buitenlandse deelnemingen betreft.</w:t>
      </w:r>
      <w:r>
        <w:rPr>
          <w:rFonts w:ascii="Times New Roman" w:hAnsi="Times New Roman"/>
          <w:color w:val="000000"/>
          <w:sz w:val="24"/>
        </w:rPr>
        <w:t xml:space="preserve"> Hierbij zal de Nederlandse en de Internationale wet- en regelgeving worden vergeleken. </w:t>
      </w:r>
      <w:r w:rsidRPr="002B537A">
        <w:rPr>
          <w:rFonts w:ascii="Times New Roman" w:hAnsi="Times New Roman"/>
          <w:color w:val="000000"/>
          <w:sz w:val="24"/>
        </w:rPr>
        <w:t xml:space="preserve">De derde deelvraag die gesteld wordt om een antwoord op de hoofdvraag te kunnen krijgen is: </w:t>
      </w:r>
      <w:r w:rsidRPr="00507638">
        <w:rPr>
          <w:rFonts w:ascii="Times New Roman" w:hAnsi="Times New Roman"/>
          <w:i/>
          <w:color w:val="000000"/>
          <w:sz w:val="24"/>
        </w:rPr>
        <w:t xml:space="preserve">Hoe kan het management van een bedrijf </w:t>
      </w:r>
      <w:r>
        <w:rPr>
          <w:rFonts w:ascii="Times New Roman" w:hAnsi="Times New Roman"/>
          <w:i/>
          <w:color w:val="000000"/>
          <w:sz w:val="24"/>
        </w:rPr>
        <w:t>de</w:t>
      </w:r>
      <w:r w:rsidRPr="00507638">
        <w:rPr>
          <w:rFonts w:ascii="Times New Roman" w:hAnsi="Times New Roman"/>
          <w:i/>
          <w:color w:val="000000"/>
          <w:sz w:val="24"/>
        </w:rPr>
        <w:t xml:space="preserve"> consolidatie </w:t>
      </w:r>
      <w:r>
        <w:rPr>
          <w:rFonts w:ascii="Times New Roman" w:hAnsi="Times New Roman"/>
          <w:i/>
          <w:color w:val="000000"/>
          <w:sz w:val="24"/>
        </w:rPr>
        <w:t>uitkomsten</w:t>
      </w:r>
      <w:r w:rsidRPr="00507638">
        <w:rPr>
          <w:rFonts w:ascii="Times New Roman" w:hAnsi="Times New Roman"/>
          <w:i/>
          <w:color w:val="000000"/>
          <w:sz w:val="24"/>
        </w:rPr>
        <w:t xml:space="preserve"> beïnvloeden</w:t>
      </w:r>
      <w:r>
        <w:rPr>
          <w:rFonts w:ascii="Times New Roman" w:hAnsi="Times New Roman"/>
          <w:color w:val="000000"/>
          <w:sz w:val="24"/>
        </w:rPr>
        <w:t>?</w:t>
      </w:r>
      <w:r w:rsidRPr="002B537A">
        <w:rPr>
          <w:rFonts w:ascii="Times New Roman" w:hAnsi="Times New Roman"/>
          <w:color w:val="000000"/>
          <w:sz w:val="24"/>
        </w:rPr>
        <w:t xml:space="preserve"> Er zal worden besproken of het management een rol speelt in dit proces en zo ja wat voor rol dit zou kunnen zijn.</w:t>
      </w:r>
    </w:p>
    <w:p w:rsidR="00497A28" w:rsidRPr="002B537A" w:rsidRDefault="00497A28" w:rsidP="0005339E">
      <w:pPr>
        <w:spacing w:line="360" w:lineRule="auto"/>
        <w:rPr>
          <w:rFonts w:ascii="Times New Roman" w:hAnsi="Times New Roman"/>
          <w:color w:val="000000"/>
          <w:sz w:val="24"/>
        </w:rPr>
      </w:pPr>
      <w:r>
        <w:rPr>
          <w:rFonts w:ascii="Times New Roman" w:hAnsi="Times New Roman"/>
          <w:b/>
          <w:color w:val="000000"/>
          <w:sz w:val="24"/>
        </w:rPr>
        <w:t>1.4 Relevantie</w:t>
      </w:r>
      <w:r>
        <w:rPr>
          <w:rFonts w:ascii="Times New Roman" w:hAnsi="Times New Roman"/>
          <w:color w:val="000000"/>
          <w:sz w:val="24"/>
        </w:rPr>
        <w:br/>
        <w:t>De gegeven probleemstelling</w:t>
      </w:r>
      <w:r w:rsidRPr="002B537A">
        <w:rPr>
          <w:rFonts w:ascii="Times New Roman" w:hAnsi="Times New Roman"/>
          <w:color w:val="000000"/>
          <w:sz w:val="24"/>
        </w:rPr>
        <w:t xml:space="preserve"> </w:t>
      </w:r>
      <w:r w:rsidRPr="00E038E2">
        <w:rPr>
          <w:rFonts w:ascii="Times New Roman" w:hAnsi="Times New Roman"/>
          <w:color w:val="000000"/>
          <w:sz w:val="24"/>
        </w:rPr>
        <w:t>is maatschappelijk</w:t>
      </w:r>
      <w:r w:rsidRPr="002B537A">
        <w:rPr>
          <w:rFonts w:ascii="Times New Roman" w:hAnsi="Times New Roman"/>
          <w:color w:val="000000"/>
          <w:sz w:val="24"/>
        </w:rPr>
        <w:t xml:space="preserve"> gezien zeer </w:t>
      </w:r>
      <w:r>
        <w:rPr>
          <w:rFonts w:ascii="Times New Roman" w:hAnsi="Times New Roman"/>
          <w:color w:val="000000"/>
          <w:sz w:val="24"/>
        </w:rPr>
        <w:t>relevant</w:t>
      </w:r>
      <w:r w:rsidRPr="002B537A">
        <w:rPr>
          <w:rFonts w:ascii="Times New Roman" w:hAnsi="Times New Roman"/>
          <w:color w:val="000000"/>
          <w:sz w:val="24"/>
        </w:rPr>
        <w:t xml:space="preserve">. Er zijn veel gedupeerden in het geval een bedrijf fraudeert, van aandeelhouders tot </w:t>
      </w:r>
      <w:r>
        <w:rPr>
          <w:rFonts w:ascii="Times New Roman" w:hAnsi="Times New Roman"/>
          <w:color w:val="000000"/>
          <w:sz w:val="24"/>
        </w:rPr>
        <w:t xml:space="preserve">aan </w:t>
      </w:r>
      <w:r w:rsidRPr="002B537A">
        <w:rPr>
          <w:rFonts w:ascii="Times New Roman" w:hAnsi="Times New Roman"/>
          <w:color w:val="000000"/>
          <w:sz w:val="24"/>
        </w:rPr>
        <w:t xml:space="preserve">werknemers en consumenten. Het is belangrijk om te onderzoeken waar het mis is gegaan en wie hier voor verantwoordelijk is. Belanghebbenden willen gerechtigheid en de zekerheid dat in de toekomst frauduleuze praktijken worden voorkomen, zodat de verslaggeving weer betrouwbaar zal zijn. Het is nodig te onderzoeken wat ontbreekt in de huidige wet- en regelgeving waardoor bedrijven nog steeds in staat zijn om fraude te plegen met betrekking tot het consolideren van buitenlandse deelnemingen. </w:t>
      </w:r>
      <w:r w:rsidRPr="00E038E2">
        <w:rPr>
          <w:rFonts w:ascii="Times New Roman" w:hAnsi="Times New Roman"/>
          <w:color w:val="000000"/>
          <w:sz w:val="24"/>
        </w:rPr>
        <w:t>Wetenschappelijk</w:t>
      </w:r>
      <w:r w:rsidRPr="002B537A">
        <w:rPr>
          <w:rFonts w:ascii="Times New Roman" w:hAnsi="Times New Roman"/>
          <w:b/>
          <w:color w:val="000000"/>
          <w:sz w:val="24"/>
        </w:rPr>
        <w:t xml:space="preserve"> </w:t>
      </w:r>
      <w:r w:rsidRPr="002B537A">
        <w:rPr>
          <w:rFonts w:ascii="Times New Roman" w:hAnsi="Times New Roman"/>
          <w:color w:val="000000"/>
          <w:sz w:val="24"/>
        </w:rPr>
        <w:t>gezien is dit onderzoek ook zeer relevant omdat er een duidelijk overzicht moet komen van hoe de regelgeving er uit ziet zodat eventuele gaten gedicht kunnen worden door de daartoe aangewezen raden. Wetten en regels moeten continue worden aangepast, om zaken als fraude te voorkomen. Regels zijn ervoor om ze te handhaven, niet om ze te omzeilen. Wanneer een bedrijf, of meerdere bedrijven regels weten te omzeilen moet onderzocht worden hoe dit mogelijk is geweest en hoe dit in de toekomst voorkomen kan worden.</w:t>
      </w:r>
    </w:p>
    <w:p w:rsidR="00497A28" w:rsidRDefault="00497A28" w:rsidP="000E05B6">
      <w:pPr>
        <w:spacing w:line="360" w:lineRule="auto"/>
        <w:rPr>
          <w:rFonts w:ascii="Times New Roman" w:hAnsi="Times New Roman"/>
          <w:color w:val="000000"/>
          <w:sz w:val="24"/>
        </w:rPr>
      </w:pPr>
      <w:r>
        <w:rPr>
          <w:rFonts w:ascii="Times New Roman" w:hAnsi="Times New Roman"/>
          <w:b/>
          <w:color w:val="000000"/>
          <w:sz w:val="24"/>
        </w:rPr>
        <w:t xml:space="preserve">1.5 </w:t>
      </w:r>
      <w:r w:rsidRPr="0005339E">
        <w:rPr>
          <w:rFonts w:ascii="Times New Roman" w:hAnsi="Times New Roman"/>
          <w:b/>
          <w:color w:val="000000"/>
          <w:sz w:val="24"/>
        </w:rPr>
        <w:t>Opzet en leeswijzer</w:t>
      </w:r>
      <w:r>
        <w:rPr>
          <w:rFonts w:ascii="Times New Roman" w:hAnsi="Times New Roman"/>
          <w:color w:val="000000"/>
          <w:sz w:val="24"/>
        </w:rPr>
        <w:br/>
      </w:r>
      <w:r w:rsidRPr="002B537A">
        <w:rPr>
          <w:rFonts w:ascii="Times New Roman" w:hAnsi="Times New Roman"/>
          <w:color w:val="000000"/>
          <w:sz w:val="24"/>
        </w:rPr>
        <w:t xml:space="preserve">Dit onderzoek zal starten met </w:t>
      </w:r>
      <w:r>
        <w:rPr>
          <w:rFonts w:ascii="Times New Roman" w:hAnsi="Times New Roman"/>
          <w:color w:val="000000"/>
          <w:sz w:val="24"/>
        </w:rPr>
        <w:t>het geven van een theoretisch kader in hoofdstuk twee. Er zal veel literatuuronderzoek worden gedaan,</w:t>
      </w:r>
      <w:r w:rsidRPr="002B537A">
        <w:rPr>
          <w:rFonts w:ascii="Times New Roman" w:hAnsi="Times New Roman"/>
          <w:color w:val="000000"/>
          <w:sz w:val="24"/>
        </w:rPr>
        <w:t xml:space="preserve"> </w:t>
      </w:r>
      <w:r>
        <w:rPr>
          <w:rFonts w:ascii="Times New Roman" w:hAnsi="Times New Roman"/>
          <w:color w:val="000000"/>
          <w:sz w:val="24"/>
        </w:rPr>
        <w:t xml:space="preserve">naar voornamelijk wetenschappelijke boeken en artikelen die schrijven over het consolidatieproces. </w:t>
      </w:r>
      <w:r w:rsidRPr="002B537A">
        <w:rPr>
          <w:rFonts w:ascii="Times New Roman" w:hAnsi="Times New Roman"/>
          <w:color w:val="000000"/>
          <w:sz w:val="24"/>
        </w:rPr>
        <w:t>Er zal worden uitgelegd wat consolidatie inhoudt in de theorie en welke criteria gelden voor het overgaan tot consolidatie</w:t>
      </w:r>
      <w:r>
        <w:rPr>
          <w:rFonts w:ascii="Times New Roman" w:hAnsi="Times New Roman"/>
          <w:color w:val="000000"/>
          <w:sz w:val="24"/>
        </w:rPr>
        <w:t xml:space="preserve">. In dit hoofdstuk zal deelvraag een worden beantwoord. Met de kennis wat consolideren precies inhoudt wordt in er in hoofdstuk drie de wet- en regelgeving rondom consolidatie bekeken, </w:t>
      </w:r>
      <w:r w:rsidRPr="002B537A">
        <w:rPr>
          <w:rFonts w:ascii="Times New Roman" w:hAnsi="Times New Roman"/>
          <w:color w:val="000000"/>
          <w:sz w:val="24"/>
        </w:rPr>
        <w:t xml:space="preserve">te beginnen met </w:t>
      </w:r>
      <w:r>
        <w:rPr>
          <w:rFonts w:ascii="Times New Roman" w:hAnsi="Times New Roman"/>
          <w:color w:val="000000"/>
          <w:sz w:val="24"/>
        </w:rPr>
        <w:t xml:space="preserve">de </w:t>
      </w:r>
      <w:r w:rsidRPr="002B537A">
        <w:rPr>
          <w:rFonts w:ascii="Times New Roman" w:hAnsi="Times New Roman"/>
          <w:color w:val="000000"/>
          <w:sz w:val="24"/>
        </w:rPr>
        <w:t>Nederlandse wet- en regelgeving.</w:t>
      </w:r>
      <w:r>
        <w:rPr>
          <w:rFonts w:ascii="Times New Roman" w:hAnsi="Times New Roman"/>
          <w:color w:val="000000"/>
          <w:sz w:val="24"/>
        </w:rPr>
        <w:t xml:space="preserve"> Daarna</w:t>
      </w:r>
      <w:r w:rsidRPr="002B537A">
        <w:rPr>
          <w:rFonts w:ascii="Times New Roman" w:hAnsi="Times New Roman"/>
          <w:color w:val="000000"/>
          <w:sz w:val="24"/>
        </w:rPr>
        <w:t xml:space="preserve"> zal worden gekeken naar de internationale wetgeving op dit gebied, de International Financial Reporting Standards (IFRS), opgezet door de International Accounting Standards Board (IASB). De Nederlandse raden trachten de standaarden te convergeren naar de </w:t>
      </w:r>
      <w:r>
        <w:rPr>
          <w:rFonts w:ascii="Times New Roman" w:hAnsi="Times New Roman"/>
          <w:color w:val="000000"/>
          <w:sz w:val="24"/>
        </w:rPr>
        <w:t>internationale standaarden. Er zal besproken worden wat de belangrijkste verschillen zijn tussen de Nederlandse in de Internationale wetgeving.</w:t>
      </w:r>
      <w:r w:rsidRPr="002B537A">
        <w:rPr>
          <w:rFonts w:ascii="Times New Roman" w:hAnsi="Times New Roman"/>
          <w:color w:val="000000"/>
          <w:sz w:val="24"/>
        </w:rPr>
        <w:t xml:space="preserve"> Er zal een onderscheid worden gemaakt tussen binnen- en buitenlandse deelnemingen en de verschillen tussen Nederlandse en internationale wet- en regelgeving zullen</w:t>
      </w:r>
      <w:r>
        <w:rPr>
          <w:rFonts w:ascii="Times New Roman" w:hAnsi="Times New Roman"/>
          <w:color w:val="000000"/>
          <w:sz w:val="24"/>
        </w:rPr>
        <w:t xml:space="preserve"> hier wederom</w:t>
      </w:r>
      <w:r w:rsidRPr="002B537A">
        <w:rPr>
          <w:rFonts w:ascii="Times New Roman" w:hAnsi="Times New Roman"/>
          <w:color w:val="000000"/>
          <w:sz w:val="24"/>
        </w:rPr>
        <w:t xml:space="preserve"> worden </w:t>
      </w:r>
      <w:r>
        <w:rPr>
          <w:rFonts w:ascii="Times New Roman" w:hAnsi="Times New Roman"/>
          <w:color w:val="000000"/>
          <w:sz w:val="24"/>
        </w:rPr>
        <w:t>besproken</w:t>
      </w:r>
      <w:r w:rsidRPr="002B537A">
        <w:rPr>
          <w:rFonts w:ascii="Times New Roman" w:hAnsi="Times New Roman"/>
          <w:color w:val="000000"/>
          <w:sz w:val="24"/>
        </w:rPr>
        <w:t xml:space="preserve">. </w:t>
      </w:r>
      <w:r>
        <w:rPr>
          <w:rFonts w:ascii="Times New Roman" w:hAnsi="Times New Roman"/>
          <w:color w:val="000000"/>
          <w:sz w:val="24"/>
        </w:rPr>
        <w:t>Hiermee zal deelvraag twee worden beantwoord.</w:t>
      </w:r>
    </w:p>
    <w:p w:rsidR="00497A28" w:rsidRDefault="00497A28" w:rsidP="000E05B6">
      <w:pPr>
        <w:spacing w:line="360" w:lineRule="auto"/>
        <w:rPr>
          <w:rFonts w:ascii="Times New Roman" w:hAnsi="Times New Roman"/>
          <w:color w:val="000000"/>
          <w:sz w:val="24"/>
        </w:rPr>
      </w:pPr>
      <w:r>
        <w:rPr>
          <w:rFonts w:ascii="Times New Roman" w:hAnsi="Times New Roman"/>
          <w:color w:val="000000"/>
          <w:sz w:val="24"/>
        </w:rPr>
        <w:t>Hoofdstuk vier zal in opzet verschillen met de voorgaande hoofdstukken. E</w:t>
      </w:r>
      <w:r w:rsidRPr="002B537A">
        <w:rPr>
          <w:rFonts w:ascii="Times New Roman" w:hAnsi="Times New Roman"/>
          <w:color w:val="000000"/>
          <w:sz w:val="24"/>
        </w:rPr>
        <w:t xml:space="preserve">r zal worden gekeken of het management een rol speelt bij de beslissingen </w:t>
      </w:r>
      <w:r>
        <w:rPr>
          <w:rFonts w:ascii="Times New Roman" w:hAnsi="Times New Roman"/>
          <w:color w:val="000000"/>
          <w:sz w:val="24"/>
        </w:rPr>
        <w:t>die genomen moeten worden met betrekking tot</w:t>
      </w:r>
      <w:r w:rsidRPr="002B537A">
        <w:rPr>
          <w:rFonts w:ascii="Times New Roman" w:hAnsi="Times New Roman"/>
          <w:color w:val="000000"/>
          <w:sz w:val="24"/>
        </w:rPr>
        <w:t xml:space="preserve"> consolidatie</w:t>
      </w:r>
      <w:r>
        <w:rPr>
          <w:rFonts w:ascii="Times New Roman" w:hAnsi="Times New Roman"/>
          <w:color w:val="000000"/>
          <w:sz w:val="24"/>
        </w:rPr>
        <w:t xml:space="preserve"> van bepaalde deelnemingen</w:t>
      </w:r>
      <w:r w:rsidRPr="002B537A">
        <w:rPr>
          <w:rFonts w:ascii="Times New Roman" w:hAnsi="Times New Roman"/>
          <w:color w:val="000000"/>
          <w:sz w:val="24"/>
        </w:rPr>
        <w:t xml:space="preserve">. Bovendien zal worden gekeken of dit, in het geval dat het management inderdaad invloed heeft, ernstig is. </w:t>
      </w:r>
      <w:r>
        <w:rPr>
          <w:rFonts w:ascii="Times New Roman" w:hAnsi="Times New Roman"/>
          <w:color w:val="000000"/>
          <w:sz w:val="24"/>
        </w:rPr>
        <w:t>In dit hoofdstuk zal deelvraag drie aan de orde komen. Dit hoofdstuk zal minder theoretisch zijn en meer empirische voorbeelden bevatten. In dit hoofdstuk wordt de aanloop gemaakt naar het volgende hoofdstuk dat de frauduleuze praktijken van Ahold zal bespreken.</w:t>
      </w:r>
    </w:p>
    <w:p w:rsidR="00497A28" w:rsidRDefault="00497A28" w:rsidP="008F26C4">
      <w:pPr>
        <w:spacing w:line="360" w:lineRule="auto"/>
        <w:rPr>
          <w:rFonts w:ascii="Times New Roman" w:hAnsi="Times New Roman"/>
          <w:color w:val="000000"/>
          <w:sz w:val="24"/>
        </w:rPr>
      </w:pPr>
      <w:r>
        <w:rPr>
          <w:rFonts w:ascii="Times New Roman" w:hAnsi="Times New Roman"/>
          <w:color w:val="000000"/>
          <w:sz w:val="24"/>
        </w:rPr>
        <w:t>Nadat de wet- en regelgeving rondom consolidatie duidelijk is geworden,</w:t>
      </w:r>
      <w:r w:rsidRPr="002B537A">
        <w:rPr>
          <w:rFonts w:ascii="Times New Roman" w:hAnsi="Times New Roman"/>
          <w:color w:val="000000"/>
          <w:sz w:val="24"/>
        </w:rPr>
        <w:t xml:space="preserve"> zal worden besproken wat consolidatie in de praktijk inhoudt.</w:t>
      </w:r>
      <w:r>
        <w:rPr>
          <w:rFonts w:ascii="Times New Roman" w:hAnsi="Times New Roman"/>
          <w:color w:val="000000"/>
          <w:sz w:val="24"/>
        </w:rPr>
        <w:t xml:space="preserve"> In hoofdstuk vijf wordt dan ook de besproken theorie getoetst aan de werkelijkheid. De fraude zaak van Ahold zal hierin een belangrijke rol spelen. Het zal duidelijk worden dat consolidatie </w:t>
      </w:r>
      <w:r w:rsidRPr="002B537A">
        <w:rPr>
          <w:rFonts w:ascii="Times New Roman" w:hAnsi="Times New Roman"/>
          <w:color w:val="000000"/>
          <w:sz w:val="24"/>
        </w:rPr>
        <w:t>een omvangrijk proces</w:t>
      </w:r>
      <w:r>
        <w:rPr>
          <w:rFonts w:ascii="Times New Roman" w:hAnsi="Times New Roman"/>
          <w:color w:val="000000"/>
          <w:sz w:val="24"/>
        </w:rPr>
        <w:t xml:space="preserve"> is</w:t>
      </w:r>
      <w:r w:rsidRPr="002B537A">
        <w:rPr>
          <w:rFonts w:ascii="Times New Roman" w:hAnsi="Times New Roman"/>
          <w:color w:val="000000"/>
          <w:sz w:val="24"/>
        </w:rPr>
        <w:t xml:space="preserve">, voornamelijk wanneer een bedrijf talloze dochterondernemingen over de hele wereld bezit. De fraude die Ahold heeft gepleegd wordt uitgelicht en er zal worden </w:t>
      </w:r>
      <w:r>
        <w:rPr>
          <w:rFonts w:ascii="Times New Roman" w:hAnsi="Times New Roman"/>
          <w:color w:val="000000"/>
          <w:sz w:val="24"/>
        </w:rPr>
        <w:t xml:space="preserve">gekeken of er in de regelgeving in de periode van de fraude fouten zaten. Hierbij zal ook de rol van de managers besproken worden, zoals deze in hoofdstuk 5 ter sprake is geweest. De fraude kwam in 2003 aan het licht en speelde al meerdere jaren. </w:t>
      </w:r>
      <w:r w:rsidRPr="00304E2D">
        <w:rPr>
          <w:rFonts w:ascii="Times New Roman" w:hAnsi="Times New Roman"/>
          <w:color w:val="000000"/>
          <w:sz w:val="24"/>
        </w:rPr>
        <w:t>Later is IAS 27 'consolidated and separate financial statements'</w:t>
      </w:r>
      <w:r>
        <w:rPr>
          <w:rStyle w:val="FootnoteReference"/>
          <w:rFonts w:ascii="Times New Roman" w:hAnsi="Times New Roman"/>
          <w:color w:val="000000"/>
          <w:sz w:val="24"/>
        </w:rPr>
        <w:footnoteReference w:id="5"/>
      </w:r>
      <w:r w:rsidRPr="00304E2D">
        <w:rPr>
          <w:rFonts w:ascii="Times New Roman" w:hAnsi="Times New Roman"/>
          <w:color w:val="000000"/>
          <w:sz w:val="24"/>
        </w:rPr>
        <w:t xml:space="preserve">  </w:t>
      </w:r>
      <w:r>
        <w:rPr>
          <w:rFonts w:ascii="Times New Roman" w:hAnsi="Times New Roman"/>
          <w:color w:val="000000"/>
          <w:sz w:val="24"/>
        </w:rPr>
        <w:t>opgesteld.</w:t>
      </w:r>
      <w:r w:rsidRPr="00304E2D">
        <w:rPr>
          <w:rFonts w:ascii="Times New Roman" w:hAnsi="Times New Roman"/>
          <w:color w:val="000000"/>
          <w:sz w:val="24"/>
        </w:rPr>
        <w:t xml:space="preserve"> </w:t>
      </w:r>
      <w:r>
        <w:rPr>
          <w:rFonts w:ascii="Times New Roman" w:hAnsi="Times New Roman"/>
          <w:color w:val="000000"/>
          <w:sz w:val="24"/>
        </w:rPr>
        <w:t>Deze regel zal worden besproken en er zal worden gekeken of het probleem van de fraude voorkomen had kunnen worden nu deze nieuwe regel er is.</w:t>
      </w:r>
    </w:p>
    <w:p w:rsidR="00497A28" w:rsidRDefault="00497A28" w:rsidP="008F26C4">
      <w:pPr>
        <w:spacing w:line="360" w:lineRule="auto"/>
        <w:rPr>
          <w:rFonts w:ascii="Times New Roman" w:hAnsi="Times New Roman"/>
          <w:color w:val="000000"/>
          <w:sz w:val="24"/>
        </w:rPr>
      </w:pPr>
      <w:r>
        <w:rPr>
          <w:rFonts w:ascii="Times New Roman" w:hAnsi="Times New Roman"/>
          <w:color w:val="000000"/>
          <w:sz w:val="24"/>
        </w:rPr>
        <w:t>Ieder van deze hoofdstukken zal worden afgesloten met een samenvatting, welke in hoofdstuk zes bij elkaar worden gebracht. Tevens zal in hoofdstuk zes een conclusie worden getrokken waarin de hoofdvraag van dit artikel zal worden beantwoord. Daarna zullen enkele aanbevelingen worden gegeven voor eventuele verbeteringen in de huidige wet- en regelgeving.</w:t>
      </w:r>
    </w:p>
    <w:p w:rsidR="00497A28" w:rsidRDefault="00497A28">
      <w:pPr>
        <w:rPr>
          <w:rFonts w:ascii="Times New Roman" w:hAnsi="Times New Roman"/>
          <w:b/>
          <w:color w:val="000000"/>
          <w:sz w:val="28"/>
        </w:rPr>
      </w:pPr>
      <w:r>
        <w:rPr>
          <w:rFonts w:ascii="Times New Roman" w:hAnsi="Times New Roman"/>
          <w:b/>
          <w:color w:val="000000"/>
          <w:sz w:val="28"/>
        </w:rPr>
        <w:br w:type="page"/>
      </w:r>
    </w:p>
    <w:p w:rsidR="00497A28" w:rsidRDefault="00497A28" w:rsidP="008F26C4">
      <w:pPr>
        <w:spacing w:line="360" w:lineRule="auto"/>
        <w:rPr>
          <w:rFonts w:ascii="Times New Roman" w:hAnsi="Times New Roman"/>
          <w:color w:val="000000"/>
          <w:sz w:val="24"/>
        </w:rPr>
      </w:pPr>
      <w:r w:rsidRPr="0005339E">
        <w:rPr>
          <w:rFonts w:ascii="Times New Roman" w:hAnsi="Times New Roman"/>
          <w:b/>
          <w:color w:val="000000"/>
          <w:sz w:val="28"/>
        </w:rPr>
        <w:t>Hoofdstuk 2: Consolideren</w:t>
      </w:r>
    </w:p>
    <w:p w:rsidR="00497A28" w:rsidRDefault="00497A28" w:rsidP="002C2E69">
      <w:pPr>
        <w:spacing w:line="360" w:lineRule="auto"/>
        <w:rPr>
          <w:rFonts w:ascii="Times New Roman" w:hAnsi="Times New Roman"/>
          <w:color w:val="000000"/>
          <w:sz w:val="24"/>
        </w:rPr>
      </w:pPr>
      <w:r>
        <w:rPr>
          <w:rFonts w:ascii="Times New Roman" w:hAnsi="Times New Roman"/>
          <w:b/>
          <w:color w:val="000000"/>
          <w:sz w:val="24"/>
        </w:rPr>
        <w:t xml:space="preserve">2.1 </w:t>
      </w:r>
      <w:r w:rsidRPr="00246766">
        <w:rPr>
          <w:rFonts w:ascii="Times New Roman" w:hAnsi="Times New Roman"/>
          <w:b/>
          <w:color w:val="000000"/>
          <w:sz w:val="24"/>
        </w:rPr>
        <w:t>Inleiding</w:t>
      </w:r>
      <w:r>
        <w:rPr>
          <w:rFonts w:ascii="Times New Roman" w:hAnsi="Times New Roman"/>
          <w:b/>
          <w:color w:val="000000"/>
          <w:sz w:val="24"/>
        </w:rPr>
        <w:br/>
      </w:r>
      <w:r>
        <w:rPr>
          <w:rFonts w:ascii="Times New Roman" w:hAnsi="Times New Roman"/>
          <w:color w:val="000000"/>
          <w:sz w:val="24"/>
        </w:rPr>
        <w:t xml:space="preserve">Wat houdt consolideren precies in? Hoe gaat het in zijn werk? Welke criteria gelden er voor het consolideren van een deelneming? Deze en andere vragen zullen in dit hoofdstuk worden beantwoord door middel van het dieper in gaan op de theorie. Er zal gekeken worden hoe het proces van consolideren in zijn werk gaat en hierbij zal een voorbeeld worden uitgewerkt. Daarnaast zullen de verschillende vormen van consolidatie besproken en uitgelegd worden. In dit hoofdstuk zal deelvraag 1 beantwoord worden: </w:t>
      </w:r>
      <w:r w:rsidRPr="00A465EC">
        <w:rPr>
          <w:rFonts w:ascii="Times New Roman" w:hAnsi="Times New Roman"/>
          <w:i/>
          <w:color w:val="000000"/>
          <w:sz w:val="24"/>
        </w:rPr>
        <w:t>Wat is consolideren?</w:t>
      </w:r>
    </w:p>
    <w:p w:rsidR="00497A28" w:rsidRDefault="00497A28" w:rsidP="000E05B6">
      <w:pPr>
        <w:spacing w:line="360" w:lineRule="auto"/>
        <w:rPr>
          <w:rFonts w:ascii="Times New Roman" w:hAnsi="Times New Roman"/>
          <w:color w:val="000000"/>
          <w:sz w:val="24"/>
        </w:rPr>
      </w:pPr>
      <w:r w:rsidRPr="00D269A4">
        <w:rPr>
          <w:rFonts w:ascii="Times New Roman" w:hAnsi="Times New Roman"/>
          <w:b/>
          <w:color w:val="000000"/>
          <w:sz w:val="24"/>
        </w:rPr>
        <w:t>2.</w:t>
      </w:r>
      <w:r>
        <w:rPr>
          <w:rFonts w:ascii="Times New Roman" w:hAnsi="Times New Roman"/>
          <w:b/>
          <w:color w:val="000000"/>
          <w:sz w:val="24"/>
        </w:rPr>
        <w:t>2</w:t>
      </w:r>
      <w:r w:rsidRPr="00D269A4">
        <w:rPr>
          <w:rFonts w:ascii="Times New Roman" w:hAnsi="Times New Roman"/>
          <w:b/>
          <w:color w:val="000000"/>
          <w:sz w:val="24"/>
        </w:rPr>
        <w:t xml:space="preserve"> </w:t>
      </w:r>
      <w:r>
        <w:rPr>
          <w:rFonts w:ascii="Times New Roman" w:hAnsi="Times New Roman"/>
          <w:b/>
          <w:color w:val="000000"/>
          <w:sz w:val="24"/>
        </w:rPr>
        <w:t>Het consolidatieproces</w:t>
      </w:r>
      <w:r>
        <w:rPr>
          <w:rFonts w:ascii="Times New Roman" w:hAnsi="Times New Roman"/>
          <w:b/>
          <w:color w:val="000000"/>
          <w:sz w:val="24"/>
        </w:rPr>
        <w:br/>
      </w:r>
      <w:r>
        <w:rPr>
          <w:rFonts w:ascii="Times New Roman" w:hAnsi="Times New Roman"/>
          <w:color w:val="000000"/>
          <w:sz w:val="24"/>
        </w:rPr>
        <w:t>Een geconsolideerde jaarrekening is niets meer dan een jaarrekening die onder meer de balans en resultatenrekening bevat van het hele concern. De geconsolideerde jaarrekening wordt altijd opgesteld door de moedermaatschappij en neemt hier in mee alle deelnemingen waarover zij de zeggenschap heeft, de dochterondernemingen. De geconsolideerde jaarrekening geeft belangrijke informatie over de financiële positie en resultaten van de in de groep opgenomen ondernemingen.</w:t>
      </w:r>
      <w:r>
        <w:rPr>
          <w:rStyle w:val="FootnoteReference"/>
          <w:rFonts w:ascii="Times New Roman" w:hAnsi="Times New Roman"/>
          <w:color w:val="000000"/>
          <w:sz w:val="24"/>
        </w:rPr>
        <w:footnoteReference w:id="6"/>
      </w:r>
      <w:r>
        <w:rPr>
          <w:rFonts w:ascii="Times New Roman" w:hAnsi="Times New Roman"/>
          <w:color w:val="000000"/>
          <w:sz w:val="24"/>
        </w:rPr>
        <w:t xml:space="preserve"> Een groep is gedefinieerd als: "het geheel van verbonden vennootschappen die, ten gevolge van de rechtstreekse of onrechtstreekse participaties van één of meer van hen in één of meer andere vennootschappen, onder één en dezelfde leiding staan. Een vennootschap wordt geacht met een andere vennootschap een groep te vormen wanneer deze laatste rechtstreeks of onrechtstreeks tenminste twintig percent van het kapitaal van de eerstgenoemde vennootschap bezit of ten minste twintig percent van de stemrechten, verbonden aan de door deze uitgegeven aandelen."</w:t>
      </w:r>
      <w:r>
        <w:rPr>
          <w:rStyle w:val="FootnoteReference"/>
          <w:rFonts w:ascii="Times New Roman" w:hAnsi="Times New Roman"/>
          <w:color w:val="000000"/>
          <w:sz w:val="24"/>
        </w:rPr>
        <w:footnoteReference w:id="7"/>
      </w:r>
      <w:r>
        <w:rPr>
          <w:rFonts w:ascii="Times New Roman" w:hAnsi="Times New Roman"/>
          <w:color w:val="000000"/>
          <w:sz w:val="24"/>
        </w:rPr>
        <w:t xml:space="preserve"> Overigens worden niet alle partijen van deze groep mee geconsolideerd! Een deelneming van meer dan 20% behoort wel tot de groep, maar voldoet niet aan het meerderheidscriterium, waaraan moet worden voldaan om meegeconsolideerd te mogen worden.</w:t>
      </w:r>
    </w:p>
    <w:p w:rsidR="00497A28" w:rsidRDefault="00497A28" w:rsidP="000E05B6">
      <w:pPr>
        <w:spacing w:line="360" w:lineRule="auto"/>
        <w:rPr>
          <w:rFonts w:ascii="Times New Roman" w:hAnsi="Times New Roman"/>
          <w:color w:val="000000"/>
          <w:sz w:val="24"/>
        </w:rPr>
      </w:pPr>
      <w:r>
        <w:rPr>
          <w:rFonts w:ascii="Times New Roman" w:hAnsi="Times New Roman"/>
          <w:color w:val="000000"/>
          <w:sz w:val="24"/>
        </w:rPr>
        <w:t>Een geconsolideerde jaarrekening is van belang omdat rentabiliteitswaarden en kengetallen over solvabiliteit of liquiditeit meer zeggen wanneer zij op geconsolideerde cijfers zijn gebaseerd dan op enkelvoudige cijfers. Dit komt omdat partijen binnen een groep de mogelijkheid en dus ook de neiging hebben om te schuiven met winsten. Daardoor zeggen rentabiliteitswaarden van de individuele ondernemingen niet zo veel. Met betrekking tot de solvabiliteit geldt ook dat deze op geconsolideerde cijfer meer zegt. Dit komt voornamelijk omdat moeder- en dochterbedrijven vaak onderlinge financiële relaties hebben. Daardoor is de verhouding van vreemd ten opzichte van totaal vermogen bij de enkelvoudige patijen niet altijd even relevant. Geconsolideerde rentabiliteitscijfers geven een beter beeld van de positie van de groep, als geheel en hun relaties met derden, buiten het concern. Dit is wat de belanghebbenden willen weten.</w:t>
      </w:r>
      <w:r>
        <w:rPr>
          <w:rStyle w:val="FootnoteReference"/>
          <w:rFonts w:ascii="Times New Roman" w:hAnsi="Times New Roman"/>
          <w:color w:val="000000"/>
          <w:sz w:val="24"/>
        </w:rPr>
        <w:footnoteReference w:id="8"/>
      </w:r>
    </w:p>
    <w:p w:rsidR="00497A28" w:rsidRDefault="00497A28" w:rsidP="000E05B6">
      <w:pPr>
        <w:spacing w:line="360" w:lineRule="auto"/>
        <w:rPr>
          <w:rFonts w:ascii="Times New Roman" w:hAnsi="Times New Roman"/>
          <w:color w:val="000000"/>
          <w:sz w:val="24"/>
        </w:rPr>
      </w:pPr>
      <w:r>
        <w:rPr>
          <w:rFonts w:ascii="Times New Roman" w:hAnsi="Times New Roman"/>
          <w:color w:val="000000"/>
          <w:sz w:val="24"/>
        </w:rPr>
        <w:t>Er zijn twee manieren voor het opstellen van een geconsolideerde jaarrekening, de integrale en die proportionele methode. Kort gezegd houdt de integrale methode in dat alle activa, passiva, opbrengsten en kosten van de dochteronderneming voor zijn geheel worden opgenomen in de geconsolideerde jaarrekening, ongeacht het feit of de moeder alle aandelen of slechts een deel bezit. Bij de proportionele methode wordt er bij de consolidatie wel gecorrigeerd voor het belang dat de moeder in de dochter bezit. In alle gevallen waarbij een moedermaatschappij belangen in andere maatschappijen kan beheren, is integrale consolidatie verplicht.</w:t>
      </w:r>
      <w:r>
        <w:rPr>
          <w:rStyle w:val="FootnoteReference"/>
          <w:rFonts w:ascii="Times New Roman" w:hAnsi="Times New Roman"/>
          <w:color w:val="000000"/>
          <w:sz w:val="24"/>
        </w:rPr>
        <w:footnoteReference w:id="9"/>
      </w:r>
      <w:r>
        <w:rPr>
          <w:rFonts w:ascii="Times New Roman" w:hAnsi="Times New Roman"/>
          <w:color w:val="000000"/>
          <w:sz w:val="24"/>
        </w:rPr>
        <w:t xml:space="preserve"> </w:t>
      </w:r>
      <w:r w:rsidRPr="0010014F">
        <w:rPr>
          <w:rFonts w:ascii="Times New Roman" w:hAnsi="Times New Roman"/>
          <w:sz w:val="24"/>
        </w:rPr>
        <w:t xml:space="preserve">De proportionele methode is alleen toegestaan bij joint-ventures, waarbij </w:t>
      </w:r>
      <w:r>
        <w:rPr>
          <w:rFonts w:ascii="Times New Roman" w:hAnsi="Times New Roman"/>
          <w:sz w:val="24"/>
        </w:rPr>
        <w:t>beide partijen de joint-venture opnemen voor 50% van de waarde. Een pand met een waarde van 100 komt bij allebei dan voor 50 op de geconsolideerde balans. Er kan ook gekozen worden voor waardering tegen netto-vermogenswaarde.</w:t>
      </w:r>
      <w:r w:rsidRPr="0010014F">
        <w:rPr>
          <w:rFonts w:ascii="Times New Roman" w:hAnsi="Times New Roman"/>
          <w:sz w:val="24"/>
        </w:rPr>
        <w:t xml:space="preserve"> Hierbij vindt geen consolidatie plaats in de zin dat activa en passiva worden samengevoegd, maar wordt de netto vermogenswaarde van de deelneming </w:t>
      </w:r>
      <w:r>
        <w:rPr>
          <w:rFonts w:ascii="Times New Roman" w:hAnsi="Times New Roman"/>
          <w:sz w:val="24"/>
        </w:rPr>
        <w:t xml:space="preserve">in de joint-venture </w:t>
      </w:r>
      <w:r w:rsidRPr="0010014F">
        <w:rPr>
          <w:rFonts w:ascii="Times New Roman" w:hAnsi="Times New Roman"/>
          <w:sz w:val="24"/>
        </w:rPr>
        <w:t>als actief op de balans gezet</w:t>
      </w:r>
      <w:r>
        <w:rPr>
          <w:rFonts w:ascii="Times New Roman" w:hAnsi="Times New Roman"/>
          <w:color w:val="000000"/>
          <w:sz w:val="24"/>
        </w:rPr>
        <w:t xml:space="preserve">. </w:t>
      </w:r>
      <w:r>
        <w:rPr>
          <w:rFonts w:ascii="Times New Roman" w:hAnsi="Times New Roman"/>
          <w:color w:val="000000"/>
          <w:sz w:val="24"/>
        </w:rPr>
        <w:br/>
        <w:t>Het is belangrijk om in te zien dat bij een 100%-belang geen verschil te zien is tussen de proportionele en de integrale methode.</w:t>
      </w:r>
    </w:p>
    <w:p w:rsidR="00497A28" w:rsidRDefault="00497A28" w:rsidP="000E05B6">
      <w:pPr>
        <w:spacing w:line="360" w:lineRule="auto"/>
        <w:rPr>
          <w:rFonts w:ascii="Times New Roman" w:hAnsi="Times New Roman"/>
          <w:color w:val="000000"/>
          <w:sz w:val="24"/>
        </w:rPr>
      </w:pPr>
      <w:r>
        <w:rPr>
          <w:rFonts w:ascii="Times New Roman" w:hAnsi="Times New Roman"/>
          <w:color w:val="000000"/>
          <w:sz w:val="24"/>
        </w:rPr>
        <w:t>Het samenstellen van een geconsolideerde balans gebeurt door alle activa en passiva van de te consolideren maatschappijen bij elkaar op te tellen. Voordat men dit kan doen, moeten een aantal dingen gecontroleerd worden. Ten eerste is het belangrijk dat de enkelvoudige balansen dezelfde posten bevatten en dat deze posten op dezelfde wijze worden gewaardeerd. Wanneer een moedermaatschappij op haar balans 'panden' heeft staan tegen de kostprijs, terwijl de dochtermaatschappij 'onroerend goed' tegen vervangingswaarde op haar balans heeft staan, kan en mag dit niet bij elkaar worden opgeteld. Er moet zowel een zogeheten materiële als een formele eenheid worden gevormd. Een formele eenheid houdt in dat alle maatschappijen hetzelfde rekeningstelsel hanteren en dat de rekeningen dezelfde naam hebben. Van een materiële eenheid is sprake als de waarderingsgrondslagen gelijk zijn.</w:t>
      </w:r>
      <w:r>
        <w:rPr>
          <w:rStyle w:val="FootnoteReference"/>
          <w:rFonts w:ascii="Times New Roman" w:hAnsi="Times New Roman"/>
          <w:color w:val="000000"/>
          <w:sz w:val="24"/>
        </w:rPr>
        <w:footnoteReference w:id="10"/>
      </w:r>
      <w:r>
        <w:rPr>
          <w:rFonts w:ascii="Times New Roman" w:hAnsi="Times New Roman"/>
          <w:color w:val="000000"/>
          <w:sz w:val="24"/>
        </w:rPr>
        <w:t xml:space="preserve"> </w:t>
      </w:r>
      <w:r>
        <w:rPr>
          <w:rFonts w:ascii="Times New Roman" w:hAnsi="Times New Roman"/>
          <w:color w:val="000000"/>
          <w:sz w:val="24"/>
        </w:rPr>
        <w:br/>
        <w:t>Daarnaast moeten moeder en dochter hetzelfde boekjaar hanteren. Het gelijk maken van de posten, waarderingsmethoden en boekjaren wordt ook wel corrigeren genoemd. Aan de hand van correctieposten worden de aanpassingen in de boeken bij de partijen gemaakt. Hierbij volgt de dochter altijd de moeder. De rekeningstelsels, waarderingsmethoden en het boekjaar dat de moeder hanteert, zal ook voor de dochter gebruikt worden. Deze correctieposten zijn de eerste stap in het klaarmaken van de cijfers om te consolideren. Daarna zullen er bepaalde posten geëlimineerd moeten worden, dit zal nu besproken worden.</w:t>
      </w:r>
    </w:p>
    <w:p w:rsidR="00497A28" w:rsidRDefault="00497A28" w:rsidP="000E05B6">
      <w:pPr>
        <w:spacing w:line="360" w:lineRule="auto"/>
        <w:rPr>
          <w:rFonts w:ascii="Times New Roman" w:hAnsi="Times New Roman"/>
          <w:color w:val="000000"/>
          <w:sz w:val="24"/>
        </w:rPr>
      </w:pPr>
      <w:r>
        <w:rPr>
          <w:rFonts w:ascii="Times New Roman" w:hAnsi="Times New Roman"/>
          <w:color w:val="000000"/>
          <w:sz w:val="24"/>
        </w:rPr>
        <w:t>Verder moet iedere onderlinge relatie tussen moeder en dochter in de vorm van een schuld, een vordering of een levering worden geëlimineerd. Dit is om dubbeltellingen te voorkomen. Immers, het gaat om het concern als geheel, alsof het een bedrijf is. Dan kan een vordering van de moeder op de dochter niet als een bezitting respectievelijk schuld worden gezien, omdat het naar de buitenwereld toe geen geld oplevert of kost. In de geconsolideerde jaarrekening komen alleen transacties met derden voor, met partijen die buiten het concern vallen. De eliminatie van deze posten is altijd extracomptabel, dat wil zeggen buiten de boeken om.</w:t>
      </w:r>
      <w:r>
        <w:rPr>
          <w:rStyle w:val="FootnoteReference"/>
          <w:rFonts w:ascii="Times New Roman" w:hAnsi="Times New Roman"/>
          <w:color w:val="000000"/>
          <w:sz w:val="24"/>
        </w:rPr>
        <w:footnoteReference w:id="11"/>
      </w:r>
      <w:r>
        <w:rPr>
          <w:rFonts w:ascii="Times New Roman" w:hAnsi="Times New Roman"/>
          <w:color w:val="000000"/>
          <w:sz w:val="24"/>
        </w:rPr>
        <w:t xml:space="preserve"> </w:t>
      </w:r>
      <w:r>
        <w:rPr>
          <w:rFonts w:ascii="Times New Roman" w:hAnsi="Times New Roman"/>
          <w:color w:val="000000"/>
          <w:sz w:val="24"/>
        </w:rPr>
        <w:br/>
        <w:t>Er zijn meerdere stappen in het elimineren alvorens de jaarrekeningen worden samengevoegd, enkele zijn voorgaand genoemd. De eerste groep posten die moet worden geëlimineerd heeft te maken met de zogeheten intercompany profits. Deze intercompany profits ontstaan wanneer twee partijen binnen een concern goederen, services of andere diensten aan elkaar leveren, waarbij zij een winstopslag hanteren. Zolang deze goederen of diensten nog steeds in het concern zijn, heeft er nog geen transactie met de buitenwereld plaatsgevonden. Dit betekent dat de leverende partij die een winst heeft gerealiseerd op deze transactie, deze voor de geconsolideerde jaarrekening moet elimineren. Het concern heeft immers nog helemaal geen winst gerealiseerd zolang een product alleen van A naar B binnen de organisatie gaat. Daarnaast moeten onderlinge vorderingen en schulden worden geëlimineerd. Zoals eerder genoemd, een lening die bijvoorbeeld de moeder aan de dochter verstrekt, is geen handeling met een derde en er is geen geld het concern binnen of uitgevloeid. Om deze reden komen ook deze posten niet terug op de geconsolideerde balans.</w:t>
      </w:r>
    </w:p>
    <w:p w:rsidR="00497A28" w:rsidRDefault="00497A28" w:rsidP="000E05B6">
      <w:pPr>
        <w:spacing w:line="360" w:lineRule="auto"/>
        <w:rPr>
          <w:rFonts w:ascii="Times New Roman" w:hAnsi="Times New Roman"/>
          <w:color w:val="000000"/>
          <w:sz w:val="24"/>
        </w:rPr>
      </w:pPr>
      <w:r>
        <w:rPr>
          <w:rFonts w:ascii="Times New Roman" w:hAnsi="Times New Roman"/>
          <w:color w:val="000000"/>
          <w:sz w:val="24"/>
        </w:rPr>
        <w:t>Wanneer moeder en dochter een formele en materiële eenheid vormen en alle nodige eliminatieboekingen zijn voltrokken, kunnen de overgebleven posten op de balans en de resultatenrekening bij elkaar worden opgeteld. Deze worden als het ware in elkaar geschoven tot een totaal van balansen en resultatenrekeningen, welke de geconsolideerde resultaten bevatten. Het voorbeeld in de bijlage zal dit verduidelijken.</w:t>
      </w:r>
    </w:p>
    <w:p w:rsidR="00497A28" w:rsidRDefault="00497A28" w:rsidP="00A6592F">
      <w:pPr>
        <w:spacing w:line="360" w:lineRule="auto"/>
        <w:rPr>
          <w:rFonts w:ascii="Times New Roman" w:hAnsi="Times New Roman"/>
          <w:color w:val="000000"/>
          <w:sz w:val="24"/>
        </w:rPr>
      </w:pPr>
      <w:r>
        <w:rPr>
          <w:rFonts w:ascii="Times New Roman" w:hAnsi="Times New Roman"/>
          <w:b/>
          <w:color w:val="000000"/>
          <w:sz w:val="24"/>
        </w:rPr>
        <w:t>2.3 Minderheidsbelang</w:t>
      </w:r>
      <w:r>
        <w:rPr>
          <w:rFonts w:ascii="Times New Roman" w:hAnsi="Times New Roman"/>
          <w:b/>
          <w:color w:val="000000"/>
          <w:sz w:val="24"/>
        </w:rPr>
        <w:br/>
      </w:r>
      <w:r>
        <w:rPr>
          <w:rFonts w:ascii="Times New Roman" w:hAnsi="Times New Roman"/>
          <w:color w:val="000000"/>
          <w:sz w:val="24"/>
        </w:rPr>
        <w:t xml:space="preserve">Lang niet in alle gevallen koopt een bedrijf alle aandelen van een ander bedrijf, zodat zij een 100%-belang krijgen. Het gebeurt ook dat een bedrijf bijvoorbeeld maar 80% van de aandelen overneemt, zodat zij wel de zeggenschap over de deelneming krijgt, maar dat zij niet de enige aandeelhouder wordt. In dit geval is er sprake van een minderheidsbelang. Dit minderheidsbelang is het belang in de dochtermaatschappij dat niet van de moeder is, in dit voorbeeld de overige 20% van de aandelen. </w:t>
      </w:r>
      <w:r w:rsidRPr="008A57B1">
        <w:rPr>
          <w:rFonts w:ascii="Times New Roman" w:hAnsi="Times New Roman"/>
          <w:color w:val="000000"/>
          <w:sz w:val="24"/>
          <w:lang w:val="en-GB"/>
        </w:rPr>
        <w:t>IAS 27 definieert het minderheidsbelan</w:t>
      </w:r>
      <w:r>
        <w:rPr>
          <w:rFonts w:ascii="Times New Roman" w:hAnsi="Times New Roman"/>
          <w:color w:val="000000"/>
          <w:sz w:val="24"/>
          <w:lang w:val="en-GB"/>
        </w:rPr>
        <w:t xml:space="preserve">g als: "equity in a subsidiary </w:t>
      </w:r>
      <w:r w:rsidRPr="008A57B1">
        <w:rPr>
          <w:rFonts w:ascii="Times New Roman" w:hAnsi="Times New Roman"/>
          <w:color w:val="000000"/>
          <w:sz w:val="24"/>
          <w:lang w:val="en-GB"/>
        </w:rPr>
        <w:t>not attributable, directly or indirectly, to a parent</w:t>
      </w:r>
      <w:r>
        <w:rPr>
          <w:rFonts w:ascii="Times New Roman" w:hAnsi="Times New Roman"/>
          <w:color w:val="000000"/>
          <w:sz w:val="24"/>
          <w:lang w:val="en-GB"/>
        </w:rPr>
        <w:t xml:space="preserve">". </w:t>
      </w:r>
      <w:r>
        <w:rPr>
          <w:rFonts w:ascii="Times New Roman" w:hAnsi="Times New Roman"/>
          <w:color w:val="000000"/>
          <w:sz w:val="24"/>
        </w:rPr>
        <w:t>Dit is dus</w:t>
      </w:r>
      <w:r w:rsidRPr="008A57B1">
        <w:rPr>
          <w:rFonts w:ascii="Times New Roman" w:hAnsi="Times New Roman"/>
          <w:color w:val="000000"/>
          <w:sz w:val="24"/>
        </w:rPr>
        <w:t xml:space="preserve"> eigen vermogen van de dochtermaatschappij dat niet toekomt aan de moedermaatschappij omdat zij dit deel van de aandelen niet bezit. </w:t>
      </w:r>
      <w:r>
        <w:rPr>
          <w:rFonts w:ascii="Times New Roman" w:hAnsi="Times New Roman"/>
          <w:color w:val="000000"/>
          <w:sz w:val="24"/>
        </w:rPr>
        <w:t xml:space="preserve">Voor het consolidatieproces moet worden gekozen op welke manier dit weergegeven wordt in de geconsolideerde balans. Zoals eerder vermeld, in paragraaf 2.3, is integrale consolidatie verplicht als de moeder heersende belangen heeft in de dochter. Alle activa en passiva van de dochtermaatschappij voor 100% op de geconsolideerde balans gezet. De moedermaatschappij bezit echter maar 80% van deze activa en passiva en daarom moet er voor 20% gecorrigeerd worden. Dit gebeurt door op de creditzijde van de geconsolideerde balans de post 'minderheidsbelang' of 'aandeel derden' op te nemen. Deze post wordt gewaardeerd op 20% van de netto activa van de dochtermaatschappij, ofwel 20% van het eigen vermogen. Afhankelijk van welke methode er wordt gebruikt, wordt dit minderheidsbelang gezien als eigen of vreemd vermogen. </w:t>
      </w:r>
    </w:p>
    <w:p w:rsidR="00497A28" w:rsidRPr="008A57B1" w:rsidRDefault="00497A28" w:rsidP="00A6592F">
      <w:pPr>
        <w:spacing w:line="360" w:lineRule="auto"/>
        <w:rPr>
          <w:rFonts w:ascii="Times New Roman" w:hAnsi="Times New Roman"/>
          <w:color w:val="000000"/>
          <w:sz w:val="24"/>
        </w:rPr>
      </w:pPr>
      <w:r>
        <w:rPr>
          <w:rFonts w:ascii="Times New Roman" w:hAnsi="Times New Roman"/>
          <w:color w:val="000000"/>
          <w:sz w:val="24"/>
        </w:rPr>
        <w:t>Er zijn drie concepten van consolidatie, het 'entity' concept, het 'parent' concept en het 'proprietary' concept.</w:t>
      </w:r>
      <w:r>
        <w:rPr>
          <w:rStyle w:val="FootnoteReference"/>
          <w:rFonts w:ascii="Times New Roman" w:hAnsi="Times New Roman"/>
          <w:color w:val="000000"/>
          <w:sz w:val="24"/>
        </w:rPr>
        <w:footnoteReference w:id="12"/>
      </w:r>
      <w:r>
        <w:rPr>
          <w:rFonts w:ascii="Times New Roman" w:hAnsi="Times New Roman"/>
          <w:color w:val="000000"/>
          <w:sz w:val="24"/>
        </w:rPr>
        <w:t xml:space="preserve"> Deze drie methoden verschillen in hoe het minderheidsbelang moet worden gewaardeerd. Dit betreft voornamelijk de aanpassing van boekwaarde naar reële waarde en de goodwill. Het proprietary concept richt bekijkt de zaak vanuit de moedermaatschappij, zij bezit maar 80% van de aandelen, dus ook maar 80% van alle activa en passiva moeten worden getoond op de geconsolideerde balans. Er wordt geen minderheidsbelang op de balans opgenomen. Het parent concept zet de activa en passiva van de dochteronderneming voor 100% van de boekwaarde op de geconsolideerde balans, maar past alleen het aandeel van de moeder aan voor reële waarde en erkent ook maar 80% van de betaalde goodwill. Bij deze methode is het minderheidsbelang een schuld op de geconsolideerde balans. Het entity concept kijkt vanuit het concern als geheel en zet de activa en passiva voor 100% van de boekwaarde plus de aanpassing naar reële waarde neer en erkent bovendien de goodwill voor 100%. In dit geval is het minderheidsbelang een onderdeel van het eigen vermogen op de geconsolideerde balans.</w:t>
      </w:r>
      <w:r>
        <w:rPr>
          <w:rStyle w:val="FootnoteReference"/>
          <w:rFonts w:ascii="Times New Roman" w:hAnsi="Times New Roman"/>
          <w:color w:val="000000"/>
          <w:sz w:val="24"/>
        </w:rPr>
        <w:footnoteReference w:id="13"/>
      </w:r>
      <w:r>
        <w:rPr>
          <w:rFonts w:ascii="Times New Roman" w:hAnsi="Times New Roman"/>
          <w:color w:val="000000"/>
          <w:sz w:val="24"/>
        </w:rPr>
        <w:t xml:space="preserve"> </w:t>
      </w:r>
      <w:r>
        <w:rPr>
          <w:rFonts w:ascii="Times New Roman" w:hAnsi="Times New Roman"/>
          <w:color w:val="000000"/>
          <w:sz w:val="24"/>
        </w:rPr>
        <w:br/>
        <w:t>De IASB hanteert momenteel een variant die een combinatie is van het parent en entity concept. Zij eisen dat de boekwaarde wordt aangepast naar de reële waarde, maar dat de goodwill alleen voor het deel van de moeder wordt geconsolideerd.</w:t>
      </w:r>
      <w:r>
        <w:rPr>
          <w:rStyle w:val="FootnoteReference"/>
          <w:rFonts w:ascii="Times New Roman" w:hAnsi="Times New Roman"/>
          <w:color w:val="000000"/>
          <w:sz w:val="24"/>
        </w:rPr>
        <w:footnoteReference w:id="14"/>
      </w:r>
    </w:p>
    <w:p w:rsidR="00497A28" w:rsidRPr="00A6592F" w:rsidRDefault="00497A28" w:rsidP="00A6592F">
      <w:pPr>
        <w:spacing w:line="360" w:lineRule="auto"/>
        <w:rPr>
          <w:rFonts w:ascii="Times New Roman" w:hAnsi="Times New Roman"/>
          <w:color w:val="000000"/>
          <w:sz w:val="24"/>
        </w:rPr>
      </w:pPr>
      <w:r>
        <w:rPr>
          <w:rFonts w:ascii="Times New Roman" w:hAnsi="Times New Roman"/>
          <w:b/>
          <w:color w:val="000000"/>
          <w:sz w:val="24"/>
        </w:rPr>
        <w:t>2.4 Samenvatting</w:t>
      </w:r>
      <w:r>
        <w:rPr>
          <w:rFonts w:ascii="Times New Roman" w:hAnsi="Times New Roman"/>
          <w:b/>
          <w:color w:val="000000"/>
          <w:sz w:val="24"/>
        </w:rPr>
        <w:br/>
      </w:r>
      <w:r>
        <w:rPr>
          <w:rFonts w:ascii="Times New Roman" w:hAnsi="Times New Roman"/>
          <w:color w:val="000000"/>
          <w:sz w:val="24"/>
        </w:rPr>
        <w:t>Moederbedrijven die een deelneming hebben in een dochtermaatschappij, zijn verplicht een geconsolideerde jaarrekening op te stellen waarin deze dochters worden meegenomen. Hierbij is het van belang of de moeder de zeggenschap heeft, wat doorgaans het geval is wanneer zij meer dan 50% van de aandelen bezit. Consolidatie kan integraal en proportioneel plaatsvinden. Dit verschil is alleen van belang indien de moedermaatschappij niet alle aandelen van de dochtermaatschappij bezit, maar bijvoorbeeld maar 80%. In het geval een moeder belangen in maatschappijen beheerst, is integrale consolidatie verplicht. Alleen voor een deelneming in joint ventures is proportionele consolidatie toegestaan.</w:t>
      </w:r>
      <w:r>
        <w:rPr>
          <w:rFonts w:ascii="Times New Roman" w:hAnsi="Times New Roman"/>
          <w:color w:val="000000"/>
          <w:sz w:val="24"/>
        </w:rPr>
        <w:br/>
        <w:t xml:space="preserve"> Alvorens de geconsolideerde jaarrekening kan worden opgesteld, moet er voor gezorgd worden dat alle partijen een formele en een materiële eenheid vormen. Daarnaast moeten onderlinge leveringen en vorderingen en schulden worden geëlimineerd, om dubbeltellingen te voorkomen. Als dit gebeurd is, kunnen de balansen en resultatenrekeningen worden samengevoegd en opgeteld tot een geconsolideerde jaarrekening. Hiermee is deelvraag 1, "Wat is consolideren?" beantwoord: Consolideren is het samenvoegen van jaarrekeningen van een moederbedrijf en al haar dochterbedrijven, nadat de nodige correcties boekhoudkundig hebben plaatsgevonden.</w:t>
      </w:r>
    </w:p>
    <w:p w:rsidR="00497A28" w:rsidRDefault="00497A28">
      <w:pPr>
        <w:rPr>
          <w:rFonts w:ascii="Times New Roman" w:hAnsi="Times New Roman"/>
          <w:color w:val="000000"/>
          <w:sz w:val="24"/>
        </w:rPr>
      </w:pPr>
      <w:r>
        <w:rPr>
          <w:rFonts w:ascii="Times New Roman" w:hAnsi="Times New Roman"/>
          <w:color w:val="000000"/>
          <w:sz w:val="24"/>
        </w:rPr>
        <w:br w:type="page"/>
      </w:r>
    </w:p>
    <w:p w:rsidR="00497A28" w:rsidRPr="00A6592F" w:rsidRDefault="00497A28" w:rsidP="000E05B6">
      <w:pPr>
        <w:spacing w:line="360" w:lineRule="auto"/>
        <w:rPr>
          <w:rFonts w:ascii="Times New Roman" w:hAnsi="Times New Roman"/>
          <w:b/>
          <w:color w:val="000000"/>
          <w:sz w:val="28"/>
        </w:rPr>
      </w:pPr>
      <w:r w:rsidRPr="00A6592F">
        <w:rPr>
          <w:rFonts w:ascii="Times New Roman" w:hAnsi="Times New Roman"/>
          <w:b/>
          <w:color w:val="000000"/>
          <w:sz w:val="28"/>
        </w:rPr>
        <w:t>Hoofdstuk 3: Wet- en regelgeving consolidatie</w:t>
      </w:r>
    </w:p>
    <w:p w:rsidR="00497A28" w:rsidRDefault="00497A28" w:rsidP="000E05B6">
      <w:pPr>
        <w:spacing w:line="360" w:lineRule="auto"/>
        <w:rPr>
          <w:rFonts w:ascii="Times New Roman" w:hAnsi="Times New Roman"/>
          <w:color w:val="000000"/>
          <w:sz w:val="24"/>
        </w:rPr>
      </w:pPr>
      <w:r w:rsidRPr="00A6592F">
        <w:rPr>
          <w:rFonts w:ascii="Times New Roman" w:hAnsi="Times New Roman"/>
          <w:b/>
          <w:color w:val="000000"/>
          <w:sz w:val="24"/>
        </w:rPr>
        <w:t>3.1 Inleiding</w:t>
      </w:r>
      <w:r>
        <w:rPr>
          <w:rFonts w:ascii="Times New Roman" w:hAnsi="Times New Roman"/>
          <w:b/>
          <w:color w:val="000000"/>
          <w:sz w:val="24"/>
        </w:rPr>
        <w:br/>
      </w:r>
      <w:r w:rsidRPr="00445142">
        <w:rPr>
          <w:rFonts w:ascii="Times New Roman" w:hAnsi="Times New Roman"/>
          <w:color w:val="000000"/>
          <w:sz w:val="24"/>
        </w:rPr>
        <w:t>In hoofdstuk twee is duidelijk geworden wat consolidatie inhoudt.</w:t>
      </w:r>
      <w:r>
        <w:rPr>
          <w:rFonts w:ascii="Times New Roman" w:hAnsi="Times New Roman"/>
          <w:color w:val="000000"/>
          <w:sz w:val="24"/>
        </w:rPr>
        <w:t xml:space="preserve"> Dit hoofdstuk zal dieper in gaan op de wet- en regelgeving rondom consolidatie en tevens zal de Nederlandse wetgeving vergeleken worden met de Internationale wetgeving. Deelvraag 2 zal worden beantwoord: Welke deelnemingen moeten worden geconsolideerd? Hierbij wordt gekeken naar de criteria die gelden om een onderneming te consolideren. Er zal aandacht worden geschonken aan het verschil tussen binnen- en buitenlandse deelnemingen en of dit van belang is voor de consolidatie criteria. Ook hierbij wordt gekeken of de Nederlandse wetgeving verschilt van de Internationale. </w:t>
      </w:r>
    </w:p>
    <w:p w:rsidR="00497A28" w:rsidRPr="00CB4757" w:rsidRDefault="00497A28" w:rsidP="000E4B08">
      <w:pPr>
        <w:spacing w:line="360" w:lineRule="auto"/>
        <w:rPr>
          <w:rFonts w:ascii="Times New Roman" w:hAnsi="Times New Roman"/>
          <w:b/>
          <w:color w:val="000000"/>
          <w:sz w:val="24"/>
        </w:rPr>
      </w:pPr>
      <w:r>
        <w:rPr>
          <w:rFonts w:ascii="Times New Roman" w:hAnsi="Times New Roman"/>
          <w:b/>
          <w:color w:val="000000"/>
          <w:sz w:val="24"/>
        </w:rPr>
        <w:t>3.2 Criteria consolideren</w:t>
      </w:r>
      <w:r>
        <w:rPr>
          <w:rFonts w:ascii="Times New Roman" w:hAnsi="Times New Roman"/>
          <w:b/>
          <w:color w:val="000000"/>
          <w:sz w:val="24"/>
        </w:rPr>
        <w:br/>
      </w:r>
      <w:r>
        <w:rPr>
          <w:rFonts w:ascii="Times New Roman" w:hAnsi="Times New Roman"/>
          <w:color w:val="000000"/>
          <w:sz w:val="24"/>
        </w:rPr>
        <w:t xml:space="preserve">Zoals eerder vermeld is een moederbedrijf die de meerderheid van de zeggenschap bezit van een dochterbedrijf verplicht deze dochteronderneming mee te nemen in de geconsolideerde jaarrekening. Een heel belangrijk criterium is hier dat de moeder de controle heeft over de dochtermaatschappij. </w:t>
      </w:r>
      <w:r w:rsidRPr="000C5CA1">
        <w:rPr>
          <w:rFonts w:ascii="Times New Roman" w:hAnsi="Times New Roman"/>
          <w:color w:val="000000"/>
          <w:sz w:val="24"/>
          <w:lang w:val="en-GB"/>
        </w:rPr>
        <w:t>Controle wordt in IAS 27 gedefinieerd als: "Control is the power to govern the financial and operating policies of an entity so as to obta</w:t>
      </w:r>
      <w:r>
        <w:rPr>
          <w:rFonts w:ascii="Times New Roman" w:hAnsi="Times New Roman"/>
          <w:color w:val="000000"/>
          <w:sz w:val="24"/>
          <w:lang w:val="en-GB"/>
        </w:rPr>
        <w:t>in benefits from its activities."</w:t>
      </w:r>
      <w:r w:rsidRPr="000C5CA1">
        <w:rPr>
          <w:rFonts w:ascii="Times New Roman" w:hAnsi="Times New Roman"/>
          <w:color w:val="000000"/>
          <w:sz w:val="24"/>
          <w:lang w:val="en-GB"/>
        </w:rPr>
        <w:t xml:space="preserve"> </w:t>
      </w:r>
      <w:r w:rsidRPr="000C5CA1">
        <w:rPr>
          <w:rFonts w:ascii="Times New Roman" w:hAnsi="Times New Roman"/>
          <w:color w:val="000000"/>
          <w:sz w:val="24"/>
        </w:rPr>
        <w:t>Er moet zowel worden voldaan aan het eerste criterium, ook wel het 'power criterion' als aan het tweede criterium, het zogehe</w:t>
      </w:r>
      <w:r>
        <w:rPr>
          <w:rFonts w:ascii="Times New Roman" w:hAnsi="Times New Roman"/>
          <w:color w:val="000000"/>
          <w:sz w:val="24"/>
        </w:rPr>
        <w:t xml:space="preserve">ten 'benefit criterion'. </w:t>
      </w:r>
      <w:r>
        <w:rPr>
          <w:rFonts w:ascii="Times New Roman" w:hAnsi="Times New Roman"/>
          <w:color w:val="000000"/>
          <w:sz w:val="24"/>
        </w:rPr>
        <w:br/>
        <w:t>Het eerste criterium bepaalt dat een moeder bedrijf de mogelijkheid moet hebben om de financiële en operationele activiteiten van de dochtermaatschappij te bepalen, het zogeheten 'control'. Het is voor de beslissing om te consolideren niet van belang of zij hier zich daadwerkelijk mee bemoeit. In dit geval heeft de moeder een passieve rol in het beleid, maar dat neemt niet weg dat zij als het moet wel de mogelijkheid tot controle heeft.</w:t>
      </w:r>
      <w:r>
        <w:rPr>
          <w:rStyle w:val="FootnoteReference"/>
          <w:rFonts w:ascii="Times New Roman" w:hAnsi="Times New Roman"/>
          <w:color w:val="000000"/>
          <w:sz w:val="24"/>
        </w:rPr>
        <w:footnoteReference w:id="15"/>
      </w:r>
      <w:r>
        <w:rPr>
          <w:rFonts w:ascii="Times New Roman" w:hAnsi="Times New Roman"/>
          <w:color w:val="000000"/>
          <w:sz w:val="24"/>
        </w:rPr>
        <w:t xml:space="preserve"> Er kunnen nooit twee of meer partijen control hebben over een andere partij! Er is altijd maar een partij, de moedermaatschappij, die beleid kan voeren bij de dochtermaatschappij. Wanneer er twee partijen 'in control' zouden zijn, betekent dit dat beide partijen het niet alleen voor het zeggen hebben. Dan hebben zij dus geen control, dit is onmogelijk. </w:t>
      </w:r>
      <w:r>
        <w:rPr>
          <w:rFonts w:ascii="Times New Roman" w:hAnsi="Times New Roman"/>
          <w:color w:val="000000"/>
          <w:sz w:val="24"/>
        </w:rPr>
        <w:br/>
        <w:t xml:space="preserve">In de meeste gevallen heeft een bedrijf controle wanneer zij meer dan 50% van de stemrechten heeft. Aangenomen wordt dat dit het geval is wanneer de partij meer dan 50% van de aandelen van de dochtermaatschappij bezit. </w:t>
      </w:r>
      <w:r>
        <w:rPr>
          <w:rFonts w:ascii="Times New Roman" w:hAnsi="Times New Roman"/>
          <w:color w:val="000000"/>
          <w:sz w:val="24"/>
        </w:rPr>
        <w:br/>
        <w:t>Er zijn echter nog meer punten waarnaar gekeken moet worden. Zo is het belangrijk hoe de overige aandelen van het dochterbedrijf verdeeld zijn. Hierbij moet zowel gekeken worden naar een geografische spreiding als het gemiddeld aantal aandelen dat wordt aangehouden.</w:t>
      </w:r>
      <w:r>
        <w:rPr>
          <w:rStyle w:val="FootnoteReference"/>
          <w:rFonts w:ascii="Times New Roman" w:hAnsi="Times New Roman"/>
          <w:color w:val="000000"/>
          <w:sz w:val="24"/>
        </w:rPr>
        <w:footnoteReference w:id="16"/>
      </w:r>
      <w:r>
        <w:rPr>
          <w:rFonts w:ascii="Times New Roman" w:hAnsi="Times New Roman"/>
          <w:color w:val="000000"/>
          <w:sz w:val="24"/>
        </w:rPr>
        <w:t xml:space="preserve"> Het gaat namelijk om de effectieve controle die een bedrijf moet bezitten. Zij moeten op de Algemene Vergadering van Aandeelhouders letterlijk een meerderheid hebben die aanwezig is. Als op de vergadering maar 60% van de aandeelhouders aanwezig is, moet het moederbedrijf minstens 30% van de stemrechten bezitten in die vergadering om de effectieve zeggenschap te hebben. Dit is waarom de spreiding ook belangrijk is, als de vergadering in Amsterdam wordt gehouden en veel aandeelhouders komen uit Amerika, is de kans kleiner dat zij aanwezig zijn dan wanneer zij uit Rotterdam komen. Het is dus naast het bezit van de formele meerderheid van aandelen ook belangrijk hoe de aandelen zijn verdeeld over de rest van de aandeelhouders.</w:t>
      </w:r>
    </w:p>
    <w:p w:rsidR="00497A28" w:rsidRDefault="00497A28" w:rsidP="00CB4757">
      <w:pPr>
        <w:spacing w:line="360" w:lineRule="auto"/>
        <w:rPr>
          <w:rFonts w:ascii="Times New Roman" w:hAnsi="Times New Roman"/>
          <w:color w:val="000000"/>
          <w:sz w:val="24"/>
        </w:rPr>
      </w:pPr>
      <w:r>
        <w:rPr>
          <w:rFonts w:ascii="Times New Roman" w:hAnsi="Times New Roman"/>
          <w:color w:val="000000"/>
          <w:sz w:val="24"/>
        </w:rPr>
        <w:t>Het tweede criterium, de mogelijkheid om voordelen te behalen uit de activiteiten van de dochtermaatschappij, sluit uit dat partijen als een trustfond als moedermaatschappij worden gezien. Dit is omdat een trustfond bijvoorbeeld wel de controle over een partij kan hebben en op basis van deze regel alleen zo'n partij zou mogen consolideren. Dit is volgens ED 10 niet de bedoeling.</w:t>
      </w:r>
      <w:r>
        <w:rPr>
          <w:rStyle w:val="FootnoteReference"/>
          <w:rFonts w:ascii="Times New Roman" w:hAnsi="Times New Roman"/>
          <w:color w:val="000000"/>
          <w:sz w:val="24"/>
        </w:rPr>
        <w:footnoteReference w:id="17"/>
      </w:r>
      <w:r>
        <w:rPr>
          <w:rFonts w:ascii="Times New Roman" w:hAnsi="Times New Roman"/>
          <w:color w:val="000000"/>
          <w:sz w:val="24"/>
        </w:rPr>
        <w:t xml:space="preserve"> Onder voordelen die een moedermaatschappij kan behalen vallen onder meer:</w:t>
      </w:r>
      <w:r>
        <w:rPr>
          <w:rFonts w:ascii="Times New Roman" w:hAnsi="Times New Roman"/>
          <w:color w:val="000000"/>
          <w:sz w:val="24"/>
        </w:rPr>
        <w:br/>
        <w:t xml:space="preserve">- het sluiten van contracten met de dochtermaatschappij over de levering van schaarse grond-  </w:t>
      </w:r>
      <w:r>
        <w:rPr>
          <w:rFonts w:ascii="Times New Roman" w:hAnsi="Times New Roman"/>
          <w:color w:val="000000"/>
          <w:sz w:val="24"/>
        </w:rPr>
        <w:br/>
        <w:t xml:space="preserve">  en hulpstoffen tegen lagere kosten of op prioriteitsbasis</w:t>
      </w:r>
      <w:r>
        <w:rPr>
          <w:rFonts w:ascii="Times New Roman" w:hAnsi="Times New Roman"/>
          <w:color w:val="000000"/>
          <w:sz w:val="24"/>
        </w:rPr>
        <w:br/>
        <w:t>- het verkrijgen van toegang tot de netwerken van de dochtermaatschappij</w:t>
      </w:r>
      <w:r>
        <w:rPr>
          <w:rFonts w:ascii="Times New Roman" w:hAnsi="Times New Roman"/>
          <w:color w:val="000000"/>
          <w:sz w:val="24"/>
        </w:rPr>
        <w:br/>
        <w:t>- het behalen van schaalvoordelen op het gebied van management- of verzekeringskosten.</w:t>
      </w:r>
      <w:r>
        <w:rPr>
          <w:rStyle w:val="FootnoteReference"/>
          <w:rFonts w:ascii="Times New Roman" w:hAnsi="Times New Roman"/>
          <w:color w:val="000000"/>
          <w:sz w:val="24"/>
        </w:rPr>
        <w:footnoteReference w:id="18"/>
      </w:r>
    </w:p>
    <w:p w:rsidR="00497A28" w:rsidRDefault="00497A28" w:rsidP="00CB4757">
      <w:pPr>
        <w:spacing w:line="360" w:lineRule="auto"/>
        <w:rPr>
          <w:rFonts w:ascii="Times New Roman" w:hAnsi="Times New Roman"/>
          <w:color w:val="000000"/>
          <w:sz w:val="24"/>
        </w:rPr>
      </w:pPr>
      <w:r>
        <w:rPr>
          <w:rFonts w:ascii="Times New Roman" w:hAnsi="Times New Roman"/>
          <w:color w:val="000000"/>
          <w:sz w:val="24"/>
        </w:rPr>
        <w:t>Wanneer een moederbedrijf volgens deze definitie een dochtermaatschappij beheert, is zij verplicht deze dochtermaatschappij op te nemen in de geconsolideerde jaarrekening.</w:t>
      </w:r>
      <w:r>
        <w:rPr>
          <w:rStyle w:val="FootnoteReference"/>
          <w:rFonts w:ascii="Times New Roman" w:hAnsi="Times New Roman"/>
          <w:color w:val="000000"/>
          <w:sz w:val="24"/>
        </w:rPr>
        <w:footnoteReference w:id="19"/>
      </w:r>
      <w:r>
        <w:rPr>
          <w:rFonts w:ascii="Times New Roman" w:hAnsi="Times New Roman"/>
          <w:color w:val="000000"/>
          <w:sz w:val="24"/>
        </w:rPr>
        <w:t xml:space="preserve"> Dit is in IAS 27 dan ook het criterium waaraan getoetst wordt of een dochteronderneming geconsolideerd moet worden of niet.</w:t>
      </w:r>
    </w:p>
    <w:p w:rsidR="00497A28" w:rsidRPr="00246766" w:rsidRDefault="00497A28" w:rsidP="00CB4757">
      <w:pPr>
        <w:spacing w:line="360" w:lineRule="auto"/>
        <w:rPr>
          <w:rFonts w:ascii="Times New Roman" w:hAnsi="Times New Roman"/>
          <w:b/>
          <w:color w:val="000000"/>
          <w:sz w:val="24"/>
        </w:rPr>
      </w:pPr>
      <w:r>
        <w:rPr>
          <w:rFonts w:ascii="Times New Roman" w:hAnsi="Times New Roman"/>
          <w:color w:val="000000"/>
          <w:sz w:val="24"/>
        </w:rPr>
        <w:t xml:space="preserve"> Zoals bij iedere regel, zijn ook hier uitzonderingen te noemen. Ten eerste zijn er uitzonderingen waarbij de consolidatieplicht wel geldt terwijl er geen zeggenschap aanwezig is. Zo kan het zijn dat een bedrijf op basis van een speciaal contract wel een overheersende zeggenschap heeft, terwijl het niet officieel de meerderheid van het stemrecht bezit. In dit geval moet deze onderneming ook meegeconsolideerd worden.</w:t>
      </w:r>
      <w:r>
        <w:rPr>
          <w:rStyle w:val="FootnoteReference"/>
          <w:rFonts w:ascii="Times New Roman" w:hAnsi="Times New Roman"/>
          <w:color w:val="000000"/>
          <w:sz w:val="24"/>
        </w:rPr>
        <w:footnoteReference w:id="20"/>
      </w:r>
      <w:r>
        <w:rPr>
          <w:rFonts w:ascii="Times New Roman" w:hAnsi="Times New Roman"/>
          <w:color w:val="000000"/>
          <w:sz w:val="24"/>
        </w:rPr>
        <w:t xml:space="preserve"> Het is wel belangrijk dat het contract schriftelijk opgesteld is, zodat het kan worden geraadpleegd, en dat het geldt op het moment dat de jaarrekening wordt opgesteld. Men moet met een dergelijk contract kunnen aantonen dat deze dochtermaatschappij geconsolideerd is op basis van een toegekende zeggenschap aan de moedermaatschappij.</w:t>
      </w:r>
      <w:r>
        <w:rPr>
          <w:rFonts w:ascii="Times New Roman" w:hAnsi="Times New Roman"/>
          <w:color w:val="000000"/>
          <w:sz w:val="24"/>
        </w:rPr>
        <w:br/>
        <w:t>Ten tweede zijn er uitzonderingen waarbij de moedermaatschappij wel een meerderheid bezit, maar waar consolidatie juist niet is toegestaan. Dit kan bijvoorbeeld zo zijn als het al bekend is dat het belang in de dochtermaatschappij op korte termijn verkocht zal worden.</w:t>
      </w:r>
      <w:r>
        <w:rPr>
          <w:rStyle w:val="FootnoteReference"/>
          <w:rFonts w:ascii="Times New Roman" w:hAnsi="Times New Roman"/>
          <w:color w:val="000000"/>
          <w:sz w:val="24"/>
        </w:rPr>
        <w:footnoteReference w:id="21"/>
      </w:r>
      <w:r>
        <w:rPr>
          <w:rFonts w:ascii="Times New Roman" w:hAnsi="Times New Roman"/>
          <w:color w:val="000000"/>
          <w:sz w:val="24"/>
        </w:rPr>
        <w:br/>
      </w:r>
      <w:r w:rsidRPr="007B00B5">
        <w:rPr>
          <w:rFonts w:ascii="Times New Roman" w:hAnsi="Times New Roman"/>
          <w:sz w:val="24"/>
        </w:rPr>
        <w:t>Het moge duidelijk zijn dat in het geval van een joint-venture nooit sprake kan zijn van een meerderheid. Een joint-venture is een bedrijfscombinatie waarbij twee partijen precies 50% van een ander bedrijf bezitten.</w:t>
      </w:r>
      <w:r>
        <w:rPr>
          <w:rFonts w:ascii="Times New Roman" w:hAnsi="Times New Roman"/>
          <w:sz w:val="24"/>
        </w:rPr>
        <w:t xml:space="preserve"> Het gaat hier om 50% van de zeggenschap, niet om 50% van het aandelenbezit. Het kan zijn dat de verhouding aandelen 40% tegenover 60% is, maar dat afgesproken is dat de zeggenschap van beide partijen precies 50% is.</w:t>
      </w:r>
      <w:r w:rsidRPr="007B00B5">
        <w:rPr>
          <w:rFonts w:ascii="Times New Roman" w:hAnsi="Times New Roman"/>
          <w:sz w:val="24"/>
        </w:rPr>
        <w:t xml:space="preserve"> </w:t>
      </w:r>
      <w:r>
        <w:rPr>
          <w:rFonts w:ascii="Times New Roman" w:hAnsi="Times New Roman"/>
          <w:sz w:val="24"/>
        </w:rPr>
        <w:t>In dit geval mag er dus nooit éé</w:t>
      </w:r>
      <w:r w:rsidRPr="007B00B5">
        <w:rPr>
          <w:rFonts w:ascii="Times New Roman" w:hAnsi="Times New Roman"/>
          <w:sz w:val="24"/>
        </w:rPr>
        <w:t xml:space="preserve">n van de partijen de andere </w:t>
      </w:r>
      <w:r>
        <w:rPr>
          <w:rFonts w:ascii="Times New Roman" w:hAnsi="Times New Roman"/>
          <w:sz w:val="24"/>
        </w:rPr>
        <w:t xml:space="preserve">partij </w:t>
      </w:r>
      <w:r w:rsidRPr="007B00B5">
        <w:rPr>
          <w:rFonts w:ascii="Times New Roman" w:hAnsi="Times New Roman"/>
          <w:sz w:val="24"/>
        </w:rPr>
        <w:t>consolideren als zijnde een dochteronderneming</w:t>
      </w:r>
      <w:r>
        <w:rPr>
          <w:rFonts w:ascii="Times New Roman" w:hAnsi="Times New Roman"/>
          <w:sz w:val="24"/>
        </w:rPr>
        <w:t xml:space="preserve"> omdat geen van beide partijen in control is</w:t>
      </w:r>
      <w:r w:rsidRPr="007B00B5">
        <w:rPr>
          <w:rFonts w:ascii="Times New Roman" w:hAnsi="Times New Roman"/>
          <w:sz w:val="24"/>
        </w:rPr>
        <w:t>!</w:t>
      </w:r>
      <w:r>
        <w:rPr>
          <w:rFonts w:ascii="Times New Roman" w:hAnsi="Times New Roman"/>
          <w:sz w:val="24"/>
        </w:rPr>
        <w:t xml:space="preserve"> Hiermee is niet voldaan aan het hierboven genoemde eerste criterium en dus mag consolidatie niet plaatsvinden. Hierbij is alleen de in de vorige paragraaf uitgelegde proportionele consolidatie toegestaan of de deelneming moet tegen netto-vermogenswaarde op de balans worden gezet. In dat geval vindt helemaal geen consolidatie plaats.</w:t>
      </w:r>
      <w:r>
        <w:rPr>
          <w:rFonts w:ascii="Times New Roman" w:hAnsi="Times New Roman"/>
          <w:color w:val="000000"/>
          <w:sz w:val="24"/>
        </w:rPr>
        <w:br/>
        <w:t>In de volgende paragraaf zal worden uitgelegd welke stappen ondernomen moeten worden om te komen tot een geconsolideerde jaarrekening.</w:t>
      </w:r>
    </w:p>
    <w:p w:rsidR="00497A28" w:rsidRDefault="00497A28" w:rsidP="00381677">
      <w:pPr>
        <w:spacing w:line="360" w:lineRule="auto"/>
        <w:rPr>
          <w:rFonts w:ascii="Times New Roman" w:hAnsi="Times New Roman"/>
          <w:color w:val="000000"/>
          <w:sz w:val="24"/>
        </w:rPr>
      </w:pPr>
      <w:r w:rsidRPr="00A6592F">
        <w:rPr>
          <w:rFonts w:ascii="Times New Roman" w:hAnsi="Times New Roman"/>
          <w:b/>
          <w:color w:val="000000"/>
          <w:sz w:val="24"/>
        </w:rPr>
        <w:t>3.</w:t>
      </w:r>
      <w:r>
        <w:rPr>
          <w:rFonts w:ascii="Times New Roman" w:hAnsi="Times New Roman"/>
          <w:b/>
          <w:color w:val="000000"/>
          <w:sz w:val="24"/>
        </w:rPr>
        <w:t>3</w:t>
      </w:r>
      <w:r w:rsidRPr="00A6592F">
        <w:rPr>
          <w:rFonts w:ascii="Times New Roman" w:hAnsi="Times New Roman"/>
          <w:b/>
          <w:color w:val="000000"/>
          <w:sz w:val="24"/>
        </w:rPr>
        <w:t xml:space="preserve"> Nederlandse wetgeving</w:t>
      </w:r>
      <w:r>
        <w:rPr>
          <w:rFonts w:ascii="Times New Roman" w:hAnsi="Times New Roman"/>
          <w:b/>
          <w:color w:val="000000"/>
          <w:sz w:val="24"/>
        </w:rPr>
        <w:t>: Raad voor de Jaarverslaggeving</w:t>
      </w:r>
      <w:r>
        <w:rPr>
          <w:rFonts w:ascii="Times New Roman" w:hAnsi="Times New Roman"/>
          <w:b/>
          <w:color w:val="000000"/>
          <w:sz w:val="24"/>
        </w:rPr>
        <w:br/>
      </w:r>
      <w:r w:rsidRPr="003B21C4">
        <w:rPr>
          <w:rFonts w:ascii="Times New Roman" w:hAnsi="Times New Roman"/>
          <w:color w:val="000000"/>
          <w:sz w:val="24"/>
        </w:rPr>
        <w:t>Belanghebbenden van een bedrijf hebben behoefte aan informatie.</w:t>
      </w:r>
      <w:r>
        <w:rPr>
          <w:rFonts w:ascii="Times New Roman" w:hAnsi="Times New Roman"/>
          <w:color w:val="000000"/>
          <w:sz w:val="24"/>
        </w:rPr>
        <w:t xml:space="preserve"> Deze belanghebbenden lopen uiteen van aandeelhouders en leveranciers tot de fiscus en de media. Zij zijn geïnteresseerd in informatie over een bedrijf waarmee zij een eerlijk oordeel kunnen vellen over bijvoorbeeld de winstgevendheid van een organisatie.</w:t>
      </w:r>
      <w:r>
        <w:rPr>
          <w:rStyle w:val="FootnoteReference"/>
          <w:rFonts w:ascii="Times New Roman" w:hAnsi="Times New Roman"/>
          <w:color w:val="000000"/>
          <w:sz w:val="24"/>
        </w:rPr>
        <w:footnoteReference w:id="22"/>
      </w:r>
      <w:r>
        <w:rPr>
          <w:rFonts w:ascii="Times New Roman" w:hAnsi="Times New Roman"/>
          <w:color w:val="000000"/>
          <w:sz w:val="24"/>
        </w:rPr>
        <w:t xml:space="preserve"> Om verschillende bedrijven met elkaar te kunnen vergelijken en om dezelfde informatie beschikbaar te hebben, zijn wetten en regels nodig. Bedrijven die in Nederland gevestigd zijn moeten hun jaarverslag opstellen conform de Nederlandse wet- en regelgeving. Een belangrijke Nederlandse wet is opgenomen in titel 9 van boek 2 van het Burgerlijk Wetboek. Hierin wordt bepaald hoe een jaarverslag er uit moet zien en waar het moet worden gedeponeerd, namelijk bij het Handelsregister. Dit artikel geldt alleen voor rechtspersonen.</w:t>
      </w:r>
      <w:r>
        <w:rPr>
          <w:rStyle w:val="FootnoteReference"/>
          <w:rFonts w:ascii="Times New Roman" w:hAnsi="Times New Roman"/>
          <w:color w:val="000000"/>
          <w:sz w:val="24"/>
        </w:rPr>
        <w:footnoteReference w:id="23"/>
      </w:r>
      <w:r>
        <w:rPr>
          <w:rFonts w:ascii="Times New Roman" w:hAnsi="Times New Roman"/>
          <w:color w:val="000000"/>
          <w:sz w:val="24"/>
        </w:rPr>
        <w:t xml:space="preserve"> Daarnaast kent Nederland de Richtlijnen voor de Jaarverslaggeving welke worden opgesteld door de Raad van de Jaarverslaggeving. Zoals het woord richtlijnen al doet vermoeden, is dit geen wet maar een aanvulling op de wet. Het is niet verboden om af te wijken van de Richtlijnen, maar men moet wel een gegronde reden vermelden waarom is afgeweken. Door de, ook in hoofdstuk 1 genoemde, toenemende globalisatie is Nederlandse regelgeving voor grote bedrijven te beperkt. Om deze reden heeft de Europese Unie in 2005 besloten dat beursgenoteerde bedrijven verplicht zijn hun geconsolideerde jaarverslag op te stellen volgens de regels van de International Financial Reporting Standards (IFRS).</w:t>
      </w:r>
      <w:r>
        <w:rPr>
          <w:rStyle w:val="FootnoteReference"/>
          <w:rFonts w:ascii="Times New Roman" w:hAnsi="Times New Roman"/>
          <w:color w:val="000000"/>
          <w:sz w:val="24"/>
        </w:rPr>
        <w:footnoteReference w:id="24"/>
      </w:r>
      <w:r>
        <w:rPr>
          <w:rFonts w:ascii="Times New Roman" w:hAnsi="Times New Roman"/>
          <w:color w:val="000000"/>
          <w:sz w:val="24"/>
        </w:rPr>
        <w:t xml:space="preserve"> Dit maakt vergelijking van internationale bedrijven gemakkelijker. Deze regels worden opgesteld door de International Accounting Standards Board en zullen worden toegelicht in paragraaf 3.3.</w:t>
      </w:r>
    </w:p>
    <w:p w:rsidR="00497A28" w:rsidRDefault="00497A28" w:rsidP="000E05B6">
      <w:pPr>
        <w:spacing w:line="360" w:lineRule="auto"/>
        <w:rPr>
          <w:rFonts w:ascii="Times New Roman" w:hAnsi="Times New Roman"/>
          <w:color w:val="000000"/>
          <w:sz w:val="24"/>
        </w:rPr>
      </w:pPr>
      <w:r>
        <w:rPr>
          <w:rFonts w:ascii="Times New Roman" w:hAnsi="Times New Roman"/>
          <w:color w:val="000000"/>
          <w:sz w:val="24"/>
        </w:rPr>
        <w:t>De wet- en regelgeving in Nederland komt dus vooral uit titel 9 Boek 2 BW. In dit artikel is alles opgenomen wat betreft externe verslaggeving, verdeeld over 15 afdelingen. Hier staat ondermeer de doelformulering van de jaarrekening. Daarnaast wordt onder andere vermeld wat in het jaarverslag moet staan, wanneer en hoe de openbaarmaking moet plaatsvinden en wat de regels zijn met betrekking tot geconsolideerde jaarrekeningen. Afdeling 13 schrijft voor dat 'jaarrekeningen van ondernemingen die tot een groep behoren, moeten worden geconsolideerd'.</w:t>
      </w:r>
      <w:r>
        <w:rPr>
          <w:rStyle w:val="FootnoteReference"/>
          <w:rFonts w:ascii="Times New Roman" w:hAnsi="Times New Roman"/>
          <w:color w:val="000000"/>
          <w:sz w:val="24"/>
        </w:rPr>
        <w:footnoteReference w:id="25"/>
      </w:r>
      <w:r>
        <w:rPr>
          <w:rFonts w:ascii="Times New Roman" w:hAnsi="Times New Roman"/>
          <w:color w:val="000000"/>
          <w:sz w:val="24"/>
        </w:rPr>
        <w:t xml:space="preserve"> Zoals ook vermeld in hoofdstuk 2 is consolidatie, volgens de Nederlandse wetgeving, verplicht. Artikel 405 van titel 9 BW 2 definieert een geconsolideerde jaarrekening als volgt: 'Een geconsolideerde jaarrekening is de jaarrekening waarin de activa, passiva, baten en lasten van de rechtspersonen en vennootschappen die een groep of groepsdeel vormen en andere in de consolidatie meegenomen rechtspersonen en vennootschappen, als één geheel worden opgenomen.'</w:t>
      </w:r>
      <w:r>
        <w:rPr>
          <w:rStyle w:val="FootnoteReference"/>
          <w:rFonts w:ascii="Times New Roman" w:hAnsi="Times New Roman"/>
          <w:color w:val="000000"/>
          <w:sz w:val="24"/>
        </w:rPr>
        <w:footnoteReference w:id="26"/>
      </w:r>
      <w:r>
        <w:rPr>
          <w:rFonts w:ascii="Times New Roman" w:hAnsi="Times New Roman"/>
          <w:color w:val="000000"/>
          <w:sz w:val="24"/>
        </w:rPr>
        <w:t xml:space="preserve"> Hierbij geldt, zoals ook eerder vermeld, dat de moedermaatschappij deze geconsolideerde jaarrekening opstelt en alle dochtermaatschappijen waar zij zeggenschap over heeft, mee neemt. De geconsolideerde jaarrekening is in Nederland een onderdeel van de toelichting op de enkelvoudige jaarrekening. Er wordt in de wet geen onderscheid gemaakt tussen binnen- en buitenlandse deelnemingen. Zeggenschap is zeggenschap, of de dochtermaatschappij nu in Nederland of in de Verenigde Staten gevestigd is. Het is echter wel van belang dat er voor de consolidatie plaats vind correcties worden gedaan met betrekking tot de valuta. Wanneer moeder en dochter niet in hetzelfde land gevestigd zijn, kan het zijn dat zij een andere valuta hanteren voor hun jaarrekening, deze verschillen moeten door middel van een correctiepost worden weggenomen alvorens consolidatie kan plaatsvinden.</w:t>
      </w:r>
      <w:r>
        <w:rPr>
          <w:rStyle w:val="FootnoteReference"/>
          <w:rFonts w:ascii="Times New Roman" w:hAnsi="Times New Roman"/>
          <w:color w:val="000000"/>
          <w:sz w:val="24"/>
        </w:rPr>
        <w:footnoteReference w:id="27"/>
      </w:r>
      <w:r>
        <w:rPr>
          <w:rFonts w:ascii="Times New Roman" w:hAnsi="Times New Roman"/>
          <w:color w:val="000000"/>
          <w:sz w:val="24"/>
        </w:rPr>
        <w:t xml:space="preserve"> Hierbij geldt wederom dat de dochter zich aanpast aan de moeder en dus haar cijfers in de valuta van de moedermaatschappij moet zetten. </w:t>
      </w:r>
    </w:p>
    <w:p w:rsidR="00497A28" w:rsidRDefault="00497A28" w:rsidP="000E05B6">
      <w:pPr>
        <w:spacing w:line="360" w:lineRule="auto"/>
        <w:rPr>
          <w:rFonts w:ascii="Times New Roman" w:hAnsi="Times New Roman"/>
          <w:color w:val="000000"/>
          <w:sz w:val="24"/>
        </w:rPr>
      </w:pPr>
      <w:r>
        <w:rPr>
          <w:rFonts w:ascii="Times New Roman" w:hAnsi="Times New Roman"/>
          <w:color w:val="000000"/>
          <w:sz w:val="24"/>
        </w:rPr>
        <w:t>In afdeling 2 van titel 9 BW 2 staan algemene bepalingen die gelden voor de jaarrekening, zowel de enkelvoudige als de geconsolideerde jaarrekening. De kwaliteitseisen die gelden voor de jaarrekening zijn inzicht van belanghebbenden, relevantie, stelselmatigheid en materialiteit.</w:t>
      </w:r>
      <w:r>
        <w:rPr>
          <w:rStyle w:val="FootnoteReference"/>
          <w:rFonts w:ascii="Times New Roman" w:hAnsi="Times New Roman"/>
          <w:color w:val="000000"/>
          <w:sz w:val="24"/>
        </w:rPr>
        <w:footnoteReference w:id="28"/>
      </w:r>
      <w:r>
        <w:rPr>
          <w:rFonts w:ascii="Times New Roman" w:hAnsi="Times New Roman"/>
          <w:color w:val="000000"/>
          <w:sz w:val="24"/>
        </w:rPr>
        <w:t xml:space="preserve"> </w:t>
      </w:r>
      <w:r>
        <w:rPr>
          <w:rFonts w:ascii="Times New Roman" w:hAnsi="Times New Roman"/>
          <w:color w:val="000000"/>
          <w:sz w:val="24"/>
        </w:rPr>
        <w:br/>
        <w:t xml:space="preserve">De eerste eis stelt dat belanghebbenden eisen stellen aan de informatie die zij van een bedrijf vragen en de jaarrekening moet aan deze eisen tegemoet komen. Zij hebben zelfs het recht om een klacht in te dienen bij de ondernemingskamer als de jaarrekening onvoldoende inzicht geeft. Relevantie wil zeggen dat alleen de nodige informatie wordt vrijgegeven. Dit betekent dat het voor sommige gegevens duurder is om ze uit te zoeken dan dat ze waarde opleveren met de vermelding in het jaarverslag. Dergelijke informatie wordt weggelaten. Met stelselmatigheid doelt de wetgever erop dat een vermogens- of resultaatbepaling in de tijd hetzelfde moet blijven. Het is niet de bedoeling dat per jaar wordt gekozen voor een zo gunstig mogelijk stelsel. Tot slot moet met de eis van materialiteit worden voorkomen dat veel kleine, onnodige bedragen in de jaarrekeningen staan. Bedragen met weinig betekenis mogen worden samengevoegd met andere posten. Er wordt hier niet verder ingegaan op de subjectiviteit van deze eisen. </w:t>
      </w:r>
    </w:p>
    <w:p w:rsidR="00497A28" w:rsidRDefault="00497A28" w:rsidP="000E05B6">
      <w:pPr>
        <w:spacing w:line="360" w:lineRule="auto"/>
        <w:rPr>
          <w:rFonts w:ascii="Times New Roman" w:hAnsi="Times New Roman"/>
          <w:color w:val="000000"/>
          <w:sz w:val="24"/>
        </w:rPr>
      </w:pPr>
      <w:r>
        <w:rPr>
          <w:rFonts w:ascii="Times New Roman" w:hAnsi="Times New Roman"/>
          <w:color w:val="000000"/>
          <w:sz w:val="24"/>
        </w:rPr>
        <w:t>Tot zover de belangrijkste eisen die in de wet zijn opgenomen voor het opstellen van een geconsolideerde jaarrekening. Ter aanvulling op deze wettelijke bepalingen, opgenomen in boek 2, titel 9 van het burgerlijk wetboek, zijn er de Richtlijnen voor de Jaarverslaggeving. Nogmaals, deze richtlijnen zijn niet verplicht maar zijn over het algemeen wel noodzakelijk om te kunnen voldoen aan algemeen aanvaarde grondslagen van financiële verslaggeving. Dan volgt nu een overzicht van de internationale wet- en regelgeving.</w:t>
      </w:r>
    </w:p>
    <w:p w:rsidR="00497A28" w:rsidRDefault="00497A28" w:rsidP="000E05B6">
      <w:pPr>
        <w:spacing w:line="360" w:lineRule="auto"/>
        <w:rPr>
          <w:rFonts w:ascii="Times New Roman" w:hAnsi="Times New Roman"/>
          <w:color w:val="000000"/>
          <w:sz w:val="24"/>
        </w:rPr>
      </w:pPr>
      <w:r>
        <w:rPr>
          <w:rFonts w:ascii="Times New Roman" w:hAnsi="Times New Roman"/>
          <w:b/>
          <w:color w:val="000000"/>
          <w:sz w:val="24"/>
        </w:rPr>
        <w:t>3.4</w:t>
      </w:r>
      <w:r w:rsidRPr="006B637F">
        <w:rPr>
          <w:rFonts w:ascii="Times New Roman" w:hAnsi="Times New Roman"/>
          <w:b/>
          <w:color w:val="000000"/>
          <w:sz w:val="24"/>
        </w:rPr>
        <w:t xml:space="preserve"> Internationale wetgeving: International Accounting Standards Board</w:t>
      </w:r>
      <w:r>
        <w:rPr>
          <w:rFonts w:ascii="Times New Roman" w:hAnsi="Times New Roman"/>
          <w:b/>
          <w:color w:val="000000"/>
          <w:sz w:val="24"/>
        </w:rPr>
        <w:t xml:space="preserve"> </w:t>
      </w:r>
      <w:r w:rsidRPr="006B637F">
        <w:rPr>
          <w:rFonts w:ascii="Times New Roman" w:hAnsi="Times New Roman"/>
          <w:b/>
          <w:color w:val="000000"/>
          <w:sz w:val="24"/>
        </w:rPr>
        <w:br/>
      </w:r>
      <w:r w:rsidRPr="006B637F">
        <w:rPr>
          <w:rFonts w:ascii="Times New Roman" w:hAnsi="Times New Roman"/>
          <w:color w:val="000000"/>
          <w:sz w:val="24"/>
        </w:rPr>
        <w:t xml:space="preserve">De International Accounting Standards Board (IASB) is een samenwerkingsverband van verschillende nationale accountantsorganisaties. </w:t>
      </w:r>
      <w:r>
        <w:rPr>
          <w:rFonts w:ascii="Times New Roman" w:hAnsi="Times New Roman"/>
          <w:color w:val="000000"/>
          <w:sz w:val="24"/>
        </w:rPr>
        <w:t>Het is een onafhankelijke organisatie gevestigd in Londen</w:t>
      </w:r>
      <w:r>
        <w:rPr>
          <w:rStyle w:val="FootnoteReference"/>
          <w:rFonts w:ascii="Times New Roman" w:hAnsi="Times New Roman"/>
          <w:color w:val="000000"/>
          <w:sz w:val="24"/>
        </w:rPr>
        <w:footnoteReference w:id="29"/>
      </w:r>
      <w:r>
        <w:rPr>
          <w:rFonts w:ascii="Times New Roman" w:hAnsi="Times New Roman"/>
          <w:color w:val="000000"/>
          <w:sz w:val="24"/>
        </w:rPr>
        <w:t xml:space="preserve"> en probeert de wet- en regelgeving van verschillende landen te harmoniseren en presenteert de International Financial Reporting Standards (IFRS). </w:t>
      </w:r>
      <w:r w:rsidRPr="0031305C">
        <w:rPr>
          <w:rFonts w:ascii="Times New Roman" w:hAnsi="Times New Roman"/>
          <w:color w:val="000000"/>
          <w:sz w:val="24"/>
          <w:lang w:val="en-GB"/>
        </w:rPr>
        <w:t xml:space="preserve">Dit is nodig omdat zoals Ball in zijn artikel schrijft: 'Increased worldwide integration of both markets and politics (driven by reductions in communications and information processing costs) makes increased integration of financial reporting standards and practice almost inevitable'. </w:t>
      </w:r>
      <w:r>
        <w:rPr>
          <w:rStyle w:val="FootnoteReference"/>
          <w:rFonts w:ascii="Times New Roman" w:hAnsi="Times New Roman"/>
          <w:color w:val="000000"/>
          <w:sz w:val="24"/>
          <w:lang w:val="en-GB"/>
        </w:rPr>
        <w:footnoteReference w:id="30"/>
      </w:r>
      <w:r w:rsidRPr="0031305C">
        <w:rPr>
          <w:rFonts w:ascii="Times New Roman" w:hAnsi="Times New Roman"/>
          <w:color w:val="000000"/>
          <w:sz w:val="24"/>
          <w:lang w:val="en-GB"/>
        </w:rPr>
        <w:t xml:space="preserve"> </w:t>
      </w:r>
      <w:r w:rsidRPr="00A17058">
        <w:rPr>
          <w:rFonts w:ascii="Times New Roman" w:hAnsi="Times New Roman"/>
          <w:color w:val="000000"/>
          <w:sz w:val="24"/>
        </w:rPr>
        <w:t>Daarom is, zoals eerder vermeld,</w:t>
      </w:r>
      <w:r>
        <w:rPr>
          <w:rFonts w:ascii="Times New Roman" w:hAnsi="Times New Roman"/>
          <w:color w:val="000000"/>
          <w:sz w:val="24"/>
        </w:rPr>
        <w:t xml:space="preserve"> in 2005 door de Europese Unie besloten dat in ieder geval beursgenoteerde bedrijven verplicht zijn hun geconsolideerde jaarrekening op te stellen conform de IFRS. Daarmee zijn de IFRS benoemd tot wettelijke bepalingen, wat niet geld voor de Richtlijnen van de Jaarverslaggeving zoals vermeld in hoofdstuk 2. </w:t>
      </w:r>
      <w:r w:rsidRPr="00A17058">
        <w:rPr>
          <w:rFonts w:ascii="Times New Roman" w:hAnsi="Times New Roman"/>
          <w:color w:val="000000"/>
          <w:sz w:val="24"/>
        </w:rPr>
        <w:t xml:space="preserve">De Nederlandse Richtlijnen voor Jaarverslaggeving worden </w:t>
      </w:r>
      <w:r>
        <w:rPr>
          <w:rFonts w:ascii="Times New Roman" w:hAnsi="Times New Roman"/>
          <w:color w:val="000000"/>
          <w:sz w:val="24"/>
        </w:rPr>
        <w:t xml:space="preserve">wel </w:t>
      </w:r>
      <w:r w:rsidRPr="00A17058">
        <w:rPr>
          <w:rFonts w:ascii="Times New Roman" w:hAnsi="Times New Roman"/>
          <w:color w:val="000000"/>
          <w:sz w:val="24"/>
        </w:rPr>
        <w:t xml:space="preserve">gebaseerd op </w:t>
      </w:r>
      <w:r>
        <w:rPr>
          <w:rFonts w:ascii="Times New Roman" w:hAnsi="Times New Roman"/>
          <w:color w:val="000000"/>
          <w:sz w:val="24"/>
        </w:rPr>
        <w:t>de</w:t>
      </w:r>
      <w:r w:rsidRPr="00A17058">
        <w:rPr>
          <w:rFonts w:ascii="Times New Roman" w:hAnsi="Times New Roman"/>
          <w:color w:val="000000"/>
          <w:sz w:val="24"/>
        </w:rPr>
        <w:t xml:space="preserve"> IFRS.</w:t>
      </w:r>
      <w:r>
        <w:rPr>
          <w:rStyle w:val="FootnoteReference"/>
          <w:rFonts w:ascii="Times New Roman" w:hAnsi="Times New Roman"/>
          <w:color w:val="000000"/>
          <w:sz w:val="24"/>
        </w:rPr>
        <w:footnoteReference w:id="31"/>
      </w:r>
      <w:r w:rsidRPr="0031305C">
        <w:rPr>
          <w:rFonts w:ascii="Times New Roman" w:hAnsi="Times New Roman"/>
          <w:color w:val="000000"/>
          <w:sz w:val="24"/>
        </w:rPr>
        <w:t xml:space="preserve"> </w:t>
      </w:r>
      <w:r>
        <w:rPr>
          <w:rFonts w:ascii="Times New Roman" w:hAnsi="Times New Roman"/>
          <w:color w:val="000000"/>
          <w:sz w:val="24"/>
        </w:rPr>
        <w:t xml:space="preserve">Het internationaal harmoniseren van wetten en regels brengt meerdere voordelen met zich mee. Het eerste voordeel heeft te maken met het feit dat geharmoniseerde standaarden een publiek goed zijn, wanneer het er eenmaal is zijn er geen marginale kosten voor het gebruik. Het tweede voordeel is dat managers niet langer de mogelijkheid hebben een zo gunstig mogelijke regel toe te passen. Dit geldt in het bijzonder voor bedrijven die opereren in meerdere landen, zodat zij de standaarden van verschillende landen kunnen gebruiken. Een derde voordeel is dat de vergelijkbaarheid van bedrijven in verschillende landen wordt vergroot. </w:t>
      </w:r>
      <w:r>
        <w:rPr>
          <w:rStyle w:val="FootnoteReference"/>
          <w:rFonts w:ascii="Times New Roman" w:hAnsi="Times New Roman"/>
          <w:color w:val="000000"/>
          <w:sz w:val="24"/>
        </w:rPr>
        <w:footnoteReference w:id="32"/>
      </w:r>
      <w:r>
        <w:rPr>
          <w:rFonts w:ascii="Times New Roman" w:hAnsi="Times New Roman"/>
          <w:color w:val="000000"/>
          <w:sz w:val="24"/>
        </w:rPr>
        <w:t xml:space="preserve"> </w:t>
      </w:r>
      <w:r>
        <w:rPr>
          <w:rFonts w:ascii="Times New Roman" w:hAnsi="Times New Roman"/>
          <w:color w:val="000000"/>
          <w:sz w:val="24"/>
        </w:rPr>
        <w:br/>
        <w:t>Er zijn echter ook nadelen aan een internationale regelgeving. De eerste is de vraag of er wel iets bestaat als 'one size fits all'. Het is niet duidelijk of een duidelijke standaard of regel ook een duidelijke kwaliteit met zich meebrengt. Daarnaast kost het veel geld om waterdichte internationaal toepasbare regels te ontwikkelen. Er moet veel onderzoek worden gedaan om dergelijke regels te ontwikkelen en op te stellen. Desondanks zijn er al veel landen waar IFRS verplicht is of waar beursgenoteerde bedrijven verplicht zijn hun jaarrekening op te stellen conform IFRS. Onder de laatste groep vallen onder meer Chili, Nieuw-Zeeland, Zuid-Afrika en natuurlijk alle EU-landen. In onder meer Aruba, Bolivia en Zimbabwe is het voor iedereen verplicht IFRS toe te passen.</w:t>
      </w:r>
      <w:r>
        <w:rPr>
          <w:rStyle w:val="FootnoteReference"/>
          <w:rFonts w:ascii="Times New Roman" w:hAnsi="Times New Roman"/>
          <w:color w:val="000000"/>
          <w:sz w:val="24"/>
        </w:rPr>
        <w:footnoteReference w:id="33"/>
      </w:r>
    </w:p>
    <w:p w:rsidR="00497A28" w:rsidRDefault="00497A28" w:rsidP="000E05B6">
      <w:pPr>
        <w:spacing w:line="360" w:lineRule="auto"/>
        <w:rPr>
          <w:rFonts w:ascii="Times New Roman" w:hAnsi="Times New Roman"/>
          <w:color w:val="000000"/>
          <w:sz w:val="24"/>
        </w:rPr>
      </w:pPr>
      <w:r>
        <w:rPr>
          <w:rFonts w:ascii="Times New Roman" w:hAnsi="Times New Roman"/>
          <w:color w:val="000000"/>
          <w:sz w:val="24"/>
        </w:rPr>
        <w:t xml:space="preserve">Naast de IFRS bestaan nog de oudere standaarden, deze heetten vroeger International Accounting Standards (IAS). Deze IAS komen van de voorloper van de IASB, de International Accounting Standards Committee (IASC) en zijn niet komen te vervallen, maar zijn uitgebreid. De IFRS zijn hier aan toegevoegd in de loop der tijd. </w:t>
      </w:r>
      <w:r>
        <w:rPr>
          <w:rFonts w:ascii="Times New Roman" w:hAnsi="Times New Roman"/>
          <w:color w:val="000000"/>
          <w:sz w:val="24"/>
        </w:rPr>
        <w:br/>
        <w:t>De IASC heeft een 'conceptual framework' ontwikkelt waarop de regelgeving gebaseerd is. Dit framework zelf is geen standaard, maar wordt gebruikt als richtlijn voor zowel de IASB als de gebruikers. De belangrijkste eisen die de IASB stelt aan een jaarrekening zijn:</w:t>
      </w:r>
      <w:r>
        <w:rPr>
          <w:rFonts w:ascii="Times New Roman" w:hAnsi="Times New Roman"/>
          <w:color w:val="000000"/>
          <w:sz w:val="24"/>
        </w:rPr>
        <w:br/>
      </w:r>
      <w:r>
        <w:rPr>
          <w:rFonts w:ascii="Times New Roman" w:hAnsi="Times New Roman"/>
          <w:color w:val="000000"/>
          <w:sz w:val="24"/>
        </w:rPr>
        <w:tab/>
        <w:t>- 'relevance'</w:t>
      </w:r>
      <w:r>
        <w:rPr>
          <w:rFonts w:ascii="Times New Roman" w:hAnsi="Times New Roman"/>
          <w:color w:val="000000"/>
          <w:sz w:val="24"/>
        </w:rPr>
        <w:br/>
      </w:r>
      <w:r>
        <w:rPr>
          <w:rFonts w:ascii="Times New Roman" w:hAnsi="Times New Roman"/>
          <w:color w:val="000000"/>
          <w:sz w:val="24"/>
        </w:rPr>
        <w:tab/>
        <w:t>- 'reliability'</w:t>
      </w:r>
      <w:r>
        <w:rPr>
          <w:rFonts w:ascii="Times New Roman" w:hAnsi="Times New Roman"/>
          <w:color w:val="000000"/>
          <w:sz w:val="24"/>
        </w:rPr>
        <w:br/>
      </w:r>
      <w:r>
        <w:rPr>
          <w:rFonts w:ascii="Times New Roman" w:hAnsi="Times New Roman"/>
          <w:color w:val="000000"/>
          <w:sz w:val="24"/>
        </w:rPr>
        <w:tab/>
        <w:t>- 'comparability'</w:t>
      </w:r>
      <w:r>
        <w:rPr>
          <w:rFonts w:ascii="Times New Roman" w:hAnsi="Times New Roman"/>
          <w:color w:val="000000"/>
          <w:sz w:val="24"/>
        </w:rPr>
        <w:br/>
      </w:r>
      <w:r>
        <w:rPr>
          <w:rFonts w:ascii="Times New Roman" w:hAnsi="Times New Roman"/>
          <w:color w:val="000000"/>
          <w:sz w:val="24"/>
        </w:rPr>
        <w:tab/>
        <w:t>- 'understandability'.</w:t>
      </w:r>
    </w:p>
    <w:p w:rsidR="00497A28" w:rsidRPr="0031305C" w:rsidRDefault="00497A28" w:rsidP="000E05B6">
      <w:pPr>
        <w:spacing w:line="360" w:lineRule="auto"/>
        <w:rPr>
          <w:rFonts w:ascii="Times New Roman" w:hAnsi="Times New Roman"/>
          <w:color w:val="000000"/>
          <w:sz w:val="24"/>
        </w:rPr>
      </w:pPr>
      <w:r>
        <w:rPr>
          <w:rFonts w:ascii="Times New Roman" w:hAnsi="Times New Roman"/>
          <w:color w:val="000000"/>
          <w:sz w:val="24"/>
        </w:rPr>
        <w:t>De relevantie is hetzelfde als de relevantie die de Nederlandse wetgever eist, dat wil zeggen dat de informatie die belanghebbenden vragen gegeven wordt, zonder te veel 'inside information' vrij te geven. De eis 'reliable' betekent onder meer dat de jaarrekening 1) getrouw de financiële positie, financiële performance en cashflows moet weergeven, 2) neutraal moet zijn, 3) voorzichtig moet zijn en 4) compleet moet zijn.</w:t>
      </w:r>
      <w:r>
        <w:rPr>
          <w:rStyle w:val="FootnoteReference"/>
          <w:rFonts w:ascii="Times New Roman" w:hAnsi="Times New Roman"/>
          <w:color w:val="000000"/>
          <w:sz w:val="24"/>
        </w:rPr>
        <w:footnoteReference w:id="34"/>
      </w:r>
      <w:r>
        <w:rPr>
          <w:rFonts w:ascii="Times New Roman" w:hAnsi="Times New Roman"/>
          <w:color w:val="000000"/>
          <w:sz w:val="24"/>
        </w:rPr>
        <w:t xml:space="preserve"> Deze eisen komen erg overeen met de eisen die de Nederlandse wetgever stelt aan de jaarrekening. Verder is een jaarrekening 'comparable' als deze vergelijkbaar is met jaarrekeningen van andere bedrijven en uit andere jaren.</w:t>
      </w:r>
      <w:r>
        <w:rPr>
          <w:rStyle w:val="FootnoteReference"/>
          <w:rFonts w:ascii="Times New Roman" w:hAnsi="Times New Roman"/>
          <w:color w:val="000000"/>
          <w:sz w:val="24"/>
        </w:rPr>
        <w:footnoteReference w:id="35"/>
      </w:r>
      <w:r>
        <w:rPr>
          <w:rFonts w:ascii="Times New Roman" w:hAnsi="Times New Roman"/>
          <w:color w:val="000000"/>
          <w:sz w:val="24"/>
        </w:rPr>
        <w:t xml:space="preserve"> Tot slot moet aan de eis van 'understandability' worden voldaan, al wil dit niet zeggen dat een jaarrekening simplistisch moet zijn. Met begrijpelijk wordt bedoeld dat mensen met enige kennis van zaken de jaarrekening moeten kunnen lezen.</w:t>
      </w:r>
      <w:r>
        <w:rPr>
          <w:rStyle w:val="FootnoteReference"/>
          <w:rFonts w:ascii="Times New Roman" w:hAnsi="Times New Roman"/>
          <w:color w:val="000000"/>
          <w:sz w:val="24"/>
        </w:rPr>
        <w:footnoteReference w:id="36"/>
      </w:r>
    </w:p>
    <w:p w:rsidR="00497A28" w:rsidRDefault="00497A28" w:rsidP="000E05B6">
      <w:pPr>
        <w:spacing w:line="360" w:lineRule="auto"/>
        <w:rPr>
          <w:rFonts w:ascii="Times New Roman" w:hAnsi="Times New Roman"/>
          <w:color w:val="000000"/>
          <w:sz w:val="24"/>
        </w:rPr>
      </w:pPr>
      <w:r>
        <w:rPr>
          <w:rFonts w:ascii="Times New Roman" w:hAnsi="Times New Roman"/>
          <w:color w:val="000000"/>
          <w:sz w:val="24"/>
        </w:rPr>
        <w:t>De regels die gelden voor consolidatie zijn opgenomen in de oude IAS 27 en in de nieuwe IFRS 3, beiden zijn in maart 2008 gepresenteerd.</w:t>
      </w:r>
      <w:r>
        <w:rPr>
          <w:rStyle w:val="FootnoteReference"/>
          <w:rFonts w:ascii="Times New Roman" w:hAnsi="Times New Roman"/>
          <w:color w:val="000000"/>
          <w:sz w:val="24"/>
        </w:rPr>
        <w:footnoteReference w:id="37"/>
      </w:r>
      <w:r>
        <w:rPr>
          <w:rFonts w:ascii="Times New Roman" w:hAnsi="Times New Roman"/>
          <w:color w:val="000000"/>
          <w:sz w:val="24"/>
        </w:rPr>
        <w:t xml:space="preserve"> Het belangrijkste criterium op basis waarvan consolidatie plaats vindt is 'control'. Een moedermaatschappij die 'control' over een dochtermaatschappij heeft, is verplicht deze te consolideren volgens paragraaf 4 van IAS 27. Ook hierin wordt geen onderscheid gemaakt tussen een binnen- en een buitenlandse deelneming in een dochtermaatschappij. Dit komt overeen met de zeggenschap die de Nederlandse wetgeving vereist om een dochtermaatschappij te consolideren. Een verschil met de Nederlandse wetgeving is dat de IFRS er vanuit gaat dat de enkelvoudige en de geconsolideerde jaarrekeningen aparte documenten zijn, terwijl eerder genoemd is dat de geconsolideerde jaarrekening in Nederland een toelichting vormt op de enkelvoudige jaarrekening.</w:t>
      </w:r>
      <w:r>
        <w:rPr>
          <w:rStyle w:val="FootnoteReference"/>
          <w:rFonts w:ascii="Times New Roman" w:hAnsi="Times New Roman"/>
          <w:color w:val="000000"/>
          <w:sz w:val="24"/>
        </w:rPr>
        <w:footnoteReference w:id="38"/>
      </w:r>
    </w:p>
    <w:p w:rsidR="00497A28" w:rsidRDefault="00497A28">
      <w:pPr>
        <w:rPr>
          <w:rFonts w:ascii="Times New Roman" w:hAnsi="Times New Roman"/>
          <w:b/>
          <w:color w:val="000000"/>
          <w:sz w:val="24"/>
        </w:rPr>
      </w:pPr>
      <w:r>
        <w:rPr>
          <w:rFonts w:ascii="Times New Roman" w:hAnsi="Times New Roman"/>
          <w:b/>
          <w:color w:val="000000"/>
          <w:sz w:val="24"/>
        </w:rPr>
        <w:br w:type="page"/>
      </w:r>
    </w:p>
    <w:p w:rsidR="00497A28" w:rsidRDefault="00497A28" w:rsidP="000E05B6">
      <w:pPr>
        <w:spacing w:line="360" w:lineRule="auto"/>
        <w:rPr>
          <w:rFonts w:ascii="Times New Roman" w:hAnsi="Times New Roman"/>
          <w:color w:val="000000"/>
          <w:sz w:val="24"/>
        </w:rPr>
      </w:pPr>
      <w:r>
        <w:rPr>
          <w:rFonts w:ascii="Times New Roman" w:hAnsi="Times New Roman"/>
          <w:b/>
          <w:color w:val="000000"/>
          <w:sz w:val="24"/>
        </w:rPr>
        <w:t>3.5 Samenvatting</w:t>
      </w:r>
      <w:r>
        <w:rPr>
          <w:rFonts w:ascii="Times New Roman" w:hAnsi="Times New Roman"/>
          <w:b/>
          <w:color w:val="000000"/>
          <w:sz w:val="24"/>
        </w:rPr>
        <w:br/>
      </w:r>
      <w:r>
        <w:rPr>
          <w:rFonts w:ascii="Times New Roman" w:hAnsi="Times New Roman"/>
          <w:color w:val="000000"/>
          <w:sz w:val="24"/>
        </w:rPr>
        <w:t xml:space="preserve">Voor zowel de Nederlandse als de Internationale wet- en regelgeving geldt dat consolidatie moet plaatsvinden wanneer de moedermaatschappij de zeggenschap of 'control' over een dochtermaatschappij heeft. In de praktijk betekent dit meestal dat zij meer dan 50% van de aandelen bezit, maar dit hoeft niet altijd het geval te zijn. Het Burgerlijk Wetboek, De Raad van de Jaarverslaggeving en de IASB maken hierbij allen geen onderscheid tussen binnen en buitenlandse deelnemingen. Het antwoord op deelvraag 2, "Welke ondernemingen moeten geconsolideerd worden?" is dus: alle dochtermaatschappijen waarover de moeder zeggenschap bezit, of zij nu in binnen- of buitenland gevestigd zijn, moeten worden geconsolideerd. </w:t>
      </w:r>
      <w:r>
        <w:rPr>
          <w:rFonts w:ascii="Times New Roman" w:hAnsi="Times New Roman"/>
          <w:color w:val="000000"/>
          <w:sz w:val="24"/>
        </w:rPr>
        <w:br/>
        <w:t xml:space="preserve">Verder eist de wetgeving in Nederland dat een geconsolideerde jaarrekening relevant, stelselmatig en materieel moet zijn. De internationale wetgeving eist door middel van de IFRS dat een geconsolideerde jaarrekening 'relevant', 'reliable', 'comparable' en 'understandable' moet zijn. Het enige verschil tussen de Nederlandse en de Internationale wetgeving is niet van inhoudelijke aard, maar meer een verschil in visie. De Nederlandse wetgeving ziet de geconsolideerde jaarrekening als een toelichting op de enkelvoudige jaarrekening, terwijl dit Internationaal als twee aparte verslagen wordt gezien. Op dit verschil na is de Nederlandse wetgeving al goed afgestemd op de Internationale wetgeving. Er zijn geen inhoudelijk significante verschillen in het opstellen van de geconsolideerde jaarrekening. </w:t>
      </w:r>
    </w:p>
    <w:p w:rsidR="00497A28" w:rsidRPr="004F146B" w:rsidRDefault="00497A28" w:rsidP="00F37743">
      <w:pPr>
        <w:spacing w:line="360" w:lineRule="auto"/>
        <w:rPr>
          <w:rFonts w:ascii="Times New Roman" w:hAnsi="Times New Roman"/>
          <w:b/>
          <w:color w:val="000000"/>
          <w:sz w:val="28"/>
        </w:rPr>
      </w:pPr>
      <w:r>
        <w:rPr>
          <w:rFonts w:ascii="Times New Roman" w:hAnsi="Times New Roman"/>
          <w:b/>
          <w:color w:val="000000"/>
          <w:sz w:val="28"/>
        </w:rPr>
        <w:br w:type="page"/>
      </w:r>
      <w:r w:rsidRPr="004F146B">
        <w:rPr>
          <w:rFonts w:ascii="Times New Roman" w:hAnsi="Times New Roman"/>
          <w:b/>
          <w:color w:val="000000"/>
          <w:sz w:val="28"/>
        </w:rPr>
        <w:t>Hoofdstuk 4: Consolidatie en</w:t>
      </w:r>
      <w:r>
        <w:rPr>
          <w:rFonts w:ascii="Times New Roman" w:hAnsi="Times New Roman"/>
          <w:b/>
          <w:color w:val="000000"/>
          <w:sz w:val="28"/>
        </w:rPr>
        <w:t xml:space="preserve"> de</w:t>
      </w:r>
      <w:r w:rsidRPr="004F146B">
        <w:rPr>
          <w:rFonts w:ascii="Times New Roman" w:hAnsi="Times New Roman"/>
          <w:b/>
          <w:color w:val="000000"/>
          <w:sz w:val="28"/>
        </w:rPr>
        <w:t xml:space="preserve"> invloed van het management</w:t>
      </w:r>
    </w:p>
    <w:p w:rsidR="00497A28" w:rsidRDefault="00497A28" w:rsidP="00F37743">
      <w:pPr>
        <w:spacing w:line="360" w:lineRule="auto"/>
        <w:rPr>
          <w:rFonts w:ascii="Times New Roman" w:hAnsi="Times New Roman"/>
          <w:color w:val="000000"/>
          <w:sz w:val="24"/>
        </w:rPr>
      </w:pPr>
      <w:r w:rsidRPr="004F146B">
        <w:rPr>
          <w:rFonts w:ascii="Times New Roman" w:hAnsi="Times New Roman"/>
          <w:b/>
          <w:color w:val="000000"/>
          <w:sz w:val="24"/>
        </w:rPr>
        <w:t>4.1 Inleiding</w:t>
      </w:r>
      <w:r>
        <w:rPr>
          <w:rFonts w:ascii="Times New Roman" w:hAnsi="Times New Roman"/>
          <w:b/>
          <w:color w:val="000000"/>
          <w:sz w:val="24"/>
        </w:rPr>
        <w:br/>
      </w:r>
      <w:r>
        <w:rPr>
          <w:rFonts w:ascii="Times New Roman" w:hAnsi="Times New Roman"/>
          <w:color w:val="000000"/>
          <w:sz w:val="24"/>
        </w:rPr>
        <w:t xml:space="preserve">In hoofdstuk 2 en 3 is duidelijk geworden wat consolideren inhoudt en wat de wet- en regelgeving rondom consolidatie is. De regels zijn heel duidelijk; deelnemingen waarin een moeder de meerheid heeft, de zeggenschap of 'control' over heeft, moet worden geconsolideerd. Dit geldt echter voor de theorie, is het in de praktijk ook zo eenvoudig? De vraag in dit hoofdstuk is hoe objectief de maatstaven zijn waaraan getoetst moet worden of consolidatie plaats moet vinden. Zijn er mogelijkheden voor verschillende interpretaties? Is het mogelijk om onder de wetgeving uit te komen? In dit hoofdstuk zal eerst winststuring in zijn algemene vorm worden besproken, daarna wordt gekeken of het management van een onderneming een rol kan spelen in het opstellen van de geconsolideerde jaarrekening. Deelvraag 3 zal worden beantwoord: </w:t>
      </w:r>
      <w:r w:rsidRPr="00507638">
        <w:rPr>
          <w:rFonts w:ascii="Times New Roman" w:hAnsi="Times New Roman"/>
          <w:i/>
          <w:color w:val="000000"/>
          <w:sz w:val="24"/>
        </w:rPr>
        <w:t>Hoe kan het management v</w:t>
      </w:r>
      <w:r>
        <w:rPr>
          <w:rFonts w:ascii="Times New Roman" w:hAnsi="Times New Roman"/>
          <w:i/>
          <w:color w:val="000000"/>
          <w:sz w:val="24"/>
        </w:rPr>
        <w:t>an een bedrijf de consolidatie uitkomsten</w:t>
      </w:r>
      <w:r w:rsidRPr="00507638">
        <w:rPr>
          <w:rFonts w:ascii="Times New Roman" w:hAnsi="Times New Roman"/>
          <w:i/>
          <w:color w:val="000000"/>
          <w:sz w:val="24"/>
        </w:rPr>
        <w:t xml:space="preserve"> beïnvloeden</w:t>
      </w:r>
      <w:r>
        <w:rPr>
          <w:rFonts w:ascii="Times New Roman" w:hAnsi="Times New Roman"/>
          <w:color w:val="000000"/>
          <w:sz w:val="24"/>
        </w:rPr>
        <w:t xml:space="preserve">? </w:t>
      </w:r>
    </w:p>
    <w:p w:rsidR="00497A28" w:rsidRDefault="00497A28" w:rsidP="00F37743">
      <w:pPr>
        <w:spacing w:line="360" w:lineRule="auto"/>
        <w:rPr>
          <w:rFonts w:ascii="Times New Roman" w:hAnsi="Times New Roman"/>
          <w:color w:val="000000"/>
          <w:sz w:val="24"/>
        </w:rPr>
      </w:pPr>
      <w:r w:rsidRPr="004021DF">
        <w:rPr>
          <w:rFonts w:ascii="Times New Roman" w:hAnsi="Times New Roman"/>
          <w:b/>
          <w:color w:val="000000"/>
          <w:sz w:val="24"/>
        </w:rPr>
        <w:t>4.2 De rol van het management in een organisatie</w:t>
      </w:r>
      <w:r>
        <w:rPr>
          <w:rFonts w:ascii="Times New Roman" w:hAnsi="Times New Roman"/>
          <w:b/>
          <w:color w:val="000000"/>
          <w:sz w:val="24"/>
        </w:rPr>
        <w:br/>
      </w:r>
      <w:r>
        <w:rPr>
          <w:rFonts w:ascii="Times New Roman" w:hAnsi="Times New Roman"/>
          <w:color w:val="000000"/>
          <w:sz w:val="24"/>
        </w:rPr>
        <w:t xml:space="preserve">Naarmate een bedrijf groter wordt, krijgt het meer te maken met managers. </w:t>
      </w:r>
      <w:r w:rsidRPr="0031447C">
        <w:rPr>
          <w:rFonts w:ascii="Times New Roman" w:hAnsi="Times New Roman"/>
          <w:color w:val="000000"/>
          <w:sz w:val="24"/>
          <w:lang w:val="en-GB"/>
        </w:rPr>
        <w:t>Een</w:t>
      </w:r>
      <w:r w:rsidRPr="004021DF">
        <w:rPr>
          <w:rFonts w:ascii="Times New Roman" w:hAnsi="Times New Roman"/>
          <w:color w:val="000000"/>
          <w:sz w:val="24"/>
          <w:lang w:val="en-GB"/>
        </w:rPr>
        <w:t xml:space="preserve"> manager 'makes decisions and monitors subordinates who make decisions'.</w:t>
      </w:r>
      <w:r>
        <w:rPr>
          <w:rStyle w:val="FootnoteReference"/>
          <w:rFonts w:ascii="Times New Roman" w:hAnsi="Times New Roman"/>
          <w:color w:val="000000"/>
          <w:sz w:val="24"/>
          <w:lang w:val="en-GB"/>
        </w:rPr>
        <w:footnoteReference w:id="39"/>
      </w:r>
      <w:r>
        <w:rPr>
          <w:rFonts w:ascii="Times New Roman" w:hAnsi="Times New Roman"/>
          <w:color w:val="000000"/>
          <w:sz w:val="24"/>
          <w:lang w:val="en-GB"/>
        </w:rPr>
        <w:t xml:space="preserve"> </w:t>
      </w:r>
      <w:r>
        <w:rPr>
          <w:rFonts w:ascii="Times New Roman" w:hAnsi="Times New Roman"/>
          <w:color w:val="000000"/>
          <w:sz w:val="24"/>
        </w:rPr>
        <w:t>Met andere woorden, een</w:t>
      </w:r>
      <w:r w:rsidRPr="00134786">
        <w:rPr>
          <w:rFonts w:ascii="Times New Roman" w:hAnsi="Times New Roman"/>
          <w:color w:val="000000"/>
          <w:sz w:val="24"/>
        </w:rPr>
        <w:t xml:space="preserve"> manager neemt besluiten en vervult hiermee dus een belangrijke functie binnen een bedrijf. </w:t>
      </w:r>
      <w:r w:rsidRPr="00B71198">
        <w:rPr>
          <w:rFonts w:ascii="Times New Roman" w:hAnsi="Times New Roman"/>
          <w:color w:val="000000"/>
          <w:sz w:val="24"/>
        </w:rPr>
        <w:t>De besluiten die een manager moet nemen hangen af van het soort manager dat hij is.</w:t>
      </w:r>
      <w:r>
        <w:rPr>
          <w:rFonts w:ascii="Times New Roman" w:hAnsi="Times New Roman"/>
          <w:color w:val="000000"/>
          <w:sz w:val="24"/>
        </w:rPr>
        <w:t xml:space="preserve"> Een operationeel manager is bijvoorbeeld iemand die op de werkvloer zorgt bijvoorbeeld voor het aansturen van het productieproces. Het doel van een operationeel manager kan zijn zo efficiënt mogelijk werken zodat de kosten zo laag mogelijk zijn. Een topmanager is iemand boven in een bedrijf die zich niet met operationele activiteiten bezig houdt, maar met de strategie van een bedrijf en besluit welke kant het bedrijf op moet gaan.</w:t>
      </w:r>
      <w:r w:rsidRPr="00B71198">
        <w:rPr>
          <w:rFonts w:ascii="Times New Roman" w:hAnsi="Times New Roman"/>
          <w:color w:val="000000"/>
          <w:sz w:val="24"/>
        </w:rPr>
        <w:t xml:space="preserve"> </w:t>
      </w:r>
      <w:r>
        <w:rPr>
          <w:rFonts w:ascii="Times New Roman" w:hAnsi="Times New Roman"/>
          <w:color w:val="000000"/>
          <w:sz w:val="24"/>
        </w:rPr>
        <w:t>Verschillende doelen van een topmanager kunnen zijn; binnen vijf jaar marktleider zijn, het maken van zo veel mogelijk winst of zo veel mogelijk klanten tevreden stellen. Op basis van de doelen die een manager stelt, moet hij een plan maken hoe dit bereikt moet worden. Vervolgens moeten de werknemers binnen het bedrijf bijdragen aan het bereiken van het doel door zich aan het plan van de manager te houden. De manager maakt op zijn beurt besluiten met betrekking tot bijvoorbeeld investeringen, uitbreiding of het personeel dat moet worden aangenomen. Op deze manier speelt een manager een belangrijke rol binnen een organisatie. Naast het maken van besluiten is de manager ook verantwoordelijk voor de controle. Dit vindt, in tegenstelling tot besluitvorming, achteraf plaats. Deze controle houdt vooral in dat werknemers in de gaten worden gehouden, om te kijken of zij werk leveren dat van hen wordt verwacht. De belangrijkste reden voor deze controle is het voorkomen van fraude, zoals stelen door het personeel.</w:t>
      </w:r>
      <w:r>
        <w:rPr>
          <w:rStyle w:val="FootnoteReference"/>
          <w:rFonts w:ascii="Times New Roman" w:hAnsi="Times New Roman"/>
          <w:color w:val="000000"/>
          <w:sz w:val="24"/>
        </w:rPr>
        <w:footnoteReference w:id="40"/>
      </w:r>
      <w:r>
        <w:rPr>
          <w:rFonts w:ascii="Times New Roman" w:hAnsi="Times New Roman"/>
          <w:color w:val="000000"/>
          <w:sz w:val="24"/>
        </w:rPr>
        <w:t xml:space="preserve"> Vaak worden managers beloond aan de hand van behaalde resultaten. Maakt een bedrijf veel winst door een goede strategie van de manager, krijgt deze manager een bonus. Managers zijn dus meestal erg gefocust op goede resultaten van de onderneming, omdat zij er zelf beter van zullen worden. Dit kan echter tot vervelende situaties leiden, waarin managers een beter beeld van de resultaten schetsen dan dat deze in werkelijkheid zijn, zodat zij ten onrechte een bonus ontvangen. In paragraaf 4.3 zal winsturing aan bod komen.</w:t>
      </w:r>
    </w:p>
    <w:p w:rsidR="00497A28" w:rsidRDefault="00497A28" w:rsidP="00F37743">
      <w:pPr>
        <w:spacing w:line="360" w:lineRule="auto"/>
        <w:rPr>
          <w:rFonts w:ascii="Times New Roman" w:hAnsi="Times New Roman"/>
          <w:color w:val="000000"/>
          <w:sz w:val="24"/>
        </w:rPr>
      </w:pPr>
      <w:r>
        <w:rPr>
          <w:rFonts w:ascii="Times New Roman" w:hAnsi="Times New Roman"/>
          <w:b/>
          <w:color w:val="000000"/>
          <w:sz w:val="24"/>
        </w:rPr>
        <w:t>4.3 Winststuring</w:t>
      </w:r>
      <w:r>
        <w:rPr>
          <w:rFonts w:ascii="Times New Roman" w:hAnsi="Times New Roman"/>
          <w:b/>
          <w:color w:val="000000"/>
          <w:sz w:val="24"/>
        </w:rPr>
        <w:br/>
      </w:r>
      <w:r>
        <w:rPr>
          <w:rFonts w:ascii="Times New Roman" w:hAnsi="Times New Roman"/>
          <w:color w:val="000000"/>
          <w:sz w:val="24"/>
        </w:rPr>
        <w:t>Wanneer managers uit zijn op bonussen die gebaseerd zijn op de resultaten van de onderneming, zullen zij dit weten van te voren, aannemende dat zij rationeel zijn. Hierdoor wordt hun gedrag meer beïnvloed door uitkomsten die voor hen gunstig zijn, in plaats van voor de onderneming als geheel. Onderzoek van Healy (1985) wijst er op dat managers door bonusschema's worden gemotiveerd om die accounting technieken toe te passen die hun bonus maximaliseert. Dit kan leiden tot gedrag wat voor de onderneming ongunstig is, ook wel bekend als het 'principal-agent-problem'.</w:t>
      </w:r>
      <w:r>
        <w:rPr>
          <w:rStyle w:val="FootnoteReference"/>
          <w:rFonts w:ascii="Times New Roman" w:hAnsi="Times New Roman"/>
          <w:color w:val="000000"/>
          <w:sz w:val="24"/>
        </w:rPr>
        <w:footnoteReference w:id="41"/>
      </w:r>
      <w:r>
        <w:rPr>
          <w:rFonts w:ascii="Times New Roman" w:hAnsi="Times New Roman"/>
          <w:color w:val="000000"/>
          <w:sz w:val="24"/>
        </w:rPr>
        <w:t xml:space="preserve"> De manager, de 'agent' in dit geval, handelt niet naar de belangen van de 'principal', het bedrijf of liever gezegd de aandeelhouders. Dit betekent dat de manager, afhankelijk van de situatie van het bedrijf, acties zal ondernemen om de winst bijvoorbeeld groter of kleiner uit te laten komen. Een van de theorieën die hierover gaat en relevant is, is de bonus plan hypothese.</w:t>
      </w:r>
      <w:r>
        <w:rPr>
          <w:rStyle w:val="FootnoteReference"/>
          <w:rFonts w:ascii="Times New Roman" w:hAnsi="Times New Roman"/>
          <w:color w:val="000000"/>
          <w:sz w:val="24"/>
        </w:rPr>
        <w:footnoteReference w:id="42"/>
      </w:r>
      <w:r>
        <w:rPr>
          <w:rFonts w:ascii="Times New Roman" w:hAnsi="Times New Roman"/>
          <w:color w:val="000000"/>
          <w:sz w:val="24"/>
        </w:rPr>
        <w:t xml:space="preserve"> Er wordt hier van uit gegaan dat het salaris van managers grotendeels wordt gebaseerd op de resultaten van de onderneming, wat ook in de praktijk niet ongebruikelijk is. Managers zullen dan proberen deze resultaten zodanig te beïnvloeden dat hun bonus hoger zal uit vallen. Dit kunnen zij doen door bijvoorbeeld een actief in de eerste jaren bijna niet af te schrijven, wat tot een hogere winst leidt door de lagere afschrijvingskosten. Dit is echter alleen relevant als de manager binnen aanzienlijke tijd op zal stappen, anders zal zijn bonus in latere jaren weer lager zijn omdat de afschrijvingskosten in die periode hoog zullen zijn en dus de winst lager. </w:t>
      </w:r>
      <w:r>
        <w:rPr>
          <w:rFonts w:ascii="Times New Roman" w:hAnsi="Times New Roman"/>
          <w:color w:val="000000"/>
          <w:sz w:val="24"/>
        </w:rPr>
        <w:br/>
        <w:t>Aan de andere kant kunnen managers ook in een slecht jaar veel extra kosten nemen, omdat zij weten toch geen bonus te zullen krijgen. Dit fenomeen wordt 'taking-a-bath' genoemd.</w:t>
      </w:r>
      <w:r>
        <w:rPr>
          <w:rStyle w:val="FootnoteReference"/>
          <w:rFonts w:ascii="Times New Roman" w:hAnsi="Times New Roman"/>
          <w:color w:val="000000"/>
          <w:sz w:val="24"/>
        </w:rPr>
        <w:footnoteReference w:id="43"/>
      </w:r>
      <w:r>
        <w:rPr>
          <w:rFonts w:ascii="Times New Roman" w:hAnsi="Times New Roman"/>
          <w:color w:val="000000"/>
          <w:sz w:val="24"/>
        </w:rPr>
        <w:t xml:space="preserve"> Om terug te komen bij het geval van afschrijven, kan een manager een actief in een keer afschrijven in een jaar dat de cijfers toch al slecht zijn. Zo verliest hij niets, hij had immers toch al geen bonus gekregen, en zorgt hij ervoor dat in latere jaren de afschrijvingen nihil zijn wat de winst en dus de bonus in die jaren juist weer verhoogt. Naast deze zijn er nog talloze manieren om te spelen met de cijfers, die binnen de wet zijn toegestaan, zodat de gepresenteerde winst hoger is. Dit toont meteen aan hoe subjectief het begrip winst is en hoe groot de invloed van managers hierop kan zijn. Met deze kennis zal paragraag 4.4 de rol van managers in de uitkomsten van de consolidatie bespreken.</w:t>
      </w:r>
    </w:p>
    <w:p w:rsidR="00497A28" w:rsidRDefault="00497A28" w:rsidP="00F37743">
      <w:pPr>
        <w:spacing w:line="360" w:lineRule="auto"/>
        <w:rPr>
          <w:rFonts w:ascii="Times New Roman" w:hAnsi="Times New Roman"/>
          <w:color w:val="000000"/>
          <w:sz w:val="24"/>
        </w:rPr>
      </w:pPr>
      <w:r>
        <w:rPr>
          <w:rFonts w:ascii="Times New Roman" w:hAnsi="Times New Roman"/>
          <w:b/>
          <w:color w:val="000000"/>
          <w:sz w:val="24"/>
        </w:rPr>
        <w:t>4.4 De rol van managers bij consolidatieproces</w:t>
      </w:r>
      <w:r>
        <w:rPr>
          <w:rFonts w:ascii="Times New Roman" w:hAnsi="Times New Roman"/>
          <w:b/>
          <w:color w:val="000000"/>
          <w:sz w:val="24"/>
        </w:rPr>
        <w:br/>
      </w:r>
      <w:r>
        <w:rPr>
          <w:rFonts w:ascii="Times New Roman" w:hAnsi="Times New Roman"/>
          <w:color w:val="000000"/>
          <w:sz w:val="24"/>
        </w:rPr>
        <w:t xml:space="preserve">Zoals in hoofdstuk 2 en 3 duidelijk is geworden, is een geconsolideerde balans een optelsom van de balans van moeder en al haar dochterbedrijven. Op de geconsolideerde balans zullen meer liquide middelen komen te staan dan op de enkelvoudige balans, waardoor het in eerste instantie lijkt of de onderneming meer liquide is geworden. Er moet echter ook gekeken worden naar de korte termijn schulden, deze zullen ook toenemen. De solvabiliteit van de onderneming zal verslechteren wanneer de enkelvoudige en de geconsolideerde resultaten met elkaar worden vergeleken. Dit komt doordat de schulden van de dochtermaatschappijen op de geconsolideerde balans worden overgenomen, terwijl het eigen vermogen alleen uit het eigen vermogen van de moeder bestaat. In verhouding zal dan meer vreemd vermogen op de balans staan, wat leidt tot een verslechtering van de solvabiliteitswaarde. </w:t>
      </w:r>
      <w:r>
        <w:rPr>
          <w:rFonts w:ascii="Times New Roman" w:hAnsi="Times New Roman"/>
          <w:color w:val="000000"/>
          <w:sz w:val="24"/>
        </w:rPr>
        <w:br/>
        <w:t xml:space="preserve">De resultatenrekening is ook een optelsom van de moeder en haar dochters, de omzet zal dus groter lijken naarmate meer dochterondernemingen geconsolideerd worden. Afhankelijk van het wel of niet aanwezig zijn van een minderheidsbelang, zal ook de winst toenemen. Daarnaast is in de vorige paragraaf gesproken over managers die beloond worden op basis van resultaat. De conclusie die hier uit getrokken kan worden is dat managers er bij gebaat zijn zo veel mogelijk dochterondernemingen mee te consolideren, zodat een beter resultaat behaald lijkt te zijn door het concern, wat dan weer de manager zijn bonus maximaliseert. </w:t>
      </w:r>
      <w:r>
        <w:rPr>
          <w:rFonts w:ascii="Times New Roman" w:hAnsi="Times New Roman"/>
          <w:color w:val="000000"/>
          <w:sz w:val="24"/>
        </w:rPr>
        <w:br/>
        <w:t xml:space="preserve">Zowel het effect op de liquiditeit en solvabiliteit als op de rentabiliteit en winst speelt een rol in de beslissingen die een manager zal maken. De vraag in deze paragraaf is of het management van een bedrijf mogelijkheden heeft om, ondanks de wet- en regelgeving, willekeurig dochterondernemingen te consolideren, alleen om meer winst te kunnen tonen. </w:t>
      </w:r>
    </w:p>
    <w:p w:rsidR="00497A28" w:rsidRDefault="00497A28">
      <w:pPr>
        <w:rPr>
          <w:rFonts w:ascii="Times New Roman" w:hAnsi="Times New Roman"/>
          <w:b/>
          <w:color w:val="000000"/>
          <w:sz w:val="24"/>
        </w:rPr>
      </w:pPr>
      <w:r>
        <w:rPr>
          <w:rFonts w:ascii="Times New Roman" w:hAnsi="Times New Roman"/>
          <w:b/>
          <w:color w:val="000000"/>
          <w:sz w:val="24"/>
        </w:rPr>
        <w:br w:type="page"/>
      </w:r>
    </w:p>
    <w:p w:rsidR="00497A28" w:rsidRDefault="00497A28" w:rsidP="00F37743">
      <w:pPr>
        <w:spacing w:line="360" w:lineRule="auto"/>
        <w:rPr>
          <w:rFonts w:ascii="Times New Roman" w:hAnsi="Times New Roman"/>
          <w:color w:val="000000"/>
          <w:sz w:val="24"/>
        </w:rPr>
      </w:pPr>
      <w:r w:rsidRPr="00BD7272">
        <w:rPr>
          <w:rFonts w:ascii="Times New Roman" w:hAnsi="Times New Roman"/>
          <w:b/>
          <w:color w:val="000000"/>
          <w:sz w:val="24"/>
        </w:rPr>
        <w:t>Kapitaalbelangen</w:t>
      </w:r>
      <w:r>
        <w:rPr>
          <w:rFonts w:ascii="Times New Roman" w:hAnsi="Times New Roman"/>
          <w:color w:val="000000"/>
          <w:sz w:val="24"/>
        </w:rPr>
        <w:br/>
        <w:t xml:space="preserve">In hoofdstuk 1 is al een onderscheid gemaakt tussen beleggingen, deelnemingen, joint-ventures en dochtermaatschappijen. Een bedrijf dat aandelen van een andere partij koopt met als doel deze met zoveel mogelijk winst te verkopen, is aan het beleggen. Het behalen van rendement is hier het enige doel en de kopende partij zal zich niet bemoeien met zaken die spelen in de partij waar in belegd wordt. </w:t>
      </w:r>
      <w:r>
        <w:rPr>
          <w:rFonts w:ascii="Times New Roman" w:hAnsi="Times New Roman"/>
          <w:color w:val="000000"/>
          <w:sz w:val="24"/>
        </w:rPr>
        <w:br/>
        <w:t>Wanneer een bedrijf echter aandelen van een andere partij koopt met als doel het beogen van samenwerking, wordt de investering een deelneming genoemd. In dit geval wil de kopende partij ook invloed uitoefenen op het beleid van de deelneming. Een geassocieerde deelneming is een deelneming waarbij de kopende partij meer dan 20% van het stemrecht in de andere onderneming krijgt. Hier heeft de overnemende partij invloed die van een zodanige betekenis is dat zij inspraak hebben bij de deelneming. Als de overnemende partij zelfs meer dan 50% van het stemrecht in zijn bezit krijgt, wordt gesproken van een moeder- dochterverhouding. In dit geval heeft de overnemende partij, de moeder, de hele zeggenschap bij de dochtermaatschappij.</w:t>
      </w:r>
      <w:r>
        <w:rPr>
          <w:rFonts w:ascii="Times New Roman" w:hAnsi="Times New Roman"/>
          <w:color w:val="000000"/>
          <w:sz w:val="24"/>
        </w:rPr>
        <w:br/>
        <w:t xml:space="preserve">Een andere vorm van kapitaalbelang is de joint-venture. Dit kunnen activiteiten of bedrijven zijn die door twee partijen worden overgenomen waarbij beide partijen precies 50% van de zeggenschap zullen krijgen. Een bekend voorbeeld in dit geval is een samenwerkingsverband in de bouw; één bedrijf kan onmogelijk een grote bouwopdracht, zoals een nieuwe woonwijk, uitvoeren. Een samenwerkingsverband in de vorm van een joint-venture is dan een veel voorkomende oplossing. </w:t>
      </w:r>
    </w:p>
    <w:p w:rsidR="00497A28" w:rsidRDefault="00497A28" w:rsidP="00F37743">
      <w:pPr>
        <w:spacing w:line="360" w:lineRule="auto"/>
        <w:rPr>
          <w:rFonts w:ascii="Times New Roman" w:hAnsi="Times New Roman"/>
          <w:color w:val="000000"/>
          <w:sz w:val="24"/>
        </w:rPr>
      </w:pPr>
      <w:r>
        <w:rPr>
          <w:rFonts w:ascii="Times New Roman" w:hAnsi="Times New Roman"/>
          <w:color w:val="000000"/>
          <w:sz w:val="24"/>
        </w:rPr>
        <w:t xml:space="preserve">Het is bekend dat ondernemingen die de zeggenschap hebben over een andere onderneming, zij deze moeten consolideren. Deze zeggenschap is in hoofdstuk 3 gedefinieerd als in het bezit zijn van meer dan 50% van de aandelen, dus alleen in het geval er een moeder- dochter relatie bestaat en nooit bij joint-ventures. Deze regel is heel duidelijk en zolang er geen bewijs is dat de onderneming over deze zeggenschap bezit, mag de dochteronderneming niet worden geconsolideerd. Tenzij er aan de uitzondering wordt voldaan, dat het management officieel niet meer dan 50% van de aandelen en dus de meerderheid van het stemrecht bezit, maar toch op basis van een contract de zeggenschap heeft. </w:t>
      </w:r>
      <w:r w:rsidRPr="001C3D2C">
        <w:rPr>
          <w:rFonts w:ascii="Times New Roman" w:hAnsi="Times New Roman"/>
          <w:color w:val="000000"/>
          <w:sz w:val="24"/>
        </w:rPr>
        <w:t>Hier liggen mogelijkheden voor managers. Managers zullen altijd zoveel mogelijk deelnemingen</w:t>
      </w:r>
      <w:r>
        <w:rPr>
          <w:rFonts w:ascii="Times New Roman" w:hAnsi="Times New Roman"/>
          <w:color w:val="000000"/>
          <w:sz w:val="24"/>
        </w:rPr>
        <w:t xml:space="preserve"> </w:t>
      </w:r>
      <w:r w:rsidRPr="001C3D2C">
        <w:rPr>
          <w:rFonts w:ascii="Times New Roman" w:hAnsi="Times New Roman"/>
          <w:color w:val="000000"/>
          <w:sz w:val="24"/>
        </w:rPr>
        <w:t>willen mee consolideren om op de geconsolideerde winst- en verliesrekening een grotere omzet en winst te kunnen presenteren.</w:t>
      </w:r>
      <w:r>
        <w:rPr>
          <w:rFonts w:ascii="Times New Roman" w:hAnsi="Times New Roman"/>
          <w:color w:val="000000"/>
          <w:sz w:val="24"/>
        </w:rPr>
        <w:t xml:space="preserve"> Zij zullen proberen in het bezit te komen van zulke contracten om anderen, zoals de interne accountant, te kunnen overtuigen van het feit dat bepaalde deelnemingen geconsolideerd mogen worden. In grote ondernemingen worden managers vaak gezien als machtige mensen, waardoor zij veel te zeggen hebben. In de praktijk betekent dit dat managers invloed kunnen uitoefenen op het consolidatie proces. Zo hebben managers bij Ahold anderen zo ver weten te krijgen om zogeheten side-letters op te stellen waarin stond dat zij bij verschillende buitenlandse joint-ventures de werkelijke zeggenschap hebben. Op basis van deze side-letters zijn deze joint-ventures jarenlang ten onrechte meegeconsolideerd. Hoofdstuk 5 zal ingaan op de details van deze zaak. Het is wel duidelijk dat managers misschien niet direct invloed hebben op de consolidatie uitkomsten, zeggenschap kan immers niet verzonnen worden, maar indirect kunnen zij wel degelijk er voor zorgen dat meer partijen worden geconsolideerd dan toegestaan. Dit is echter geen fout in de regelgeving! Wanneer managers besluiten om over te gaan tot consolidatie van joint-ventures op basis van zelf opgestelde contracten waarin staat dat zij de zeggenschap bezitten, maken zij zich schuldig aan het plegen van fraude.</w:t>
      </w:r>
    </w:p>
    <w:p w:rsidR="00497A28" w:rsidRDefault="00497A28" w:rsidP="00F37743">
      <w:pPr>
        <w:spacing w:line="360" w:lineRule="auto"/>
        <w:rPr>
          <w:rFonts w:ascii="Times New Roman" w:hAnsi="Times New Roman"/>
          <w:color w:val="000000"/>
          <w:sz w:val="24"/>
        </w:rPr>
      </w:pPr>
      <w:r>
        <w:rPr>
          <w:rFonts w:ascii="Times New Roman" w:hAnsi="Times New Roman"/>
          <w:b/>
          <w:color w:val="000000"/>
          <w:sz w:val="24"/>
        </w:rPr>
        <w:t xml:space="preserve">4.5 Exposure Draft </w:t>
      </w:r>
      <w:r w:rsidRPr="00BD03F8">
        <w:rPr>
          <w:rFonts w:ascii="Times New Roman" w:hAnsi="Times New Roman"/>
          <w:b/>
          <w:color w:val="000000"/>
          <w:sz w:val="24"/>
        </w:rPr>
        <w:t>10</w:t>
      </w:r>
      <w:r>
        <w:rPr>
          <w:rFonts w:ascii="Times New Roman" w:hAnsi="Times New Roman"/>
          <w:b/>
          <w:color w:val="000000"/>
          <w:sz w:val="24"/>
        </w:rPr>
        <w:br/>
      </w:r>
      <w:r>
        <w:rPr>
          <w:rFonts w:ascii="Times New Roman" w:hAnsi="Times New Roman"/>
          <w:color w:val="000000"/>
          <w:sz w:val="24"/>
        </w:rPr>
        <w:t>Tegelijkertijd met de presentatie van IFRS 3 en IAS 27 in 2008, kwam de IASB met Exposure Draft (ED) 10. In ED 10 worden de regels voor het consolideren minder strikt omschreven. In appendix A van ED 10</w:t>
      </w:r>
      <w:r>
        <w:rPr>
          <w:rStyle w:val="FootnoteReference"/>
          <w:rFonts w:ascii="Times New Roman" w:hAnsi="Times New Roman"/>
          <w:color w:val="000000"/>
          <w:sz w:val="24"/>
        </w:rPr>
        <w:footnoteReference w:id="44"/>
      </w:r>
      <w:r>
        <w:rPr>
          <w:rFonts w:ascii="Times New Roman" w:hAnsi="Times New Roman"/>
          <w:color w:val="000000"/>
          <w:sz w:val="24"/>
        </w:rPr>
        <w:t xml:space="preserve"> wordt de controle die een moedermaatschappij over een dochtermaatschappij moet hebben gedefinieerd als: "The power of a reporting entity to direct the activities of another entity to generate returns for the reporting entity." Deze definitie bevat drie criteria waaraan moet worden voldaan om te spreken van control; 'power', 'returns' en de relatie tussen deze twee.</w:t>
      </w:r>
      <w:r>
        <w:rPr>
          <w:rStyle w:val="FootnoteReference"/>
          <w:rFonts w:ascii="Times New Roman" w:hAnsi="Times New Roman"/>
          <w:color w:val="000000"/>
          <w:sz w:val="24"/>
        </w:rPr>
        <w:footnoteReference w:id="45"/>
      </w:r>
      <w:r>
        <w:rPr>
          <w:rFonts w:ascii="Times New Roman" w:hAnsi="Times New Roman"/>
          <w:color w:val="000000"/>
          <w:sz w:val="24"/>
        </w:rPr>
        <w:t xml:space="preserve"> Uit deze definitie komt de eerder besproken mogelijkheid tot controle. Een moedermaatschappij hoeft deze zeggenschap niet noodzakelijkerwijs uit te voeren, wanneer zij de zeggenschap in theorie heeft, mag de onderneming worden geconsolideerd. ED 10 is ingevoerd om de mogelijkheden van managers in de beïnvloeding van het consolidatie proces te reduceren. Met de ruimere omschrijving van control is het voor managers nagenoeg onmogelijk geworden om binnen de grenzen van de regelgeving deelnemingen te consolideren waarover de moedermaatschappij eigenlijk de zeggenschap niet bezit. </w:t>
      </w:r>
      <w:r>
        <w:rPr>
          <w:rFonts w:ascii="Times New Roman" w:hAnsi="Times New Roman"/>
          <w:color w:val="000000"/>
          <w:sz w:val="24"/>
        </w:rPr>
        <w:br/>
      </w:r>
    </w:p>
    <w:p w:rsidR="00497A28" w:rsidRDefault="00497A28">
      <w:pPr>
        <w:rPr>
          <w:rFonts w:ascii="Times New Roman" w:hAnsi="Times New Roman"/>
          <w:b/>
          <w:color w:val="000000"/>
          <w:sz w:val="24"/>
        </w:rPr>
      </w:pPr>
      <w:r>
        <w:rPr>
          <w:rFonts w:ascii="Times New Roman" w:hAnsi="Times New Roman"/>
          <w:b/>
          <w:color w:val="000000"/>
          <w:sz w:val="24"/>
        </w:rPr>
        <w:br w:type="page"/>
      </w:r>
    </w:p>
    <w:p w:rsidR="00497A28" w:rsidRPr="00AD17F5" w:rsidRDefault="00497A28" w:rsidP="00C72E99">
      <w:pPr>
        <w:spacing w:line="360" w:lineRule="auto"/>
        <w:rPr>
          <w:rFonts w:ascii="Times New Roman" w:hAnsi="Times New Roman"/>
          <w:color w:val="000000"/>
          <w:sz w:val="24"/>
        </w:rPr>
      </w:pPr>
      <w:r>
        <w:rPr>
          <w:rFonts w:ascii="Times New Roman" w:hAnsi="Times New Roman"/>
          <w:b/>
          <w:color w:val="000000"/>
          <w:sz w:val="24"/>
        </w:rPr>
        <w:t>4.6 Samenvatting</w:t>
      </w:r>
      <w:r>
        <w:rPr>
          <w:rFonts w:ascii="Times New Roman" w:hAnsi="Times New Roman"/>
          <w:b/>
          <w:color w:val="000000"/>
          <w:sz w:val="24"/>
        </w:rPr>
        <w:br/>
      </w:r>
      <w:r>
        <w:rPr>
          <w:rFonts w:ascii="Times New Roman" w:hAnsi="Times New Roman"/>
          <w:color w:val="000000"/>
          <w:sz w:val="24"/>
        </w:rPr>
        <w:t>Uit onderzoek is gebleken dat managers vaak in hun eigen belang handelen. Wanneer hun beloning afhangt van de prestaties van de onderneming, zullen zij besluiten nemen en accountingtechnieken toepassen die de winst zo groot mogelijk doen lijken. Dit zullen zij doen door de winst te sturen met behulp van bepaalde afschrijvingstechnieken of waarderingsmethoden. Een andere mogelijkheid om de winst zo groot mogelijk te laten uitvallen, is het mee consolideren van zo veel mogelijk dochterondernemingen. In het geval een dochteronderneming geconsolideerd wordt, zal het resultaat van de groep beter zijn doordat de opgetelde omzet en de winst zullen toenemen. Managers zullen gedreven zijn om zoveel mogelijk dochterondernemingen mee te consolideren om zo een zo hoog mogelijk winst te kunnen presenteren, zodat hun bonus hoger zal zijn. Zij kunnen hier een rol spelen door contracten op te stellen alsof zij de zeggenschap hebben in joint-ventures, waardoor deze, ten onrechte, ook mee geconsolideerd kunnen worden. Dit is echter binnen de wet niet toegestaan. Managers kunnen dus vooral invloed uitoefenen door de wet- en regelgeving niet in acht te nemen. De wet- en regelgeving rondom consolidatie is heel strikt, wat de invloed van managers beperkt. Wanneer er geen zeggenschap over de deelneming aanwezig is, mag deze niet geconsolideerd worden. De ruimere definitie van de zeggenschap in ED 10 zegt heel duidelijk wanneer er sprake is van control en wanneer een dochteronderneming dus mag worden mee geconsolideerd. Het is de bedoeling de invloed van managers hiermee te reduceren. Het antwoord op deelvraag 3 "</w:t>
      </w:r>
      <w:r w:rsidRPr="00232EB3">
        <w:rPr>
          <w:rFonts w:ascii="Times New Roman" w:hAnsi="Times New Roman"/>
          <w:i/>
          <w:color w:val="000000"/>
          <w:sz w:val="24"/>
        </w:rPr>
        <w:t xml:space="preserve"> </w:t>
      </w:r>
      <w:r w:rsidRPr="00232EB3">
        <w:rPr>
          <w:rFonts w:ascii="Times New Roman" w:hAnsi="Times New Roman"/>
          <w:color w:val="000000"/>
          <w:sz w:val="24"/>
        </w:rPr>
        <w:t>Hoe kan het management van een bedrijf de</w:t>
      </w:r>
      <w:r>
        <w:rPr>
          <w:rFonts w:ascii="Times New Roman" w:hAnsi="Times New Roman"/>
          <w:color w:val="000000"/>
          <w:sz w:val="24"/>
        </w:rPr>
        <w:t xml:space="preserve"> consolidatie </w:t>
      </w:r>
      <w:r w:rsidRPr="00232EB3">
        <w:rPr>
          <w:rFonts w:ascii="Times New Roman" w:hAnsi="Times New Roman"/>
          <w:color w:val="000000"/>
          <w:sz w:val="24"/>
        </w:rPr>
        <w:t>uitkomsten beïnvloeden</w:t>
      </w:r>
      <w:r>
        <w:rPr>
          <w:rFonts w:ascii="Times New Roman" w:hAnsi="Times New Roman"/>
          <w:color w:val="000000"/>
          <w:sz w:val="24"/>
        </w:rPr>
        <w:t>?" is dat managers alleen door middel van fraude en het omzeilen van de wet invloed kunnen uitoefenen op de uitkomsten van de consolidatie.</w:t>
      </w:r>
    </w:p>
    <w:p w:rsidR="00497A28" w:rsidRPr="001C3D2C" w:rsidRDefault="00497A28" w:rsidP="00F37743">
      <w:r w:rsidRPr="001C3D2C">
        <w:br w:type="page"/>
      </w:r>
    </w:p>
    <w:p w:rsidR="00497A28" w:rsidRDefault="00497A28" w:rsidP="00F37743">
      <w:pPr>
        <w:rPr>
          <w:rFonts w:ascii="Times New Roman" w:hAnsi="Times New Roman"/>
          <w:b/>
          <w:sz w:val="28"/>
        </w:rPr>
      </w:pPr>
      <w:r w:rsidRPr="00AD17F5">
        <w:rPr>
          <w:rFonts w:ascii="Times New Roman" w:hAnsi="Times New Roman"/>
          <w:b/>
          <w:sz w:val="28"/>
        </w:rPr>
        <w:t>Hoofdstuk 5: Praktijkstudie: De fraude bij Ahold</w:t>
      </w:r>
    </w:p>
    <w:p w:rsidR="00497A28" w:rsidRDefault="00497A28" w:rsidP="00A77971">
      <w:pPr>
        <w:spacing w:line="360" w:lineRule="auto"/>
        <w:rPr>
          <w:rFonts w:ascii="Times New Roman" w:hAnsi="Times New Roman"/>
          <w:sz w:val="24"/>
        </w:rPr>
      </w:pPr>
      <w:r>
        <w:rPr>
          <w:rFonts w:ascii="Times New Roman" w:hAnsi="Times New Roman"/>
          <w:b/>
          <w:sz w:val="24"/>
        </w:rPr>
        <w:t>5.1 Inleiding</w:t>
      </w:r>
      <w:r>
        <w:rPr>
          <w:rFonts w:ascii="Times New Roman" w:hAnsi="Times New Roman"/>
          <w:b/>
          <w:sz w:val="24"/>
        </w:rPr>
        <w:br/>
      </w:r>
      <w:r>
        <w:rPr>
          <w:rFonts w:ascii="Times New Roman" w:hAnsi="Times New Roman"/>
          <w:sz w:val="24"/>
        </w:rPr>
        <w:t xml:space="preserve">Het begon als een familiebedrijf, een kruidenierswinkel om precies te zijn, en groeide uit tot het grote Ahold van nu. Het Ahold dat in de jaren '90 onvermoeibaar groeide en enorme winsten boekte en dat vervolgens in 2003 uitgroeide tot één van de grootste boekhoudschandalen ooit. Wat is er mis gegaan bij Ahold? Wie zijn aan te wijzen als verantwoordelijken? En de belangrijkste vraag: Is er iets mis in de regelgeving waardoor Ahold deze fouten heeft kunnen maken? Dit hoofdstuk bespreekt het hele verhaal rondom de fraude die Ahold pleegde met betrekking tot de consolidatie van buitenlandse deelnemingen. De theorie uit voorgaande hoofdstukken is nodig om te begrijpen waar het precies is mis gegaan. Om te beginnen zal een korte geschiedenis en beschrijving van het bedrijf Ahold komen. Daarna wordt uitgelegd hoe Ahold gehandeld heeft met betrekking tot de consolidatie om vervolgens te kijken of regelgeving ontbrak waardoor dit heeft kunnen gebeuren. </w:t>
      </w:r>
      <w:r>
        <w:rPr>
          <w:rFonts w:ascii="Times New Roman" w:hAnsi="Times New Roman"/>
          <w:sz w:val="24"/>
        </w:rPr>
        <w:br/>
        <w:t>Hierbij moet de kanttekening gemaakt worden dat het schandaal in 2003 naar buiten kwam, IAS 27 bestond toen nog niet. Er wordt gekeken of deze standaard de problemen had kunnen voorkomen.</w:t>
      </w:r>
    </w:p>
    <w:p w:rsidR="00497A28" w:rsidRDefault="00497A28" w:rsidP="00A77971">
      <w:pPr>
        <w:spacing w:line="360" w:lineRule="auto"/>
        <w:rPr>
          <w:rFonts w:ascii="Times New Roman" w:hAnsi="Times New Roman"/>
          <w:sz w:val="24"/>
        </w:rPr>
      </w:pPr>
      <w:r>
        <w:rPr>
          <w:rFonts w:ascii="Times New Roman" w:hAnsi="Times New Roman"/>
          <w:b/>
          <w:sz w:val="24"/>
        </w:rPr>
        <w:t>5.2 Van kruidenierswinkel naar het machtige Ahold</w:t>
      </w:r>
      <w:r>
        <w:rPr>
          <w:rStyle w:val="FootnoteReference"/>
          <w:rFonts w:ascii="Times New Roman" w:hAnsi="Times New Roman"/>
          <w:b/>
          <w:sz w:val="24"/>
        </w:rPr>
        <w:footnoteReference w:id="46"/>
      </w:r>
      <w:r>
        <w:rPr>
          <w:rFonts w:ascii="Times New Roman" w:hAnsi="Times New Roman"/>
          <w:b/>
          <w:sz w:val="24"/>
        </w:rPr>
        <w:br/>
      </w:r>
      <w:r>
        <w:rPr>
          <w:rFonts w:ascii="Times New Roman" w:hAnsi="Times New Roman"/>
          <w:sz w:val="24"/>
        </w:rPr>
        <w:t>Ahold had aan het einde van 2009 over heel de wereld 2.909 winkels waar 206.000 werknemers werkzaam waren die voor een omzet van € 28 miljard zorgden.</w:t>
      </w:r>
      <w:r>
        <w:rPr>
          <w:rStyle w:val="FootnoteReference"/>
          <w:rFonts w:ascii="Times New Roman" w:hAnsi="Times New Roman"/>
          <w:sz w:val="24"/>
        </w:rPr>
        <w:footnoteReference w:id="47"/>
      </w:r>
      <w:r>
        <w:rPr>
          <w:rFonts w:ascii="Times New Roman" w:hAnsi="Times New Roman"/>
          <w:sz w:val="24"/>
        </w:rPr>
        <w:t xml:space="preserve"> Bekende merken van Ahold zijn onder andere Albert Heijn, Etos, Gall&amp;Gall en het Amerikaanse Giant. Een weergave van het hele concern Ahold is te zien in het organogram in bijlage 2. In deze paragraaf zal de geschiedenis van Ahold worden verteld.</w:t>
      </w:r>
    </w:p>
    <w:p w:rsidR="00497A28" w:rsidRDefault="00497A28" w:rsidP="00A77971">
      <w:pPr>
        <w:spacing w:line="360" w:lineRule="auto"/>
        <w:rPr>
          <w:rFonts w:ascii="Times New Roman" w:hAnsi="Times New Roman"/>
          <w:sz w:val="24"/>
        </w:rPr>
      </w:pPr>
      <w:r>
        <w:rPr>
          <w:rFonts w:ascii="Times New Roman" w:hAnsi="Times New Roman"/>
          <w:sz w:val="24"/>
        </w:rPr>
        <w:t>In 1887 startte de toen 21-jarige Albert Heijn een kruidenierswinkel in Oostzaan.</w:t>
      </w:r>
      <w:r>
        <w:rPr>
          <w:rStyle w:val="FootnoteReference"/>
          <w:rFonts w:ascii="Times New Roman" w:hAnsi="Times New Roman"/>
          <w:sz w:val="24"/>
        </w:rPr>
        <w:footnoteReference w:id="48"/>
      </w:r>
      <w:r>
        <w:rPr>
          <w:rFonts w:ascii="Times New Roman" w:hAnsi="Times New Roman"/>
          <w:sz w:val="24"/>
        </w:rPr>
        <w:t xml:space="preserve"> Zijn zoons gingen ook in het bedrijf werken en al snel groeide dit 'winkeltje' uit tot 75 filialen in 1920. Het bedrijf is dan allang niet meer alleen een kruidenierszaak. Er worden allerlei levensmiddelen verkocht en het assortiment wordt steeds groter. De zoons van Albert Heijn nemen de zaak later over, het is een echt familiebedrijf. </w:t>
      </w:r>
      <w:r>
        <w:rPr>
          <w:rFonts w:ascii="Times New Roman" w:hAnsi="Times New Roman"/>
          <w:sz w:val="24"/>
        </w:rPr>
        <w:br/>
        <w:t xml:space="preserve">In 1948 gaat Albert Heijn naar de beurs en is dan nog steeds voor 100% in handen van de familie Heijn. In 1955 wordt de eerste echte supermarkt geopend en vanaf dan kan het allemaal niet meer op. Ook in de jaren '60 is de meerderheid van de aandelen nog in handen van de familie Heijn. In 1966 wordt Albert Heijn marktleider in Nederland. In de jaren '70 krijgen zij hier echter kritiek over vanuit de maatschappij. Veel kleine kruidenierswinkels gaan failliet onder de grote druk van de nieuwe marktleider, Albert Heijn zou deze bedrijven kapot maken. </w:t>
      </w:r>
    </w:p>
    <w:p w:rsidR="00497A28" w:rsidRDefault="00497A28" w:rsidP="00DB4BA9">
      <w:pPr>
        <w:spacing w:line="360" w:lineRule="auto"/>
        <w:rPr>
          <w:rFonts w:ascii="Times New Roman" w:hAnsi="Times New Roman"/>
          <w:sz w:val="24"/>
        </w:rPr>
      </w:pPr>
      <w:r>
        <w:rPr>
          <w:rFonts w:ascii="Times New Roman" w:hAnsi="Times New Roman"/>
          <w:sz w:val="24"/>
        </w:rPr>
        <w:t xml:space="preserve">In 1973 wordt Ahold N.V. opgericht, het moederbedrijf waar Albert Heijn vanaf dat moment een dochter van is. Alle winkels in Nederland zijn inmiddels een B.V. geworden, maar de link met Albert Heijn was onvermijdbaar. Om deze reden is gekozen voor Ahold N.V. als paraplu voor alle winkels. Hier wordt in 1987 door koningin Beatrix de titel 'Koninklijk' aan toegevoegd. </w:t>
      </w:r>
      <w:r>
        <w:rPr>
          <w:rFonts w:ascii="Times New Roman" w:hAnsi="Times New Roman"/>
          <w:sz w:val="24"/>
        </w:rPr>
        <w:br/>
        <w:t>Om blijvende groei te kunnen realiseren worden vanaf 1975 buitenlandse ondernemingen overgenomen. Het allereerste project waar Ahold zich op richt is het nieuw bouwen van supermarkten in Spanje onder de naam: "Cada dìa", iedere dag. Ahold ziet grote kansen in de Spaanse markt en steekt hier zes miljoen gulden in. In 1983 werd het hele project echter verkocht, de verwachtingen worden niet waargemaakt omdat de markt te moeizaam is. De eerste stap is echter wel gezet en vele overnames volgen. In het vervolg worden alleen geen nieuwe projecten opgezet, maar worden bestaande supermarkten in voornamelijk Europa en de V.S. overgenomen.</w:t>
      </w:r>
    </w:p>
    <w:p w:rsidR="00497A28" w:rsidRDefault="00497A28" w:rsidP="00DB4BA9">
      <w:pPr>
        <w:spacing w:line="360" w:lineRule="auto"/>
        <w:rPr>
          <w:rFonts w:ascii="Times New Roman" w:hAnsi="Times New Roman"/>
          <w:sz w:val="24"/>
        </w:rPr>
      </w:pPr>
      <w:r>
        <w:rPr>
          <w:rFonts w:ascii="Times New Roman" w:hAnsi="Times New Roman"/>
          <w:sz w:val="24"/>
        </w:rPr>
        <w:t xml:space="preserve">In 1985 wordt Cees van der Hoeven, later president van Ahold, aangesteld tot Chief Financial Officer (CFO) van Ahold en hij treedt in augustus in dienst. Hij vindt dat de winkelketen Albert Heijn te dominant is binnen Ahold en wil zich gaan richten op de internationale markt. In deze periode is het belang van de familie Heijn in Ahold, dat dan zo'n twee miljard gulden waard is, gezakt onder de 10%. In 1989 gaat de derde en laatste generatie van de familie Heijn met pensioen. Voor het eerst komt iemand van buitenaf aan het hoofd van Ahold. Dit wordt in eerste instantie de 48-jarige Pierre Everaert. Onder zijn leiding worden veel overnames in de Verenigde Staten en Europa gerealiseerd. Als Everaert in 1992 een baan aangeboden krijgt bij Philips, vertrekt hij en Cees van der Hoeven neemt zijn plek in. Omdat er nog geen opvolger is voor de CFO-functie van van der Hoeven, vervult hij gedurende een lange periode de dubbelrol van CEO en CFO wat hem erg veel macht geeft. </w:t>
      </w:r>
      <w:r>
        <w:rPr>
          <w:rFonts w:ascii="Times New Roman" w:hAnsi="Times New Roman"/>
          <w:sz w:val="24"/>
        </w:rPr>
        <w:br/>
        <w:t xml:space="preserve">In het jaar na zijn aanstelling tot Chief Executive Officer (CEO) doet de familie Heijn afstand van het laatste deel van de aandelen in Ahold die zij nog bezit. Ahold is niet langer een familiebedrijf, maar een grote multinational. In het zelfde jaar krijgt Ahold zelfs een notering op Wall Street. Vanaf dit moment heeft Ahold niet langer alleen te maken met Nederlandse regelgeving met betrekking tot het opstellen van haar jaarrekening, maar ook met de Amerikaanse: US G.A.A.P. </w:t>
      </w:r>
    </w:p>
    <w:p w:rsidR="00497A28" w:rsidRDefault="00497A28" w:rsidP="00DB4BA9">
      <w:pPr>
        <w:spacing w:line="360" w:lineRule="auto"/>
        <w:rPr>
          <w:rFonts w:ascii="Times New Roman" w:hAnsi="Times New Roman"/>
          <w:sz w:val="24"/>
        </w:rPr>
      </w:pPr>
      <w:r>
        <w:rPr>
          <w:rFonts w:ascii="Times New Roman" w:hAnsi="Times New Roman"/>
          <w:sz w:val="24"/>
        </w:rPr>
        <w:t xml:space="preserve">Het bestuur van Ahold blijft zoeken naar partijen die overgenomen kunnen worden. In 1994 bezit Ahold 536 supermarkten in de V.S. In Europa hebben ze vooral joint-ventures in Spanje en Portugal, dat zijn in de ogen van het bestuur de enige groeimarkten in Europa. </w:t>
      </w:r>
    </w:p>
    <w:p w:rsidR="00497A28" w:rsidRPr="00AD17F5" w:rsidRDefault="00497A28" w:rsidP="00DB4BA9">
      <w:pPr>
        <w:spacing w:line="360" w:lineRule="auto"/>
        <w:rPr>
          <w:rFonts w:ascii="Times New Roman" w:hAnsi="Times New Roman"/>
          <w:sz w:val="24"/>
        </w:rPr>
      </w:pPr>
      <w:r>
        <w:rPr>
          <w:rFonts w:ascii="Times New Roman" w:hAnsi="Times New Roman"/>
          <w:sz w:val="24"/>
        </w:rPr>
        <w:t>De jaren '90 zijn gouden jaren. De president van dat moment, Cees van der Hoeven, zegt zelfs dat Ahold vliegt. De winst verdubbelt keer op keer en de koers stijgt almaar meer. Ieder jaar belooft de top van Ahold dat er groei aankomt en de beleggers geloven dit. In feite is er sprake van een selffulfilling prophecy: zolang het geloof en het vertrouwen er is en dit zich vertaalt in een hogere koers, kunnen de beloften worden waargemaakt. Nederland was trots op Ahold en dit vertekende zich in de enorme winsten die werden gemaakt. Wat kon er nog mis gaan?</w:t>
      </w:r>
    </w:p>
    <w:p w:rsidR="00497A28" w:rsidRDefault="00497A28" w:rsidP="006949E9">
      <w:pPr>
        <w:spacing w:line="360" w:lineRule="auto"/>
        <w:rPr>
          <w:rFonts w:ascii="Times New Roman" w:hAnsi="Times New Roman"/>
          <w:color w:val="000000"/>
          <w:sz w:val="24"/>
        </w:rPr>
      </w:pPr>
      <w:r w:rsidRPr="00E9212D">
        <w:rPr>
          <w:rFonts w:ascii="Times New Roman" w:hAnsi="Times New Roman"/>
          <w:b/>
          <w:color w:val="000000"/>
          <w:sz w:val="24"/>
        </w:rPr>
        <w:t>5.3</w:t>
      </w:r>
      <w:r>
        <w:rPr>
          <w:rFonts w:ascii="Times New Roman" w:hAnsi="Times New Roman"/>
          <w:b/>
          <w:color w:val="000000"/>
          <w:sz w:val="28"/>
        </w:rPr>
        <w:t xml:space="preserve"> </w:t>
      </w:r>
      <w:r>
        <w:rPr>
          <w:rFonts w:ascii="Times New Roman" w:hAnsi="Times New Roman"/>
          <w:b/>
          <w:color w:val="000000"/>
          <w:sz w:val="24"/>
        </w:rPr>
        <w:t>De fraude</w:t>
      </w:r>
      <w:r>
        <w:rPr>
          <w:rFonts w:ascii="Times New Roman" w:hAnsi="Times New Roman"/>
          <w:b/>
          <w:color w:val="000000"/>
          <w:sz w:val="24"/>
        </w:rPr>
        <w:br/>
      </w:r>
      <w:r>
        <w:rPr>
          <w:rFonts w:ascii="Times New Roman" w:hAnsi="Times New Roman"/>
          <w:color w:val="000000"/>
          <w:sz w:val="24"/>
        </w:rPr>
        <w:t>De bestuurders van Ahold wilden niets liever dan jaar op jaar nieuwe records boeken in de vorm van hogere omzet- en winstcijfers en hiermee de verwachtingen van beleggers waarmaken. De groei waar Ahold in verkeerde maakte hen rijk en zij wilden alleen maar meer. Bovendien deed zij beloftes aan de aandeelhouders dat de koers zou blijven stijgen. Om dit waar te kunnen maken was het consolideren van binnen- en buitenlandse deelnemingen en joint-ventures noodzakelijk, omdat de omzet- en winstcijfers hier positief door worden beïnvloed.</w:t>
      </w:r>
      <w:r>
        <w:rPr>
          <w:rFonts w:ascii="Times New Roman" w:hAnsi="Times New Roman"/>
          <w:color w:val="000000"/>
          <w:sz w:val="24"/>
        </w:rPr>
        <w:br/>
        <w:t xml:space="preserve">Zoals gezegd in paragraaf 2.2, is voor het consolideren van deelnemingen de integrale methode en is voor joint-ventures alleen de proportionele methode toegestaan. De dubbelrol van Cees van der Hoeven begon echter zijn parten te spelen, zijn ambities als CEO stonden zijn strenge toezicht als CFO in de weg. Er is namelijk gekozen voor een integrale consolidatie van de buitenlandse joint-ventures, zodat inderdaad enorme omzet- en winstcijfers op de geconsolideerde jaarrekening te zien waren. Een joint-venture waarin Ahold maar 50% bezat, en dus ook maar voor 50% heeft betaald, werd ineens voor 100% op de balans gezet. Het is geen wonder dat de cijfers er heel erg rooskleurig uit kwamen te zien. Hoe meer overnames werden gedaan, hoe beter de resultaten eruit kwamen te zien. Of dit ten koste ging van de solvabiliteit of andere kengetallen maakte niet zoveel uit, het gaat de aandeelhouders immers om de winstcijfers. </w:t>
      </w:r>
    </w:p>
    <w:p w:rsidR="00497A28" w:rsidRDefault="00497A28" w:rsidP="006949E9">
      <w:pPr>
        <w:spacing w:line="360" w:lineRule="auto"/>
        <w:rPr>
          <w:rFonts w:ascii="Times New Roman" w:hAnsi="Times New Roman"/>
          <w:color w:val="000000"/>
          <w:sz w:val="24"/>
        </w:rPr>
      </w:pPr>
      <w:r>
        <w:rPr>
          <w:rFonts w:ascii="Times New Roman" w:hAnsi="Times New Roman"/>
          <w:color w:val="000000"/>
          <w:sz w:val="24"/>
        </w:rPr>
        <w:t xml:space="preserve">Ahold consolideerde de joint-ventures dus voor de volle 100%. Van der Hoeven zei tegen een journalist van Wallstreet Journal: "Of we nou de meerderheid hebben in aandelen of niet, dat is niet het meest relevante punt." De joint-ventures werden geconsolideerd op basis van het feit dat Ahold vindt dat zij de zeggenschap in die joint-ventures hebben. De accountants geloven dit verhaal en keuren de consolidatie goed. </w:t>
      </w:r>
      <w:r>
        <w:rPr>
          <w:rFonts w:ascii="Times New Roman" w:hAnsi="Times New Roman"/>
          <w:color w:val="000000"/>
          <w:sz w:val="24"/>
        </w:rPr>
        <w:br/>
        <w:t xml:space="preserve">Cees van der Hoeven weet mede bestuurders te overtuigen van de voordelen van de consolidatie. Wanneer de joint-venture wordt opgevoerd als een deelneming, staat er in de jaarrekening geen informatie over dit bedrijf, maar wanneer de joint-venture wordt geconsolideerd zijn alle activa en passiva zichtbaar. Dit geeft de belanghebbenden een veel beter inzicht in de hele onderneming. Dit argument is voor hen genoeg om de consolidatie voort te zetten. Het lijkt alleen maar voordelen op te leveren, voor de belegger en voor het bestuur, in de vorm van respectievelijk hoge koerswinsten en hoge beloningen. </w:t>
      </w:r>
      <w:r>
        <w:rPr>
          <w:rFonts w:ascii="Times New Roman" w:hAnsi="Times New Roman"/>
          <w:color w:val="000000"/>
          <w:sz w:val="24"/>
        </w:rPr>
        <w:br/>
        <w:t>Toch wordt in de toelichting op de cijfers voortaan netjes vermeld hoeveel procent van de aandelen van de geconsolideerde partijen Ahold bezit, zodat beleggers de resultaten zelf kunnen corrigeren voor de aandelen die Ahold niet bezit. Dit is natuurlijk meer een formaliteit dan dat dit echt zinvol is. Aandeelhouders zullen enkel naar de cijfers kijken en dit niet gaan corrigeren voor eventuele minderheidsbelangen.</w:t>
      </w:r>
    </w:p>
    <w:p w:rsidR="00497A28" w:rsidRDefault="00497A28" w:rsidP="006949E9">
      <w:pPr>
        <w:spacing w:line="360" w:lineRule="auto"/>
        <w:rPr>
          <w:rFonts w:ascii="Times New Roman" w:hAnsi="Times New Roman"/>
          <w:color w:val="000000"/>
          <w:sz w:val="24"/>
        </w:rPr>
      </w:pPr>
      <w:r>
        <w:rPr>
          <w:rFonts w:ascii="Times New Roman" w:hAnsi="Times New Roman"/>
          <w:color w:val="000000"/>
          <w:sz w:val="24"/>
        </w:rPr>
        <w:t>Een bijkomend voordeel van het consolideren van de joint-ventures is dat in jaren dat het iets minder gaat, toch goede resultaten gepresenteerd kunnen worden. In 1993 was dit bijvoorbeeld het geval. De gerapporteerde omzet steeg met 30%, maar wanneer dit gecorrigeerd werd voor de geconsolideerde joint-ventures bleef hier nog maar 8% van over. Hier werd natuurlijk niet over gesproken, belangrijk was dat Ahold voor het zoveelste jaar een enorme omzetstijging had gerealiseerd. Niemand die ook maar vermoedde dat dit wel eens een heel geflatteerde uitkomst kon zijn.</w:t>
      </w:r>
    </w:p>
    <w:p w:rsidR="00497A28" w:rsidRDefault="00497A28" w:rsidP="006949E9">
      <w:pPr>
        <w:spacing w:line="360" w:lineRule="auto"/>
        <w:rPr>
          <w:rFonts w:ascii="Times New Roman" w:hAnsi="Times New Roman"/>
          <w:color w:val="000000"/>
          <w:sz w:val="24"/>
        </w:rPr>
      </w:pPr>
      <w:r>
        <w:rPr>
          <w:rFonts w:ascii="Times New Roman" w:hAnsi="Times New Roman"/>
          <w:color w:val="000000"/>
          <w:sz w:val="24"/>
        </w:rPr>
        <w:t>Zoals vermeld in paragraaf 5.2 kreeg Ahold met haar notering op Wall Street te maken met US G.A.A.P. Dit is veel meer regel gericht, in tegenstelling tot de Nederlandse regelgeving welke meer principe gericht is. Voor de Amerikanen is het erg belangrijk dat zwart op wit geschreven staat dat een bedrijf de controle heeft over een andere maatschappij alvorens consolidatie mag plaatsvinden. Volgens deze standaarden mogen de Spaanse en Portugese, maar ook de Braziliaanse en Argentijnse joint-ventures niet mee geconsolideerd worden. Toch wordt dit goedgekeurd, vooral omdat Ahold belooft dat er aanpassingen zullen komen in de overeenkomsten waardoor zij inderdaad de benodigde controle zullen krijgen. Het bestuur van Ahold weet de accountants te overtuigen dat zij daadwerkelijk de baas zijn in deze joint-ventures, ook al bezitten zij niet de meerderheid van de aandelen. Het wordt een stuk lastiger wanneer de Amerikaanse accountants beginnen te twijfelen aan de juistheid van het consolideren van de joint-ventures. In de tweede helft van 1998 wordt Ahold geconfronteerd met de mening van de accountants. Zij geven aan zwart op wit te willen hebben dat Ahold de substantiële controle heeft in alle geconsolideerde buitenlandse joint-ventures. Het bestuur van Ahold tekent hierop een briefje, een zogeheten 'side-letter' met de mededeling dat zij de controle hebben. Zij denken dat dit alleen een formaliteit is waarmee zij de accountants tevreden stellen. Om echter de wederpartij van de joint-venture tevreden te houden en uit angst voor waardevermindering van hun aandelen, tekent het bestuur een tweede briefje dat min of meer de inhoud van het eerste briefje onderuit haalt. Hierin staat dat Ahold helemaal niet alleen de zeggenschap in de joint-ventures heeft. Deze brief wordt echter niet naar de accountant gestuurd, maar ver weg gestopt. De consolidatie wordt op basis van het eerste briefje goedgekeurd. Dit gebeurt voor alle joint-ventures die Ahold wil consolideren, zodat dit ook onder US G.A.A.P. geen probleem meer is. Dit is waar de managers van Ahold te ver zijn gegaan. Ze stelden de brieven op waarin accountants hoorden wat ze wilden horen en haalden deze brieven net zo hard weer onderuit, maar zonder dit tegen de accountants te vertellen. Hier is sprake van wangedrag van de managers. Zij hebben niet binnen de regelgeving getracht winst te sturen, maar hebben de regelgeving hiervoor genegeerd. Dit is pure fraude! De bestuurders waren zo hebzuchtig dat ze heel ver wilden gaan om winst- en koersstijging te realiseren.</w:t>
      </w:r>
    </w:p>
    <w:p w:rsidR="00497A28" w:rsidRDefault="00497A28" w:rsidP="006949E9">
      <w:pPr>
        <w:spacing w:line="360" w:lineRule="auto"/>
        <w:rPr>
          <w:rFonts w:ascii="Times New Roman" w:hAnsi="Times New Roman"/>
          <w:color w:val="000000"/>
          <w:sz w:val="24"/>
        </w:rPr>
      </w:pPr>
      <w:r>
        <w:rPr>
          <w:rFonts w:ascii="Times New Roman" w:hAnsi="Times New Roman"/>
          <w:color w:val="000000"/>
          <w:sz w:val="24"/>
        </w:rPr>
        <w:t>In 2002 tekende de president van Amerika, George Bush, de Sarbanes-Oxley wet. Na verscheidene boekhoudschandalen, onder andere bij Enron, wilde hij hiermee het vertrouwen in de economische markt terug krijgen. Deze wet verplichtte alle CEO's en CFO's van bedrijven om te tekenen voor de jaarcijfers en persoonlijk garant te staan als iets niet blijkt te kloppen. Dit zet de financiële man bij Ahold, inmiddels Michiel Meurs die Cees van der Hoeven heeft vervangen, aan het denken; hij zal toch niet persoonlijk moeten boeten voor de verzwegen side-letters die de consolidatie eigenlijk niet toe laat? Wanneer hij collega's om advies vraagt, krijgen steeds meer mensen verhalen over de verzwegen brieven te horen. Dit leidt er uiteindelijk toe dat de hele zaak aan het licht komt en naar buiten wordt gebracht dat Ahold, het grote Ahold, jarenlang misleidende cijfers heeft gepresenteerd.</w:t>
      </w:r>
    </w:p>
    <w:p w:rsidR="00497A28" w:rsidRDefault="00497A28">
      <w:pPr>
        <w:rPr>
          <w:rFonts w:ascii="Times New Roman" w:hAnsi="Times New Roman"/>
          <w:b/>
          <w:color w:val="000000"/>
          <w:sz w:val="24"/>
        </w:rPr>
      </w:pPr>
      <w:r>
        <w:rPr>
          <w:rFonts w:ascii="Times New Roman" w:hAnsi="Times New Roman"/>
          <w:b/>
          <w:color w:val="000000"/>
          <w:sz w:val="24"/>
        </w:rPr>
        <w:br w:type="page"/>
      </w:r>
    </w:p>
    <w:p w:rsidR="00497A28" w:rsidRDefault="00497A28" w:rsidP="006949E9">
      <w:pPr>
        <w:spacing w:line="360" w:lineRule="auto"/>
        <w:rPr>
          <w:rFonts w:ascii="Times New Roman" w:hAnsi="Times New Roman"/>
          <w:color w:val="000000"/>
          <w:sz w:val="24"/>
        </w:rPr>
      </w:pPr>
      <w:r>
        <w:rPr>
          <w:rFonts w:ascii="Times New Roman" w:hAnsi="Times New Roman"/>
          <w:b/>
          <w:color w:val="000000"/>
          <w:sz w:val="24"/>
        </w:rPr>
        <w:t>5.4 Ahold en ED 10</w:t>
      </w:r>
      <w:r>
        <w:rPr>
          <w:rFonts w:ascii="Times New Roman" w:hAnsi="Times New Roman"/>
          <w:b/>
          <w:color w:val="000000"/>
          <w:sz w:val="24"/>
        </w:rPr>
        <w:br/>
      </w:r>
      <w:r>
        <w:rPr>
          <w:rFonts w:ascii="Times New Roman" w:hAnsi="Times New Roman"/>
          <w:color w:val="000000"/>
          <w:sz w:val="24"/>
        </w:rPr>
        <w:t xml:space="preserve">In 2003 kwam het nieuws naar buiten dat Ahold op zijn zachtst gezegd onnauwkeurig was geweest in de boekhouding, met betrekking tot de geconsolideerde cijfers. Meerdere joint-ventures waren voor 100% mee geconsolideerd, terwijl Ahold officieel niet de zeggenschap had in deze joint-ventures. Dit gebeurde echter allemaal voor het in werking treden van IFRS 3, IAS 27 en ED 10. Had deze nieuwe regelgeving kunnen voorkomen dat Ahold de joint-ventures ten onrechte consolideerde? In principe niet. Ook voor de invoering van deze regels door de IASB gold, zeker in Nederland, dat de moedermaatschappij te allen tijde de zeggenschap moest hebben over dochtermaatschappijen om deze te mogen consolideren. In het Burgerlijk Wetboek, waarin de Nederlandse wetgeving geschreven staat, is dit duidelijk terug te vinden. Joint-ventures waarin een bedrijf maar 50% bezit, mogen nooit voor 100% mee worden geconsolideerd, omdat zij de zeggenschap niet bezitten. </w:t>
      </w:r>
      <w:r>
        <w:rPr>
          <w:rFonts w:ascii="Times New Roman" w:hAnsi="Times New Roman"/>
          <w:color w:val="000000"/>
          <w:sz w:val="24"/>
        </w:rPr>
        <w:br/>
        <w:t xml:space="preserve">ED 10 mag dan een ruimere definitie voor controle geven, feit blijft dat er wel controle moet zijn. Een 50-50 joint-venture heeft niet een maatschappij als controlerende maatschappij, ook niet onder de regelgeving van ED 10. Deze regel had niet kunnen voorkomen dat Ahold haar buitenlandse joint-ventures voor 100% consolideerde. </w:t>
      </w:r>
    </w:p>
    <w:p w:rsidR="00497A28" w:rsidRDefault="00497A28" w:rsidP="006949E9">
      <w:pPr>
        <w:spacing w:line="360" w:lineRule="auto"/>
        <w:rPr>
          <w:rFonts w:ascii="Times New Roman" w:hAnsi="Times New Roman"/>
          <w:color w:val="000000"/>
          <w:sz w:val="24"/>
        </w:rPr>
      </w:pPr>
      <w:r>
        <w:rPr>
          <w:rFonts w:ascii="Times New Roman" w:hAnsi="Times New Roman"/>
          <w:b/>
          <w:color w:val="000000"/>
          <w:sz w:val="24"/>
        </w:rPr>
        <w:t>5.5 Samenvatting</w:t>
      </w:r>
      <w:r>
        <w:rPr>
          <w:rFonts w:ascii="Times New Roman" w:hAnsi="Times New Roman"/>
          <w:b/>
          <w:color w:val="000000"/>
          <w:sz w:val="24"/>
        </w:rPr>
        <w:br/>
      </w:r>
      <w:r>
        <w:rPr>
          <w:rFonts w:ascii="Times New Roman" w:hAnsi="Times New Roman"/>
          <w:color w:val="000000"/>
          <w:sz w:val="24"/>
        </w:rPr>
        <w:t>Het in 1887 opgerichte familiebedrijf Albert Heijn groeide al snel uit tot een landelijke supermarktketen. Toen de groei doorzette werd Ahold N.V. opgericht, de moeder van het concern dat inmiddels ook andere winkels bezat. In 1948 volgde notering aan de AEX en in 1993 zelfs aan de beurs op Wall Street. Mede door groeiend consumenten vertrouwen bleef Ahold groeien en slaagde het er jaar op jaar in om hogere winstcijfers te behalen. Managers verkondigden betere cijfers, beleggers geloofden dit en dit vertaalde zich in hogere koersen waardoor de verwachtingen steeds werden waar gemaakt. Het kon allemaal niet op. Toen de markt in Nederland verzadigd leek te raken, ging Ahold de grens over. Vele supermarktketens in Europa en Amerika werden over genomen en werden joint-ventures gevormd. De managers van Ahold hadden de figuurlijke dollartekens in hun ogen en wilden steeds meer. Dit resulteerde in het ten onrechte mee consolideren van buitenlandse joint-ventures, waar Ahold geen vereiste zeggenschap had, zodat de gepresenteerde omzet- en winstcijfers steeds hoger werden. Als gevolg van het in werking treden van de Sarbanes-Oxley wet, begon de financiële man bij Ahold bang te worden voor de gevolgen van deze consolidatie. Het verhaal kwam hier mee aan het licht en misschien wel het grootste boekhoudschandaal in de Nederlandse geschiedenis was geboren. De vraag of de invoering van onder andere ED 10 in 2008 deze fraude had kunnen voorkomen, kan ontkennend worden beantwoord. Ahold heeft nooit de zeggenschap gehad in de joint-ventures, waardoor onder geen enkele omstandigheden deze joint-ventures voor 100% mee geconsolideerd hadden mogen worden. Er is geen sprake van een fout in de wet- en regelgeving, deze is heel duidelijk. De reden dat deze fraude heeft kunnen gebeuren is de hebzuchtigheid van de top van Ahold geweest, dat hen heeft gedreven tot het negeren van de wet- en regelgeving.</w:t>
      </w:r>
    </w:p>
    <w:p w:rsidR="00497A28" w:rsidRDefault="00497A28">
      <w:pPr>
        <w:rPr>
          <w:rFonts w:ascii="Times New Roman" w:hAnsi="Times New Roman"/>
          <w:color w:val="000000"/>
          <w:sz w:val="24"/>
        </w:rPr>
      </w:pPr>
      <w:r>
        <w:rPr>
          <w:rFonts w:ascii="Times New Roman" w:hAnsi="Times New Roman"/>
          <w:color w:val="000000"/>
          <w:sz w:val="24"/>
        </w:rPr>
        <w:br w:type="page"/>
      </w:r>
    </w:p>
    <w:p w:rsidR="00497A28" w:rsidRPr="00CD7010" w:rsidRDefault="00497A28" w:rsidP="006949E9">
      <w:pPr>
        <w:spacing w:line="360" w:lineRule="auto"/>
        <w:rPr>
          <w:rFonts w:ascii="Times New Roman" w:hAnsi="Times New Roman"/>
          <w:b/>
          <w:color w:val="000000"/>
          <w:sz w:val="28"/>
        </w:rPr>
      </w:pPr>
      <w:r w:rsidRPr="00CD7010">
        <w:rPr>
          <w:rFonts w:ascii="Times New Roman" w:hAnsi="Times New Roman"/>
          <w:b/>
          <w:color w:val="000000"/>
          <w:sz w:val="28"/>
        </w:rPr>
        <w:t>Hoofdstuk 6: Samenvatting en Conclusie</w:t>
      </w:r>
    </w:p>
    <w:p w:rsidR="00497A28" w:rsidRDefault="00497A28" w:rsidP="00817549">
      <w:pPr>
        <w:spacing w:line="360" w:lineRule="auto"/>
        <w:rPr>
          <w:rFonts w:ascii="Times New Roman" w:hAnsi="Times New Roman"/>
          <w:color w:val="000000"/>
          <w:sz w:val="24"/>
        </w:rPr>
      </w:pPr>
      <w:r>
        <w:rPr>
          <w:rFonts w:ascii="Times New Roman" w:hAnsi="Times New Roman"/>
          <w:b/>
          <w:color w:val="000000"/>
          <w:sz w:val="24"/>
        </w:rPr>
        <w:t>6.1 Samenvatting</w:t>
      </w:r>
      <w:r>
        <w:rPr>
          <w:rFonts w:ascii="Times New Roman" w:hAnsi="Times New Roman"/>
          <w:b/>
          <w:color w:val="000000"/>
          <w:sz w:val="24"/>
        </w:rPr>
        <w:br/>
      </w:r>
      <w:r>
        <w:rPr>
          <w:rFonts w:ascii="Times New Roman" w:hAnsi="Times New Roman"/>
          <w:color w:val="000000"/>
          <w:sz w:val="24"/>
        </w:rPr>
        <w:t xml:space="preserve">De toenemende globalisatie en daarmee samenhangende concurrentie tussen ondernemingen, heeft als gevolg dat veel bedrijven andere partijen overnemen of overgaan tot een fusie met een ander bedrijf om groter te worden. Wanneer de overnemende partij de zeggenschap krijgt in de andere partij, is de zogeheten moeder verplicht om een geconsolideerde jaarrekening op te stellen. De zeggenschap houdt in de praktijk vaak in dat de moedermaatschappij meer dan 50% van de aandelen van de over genomen partij bezit. </w:t>
      </w:r>
      <w:r>
        <w:rPr>
          <w:rFonts w:ascii="Times New Roman" w:hAnsi="Times New Roman"/>
          <w:color w:val="000000"/>
          <w:sz w:val="24"/>
        </w:rPr>
        <w:br/>
        <w:t>Het is belangrijk om onderscheid te maken tussen een belegging, een deelneming, een joint-venture en een dochtermaatschappij. Er is sprake van een belegging als een onderneming aandelen van een andere onderneming koopt met als enige doel hier rendement op te behalen. Wanneer het doel van de aandelenkoop een duurzame samenwerking is, wordt de andere partij als deelneming gezien. Bij een aandelenbezit van meer dan 50% wordt gesproken van een dochteronderneming. Een joint-venture is in feite een samenwerkingsverband. Twee organisaties kunnen afspreken om samen bijvoorbeeld een project of zelfs een hele onderneming te kopen. In dat geval zijn zij samen de eigenaar, met beiden een bezit van precies 50% van de aandelen. Bij een joint-venture heeft dus nooit een partij in zijn eentje de zeggenschap.</w:t>
      </w:r>
    </w:p>
    <w:p w:rsidR="00497A28" w:rsidRDefault="00497A28" w:rsidP="00BD1D4B">
      <w:pPr>
        <w:spacing w:line="360" w:lineRule="auto"/>
        <w:rPr>
          <w:rFonts w:ascii="Times New Roman" w:hAnsi="Times New Roman"/>
          <w:color w:val="000000"/>
          <w:sz w:val="24"/>
        </w:rPr>
      </w:pPr>
      <w:r>
        <w:rPr>
          <w:rFonts w:ascii="Times New Roman" w:hAnsi="Times New Roman"/>
          <w:color w:val="000000"/>
          <w:sz w:val="24"/>
        </w:rPr>
        <w:t>Er zijn twee manieren om een onderneming mee te consolideren, de proportionele en de integrale methode. De regel is dat moedermaatschappijen met een heersend belang in dochtermaatschappijen verplicht zijn deze partij integraal mee te consolideren. Dit betekent dat wanneer een moedermaatschappij maar 80% van de aandelen bezit, zij de dochteronderneming toch voor 100% van de balanswaarde mee consolideert. Ter compensatie van de 20% die de moeder niet bezit, wordt op de creditzijde van de balans dan de post 'aandeel derden' opgenomen. Er wordt zowel in de Nederlandse wetgeving, het Burgerlijk Wetboek (BW) en de Richtlijnen voor de Jaarverslaggeving (RJ), en in de Internationale wetgeving, de International Accounting Standards (IAS) en de International Financial Reporting Standards (IFRS), geen onderscheid gemaakt tussen binnen- en buitenlandse deelnemingen.</w:t>
      </w:r>
      <w:r>
        <w:rPr>
          <w:rFonts w:ascii="Times New Roman" w:hAnsi="Times New Roman"/>
          <w:color w:val="000000"/>
          <w:sz w:val="24"/>
        </w:rPr>
        <w:br/>
        <w:t xml:space="preserve">Proportionele consolidatie is alleen toegestaan bij joint-ventures. In dit geval zetten beide consoliderende partijen de activa en passiva van de joint-venture voor 50% van de balans waarde in hun geconsolideerde balans. Dit komt dan overeen met hun aandeel in de joint-venture. </w:t>
      </w:r>
      <w:r>
        <w:rPr>
          <w:rFonts w:ascii="Times New Roman" w:hAnsi="Times New Roman"/>
          <w:color w:val="000000"/>
          <w:sz w:val="24"/>
        </w:rPr>
        <w:br/>
        <w:t>Een tweede mogelijkheid van het opnemen van joint-ventures in de balans is deze in zijn geheel te waarderen tegen netto-vermogenswaarde op de activa zijde van de balans. In dit geval worden niet de individuele activa en passiva van de joint-venture apart opgenomen in de geconsolideerde balans.</w:t>
      </w:r>
    </w:p>
    <w:p w:rsidR="00497A28" w:rsidRDefault="00497A28" w:rsidP="006949E9">
      <w:pPr>
        <w:spacing w:line="360" w:lineRule="auto"/>
        <w:rPr>
          <w:rFonts w:ascii="Times New Roman" w:hAnsi="Times New Roman"/>
          <w:color w:val="000000"/>
          <w:sz w:val="24"/>
        </w:rPr>
      </w:pPr>
      <w:r>
        <w:rPr>
          <w:rFonts w:ascii="Times New Roman" w:hAnsi="Times New Roman"/>
          <w:color w:val="000000"/>
          <w:sz w:val="24"/>
        </w:rPr>
        <w:t xml:space="preserve">Het consolidatieproces begint met het vormen van een materiële en formele eenheid van moeder en dochter. Een materiële eenheid betekent dat alle posten op de individuele balansen op dezelfde manier gewaardeerd moeten worden. Een formele eenheid betekent dat alle grootboekrekeningen dezelfde naam moeten hebben. </w:t>
      </w:r>
      <w:r>
        <w:rPr>
          <w:rFonts w:ascii="Times New Roman" w:hAnsi="Times New Roman"/>
          <w:color w:val="000000"/>
          <w:sz w:val="24"/>
        </w:rPr>
        <w:br/>
        <w:t>Daarnaast moeten alle onderlinge relaties, zoals leningen of leveringen, geëlimineerd worden. Voor deze stappen geldt dat altijd de boekhouding van de moeder toonaangevend is, de dochter volgt de moeder. Na deze handelingen kunnen de overgebleven posten op de balans en resultatenrekening worden opgeteld en vormen dan de nieuwe geconsolideerde balans en resultatenrekening.</w:t>
      </w:r>
    </w:p>
    <w:p w:rsidR="00497A28" w:rsidRDefault="00497A28" w:rsidP="006949E9">
      <w:pPr>
        <w:spacing w:line="360" w:lineRule="auto"/>
        <w:rPr>
          <w:rFonts w:ascii="Times New Roman" w:hAnsi="Times New Roman"/>
          <w:color w:val="000000"/>
          <w:sz w:val="24"/>
        </w:rPr>
      </w:pPr>
      <w:r>
        <w:rPr>
          <w:rFonts w:ascii="Times New Roman" w:hAnsi="Times New Roman"/>
          <w:color w:val="000000"/>
          <w:sz w:val="24"/>
        </w:rPr>
        <w:t>Een geconsolideerde jaarrekening moet aan dezelfde eisen voldoen als een enkelvoudige jaarrekening. Dit geldt zowel voor de Nederlandse als voor de Internationale wet- en regelgeving. Een jaarrekening moet 'relevant', 'reliable', 'comparable' en 'understandable' zijn volgens de standaarden van de IFRS. Nederland kent dezelfde eisen, al zijn zij misschien iets anders geformuleerd: inzicht van belanghebbenden, relevantie, stelselmatigheid en materialiteit. De Nederlandse wetgeving is hiermee afgesteld op de Internationale wetgeving. Dit komt doordat de Europese Unie in 2005 heeft besloten dat beursgenoteerde bedrijven in Nederland hun geconsolideerde jaarrekening verplicht moeten opstellen volgens de principes van IFRS. Dit is besloten omdat het vergelijking van grote, internationale bedrijven makkelijker maakt en dit is in tijden van een globaliserende wereld erg belangrijk. Om deze reden wordt geprobeerd de accountingstandaarden van de hele wereld te convergeren tot uiteindelijk overal in grote lijnen dezelfde standaarden worden gehanteerd.</w:t>
      </w:r>
    </w:p>
    <w:p w:rsidR="00497A28" w:rsidRDefault="00497A28" w:rsidP="006949E9">
      <w:pPr>
        <w:spacing w:line="360" w:lineRule="auto"/>
        <w:rPr>
          <w:rFonts w:ascii="Times New Roman" w:hAnsi="Times New Roman"/>
          <w:color w:val="000000"/>
          <w:sz w:val="24"/>
        </w:rPr>
      </w:pPr>
      <w:r>
        <w:rPr>
          <w:rFonts w:ascii="Times New Roman" w:hAnsi="Times New Roman"/>
          <w:color w:val="000000"/>
          <w:sz w:val="24"/>
        </w:rPr>
        <w:t>De toenemende groei van ondernemingsgrootte brengt ook mee dat ondernemingen meer te maken krijgen met managers. Deze managers zullen niet altijd handelen in het belang van de onderneming. Veelal worden zij beloond op basis van de resultaten van de onderneming. Hierdoor zullen zij proberen de winst zo groot mogelijk te laten lijken door allerlei accountingtechnieken. Dit wordt ook wel winststuring genoemd. Een van de manieren om de winst van een onderneming of concern zo groot mogelijk te laten uitvallen, is het mee consolideren van zoveel mogelijk dochterondernemingen. Immers, de omzetcijfers van alle geconsolideerde partijen worden opgeteld waardoor het totale omzetcijfer groter zal worden. Binnen de regelgeving hebben managers weinig ruimte om af te wijken van de te consolideren partijen, maar zij kunnen wel de regels omzeilen. Door te doen alsof de onderneming de zeggenschap heeft in een joint-venture, desnoods door valse brieven op te stellen, zullen joint-ventures ten onrechte voor 100% meegeconsolideerd worden. De regelgeving is echter heel strikt; consolidatie mag alleen plaatsvinden als sprake is van 'control'. Zonder deze regels te ontwijken is er geen mogelijkheid om managers het proces te laten beïnvloeden.</w:t>
      </w:r>
    </w:p>
    <w:p w:rsidR="00497A28" w:rsidRDefault="00497A28" w:rsidP="006949E9">
      <w:pPr>
        <w:spacing w:line="360" w:lineRule="auto"/>
        <w:rPr>
          <w:rFonts w:ascii="Times New Roman" w:hAnsi="Times New Roman"/>
          <w:color w:val="000000"/>
          <w:sz w:val="24"/>
        </w:rPr>
      </w:pPr>
      <w:r>
        <w:rPr>
          <w:rFonts w:ascii="Times New Roman" w:hAnsi="Times New Roman"/>
          <w:color w:val="000000"/>
          <w:sz w:val="24"/>
        </w:rPr>
        <w:t>Dit is dan ook waar het bij het bedrijf Ahold fout is gegaan. Ahold is in 1973 opgericht om te fungeren als moederbedrijf voor onder andere het supermarktconcern Albert Heijn. Het bedrijf groeit enorm en neemt veel buitenlandse supermarktketens over om de wereld te veroveren. In 1992 wordt CFO Cees van der Hoeven benoemd tot president van Ahold. Omdat er dan geen geschikte kandidaat is om zijn rol als CFO over te nemen, wordt besloten even te wachten met een opvolger aan te stellen voor deze functie. Zo wordt Cees van der Hoeven zowel CEO als CFO bij Ahold. Dit is het begin van het einde. Als CEO wil hij niets liever dan Ahold zo groot mogelijk maken door de winst, en dus de koers, naar ongekende hoogte te laten stijgen. Deze ambitie staat eigenlijk zijn rol als toezichthouder in de vorm van CFO in de weg. Om de winst groter te laten lijken, consolideert Ahold ook buitenlandse joint-ventures voor 100%. Met hun overtuigingskracht weet het bestuur vragen over de aanwezigheid van controle in deze joint-venture weg te wuiven. Wanneer Amerikaanse accountants vragen gaan stellen, wordt besloten side-letters op te stellen waarin wordt vastgelegd dat Ahold de zeggenschap heeft in de betreffende joint-ventures. Deze stelling wordt echter in een tweede brief steeds onderuit gehaald, maar die krijgen de accountants niet te zien. De fraudezaak is hier mee geboren.</w:t>
      </w:r>
    </w:p>
    <w:p w:rsidR="00497A28" w:rsidRDefault="00497A28" w:rsidP="006949E9">
      <w:pPr>
        <w:spacing w:line="360" w:lineRule="auto"/>
        <w:rPr>
          <w:rFonts w:ascii="Times New Roman" w:hAnsi="Times New Roman"/>
          <w:color w:val="000000"/>
          <w:sz w:val="24"/>
        </w:rPr>
      </w:pPr>
      <w:r>
        <w:rPr>
          <w:rFonts w:ascii="Times New Roman" w:hAnsi="Times New Roman"/>
          <w:b/>
          <w:color w:val="000000"/>
          <w:sz w:val="24"/>
        </w:rPr>
        <w:t>6.2 Conclusie</w:t>
      </w:r>
      <w:r>
        <w:rPr>
          <w:rFonts w:ascii="Times New Roman" w:hAnsi="Times New Roman"/>
          <w:b/>
          <w:color w:val="000000"/>
          <w:sz w:val="24"/>
        </w:rPr>
        <w:br/>
      </w:r>
      <w:r>
        <w:rPr>
          <w:rFonts w:ascii="Times New Roman" w:hAnsi="Times New Roman"/>
          <w:color w:val="000000"/>
          <w:sz w:val="24"/>
        </w:rPr>
        <w:t>Naar aanleiding van de fraude die Ahold heeft gepleegd met betrekking tot het foutief consolideren van buitenlandse joint-ventures, is in deze scriptie onderzoek gedaan naar de huidige wet- en regelgeving met betrekking tot consolidatie. De vooraf gestelde probleemstelling en bijbehorende deelvragen luiden als volgt:</w:t>
      </w:r>
    </w:p>
    <w:p w:rsidR="00497A28" w:rsidRDefault="00497A28" w:rsidP="00113A27">
      <w:pPr>
        <w:spacing w:line="360" w:lineRule="auto"/>
        <w:rPr>
          <w:rFonts w:ascii="Times New Roman" w:hAnsi="Times New Roman"/>
          <w:color w:val="000000"/>
          <w:sz w:val="24"/>
        </w:rPr>
      </w:pPr>
      <w:r w:rsidRPr="0005339E">
        <w:rPr>
          <w:rFonts w:ascii="Times New Roman" w:hAnsi="Times New Roman"/>
          <w:i/>
          <w:color w:val="000000"/>
          <w:sz w:val="24"/>
        </w:rPr>
        <w:t xml:space="preserve">Wat is de huidige wet- en regelgeving met betrekking tot het consolideren van buitenlandse deelnemingen? </w:t>
      </w:r>
      <w:r>
        <w:rPr>
          <w:rFonts w:ascii="Times New Roman" w:hAnsi="Times New Roman"/>
          <w:color w:val="000000"/>
          <w:sz w:val="24"/>
        </w:rPr>
        <w:t xml:space="preserve"> </w:t>
      </w:r>
    </w:p>
    <w:p w:rsidR="00497A28" w:rsidRDefault="00497A28" w:rsidP="00113A27">
      <w:pPr>
        <w:spacing w:line="360" w:lineRule="auto"/>
        <w:rPr>
          <w:rFonts w:ascii="Times New Roman" w:hAnsi="Times New Roman"/>
          <w:color w:val="000000"/>
          <w:sz w:val="24"/>
        </w:rPr>
      </w:pPr>
      <w:r>
        <w:rPr>
          <w:rFonts w:ascii="Times New Roman" w:hAnsi="Times New Roman"/>
          <w:color w:val="000000"/>
          <w:sz w:val="24"/>
        </w:rPr>
        <w:t xml:space="preserve">Deelvraag 1: </w:t>
      </w:r>
      <w:r w:rsidRPr="00507638">
        <w:rPr>
          <w:rFonts w:ascii="Times New Roman" w:hAnsi="Times New Roman"/>
          <w:i/>
          <w:color w:val="000000"/>
          <w:sz w:val="24"/>
        </w:rPr>
        <w:t>Wat is consolideren</w:t>
      </w:r>
      <w:r>
        <w:rPr>
          <w:rFonts w:ascii="Times New Roman" w:hAnsi="Times New Roman"/>
          <w:i/>
          <w:color w:val="000000"/>
          <w:sz w:val="24"/>
        </w:rPr>
        <w:t>?</w:t>
      </w:r>
      <w:r>
        <w:rPr>
          <w:rFonts w:ascii="Times New Roman" w:hAnsi="Times New Roman"/>
          <w:i/>
          <w:color w:val="000000"/>
          <w:sz w:val="24"/>
        </w:rPr>
        <w:br/>
      </w:r>
      <w:r w:rsidRPr="0005339E">
        <w:rPr>
          <w:rFonts w:ascii="Times New Roman" w:hAnsi="Times New Roman"/>
          <w:color w:val="000000"/>
          <w:sz w:val="24"/>
        </w:rPr>
        <w:t>Deelvraag 2:</w:t>
      </w:r>
      <w:r>
        <w:rPr>
          <w:rFonts w:ascii="Times New Roman" w:hAnsi="Times New Roman"/>
          <w:i/>
          <w:color w:val="000000"/>
          <w:sz w:val="24"/>
        </w:rPr>
        <w:t xml:space="preserve"> </w:t>
      </w:r>
      <w:r w:rsidRPr="00507638">
        <w:rPr>
          <w:rFonts w:ascii="Times New Roman" w:hAnsi="Times New Roman"/>
          <w:i/>
          <w:color w:val="000000"/>
          <w:sz w:val="24"/>
        </w:rPr>
        <w:t>Welke deelnemingen moeten geconsolideerd worden</w:t>
      </w:r>
      <w:r>
        <w:rPr>
          <w:rFonts w:ascii="Times New Roman" w:hAnsi="Times New Roman"/>
          <w:i/>
          <w:color w:val="000000"/>
          <w:sz w:val="24"/>
        </w:rPr>
        <w:t>?</w:t>
      </w:r>
      <w:r>
        <w:rPr>
          <w:rFonts w:ascii="Times New Roman" w:hAnsi="Times New Roman"/>
          <w:i/>
          <w:color w:val="000000"/>
          <w:sz w:val="24"/>
        </w:rPr>
        <w:br/>
      </w:r>
      <w:r w:rsidRPr="0005339E">
        <w:rPr>
          <w:rFonts w:ascii="Times New Roman" w:hAnsi="Times New Roman"/>
          <w:color w:val="000000"/>
          <w:sz w:val="24"/>
        </w:rPr>
        <w:t>Deelvraag 3:</w:t>
      </w:r>
      <w:r>
        <w:rPr>
          <w:rFonts w:ascii="Times New Roman" w:hAnsi="Times New Roman"/>
          <w:i/>
          <w:color w:val="000000"/>
          <w:sz w:val="24"/>
        </w:rPr>
        <w:t xml:space="preserve"> </w:t>
      </w:r>
      <w:r w:rsidRPr="00507638">
        <w:rPr>
          <w:rFonts w:ascii="Times New Roman" w:hAnsi="Times New Roman"/>
          <w:i/>
          <w:color w:val="000000"/>
          <w:sz w:val="24"/>
        </w:rPr>
        <w:t xml:space="preserve">Hoe kan het management van een bedrijf </w:t>
      </w:r>
      <w:r>
        <w:rPr>
          <w:rFonts w:ascii="Times New Roman" w:hAnsi="Times New Roman"/>
          <w:i/>
          <w:color w:val="000000"/>
          <w:sz w:val="24"/>
        </w:rPr>
        <w:t xml:space="preserve">de consolidatie uitkomsten </w:t>
      </w:r>
      <w:r>
        <w:rPr>
          <w:rFonts w:ascii="Times New Roman" w:hAnsi="Times New Roman"/>
          <w:i/>
          <w:color w:val="000000"/>
          <w:sz w:val="24"/>
        </w:rPr>
        <w:tab/>
      </w:r>
      <w:r>
        <w:rPr>
          <w:rFonts w:ascii="Times New Roman" w:hAnsi="Times New Roman"/>
          <w:i/>
          <w:color w:val="000000"/>
          <w:sz w:val="24"/>
        </w:rPr>
        <w:tab/>
        <w:t xml:space="preserve">         b</w:t>
      </w:r>
      <w:r w:rsidRPr="00507638">
        <w:rPr>
          <w:rFonts w:ascii="Times New Roman" w:hAnsi="Times New Roman"/>
          <w:i/>
          <w:color w:val="000000"/>
          <w:sz w:val="24"/>
        </w:rPr>
        <w:t>eïnvloeden</w:t>
      </w:r>
      <w:r>
        <w:rPr>
          <w:rFonts w:ascii="Times New Roman" w:hAnsi="Times New Roman"/>
          <w:color w:val="000000"/>
          <w:sz w:val="24"/>
        </w:rPr>
        <w:t>?</w:t>
      </w:r>
    </w:p>
    <w:p w:rsidR="00497A28" w:rsidRDefault="00497A28" w:rsidP="00113A27">
      <w:pPr>
        <w:spacing w:line="360" w:lineRule="auto"/>
        <w:rPr>
          <w:rFonts w:ascii="Times New Roman" w:hAnsi="Times New Roman"/>
          <w:color w:val="000000"/>
          <w:sz w:val="24"/>
        </w:rPr>
      </w:pPr>
      <w:r>
        <w:rPr>
          <w:rFonts w:ascii="Times New Roman" w:hAnsi="Times New Roman"/>
          <w:color w:val="000000"/>
          <w:sz w:val="24"/>
        </w:rPr>
        <w:t xml:space="preserve">In de hoofdstukken 2 tot en met 5 zijn de deelvragen beantwoord. Consolideren is het samenvoegen van balans, resultatenrekening en andere financiële gegevens van een moeder en al haar dochtermaatschappijen. Een moedermaatschappij heeft niet de keuze om te consolideren, dit is verplicht wanneer zij de zeggenschap heeft over een andere partij, de dochteronderneming. Iedere dochteronderneming, gevestigd in binnen- of buitenland, waarover de moeder de zeggenschap of 'control' heeft moet worden mee geconsolideerd. Hierover is geen enkele discussie mogelijk. Een bedrijf moet zwart op wit kunnen verklaren dat zij de zeggenschap in bezit hebben. Dit is meestal het geval als de consoliderende partij meer dan 50% van de aandelen van de te consolideren partij bezit. Maar ook wanneer de moedermaatschappij de mogelijkheid heeft tot het benoemen of ontslaan van meer dan de helft van de commissarissen bij de dochteronderneming, heeft zij de controle. Het is overigens niet van belang of de moedermaatschappij dit ook daadwerkelijk doet, het gaat er bij de bepaling van de zeggenschap om dat zij de mogelijkheid moet hebben. </w:t>
      </w:r>
      <w:r>
        <w:rPr>
          <w:rFonts w:ascii="Times New Roman" w:hAnsi="Times New Roman"/>
          <w:color w:val="000000"/>
          <w:sz w:val="24"/>
        </w:rPr>
        <w:br/>
        <w:t>Het management kan het consolidatie proces beïnvloeden door contracten op te stellen waarin staat dat zij in joint-ventures of andere dochtermaatschappijen de zeggenschap hebben terwijl zij die feitelijk niet hebben. Dit is echter niet toegestaan.</w:t>
      </w:r>
    </w:p>
    <w:p w:rsidR="00497A28" w:rsidRDefault="00497A28" w:rsidP="005B5737">
      <w:pPr>
        <w:spacing w:line="360" w:lineRule="auto"/>
        <w:rPr>
          <w:rFonts w:ascii="Times New Roman" w:hAnsi="Times New Roman"/>
          <w:color w:val="000000"/>
          <w:sz w:val="24"/>
        </w:rPr>
      </w:pPr>
      <w:r>
        <w:rPr>
          <w:rFonts w:ascii="Times New Roman" w:hAnsi="Times New Roman"/>
          <w:color w:val="000000"/>
          <w:sz w:val="24"/>
        </w:rPr>
        <w:t>De antwoorden op deze drie deelvragen leiden tot een antwoord op de probleemstelling. De huidige wet- en regelgeving rondom consolidatie van buitenlandse deelnemingen is dat moedermaatschappijen verplicht zijn dochterondernemingen waarover zij de zeggenschap bezitten verplicht zijn deze partijen op te nemen in een geconsolideerde jaarrekening. In Nederland is dit vastgelegd in titel 9 van boek 2 van het Burgerlijk wetboek. In de Internationale wetgeving staat dit in IAS 27, IFRS 3 en ED 10. Beide regelgevingen beslaan zowel binnen- als buitenlandse deelnemingen. Er is geen discussie mogelijk over het feit wanneer sprake van controle is. Dit moet zwart op wit bekend zijn door bijvoorbeeld aandelenbezit van meer dan 50%. Joint-ventures, waarin de zeggenschap verdeeld is over twee partijen, mogen om deze reden nooit integraal geconsolideerd worden. Het feit dat het bestuur van Ahold jarenlang deelnemingen in buitenlandse joint-ventures heeft kunnen mee consolideren, is geen fout van de wet- en regelgeving zoals deze nu is. Er is geen sprake van een zogenaamde maas in de wet waar het bestuur destijds gebruik van heeft gemaakt. Zij hebben onwaarheden in brieven laten opstellen om de consolidatie goedgekeurd te krijgen en hebben hiermee accountants en andere betrokkenen gemanipuleerd. Dit is absoluut niet aan te rekenen aan de kwaliteit van de regels, maar alleen aan hebzucht van het bestuur van Ahold. Zij zijn alle boekjes te buiten gegaan. Ook de in 2008 ingetreden ED 10 van de International Accounting Standards Board (IASB) had niet kunnen voorkomen dat dit is gebeurd. Deze regel zegt evengoed dat er zeggenschap nodig is om te mogen consolideren. De criteria zijn wellicht minder streng in ED 10, dit verandert niet dat zonder 'control' nooit geconsolideerd mag worden. Dat deze regel in de tijd van de fraude bij Ahold nog niet bestond, heeft er dus niets mee te maken. Ook in die jaren gold dat zeggenschap nodig is om een dochtermaatschappij te mogen consolideren.</w:t>
      </w:r>
    </w:p>
    <w:p w:rsidR="00497A28" w:rsidRDefault="00497A28" w:rsidP="00113A27">
      <w:pPr>
        <w:spacing w:line="360" w:lineRule="auto"/>
        <w:rPr>
          <w:rFonts w:ascii="Times New Roman" w:hAnsi="Times New Roman"/>
          <w:b/>
          <w:color w:val="000000"/>
          <w:sz w:val="24"/>
        </w:rPr>
      </w:pPr>
      <w:r>
        <w:rPr>
          <w:rFonts w:ascii="Times New Roman" w:hAnsi="Times New Roman"/>
          <w:b/>
          <w:color w:val="000000"/>
          <w:sz w:val="24"/>
        </w:rPr>
        <w:t>6.3 Aanbevelingen</w:t>
      </w:r>
      <w:r>
        <w:rPr>
          <w:rFonts w:ascii="Times New Roman" w:hAnsi="Times New Roman"/>
          <w:b/>
          <w:color w:val="000000"/>
          <w:sz w:val="24"/>
        </w:rPr>
        <w:br/>
      </w:r>
      <w:r>
        <w:rPr>
          <w:rFonts w:ascii="Times New Roman" w:hAnsi="Times New Roman"/>
          <w:color w:val="000000"/>
          <w:sz w:val="24"/>
        </w:rPr>
        <w:t xml:space="preserve">Zoals in de voorgaande paragraaf is geconcludeerd, is er geen sprake van een gebrek in de wet- en regelgeving rondom consolidatie. Daarom is er ook geen oplossing te bedenken die de regelgeving 'dicht' zodat die de fraude bij Ahold had kunnen voorkomen. Er kan echter wel op een andere manier aan een oplossing worden gedacht. Zo kan er een strenger toezicht komen op de gronden waarop een onderneming besluit een partij te betrekken bij de consolidatie. In het geval van Ahold namen de accountants genoegen met een brief van het bestuur waarin stond dat Ahold de zeggenschap had in de joint-ventures. In plaats van dit zonder twijfel voor waar aan te nemen, is het in het vervolg misschien beter om ook met de andere partij te verifiëren of dit klopt. Zo bestaat er voor de moedermaatschappij niet de mogelijkheid om een tweede brief te schrijven die de eerste onderuit haalt. Dit zou voorkomen dat de moedermaatschappij zegt de zeggenschap te hebben, zonder dat de te consolideren partij hier vanaf weet. </w:t>
      </w:r>
      <w:r>
        <w:rPr>
          <w:rFonts w:ascii="Times New Roman" w:hAnsi="Times New Roman"/>
          <w:color w:val="000000"/>
          <w:sz w:val="24"/>
        </w:rPr>
        <w:br/>
        <w:t>Ook de het werking treden van de Sarbanes Oxley wet draagt bij aan het voorkomen van zelfzuchtig gedrag van managers met fraude tot gevolg. Om er voor te zorgen dat managers zich nog terughoudender opstellen is het misschien een idee om de straffen zo in te stellen dat het echt niet meer loont om op wat voor manier dan ook fraude te plegen. Een topmanager die miljoenen verdient, wordt niet getroffen door een eenmalige boete van € 100.000, al lijkt dit heel veel geld. Een lange gevangenisstraf in combinatie met een enorme geldboete schrikt veel meer af en een maatregel als deze zal ook bijdragen in de strijd tegen het voorkomen van boekhoudfraude.</w:t>
      </w:r>
      <w:r>
        <w:rPr>
          <w:rFonts w:ascii="Times New Roman" w:hAnsi="Times New Roman"/>
          <w:color w:val="000000"/>
          <w:sz w:val="24"/>
        </w:rPr>
        <w:br/>
        <w:t>Verder is meer onderzoek gewenst naar het feit in hoeverre een manager inderdaad meer wil consolideren om zijn eigen bonus te zien groeien.</w:t>
      </w:r>
    </w:p>
    <w:p w:rsidR="00497A28" w:rsidRDefault="00497A28" w:rsidP="005B5737">
      <w:pPr>
        <w:spacing w:line="360" w:lineRule="auto"/>
        <w:rPr>
          <w:rFonts w:ascii="Times New Roman" w:hAnsi="Times New Roman"/>
          <w:b/>
          <w:color w:val="000000"/>
          <w:sz w:val="28"/>
        </w:rPr>
      </w:pPr>
      <w:r>
        <w:rPr>
          <w:rFonts w:ascii="Times New Roman" w:hAnsi="Times New Roman"/>
          <w:b/>
          <w:color w:val="000000"/>
          <w:sz w:val="24"/>
        </w:rPr>
        <w:br w:type="column"/>
      </w:r>
      <w:r>
        <w:rPr>
          <w:rFonts w:ascii="Times New Roman" w:hAnsi="Times New Roman"/>
          <w:b/>
          <w:color w:val="000000"/>
          <w:sz w:val="28"/>
        </w:rPr>
        <w:t>Bijlage 1: voorbeeld bij hoofdstuk 2.3</w:t>
      </w:r>
    </w:p>
    <w:p w:rsidR="00497A28" w:rsidRPr="001F0EA4" w:rsidRDefault="00497A28" w:rsidP="00CB4757">
      <w:pPr>
        <w:spacing w:line="360" w:lineRule="auto"/>
        <w:rPr>
          <w:rFonts w:ascii="Times New Roman" w:hAnsi="Times New Roman"/>
          <w:i/>
          <w:color w:val="000000"/>
          <w:sz w:val="24"/>
        </w:rPr>
      </w:pPr>
      <w:r w:rsidRPr="001F0EA4">
        <w:rPr>
          <w:rFonts w:ascii="Times New Roman" w:hAnsi="Times New Roman"/>
          <w:i/>
          <w:color w:val="000000"/>
          <w:sz w:val="24"/>
        </w:rPr>
        <w:t>Moeder bedrijf M BV is een productiebedrijf en produceert onder meer kleding</w:t>
      </w:r>
      <w:r>
        <w:rPr>
          <w:rFonts w:ascii="Times New Roman" w:hAnsi="Times New Roman"/>
          <w:i/>
          <w:color w:val="000000"/>
          <w:sz w:val="24"/>
        </w:rPr>
        <w:t xml:space="preserve"> en levert vooral aan D BV</w:t>
      </w:r>
      <w:r w:rsidRPr="001F0EA4">
        <w:rPr>
          <w:rFonts w:ascii="Times New Roman" w:hAnsi="Times New Roman"/>
          <w:i/>
          <w:color w:val="000000"/>
          <w:sz w:val="24"/>
        </w:rPr>
        <w:t>. M BV heeft een 100% belang in D BV, een handelsonderneming die voornamelijk geleverde producten van M BV verkoopt. Het 100%-belang geeft M BV de zeggenschap over D BV, waardoor M BV een geconsolideerde jaarrekening moet opstellen.</w:t>
      </w:r>
      <w:r>
        <w:rPr>
          <w:rFonts w:ascii="Times New Roman" w:hAnsi="Times New Roman"/>
          <w:i/>
          <w:color w:val="000000"/>
          <w:sz w:val="24"/>
        </w:rPr>
        <w:t xml:space="preserve"> D BV is de enige dochtermaatschappij van M BV. </w:t>
      </w:r>
      <w:r>
        <w:rPr>
          <w:rFonts w:ascii="Times New Roman" w:hAnsi="Times New Roman"/>
          <w:i/>
          <w:color w:val="000000"/>
          <w:sz w:val="24"/>
        </w:rPr>
        <w:br/>
      </w:r>
      <w:r w:rsidRPr="001F0EA4">
        <w:rPr>
          <w:rFonts w:ascii="Times New Roman" w:hAnsi="Times New Roman"/>
          <w:i/>
          <w:color w:val="000000"/>
          <w:sz w:val="24"/>
        </w:rPr>
        <w:t>Zowel M BV als D BV waardeert alle activa en passiva tegen de reële, of de marktwaarde</w:t>
      </w:r>
      <w:r>
        <w:rPr>
          <w:rFonts w:ascii="Times New Roman" w:hAnsi="Times New Roman"/>
          <w:i/>
          <w:color w:val="000000"/>
          <w:sz w:val="24"/>
        </w:rPr>
        <w:t xml:space="preserve"> en zij gebruiken hiervoor dezelfde maatstaven</w:t>
      </w:r>
      <w:r w:rsidRPr="001F0EA4">
        <w:rPr>
          <w:rFonts w:ascii="Times New Roman" w:hAnsi="Times New Roman"/>
          <w:i/>
          <w:color w:val="000000"/>
          <w:sz w:val="24"/>
        </w:rPr>
        <w:t>. M BV waardeert haar deelneming in D BV ook tegen de netto-vermogenswaarde. De netto-vermogenswaard</w:t>
      </w:r>
      <w:r>
        <w:rPr>
          <w:rFonts w:ascii="Times New Roman" w:hAnsi="Times New Roman"/>
          <w:i/>
          <w:color w:val="000000"/>
          <w:sz w:val="24"/>
        </w:rPr>
        <w:t>e</w:t>
      </w:r>
      <w:r w:rsidRPr="001F0EA4">
        <w:rPr>
          <w:rFonts w:ascii="Times New Roman" w:hAnsi="Times New Roman"/>
          <w:i/>
          <w:color w:val="000000"/>
          <w:sz w:val="24"/>
        </w:rPr>
        <w:t xml:space="preserve"> wil zeggen de reële waarde van de activa minus de passiva van D BV, gewaardeerd volgens de maatstaven van M BV</w:t>
      </w:r>
      <w:r>
        <w:rPr>
          <w:rFonts w:ascii="Times New Roman" w:hAnsi="Times New Roman"/>
          <w:i/>
          <w:color w:val="000000"/>
          <w:sz w:val="24"/>
        </w:rPr>
        <w:t>, ook wel het eigen vermogen van D BV</w:t>
      </w:r>
      <w:r w:rsidRPr="001F0EA4">
        <w:rPr>
          <w:rFonts w:ascii="Times New Roman" w:hAnsi="Times New Roman"/>
          <w:i/>
          <w:color w:val="000000"/>
          <w:sz w:val="24"/>
        </w:rPr>
        <w:t>.</w:t>
      </w:r>
      <w:r>
        <w:rPr>
          <w:rFonts w:ascii="Times New Roman" w:hAnsi="Times New Roman"/>
          <w:i/>
          <w:color w:val="000000"/>
          <w:sz w:val="24"/>
        </w:rPr>
        <w:t xml:space="preserve"> Verder is bekend dat M BV in 2009 producten aan D BV heeft geleverd. De kostprijs voor deze producten was voor M BV €80.000 en zij heeft hiervoor een winstopslag van 20% berekend. D BV heeft deze goederen nog niet verkocht en zitten dus nog in de voorraad. D BV heeft contant betaald aan M BV (Belastingen worden voor het overzicht achterwege gelaten)</w:t>
      </w:r>
      <w:r>
        <w:rPr>
          <w:rFonts w:ascii="Times New Roman" w:hAnsi="Times New Roman"/>
          <w:i/>
          <w:color w:val="000000"/>
          <w:sz w:val="24"/>
        </w:rPr>
        <w:br/>
        <w:t>De balansen van M BV en D BV zijn als volgt:</w:t>
      </w:r>
    </w:p>
    <w:p w:rsidR="00497A28" w:rsidRPr="00545E4B" w:rsidRDefault="00497A28" w:rsidP="00CB4757">
      <w:pPr>
        <w:spacing w:line="360" w:lineRule="auto"/>
        <w:rPr>
          <w:rFonts w:ascii="Times New Roman" w:hAnsi="Times New Roman"/>
          <w:b/>
          <w:i/>
          <w:color w:val="000000"/>
          <w:sz w:val="24"/>
        </w:rPr>
      </w:pPr>
      <w:r w:rsidRPr="00545E4B">
        <w:rPr>
          <w:rFonts w:ascii="Times New Roman" w:hAnsi="Times New Roman"/>
          <w:b/>
          <w:i/>
          <w:color w:val="000000"/>
          <w:sz w:val="24"/>
        </w:rPr>
        <w:t>Balans M BV 31-12-2009 (in 1000 euro's)</w:t>
      </w:r>
    </w:p>
    <w:tbl>
      <w:tblPr>
        <w:tblW w:w="0" w:type="auto"/>
        <w:tblBorders>
          <w:top w:val="single" w:sz="4" w:space="0" w:color="auto"/>
          <w:insideH w:val="single" w:sz="4" w:space="0" w:color="000000"/>
          <w:insideV w:val="single" w:sz="4" w:space="0" w:color="000000"/>
        </w:tblBorders>
        <w:tblLook w:val="00A0"/>
      </w:tblPr>
      <w:tblGrid>
        <w:gridCol w:w="2376"/>
        <w:gridCol w:w="1843"/>
        <w:gridCol w:w="2268"/>
        <w:gridCol w:w="1559"/>
      </w:tblGrid>
      <w:tr w:rsidR="00497A28" w:rsidRPr="00A4355A" w:rsidTr="00A4355A">
        <w:tc>
          <w:tcPr>
            <w:tcW w:w="2376" w:type="dxa"/>
            <w:tcBorders>
              <w:top w:val="single" w:sz="4" w:space="0" w:color="auto"/>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 xml:space="preserve">Onroerend goed                             </w:t>
            </w:r>
          </w:p>
        </w:tc>
        <w:tc>
          <w:tcPr>
            <w:tcW w:w="1843" w:type="dxa"/>
            <w:tcBorders>
              <w:top w:val="single" w:sz="4" w:space="0" w:color="auto"/>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2.500</w:t>
            </w:r>
          </w:p>
        </w:tc>
        <w:tc>
          <w:tcPr>
            <w:tcW w:w="2268" w:type="dxa"/>
            <w:tcBorders>
              <w:top w:val="single" w:sz="4" w:space="0" w:color="auto"/>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Aandelenkapitaal</w:t>
            </w:r>
          </w:p>
        </w:tc>
        <w:tc>
          <w:tcPr>
            <w:tcW w:w="1559" w:type="dxa"/>
            <w:tcBorders>
              <w:top w:val="single" w:sz="4" w:space="0" w:color="auto"/>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3.000</w:t>
            </w:r>
          </w:p>
        </w:tc>
      </w:tr>
      <w:tr w:rsidR="00497A28" w:rsidRPr="00A4355A" w:rsidTr="00A4355A">
        <w:tc>
          <w:tcPr>
            <w:tcW w:w="2376"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 xml:space="preserve">Machines                                           </w:t>
            </w:r>
          </w:p>
        </w:tc>
        <w:tc>
          <w:tcPr>
            <w:tcW w:w="1843" w:type="dxa"/>
            <w:tcBorders>
              <w:top w:val="nil"/>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450</w:t>
            </w:r>
          </w:p>
        </w:tc>
        <w:tc>
          <w:tcPr>
            <w:tcW w:w="2268"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Agioreserve</w:t>
            </w:r>
          </w:p>
        </w:tc>
        <w:tc>
          <w:tcPr>
            <w:tcW w:w="1559" w:type="dxa"/>
            <w:tcBorders>
              <w:top w:val="nil"/>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50</w:t>
            </w:r>
          </w:p>
        </w:tc>
      </w:tr>
      <w:tr w:rsidR="00497A28" w:rsidRPr="00A4355A" w:rsidTr="00A4355A">
        <w:tc>
          <w:tcPr>
            <w:tcW w:w="2376"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 xml:space="preserve">Voorraad                                           </w:t>
            </w:r>
          </w:p>
        </w:tc>
        <w:tc>
          <w:tcPr>
            <w:tcW w:w="1843" w:type="dxa"/>
            <w:tcBorders>
              <w:top w:val="nil"/>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300</w:t>
            </w:r>
          </w:p>
        </w:tc>
        <w:tc>
          <w:tcPr>
            <w:tcW w:w="2268"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Reserves</w:t>
            </w:r>
          </w:p>
        </w:tc>
        <w:tc>
          <w:tcPr>
            <w:tcW w:w="1559" w:type="dxa"/>
            <w:tcBorders>
              <w:top w:val="nil"/>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400</w:t>
            </w:r>
          </w:p>
        </w:tc>
      </w:tr>
      <w:tr w:rsidR="00497A28" w:rsidRPr="00A4355A" w:rsidTr="00A4355A">
        <w:tc>
          <w:tcPr>
            <w:tcW w:w="2376"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 xml:space="preserve">Deelneming D BV                         </w:t>
            </w:r>
          </w:p>
        </w:tc>
        <w:tc>
          <w:tcPr>
            <w:tcW w:w="1843" w:type="dxa"/>
            <w:tcBorders>
              <w:top w:val="nil"/>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1.250</w:t>
            </w:r>
          </w:p>
        </w:tc>
        <w:tc>
          <w:tcPr>
            <w:tcW w:w="2268"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Hypothecaire  Lening (4%)</w:t>
            </w:r>
          </w:p>
        </w:tc>
        <w:tc>
          <w:tcPr>
            <w:tcW w:w="1559" w:type="dxa"/>
            <w:tcBorders>
              <w:top w:val="nil"/>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1.500</w:t>
            </w:r>
          </w:p>
        </w:tc>
      </w:tr>
      <w:tr w:rsidR="00497A28" w:rsidRPr="00A4355A" w:rsidTr="00A4355A">
        <w:tc>
          <w:tcPr>
            <w:tcW w:w="2376"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 xml:space="preserve">Debiteuren                                        </w:t>
            </w:r>
          </w:p>
        </w:tc>
        <w:tc>
          <w:tcPr>
            <w:tcW w:w="1843" w:type="dxa"/>
            <w:tcBorders>
              <w:top w:val="nil"/>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560</w:t>
            </w:r>
          </w:p>
        </w:tc>
        <w:tc>
          <w:tcPr>
            <w:tcW w:w="2268"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Crediteuren</w:t>
            </w:r>
          </w:p>
        </w:tc>
        <w:tc>
          <w:tcPr>
            <w:tcW w:w="1559" w:type="dxa"/>
            <w:tcBorders>
              <w:top w:val="nil"/>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 xml:space="preserve">  300</w:t>
            </w:r>
          </w:p>
        </w:tc>
      </w:tr>
      <w:tr w:rsidR="00497A28" w:rsidRPr="00A4355A" w:rsidTr="00A4355A">
        <w:tc>
          <w:tcPr>
            <w:tcW w:w="2376"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 xml:space="preserve">Vordering op D BV                           </w:t>
            </w:r>
          </w:p>
        </w:tc>
        <w:tc>
          <w:tcPr>
            <w:tcW w:w="1843" w:type="dxa"/>
            <w:tcBorders>
              <w:top w:val="nil"/>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70</w:t>
            </w:r>
          </w:p>
        </w:tc>
        <w:tc>
          <w:tcPr>
            <w:tcW w:w="2268"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p>
        </w:tc>
        <w:tc>
          <w:tcPr>
            <w:tcW w:w="1559" w:type="dxa"/>
            <w:tcBorders>
              <w:top w:val="nil"/>
              <w:left w:val="nil"/>
              <w:bottom w:val="nil"/>
            </w:tcBorders>
          </w:tcPr>
          <w:p w:rsidR="00497A28" w:rsidRPr="00A4355A" w:rsidRDefault="00497A28" w:rsidP="00A4355A">
            <w:pPr>
              <w:spacing w:after="0" w:line="360" w:lineRule="auto"/>
              <w:jc w:val="right"/>
              <w:rPr>
                <w:rFonts w:ascii="Times New Roman" w:hAnsi="Times New Roman"/>
                <w:i/>
                <w:color w:val="000000"/>
                <w:sz w:val="24"/>
              </w:rPr>
            </w:pPr>
          </w:p>
        </w:tc>
      </w:tr>
      <w:tr w:rsidR="00497A28" w:rsidRPr="00A4355A" w:rsidTr="00A4355A">
        <w:tc>
          <w:tcPr>
            <w:tcW w:w="2376"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 xml:space="preserve">Liquide Middelen                         </w:t>
            </w:r>
            <w:r w:rsidRPr="00A4355A">
              <w:rPr>
                <w:rFonts w:ascii="Times New Roman" w:hAnsi="Times New Roman"/>
                <w:i/>
                <w:color w:val="000000"/>
                <w:sz w:val="24"/>
                <w:u w:val="single"/>
              </w:rPr>
              <w:t xml:space="preserve">   </w:t>
            </w:r>
          </w:p>
        </w:tc>
        <w:tc>
          <w:tcPr>
            <w:tcW w:w="1843" w:type="dxa"/>
            <w:tcBorders>
              <w:top w:val="nil"/>
              <w:left w:val="nil"/>
              <w:bottom w:val="single" w:sz="4" w:space="0" w:color="auto"/>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 xml:space="preserve">    120</w:t>
            </w:r>
          </w:p>
        </w:tc>
        <w:tc>
          <w:tcPr>
            <w:tcW w:w="2268"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p>
        </w:tc>
        <w:tc>
          <w:tcPr>
            <w:tcW w:w="1559" w:type="dxa"/>
            <w:tcBorders>
              <w:top w:val="nil"/>
              <w:left w:val="nil"/>
              <w:bottom w:val="single" w:sz="4" w:space="0" w:color="auto"/>
            </w:tcBorders>
          </w:tcPr>
          <w:p w:rsidR="00497A28" w:rsidRPr="00A4355A" w:rsidRDefault="00497A28" w:rsidP="00A4355A">
            <w:pPr>
              <w:spacing w:after="0" w:line="360" w:lineRule="auto"/>
              <w:jc w:val="right"/>
              <w:rPr>
                <w:rFonts w:ascii="Times New Roman" w:hAnsi="Times New Roman"/>
                <w:i/>
                <w:color w:val="000000"/>
                <w:sz w:val="24"/>
              </w:rPr>
            </w:pPr>
          </w:p>
        </w:tc>
      </w:tr>
      <w:tr w:rsidR="00497A28" w:rsidRPr="00A4355A" w:rsidTr="00A4355A">
        <w:tc>
          <w:tcPr>
            <w:tcW w:w="2376"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 xml:space="preserve">                                    </w:t>
            </w:r>
          </w:p>
        </w:tc>
        <w:tc>
          <w:tcPr>
            <w:tcW w:w="1843" w:type="dxa"/>
            <w:tcBorders>
              <w:top w:val="single" w:sz="4" w:space="0" w:color="auto"/>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5.250</w:t>
            </w:r>
          </w:p>
          <w:p w:rsidR="00497A28" w:rsidRPr="00A4355A" w:rsidRDefault="00497A28" w:rsidP="00A4355A">
            <w:pPr>
              <w:spacing w:after="0" w:line="360" w:lineRule="auto"/>
              <w:rPr>
                <w:rFonts w:ascii="Times New Roman" w:hAnsi="Times New Roman"/>
                <w:i/>
                <w:color w:val="000000"/>
                <w:sz w:val="24"/>
              </w:rPr>
            </w:pPr>
          </w:p>
        </w:tc>
        <w:tc>
          <w:tcPr>
            <w:tcW w:w="2268"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p>
        </w:tc>
        <w:tc>
          <w:tcPr>
            <w:tcW w:w="1559" w:type="dxa"/>
            <w:tcBorders>
              <w:top w:val="single" w:sz="4" w:space="0" w:color="auto"/>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5.250</w:t>
            </w:r>
          </w:p>
        </w:tc>
      </w:tr>
    </w:tbl>
    <w:p w:rsidR="00497A28" w:rsidRDefault="00497A28" w:rsidP="00DB4BA9">
      <w:pPr>
        <w:spacing w:line="360" w:lineRule="auto"/>
        <w:rPr>
          <w:rFonts w:ascii="Times New Roman" w:hAnsi="Times New Roman"/>
          <w:i/>
          <w:color w:val="000000"/>
          <w:sz w:val="24"/>
        </w:rPr>
      </w:pPr>
      <w:r>
        <w:rPr>
          <w:rFonts w:ascii="Times New Roman" w:hAnsi="Times New Roman"/>
          <w:i/>
          <w:color w:val="000000"/>
          <w:sz w:val="24"/>
        </w:rPr>
        <w:t>De solvabiliteit, berekend door vreemd vermogen te delen door totaal vermogen, is:           (1.500 + 300) / 5.250 = 0,34</w:t>
      </w:r>
    </w:p>
    <w:p w:rsidR="00497A28" w:rsidRPr="002F122E" w:rsidRDefault="00497A28" w:rsidP="00DB4BA9">
      <w:pPr>
        <w:spacing w:line="360" w:lineRule="auto"/>
        <w:rPr>
          <w:rFonts w:ascii="Times New Roman" w:hAnsi="Times New Roman"/>
          <w:i/>
          <w:color w:val="000000"/>
          <w:sz w:val="24"/>
        </w:rPr>
      </w:pPr>
      <w:r>
        <w:rPr>
          <w:rFonts w:ascii="Times New Roman" w:hAnsi="Times New Roman"/>
          <w:i/>
          <w:color w:val="000000"/>
          <w:sz w:val="24"/>
        </w:rPr>
        <w:t>De liquiditeit, berekend door debiteuren + liquide middelen te delen door de vlottende passiva is (quick ratio): (550 + 70 + 120) / 300 = 2,47</w:t>
      </w:r>
    </w:p>
    <w:p w:rsidR="00497A28" w:rsidRDefault="00497A28">
      <w:pPr>
        <w:rPr>
          <w:rFonts w:ascii="Times New Roman" w:hAnsi="Times New Roman"/>
          <w:i/>
          <w:color w:val="000000"/>
          <w:sz w:val="24"/>
        </w:rPr>
      </w:pPr>
    </w:p>
    <w:p w:rsidR="00497A28" w:rsidRPr="00545E4B" w:rsidRDefault="00497A28">
      <w:pPr>
        <w:rPr>
          <w:rFonts w:ascii="Times New Roman" w:hAnsi="Times New Roman"/>
          <w:b/>
          <w:i/>
          <w:color w:val="000000"/>
          <w:sz w:val="24"/>
        </w:rPr>
      </w:pPr>
      <w:r w:rsidRPr="00545E4B">
        <w:rPr>
          <w:rFonts w:ascii="Times New Roman" w:hAnsi="Times New Roman"/>
          <w:b/>
          <w:i/>
          <w:color w:val="000000"/>
          <w:sz w:val="24"/>
        </w:rPr>
        <w:t>Resultatenrekening over 2009 van M BV:</w:t>
      </w:r>
    </w:p>
    <w:tbl>
      <w:tblPr>
        <w:tblpPr w:leftFromText="141" w:rightFromText="141" w:vertAnchor="page" w:horzAnchor="margin" w:tblpY="2746"/>
        <w:tblW w:w="0" w:type="auto"/>
        <w:tblBorders>
          <w:top w:val="single" w:sz="4" w:space="0" w:color="000000"/>
          <w:left w:val="single" w:sz="4" w:space="0" w:color="000000"/>
          <w:right w:val="single" w:sz="4" w:space="0" w:color="000000"/>
          <w:insideH w:val="single" w:sz="4" w:space="0" w:color="000000"/>
          <w:insideV w:val="single" w:sz="4" w:space="0" w:color="000000"/>
        </w:tblBorders>
        <w:tblLook w:val="00A0"/>
      </w:tblPr>
      <w:tblGrid>
        <w:gridCol w:w="4606"/>
        <w:gridCol w:w="1314"/>
        <w:gridCol w:w="1418"/>
      </w:tblGrid>
      <w:tr w:rsidR="00497A28" w:rsidRPr="00A4355A" w:rsidTr="00A4355A">
        <w:tc>
          <w:tcPr>
            <w:tcW w:w="4606" w:type="dxa"/>
            <w:tcBorders>
              <w:top w:val="nil"/>
              <w:left w:val="nil"/>
              <w:bottom w:val="nil"/>
              <w:right w:val="nil"/>
            </w:tcBorders>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Omzet</w:t>
            </w:r>
          </w:p>
        </w:tc>
        <w:tc>
          <w:tcPr>
            <w:tcW w:w="2732" w:type="dxa"/>
            <w:gridSpan w:val="2"/>
            <w:tcBorders>
              <w:top w:val="nil"/>
              <w:left w:val="nil"/>
              <w:bottom w:val="nil"/>
              <w:right w:val="nil"/>
            </w:tcBorders>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1.700.000</w:t>
            </w:r>
          </w:p>
        </w:tc>
      </w:tr>
      <w:tr w:rsidR="00497A28" w:rsidRPr="00A4355A" w:rsidTr="00A4355A">
        <w:tc>
          <w:tcPr>
            <w:tcW w:w="5920" w:type="dxa"/>
            <w:gridSpan w:val="2"/>
            <w:tcBorders>
              <w:top w:val="nil"/>
              <w:left w:val="nil"/>
              <w:right w:val="nil"/>
            </w:tcBorders>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Inkoopwaarde omzet</w:t>
            </w:r>
          </w:p>
        </w:tc>
        <w:tc>
          <w:tcPr>
            <w:tcW w:w="1418" w:type="dxa"/>
            <w:tcBorders>
              <w:top w:val="nil"/>
              <w:left w:val="nil"/>
              <w:right w:val="nil"/>
            </w:tcBorders>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780.000</w:t>
            </w:r>
          </w:p>
        </w:tc>
      </w:tr>
      <w:tr w:rsidR="00497A28" w:rsidRPr="00A4355A" w:rsidTr="00A4355A">
        <w:tc>
          <w:tcPr>
            <w:tcW w:w="4606" w:type="dxa"/>
            <w:tcBorders>
              <w:left w:val="nil"/>
              <w:bottom w:val="nil"/>
              <w:right w:val="nil"/>
            </w:tcBorders>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Brutowinst</w:t>
            </w:r>
          </w:p>
        </w:tc>
        <w:tc>
          <w:tcPr>
            <w:tcW w:w="2732" w:type="dxa"/>
            <w:gridSpan w:val="2"/>
            <w:tcBorders>
              <w:left w:val="nil"/>
              <w:bottom w:val="nil"/>
              <w:right w:val="nil"/>
            </w:tcBorders>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920.000</w:t>
            </w:r>
          </w:p>
        </w:tc>
      </w:tr>
      <w:tr w:rsidR="00497A28" w:rsidRPr="00A4355A" w:rsidTr="00A4355A">
        <w:tc>
          <w:tcPr>
            <w:tcW w:w="4606" w:type="dxa"/>
            <w:tcBorders>
              <w:top w:val="nil"/>
              <w:left w:val="nil"/>
              <w:bottom w:val="nil"/>
              <w:right w:val="nil"/>
            </w:tcBorders>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Arbeidskosten</w:t>
            </w:r>
          </w:p>
        </w:tc>
        <w:tc>
          <w:tcPr>
            <w:tcW w:w="2732" w:type="dxa"/>
            <w:gridSpan w:val="2"/>
            <w:tcBorders>
              <w:top w:val="nil"/>
              <w:left w:val="nil"/>
              <w:bottom w:val="nil"/>
              <w:right w:val="nil"/>
            </w:tcBorders>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75.000</w:t>
            </w:r>
          </w:p>
        </w:tc>
      </w:tr>
      <w:tr w:rsidR="00497A28" w:rsidRPr="00A4355A" w:rsidTr="00A4355A">
        <w:tc>
          <w:tcPr>
            <w:tcW w:w="4606" w:type="dxa"/>
            <w:tcBorders>
              <w:top w:val="nil"/>
              <w:left w:val="nil"/>
              <w:bottom w:val="nil"/>
              <w:right w:val="nil"/>
            </w:tcBorders>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Productiekosten</w:t>
            </w:r>
          </w:p>
        </w:tc>
        <w:tc>
          <w:tcPr>
            <w:tcW w:w="2732" w:type="dxa"/>
            <w:gridSpan w:val="2"/>
            <w:tcBorders>
              <w:top w:val="nil"/>
              <w:left w:val="nil"/>
              <w:bottom w:val="nil"/>
              <w:right w:val="nil"/>
            </w:tcBorders>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240.000</w:t>
            </w:r>
          </w:p>
        </w:tc>
      </w:tr>
      <w:tr w:rsidR="00497A28" w:rsidRPr="00A4355A" w:rsidTr="00A4355A">
        <w:tc>
          <w:tcPr>
            <w:tcW w:w="4606" w:type="dxa"/>
            <w:tcBorders>
              <w:top w:val="nil"/>
              <w:left w:val="nil"/>
              <w:bottom w:val="nil"/>
              <w:right w:val="nil"/>
            </w:tcBorders>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Algemene kosten (elektriciteit/verzekering)</w:t>
            </w:r>
          </w:p>
        </w:tc>
        <w:tc>
          <w:tcPr>
            <w:tcW w:w="2732" w:type="dxa"/>
            <w:gridSpan w:val="2"/>
            <w:tcBorders>
              <w:top w:val="nil"/>
              <w:left w:val="nil"/>
              <w:bottom w:val="nil"/>
              <w:right w:val="nil"/>
            </w:tcBorders>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40.000</w:t>
            </w:r>
          </w:p>
        </w:tc>
      </w:tr>
      <w:tr w:rsidR="00497A28" w:rsidRPr="00A4355A" w:rsidTr="00A4355A">
        <w:tc>
          <w:tcPr>
            <w:tcW w:w="4606" w:type="dxa"/>
            <w:tcBorders>
              <w:top w:val="nil"/>
              <w:left w:val="nil"/>
              <w:bottom w:val="nil"/>
              <w:right w:val="nil"/>
            </w:tcBorders>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Afschrijving gebouwen</w:t>
            </w:r>
          </w:p>
        </w:tc>
        <w:tc>
          <w:tcPr>
            <w:tcW w:w="2732" w:type="dxa"/>
            <w:gridSpan w:val="2"/>
            <w:tcBorders>
              <w:top w:val="nil"/>
              <w:left w:val="nil"/>
              <w:bottom w:val="nil"/>
              <w:right w:val="nil"/>
            </w:tcBorders>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295.000</w:t>
            </w:r>
          </w:p>
        </w:tc>
      </w:tr>
      <w:tr w:rsidR="00497A28" w:rsidRPr="00A4355A" w:rsidTr="00A4355A">
        <w:tc>
          <w:tcPr>
            <w:tcW w:w="4606" w:type="dxa"/>
            <w:tcBorders>
              <w:top w:val="nil"/>
              <w:left w:val="nil"/>
              <w:right w:val="nil"/>
            </w:tcBorders>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Interest kosten</w:t>
            </w:r>
          </w:p>
        </w:tc>
        <w:tc>
          <w:tcPr>
            <w:tcW w:w="2732" w:type="dxa"/>
            <w:gridSpan w:val="2"/>
            <w:tcBorders>
              <w:top w:val="nil"/>
              <w:left w:val="nil"/>
              <w:bottom w:val="single" w:sz="4" w:space="0" w:color="auto"/>
              <w:right w:val="nil"/>
            </w:tcBorders>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60.000</w:t>
            </w:r>
          </w:p>
        </w:tc>
      </w:tr>
      <w:tr w:rsidR="00497A28" w:rsidRPr="00A4355A" w:rsidTr="00A4355A">
        <w:tc>
          <w:tcPr>
            <w:tcW w:w="4606" w:type="dxa"/>
            <w:tcBorders>
              <w:left w:val="nil"/>
              <w:bottom w:val="nil"/>
              <w:right w:val="nil"/>
            </w:tcBorders>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Nettowinst</w:t>
            </w:r>
          </w:p>
        </w:tc>
        <w:tc>
          <w:tcPr>
            <w:tcW w:w="2732" w:type="dxa"/>
            <w:gridSpan w:val="2"/>
            <w:tcBorders>
              <w:top w:val="single" w:sz="4" w:space="0" w:color="auto"/>
              <w:left w:val="nil"/>
              <w:bottom w:val="nil"/>
              <w:right w:val="nil"/>
            </w:tcBorders>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210.000</w:t>
            </w:r>
          </w:p>
        </w:tc>
      </w:tr>
    </w:tbl>
    <w:p w:rsidR="00497A28" w:rsidRDefault="00497A28">
      <w:pPr>
        <w:rPr>
          <w:rFonts w:ascii="Times New Roman" w:hAnsi="Times New Roman"/>
          <w:i/>
          <w:color w:val="000000"/>
          <w:sz w:val="24"/>
        </w:rPr>
      </w:pPr>
    </w:p>
    <w:p w:rsidR="00497A28" w:rsidRDefault="00497A28">
      <w:pPr>
        <w:rPr>
          <w:rFonts w:ascii="Times New Roman" w:hAnsi="Times New Roman"/>
          <w:i/>
          <w:color w:val="000000"/>
          <w:sz w:val="24"/>
        </w:rPr>
      </w:pPr>
    </w:p>
    <w:p w:rsidR="00497A28" w:rsidRDefault="00497A28">
      <w:pPr>
        <w:rPr>
          <w:rFonts w:ascii="Times New Roman" w:hAnsi="Times New Roman"/>
          <w:i/>
          <w:color w:val="000000"/>
          <w:sz w:val="24"/>
        </w:rPr>
      </w:pPr>
    </w:p>
    <w:p w:rsidR="00497A28" w:rsidRDefault="00497A28">
      <w:pPr>
        <w:rPr>
          <w:rFonts w:ascii="Times New Roman" w:hAnsi="Times New Roman"/>
          <w:i/>
          <w:color w:val="000000"/>
          <w:sz w:val="24"/>
        </w:rPr>
      </w:pPr>
    </w:p>
    <w:p w:rsidR="00497A28" w:rsidRDefault="00497A28">
      <w:pPr>
        <w:rPr>
          <w:rFonts w:ascii="Times New Roman" w:hAnsi="Times New Roman"/>
          <w:i/>
          <w:color w:val="000000"/>
          <w:sz w:val="24"/>
        </w:rPr>
      </w:pPr>
    </w:p>
    <w:p w:rsidR="00497A28" w:rsidRPr="00545E4B" w:rsidRDefault="00497A28" w:rsidP="002F122E">
      <w:pPr>
        <w:rPr>
          <w:rFonts w:ascii="Times New Roman" w:hAnsi="Times New Roman"/>
          <w:b/>
          <w:i/>
          <w:color w:val="000000"/>
          <w:sz w:val="24"/>
        </w:rPr>
      </w:pPr>
    </w:p>
    <w:p w:rsidR="00497A28" w:rsidRPr="00545E4B" w:rsidRDefault="00497A28" w:rsidP="002F122E">
      <w:pPr>
        <w:rPr>
          <w:rFonts w:ascii="Times New Roman" w:hAnsi="Times New Roman"/>
          <w:b/>
          <w:i/>
          <w:color w:val="000000"/>
          <w:sz w:val="24"/>
        </w:rPr>
      </w:pPr>
      <w:r w:rsidRPr="00545E4B">
        <w:rPr>
          <w:rFonts w:ascii="Times New Roman" w:hAnsi="Times New Roman"/>
          <w:b/>
          <w:i/>
          <w:color w:val="000000"/>
          <w:sz w:val="24"/>
        </w:rPr>
        <w:t>Balans D BV 31-12-2009 (in 1000 euro's)</w:t>
      </w:r>
    </w:p>
    <w:tbl>
      <w:tblPr>
        <w:tblW w:w="0" w:type="auto"/>
        <w:tblBorders>
          <w:top w:val="single" w:sz="4" w:space="0" w:color="auto"/>
          <w:insideH w:val="single" w:sz="4" w:space="0" w:color="000000"/>
          <w:insideV w:val="single" w:sz="4" w:space="0" w:color="000000"/>
        </w:tblBorders>
        <w:tblLook w:val="00A0"/>
      </w:tblPr>
      <w:tblGrid>
        <w:gridCol w:w="2660"/>
        <w:gridCol w:w="1559"/>
        <w:gridCol w:w="2268"/>
        <w:gridCol w:w="1559"/>
      </w:tblGrid>
      <w:tr w:rsidR="00497A28" w:rsidRPr="00A4355A" w:rsidTr="00A4355A">
        <w:tc>
          <w:tcPr>
            <w:tcW w:w="2660" w:type="dxa"/>
            <w:tcBorders>
              <w:top w:val="single" w:sz="4" w:space="0" w:color="auto"/>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 xml:space="preserve">Pand                             </w:t>
            </w:r>
          </w:p>
        </w:tc>
        <w:tc>
          <w:tcPr>
            <w:tcW w:w="1559" w:type="dxa"/>
            <w:tcBorders>
              <w:top w:val="single" w:sz="4" w:space="0" w:color="auto"/>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800</w:t>
            </w:r>
          </w:p>
        </w:tc>
        <w:tc>
          <w:tcPr>
            <w:tcW w:w="2268" w:type="dxa"/>
            <w:tcBorders>
              <w:top w:val="single" w:sz="4" w:space="0" w:color="auto"/>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Aandelenkapitaal</w:t>
            </w:r>
          </w:p>
        </w:tc>
        <w:tc>
          <w:tcPr>
            <w:tcW w:w="1559" w:type="dxa"/>
            <w:tcBorders>
              <w:top w:val="single" w:sz="4" w:space="0" w:color="auto"/>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1.000</w:t>
            </w:r>
          </w:p>
        </w:tc>
      </w:tr>
      <w:tr w:rsidR="00497A28" w:rsidRPr="00A4355A" w:rsidTr="00A4355A">
        <w:tc>
          <w:tcPr>
            <w:tcW w:w="2660"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Voorraad handelsproduct</w:t>
            </w:r>
          </w:p>
        </w:tc>
        <w:tc>
          <w:tcPr>
            <w:tcW w:w="1559" w:type="dxa"/>
            <w:tcBorders>
              <w:top w:val="nil"/>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250</w:t>
            </w:r>
          </w:p>
        </w:tc>
        <w:tc>
          <w:tcPr>
            <w:tcW w:w="2268"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Algemene Reserve</w:t>
            </w:r>
          </w:p>
        </w:tc>
        <w:tc>
          <w:tcPr>
            <w:tcW w:w="1559" w:type="dxa"/>
            <w:tcBorders>
              <w:top w:val="nil"/>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100</w:t>
            </w:r>
          </w:p>
        </w:tc>
      </w:tr>
      <w:tr w:rsidR="00497A28" w:rsidRPr="00A4355A" w:rsidTr="00A4355A">
        <w:tc>
          <w:tcPr>
            <w:tcW w:w="2660"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Debiteuren</w:t>
            </w:r>
          </w:p>
        </w:tc>
        <w:tc>
          <w:tcPr>
            <w:tcW w:w="1559" w:type="dxa"/>
            <w:tcBorders>
              <w:top w:val="nil"/>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450</w:t>
            </w:r>
          </w:p>
        </w:tc>
        <w:tc>
          <w:tcPr>
            <w:tcW w:w="2268"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Overige Reserves</w:t>
            </w:r>
          </w:p>
        </w:tc>
        <w:tc>
          <w:tcPr>
            <w:tcW w:w="1559" w:type="dxa"/>
            <w:tcBorders>
              <w:top w:val="nil"/>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150</w:t>
            </w:r>
          </w:p>
        </w:tc>
      </w:tr>
      <w:tr w:rsidR="00497A28" w:rsidRPr="00A4355A" w:rsidTr="00A4355A">
        <w:tc>
          <w:tcPr>
            <w:tcW w:w="2660"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Liquide middelen</w:t>
            </w:r>
          </w:p>
        </w:tc>
        <w:tc>
          <w:tcPr>
            <w:tcW w:w="1559" w:type="dxa"/>
            <w:tcBorders>
              <w:top w:val="nil"/>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170</w:t>
            </w:r>
          </w:p>
        </w:tc>
        <w:tc>
          <w:tcPr>
            <w:tcW w:w="2268"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Hypothecaire Lening (4%)</w:t>
            </w:r>
          </w:p>
        </w:tc>
        <w:tc>
          <w:tcPr>
            <w:tcW w:w="1559" w:type="dxa"/>
            <w:tcBorders>
              <w:top w:val="nil"/>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200</w:t>
            </w:r>
          </w:p>
        </w:tc>
      </w:tr>
      <w:tr w:rsidR="00497A28" w:rsidRPr="00A4355A" w:rsidTr="00A4355A">
        <w:tc>
          <w:tcPr>
            <w:tcW w:w="2660"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 xml:space="preserve">                </w:t>
            </w:r>
          </w:p>
        </w:tc>
        <w:tc>
          <w:tcPr>
            <w:tcW w:w="1559" w:type="dxa"/>
            <w:tcBorders>
              <w:top w:val="nil"/>
              <w:left w:val="nil"/>
              <w:bottom w:val="nil"/>
            </w:tcBorders>
          </w:tcPr>
          <w:p w:rsidR="00497A28" w:rsidRPr="00A4355A" w:rsidRDefault="00497A28" w:rsidP="00A4355A">
            <w:pPr>
              <w:spacing w:after="0" w:line="360" w:lineRule="auto"/>
              <w:jc w:val="right"/>
              <w:rPr>
                <w:rFonts w:ascii="Times New Roman" w:hAnsi="Times New Roman"/>
                <w:i/>
                <w:color w:val="000000"/>
                <w:sz w:val="24"/>
              </w:rPr>
            </w:pPr>
          </w:p>
        </w:tc>
        <w:tc>
          <w:tcPr>
            <w:tcW w:w="2268"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Crediteuren</w:t>
            </w:r>
          </w:p>
        </w:tc>
        <w:tc>
          <w:tcPr>
            <w:tcW w:w="1559" w:type="dxa"/>
            <w:tcBorders>
              <w:top w:val="nil"/>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150</w:t>
            </w:r>
          </w:p>
        </w:tc>
      </w:tr>
      <w:tr w:rsidR="00497A28" w:rsidRPr="00A4355A" w:rsidTr="00A4355A">
        <w:tc>
          <w:tcPr>
            <w:tcW w:w="2660"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p>
        </w:tc>
        <w:tc>
          <w:tcPr>
            <w:tcW w:w="1559" w:type="dxa"/>
            <w:tcBorders>
              <w:top w:val="nil"/>
              <w:left w:val="nil"/>
              <w:bottom w:val="single" w:sz="4" w:space="0" w:color="auto"/>
            </w:tcBorders>
          </w:tcPr>
          <w:p w:rsidR="00497A28" w:rsidRPr="00A4355A" w:rsidRDefault="00497A28" w:rsidP="00A4355A">
            <w:pPr>
              <w:spacing w:after="0" w:line="360" w:lineRule="auto"/>
              <w:jc w:val="right"/>
              <w:rPr>
                <w:rFonts w:ascii="Times New Roman" w:hAnsi="Times New Roman"/>
                <w:i/>
                <w:color w:val="000000"/>
                <w:sz w:val="24"/>
              </w:rPr>
            </w:pPr>
          </w:p>
        </w:tc>
        <w:tc>
          <w:tcPr>
            <w:tcW w:w="2268"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r w:rsidRPr="00A4355A">
              <w:rPr>
                <w:rFonts w:ascii="Times New Roman" w:hAnsi="Times New Roman"/>
                <w:i/>
                <w:color w:val="000000"/>
                <w:sz w:val="24"/>
              </w:rPr>
              <w:t>Lening bij M BV</w:t>
            </w:r>
          </w:p>
        </w:tc>
        <w:tc>
          <w:tcPr>
            <w:tcW w:w="1559" w:type="dxa"/>
            <w:tcBorders>
              <w:top w:val="nil"/>
              <w:left w:val="nil"/>
              <w:bottom w:val="single" w:sz="4" w:space="0" w:color="auto"/>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70</w:t>
            </w:r>
          </w:p>
        </w:tc>
      </w:tr>
      <w:tr w:rsidR="00497A28" w:rsidRPr="00A4355A" w:rsidTr="00A4355A">
        <w:tc>
          <w:tcPr>
            <w:tcW w:w="2660"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p>
        </w:tc>
        <w:tc>
          <w:tcPr>
            <w:tcW w:w="1559" w:type="dxa"/>
            <w:tcBorders>
              <w:top w:val="single" w:sz="4" w:space="0" w:color="auto"/>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1.670</w:t>
            </w:r>
          </w:p>
        </w:tc>
        <w:tc>
          <w:tcPr>
            <w:tcW w:w="2268" w:type="dxa"/>
            <w:tcBorders>
              <w:top w:val="nil"/>
              <w:bottom w:val="nil"/>
              <w:right w:val="nil"/>
            </w:tcBorders>
          </w:tcPr>
          <w:p w:rsidR="00497A28" w:rsidRPr="00A4355A" w:rsidRDefault="00497A28" w:rsidP="00A4355A">
            <w:pPr>
              <w:spacing w:after="0" w:line="360" w:lineRule="auto"/>
              <w:rPr>
                <w:rFonts w:ascii="Times New Roman" w:hAnsi="Times New Roman"/>
                <w:i/>
                <w:color w:val="000000"/>
                <w:sz w:val="24"/>
              </w:rPr>
            </w:pPr>
          </w:p>
        </w:tc>
        <w:tc>
          <w:tcPr>
            <w:tcW w:w="1559" w:type="dxa"/>
            <w:tcBorders>
              <w:top w:val="single" w:sz="4" w:space="0" w:color="auto"/>
              <w:left w:val="nil"/>
              <w:bottom w:val="nil"/>
            </w:tcBorders>
          </w:tcPr>
          <w:p w:rsidR="00497A28" w:rsidRPr="00A4355A" w:rsidRDefault="00497A28" w:rsidP="00A4355A">
            <w:pPr>
              <w:spacing w:after="0" w:line="360" w:lineRule="auto"/>
              <w:jc w:val="right"/>
              <w:rPr>
                <w:rFonts w:ascii="Times New Roman" w:hAnsi="Times New Roman"/>
                <w:i/>
                <w:color w:val="000000"/>
                <w:sz w:val="24"/>
              </w:rPr>
            </w:pPr>
            <w:r w:rsidRPr="00A4355A">
              <w:rPr>
                <w:rFonts w:ascii="Times New Roman" w:hAnsi="Times New Roman"/>
                <w:i/>
                <w:color w:val="000000"/>
                <w:sz w:val="24"/>
              </w:rPr>
              <w:t>1.670</w:t>
            </w:r>
          </w:p>
        </w:tc>
      </w:tr>
    </w:tbl>
    <w:p w:rsidR="00497A28" w:rsidRDefault="00497A28" w:rsidP="00B96645">
      <w:pPr>
        <w:spacing w:line="360" w:lineRule="auto"/>
        <w:rPr>
          <w:rFonts w:ascii="Times New Roman" w:hAnsi="Times New Roman"/>
          <w:i/>
          <w:color w:val="000000"/>
          <w:sz w:val="24"/>
        </w:rPr>
      </w:pPr>
      <w:r>
        <w:rPr>
          <w:rFonts w:ascii="Times New Roman" w:hAnsi="Times New Roman"/>
          <w:i/>
          <w:color w:val="000000"/>
          <w:sz w:val="24"/>
        </w:rPr>
        <w:t>De solvabiliteit, berekend door vreemd vermogen te delen door totaal vermogen, is:</w:t>
      </w:r>
      <w:r>
        <w:rPr>
          <w:rFonts w:ascii="Times New Roman" w:hAnsi="Times New Roman"/>
          <w:i/>
          <w:color w:val="000000"/>
          <w:sz w:val="24"/>
        </w:rPr>
        <w:br/>
        <w:t>(200 + 150 + 70) / 1.670 = 0,25</w:t>
      </w:r>
      <w:r>
        <w:rPr>
          <w:rFonts w:ascii="Times New Roman" w:hAnsi="Times New Roman"/>
          <w:i/>
          <w:color w:val="000000"/>
          <w:sz w:val="24"/>
        </w:rPr>
        <w:br/>
        <w:t>De liquiditeit, berekend door debiteuren + liquide middelen te delen door de vlottende passiva is (quick ratio): (450 + 170) / (150 + 70) = 2,82</w:t>
      </w:r>
    </w:p>
    <w:tbl>
      <w:tblPr>
        <w:tblpPr w:leftFromText="141" w:rightFromText="141" w:vertAnchor="text" w:horzAnchor="margin" w:tblpY="634"/>
        <w:tblOverlap w:val="never"/>
        <w:tblW w:w="0" w:type="auto"/>
        <w:tblLook w:val="00A0"/>
      </w:tblPr>
      <w:tblGrid>
        <w:gridCol w:w="3510"/>
        <w:gridCol w:w="3544"/>
      </w:tblGrid>
      <w:tr w:rsidR="00497A28" w:rsidRPr="00A4355A" w:rsidTr="00A4355A">
        <w:tc>
          <w:tcPr>
            <w:tcW w:w="3510" w:type="dxa"/>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Omzet</w:t>
            </w:r>
          </w:p>
        </w:tc>
        <w:tc>
          <w:tcPr>
            <w:tcW w:w="3544" w:type="dxa"/>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500.000</w:t>
            </w:r>
          </w:p>
        </w:tc>
      </w:tr>
      <w:tr w:rsidR="00497A28" w:rsidRPr="00A4355A" w:rsidTr="00A4355A">
        <w:tc>
          <w:tcPr>
            <w:tcW w:w="3510" w:type="dxa"/>
            <w:tcBorders>
              <w:bottom w:val="single" w:sz="4" w:space="0" w:color="auto"/>
            </w:tcBorders>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Inkoopwaarde omzet</w:t>
            </w:r>
          </w:p>
        </w:tc>
        <w:tc>
          <w:tcPr>
            <w:tcW w:w="3544" w:type="dxa"/>
            <w:tcBorders>
              <w:bottom w:val="single" w:sz="4" w:space="0" w:color="auto"/>
            </w:tcBorders>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150.000</w:t>
            </w:r>
          </w:p>
        </w:tc>
      </w:tr>
      <w:tr w:rsidR="00497A28" w:rsidRPr="00A4355A" w:rsidTr="00A4355A">
        <w:tc>
          <w:tcPr>
            <w:tcW w:w="3510" w:type="dxa"/>
            <w:tcBorders>
              <w:top w:val="single" w:sz="4" w:space="0" w:color="auto"/>
            </w:tcBorders>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Brutowinst</w:t>
            </w:r>
          </w:p>
        </w:tc>
        <w:tc>
          <w:tcPr>
            <w:tcW w:w="3544" w:type="dxa"/>
            <w:tcBorders>
              <w:top w:val="single" w:sz="4" w:space="0" w:color="auto"/>
            </w:tcBorders>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350.000</w:t>
            </w:r>
          </w:p>
        </w:tc>
      </w:tr>
      <w:tr w:rsidR="00497A28" w:rsidRPr="00A4355A" w:rsidTr="00A4355A">
        <w:tc>
          <w:tcPr>
            <w:tcW w:w="3510" w:type="dxa"/>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Arbeidskosten</w:t>
            </w:r>
          </w:p>
        </w:tc>
        <w:tc>
          <w:tcPr>
            <w:tcW w:w="3544" w:type="dxa"/>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40.000</w:t>
            </w:r>
          </w:p>
        </w:tc>
      </w:tr>
      <w:tr w:rsidR="00497A28" w:rsidRPr="00A4355A" w:rsidTr="00A4355A">
        <w:tc>
          <w:tcPr>
            <w:tcW w:w="3510" w:type="dxa"/>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Transportkosten</w:t>
            </w:r>
          </w:p>
        </w:tc>
        <w:tc>
          <w:tcPr>
            <w:tcW w:w="3544" w:type="dxa"/>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180.000</w:t>
            </w:r>
          </w:p>
        </w:tc>
      </w:tr>
      <w:tr w:rsidR="00497A28" w:rsidRPr="00A4355A" w:rsidTr="00A4355A">
        <w:tc>
          <w:tcPr>
            <w:tcW w:w="3510" w:type="dxa"/>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Algemene kosten</w:t>
            </w:r>
          </w:p>
        </w:tc>
        <w:tc>
          <w:tcPr>
            <w:tcW w:w="3544" w:type="dxa"/>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22.000</w:t>
            </w:r>
          </w:p>
        </w:tc>
      </w:tr>
      <w:tr w:rsidR="00497A28" w:rsidRPr="00A4355A" w:rsidTr="00A4355A">
        <w:tc>
          <w:tcPr>
            <w:tcW w:w="3510" w:type="dxa"/>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Afschrijvingen</w:t>
            </w:r>
          </w:p>
        </w:tc>
        <w:tc>
          <w:tcPr>
            <w:tcW w:w="3544" w:type="dxa"/>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80.000</w:t>
            </w:r>
          </w:p>
        </w:tc>
      </w:tr>
      <w:tr w:rsidR="00497A28" w:rsidRPr="00A4355A" w:rsidTr="00A4355A">
        <w:tc>
          <w:tcPr>
            <w:tcW w:w="3510" w:type="dxa"/>
            <w:tcBorders>
              <w:bottom w:val="single" w:sz="4" w:space="0" w:color="auto"/>
            </w:tcBorders>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Interestkosten</w:t>
            </w:r>
          </w:p>
        </w:tc>
        <w:tc>
          <w:tcPr>
            <w:tcW w:w="3544" w:type="dxa"/>
            <w:tcBorders>
              <w:bottom w:val="single" w:sz="4" w:space="0" w:color="auto"/>
            </w:tcBorders>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8.000</w:t>
            </w:r>
          </w:p>
        </w:tc>
      </w:tr>
      <w:tr w:rsidR="00497A28" w:rsidRPr="00A4355A" w:rsidTr="00A4355A">
        <w:tc>
          <w:tcPr>
            <w:tcW w:w="3510" w:type="dxa"/>
            <w:tcBorders>
              <w:top w:val="single" w:sz="4" w:space="0" w:color="auto"/>
            </w:tcBorders>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Nettowinst</w:t>
            </w:r>
          </w:p>
        </w:tc>
        <w:tc>
          <w:tcPr>
            <w:tcW w:w="3544" w:type="dxa"/>
            <w:tcBorders>
              <w:top w:val="single" w:sz="4" w:space="0" w:color="auto"/>
            </w:tcBorders>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20.000</w:t>
            </w:r>
          </w:p>
        </w:tc>
      </w:tr>
    </w:tbl>
    <w:p w:rsidR="00497A28" w:rsidRPr="00545E4B" w:rsidRDefault="00497A28" w:rsidP="00B96645">
      <w:pPr>
        <w:spacing w:line="360" w:lineRule="auto"/>
        <w:rPr>
          <w:rFonts w:ascii="Times New Roman" w:hAnsi="Times New Roman"/>
          <w:b/>
          <w:i/>
          <w:color w:val="000000"/>
          <w:sz w:val="24"/>
        </w:rPr>
      </w:pPr>
      <w:r w:rsidRPr="00545E4B">
        <w:rPr>
          <w:rFonts w:ascii="Times New Roman" w:hAnsi="Times New Roman"/>
          <w:b/>
          <w:i/>
          <w:color w:val="000000"/>
          <w:sz w:val="24"/>
        </w:rPr>
        <w:t>Resultatenrekening over 2009</w:t>
      </w:r>
      <w:r>
        <w:rPr>
          <w:rFonts w:ascii="Times New Roman" w:hAnsi="Times New Roman"/>
          <w:b/>
          <w:i/>
          <w:color w:val="000000"/>
          <w:sz w:val="24"/>
        </w:rPr>
        <w:t xml:space="preserve"> van D BV</w:t>
      </w:r>
      <w:r w:rsidRPr="00545E4B">
        <w:rPr>
          <w:rFonts w:ascii="Times New Roman" w:hAnsi="Times New Roman"/>
          <w:b/>
          <w:i/>
          <w:color w:val="000000"/>
          <w:sz w:val="24"/>
        </w:rPr>
        <w:t>:</w:t>
      </w:r>
    </w:p>
    <w:p w:rsidR="00497A28" w:rsidRDefault="00497A28" w:rsidP="00CB4757">
      <w:pPr>
        <w:spacing w:line="360" w:lineRule="auto"/>
        <w:rPr>
          <w:rFonts w:ascii="Times New Roman" w:hAnsi="Times New Roman"/>
          <w:i/>
          <w:color w:val="000000"/>
          <w:sz w:val="24"/>
        </w:rPr>
      </w:pPr>
    </w:p>
    <w:p w:rsidR="00497A28" w:rsidRDefault="00497A28">
      <w:pPr>
        <w:rPr>
          <w:rFonts w:ascii="Times New Roman" w:hAnsi="Times New Roman"/>
          <w:i/>
          <w:color w:val="000000"/>
          <w:sz w:val="24"/>
        </w:rPr>
      </w:pPr>
    </w:p>
    <w:p w:rsidR="00497A28" w:rsidRDefault="00497A28">
      <w:pPr>
        <w:rPr>
          <w:rFonts w:ascii="Times New Roman" w:hAnsi="Times New Roman"/>
          <w:i/>
          <w:color w:val="000000"/>
          <w:sz w:val="24"/>
        </w:rPr>
      </w:pPr>
    </w:p>
    <w:p w:rsidR="00497A28" w:rsidRDefault="00497A28">
      <w:pPr>
        <w:rPr>
          <w:rFonts w:ascii="Times New Roman" w:hAnsi="Times New Roman"/>
          <w:i/>
          <w:color w:val="000000"/>
          <w:sz w:val="24"/>
        </w:rPr>
      </w:pPr>
    </w:p>
    <w:p w:rsidR="00497A28" w:rsidRDefault="00497A28" w:rsidP="00DB4BA9">
      <w:pPr>
        <w:spacing w:line="360" w:lineRule="auto"/>
        <w:rPr>
          <w:rFonts w:ascii="Times New Roman" w:hAnsi="Times New Roman"/>
          <w:i/>
          <w:color w:val="000000"/>
          <w:sz w:val="24"/>
        </w:rPr>
      </w:pPr>
      <w:r>
        <w:rPr>
          <w:rFonts w:ascii="Times New Roman" w:hAnsi="Times New Roman"/>
          <w:i/>
          <w:color w:val="000000"/>
          <w:sz w:val="24"/>
        </w:rPr>
        <w:br/>
      </w:r>
      <w:r>
        <w:rPr>
          <w:rFonts w:ascii="Times New Roman" w:hAnsi="Times New Roman"/>
          <w:i/>
          <w:color w:val="000000"/>
          <w:sz w:val="24"/>
        </w:rPr>
        <w:br/>
        <w:t>Let op de grote post 'transportkosten', dit komt omdat D BV een handelsonderneming is. M BV heeft hoge productie en arbeidskosten, terwijl bij D BV de grootste kostenpost het transport is.</w:t>
      </w:r>
    </w:p>
    <w:p w:rsidR="00497A28" w:rsidRDefault="00497A28">
      <w:pPr>
        <w:rPr>
          <w:rFonts w:ascii="Times New Roman" w:hAnsi="Times New Roman"/>
          <w:i/>
          <w:color w:val="000000"/>
          <w:sz w:val="24"/>
        </w:rPr>
      </w:pPr>
    </w:p>
    <w:p w:rsidR="00497A28" w:rsidRPr="002F122E" w:rsidRDefault="00497A28" w:rsidP="00CB4757">
      <w:pPr>
        <w:spacing w:line="360" w:lineRule="auto"/>
        <w:rPr>
          <w:rFonts w:ascii="Times New Roman" w:hAnsi="Times New Roman"/>
          <w:i/>
          <w:color w:val="000000"/>
          <w:sz w:val="24"/>
        </w:rPr>
      </w:pPr>
      <w:r w:rsidRPr="002F122E">
        <w:rPr>
          <w:rFonts w:ascii="Times New Roman" w:hAnsi="Times New Roman"/>
          <w:i/>
          <w:color w:val="000000"/>
          <w:sz w:val="24"/>
        </w:rPr>
        <w:t xml:space="preserve">Voordat M BV een geconsolideerde </w:t>
      </w:r>
      <w:r>
        <w:rPr>
          <w:rFonts w:ascii="Times New Roman" w:hAnsi="Times New Roman"/>
          <w:i/>
          <w:color w:val="000000"/>
          <w:sz w:val="24"/>
        </w:rPr>
        <w:t>balans</w:t>
      </w:r>
      <w:r w:rsidRPr="002F122E">
        <w:rPr>
          <w:rFonts w:ascii="Times New Roman" w:hAnsi="Times New Roman"/>
          <w:i/>
          <w:color w:val="000000"/>
          <w:sz w:val="24"/>
        </w:rPr>
        <w:t xml:space="preserve"> kan gaan opstellen, moet zij zorgen dat M BV en D BV een formele en een materiële eenheid vormen en dat alle nodig eliminaties hebben plaatsgevonden.</w:t>
      </w:r>
    </w:p>
    <w:p w:rsidR="00497A28" w:rsidRPr="002F122E" w:rsidRDefault="00497A28" w:rsidP="00CB4757">
      <w:pPr>
        <w:spacing w:line="360" w:lineRule="auto"/>
        <w:rPr>
          <w:rFonts w:ascii="Times New Roman" w:hAnsi="Times New Roman"/>
          <w:i/>
          <w:color w:val="000000"/>
          <w:sz w:val="24"/>
        </w:rPr>
      </w:pPr>
      <w:r w:rsidRPr="002F122E">
        <w:rPr>
          <w:rFonts w:ascii="Times New Roman" w:hAnsi="Times New Roman"/>
          <w:i/>
          <w:color w:val="000000"/>
          <w:sz w:val="24"/>
        </w:rPr>
        <w:t xml:space="preserve">De zogeheten correctie posten die gemaakt moeten worden </w:t>
      </w:r>
      <w:r>
        <w:rPr>
          <w:rFonts w:ascii="Times New Roman" w:hAnsi="Times New Roman"/>
          <w:i/>
          <w:color w:val="000000"/>
          <w:sz w:val="24"/>
        </w:rPr>
        <w:t xml:space="preserve">voor de balans </w:t>
      </w:r>
      <w:r w:rsidRPr="002F122E">
        <w:rPr>
          <w:rFonts w:ascii="Times New Roman" w:hAnsi="Times New Roman"/>
          <w:i/>
          <w:color w:val="000000"/>
          <w:sz w:val="24"/>
        </w:rPr>
        <w:t>zijn:</w:t>
      </w:r>
    </w:p>
    <w:p w:rsidR="00497A28" w:rsidRPr="002F122E" w:rsidRDefault="00497A28" w:rsidP="00CB4757">
      <w:pPr>
        <w:spacing w:line="360" w:lineRule="auto"/>
        <w:rPr>
          <w:rFonts w:ascii="Times New Roman" w:hAnsi="Times New Roman"/>
          <w:i/>
          <w:color w:val="000000"/>
          <w:sz w:val="24"/>
        </w:rPr>
      </w:pPr>
      <w:r w:rsidRPr="002F122E">
        <w:rPr>
          <w:rFonts w:ascii="Times New Roman" w:hAnsi="Times New Roman"/>
          <w:i/>
          <w:color w:val="000000"/>
          <w:sz w:val="24"/>
        </w:rPr>
        <w:t xml:space="preserve">- </w:t>
      </w:r>
      <w:r w:rsidRPr="002F122E">
        <w:rPr>
          <w:rFonts w:ascii="Times New Roman" w:hAnsi="Times New Roman"/>
          <w:i/>
          <w:color w:val="000000"/>
          <w:sz w:val="24"/>
        </w:rPr>
        <w:tab/>
        <w:t>Onroerend goed</w:t>
      </w:r>
      <w:r w:rsidRPr="002F122E">
        <w:rPr>
          <w:rFonts w:ascii="Times New Roman" w:hAnsi="Times New Roman"/>
          <w:i/>
          <w:color w:val="000000"/>
          <w:sz w:val="24"/>
        </w:rPr>
        <w:tab/>
      </w:r>
      <w:r w:rsidRPr="002F122E">
        <w:rPr>
          <w:rFonts w:ascii="Times New Roman" w:hAnsi="Times New Roman"/>
          <w:i/>
          <w:color w:val="000000"/>
          <w:sz w:val="24"/>
        </w:rPr>
        <w:tab/>
        <w:t>800.000</w:t>
      </w:r>
      <w:r w:rsidRPr="002F122E">
        <w:rPr>
          <w:rFonts w:ascii="Times New Roman" w:hAnsi="Times New Roman"/>
          <w:i/>
          <w:color w:val="000000"/>
          <w:sz w:val="24"/>
        </w:rPr>
        <w:br/>
      </w:r>
      <w:r w:rsidRPr="002F122E">
        <w:rPr>
          <w:rFonts w:ascii="Times New Roman" w:hAnsi="Times New Roman"/>
          <w:i/>
          <w:color w:val="000000"/>
          <w:sz w:val="24"/>
        </w:rPr>
        <w:tab/>
        <w:t>aan) Pand</w:t>
      </w:r>
      <w:r w:rsidRPr="002F122E">
        <w:rPr>
          <w:rFonts w:ascii="Times New Roman" w:hAnsi="Times New Roman"/>
          <w:i/>
          <w:color w:val="000000"/>
          <w:sz w:val="24"/>
        </w:rPr>
        <w:tab/>
      </w:r>
      <w:r w:rsidRPr="002F122E">
        <w:rPr>
          <w:rFonts w:ascii="Times New Roman" w:hAnsi="Times New Roman"/>
          <w:i/>
          <w:color w:val="000000"/>
          <w:sz w:val="24"/>
        </w:rPr>
        <w:tab/>
      </w:r>
      <w:r w:rsidRPr="002F122E">
        <w:rPr>
          <w:rFonts w:ascii="Times New Roman" w:hAnsi="Times New Roman"/>
          <w:i/>
          <w:color w:val="000000"/>
          <w:sz w:val="24"/>
        </w:rPr>
        <w:tab/>
      </w:r>
      <w:r w:rsidRPr="002F122E">
        <w:rPr>
          <w:rFonts w:ascii="Times New Roman" w:hAnsi="Times New Roman"/>
          <w:i/>
          <w:color w:val="000000"/>
          <w:sz w:val="24"/>
        </w:rPr>
        <w:tab/>
      </w:r>
      <w:r w:rsidRPr="002F122E">
        <w:rPr>
          <w:rFonts w:ascii="Times New Roman" w:hAnsi="Times New Roman"/>
          <w:i/>
          <w:color w:val="000000"/>
          <w:sz w:val="24"/>
        </w:rPr>
        <w:tab/>
        <w:t>800.000</w:t>
      </w:r>
    </w:p>
    <w:p w:rsidR="00497A28" w:rsidRPr="002F122E" w:rsidRDefault="00497A28" w:rsidP="00CB4757">
      <w:pPr>
        <w:spacing w:line="360" w:lineRule="auto"/>
        <w:rPr>
          <w:rFonts w:ascii="Times New Roman" w:hAnsi="Times New Roman"/>
          <w:i/>
          <w:color w:val="000000"/>
          <w:sz w:val="24"/>
        </w:rPr>
      </w:pPr>
      <w:r w:rsidRPr="002F122E">
        <w:rPr>
          <w:rFonts w:ascii="Times New Roman" w:hAnsi="Times New Roman"/>
          <w:i/>
          <w:color w:val="000000"/>
          <w:sz w:val="24"/>
        </w:rPr>
        <w:t>-</w:t>
      </w:r>
      <w:r w:rsidRPr="002F122E">
        <w:rPr>
          <w:rFonts w:ascii="Times New Roman" w:hAnsi="Times New Roman"/>
          <w:i/>
          <w:color w:val="000000"/>
          <w:sz w:val="24"/>
        </w:rPr>
        <w:tab/>
        <w:t>Voorraad</w:t>
      </w:r>
      <w:r w:rsidRPr="002F122E">
        <w:rPr>
          <w:rFonts w:ascii="Times New Roman" w:hAnsi="Times New Roman"/>
          <w:i/>
          <w:color w:val="000000"/>
          <w:sz w:val="24"/>
        </w:rPr>
        <w:tab/>
      </w:r>
      <w:r w:rsidRPr="002F122E">
        <w:rPr>
          <w:rFonts w:ascii="Times New Roman" w:hAnsi="Times New Roman"/>
          <w:i/>
          <w:color w:val="000000"/>
          <w:sz w:val="24"/>
        </w:rPr>
        <w:tab/>
      </w:r>
      <w:r w:rsidRPr="002F122E">
        <w:rPr>
          <w:rFonts w:ascii="Times New Roman" w:hAnsi="Times New Roman"/>
          <w:i/>
          <w:color w:val="000000"/>
          <w:sz w:val="24"/>
        </w:rPr>
        <w:tab/>
        <w:t>250.000</w:t>
      </w:r>
      <w:r w:rsidRPr="002F122E">
        <w:rPr>
          <w:rFonts w:ascii="Times New Roman" w:hAnsi="Times New Roman"/>
          <w:i/>
          <w:color w:val="000000"/>
          <w:sz w:val="24"/>
        </w:rPr>
        <w:br/>
      </w:r>
      <w:r w:rsidRPr="002F122E">
        <w:rPr>
          <w:rFonts w:ascii="Times New Roman" w:hAnsi="Times New Roman"/>
          <w:i/>
          <w:color w:val="000000"/>
          <w:sz w:val="24"/>
        </w:rPr>
        <w:tab/>
        <w:t>aan) Voorraad Handelsproduct</w:t>
      </w:r>
      <w:r w:rsidRPr="002F122E">
        <w:rPr>
          <w:rFonts w:ascii="Times New Roman" w:hAnsi="Times New Roman"/>
          <w:i/>
          <w:color w:val="000000"/>
          <w:sz w:val="24"/>
        </w:rPr>
        <w:tab/>
      </w:r>
      <w:r w:rsidRPr="002F122E">
        <w:rPr>
          <w:rFonts w:ascii="Times New Roman" w:hAnsi="Times New Roman"/>
          <w:i/>
          <w:color w:val="000000"/>
          <w:sz w:val="24"/>
        </w:rPr>
        <w:tab/>
        <w:t>250.000</w:t>
      </w:r>
    </w:p>
    <w:p w:rsidR="00497A28" w:rsidRPr="002F122E" w:rsidRDefault="00497A28" w:rsidP="00CB4757">
      <w:pPr>
        <w:spacing w:line="360" w:lineRule="auto"/>
        <w:rPr>
          <w:rFonts w:ascii="Times New Roman" w:hAnsi="Times New Roman"/>
          <w:i/>
          <w:color w:val="000000"/>
          <w:sz w:val="24"/>
        </w:rPr>
      </w:pPr>
      <w:r w:rsidRPr="002F122E">
        <w:rPr>
          <w:rFonts w:ascii="Times New Roman" w:hAnsi="Times New Roman"/>
          <w:i/>
          <w:color w:val="000000"/>
          <w:sz w:val="24"/>
        </w:rPr>
        <w:t xml:space="preserve">- </w:t>
      </w:r>
      <w:r w:rsidRPr="002F122E">
        <w:rPr>
          <w:rFonts w:ascii="Times New Roman" w:hAnsi="Times New Roman"/>
          <w:i/>
          <w:color w:val="000000"/>
          <w:sz w:val="24"/>
        </w:rPr>
        <w:tab/>
        <w:t>Algemene reserve</w:t>
      </w:r>
      <w:r w:rsidRPr="002F122E">
        <w:rPr>
          <w:rFonts w:ascii="Times New Roman" w:hAnsi="Times New Roman"/>
          <w:i/>
          <w:color w:val="000000"/>
          <w:sz w:val="24"/>
        </w:rPr>
        <w:tab/>
      </w:r>
      <w:r w:rsidRPr="002F122E">
        <w:rPr>
          <w:rFonts w:ascii="Times New Roman" w:hAnsi="Times New Roman"/>
          <w:i/>
          <w:color w:val="000000"/>
          <w:sz w:val="24"/>
        </w:rPr>
        <w:tab/>
        <w:t>100.000</w:t>
      </w:r>
      <w:r w:rsidRPr="002F122E">
        <w:rPr>
          <w:rFonts w:ascii="Times New Roman" w:hAnsi="Times New Roman"/>
          <w:i/>
          <w:color w:val="000000"/>
          <w:sz w:val="24"/>
        </w:rPr>
        <w:br/>
      </w:r>
      <w:r w:rsidRPr="002F122E">
        <w:rPr>
          <w:rFonts w:ascii="Times New Roman" w:hAnsi="Times New Roman"/>
          <w:i/>
          <w:color w:val="000000"/>
          <w:sz w:val="24"/>
        </w:rPr>
        <w:tab/>
        <w:t>Overige Reserves</w:t>
      </w:r>
      <w:r w:rsidRPr="002F122E">
        <w:rPr>
          <w:rFonts w:ascii="Times New Roman" w:hAnsi="Times New Roman"/>
          <w:i/>
          <w:color w:val="000000"/>
          <w:sz w:val="24"/>
        </w:rPr>
        <w:tab/>
      </w:r>
      <w:r w:rsidRPr="002F122E">
        <w:rPr>
          <w:rFonts w:ascii="Times New Roman" w:hAnsi="Times New Roman"/>
          <w:i/>
          <w:color w:val="000000"/>
          <w:sz w:val="24"/>
        </w:rPr>
        <w:tab/>
        <w:t>150.000</w:t>
      </w:r>
      <w:r w:rsidRPr="002F122E">
        <w:rPr>
          <w:rFonts w:ascii="Times New Roman" w:hAnsi="Times New Roman"/>
          <w:i/>
          <w:color w:val="000000"/>
          <w:sz w:val="24"/>
        </w:rPr>
        <w:br/>
      </w:r>
      <w:r w:rsidRPr="002F122E">
        <w:rPr>
          <w:rFonts w:ascii="Times New Roman" w:hAnsi="Times New Roman"/>
          <w:i/>
          <w:color w:val="000000"/>
          <w:sz w:val="24"/>
        </w:rPr>
        <w:tab/>
        <w:t>aan) Reserves</w:t>
      </w:r>
      <w:r w:rsidRPr="002F122E">
        <w:rPr>
          <w:rFonts w:ascii="Times New Roman" w:hAnsi="Times New Roman"/>
          <w:i/>
          <w:color w:val="000000"/>
          <w:sz w:val="24"/>
        </w:rPr>
        <w:tab/>
      </w:r>
      <w:r w:rsidRPr="002F122E">
        <w:rPr>
          <w:rFonts w:ascii="Times New Roman" w:hAnsi="Times New Roman"/>
          <w:i/>
          <w:color w:val="000000"/>
          <w:sz w:val="24"/>
        </w:rPr>
        <w:tab/>
      </w:r>
      <w:r w:rsidRPr="002F122E">
        <w:rPr>
          <w:rFonts w:ascii="Times New Roman" w:hAnsi="Times New Roman"/>
          <w:i/>
          <w:color w:val="000000"/>
          <w:sz w:val="24"/>
        </w:rPr>
        <w:tab/>
      </w:r>
      <w:r w:rsidRPr="002F122E">
        <w:rPr>
          <w:rFonts w:ascii="Times New Roman" w:hAnsi="Times New Roman"/>
          <w:i/>
          <w:color w:val="000000"/>
          <w:sz w:val="24"/>
        </w:rPr>
        <w:tab/>
      </w:r>
      <w:r w:rsidRPr="002F122E">
        <w:rPr>
          <w:rFonts w:ascii="Times New Roman" w:hAnsi="Times New Roman"/>
          <w:i/>
          <w:color w:val="000000"/>
          <w:sz w:val="24"/>
        </w:rPr>
        <w:tab/>
        <w:t>250.000</w:t>
      </w:r>
    </w:p>
    <w:p w:rsidR="00497A28" w:rsidRPr="002F122E" w:rsidRDefault="00497A28" w:rsidP="00CB4757">
      <w:pPr>
        <w:spacing w:line="360" w:lineRule="auto"/>
        <w:rPr>
          <w:rFonts w:ascii="Times New Roman" w:hAnsi="Times New Roman"/>
          <w:i/>
          <w:color w:val="000000"/>
          <w:sz w:val="24"/>
        </w:rPr>
      </w:pPr>
      <w:r w:rsidRPr="002F122E">
        <w:rPr>
          <w:rFonts w:ascii="Times New Roman" w:hAnsi="Times New Roman"/>
          <w:i/>
          <w:color w:val="000000"/>
          <w:sz w:val="24"/>
        </w:rPr>
        <w:t xml:space="preserve">Nu vormen moeder en dochter een formele eenheid, de rekeningen hebben dezelfde naam. In dit geval zijn er geen correcties nodig tot het vormen van een materiële eenheid, zij hanteren allebei al de reële waarde van activa en passiva als boekwaarde. </w:t>
      </w:r>
    </w:p>
    <w:p w:rsidR="00497A28" w:rsidRPr="002F122E" w:rsidRDefault="00497A28" w:rsidP="00CB4757">
      <w:pPr>
        <w:spacing w:line="360" w:lineRule="auto"/>
        <w:rPr>
          <w:rFonts w:ascii="Times New Roman" w:hAnsi="Times New Roman"/>
          <w:i/>
          <w:color w:val="000000"/>
          <w:sz w:val="24"/>
        </w:rPr>
      </w:pPr>
      <w:r w:rsidRPr="002F122E">
        <w:rPr>
          <w:rFonts w:ascii="Times New Roman" w:hAnsi="Times New Roman"/>
          <w:i/>
          <w:color w:val="000000"/>
          <w:sz w:val="24"/>
        </w:rPr>
        <w:t>De tweede stap is het elimineren van onderlinge relaties. De eliminatieposten</w:t>
      </w:r>
      <w:r>
        <w:rPr>
          <w:rFonts w:ascii="Times New Roman" w:hAnsi="Times New Roman"/>
          <w:i/>
          <w:color w:val="000000"/>
          <w:sz w:val="24"/>
        </w:rPr>
        <w:t xml:space="preserve"> voor de balans</w:t>
      </w:r>
      <w:r w:rsidRPr="002F122E">
        <w:rPr>
          <w:rFonts w:ascii="Times New Roman" w:hAnsi="Times New Roman"/>
          <w:i/>
          <w:color w:val="000000"/>
          <w:sz w:val="24"/>
        </w:rPr>
        <w:t xml:space="preserve"> zijn:</w:t>
      </w:r>
      <w:r w:rsidRPr="002F122E">
        <w:rPr>
          <w:rFonts w:ascii="Times New Roman" w:hAnsi="Times New Roman"/>
          <w:i/>
          <w:color w:val="000000"/>
          <w:sz w:val="24"/>
        </w:rPr>
        <w:tab/>
      </w:r>
    </w:p>
    <w:p w:rsidR="00497A28" w:rsidRPr="0001012B" w:rsidRDefault="00497A28" w:rsidP="00CB4757">
      <w:pPr>
        <w:spacing w:line="360" w:lineRule="auto"/>
        <w:rPr>
          <w:rFonts w:ascii="Times New Roman" w:hAnsi="Times New Roman"/>
          <w:i/>
          <w:color w:val="000000"/>
          <w:sz w:val="24"/>
        </w:rPr>
      </w:pPr>
      <w:r>
        <w:rPr>
          <w:rFonts w:ascii="Times New Roman" w:hAnsi="Times New Roman"/>
          <w:i/>
          <w:color w:val="000000"/>
          <w:sz w:val="24"/>
        </w:rPr>
        <w:t xml:space="preserve">- </w:t>
      </w:r>
      <w:r>
        <w:rPr>
          <w:rFonts w:ascii="Times New Roman" w:hAnsi="Times New Roman"/>
          <w:i/>
          <w:color w:val="000000"/>
          <w:sz w:val="24"/>
        </w:rPr>
        <w:tab/>
        <w:t>Lening bij M BV</w:t>
      </w:r>
      <w:r>
        <w:rPr>
          <w:rFonts w:ascii="Times New Roman" w:hAnsi="Times New Roman"/>
          <w:i/>
          <w:color w:val="000000"/>
          <w:sz w:val="24"/>
        </w:rPr>
        <w:tab/>
      </w:r>
      <w:r>
        <w:rPr>
          <w:rFonts w:ascii="Times New Roman" w:hAnsi="Times New Roman"/>
          <w:i/>
          <w:color w:val="000000"/>
          <w:sz w:val="24"/>
        </w:rPr>
        <w:tab/>
        <w:t>7</w:t>
      </w:r>
      <w:r w:rsidRPr="002F122E">
        <w:rPr>
          <w:rFonts w:ascii="Times New Roman" w:hAnsi="Times New Roman"/>
          <w:i/>
          <w:color w:val="000000"/>
          <w:sz w:val="24"/>
        </w:rPr>
        <w:t>0</w:t>
      </w:r>
      <w:r>
        <w:rPr>
          <w:rFonts w:ascii="Times New Roman" w:hAnsi="Times New Roman"/>
          <w:i/>
          <w:color w:val="000000"/>
          <w:sz w:val="24"/>
        </w:rPr>
        <w:t>.000</w:t>
      </w:r>
      <w:r>
        <w:rPr>
          <w:rFonts w:ascii="Times New Roman" w:hAnsi="Times New Roman"/>
          <w:i/>
          <w:color w:val="000000"/>
          <w:sz w:val="24"/>
        </w:rPr>
        <w:br/>
      </w:r>
      <w:r>
        <w:rPr>
          <w:rFonts w:ascii="Times New Roman" w:hAnsi="Times New Roman"/>
          <w:i/>
          <w:color w:val="000000"/>
          <w:sz w:val="24"/>
        </w:rPr>
        <w:tab/>
        <w:t>aan) Vordering op D BV</w:t>
      </w:r>
      <w:r>
        <w:rPr>
          <w:rFonts w:ascii="Times New Roman" w:hAnsi="Times New Roman"/>
          <w:i/>
          <w:color w:val="000000"/>
          <w:sz w:val="24"/>
        </w:rPr>
        <w:tab/>
      </w:r>
      <w:r>
        <w:rPr>
          <w:rFonts w:ascii="Times New Roman" w:hAnsi="Times New Roman"/>
          <w:i/>
          <w:color w:val="000000"/>
          <w:sz w:val="24"/>
        </w:rPr>
        <w:tab/>
      </w:r>
      <w:r>
        <w:rPr>
          <w:rFonts w:ascii="Times New Roman" w:hAnsi="Times New Roman"/>
          <w:i/>
          <w:color w:val="000000"/>
          <w:sz w:val="24"/>
        </w:rPr>
        <w:tab/>
        <w:t>7</w:t>
      </w:r>
      <w:r w:rsidRPr="002F122E">
        <w:rPr>
          <w:rFonts w:ascii="Times New Roman" w:hAnsi="Times New Roman"/>
          <w:i/>
          <w:color w:val="000000"/>
          <w:sz w:val="24"/>
        </w:rPr>
        <w:t>0.000</w:t>
      </w:r>
    </w:p>
    <w:p w:rsidR="00497A28" w:rsidRPr="0001012B" w:rsidRDefault="00497A28" w:rsidP="00CB4757">
      <w:pPr>
        <w:spacing w:line="360" w:lineRule="auto"/>
        <w:rPr>
          <w:rFonts w:ascii="Times New Roman" w:hAnsi="Times New Roman"/>
          <w:i/>
          <w:color w:val="000000"/>
          <w:sz w:val="24"/>
        </w:rPr>
      </w:pPr>
      <w:r w:rsidRPr="0001012B">
        <w:rPr>
          <w:rFonts w:ascii="Times New Roman" w:hAnsi="Times New Roman"/>
          <w:i/>
          <w:color w:val="000000"/>
          <w:sz w:val="24"/>
        </w:rPr>
        <w:t xml:space="preserve">- </w:t>
      </w:r>
      <w:r w:rsidRPr="0001012B">
        <w:rPr>
          <w:rFonts w:ascii="Times New Roman" w:hAnsi="Times New Roman"/>
          <w:i/>
          <w:color w:val="000000"/>
          <w:sz w:val="24"/>
        </w:rPr>
        <w:tab/>
        <w:t>Reserves</w:t>
      </w:r>
      <w:r w:rsidRPr="0001012B">
        <w:rPr>
          <w:rFonts w:ascii="Times New Roman" w:hAnsi="Times New Roman"/>
          <w:i/>
          <w:color w:val="000000"/>
          <w:sz w:val="24"/>
        </w:rPr>
        <w:tab/>
      </w:r>
      <w:r w:rsidRPr="0001012B">
        <w:rPr>
          <w:rFonts w:ascii="Times New Roman" w:hAnsi="Times New Roman"/>
          <w:i/>
          <w:color w:val="000000"/>
          <w:sz w:val="24"/>
        </w:rPr>
        <w:tab/>
      </w:r>
      <w:r w:rsidRPr="0001012B">
        <w:rPr>
          <w:rFonts w:ascii="Times New Roman" w:hAnsi="Times New Roman"/>
          <w:i/>
          <w:color w:val="000000"/>
          <w:sz w:val="24"/>
        </w:rPr>
        <w:tab/>
        <w:t>16.000</w:t>
      </w:r>
      <w:r w:rsidRPr="0001012B">
        <w:rPr>
          <w:rFonts w:ascii="Times New Roman" w:hAnsi="Times New Roman"/>
          <w:i/>
          <w:color w:val="000000"/>
          <w:sz w:val="24"/>
        </w:rPr>
        <w:br/>
      </w:r>
      <w:r w:rsidRPr="0001012B">
        <w:rPr>
          <w:rFonts w:ascii="Times New Roman" w:hAnsi="Times New Roman"/>
          <w:i/>
          <w:color w:val="000000"/>
          <w:sz w:val="24"/>
        </w:rPr>
        <w:tab/>
        <w:t xml:space="preserve">aan) Voorraad </w:t>
      </w:r>
      <w:r w:rsidRPr="0001012B">
        <w:rPr>
          <w:rFonts w:ascii="Times New Roman" w:hAnsi="Times New Roman"/>
          <w:i/>
          <w:color w:val="000000"/>
          <w:sz w:val="24"/>
        </w:rPr>
        <w:tab/>
      </w:r>
      <w:r w:rsidRPr="0001012B">
        <w:rPr>
          <w:rFonts w:ascii="Times New Roman" w:hAnsi="Times New Roman"/>
          <w:i/>
          <w:color w:val="000000"/>
          <w:sz w:val="24"/>
        </w:rPr>
        <w:tab/>
      </w:r>
      <w:r w:rsidRPr="0001012B">
        <w:rPr>
          <w:rFonts w:ascii="Times New Roman" w:hAnsi="Times New Roman"/>
          <w:i/>
          <w:color w:val="000000"/>
          <w:sz w:val="24"/>
        </w:rPr>
        <w:tab/>
      </w:r>
      <w:r w:rsidRPr="0001012B">
        <w:rPr>
          <w:rFonts w:ascii="Times New Roman" w:hAnsi="Times New Roman"/>
          <w:i/>
          <w:color w:val="000000"/>
          <w:sz w:val="24"/>
        </w:rPr>
        <w:tab/>
        <w:t>16.000</w:t>
      </w:r>
    </w:p>
    <w:p w:rsidR="00497A28" w:rsidRPr="0001012B" w:rsidRDefault="00497A28" w:rsidP="00CB4757">
      <w:pPr>
        <w:spacing w:line="360" w:lineRule="auto"/>
        <w:rPr>
          <w:rFonts w:ascii="Times New Roman" w:hAnsi="Times New Roman"/>
          <w:i/>
          <w:color w:val="000000"/>
          <w:sz w:val="24"/>
        </w:rPr>
      </w:pPr>
      <w:r w:rsidRPr="0001012B">
        <w:rPr>
          <w:rFonts w:ascii="Times New Roman" w:hAnsi="Times New Roman"/>
          <w:i/>
          <w:color w:val="000000"/>
          <w:sz w:val="24"/>
        </w:rPr>
        <w:t xml:space="preserve">- </w:t>
      </w:r>
      <w:r w:rsidRPr="0001012B">
        <w:rPr>
          <w:rFonts w:ascii="Times New Roman" w:hAnsi="Times New Roman"/>
          <w:i/>
          <w:color w:val="000000"/>
          <w:sz w:val="24"/>
        </w:rPr>
        <w:tab/>
        <w:t>Aandelenkapitaal</w:t>
      </w:r>
      <w:r w:rsidRPr="0001012B">
        <w:rPr>
          <w:rFonts w:ascii="Times New Roman" w:hAnsi="Times New Roman"/>
          <w:i/>
          <w:color w:val="000000"/>
          <w:sz w:val="24"/>
        </w:rPr>
        <w:tab/>
      </w:r>
      <w:r w:rsidRPr="0001012B">
        <w:rPr>
          <w:rFonts w:ascii="Times New Roman" w:hAnsi="Times New Roman"/>
          <w:i/>
          <w:color w:val="000000"/>
          <w:sz w:val="24"/>
        </w:rPr>
        <w:tab/>
        <w:t>1.000.000</w:t>
      </w:r>
      <w:r w:rsidRPr="0001012B">
        <w:rPr>
          <w:rFonts w:ascii="Times New Roman" w:hAnsi="Times New Roman"/>
          <w:i/>
          <w:color w:val="000000"/>
          <w:sz w:val="24"/>
        </w:rPr>
        <w:br/>
      </w:r>
      <w:r w:rsidRPr="0001012B">
        <w:rPr>
          <w:rFonts w:ascii="Times New Roman" w:hAnsi="Times New Roman"/>
          <w:i/>
          <w:color w:val="000000"/>
          <w:sz w:val="24"/>
        </w:rPr>
        <w:tab/>
        <w:t>Reserves</w:t>
      </w:r>
      <w:r w:rsidRPr="0001012B">
        <w:rPr>
          <w:rFonts w:ascii="Times New Roman" w:hAnsi="Times New Roman"/>
          <w:i/>
          <w:color w:val="000000"/>
          <w:sz w:val="24"/>
        </w:rPr>
        <w:tab/>
      </w:r>
      <w:r w:rsidRPr="0001012B">
        <w:rPr>
          <w:rFonts w:ascii="Times New Roman" w:hAnsi="Times New Roman"/>
          <w:i/>
          <w:color w:val="000000"/>
          <w:sz w:val="24"/>
        </w:rPr>
        <w:tab/>
      </w:r>
      <w:r w:rsidRPr="0001012B">
        <w:rPr>
          <w:rFonts w:ascii="Times New Roman" w:hAnsi="Times New Roman"/>
          <w:i/>
          <w:color w:val="000000"/>
          <w:sz w:val="24"/>
        </w:rPr>
        <w:tab/>
        <w:t>250.000</w:t>
      </w:r>
      <w:r w:rsidRPr="0001012B">
        <w:rPr>
          <w:rFonts w:ascii="Times New Roman" w:hAnsi="Times New Roman"/>
          <w:i/>
          <w:color w:val="000000"/>
          <w:sz w:val="24"/>
        </w:rPr>
        <w:br/>
      </w:r>
      <w:r w:rsidRPr="0001012B">
        <w:rPr>
          <w:rFonts w:ascii="Times New Roman" w:hAnsi="Times New Roman"/>
          <w:i/>
          <w:color w:val="000000"/>
          <w:sz w:val="24"/>
        </w:rPr>
        <w:tab/>
        <w:t>aan) Deelneming D BV</w:t>
      </w:r>
      <w:r w:rsidRPr="0001012B">
        <w:rPr>
          <w:rFonts w:ascii="Times New Roman" w:hAnsi="Times New Roman"/>
          <w:i/>
          <w:color w:val="000000"/>
          <w:sz w:val="24"/>
        </w:rPr>
        <w:tab/>
      </w:r>
      <w:r w:rsidRPr="0001012B">
        <w:rPr>
          <w:rFonts w:ascii="Times New Roman" w:hAnsi="Times New Roman"/>
          <w:i/>
          <w:color w:val="000000"/>
          <w:sz w:val="24"/>
        </w:rPr>
        <w:tab/>
      </w:r>
      <w:r w:rsidRPr="0001012B">
        <w:rPr>
          <w:rFonts w:ascii="Times New Roman" w:hAnsi="Times New Roman"/>
          <w:i/>
          <w:color w:val="000000"/>
          <w:sz w:val="24"/>
        </w:rPr>
        <w:tab/>
        <w:t>1.250.000</w:t>
      </w:r>
    </w:p>
    <w:p w:rsidR="00497A28" w:rsidRPr="0001012B" w:rsidRDefault="00497A28" w:rsidP="00CB4757">
      <w:pPr>
        <w:spacing w:line="360" w:lineRule="auto"/>
        <w:rPr>
          <w:rFonts w:ascii="Times New Roman" w:hAnsi="Times New Roman"/>
          <w:i/>
          <w:color w:val="000000"/>
          <w:sz w:val="24"/>
        </w:rPr>
      </w:pPr>
      <w:r w:rsidRPr="0001012B">
        <w:rPr>
          <w:rFonts w:ascii="Times New Roman" w:hAnsi="Times New Roman"/>
          <w:i/>
          <w:color w:val="000000"/>
          <w:sz w:val="24"/>
        </w:rPr>
        <w:t>De tweede eliminatie heeft te maken met de winst die M BV heeft geboekt op de geleverde goederen aan D BV. D BV heeft deze goederen nog niet doorverkocht aan derden, waardoor de goederen nog in het concern zitten en de winst niet als gerealiseerd mag worden beschouwd. De winst van M BV zit in de reserve, dus deze moet worden gedebiteerd en de voorraad bij D BV is met 20% van 80.000 = 16.000 te hoog gewaardeerd, dus deze moet worden gecrediteerd.</w:t>
      </w:r>
      <w:r w:rsidRPr="0001012B">
        <w:rPr>
          <w:rFonts w:ascii="Times New Roman" w:hAnsi="Times New Roman"/>
          <w:i/>
          <w:color w:val="000000"/>
          <w:sz w:val="24"/>
        </w:rPr>
        <w:br/>
        <w:t>De laatste eliminatie post is het elimineren van de deelneming in D BV bij de moeder, omdat in de geconsolideerde balans alle activa en passiva van D BV te zien zullen zijn.</w:t>
      </w:r>
      <w:r w:rsidRPr="0001012B">
        <w:rPr>
          <w:rFonts w:ascii="Times New Roman" w:hAnsi="Times New Roman"/>
          <w:i/>
          <w:color w:val="000000"/>
          <w:sz w:val="24"/>
        </w:rPr>
        <w:br/>
        <w:t>Nadat al deze correctie- en eliminatieposten zijn doorgevoerd, kunnen beide balansen worden geconsolideerd. De nieuwe, geconsolideerde balans wordt dan:</w:t>
      </w:r>
    </w:p>
    <w:tbl>
      <w:tblPr>
        <w:tblW w:w="0" w:type="auto"/>
        <w:tblBorders>
          <w:top w:val="single" w:sz="4" w:space="0" w:color="auto"/>
          <w:insideH w:val="single" w:sz="4" w:space="0" w:color="000000"/>
          <w:insideV w:val="single" w:sz="4" w:space="0" w:color="000000"/>
        </w:tblBorders>
        <w:tblLook w:val="00A0"/>
      </w:tblPr>
      <w:tblGrid>
        <w:gridCol w:w="2376"/>
        <w:gridCol w:w="1843"/>
        <w:gridCol w:w="2268"/>
        <w:gridCol w:w="1559"/>
      </w:tblGrid>
      <w:tr w:rsidR="00497A28" w:rsidRPr="00A4355A" w:rsidTr="00A4355A">
        <w:tc>
          <w:tcPr>
            <w:tcW w:w="2376" w:type="dxa"/>
            <w:tcBorders>
              <w:top w:val="single" w:sz="4" w:space="0" w:color="auto"/>
              <w:bottom w:val="nil"/>
              <w:right w:val="nil"/>
            </w:tcBorders>
          </w:tcPr>
          <w:p w:rsidR="00497A28" w:rsidRPr="00A4355A" w:rsidRDefault="00497A28" w:rsidP="00A4355A">
            <w:pPr>
              <w:spacing w:after="0" w:line="360" w:lineRule="auto"/>
              <w:rPr>
                <w:rFonts w:ascii="Times New Roman" w:hAnsi="Times New Roman"/>
                <w:color w:val="000000"/>
                <w:sz w:val="24"/>
              </w:rPr>
            </w:pPr>
            <w:r w:rsidRPr="00A4355A">
              <w:rPr>
                <w:rFonts w:ascii="Times New Roman" w:hAnsi="Times New Roman"/>
                <w:color w:val="000000"/>
                <w:sz w:val="24"/>
              </w:rPr>
              <w:t xml:space="preserve">Onroerend goed                             </w:t>
            </w:r>
          </w:p>
        </w:tc>
        <w:tc>
          <w:tcPr>
            <w:tcW w:w="1843" w:type="dxa"/>
            <w:tcBorders>
              <w:top w:val="single" w:sz="4" w:space="0" w:color="auto"/>
              <w:left w:val="nil"/>
              <w:bottom w:val="nil"/>
            </w:tcBorders>
          </w:tcPr>
          <w:p w:rsidR="00497A28" w:rsidRPr="00A4355A" w:rsidRDefault="00497A28" w:rsidP="00A4355A">
            <w:pPr>
              <w:tabs>
                <w:tab w:val="center" w:pos="813"/>
                <w:tab w:val="right" w:pos="1627"/>
              </w:tabs>
              <w:spacing w:after="0" w:line="360" w:lineRule="auto"/>
              <w:jc w:val="right"/>
              <w:rPr>
                <w:rFonts w:ascii="Times New Roman" w:hAnsi="Times New Roman"/>
                <w:color w:val="000000"/>
                <w:sz w:val="24"/>
              </w:rPr>
            </w:pPr>
            <w:r w:rsidRPr="00A4355A">
              <w:rPr>
                <w:rFonts w:ascii="Times New Roman" w:hAnsi="Times New Roman"/>
                <w:color w:val="000000"/>
                <w:sz w:val="24"/>
              </w:rPr>
              <w:t>3.300</w:t>
            </w:r>
          </w:p>
        </w:tc>
        <w:tc>
          <w:tcPr>
            <w:tcW w:w="2268" w:type="dxa"/>
            <w:tcBorders>
              <w:top w:val="single" w:sz="4" w:space="0" w:color="auto"/>
              <w:bottom w:val="nil"/>
              <w:right w:val="nil"/>
            </w:tcBorders>
          </w:tcPr>
          <w:p w:rsidR="00497A28" w:rsidRPr="00A4355A" w:rsidRDefault="00497A28" w:rsidP="00A4355A">
            <w:pPr>
              <w:spacing w:after="0" w:line="360" w:lineRule="auto"/>
              <w:rPr>
                <w:rFonts w:ascii="Times New Roman" w:hAnsi="Times New Roman"/>
                <w:color w:val="000000"/>
                <w:sz w:val="24"/>
              </w:rPr>
            </w:pPr>
            <w:r w:rsidRPr="00A4355A">
              <w:rPr>
                <w:rFonts w:ascii="Times New Roman" w:hAnsi="Times New Roman"/>
                <w:color w:val="000000"/>
                <w:sz w:val="24"/>
              </w:rPr>
              <w:t>Aandelenkapitaal</w:t>
            </w:r>
          </w:p>
        </w:tc>
        <w:tc>
          <w:tcPr>
            <w:tcW w:w="1559" w:type="dxa"/>
            <w:tcBorders>
              <w:top w:val="single" w:sz="4" w:space="0" w:color="auto"/>
              <w:left w:val="nil"/>
              <w:bottom w:val="nil"/>
            </w:tcBorders>
          </w:tcPr>
          <w:p w:rsidR="00497A28" w:rsidRPr="00A4355A" w:rsidRDefault="00497A28" w:rsidP="00A4355A">
            <w:pPr>
              <w:spacing w:after="0" w:line="360" w:lineRule="auto"/>
              <w:jc w:val="right"/>
              <w:rPr>
                <w:rFonts w:ascii="Times New Roman" w:hAnsi="Times New Roman"/>
                <w:color w:val="000000"/>
                <w:sz w:val="24"/>
              </w:rPr>
            </w:pPr>
            <w:r w:rsidRPr="00A4355A">
              <w:rPr>
                <w:rFonts w:ascii="Times New Roman" w:hAnsi="Times New Roman"/>
                <w:color w:val="000000"/>
                <w:sz w:val="24"/>
              </w:rPr>
              <w:t>3.000</w:t>
            </w:r>
          </w:p>
        </w:tc>
      </w:tr>
      <w:tr w:rsidR="00497A28" w:rsidRPr="00A4355A" w:rsidTr="00A4355A">
        <w:tc>
          <w:tcPr>
            <w:tcW w:w="2376" w:type="dxa"/>
            <w:tcBorders>
              <w:top w:val="nil"/>
              <w:bottom w:val="nil"/>
              <w:right w:val="nil"/>
            </w:tcBorders>
          </w:tcPr>
          <w:p w:rsidR="00497A28" w:rsidRPr="00A4355A" w:rsidRDefault="00497A28" w:rsidP="00A4355A">
            <w:pPr>
              <w:spacing w:after="0" w:line="360" w:lineRule="auto"/>
              <w:rPr>
                <w:rFonts w:ascii="Times New Roman" w:hAnsi="Times New Roman"/>
                <w:color w:val="000000"/>
                <w:sz w:val="24"/>
              </w:rPr>
            </w:pPr>
            <w:r w:rsidRPr="00A4355A">
              <w:rPr>
                <w:rFonts w:ascii="Times New Roman" w:hAnsi="Times New Roman"/>
                <w:color w:val="000000"/>
                <w:sz w:val="24"/>
              </w:rPr>
              <w:t xml:space="preserve">Machines                                           </w:t>
            </w:r>
          </w:p>
        </w:tc>
        <w:tc>
          <w:tcPr>
            <w:tcW w:w="1843" w:type="dxa"/>
            <w:tcBorders>
              <w:top w:val="nil"/>
              <w:left w:val="nil"/>
              <w:bottom w:val="nil"/>
            </w:tcBorders>
          </w:tcPr>
          <w:p w:rsidR="00497A28" w:rsidRPr="00A4355A" w:rsidRDefault="00497A28" w:rsidP="00A4355A">
            <w:pPr>
              <w:spacing w:after="0" w:line="360" w:lineRule="auto"/>
              <w:jc w:val="right"/>
              <w:rPr>
                <w:rFonts w:ascii="Times New Roman" w:hAnsi="Times New Roman"/>
                <w:color w:val="000000"/>
                <w:sz w:val="24"/>
              </w:rPr>
            </w:pPr>
            <w:r w:rsidRPr="00A4355A">
              <w:rPr>
                <w:rFonts w:ascii="Times New Roman" w:hAnsi="Times New Roman"/>
                <w:color w:val="000000"/>
                <w:sz w:val="24"/>
              </w:rPr>
              <w:t>450</w:t>
            </w:r>
          </w:p>
        </w:tc>
        <w:tc>
          <w:tcPr>
            <w:tcW w:w="2268" w:type="dxa"/>
            <w:tcBorders>
              <w:top w:val="nil"/>
              <w:bottom w:val="nil"/>
              <w:right w:val="nil"/>
            </w:tcBorders>
          </w:tcPr>
          <w:p w:rsidR="00497A28" w:rsidRPr="00A4355A" w:rsidRDefault="00497A28" w:rsidP="00A4355A">
            <w:pPr>
              <w:spacing w:after="0" w:line="360" w:lineRule="auto"/>
              <w:rPr>
                <w:rFonts w:ascii="Times New Roman" w:hAnsi="Times New Roman"/>
                <w:color w:val="000000"/>
                <w:sz w:val="24"/>
              </w:rPr>
            </w:pPr>
            <w:r w:rsidRPr="00A4355A">
              <w:rPr>
                <w:rFonts w:ascii="Times New Roman" w:hAnsi="Times New Roman"/>
                <w:color w:val="000000"/>
                <w:sz w:val="24"/>
              </w:rPr>
              <w:t>Agioreserve</w:t>
            </w:r>
          </w:p>
        </w:tc>
        <w:tc>
          <w:tcPr>
            <w:tcW w:w="1559" w:type="dxa"/>
            <w:tcBorders>
              <w:top w:val="nil"/>
              <w:left w:val="nil"/>
              <w:bottom w:val="nil"/>
            </w:tcBorders>
          </w:tcPr>
          <w:p w:rsidR="00497A28" w:rsidRPr="00A4355A" w:rsidRDefault="00497A28" w:rsidP="00A4355A">
            <w:pPr>
              <w:spacing w:after="0" w:line="360" w:lineRule="auto"/>
              <w:jc w:val="right"/>
              <w:rPr>
                <w:rFonts w:ascii="Times New Roman" w:hAnsi="Times New Roman"/>
                <w:color w:val="000000"/>
                <w:sz w:val="24"/>
              </w:rPr>
            </w:pPr>
            <w:r w:rsidRPr="00A4355A">
              <w:rPr>
                <w:rFonts w:ascii="Times New Roman" w:hAnsi="Times New Roman"/>
                <w:color w:val="000000"/>
                <w:sz w:val="24"/>
              </w:rPr>
              <w:t>50</w:t>
            </w:r>
          </w:p>
        </w:tc>
      </w:tr>
      <w:tr w:rsidR="00497A28" w:rsidRPr="00A4355A" w:rsidTr="00A4355A">
        <w:tc>
          <w:tcPr>
            <w:tcW w:w="2376" w:type="dxa"/>
            <w:tcBorders>
              <w:top w:val="nil"/>
              <w:bottom w:val="nil"/>
              <w:right w:val="nil"/>
            </w:tcBorders>
          </w:tcPr>
          <w:p w:rsidR="00497A28" w:rsidRPr="00A4355A" w:rsidRDefault="00497A28" w:rsidP="00A4355A">
            <w:pPr>
              <w:spacing w:after="0" w:line="360" w:lineRule="auto"/>
              <w:rPr>
                <w:rFonts w:ascii="Times New Roman" w:hAnsi="Times New Roman"/>
                <w:color w:val="000000"/>
                <w:sz w:val="24"/>
              </w:rPr>
            </w:pPr>
            <w:r w:rsidRPr="00A4355A">
              <w:rPr>
                <w:rFonts w:ascii="Times New Roman" w:hAnsi="Times New Roman"/>
                <w:color w:val="000000"/>
                <w:sz w:val="24"/>
              </w:rPr>
              <w:t xml:space="preserve">Voorraad                                           </w:t>
            </w:r>
          </w:p>
        </w:tc>
        <w:tc>
          <w:tcPr>
            <w:tcW w:w="1843" w:type="dxa"/>
            <w:tcBorders>
              <w:top w:val="nil"/>
              <w:left w:val="nil"/>
              <w:bottom w:val="nil"/>
            </w:tcBorders>
          </w:tcPr>
          <w:p w:rsidR="00497A28" w:rsidRPr="00A4355A" w:rsidRDefault="00497A28" w:rsidP="00A4355A">
            <w:pPr>
              <w:spacing w:after="0" w:line="360" w:lineRule="auto"/>
              <w:jc w:val="right"/>
              <w:rPr>
                <w:rFonts w:ascii="Times New Roman" w:hAnsi="Times New Roman"/>
                <w:color w:val="000000"/>
                <w:sz w:val="24"/>
              </w:rPr>
            </w:pPr>
            <w:r w:rsidRPr="00A4355A">
              <w:rPr>
                <w:rFonts w:ascii="Times New Roman" w:hAnsi="Times New Roman"/>
                <w:color w:val="000000"/>
                <w:sz w:val="24"/>
              </w:rPr>
              <w:t>534</w:t>
            </w:r>
          </w:p>
        </w:tc>
        <w:tc>
          <w:tcPr>
            <w:tcW w:w="2268" w:type="dxa"/>
            <w:tcBorders>
              <w:top w:val="nil"/>
              <w:bottom w:val="nil"/>
              <w:right w:val="nil"/>
            </w:tcBorders>
          </w:tcPr>
          <w:p w:rsidR="00497A28" w:rsidRPr="00A4355A" w:rsidRDefault="00497A28" w:rsidP="00A4355A">
            <w:pPr>
              <w:spacing w:after="0" w:line="360" w:lineRule="auto"/>
              <w:rPr>
                <w:rFonts w:ascii="Times New Roman" w:hAnsi="Times New Roman"/>
                <w:color w:val="000000"/>
                <w:sz w:val="24"/>
              </w:rPr>
            </w:pPr>
            <w:r w:rsidRPr="00A4355A">
              <w:rPr>
                <w:rFonts w:ascii="Times New Roman" w:hAnsi="Times New Roman"/>
                <w:color w:val="000000"/>
                <w:sz w:val="24"/>
              </w:rPr>
              <w:t>Reserves</w:t>
            </w:r>
          </w:p>
        </w:tc>
        <w:tc>
          <w:tcPr>
            <w:tcW w:w="1559" w:type="dxa"/>
            <w:tcBorders>
              <w:top w:val="nil"/>
              <w:left w:val="nil"/>
              <w:bottom w:val="nil"/>
            </w:tcBorders>
          </w:tcPr>
          <w:p w:rsidR="00497A28" w:rsidRPr="00A4355A" w:rsidRDefault="00497A28" w:rsidP="00A4355A">
            <w:pPr>
              <w:spacing w:after="0" w:line="360" w:lineRule="auto"/>
              <w:jc w:val="right"/>
              <w:rPr>
                <w:rFonts w:ascii="Times New Roman" w:hAnsi="Times New Roman"/>
                <w:color w:val="000000"/>
                <w:sz w:val="24"/>
              </w:rPr>
            </w:pPr>
            <w:r w:rsidRPr="00A4355A">
              <w:rPr>
                <w:rFonts w:ascii="Times New Roman" w:hAnsi="Times New Roman"/>
                <w:color w:val="000000"/>
                <w:sz w:val="24"/>
              </w:rPr>
              <w:t>384</w:t>
            </w:r>
          </w:p>
        </w:tc>
      </w:tr>
      <w:tr w:rsidR="00497A28" w:rsidRPr="00A4355A" w:rsidTr="00A4355A">
        <w:tc>
          <w:tcPr>
            <w:tcW w:w="2376" w:type="dxa"/>
            <w:tcBorders>
              <w:top w:val="nil"/>
              <w:bottom w:val="nil"/>
              <w:right w:val="nil"/>
            </w:tcBorders>
          </w:tcPr>
          <w:p w:rsidR="00497A28" w:rsidRPr="00A4355A" w:rsidRDefault="00497A28" w:rsidP="00A4355A">
            <w:pPr>
              <w:spacing w:after="0" w:line="360" w:lineRule="auto"/>
              <w:rPr>
                <w:rFonts w:ascii="Times New Roman" w:hAnsi="Times New Roman"/>
                <w:color w:val="000000"/>
                <w:sz w:val="24"/>
              </w:rPr>
            </w:pPr>
            <w:r w:rsidRPr="00A4355A">
              <w:rPr>
                <w:rFonts w:ascii="Times New Roman" w:hAnsi="Times New Roman"/>
                <w:color w:val="000000"/>
                <w:sz w:val="24"/>
              </w:rPr>
              <w:t>Debiteuren</w:t>
            </w:r>
          </w:p>
        </w:tc>
        <w:tc>
          <w:tcPr>
            <w:tcW w:w="1843" w:type="dxa"/>
            <w:tcBorders>
              <w:top w:val="nil"/>
              <w:left w:val="nil"/>
              <w:bottom w:val="nil"/>
            </w:tcBorders>
          </w:tcPr>
          <w:p w:rsidR="00497A28" w:rsidRPr="00A4355A" w:rsidRDefault="00497A28" w:rsidP="00A4355A">
            <w:pPr>
              <w:spacing w:after="0" w:line="360" w:lineRule="auto"/>
              <w:jc w:val="right"/>
              <w:rPr>
                <w:rFonts w:ascii="Times New Roman" w:hAnsi="Times New Roman"/>
                <w:color w:val="000000"/>
                <w:sz w:val="24"/>
              </w:rPr>
            </w:pPr>
            <w:r w:rsidRPr="00A4355A">
              <w:rPr>
                <w:rFonts w:ascii="Times New Roman" w:hAnsi="Times New Roman"/>
                <w:color w:val="000000"/>
                <w:sz w:val="24"/>
              </w:rPr>
              <w:t>1.000</w:t>
            </w:r>
          </w:p>
        </w:tc>
        <w:tc>
          <w:tcPr>
            <w:tcW w:w="2268" w:type="dxa"/>
            <w:tcBorders>
              <w:top w:val="nil"/>
              <w:bottom w:val="nil"/>
              <w:right w:val="nil"/>
            </w:tcBorders>
          </w:tcPr>
          <w:p w:rsidR="00497A28" w:rsidRPr="00A4355A" w:rsidRDefault="00497A28" w:rsidP="00A4355A">
            <w:pPr>
              <w:spacing w:after="0" w:line="360" w:lineRule="auto"/>
              <w:rPr>
                <w:rFonts w:ascii="Times New Roman" w:hAnsi="Times New Roman"/>
                <w:color w:val="000000"/>
                <w:sz w:val="24"/>
              </w:rPr>
            </w:pPr>
            <w:r w:rsidRPr="00A4355A">
              <w:rPr>
                <w:rFonts w:ascii="Times New Roman" w:hAnsi="Times New Roman"/>
                <w:color w:val="000000"/>
                <w:sz w:val="24"/>
              </w:rPr>
              <w:t>Hypothecaire Lening</w:t>
            </w:r>
          </w:p>
        </w:tc>
        <w:tc>
          <w:tcPr>
            <w:tcW w:w="1559" w:type="dxa"/>
            <w:tcBorders>
              <w:top w:val="nil"/>
              <w:left w:val="nil"/>
              <w:bottom w:val="nil"/>
            </w:tcBorders>
          </w:tcPr>
          <w:p w:rsidR="00497A28" w:rsidRPr="00A4355A" w:rsidRDefault="00497A28" w:rsidP="00A4355A">
            <w:pPr>
              <w:spacing w:after="0" w:line="360" w:lineRule="auto"/>
              <w:jc w:val="right"/>
              <w:rPr>
                <w:rFonts w:ascii="Times New Roman" w:hAnsi="Times New Roman"/>
                <w:color w:val="000000"/>
                <w:sz w:val="24"/>
              </w:rPr>
            </w:pPr>
            <w:r w:rsidRPr="00A4355A">
              <w:rPr>
                <w:rFonts w:ascii="Times New Roman" w:hAnsi="Times New Roman"/>
                <w:color w:val="000000"/>
                <w:sz w:val="24"/>
              </w:rPr>
              <w:t>1.700</w:t>
            </w:r>
          </w:p>
        </w:tc>
      </w:tr>
      <w:tr w:rsidR="00497A28" w:rsidRPr="00A4355A" w:rsidTr="00A4355A">
        <w:tc>
          <w:tcPr>
            <w:tcW w:w="2376" w:type="dxa"/>
            <w:tcBorders>
              <w:top w:val="nil"/>
              <w:bottom w:val="nil"/>
              <w:right w:val="nil"/>
            </w:tcBorders>
          </w:tcPr>
          <w:p w:rsidR="00497A28" w:rsidRPr="00A4355A" w:rsidRDefault="00497A28" w:rsidP="00A4355A">
            <w:pPr>
              <w:spacing w:after="0" w:line="360" w:lineRule="auto"/>
              <w:rPr>
                <w:rFonts w:ascii="Times New Roman" w:hAnsi="Times New Roman"/>
                <w:color w:val="000000"/>
                <w:sz w:val="24"/>
              </w:rPr>
            </w:pPr>
            <w:r w:rsidRPr="00A4355A">
              <w:rPr>
                <w:rFonts w:ascii="Times New Roman" w:hAnsi="Times New Roman"/>
                <w:color w:val="000000"/>
                <w:sz w:val="24"/>
              </w:rPr>
              <w:t xml:space="preserve">Liquide middelen                                      </w:t>
            </w:r>
          </w:p>
        </w:tc>
        <w:tc>
          <w:tcPr>
            <w:tcW w:w="1843" w:type="dxa"/>
            <w:tcBorders>
              <w:top w:val="nil"/>
              <w:left w:val="nil"/>
              <w:bottom w:val="single" w:sz="4" w:space="0" w:color="auto"/>
            </w:tcBorders>
          </w:tcPr>
          <w:p w:rsidR="00497A28" w:rsidRPr="00A4355A" w:rsidRDefault="00497A28" w:rsidP="00A4355A">
            <w:pPr>
              <w:spacing w:after="0" w:line="360" w:lineRule="auto"/>
              <w:jc w:val="right"/>
              <w:rPr>
                <w:rFonts w:ascii="Times New Roman" w:hAnsi="Times New Roman"/>
                <w:color w:val="000000"/>
                <w:sz w:val="24"/>
              </w:rPr>
            </w:pPr>
            <w:r w:rsidRPr="00A4355A">
              <w:rPr>
                <w:rFonts w:ascii="Times New Roman" w:hAnsi="Times New Roman"/>
                <w:color w:val="000000"/>
                <w:sz w:val="24"/>
              </w:rPr>
              <w:t>290</w:t>
            </w:r>
          </w:p>
        </w:tc>
        <w:tc>
          <w:tcPr>
            <w:tcW w:w="2268" w:type="dxa"/>
            <w:tcBorders>
              <w:top w:val="nil"/>
              <w:bottom w:val="nil"/>
              <w:right w:val="nil"/>
            </w:tcBorders>
          </w:tcPr>
          <w:p w:rsidR="00497A28" w:rsidRPr="00A4355A" w:rsidRDefault="00497A28" w:rsidP="00A4355A">
            <w:pPr>
              <w:spacing w:after="0" w:line="360" w:lineRule="auto"/>
              <w:rPr>
                <w:rFonts w:ascii="Times New Roman" w:hAnsi="Times New Roman"/>
                <w:color w:val="000000"/>
                <w:sz w:val="24"/>
              </w:rPr>
            </w:pPr>
            <w:r w:rsidRPr="00A4355A">
              <w:rPr>
                <w:rFonts w:ascii="Times New Roman" w:hAnsi="Times New Roman"/>
                <w:color w:val="000000"/>
                <w:sz w:val="24"/>
              </w:rPr>
              <w:t>Crediteuren</w:t>
            </w:r>
          </w:p>
        </w:tc>
        <w:tc>
          <w:tcPr>
            <w:tcW w:w="1559" w:type="dxa"/>
            <w:tcBorders>
              <w:top w:val="nil"/>
              <w:left w:val="nil"/>
              <w:bottom w:val="single" w:sz="4" w:space="0" w:color="auto"/>
            </w:tcBorders>
          </w:tcPr>
          <w:p w:rsidR="00497A28" w:rsidRPr="00A4355A" w:rsidRDefault="00497A28" w:rsidP="00A4355A">
            <w:pPr>
              <w:spacing w:after="0" w:line="360" w:lineRule="auto"/>
              <w:jc w:val="right"/>
              <w:rPr>
                <w:rFonts w:ascii="Times New Roman" w:hAnsi="Times New Roman"/>
                <w:color w:val="000000"/>
                <w:sz w:val="24"/>
              </w:rPr>
            </w:pPr>
            <w:r w:rsidRPr="00A4355A">
              <w:rPr>
                <w:rFonts w:ascii="Times New Roman" w:hAnsi="Times New Roman"/>
                <w:color w:val="000000"/>
                <w:sz w:val="24"/>
              </w:rPr>
              <w:t xml:space="preserve">  440</w:t>
            </w:r>
          </w:p>
        </w:tc>
      </w:tr>
      <w:tr w:rsidR="00497A28" w:rsidRPr="00A4355A" w:rsidTr="00A4355A">
        <w:tc>
          <w:tcPr>
            <w:tcW w:w="2376" w:type="dxa"/>
            <w:tcBorders>
              <w:top w:val="nil"/>
              <w:bottom w:val="nil"/>
              <w:right w:val="nil"/>
            </w:tcBorders>
          </w:tcPr>
          <w:p w:rsidR="00497A28" w:rsidRPr="00A4355A" w:rsidRDefault="00497A28" w:rsidP="00A4355A">
            <w:pPr>
              <w:spacing w:after="0" w:line="360" w:lineRule="auto"/>
              <w:rPr>
                <w:rFonts w:ascii="Times New Roman" w:hAnsi="Times New Roman"/>
                <w:color w:val="000000"/>
                <w:sz w:val="24"/>
              </w:rPr>
            </w:pPr>
          </w:p>
        </w:tc>
        <w:tc>
          <w:tcPr>
            <w:tcW w:w="1843" w:type="dxa"/>
            <w:tcBorders>
              <w:top w:val="single" w:sz="4" w:space="0" w:color="auto"/>
              <w:left w:val="nil"/>
              <w:bottom w:val="nil"/>
            </w:tcBorders>
          </w:tcPr>
          <w:p w:rsidR="00497A28" w:rsidRPr="00A4355A" w:rsidRDefault="00497A28" w:rsidP="00A4355A">
            <w:pPr>
              <w:spacing w:after="0" w:line="360" w:lineRule="auto"/>
              <w:jc w:val="right"/>
              <w:rPr>
                <w:rFonts w:ascii="Times New Roman" w:hAnsi="Times New Roman"/>
                <w:color w:val="000000"/>
                <w:sz w:val="24"/>
              </w:rPr>
            </w:pPr>
            <w:r w:rsidRPr="00A4355A">
              <w:rPr>
                <w:rFonts w:ascii="Times New Roman" w:hAnsi="Times New Roman"/>
                <w:color w:val="000000"/>
                <w:sz w:val="24"/>
              </w:rPr>
              <w:t>5.574</w:t>
            </w:r>
          </w:p>
        </w:tc>
        <w:tc>
          <w:tcPr>
            <w:tcW w:w="2268" w:type="dxa"/>
            <w:tcBorders>
              <w:top w:val="nil"/>
              <w:bottom w:val="nil"/>
              <w:right w:val="nil"/>
            </w:tcBorders>
          </w:tcPr>
          <w:p w:rsidR="00497A28" w:rsidRPr="00A4355A" w:rsidRDefault="00497A28" w:rsidP="00A4355A">
            <w:pPr>
              <w:spacing w:after="0" w:line="360" w:lineRule="auto"/>
              <w:rPr>
                <w:rFonts w:ascii="Times New Roman" w:hAnsi="Times New Roman"/>
                <w:color w:val="000000"/>
                <w:sz w:val="24"/>
              </w:rPr>
            </w:pPr>
          </w:p>
        </w:tc>
        <w:tc>
          <w:tcPr>
            <w:tcW w:w="1559" w:type="dxa"/>
            <w:tcBorders>
              <w:top w:val="single" w:sz="4" w:space="0" w:color="auto"/>
              <w:left w:val="nil"/>
              <w:bottom w:val="nil"/>
            </w:tcBorders>
          </w:tcPr>
          <w:p w:rsidR="00497A28" w:rsidRPr="00A4355A" w:rsidRDefault="00497A28" w:rsidP="00A4355A">
            <w:pPr>
              <w:spacing w:after="0" w:line="360" w:lineRule="auto"/>
              <w:jc w:val="right"/>
              <w:rPr>
                <w:rFonts w:ascii="Times New Roman" w:hAnsi="Times New Roman"/>
                <w:color w:val="000000"/>
                <w:sz w:val="24"/>
              </w:rPr>
            </w:pPr>
            <w:r w:rsidRPr="00A4355A">
              <w:rPr>
                <w:rFonts w:ascii="Times New Roman" w:hAnsi="Times New Roman"/>
                <w:color w:val="000000"/>
                <w:sz w:val="24"/>
              </w:rPr>
              <w:t>5.574</w:t>
            </w:r>
          </w:p>
        </w:tc>
      </w:tr>
    </w:tbl>
    <w:p w:rsidR="00497A28" w:rsidRDefault="00497A28" w:rsidP="00CB4757">
      <w:pPr>
        <w:spacing w:line="360" w:lineRule="auto"/>
        <w:rPr>
          <w:rFonts w:ascii="Times New Roman" w:hAnsi="Times New Roman"/>
          <w:i/>
          <w:color w:val="000000"/>
          <w:sz w:val="24"/>
          <w:u w:val="single"/>
        </w:rPr>
      </w:pPr>
    </w:p>
    <w:p w:rsidR="00497A28" w:rsidRPr="00545E4B" w:rsidRDefault="00497A28" w:rsidP="009C18B2">
      <w:pPr>
        <w:spacing w:line="360" w:lineRule="auto"/>
        <w:rPr>
          <w:rFonts w:ascii="Times New Roman" w:hAnsi="Times New Roman"/>
          <w:b/>
          <w:i/>
          <w:color w:val="000000"/>
          <w:sz w:val="24"/>
        </w:rPr>
      </w:pPr>
      <w:r w:rsidRPr="00545E4B">
        <w:rPr>
          <w:rFonts w:ascii="Times New Roman" w:hAnsi="Times New Roman"/>
          <w:b/>
          <w:i/>
          <w:color w:val="000000"/>
          <w:sz w:val="24"/>
        </w:rPr>
        <w:t xml:space="preserve">Berekeningen </w:t>
      </w:r>
      <w:r>
        <w:rPr>
          <w:rFonts w:ascii="Times New Roman" w:hAnsi="Times New Roman"/>
          <w:b/>
          <w:i/>
          <w:color w:val="000000"/>
          <w:sz w:val="24"/>
        </w:rPr>
        <w:t>g</w:t>
      </w:r>
      <w:r w:rsidRPr="00545E4B">
        <w:rPr>
          <w:rFonts w:ascii="Times New Roman" w:hAnsi="Times New Roman"/>
          <w:b/>
          <w:i/>
          <w:color w:val="000000"/>
          <w:sz w:val="24"/>
        </w:rPr>
        <w:t>econsolideerde balans:</w:t>
      </w:r>
    </w:p>
    <w:p w:rsidR="00497A28" w:rsidRPr="0001012B" w:rsidRDefault="00497A28" w:rsidP="009C18B2">
      <w:pPr>
        <w:spacing w:line="360" w:lineRule="auto"/>
        <w:rPr>
          <w:rFonts w:ascii="Times New Roman" w:hAnsi="Times New Roman"/>
          <w:i/>
          <w:color w:val="000000"/>
          <w:sz w:val="24"/>
        </w:rPr>
      </w:pPr>
      <w:r w:rsidRPr="0001012B">
        <w:rPr>
          <w:rFonts w:ascii="Times New Roman" w:hAnsi="Times New Roman"/>
          <w:i/>
          <w:color w:val="000000"/>
          <w:sz w:val="24"/>
        </w:rPr>
        <w:t>Onroerend goed: 2.500.000 (M BV)  + 800.000 (D BV) = 3.300.000</w:t>
      </w:r>
      <w:r w:rsidRPr="0001012B">
        <w:rPr>
          <w:rFonts w:ascii="Times New Roman" w:hAnsi="Times New Roman"/>
          <w:i/>
          <w:color w:val="000000"/>
          <w:sz w:val="24"/>
        </w:rPr>
        <w:br/>
        <w:t>Machines: alleen 450.000 van M BV</w:t>
      </w:r>
      <w:r w:rsidRPr="0001012B">
        <w:rPr>
          <w:rFonts w:ascii="Times New Roman" w:hAnsi="Times New Roman"/>
          <w:i/>
          <w:color w:val="000000"/>
          <w:sz w:val="24"/>
        </w:rPr>
        <w:br/>
        <w:t>Voorraad: 300.000 (M BV) + 250.000 (D BV) - 16.000 (correctie) = 534.000</w:t>
      </w:r>
      <w:r w:rsidRPr="0001012B">
        <w:rPr>
          <w:rFonts w:ascii="Times New Roman" w:hAnsi="Times New Roman"/>
          <w:i/>
          <w:color w:val="000000"/>
          <w:sz w:val="24"/>
        </w:rPr>
        <w:br/>
        <w:t>Debiteuren: 550.000 (M BV) + 450.000 (D BV)</w:t>
      </w:r>
      <w:r>
        <w:rPr>
          <w:rFonts w:ascii="Times New Roman" w:hAnsi="Times New Roman"/>
          <w:i/>
          <w:color w:val="000000"/>
          <w:sz w:val="24"/>
        </w:rPr>
        <w:t xml:space="preserve"> = 1.000.000</w:t>
      </w:r>
      <w:r w:rsidRPr="0001012B">
        <w:rPr>
          <w:rFonts w:ascii="Times New Roman" w:hAnsi="Times New Roman"/>
          <w:i/>
          <w:color w:val="000000"/>
          <w:sz w:val="24"/>
        </w:rPr>
        <w:br/>
        <w:t>Liquide middelen: 120.000 (M BV) + 170.000 (D BV) = 290.000</w:t>
      </w:r>
    </w:p>
    <w:p w:rsidR="00497A28" w:rsidRDefault="00497A28" w:rsidP="009C18B2">
      <w:pPr>
        <w:spacing w:line="360" w:lineRule="auto"/>
        <w:rPr>
          <w:rFonts w:ascii="Times New Roman" w:hAnsi="Times New Roman"/>
          <w:i/>
          <w:color w:val="000000"/>
          <w:sz w:val="24"/>
        </w:rPr>
      </w:pPr>
      <w:r w:rsidRPr="0001012B">
        <w:rPr>
          <w:rFonts w:ascii="Times New Roman" w:hAnsi="Times New Roman"/>
          <w:i/>
          <w:color w:val="000000"/>
          <w:sz w:val="24"/>
        </w:rPr>
        <w:t>Aandelenkapitaal:</w:t>
      </w:r>
      <w:r>
        <w:rPr>
          <w:rFonts w:ascii="Times New Roman" w:hAnsi="Times New Roman"/>
          <w:i/>
          <w:color w:val="000000"/>
          <w:sz w:val="24"/>
        </w:rPr>
        <w:t xml:space="preserve"> 3.000.000 van M BV alleen, de aandelen van D BV staan immers niet uit bij derden, deze zijn in het bezig van M BV</w:t>
      </w:r>
      <w:r w:rsidRPr="0001012B">
        <w:rPr>
          <w:rFonts w:ascii="Times New Roman" w:hAnsi="Times New Roman"/>
          <w:i/>
          <w:color w:val="000000"/>
          <w:sz w:val="24"/>
        </w:rPr>
        <w:br/>
        <w:t>Agioreserve: 50.000 van M BV alleen</w:t>
      </w:r>
      <w:r w:rsidRPr="0001012B">
        <w:rPr>
          <w:rFonts w:ascii="Times New Roman" w:hAnsi="Times New Roman"/>
          <w:i/>
          <w:color w:val="000000"/>
          <w:sz w:val="24"/>
        </w:rPr>
        <w:br/>
        <w:t>Reserves: 400.000 (M BV) - 16.000 (correctie onderlinge levering) = 384.000</w:t>
      </w:r>
      <w:r w:rsidRPr="0001012B">
        <w:rPr>
          <w:rFonts w:ascii="Times New Roman" w:hAnsi="Times New Roman"/>
          <w:i/>
          <w:color w:val="000000"/>
          <w:sz w:val="24"/>
        </w:rPr>
        <w:br/>
        <w:t>Hypothecaire Lening: 1.500.000 (M BV) + 200.000 (D BV) = 1.700.000</w:t>
      </w:r>
      <w:r w:rsidRPr="0001012B">
        <w:rPr>
          <w:rFonts w:ascii="Times New Roman" w:hAnsi="Times New Roman"/>
          <w:i/>
          <w:color w:val="000000"/>
          <w:sz w:val="24"/>
        </w:rPr>
        <w:br/>
        <w:t>Crediteuren: 300.000 (M BV) + 140.000 (C BV) = 440.000</w:t>
      </w:r>
    </w:p>
    <w:p w:rsidR="00497A28" w:rsidRDefault="00497A28">
      <w:pPr>
        <w:rPr>
          <w:rFonts w:ascii="Times New Roman" w:hAnsi="Times New Roman"/>
          <w:i/>
          <w:color w:val="000000"/>
          <w:sz w:val="24"/>
        </w:rPr>
      </w:pPr>
      <w:r>
        <w:rPr>
          <w:rFonts w:ascii="Times New Roman" w:hAnsi="Times New Roman"/>
          <w:i/>
          <w:color w:val="000000"/>
          <w:sz w:val="24"/>
        </w:rPr>
        <w:br w:type="page"/>
      </w:r>
    </w:p>
    <w:p w:rsidR="00497A28" w:rsidRDefault="00497A28" w:rsidP="00CB4757">
      <w:pPr>
        <w:spacing w:line="360" w:lineRule="auto"/>
        <w:rPr>
          <w:rFonts w:ascii="Times New Roman" w:hAnsi="Times New Roman"/>
          <w:i/>
          <w:color w:val="000000"/>
          <w:sz w:val="24"/>
        </w:rPr>
      </w:pPr>
      <w:r>
        <w:rPr>
          <w:rFonts w:ascii="Times New Roman" w:hAnsi="Times New Roman"/>
          <w:i/>
          <w:color w:val="000000"/>
          <w:sz w:val="24"/>
        </w:rPr>
        <w:t>Ook voor de resultatenrekening moet een eliminatieboeking worden gedaan. De €16.000 winst die M BV heeft geboekt op de levering aan D BV, die D BV nog niet aan derden heeft verkocht, moet worden geëlimineerd daar deze nog niet is gerealiseerd. De boeking van de verkoop moet eigenlijk worden teruggedraaid. Deze boeking luidt als volgt:</w:t>
      </w:r>
    </w:p>
    <w:p w:rsidR="00497A28" w:rsidRDefault="00497A28" w:rsidP="00CB4757">
      <w:pPr>
        <w:spacing w:line="360" w:lineRule="auto"/>
        <w:rPr>
          <w:rFonts w:ascii="Times New Roman" w:hAnsi="Times New Roman"/>
          <w:i/>
          <w:color w:val="000000"/>
          <w:sz w:val="24"/>
        </w:rPr>
      </w:pPr>
      <w:r>
        <w:rPr>
          <w:rFonts w:ascii="Times New Roman" w:hAnsi="Times New Roman"/>
          <w:i/>
          <w:color w:val="000000"/>
          <w:sz w:val="24"/>
        </w:rPr>
        <w:tab/>
        <w:t xml:space="preserve">Opbrengst verkopen </w:t>
      </w:r>
      <w:r>
        <w:rPr>
          <w:rFonts w:ascii="Times New Roman" w:hAnsi="Times New Roman"/>
          <w:i/>
          <w:color w:val="000000"/>
          <w:sz w:val="24"/>
        </w:rPr>
        <w:tab/>
      </w:r>
      <w:r>
        <w:rPr>
          <w:rFonts w:ascii="Times New Roman" w:hAnsi="Times New Roman"/>
          <w:i/>
          <w:color w:val="000000"/>
          <w:sz w:val="24"/>
        </w:rPr>
        <w:tab/>
      </w:r>
      <w:r>
        <w:rPr>
          <w:rFonts w:ascii="Times New Roman" w:hAnsi="Times New Roman"/>
          <w:i/>
          <w:color w:val="000000"/>
          <w:sz w:val="24"/>
        </w:rPr>
        <w:tab/>
        <w:t>96.000</w:t>
      </w:r>
      <w:r>
        <w:rPr>
          <w:rFonts w:ascii="Times New Roman" w:hAnsi="Times New Roman"/>
          <w:i/>
          <w:color w:val="000000"/>
          <w:sz w:val="24"/>
        </w:rPr>
        <w:br/>
      </w:r>
      <w:r>
        <w:rPr>
          <w:rFonts w:ascii="Times New Roman" w:hAnsi="Times New Roman"/>
          <w:i/>
          <w:color w:val="000000"/>
          <w:sz w:val="24"/>
        </w:rPr>
        <w:tab/>
        <w:t>aan) Kostprijs verkopen</w:t>
      </w:r>
      <w:r>
        <w:rPr>
          <w:rFonts w:ascii="Times New Roman" w:hAnsi="Times New Roman"/>
          <w:i/>
          <w:color w:val="000000"/>
          <w:sz w:val="24"/>
        </w:rPr>
        <w:tab/>
      </w:r>
      <w:r>
        <w:rPr>
          <w:rFonts w:ascii="Times New Roman" w:hAnsi="Times New Roman"/>
          <w:i/>
          <w:color w:val="000000"/>
          <w:sz w:val="24"/>
        </w:rPr>
        <w:tab/>
      </w:r>
      <w:r>
        <w:rPr>
          <w:rFonts w:ascii="Times New Roman" w:hAnsi="Times New Roman"/>
          <w:i/>
          <w:color w:val="000000"/>
          <w:sz w:val="24"/>
        </w:rPr>
        <w:tab/>
      </w:r>
      <w:r>
        <w:rPr>
          <w:rFonts w:ascii="Times New Roman" w:hAnsi="Times New Roman"/>
          <w:i/>
          <w:color w:val="000000"/>
          <w:sz w:val="24"/>
        </w:rPr>
        <w:tab/>
        <w:t>80.000</w:t>
      </w:r>
      <w:r>
        <w:rPr>
          <w:rFonts w:ascii="Times New Roman" w:hAnsi="Times New Roman"/>
          <w:i/>
          <w:color w:val="000000"/>
          <w:sz w:val="24"/>
        </w:rPr>
        <w:br/>
      </w:r>
      <w:r>
        <w:rPr>
          <w:rFonts w:ascii="Times New Roman" w:hAnsi="Times New Roman"/>
          <w:i/>
          <w:color w:val="000000"/>
          <w:sz w:val="24"/>
        </w:rPr>
        <w:tab/>
        <w:t>aan) Winstsaldo</w:t>
      </w:r>
      <w:r>
        <w:rPr>
          <w:rFonts w:ascii="Times New Roman" w:hAnsi="Times New Roman"/>
          <w:i/>
          <w:color w:val="000000"/>
          <w:sz w:val="24"/>
        </w:rPr>
        <w:tab/>
      </w:r>
      <w:r>
        <w:rPr>
          <w:rFonts w:ascii="Times New Roman" w:hAnsi="Times New Roman"/>
          <w:i/>
          <w:color w:val="000000"/>
          <w:sz w:val="24"/>
        </w:rPr>
        <w:tab/>
      </w:r>
      <w:r>
        <w:rPr>
          <w:rFonts w:ascii="Times New Roman" w:hAnsi="Times New Roman"/>
          <w:i/>
          <w:color w:val="000000"/>
          <w:sz w:val="24"/>
        </w:rPr>
        <w:tab/>
      </w:r>
      <w:r>
        <w:rPr>
          <w:rFonts w:ascii="Times New Roman" w:hAnsi="Times New Roman"/>
          <w:i/>
          <w:color w:val="000000"/>
          <w:sz w:val="24"/>
        </w:rPr>
        <w:tab/>
      </w:r>
      <w:r>
        <w:rPr>
          <w:rFonts w:ascii="Times New Roman" w:hAnsi="Times New Roman"/>
          <w:i/>
          <w:color w:val="000000"/>
          <w:sz w:val="24"/>
        </w:rPr>
        <w:tab/>
        <w:t>16.000</w:t>
      </w:r>
    </w:p>
    <w:p w:rsidR="00497A28" w:rsidRPr="00545E4B" w:rsidRDefault="00497A28" w:rsidP="00CB4757">
      <w:pPr>
        <w:spacing w:line="360" w:lineRule="auto"/>
        <w:rPr>
          <w:rFonts w:ascii="Times New Roman" w:hAnsi="Times New Roman"/>
          <w:b/>
          <w:i/>
          <w:color w:val="000000"/>
          <w:sz w:val="24"/>
        </w:rPr>
      </w:pPr>
      <w:r w:rsidRPr="00545E4B">
        <w:rPr>
          <w:rFonts w:ascii="Times New Roman" w:hAnsi="Times New Roman"/>
          <w:b/>
          <w:i/>
          <w:color w:val="000000"/>
          <w:sz w:val="24"/>
        </w:rPr>
        <w:t>De nieuwe, geconsolideerde resultatenrekening wordt:</w:t>
      </w:r>
    </w:p>
    <w:tbl>
      <w:tblPr>
        <w:tblW w:w="7763" w:type="dxa"/>
        <w:tblLook w:val="00A0"/>
      </w:tblPr>
      <w:tblGrid>
        <w:gridCol w:w="4606"/>
        <w:gridCol w:w="3157"/>
      </w:tblGrid>
      <w:tr w:rsidR="00497A28" w:rsidRPr="00A4355A" w:rsidTr="00A4355A">
        <w:tc>
          <w:tcPr>
            <w:tcW w:w="4606" w:type="dxa"/>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Omzet</w:t>
            </w:r>
          </w:p>
        </w:tc>
        <w:tc>
          <w:tcPr>
            <w:tcW w:w="3157" w:type="dxa"/>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2.104.000</w:t>
            </w:r>
          </w:p>
        </w:tc>
      </w:tr>
      <w:tr w:rsidR="00497A28" w:rsidRPr="00A4355A" w:rsidTr="00A4355A">
        <w:tc>
          <w:tcPr>
            <w:tcW w:w="4606" w:type="dxa"/>
            <w:tcBorders>
              <w:bottom w:val="single" w:sz="4" w:space="0" w:color="auto"/>
            </w:tcBorders>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Inkoopwaarde Omzet</w:t>
            </w:r>
          </w:p>
        </w:tc>
        <w:tc>
          <w:tcPr>
            <w:tcW w:w="3157" w:type="dxa"/>
            <w:tcBorders>
              <w:bottom w:val="single" w:sz="4" w:space="0" w:color="auto"/>
            </w:tcBorders>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850.000</w:t>
            </w:r>
          </w:p>
        </w:tc>
      </w:tr>
      <w:tr w:rsidR="00497A28" w:rsidRPr="00A4355A" w:rsidTr="00A4355A">
        <w:tc>
          <w:tcPr>
            <w:tcW w:w="4606" w:type="dxa"/>
            <w:tcBorders>
              <w:top w:val="single" w:sz="4" w:space="0" w:color="auto"/>
            </w:tcBorders>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Brutowinst</w:t>
            </w:r>
          </w:p>
        </w:tc>
        <w:tc>
          <w:tcPr>
            <w:tcW w:w="3157" w:type="dxa"/>
            <w:tcBorders>
              <w:top w:val="single" w:sz="4" w:space="0" w:color="auto"/>
            </w:tcBorders>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1.254.000</w:t>
            </w:r>
          </w:p>
        </w:tc>
      </w:tr>
      <w:tr w:rsidR="00497A28" w:rsidRPr="00A4355A" w:rsidTr="00A4355A">
        <w:tc>
          <w:tcPr>
            <w:tcW w:w="4606" w:type="dxa"/>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Arbeidskosten</w:t>
            </w:r>
          </w:p>
        </w:tc>
        <w:tc>
          <w:tcPr>
            <w:tcW w:w="3157" w:type="dxa"/>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115.000</w:t>
            </w:r>
          </w:p>
        </w:tc>
      </w:tr>
      <w:tr w:rsidR="00497A28" w:rsidRPr="00A4355A" w:rsidTr="00A4355A">
        <w:tc>
          <w:tcPr>
            <w:tcW w:w="4606" w:type="dxa"/>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Productiekosten</w:t>
            </w:r>
          </w:p>
        </w:tc>
        <w:tc>
          <w:tcPr>
            <w:tcW w:w="3157" w:type="dxa"/>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240.000</w:t>
            </w:r>
          </w:p>
        </w:tc>
      </w:tr>
      <w:tr w:rsidR="00497A28" w:rsidRPr="00A4355A" w:rsidTr="00A4355A">
        <w:tc>
          <w:tcPr>
            <w:tcW w:w="4606" w:type="dxa"/>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Transportkosten</w:t>
            </w:r>
          </w:p>
        </w:tc>
        <w:tc>
          <w:tcPr>
            <w:tcW w:w="3157" w:type="dxa"/>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180.000</w:t>
            </w:r>
          </w:p>
        </w:tc>
      </w:tr>
      <w:tr w:rsidR="00497A28" w:rsidRPr="00A4355A" w:rsidTr="00A4355A">
        <w:tc>
          <w:tcPr>
            <w:tcW w:w="4606" w:type="dxa"/>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Algemene kosten</w:t>
            </w:r>
          </w:p>
        </w:tc>
        <w:tc>
          <w:tcPr>
            <w:tcW w:w="3157" w:type="dxa"/>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62.000</w:t>
            </w:r>
          </w:p>
        </w:tc>
      </w:tr>
      <w:tr w:rsidR="00497A28" w:rsidRPr="00A4355A" w:rsidTr="00A4355A">
        <w:tc>
          <w:tcPr>
            <w:tcW w:w="4606" w:type="dxa"/>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Afschrijvingen</w:t>
            </w:r>
          </w:p>
        </w:tc>
        <w:tc>
          <w:tcPr>
            <w:tcW w:w="3157" w:type="dxa"/>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375.000</w:t>
            </w:r>
          </w:p>
        </w:tc>
      </w:tr>
      <w:tr w:rsidR="00497A28" w:rsidRPr="00A4355A" w:rsidTr="00A4355A">
        <w:tc>
          <w:tcPr>
            <w:tcW w:w="4606" w:type="dxa"/>
            <w:tcBorders>
              <w:bottom w:val="single" w:sz="4" w:space="0" w:color="auto"/>
            </w:tcBorders>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Interest</w:t>
            </w:r>
          </w:p>
        </w:tc>
        <w:tc>
          <w:tcPr>
            <w:tcW w:w="3157" w:type="dxa"/>
            <w:tcBorders>
              <w:bottom w:val="single" w:sz="4" w:space="0" w:color="auto"/>
            </w:tcBorders>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68.000</w:t>
            </w:r>
          </w:p>
        </w:tc>
      </w:tr>
      <w:tr w:rsidR="00497A28" w:rsidRPr="00A4355A" w:rsidTr="00A4355A">
        <w:tc>
          <w:tcPr>
            <w:tcW w:w="4606" w:type="dxa"/>
            <w:tcBorders>
              <w:top w:val="single" w:sz="4" w:space="0" w:color="auto"/>
            </w:tcBorders>
          </w:tcPr>
          <w:p w:rsidR="00497A28" w:rsidRPr="00A4355A" w:rsidRDefault="00497A28" w:rsidP="00A4355A">
            <w:pPr>
              <w:spacing w:after="0" w:line="240" w:lineRule="auto"/>
              <w:rPr>
                <w:rFonts w:ascii="Times New Roman" w:hAnsi="Times New Roman"/>
                <w:i/>
                <w:color w:val="000000"/>
                <w:sz w:val="24"/>
              </w:rPr>
            </w:pPr>
            <w:r w:rsidRPr="00A4355A">
              <w:rPr>
                <w:rFonts w:ascii="Times New Roman" w:hAnsi="Times New Roman"/>
                <w:i/>
                <w:color w:val="000000"/>
                <w:sz w:val="24"/>
              </w:rPr>
              <w:t>Nettowinst</w:t>
            </w:r>
          </w:p>
        </w:tc>
        <w:tc>
          <w:tcPr>
            <w:tcW w:w="3157" w:type="dxa"/>
            <w:tcBorders>
              <w:top w:val="single" w:sz="4" w:space="0" w:color="auto"/>
            </w:tcBorders>
          </w:tcPr>
          <w:p w:rsidR="00497A28" w:rsidRPr="00A4355A" w:rsidRDefault="00497A28" w:rsidP="00A4355A">
            <w:pPr>
              <w:spacing w:after="0" w:line="240" w:lineRule="auto"/>
              <w:jc w:val="right"/>
              <w:rPr>
                <w:rFonts w:ascii="Times New Roman" w:hAnsi="Times New Roman"/>
                <w:i/>
                <w:color w:val="000000"/>
                <w:sz w:val="24"/>
              </w:rPr>
            </w:pPr>
            <w:r w:rsidRPr="00A4355A">
              <w:rPr>
                <w:rFonts w:ascii="Times New Roman" w:hAnsi="Times New Roman"/>
                <w:i/>
                <w:color w:val="000000"/>
                <w:sz w:val="24"/>
              </w:rPr>
              <w:t>214.000</w:t>
            </w:r>
          </w:p>
        </w:tc>
      </w:tr>
    </w:tbl>
    <w:p w:rsidR="00497A28" w:rsidRPr="009C18B2" w:rsidRDefault="00497A28" w:rsidP="009C18B2">
      <w:pPr>
        <w:rPr>
          <w:rFonts w:ascii="Times New Roman" w:hAnsi="Times New Roman"/>
          <w:i/>
          <w:color w:val="000000"/>
          <w:sz w:val="24"/>
        </w:rPr>
      </w:pPr>
    </w:p>
    <w:p w:rsidR="00497A28" w:rsidRPr="00545E4B" w:rsidRDefault="00497A28" w:rsidP="009C18B2">
      <w:pPr>
        <w:rPr>
          <w:rFonts w:ascii="Times New Roman" w:hAnsi="Times New Roman"/>
          <w:b/>
          <w:i/>
          <w:color w:val="000000"/>
          <w:sz w:val="24"/>
        </w:rPr>
      </w:pPr>
      <w:r>
        <w:rPr>
          <w:rFonts w:ascii="Times New Roman" w:hAnsi="Times New Roman"/>
          <w:b/>
          <w:i/>
          <w:color w:val="000000"/>
          <w:sz w:val="24"/>
        </w:rPr>
        <w:t>Berekeningen g</w:t>
      </w:r>
      <w:r w:rsidRPr="00545E4B">
        <w:rPr>
          <w:rFonts w:ascii="Times New Roman" w:hAnsi="Times New Roman"/>
          <w:b/>
          <w:i/>
          <w:color w:val="000000"/>
          <w:sz w:val="24"/>
        </w:rPr>
        <w:t xml:space="preserve">econsolideerde </w:t>
      </w:r>
      <w:r>
        <w:rPr>
          <w:rFonts w:ascii="Times New Roman" w:hAnsi="Times New Roman"/>
          <w:b/>
          <w:i/>
          <w:color w:val="000000"/>
          <w:sz w:val="24"/>
        </w:rPr>
        <w:t>resultatenrekening</w:t>
      </w:r>
      <w:r w:rsidRPr="00545E4B">
        <w:rPr>
          <w:rFonts w:ascii="Times New Roman" w:hAnsi="Times New Roman"/>
          <w:b/>
          <w:i/>
          <w:color w:val="000000"/>
          <w:sz w:val="24"/>
        </w:rPr>
        <w:t>:</w:t>
      </w:r>
    </w:p>
    <w:p w:rsidR="00497A28" w:rsidRDefault="00497A28" w:rsidP="00DB4BA9">
      <w:pPr>
        <w:spacing w:line="360" w:lineRule="auto"/>
        <w:rPr>
          <w:rFonts w:ascii="Times New Roman" w:hAnsi="Times New Roman"/>
          <w:i/>
          <w:color w:val="000000"/>
          <w:sz w:val="24"/>
        </w:rPr>
      </w:pPr>
      <w:r>
        <w:rPr>
          <w:rFonts w:ascii="Times New Roman" w:hAnsi="Times New Roman"/>
          <w:i/>
          <w:color w:val="000000"/>
          <w:sz w:val="24"/>
        </w:rPr>
        <w:t>Omzet: 1.700.000 + 500.000 - 96.000 doorlevering = 2.104.000</w:t>
      </w:r>
      <w:r>
        <w:rPr>
          <w:rFonts w:ascii="Times New Roman" w:hAnsi="Times New Roman"/>
          <w:i/>
          <w:color w:val="000000"/>
          <w:sz w:val="24"/>
        </w:rPr>
        <w:br/>
        <w:t>Inkoopwaarde omzet: 780.000 + 150.000 - 80.000 doorlevering = 850.000</w:t>
      </w:r>
      <w:r>
        <w:rPr>
          <w:rFonts w:ascii="Times New Roman" w:hAnsi="Times New Roman"/>
          <w:i/>
          <w:color w:val="000000"/>
          <w:sz w:val="24"/>
        </w:rPr>
        <w:br/>
        <w:t>Arbeidskosten: 75.000 + 40.000 = 115.000</w:t>
      </w:r>
      <w:r>
        <w:rPr>
          <w:rFonts w:ascii="Times New Roman" w:hAnsi="Times New Roman"/>
          <w:i/>
          <w:color w:val="000000"/>
          <w:sz w:val="24"/>
        </w:rPr>
        <w:br/>
        <w:t>Productie &amp; Transportkosten het zelfde als enkelvoudig</w:t>
      </w:r>
      <w:r>
        <w:rPr>
          <w:rFonts w:ascii="Times New Roman" w:hAnsi="Times New Roman"/>
          <w:i/>
          <w:color w:val="000000"/>
          <w:sz w:val="24"/>
        </w:rPr>
        <w:br/>
        <w:t>Algemene kosten: 40.000 + 42.000 = 82.000</w:t>
      </w:r>
      <w:r>
        <w:rPr>
          <w:rFonts w:ascii="Times New Roman" w:hAnsi="Times New Roman"/>
          <w:i/>
          <w:color w:val="000000"/>
          <w:sz w:val="24"/>
        </w:rPr>
        <w:br/>
        <w:t>Afschrijvingen: 295.000 + 80.000 = 375.000</w:t>
      </w:r>
      <w:r>
        <w:rPr>
          <w:rFonts w:ascii="Times New Roman" w:hAnsi="Times New Roman"/>
          <w:i/>
          <w:color w:val="000000"/>
          <w:sz w:val="24"/>
        </w:rPr>
        <w:br/>
        <w:t>Interest: 60.000 + 8.000 = 68.000</w:t>
      </w:r>
      <w:r>
        <w:rPr>
          <w:rFonts w:ascii="Times New Roman" w:hAnsi="Times New Roman"/>
          <w:i/>
          <w:color w:val="000000"/>
          <w:sz w:val="24"/>
        </w:rPr>
        <w:br/>
        <w:t>Nettowinst: 210.000 + 20.000 - 16.000 doorlevering = 214.000</w:t>
      </w:r>
    </w:p>
    <w:p w:rsidR="00497A28" w:rsidRPr="00545E4B" w:rsidRDefault="00497A28" w:rsidP="009C18B2">
      <w:pPr>
        <w:rPr>
          <w:rFonts w:ascii="Times New Roman" w:hAnsi="Times New Roman"/>
          <w:b/>
          <w:i/>
          <w:color w:val="000000"/>
          <w:sz w:val="24"/>
        </w:rPr>
      </w:pPr>
      <w:r w:rsidRPr="00545E4B">
        <w:rPr>
          <w:rFonts w:ascii="Times New Roman" w:hAnsi="Times New Roman"/>
          <w:b/>
          <w:i/>
          <w:color w:val="000000"/>
          <w:sz w:val="24"/>
        </w:rPr>
        <w:t>Resultaten:</w:t>
      </w:r>
    </w:p>
    <w:p w:rsidR="00497A28" w:rsidRDefault="00497A28" w:rsidP="00E93EDA">
      <w:pPr>
        <w:spacing w:line="360" w:lineRule="auto"/>
        <w:rPr>
          <w:rFonts w:ascii="Times New Roman" w:hAnsi="Times New Roman"/>
          <w:i/>
          <w:color w:val="000000"/>
          <w:sz w:val="24"/>
        </w:rPr>
      </w:pPr>
      <w:r>
        <w:rPr>
          <w:rFonts w:ascii="Times New Roman" w:hAnsi="Times New Roman"/>
          <w:i/>
          <w:color w:val="000000"/>
          <w:sz w:val="24"/>
        </w:rPr>
        <w:t>De solvabiliteit, berekend als bij M BV en D BV, van de geconsolideerde balans is:</w:t>
      </w:r>
      <w:r>
        <w:rPr>
          <w:rFonts w:ascii="Times New Roman" w:hAnsi="Times New Roman"/>
          <w:i/>
          <w:color w:val="000000"/>
          <w:sz w:val="24"/>
        </w:rPr>
        <w:br/>
        <w:t>(384 + 1.700 + 340) / 5.574 = 0,43. Dit is beduidend hoger dan bij M BV (0,34) en bij D BV (0,25). De solvabiliteit is dus verslechterd door de consolidatie, omdat er meer vreemd vermogen is. Dit komt doordat het vreemde vermogen van M BV en D BV worden opgeteld, terwijl het eigen vermogen van D BV niet in de geconsolideerde balans word opgenomen. Het totale vermogen neemt dus toe, terwijl het eigen vermogen gelijk blijft. Dit veroorzaakt een verslechterde solvabiliteit.</w:t>
      </w:r>
    </w:p>
    <w:p w:rsidR="00497A28" w:rsidRDefault="00497A28" w:rsidP="00E93EDA">
      <w:pPr>
        <w:spacing w:line="360" w:lineRule="auto"/>
        <w:rPr>
          <w:rFonts w:ascii="Times New Roman" w:hAnsi="Times New Roman"/>
          <w:i/>
          <w:color w:val="000000"/>
          <w:sz w:val="24"/>
        </w:rPr>
      </w:pPr>
      <w:r>
        <w:rPr>
          <w:rFonts w:ascii="Times New Roman" w:hAnsi="Times New Roman"/>
          <w:i/>
          <w:color w:val="000000"/>
          <w:sz w:val="24"/>
        </w:rPr>
        <w:t>De liquiditeit, als berekend bij M BV en D BV, van de geconsolideerde balans is:</w:t>
      </w:r>
      <w:r>
        <w:rPr>
          <w:rFonts w:ascii="Times New Roman" w:hAnsi="Times New Roman"/>
          <w:i/>
          <w:color w:val="000000"/>
          <w:sz w:val="24"/>
        </w:rPr>
        <w:br/>
        <w:t>(1.000 + 290) / 440 = 2,93. Dit is iets groter dan bij M BV (2,5) en D BV (2,82) maar het wijkt niet veel af. Dit komt omdat zowel de liquide middelen, debiteuren als vlottende passiva van zowel M BV als D BV worden opgeteld voor de geconsolideerde balans. Het verschil zit hem in de onderlinge lening, die de debiteuren van M BV groter maakt en de vlottende passiva van D BV kleiner. Deze lening is geëlimineerd voor de geconsolideerde balans.</w:t>
      </w:r>
    </w:p>
    <w:p w:rsidR="00497A28" w:rsidRDefault="00497A28" w:rsidP="00E93EDA">
      <w:pPr>
        <w:spacing w:line="360" w:lineRule="auto"/>
        <w:rPr>
          <w:rFonts w:ascii="Times New Roman" w:hAnsi="Times New Roman"/>
          <w:i/>
          <w:color w:val="000000"/>
          <w:sz w:val="24"/>
        </w:rPr>
      </w:pPr>
      <w:r>
        <w:rPr>
          <w:rFonts w:ascii="Times New Roman" w:hAnsi="Times New Roman"/>
          <w:i/>
          <w:color w:val="000000"/>
          <w:sz w:val="24"/>
        </w:rPr>
        <w:t>De omzet en de gerealiseerde winst zijn beduidend groter onder de geconsolideerde cijfers.</w:t>
      </w:r>
    </w:p>
    <w:p w:rsidR="00497A28" w:rsidRDefault="00497A28">
      <w:pPr>
        <w:rPr>
          <w:rFonts w:ascii="Times New Roman" w:hAnsi="Times New Roman"/>
          <w:b/>
          <w:color w:val="000000"/>
          <w:sz w:val="28"/>
        </w:rPr>
      </w:pPr>
      <w:r>
        <w:rPr>
          <w:rFonts w:ascii="Times New Roman" w:hAnsi="Times New Roman"/>
          <w:b/>
          <w:color w:val="000000"/>
          <w:sz w:val="28"/>
        </w:rPr>
        <w:br w:type="page"/>
      </w:r>
    </w:p>
    <w:p w:rsidR="00497A28" w:rsidRDefault="00497A28">
      <w:pPr>
        <w:rPr>
          <w:rFonts w:ascii="Times New Roman" w:hAnsi="Times New Roman"/>
          <w:b/>
          <w:color w:val="000000"/>
          <w:sz w:val="28"/>
        </w:rPr>
      </w:pPr>
      <w:r>
        <w:rPr>
          <w:rFonts w:ascii="Times New Roman" w:hAnsi="Times New Roman"/>
          <w:b/>
          <w:color w:val="000000"/>
          <w:sz w:val="28"/>
        </w:rPr>
        <w:t>Bijlage 2: Organogram Ahold</w:t>
      </w:r>
    </w:p>
    <w:p w:rsidR="00497A28" w:rsidRPr="00833005" w:rsidRDefault="00497A28">
      <w:pPr>
        <w:rPr>
          <w:rFonts w:ascii="Times New Roman" w:hAnsi="Times New Roman"/>
          <w:b/>
          <w:color w:val="000000"/>
          <w:sz w:val="20"/>
        </w:rPr>
      </w:pPr>
      <w:r w:rsidRPr="00833005">
        <w:rPr>
          <w:rFonts w:ascii="Times New Roman" w:hAnsi="Times New Roman"/>
          <w:b/>
          <w:color w:val="000000"/>
          <w:sz w:val="20"/>
        </w:rPr>
        <w:t>Bron: Jaarverslag Ahold 2009</w:t>
      </w:r>
      <w:r>
        <w:rPr>
          <w:rFonts w:ascii="Times New Roman" w:hAnsi="Times New Roman"/>
          <w:b/>
          <w:color w:val="000000"/>
          <w:sz w:val="20"/>
        </w:rPr>
        <w:t>, p. 9</w:t>
      </w:r>
    </w:p>
    <w:p w:rsidR="00497A28" w:rsidRDefault="00497A28" w:rsidP="0093158B">
      <w:r w:rsidRPr="009F6F55">
        <w:rPr>
          <w:caps/>
          <w:noProof/>
          <w:lang w:val="en-US"/>
        </w:rPr>
        <w:pict>
          <v:shape id="Diagram 2" o:spid="_x0000_i1025" type="#_x0000_t75" style="width:471.75pt;height:398.25pt;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">
            <v:imagedata r:id="rId7" o:title="" croptop="-16837f" cropbottom="-35061f"/>
            <o:lock v:ext="edit" aspectratio="f"/>
          </v:shape>
        </w:pict>
      </w:r>
    </w:p>
    <w:p w:rsidR="00497A28" w:rsidRDefault="00497A28">
      <w:pPr>
        <w:rPr>
          <w:rFonts w:ascii="Times New Roman" w:hAnsi="Times New Roman"/>
          <w:b/>
          <w:color w:val="000000"/>
          <w:sz w:val="28"/>
        </w:rPr>
      </w:pPr>
      <w:r>
        <w:rPr>
          <w:rFonts w:ascii="Times New Roman" w:hAnsi="Times New Roman"/>
          <w:b/>
          <w:color w:val="000000"/>
          <w:sz w:val="28"/>
        </w:rPr>
        <w:br w:type="page"/>
      </w:r>
    </w:p>
    <w:p w:rsidR="00497A28" w:rsidRDefault="00497A28" w:rsidP="00353846">
      <w:pPr>
        <w:rPr>
          <w:rFonts w:ascii="Times New Roman" w:hAnsi="Times New Roman"/>
          <w:b/>
          <w:color w:val="000000"/>
          <w:sz w:val="28"/>
        </w:rPr>
      </w:pPr>
      <w:r>
        <w:rPr>
          <w:rFonts w:ascii="Times New Roman" w:hAnsi="Times New Roman"/>
          <w:b/>
          <w:color w:val="000000"/>
          <w:sz w:val="28"/>
        </w:rPr>
        <w:t>Literatuurlijst</w:t>
      </w:r>
    </w:p>
    <w:p w:rsidR="00497A28" w:rsidRDefault="00497A28" w:rsidP="000E05B6">
      <w:pPr>
        <w:spacing w:line="360" w:lineRule="auto"/>
        <w:rPr>
          <w:rFonts w:ascii="Times New Roman" w:hAnsi="Times New Roman"/>
          <w:b/>
          <w:color w:val="000000"/>
          <w:sz w:val="24"/>
        </w:rPr>
      </w:pPr>
      <w:r>
        <w:rPr>
          <w:rFonts w:ascii="Times New Roman" w:hAnsi="Times New Roman"/>
          <w:b/>
          <w:color w:val="000000"/>
          <w:sz w:val="24"/>
        </w:rPr>
        <w:t>Boeken</w:t>
      </w:r>
    </w:p>
    <w:p w:rsidR="00497A28" w:rsidRDefault="00497A28" w:rsidP="000E05B6">
      <w:pPr>
        <w:spacing w:line="360" w:lineRule="auto"/>
        <w:rPr>
          <w:rFonts w:ascii="Times New Roman" w:hAnsi="Times New Roman"/>
          <w:color w:val="000000"/>
          <w:sz w:val="24"/>
        </w:rPr>
      </w:pPr>
      <w:r w:rsidRPr="001B5E3F">
        <w:rPr>
          <w:rFonts w:ascii="Times New Roman" w:hAnsi="Times New Roman"/>
          <w:color w:val="000000"/>
          <w:sz w:val="24"/>
        </w:rPr>
        <w:t>R.D. Achaibersing</w:t>
      </w:r>
      <w:r>
        <w:rPr>
          <w:rFonts w:ascii="Times New Roman" w:hAnsi="Times New Roman"/>
          <w:color w:val="000000"/>
          <w:sz w:val="24"/>
        </w:rPr>
        <w:t xml:space="preserve"> &amp;</w:t>
      </w:r>
      <w:r w:rsidRPr="001B5E3F">
        <w:rPr>
          <w:rFonts w:ascii="Times New Roman" w:hAnsi="Times New Roman"/>
          <w:color w:val="000000"/>
          <w:sz w:val="24"/>
        </w:rPr>
        <w:t xml:space="preserve"> C. Esseboom, </w:t>
      </w:r>
      <w:r w:rsidRPr="001B5E3F">
        <w:rPr>
          <w:rFonts w:ascii="Times New Roman" w:hAnsi="Times New Roman"/>
          <w:i/>
          <w:color w:val="000000"/>
          <w:sz w:val="24"/>
        </w:rPr>
        <w:t xml:space="preserve">Administratieve Comptabele Informatie 2, </w:t>
      </w:r>
      <w:r w:rsidRPr="001B5E3F">
        <w:rPr>
          <w:rFonts w:ascii="Times New Roman" w:hAnsi="Times New Roman"/>
          <w:color w:val="000000"/>
          <w:sz w:val="24"/>
        </w:rPr>
        <w:t>Rotterdam</w:t>
      </w:r>
      <w:r>
        <w:rPr>
          <w:rFonts w:ascii="Times New Roman" w:hAnsi="Times New Roman"/>
          <w:color w:val="000000"/>
          <w:sz w:val="24"/>
        </w:rPr>
        <w:t>: Ridderprint 2008.</w:t>
      </w:r>
    </w:p>
    <w:p w:rsidR="00497A28" w:rsidRDefault="00497A28" w:rsidP="000E05B6">
      <w:pPr>
        <w:spacing w:line="360" w:lineRule="auto"/>
        <w:rPr>
          <w:rFonts w:ascii="Times New Roman" w:hAnsi="Times New Roman"/>
          <w:color w:val="000000"/>
          <w:sz w:val="24"/>
          <w:lang w:val="en-GB"/>
        </w:rPr>
      </w:pPr>
      <w:r w:rsidRPr="001B5E3F">
        <w:rPr>
          <w:rFonts w:ascii="Times New Roman" w:hAnsi="Times New Roman"/>
          <w:color w:val="000000"/>
          <w:sz w:val="24"/>
          <w:lang w:val="en-GB"/>
        </w:rPr>
        <w:t>K. Alfredson</w:t>
      </w:r>
      <w:r>
        <w:rPr>
          <w:rFonts w:ascii="Times New Roman" w:hAnsi="Times New Roman"/>
          <w:color w:val="000000"/>
          <w:sz w:val="24"/>
          <w:lang w:val="en-GB"/>
        </w:rPr>
        <w:t>, K. Clark</w:t>
      </w:r>
      <w:r w:rsidRPr="001B5E3F">
        <w:rPr>
          <w:rFonts w:ascii="Times New Roman" w:hAnsi="Times New Roman"/>
          <w:color w:val="000000"/>
          <w:sz w:val="24"/>
          <w:lang w:val="en-GB"/>
        </w:rPr>
        <w:t>, K. Leo</w:t>
      </w:r>
      <w:r>
        <w:rPr>
          <w:rFonts w:ascii="Times New Roman" w:hAnsi="Times New Roman"/>
          <w:color w:val="000000"/>
          <w:sz w:val="24"/>
          <w:lang w:val="en-GB"/>
        </w:rPr>
        <w:t>, J. Loftus</w:t>
      </w:r>
      <w:r w:rsidRPr="001B5E3F">
        <w:rPr>
          <w:rFonts w:ascii="Times New Roman" w:hAnsi="Times New Roman"/>
          <w:color w:val="000000"/>
          <w:sz w:val="24"/>
          <w:lang w:val="en-GB"/>
        </w:rPr>
        <w:t xml:space="preserve">, R. </w:t>
      </w:r>
      <w:r>
        <w:rPr>
          <w:rFonts w:ascii="Times New Roman" w:hAnsi="Times New Roman"/>
          <w:color w:val="000000"/>
          <w:sz w:val="24"/>
          <w:lang w:val="en-GB"/>
        </w:rPr>
        <w:t xml:space="preserve">Picker &amp; V. Wise, </w:t>
      </w:r>
      <w:r>
        <w:rPr>
          <w:rFonts w:ascii="Times New Roman" w:hAnsi="Times New Roman"/>
          <w:i/>
          <w:color w:val="000000"/>
          <w:sz w:val="24"/>
          <w:lang w:val="en-GB"/>
        </w:rPr>
        <w:t xml:space="preserve">Applying International Financial Reporting Standards (2nd edition), </w:t>
      </w:r>
      <w:r>
        <w:rPr>
          <w:rFonts w:ascii="Times New Roman" w:hAnsi="Times New Roman"/>
          <w:color w:val="000000"/>
          <w:sz w:val="24"/>
          <w:lang w:val="en-GB"/>
        </w:rPr>
        <w:t>Milton: John Wiley &amp; Sons Australia Ltd 2009.</w:t>
      </w:r>
    </w:p>
    <w:p w:rsidR="00497A28" w:rsidRPr="00ED091C" w:rsidRDefault="00497A28" w:rsidP="000E05B6">
      <w:pPr>
        <w:spacing w:line="360" w:lineRule="auto"/>
        <w:rPr>
          <w:rFonts w:ascii="Times New Roman" w:hAnsi="Times New Roman"/>
          <w:color w:val="000000"/>
          <w:sz w:val="24"/>
        </w:rPr>
      </w:pPr>
      <w:r w:rsidRPr="00ED091C">
        <w:rPr>
          <w:rFonts w:ascii="Times New Roman" w:hAnsi="Times New Roman"/>
          <w:color w:val="000000"/>
          <w:sz w:val="24"/>
        </w:rPr>
        <w:t xml:space="preserve">G. van Herck &amp; S. Plateau, </w:t>
      </w:r>
      <w:r>
        <w:rPr>
          <w:rFonts w:ascii="Times New Roman" w:hAnsi="Times New Roman"/>
          <w:i/>
          <w:color w:val="000000"/>
          <w:sz w:val="24"/>
        </w:rPr>
        <w:t>Handboek Consolidatie. Juridisch en boekhoudtechnisch,</w:t>
      </w:r>
      <w:r>
        <w:rPr>
          <w:rFonts w:ascii="Times New Roman" w:hAnsi="Times New Roman"/>
          <w:color w:val="000000"/>
          <w:sz w:val="24"/>
        </w:rPr>
        <w:t xml:space="preserve"> Garant Uitgevers N.V.: Leuven-Apeldoorn 2002.</w:t>
      </w:r>
    </w:p>
    <w:p w:rsidR="00497A28" w:rsidRDefault="00497A28" w:rsidP="000E05B6">
      <w:pPr>
        <w:spacing w:line="360" w:lineRule="auto"/>
        <w:rPr>
          <w:rFonts w:ascii="Times New Roman" w:hAnsi="Times New Roman"/>
          <w:color w:val="000000"/>
          <w:sz w:val="24"/>
        </w:rPr>
      </w:pPr>
      <w:r>
        <w:rPr>
          <w:rFonts w:ascii="Times New Roman" w:hAnsi="Times New Roman"/>
          <w:color w:val="000000"/>
          <w:sz w:val="24"/>
        </w:rPr>
        <w:t xml:space="preserve">M.N. Hoogendoorn &amp; J. Klaassen, </w:t>
      </w:r>
      <w:r>
        <w:rPr>
          <w:rFonts w:ascii="Times New Roman" w:hAnsi="Times New Roman"/>
          <w:i/>
          <w:color w:val="000000"/>
          <w:sz w:val="24"/>
        </w:rPr>
        <w:t xml:space="preserve">Externe Verslaggeving, </w:t>
      </w:r>
      <w:r>
        <w:rPr>
          <w:rFonts w:ascii="Times New Roman" w:hAnsi="Times New Roman"/>
          <w:color w:val="000000"/>
          <w:sz w:val="24"/>
        </w:rPr>
        <w:t>Groningen: Wolters Noordhoff 2006.</w:t>
      </w:r>
    </w:p>
    <w:p w:rsidR="00497A28" w:rsidRPr="00422217" w:rsidRDefault="00497A28" w:rsidP="000E05B6">
      <w:pPr>
        <w:spacing w:line="360" w:lineRule="auto"/>
        <w:rPr>
          <w:rFonts w:ascii="Times New Roman" w:hAnsi="Times New Roman"/>
          <w:color w:val="000000"/>
          <w:sz w:val="24"/>
        </w:rPr>
      </w:pPr>
      <w:r>
        <w:rPr>
          <w:rFonts w:ascii="Times New Roman" w:hAnsi="Times New Roman"/>
          <w:color w:val="000000"/>
          <w:sz w:val="24"/>
        </w:rPr>
        <w:t xml:space="preserve">J. Smit, </w:t>
      </w:r>
      <w:r>
        <w:rPr>
          <w:rFonts w:ascii="Times New Roman" w:hAnsi="Times New Roman"/>
          <w:i/>
          <w:color w:val="000000"/>
          <w:sz w:val="24"/>
        </w:rPr>
        <w:t>Het drama Ahold. Ijdelheid en Hebzucht aan de top. Geactualiseerde editie,</w:t>
      </w:r>
      <w:r>
        <w:rPr>
          <w:rFonts w:ascii="Times New Roman" w:hAnsi="Times New Roman"/>
          <w:color w:val="000000"/>
          <w:sz w:val="24"/>
        </w:rPr>
        <w:t xml:space="preserve"> Amsterdam: Uitgeverij Balans 2004.</w:t>
      </w:r>
    </w:p>
    <w:p w:rsidR="00497A28" w:rsidRPr="0070319C" w:rsidRDefault="00497A28" w:rsidP="00F37743">
      <w:pPr>
        <w:spacing w:line="360" w:lineRule="auto"/>
        <w:rPr>
          <w:rFonts w:ascii="Times New Roman" w:hAnsi="Times New Roman"/>
          <w:color w:val="000000"/>
          <w:sz w:val="24"/>
          <w:lang w:val="en-GB"/>
        </w:rPr>
      </w:pPr>
      <w:r w:rsidRPr="0070319C">
        <w:rPr>
          <w:rFonts w:ascii="Times New Roman" w:hAnsi="Times New Roman"/>
          <w:color w:val="000000"/>
          <w:sz w:val="24"/>
          <w:lang w:val="en-GB"/>
        </w:rPr>
        <w:t xml:space="preserve">J.L. Zimmerman, </w:t>
      </w:r>
      <w:r w:rsidRPr="0070319C">
        <w:rPr>
          <w:rFonts w:ascii="Times New Roman" w:hAnsi="Times New Roman"/>
          <w:i/>
          <w:color w:val="000000"/>
          <w:sz w:val="24"/>
          <w:lang w:val="en-GB"/>
        </w:rPr>
        <w:t xml:space="preserve">Accounting for Decision Making and Control (sixth edition), </w:t>
      </w:r>
      <w:r>
        <w:rPr>
          <w:rFonts w:ascii="Times New Roman" w:hAnsi="Times New Roman"/>
          <w:color w:val="000000"/>
          <w:sz w:val="24"/>
          <w:lang w:val="en-GB"/>
        </w:rPr>
        <w:t>Singapore: McGraw Hill 2009.</w:t>
      </w:r>
    </w:p>
    <w:p w:rsidR="00497A28" w:rsidRPr="00F37743" w:rsidRDefault="00497A28" w:rsidP="000E05B6">
      <w:pPr>
        <w:spacing w:line="360" w:lineRule="auto"/>
        <w:rPr>
          <w:rFonts w:ascii="Times New Roman" w:hAnsi="Times New Roman"/>
          <w:color w:val="000000"/>
          <w:sz w:val="24"/>
          <w:lang w:val="en-GB"/>
        </w:rPr>
      </w:pPr>
    </w:p>
    <w:p w:rsidR="00497A28" w:rsidRPr="0010006F" w:rsidRDefault="00497A28" w:rsidP="000E05B6">
      <w:pPr>
        <w:spacing w:line="360" w:lineRule="auto"/>
        <w:rPr>
          <w:rFonts w:ascii="Times New Roman" w:hAnsi="Times New Roman"/>
          <w:b/>
          <w:color w:val="000000"/>
          <w:sz w:val="24"/>
          <w:lang w:val="en-GB"/>
        </w:rPr>
      </w:pPr>
      <w:r w:rsidRPr="0010006F">
        <w:rPr>
          <w:rFonts w:ascii="Times New Roman" w:hAnsi="Times New Roman"/>
          <w:b/>
          <w:color w:val="000000"/>
          <w:sz w:val="24"/>
          <w:lang w:val="en-GB"/>
        </w:rPr>
        <w:t>Artikelen</w:t>
      </w:r>
    </w:p>
    <w:p w:rsidR="00497A28" w:rsidRDefault="00497A28" w:rsidP="000E05B6">
      <w:pPr>
        <w:spacing w:line="360" w:lineRule="auto"/>
        <w:rPr>
          <w:rFonts w:ascii="Times New Roman" w:hAnsi="Times New Roman"/>
          <w:color w:val="000000"/>
          <w:sz w:val="24"/>
          <w:lang w:val="en-GB"/>
        </w:rPr>
      </w:pPr>
      <w:r w:rsidRPr="0010006F">
        <w:rPr>
          <w:rFonts w:ascii="Times New Roman" w:hAnsi="Times New Roman"/>
          <w:color w:val="000000"/>
          <w:sz w:val="24"/>
          <w:lang w:val="en-GB"/>
        </w:rPr>
        <w:t>R. Ball, 'International Financial Reporting Standards (IFRS): pros and cons for investors</w:t>
      </w:r>
      <w:r>
        <w:rPr>
          <w:rFonts w:ascii="Times New Roman" w:hAnsi="Times New Roman"/>
          <w:color w:val="000000"/>
          <w:sz w:val="24"/>
          <w:lang w:val="en-GB"/>
        </w:rPr>
        <w:t xml:space="preserve">', </w:t>
      </w:r>
      <w:r>
        <w:rPr>
          <w:rFonts w:ascii="Times New Roman" w:hAnsi="Times New Roman"/>
          <w:i/>
          <w:color w:val="000000"/>
          <w:sz w:val="24"/>
          <w:lang w:val="en-GB"/>
        </w:rPr>
        <w:t>Accounting and Business Research</w:t>
      </w:r>
      <w:r>
        <w:rPr>
          <w:rFonts w:ascii="Times New Roman" w:hAnsi="Times New Roman"/>
          <w:color w:val="000000"/>
          <w:sz w:val="24"/>
          <w:lang w:val="en-GB"/>
        </w:rPr>
        <w:t xml:space="preserve"> 2006, p. 5-27.</w:t>
      </w:r>
    </w:p>
    <w:p w:rsidR="00497A28" w:rsidRPr="00AD17F5" w:rsidRDefault="00497A28" w:rsidP="000E05B6">
      <w:pPr>
        <w:spacing w:line="360" w:lineRule="auto"/>
        <w:rPr>
          <w:rFonts w:ascii="Times New Roman" w:hAnsi="Times New Roman"/>
          <w:color w:val="000000"/>
          <w:sz w:val="24"/>
          <w:lang w:val="en-GB"/>
        </w:rPr>
      </w:pPr>
      <w:r>
        <w:rPr>
          <w:rFonts w:ascii="Times New Roman" w:hAnsi="Times New Roman"/>
          <w:color w:val="000000"/>
          <w:sz w:val="24"/>
          <w:lang w:val="en-GB"/>
        </w:rPr>
        <w:t xml:space="preserve">P.M. Healy, 'The effect of bonus schemes on accounting decisions', </w:t>
      </w:r>
      <w:r>
        <w:rPr>
          <w:rFonts w:ascii="Times New Roman" w:hAnsi="Times New Roman"/>
          <w:i/>
          <w:color w:val="000000"/>
          <w:sz w:val="24"/>
          <w:lang w:val="en-GB"/>
        </w:rPr>
        <w:t xml:space="preserve">Journal of Accounting and Economics 7 </w:t>
      </w:r>
      <w:r>
        <w:rPr>
          <w:rFonts w:ascii="Times New Roman" w:hAnsi="Times New Roman"/>
          <w:color w:val="000000"/>
          <w:sz w:val="24"/>
          <w:lang w:val="en-GB"/>
        </w:rPr>
        <w:t>1985, p. 85-107.</w:t>
      </w:r>
    </w:p>
    <w:p w:rsidR="00497A28" w:rsidRPr="0010006F" w:rsidRDefault="00497A28" w:rsidP="000E05B6">
      <w:pPr>
        <w:spacing w:line="360" w:lineRule="auto"/>
        <w:rPr>
          <w:rFonts w:ascii="Times New Roman" w:hAnsi="Times New Roman"/>
          <w:color w:val="000000"/>
          <w:sz w:val="24"/>
          <w:lang w:val="en-GB"/>
        </w:rPr>
      </w:pPr>
      <w:r>
        <w:rPr>
          <w:rFonts w:ascii="Times New Roman" w:hAnsi="Times New Roman"/>
          <w:color w:val="000000"/>
          <w:sz w:val="24"/>
          <w:lang w:val="en-GB"/>
        </w:rPr>
        <w:t xml:space="preserve">P.A. Smith &amp; R. Toppe Shortridge, 'Understanding Consolidation. A comparison of the Proprietary, Parent, Entity and IASB views', </w:t>
      </w:r>
      <w:r>
        <w:rPr>
          <w:rFonts w:ascii="Times New Roman" w:hAnsi="Times New Roman"/>
          <w:i/>
          <w:color w:val="000000"/>
          <w:sz w:val="24"/>
          <w:lang w:val="en-GB"/>
        </w:rPr>
        <w:t xml:space="preserve">The CPA Journal </w:t>
      </w:r>
      <w:r>
        <w:rPr>
          <w:rFonts w:ascii="Times New Roman" w:hAnsi="Times New Roman"/>
          <w:color w:val="000000"/>
          <w:sz w:val="24"/>
          <w:lang w:val="en-GB"/>
        </w:rPr>
        <w:t>2007, p. 22-25</w:t>
      </w:r>
    </w:p>
    <w:p w:rsidR="00497A28" w:rsidRPr="0010006F" w:rsidRDefault="00497A28" w:rsidP="000E05B6">
      <w:pPr>
        <w:spacing w:line="360" w:lineRule="auto"/>
        <w:rPr>
          <w:rFonts w:ascii="Times New Roman" w:hAnsi="Times New Roman"/>
          <w:b/>
          <w:color w:val="000000"/>
          <w:sz w:val="24"/>
          <w:lang w:val="en-GB"/>
        </w:rPr>
      </w:pPr>
    </w:p>
    <w:p w:rsidR="00497A28" w:rsidRPr="006B4494" w:rsidRDefault="00497A28">
      <w:pPr>
        <w:rPr>
          <w:rFonts w:ascii="Times New Roman" w:hAnsi="Times New Roman"/>
          <w:b/>
          <w:color w:val="000000"/>
          <w:sz w:val="24"/>
          <w:lang w:val="en-GB"/>
        </w:rPr>
      </w:pPr>
      <w:r w:rsidRPr="006B4494">
        <w:rPr>
          <w:rFonts w:ascii="Times New Roman" w:hAnsi="Times New Roman"/>
          <w:b/>
          <w:color w:val="000000"/>
          <w:sz w:val="24"/>
          <w:lang w:val="en-GB"/>
        </w:rPr>
        <w:br w:type="page"/>
      </w:r>
    </w:p>
    <w:p w:rsidR="00497A28" w:rsidRPr="0010006F" w:rsidRDefault="00497A28" w:rsidP="000E05B6">
      <w:pPr>
        <w:spacing w:line="360" w:lineRule="auto"/>
        <w:rPr>
          <w:rFonts w:ascii="Times New Roman" w:hAnsi="Times New Roman"/>
          <w:b/>
          <w:color w:val="000000"/>
          <w:sz w:val="24"/>
        </w:rPr>
      </w:pPr>
      <w:r w:rsidRPr="0010006F">
        <w:rPr>
          <w:rFonts w:ascii="Times New Roman" w:hAnsi="Times New Roman"/>
          <w:b/>
          <w:color w:val="000000"/>
          <w:sz w:val="24"/>
        </w:rPr>
        <w:t>Online bronnen</w:t>
      </w:r>
    </w:p>
    <w:p w:rsidR="00497A28" w:rsidRDefault="00497A28" w:rsidP="0010006F">
      <w:pPr>
        <w:spacing w:line="360" w:lineRule="auto"/>
        <w:rPr>
          <w:rFonts w:ascii="Times New Roman" w:hAnsi="Times New Roman"/>
          <w:sz w:val="24"/>
          <w:szCs w:val="24"/>
        </w:rPr>
      </w:pPr>
      <w:r w:rsidRPr="0010006F">
        <w:rPr>
          <w:rFonts w:ascii="Times New Roman" w:hAnsi="Times New Roman"/>
          <w:sz w:val="24"/>
          <w:szCs w:val="24"/>
        </w:rPr>
        <w:t>http://www.iasplus.com/dttpubs/pocket2009.pdf</w:t>
      </w:r>
    </w:p>
    <w:p w:rsidR="00497A28" w:rsidRDefault="00497A28" w:rsidP="0010006F">
      <w:pPr>
        <w:spacing w:line="360" w:lineRule="auto"/>
        <w:rPr>
          <w:rFonts w:ascii="Times New Roman" w:hAnsi="Times New Roman"/>
          <w:sz w:val="24"/>
          <w:szCs w:val="24"/>
        </w:rPr>
      </w:pPr>
      <w:r w:rsidRPr="0010006F">
        <w:rPr>
          <w:rFonts w:ascii="Times New Roman" w:hAnsi="Times New Roman"/>
          <w:sz w:val="24"/>
          <w:szCs w:val="24"/>
        </w:rPr>
        <w:t>http://www.beursduivel.be/nieuws/85905/dpa_geeft_aandelen_uit_voor_overname_dochter</w:t>
      </w:r>
    </w:p>
    <w:p w:rsidR="00497A28" w:rsidRPr="0010006F" w:rsidRDefault="00497A28" w:rsidP="0010006F">
      <w:pPr>
        <w:spacing w:line="360" w:lineRule="auto"/>
        <w:rPr>
          <w:rFonts w:ascii="Times New Roman" w:hAnsi="Times New Roman"/>
          <w:sz w:val="24"/>
          <w:szCs w:val="24"/>
        </w:rPr>
      </w:pPr>
      <w:r w:rsidRPr="0010006F">
        <w:rPr>
          <w:rFonts w:ascii="Times New Roman" w:hAnsi="Times New Roman"/>
          <w:sz w:val="24"/>
          <w:szCs w:val="24"/>
        </w:rPr>
        <w:t>http://www.fd.nl/artikel/14780440/heineken-rondt-overname-bierdivisie-femsa-af</w:t>
      </w:r>
    </w:p>
    <w:p w:rsidR="00497A28" w:rsidRDefault="00497A28" w:rsidP="00904291">
      <w:pPr>
        <w:spacing w:line="360" w:lineRule="auto"/>
        <w:rPr>
          <w:rFonts w:ascii="Times New Roman" w:hAnsi="Times New Roman"/>
          <w:sz w:val="24"/>
          <w:szCs w:val="24"/>
        </w:rPr>
      </w:pPr>
      <w:r w:rsidRPr="0010006F">
        <w:rPr>
          <w:rFonts w:ascii="Times New Roman" w:hAnsi="Times New Roman"/>
          <w:sz w:val="24"/>
          <w:szCs w:val="24"/>
        </w:rPr>
        <w:t>http://www.tijd.be/nieuws/ondernemingen_industrie/Newcrest_en_Lihir_fuseren_tot_vijfde_grootste _goudmijn.8911270-434.art</w:t>
      </w:r>
    </w:p>
    <w:p w:rsidR="00497A28" w:rsidRDefault="00497A28" w:rsidP="00904291">
      <w:pPr>
        <w:spacing w:line="360" w:lineRule="auto"/>
        <w:rPr>
          <w:rFonts w:ascii="Times New Roman" w:hAnsi="Times New Roman"/>
          <w:b/>
          <w:sz w:val="24"/>
          <w:szCs w:val="24"/>
        </w:rPr>
      </w:pPr>
      <w:r>
        <w:rPr>
          <w:rFonts w:ascii="Times New Roman" w:hAnsi="Times New Roman"/>
          <w:b/>
          <w:sz w:val="24"/>
          <w:szCs w:val="24"/>
        </w:rPr>
        <w:t>Wetteksten</w:t>
      </w:r>
    </w:p>
    <w:p w:rsidR="00497A28" w:rsidRDefault="00497A28" w:rsidP="000752CC">
      <w:pPr>
        <w:spacing w:line="360" w:lineRule="auto"/>
        <w:rPr>
          <w:rFonts w:ascii="Times New Roman" w:hAnsi="Times New Roman"/>
          <w:color w:val="000000"/>
          <w:sz w:val="24"/>
        </w:rPr>
      </w:pPr>
      <w:r>
        <w:rPr>
          <w:rFonts w:ascii="Times New Roman" w:hAnsi="Times New Roman"/>
          <w:color w:val="000000"/>
          <w:sz w:val="24"/>
        </w:rPr>
        <w:t>A.M.M.M van Zeijl et al.,</w:t>
      </w:r>
      <w:r w:rsidRPr="0010006F">
        <w:rPr>
          <w:rFonts w:ascii="Times New Roman" w:hAnsi="Times New Roman"/>
          <w:i/>
          <w:color w:val="000000"/>
          <w:sz w:val="24"/>
        </w:rPr>
        <w:t>Wetteksten Hoger Economisch Onderwijs</w:t>
      </w:r>
      <w:r>
        <w:rPr>
          <w:rFonts w:ascii="Times New Roman" w:hAnsi="Times New Roman"/>
          <w:color w:val="000000"/>
          <w:sz w:val="24"/>
        </w:rPr>
        <w:t>, Groningen: Noordhoff Uitgevers 2009.</w:t>
      </w:r>
    </w:p>
    <w:p w:rsidR="00497A28" w:rsidRDefault="00497A28" w:rsidP="00904291">
      <w:pPr>
        <w:spacing w:line="360" w:lineRule="auto"/>
        <w:rPr>
          <w:rFonts w:ascii="Times New Roman" w:hAnsi="Times New Roman"/>
          <w:color w:val="000000"/>
          <w:sz w:val="24"/>
        </w:rPr>
      </w:pPr>
      <w:r>
        <w:rPr>
          <w:rFonts w:ascii="Times New Roman" w:hAnsi="Times New Roman"/>
          <w:color w:val="000000"/>
          <w:sz w:val="24"/>
        </w:rPr>
        <w:t>IAS 27</w:t>
      </w:r>
    </w:p>
    <w:p w:rsidR="00497A28" w:rsidRDefault="00497A28" w:rsidP="00904291">
      <w:pPr>
        <w:spacing w:line="360" w:lineRule="auto"/>
        <w:rPr>
          <w:rFonts w:ascii="Times New Roman" w:hAnsi="Times New Roman"/>
          <w:color w:val="000000"/>
          <w:sz w:val="24"/>
        </w:rPr>
      </w:pPr>
      <w:r>
        <w:rPr>
          <w:rFonts w:ascii="Times New Roman" w:hAnsi="Times New Roman"/>
          <w:color w:val="000000"/>
          <w:sz w:val="24"/>
        </w:rPr>
        <w:t>IFRS 3</w:t>
      </w:r>
    </w:p>
    <w:p w:rsidR="00497A28" w:rsidRDefault="00497A28" w:rsidP="00904291">
      <w:pPr>
        <w:spacing w:line="360" w:lineRule="auto"/>
        <w:rPr>
          <w:rFonts w:ascii="Times New Roman" w:hAnsi="Times New Roman"/>
          <w:color w:val="000000"/>
          <w:sz w:val="24"/>
        </w:rPr>
      </w:pPr>
      <w:r>
        <w:rPr>
          <w:rFonts w:ascii="Times New Roman" w:hAnsi="Times New Roman"/>
          <w:color w:val="000000"/>
          <w:sz w:val="24"/>
        </w:rPr>
        <w:t>ED 10</w:t>
      </w:r>
    </w:p>
    <w:p w:rsidR="00497A28" w:rsidRPr="000752CC" w:rsidRDefault="00497A28" w:rsidP="00904291">
      <w:pPr>
        <w:spacing w:line="360" w:lineRule="auto"/>
        <w:rPr>
          <w:rFonts w:ascii="Times New Roman" w:hAnsi="Times New Roman"/>
          <w:color w:val="000000"/>
          <w:sz w:val="24"/>
        </w:rPr>
      </w:pPr>
    </w:p>
    <w:sectPr w:rsidR="00497A28" w:rsidRPr="000752CC" w:rsidSect="005D3FCA">
      <w:footerReference w:type="default" r:id="rId8"/>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7A28" w:rsidRDefault="00497A28" w:rsidP="000E05B6">
      <w:pPr>
        <w:spacing w:after="0" w:line="240" w:lineRule="auto"/>
      </w:pPr>
      <w:r>
        <w:separator/>
      </w:r>
    </w:p>
  </w:endnote>
  <w:endnote w:type="continuationSeparator" w:id="1">
    <w:p w:rsidR="00497A28" w:rsidRDefault="00497A28" w:rsidP="000E05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7A28" w:rsidRDefault="00497A28">
    <w:pPr>
      <w:pStyle w:val="Footer"/>
    </w:pPr>
    <w:fldSimple w:instr=" PAGE   \* MERGEFORMAT ">
      <w:r>
        <w:rPr>
          <w:noProof/>
        </w:rPr>
        <w:t>1</w:t>
      </w:r>
    </w:fldSimple>
  </w:p>
  <w:p w:rsidR="00497A28" w:rsidRDefault="00497A2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7A28" w:rsidRDefault="00497A28" w:rsidP="000E05B6">
      <w:pPr>
        <w:spacing w:after="0" w:line="240" w:lineRule="auto"/>
      </w:pPr>
      <w:r>
        <w:separator/>
      </w:r>
    </w:p>
  </w:footnote>
  <w:footnote w:type="continuationSeparator" w:id="1">
    <w:p w:rsidR="00497A28" w:rsidRDefault="00497A28" w:rsidP="000E05B6">
      <w:pPr>
        <w:spacing w:after="0" w:line="240" w:lineRule="auto"/>
      </w:pPr>
      <w:r>
        <w:continuationSeparator/>
      </w:r>
    </w:p>
  </w:footnote>
  <w:footnote w:id="2">
    <w:p w:rsidR="00497A28" w:rsidRDefault="00497A28">
      <w:pPr>
        <w:pStyle w:val="FootnoteText"/>
      </w:pPr>
      <w:r>
        <w:rPr>
          <w:rStyle w:val="FootnoteReference"/>
        </w:rPr>
        <w:footnoteRef/>
      </w:r>
      <w:r>
        <w:t xml:space="preserve"> </w:t>
      </w:r>
      <w:r w:rsidRPr="000E05B6">
        <w:t>http://www.beursduivel.be/nieuws/85905/dpa_geeft_aandelen_uit_voor_overname_dochter</w:t>
      </w:r>
      <w:r>
        <w:t xml:space="preserve"> </w:t>
      </w:r>
    </w:p>
  </w:footnote>
  <w:footnote w:id="3">
    <w:p w:rsidR="00497A28" w:rsidRDefault="00497A28">
      <w:pPr>
        <w:pStyle w:val="FootnoteText"/>
      </w:pPr>
      <w:r>
        <w:rPr>
          <w:rStyle w:val="FootnoteReference"/>
        </w:rPr>
        <w:footnoteRef/>
      </w:r>
      <w:r>
        <w:t xml:space="preserve"> </w:t>
      </w:r>
      <w:r w:rsidRPr="000E05B6">
        <w:t>http://www.fd.nl/artikel/14780440/heineken-rondt-overname-bierdivisie-femsa-af</w:t>
      </w:r>
    </w:p>
  </w:footnote>
  <w:footnote w:id="4">
    <w:p w:rsidR="00497A28" w:rsidRDefault="00497A28">
      <w:pPr>
        <w:pStyle w:val="FootnoteText"/>
      </w:pPr>
      <w:r>
        <w:rPr>
          <w:rStyle w:val="FootnoteReference"/>
        </w:rPr>
        <w:footnoteRef/>
      </w:r>
      <w:r>
        <w:t xml:space="preserve"> h</w:t>
      </w:r>
      <w:r w:rsidRPr="000E05B6">
        <w:t>ttp://www.tijd.be/nieuws/ondernemingen_industrie/Newcrest_en_Lihir_fuseren_tot_vijfde_grootste</w:t>
      </w:r>
      <w:r>
        <w:t xml:space="preserve"> </w:t>
      </w:r>
      <w:r w:rsidRPr="000E05B6">
        <w:t>_goudmijn.8911270-434.art</w:t>
      </w:r>
    </w:p>
  </w:footnote>
  <w:footnote w:id="5">
    <w:p w:rsidR="00497A28" w:rsidRDefault="00497A28" w:rsidP="00304E2D">
      <w:pPr>
        <w:pStyle w:val="FootnoteText"/>
      </w:pPr>
      <w:r>
        <w:rPr>
          <w:rStyle w:val="FootnoteReference"/>
        </w:rPr>
        <w:footnoteRef/>
      </w:r>
      <w:r>
        <w:t xml:space="preserve"> IAS 27</w:t>
      </w:r>
    </w:p>
  </w:footnote>
  <w:footnote w:id="6">
    <w:p w:rsidR="00497A28" w:rsidRDefault="00497A28">
      <w:pPr>
        <w:pStyle w:val="FootnoteText"/>
      </w:pPr>
      <w:r>
        <w:rPr>
          <w:rStyle w:val="FootnoteReference"/>
        </w:rPr>
        <w:footnoteRef/>
      </w:r>
      <w:r>
        <w:t xml:space="preserve"> Herck, van &amp; Plateau 2002, p.24</w:t>
      </w:r>
    </w:p>
  </w:footnote>
  <w:footnote w:id="7">
    <w:p w:rsidR="00497A28" w:rsidRDefault="00497A28">
      <w:pPr>
        <w:pStyle w:val="FootnoteText"/>
      </w:pPr>
      <w:r>
        <w:rPr>
          <w:rStyle w:val="FootnoteReference"/>
        </w:rPr>
        <w:footnoteRef/>
      </w:r>
      <w:r>
        <w:t xml:space="preserve"> B.S. 1983, p. 509</w:t>
      </w:r>
    </w:p>
  </w:footnote>
  <w:footnote w:id="8">
    <w:p w:rsidR="00497A28" w:rsidRDefault="00497A28">
      <w:pPr>
        <w:pStyle w:val="FootnoteText"/>
      </w:pPr>
      <w:r>
        <w:rPr>
          <w:rStyle w:val="FootnoteReference"/>
        </w:rPr>
        <w:footnoteRef/>
      </w:r>
      <w:r>
        <w:t xml:space="preserve"> Herck, van &amp; Plateau 2002, p. 27-28</w:t>
      </w:r>
    </w:p>
  </w:footnote>
  <w:footnote w:id="9">
    <w:p w:rsidR="00497A28" w:rsidRDefault="00497A28" w:rsidP="00AC1810">
      <w:pPr>
        <w:pStyle w:val="FootnoteText"/>
      </w:pPr>
      <w:r>
        <w:rPr>
          <w:rStyle w:val="FootnoteReference"/>
        </w:rPr>
        <w:footnoteRef/>
      </w:r>
      <w:r>
        <w:t xml:space="preserve"> Hoogendoorn &amp; Klaassen 2006, p. 258</w:t>
      </w:r>
    </w:p>
  </w:footnote>
  <w:footnote w:id="10">
    <w:p w:rsidR="00497A28" w:rsidRDefault="00497A28">
      <w:pPr>
        <w:pStyle w:val="FootnoteText"/>
      </w:pPr>
      <w:r>
        <w:rPr>
          <w:rStyle w:val="FootnoteReference"/>
        </w:rPr>
        <w:footnoteRef/>
      </w:r>
      <w:r w:rsidRPr="001E3E49">
        <w:t xml:space="preserve"> Achaibersing &amp; Esseboom 2008 p. 182</w:t>
      </w:r>
    </w:p>
  </w:footnote>
  <w:footnote w:id="11">
    <w:p w:rsidR="00497A28" w:rsidRDefault="00497A28">
      <w:pPr>
        <w:pStyle w:val="FootnoteText"/>
      </w:pPr>
      <w:r>
        <w:rPr>
          <w:rStyle w:val="FootnoteReference"/>
        </w:rPr>
        <w:footnoteRef/>
      </w:r>
      <w:r>
        <w:rPr>
          <w:lang w:val="en-GB"/>
        </w:rPr>
        <w:t xml:space="preserve"> Achaibersing &amp; Esseboom </w:t>
      </w:r>
      <w:r w:rsidRPr="00E356BF">
        <w:rPr>
          <w:lang w:val="en-GB"/>
        </w:rPr>
        <w:t>2008, p. 182</w:t>
      </w:r>
    </w:p>
  </w:footnote>
  <w:footnote w:id="12">
    <w:p w:rsidR="00497A28" w:rsidRDefault="00497A28">
      <w:pPr>
        <w:pStyle w:val="FootnoteText"/>
      </w:pPr>
      <w:r>
        <w:rPr>
          <w:rStyle w:val="FootnoteReference"/>
        </w:rPr>
        <w:footnoteRef/>
      </w:r>
      <w:r w:rsidRPr="00ED5BF0">
        <w:rPr>
          <w:lang w:val="en-GB"/>
        </w:rPr>
        <w:t xml:space="preserve"> Alfredson et al</w:t>
      </w:r>
      <w:r>
        <w:rPr>
          <w:lang w:val="en-GB"/>
        </w:rPr>
        <w:t>.</w:t>
      </w:r>
      <w:r w:rsidRPr="00ED5BF0">
        <w:rPr>
          <w:lang w:val="en-GB"/>
        </w:rPr>
        <w:t xml:space="preserve"> 2009, p. </w:t>
      </w:r>
      <w:r>
        <w:rPr>
          <w:lang w:val="en-GB"/>
        </w:rPr>
        <w:t>825-828</w:t>
      </w:r>
    </w:p>
  </w:footnote>
  <w:footnote w:id="13">
    <w:p w:rsidR="00497A28" w:rsidRDefault="00497A28">
      <w:pPr>
        <w:pStyle w:val="FootnoteText"/>
      </w:pPr>
      <w:r>
        <w:rPr>
          <w:rStyle w:val="FootnoteReference"/>
        </w:rPr>
        <w:footnoteRef/>
      </w:r>
      <w:r w:rsidRPr="00C13D45">
        <w:rPr>
          <w:lang w:val="en-GB"/>
        </w:rPr>
        <w:t xml:space="preserve"> </w:t>
      </w:r>
      <w:r>
        <w:rPr>
          <w:lang w:val="en-GB"/>
        </w:rPr>
        <w:t>Smith, Toppe Shortridge 2007,</w:t>
      </w:r>
      <w:r w:rsidRPr="00C13D45">
        <w:rPr>
          <w:lang w:val="en-GB"/>
        </w:rPr>
        <w:t xml:space="preserve"> p.24</w:t>
      </w:r>
    </w:p>
  </w:footnote>
  <w:footnote w:id="14">
    <w:p w:rsidR="00497A28" w:rsidRDefault="00497A28" w:rsidP="00353846">
      <w:pPr>
        <w:pStyle w:val="FootnoteText"/>
      </w:pPr>
      <w:r>
        <w:rPr>
          <w:rStyle w:val="FootnoteReference"/>
        </w:rPr>
        <w:footnoteRef/>
      </w:r>
      <w:r w:rsidRPr="001E3E49">
        <w:rPr>
          <w:lang w:val="en-GB"/>
        </w:rPr>
        <w:t xml:space="preserve"> Smith, Toppe Shortridge 2007, p.24</w:t>
      </w:r>
    </w:p>
  </w:footnote>
  <w:footnote w:id="15">
    <w:p w:rsidR="00497A28" w:rsidRDefault="00497A28">
      <w:pPr>
        <w:pStyle w:val="FootnoteText"/>
      </w:pPr>
      <w:r>
        <w:rPr>
          <w:rStyle w:val="FootnoteReference"/>
        </w:rPr>
        <w:footnoteRef/>
      </w:r>
      <w:r w:rsidRPr="001E3E49">
        <w:rPr>
          <w:lang w:val="en-GB"/>
        </w:rPr>
        <w:t xml:space="preserve"> Alfredson et al. 2009, p. 813</w:t>
      </w:r>
    </w:p>
  </w:footnote>
  <w:footnote w:id="16">
    <w:p w:rsidR="00497A28" w:rsidRDefault="00497A28" w:rsidP="000E4B08">
      <w:pPr>
        <w:pStyle w:val="FootnoteText"/>
      </w:pPr>
      <w:r>
        <w:rPr>
          <w:rStyle w:val="FootnoteReference"/>
        </w:rPr>
        <w:footnoteRef/>
      </w:r>
      <w:r>
        <w:t xml:space="preserve"> Alfredson et al. 2009, p. 814</w:t>
      </w:r>
    </w:p>
  </w:footnote>
  <w:footnote w:id="17">
    <w:p w:rsidR="00497A28" w:rsidRDefault="00497A28">
      <w:pPr>
        <w:pStyle w:val="FootnoteText"/>
      </w:pPr>
      <w:r>
        <w:rPr>
          <w:rStyle w:val="FootnoteReference"/>
        </w:rPr>
        <w:footnoteRef/>
      </w:r>
      <w:r>
        <w:t xml:space="preserve"> ED 10, paragraaf BC52-BC57</w:t>
      </w:r>
    </w:p>
  </w:footnote>
  <w:footnote w:id="18">
    <w:p w:rsidR="00497A28" w:rsidRDefault="00497A28" w:rsidP="000E4B08">
      <w:pPr>
        <w:pStyle w:val="FootnoteText"/>
      </w:pPr>
      <w:r>
        <w:rPr>
          <w:rStyle w:val="FootnoteReference"/>
        </w:rPr>
        <w:footnoteRef/>
      </w:r>
      <w:r>
        <w:t xml:space="preserve"> Alfredson et al. 2009, p. 817</w:t>
      </w:r>
    </w:p>
  </w:footnote>
  <w:footnote w:id="19">
    <w:p w:rsidR="00497A28" w:rsidRDefault="00497A28" w:rsidP="00CB4757">
      <w:pPr>
        <w:pStyle w:val="FootnoteText"/>
      </w:pPr>
      <w:r>
        <w:rPr>
          <w:rStyle w:val="FootnoteReference"/>
        </w:rPr>
        <w:footnoteRef/>
      </w:r>
      <w:r>
        <w:t xml:space="preserve"> Alfredson et al. 2009, p. 812</w:t>
      </w:r>
    </w:p>
  </w:footnote>
  <w:footnote w:id="20">
    <w:p w:rsidR="00497A28" w:rsidRDefault="00497A28" w:rsidP="00CB4757">
      <w:pPr>
        <w:pStyle w:val="FootnoteText"/>
      </w:pPr>
      <w:r>
        <w:rPr>
          <w:rStyle w:val="FootnoteReference"/>
        </w:rPr>
        <w:footnoteRef/>
      </w:r>
      <w:r>
        <w:t xml:space="preserve"> Hoogendoorn &amp; Klaassen 2006, p. 257</w:t>
      </w:r>
    </w:p>
  </w:footnote>
  <w:footnote w:id="21">
    <w:p w:rsidR="00497A28" w:rsidRDefault="00497A28" w:rsidP="00CB4757">
      <w:pPr>
        <w:pStyle w:val="FootnoteText"/>
      </w:pPr>
      <w:r>
        <w:rPr>
          <w:rStyle w:val="FootnoteReference"/>
        </w:rPr>
        <w:footnoteRef/>
      </w:r>
      <w:r>
        <w:t xml:space="preserve"> Hoogendoorn &amp; Klaassen 2006, p. 257</w:t>
      </w:r>
    </w:p>
  </w:footnote>
  <w:footnote w:id="22">
    <w:p w:rsidR="00497A28" w:rsidRDefault="00497A28">
      <w:pPr>
        <w:pStyle w:val="FootnoteText"/>
      </w:pPr>
      <w:r>
        <w:rPr>
          <w:rStyle w:val="FootnoteReference"/>
        </w:rPr>
        <w:footnoteRef/>
      </w:r>
      <w:r>
        <w:t xml:space="preserve"> Hoogendoorn &amp; Klaassen 2006, p. 23</w:t>
      </w:r>
    </w:p>
  </w:footnote>
  <w:footnote w:id="23">
    <w:p w:rsidR="00497A28" w:rsidRDefault="00497A28">
      <w:pPr>
        <w:pStyle w:val="FootnoteText"/>
      </w:pPr>
      <w:r>
        <w:rPr>
          <w:rStyle w:val="FootnoteReference"/>
        </w:rPr>
        <w:footnoteRef/>
      </w:r>
      <w:r>
        <w:t xml:space="preserve"> Hoogendoorn &amp; Klaassen 2006, p. 42</w:t>
      </w:r>
    </w:p>
  </w:footnote>
  <w:footnote w:id="24">
    <w:p w:rsidR="00497A28" w:rsidRDefault="00497A28" w:rsidP="00381677">
      <w:pPr>
        <w:pStyle w:val="FootnoteText"/>
      </w:pPr>
      <w:r>
        <w:rPr>
          <w:rStyle w:val="FootnoteReference"/>
        </w:rPr>
        <w:footnoteRef/>
      </w:r>
      <w:r>
        <w:t xml:space="preserve"> Hoogendoorn &amp; Klaassen 2006, p. 26</w:t>
      </w:r>
    </w:p>
  </w:footnote>
  <w:footnote w:id="25">
    <w:p w:rsidR="00497A28" w:rsidRDefault="00497A28">
      <w:pPr>
        <w:pStyle w:val="FootnoteText"/>
      </w:pPr>
      <w:r>
        <w:rPr>
          <w:rStyle w:val="FootnoteReference"/>
        </w:rPr>
        <w:footnoteRef/>
      </w:r>
      <w:r>
        <w:t xml:space="preserve"> Hoogendoorn &amp; Klaassen 2006, p. 56</w:t>
      </w:r>
    </w:p>
  </w:footnote>
  <w:footnote w:id="26">
    <w:p w:rsidR="00497A28" w:rsidRDefault="00497A28">
      <w:pPr>
        <w:pStyle w:val="FootnoteText"/>
      </w:pPr>
      <w:r>
        <w:rPr>
          <w:rStyle w:val="FootnoteReference"/>
        </w:rPr>
        <w:footnoteRef/>
      </w:r>
      <w:r>
        <w:t xml:space="preserve"> 11 BW 2, afdeling 13, artikel 405</w:t>
      </w:r>
    </w:p>
  </w:footnote>
  <w:footnote w:id="27">
    <w:p w:rsidR="00497A28" w:rsidRDefault="00497A28">
      <w:pPr>
        <w:pStyle w:val="FootnoteText"/>
      </w:pPr>
      <w:r>
        <w:rPr>
          <w:rStyle w:val="FootnoteReference"/>
        </w:rPr>
        <w:footnoteRef/>
      </w:r>
      <w:r>
        <w:t xml:space="preserve"> Achaibersing, Esseboom 2008, p. 182</w:t>
      </w:r>
    </w:p>
  </w:footnote>
  <w:footnote w:id="28">
    <w:p w:rsidR="00497A28" w:rsidRDefault="00497A28">
      <w:pPr>
        <w:pStyle w:val="FootnoteText"/>
      </w:pPr>
      <w:r>
        <w:rPr>
          <w:rStyle w:val="FootnoteReference"/>
        </w:rPr>
        <w:footnoteRef/>
      </w:r>
      <w:r>
        <w:t xml:space="preserve"> Hoogendoorn &amp; Klaassen 2006, p. 102</w:t>
      </w:r>
    </w:p>
  </w:footnote>
  <w:footnote w:id="29">
    <w:p w:rsidR="00497A28" w:rsidRDefault="00497A28">
      <w:pPr>
        <w:pStyle w:val="FootnoteText"/>
      </w:pPr>
      <w:r>
        <w:rPr>
          <w:rStyle w:val="FootnoteReference"/>
        </w:rPr>
        <w:footnoteRef/>
      </w:r>
      <w:r>
        <w:t xml:space="preserve"> Ball 2006, p. 6</w:t>
      </w:r>
    </w:p>
  </w:footnote>
  <w:footnote w:id="30">
    <w:p w:rsidR="00497A28" w:rsidRDefault="00497A28" w:rsidP="00A17058">
      <w:pPr>
        <w:pStyle w:val="FootnoteText"/>
      </w:pPr>
      <w:r>
        <w:rPr>
          <w:rStyle w:val="FootnoteReference"/>
        </w:rPr>
        <w:footnoteRef/>
      </w:r>
      <w:r>
        <w:t xml:space="preserve"> Ball 2006, p. 5</w:t>
      </w:r>
    </w:p>
  </w:footnote>
  <w:footnote w:id="31">
    <w:p w:rsidR="00497A28" w:rsidRDefault="00497A28">
      <w:pPr>
        <w:pStyle w:val="FootnoteText"/>
      </w:pPr>
      <w:r>
        <w:rPr>
          <w:rStyle w:val="FootnoteReference"/>
        </w:rPr>
        <w:footnoteRef/>
      </w:r>
      <w:r>
        <w:t xml:space="preserve"> Hoogendoorn &amp; Klaassen 2006, p. 48</w:t>
      </w:r>
    </w:p>
  </w:footnote>
  <w:footnote w:id="32">
    <w:p w:rsidR="00497A28" w:rsidRDefault="00497A28">
      <w:pPr>
        <w:pStyle w:val="FootnoteText"/>
      </w:pPr>
      <w:r>
        <w:rPr>
          <w:rStyle w:val="FootnoteReference"/>
        </w:rPr>
        <w:footnoteRef/>
      </w:r>
      <w:r w:rsidRPr="00B511F3">
        <w:rPr>
          <w:lang w:val="en-GB"/>
        </w:rPr>
        <w:t xml:space="preserve"> Ball 2006, p. 6</w:t>
      </w:r>
    </w:p>
  </w:footnote>
  <w:footnote w:id="33">
    <w:p w:rsidR="00497A28" w:rsidRDefault="00497A28">
      <w:pPr>
        <w:pStyle w:val="FootnoteText"/>
      </w:pPr>
      <w:r>
        <w:rPr>
          <w:rStyle w:val="FootnoteReference"/>
        </w:rPr>
        <w:footnoteRef/>
      </w:r>
      <w:r w:rsidRPr="00B511F3">
        <w:rPr>
          <w:lang w:val="en-GB"/>
        </w:rPr>
        <w:t xml:space="preserve"> http://www.iasplus.com/dttpubs/pocket2009.pdf , p.16-23</w:t>
      </w:r>
    </w:p>
  </w:footnote>
  <w:footnote w:id="34">
    <w:p w:rsidR="00497A28" w:rsidRDefault="00497A28">
      <w:pPr>
        <w:pStyle w:val="FootnoteText"/>
      </w:pPr>
      <w:r>
        <w:rPr>
          <w:rStyle w:val="FootnoteReference"/>
        </w:rPr>
        <w:footnoteRef/>
      </w:r>
      <w:r w:rsidRPr="00863767">
        <w:t xml:space="preserve"> Alfredson et al. 2009, p.</w:t>
      </w:r>
      <w:r>
        <w:t xml:space="preserve"> </w:t>
      </w:r>
      <w:r w:rsidRPr="00863767">
        <w:t>11-12</w:t>
      </w:r>
    </w:p>
  </w:footnote>
  <w:footnote w:id="35">
    <w:p w:rsidR="00497A28" w:rsidRDefault="00497A28">
      <w:pPr>
        <w:pStyle w:val="FootnoteText"/>
      </w:pPr>
      <w:r>
        <w:rPr>
          <w:rStyle w:val="FootnoteReference"/>
        </w:rPr>
        <w:footnoteRef/>
      </w:r>
      <w:r w:rsidRPr="00863767">
        <w:t xml:space="preserve"> Alfredson et al. 2009</w:t>
      </w:r>
      <w:r>
        <w:t xml:space="preserve">, </w:t>
      </w:r>
      <w:r w:rsidRPr="00863767">
        <w:t>p</w:t>
      </w:r>
      <w:r>
        <w:t>.</w:t>
      </w:r>
      <w:r w:rsidRPr="00863767">
        <w:t xml:space="preserve"> 17</w:t>
      </w:r>
    </w:p>
  </w:footnote>
  <w:footnote w:id="36">
    <w:p w:rsidR="00497A28" w:rsidRDefault="00497A28">
      <w:pPr>
        <w:pStyle w:val="FootnoteText"/>
      </w:pPr>
      <w:r>
        <w:rPr>
          <w:rStyle w:val="FootnoteReference"/>
        </w:rPr>
        <w:footnoteRef/>
      </w:r>
      <w:r w:rsidRPr="00863767">
        <w:t xml:space="preserve"> Alfredson et al. 2009</w:t>
      </w:r>
      <w:r>
        <w:t xml:space="preserve">, </w:t>
      </w:r>
      <w:r w:rsidRPr="00863767">
        <w:t>p</w:t>
      </w:r>
      <w:r>
        <w:t>.</w:t>
      </w:r>
      <w:r w:rsidRPr="00863767">
        <w:t xml:space="preserve"> 18</w:t>
      </w:r>
    </w:p>
  </w:footnote>
  <w:footnote w:id="37">
    <w:p w:rsidR="00497A28" w:rsidRDefault="00497A28">
      <w:pPr>
        <w:pStyle w:val="FootnoteText"/>
      </w:pPr>
      <w:r>
        <w:rPr>
          <w:rStyle w:val="FootnoteReference"/>
        </w:rPr>
        <w:footnoteRef/>
      </w:r>
      <w:r>
        <w:t xml:space="preserve"> Alfredson et al. 2009, p. 809</w:t>
      </w:r>
    </w:p>
  </w:footnote>
  <w:footnote w:id="38">
    <w:p w:rsidR="00497A28" w:rsidRDefault="00497A28">
      <w:pPr>
        <w:pStyle w:val="FootnoteText"/>
      </w:pPr>
      <w:r>
        <w:rPr>
          <w:rStyle w:val="FootnoteReference"/>
        </w:rPr>
        <w:footnoteRef/>
      </w:r>
      <w:r>
        <w:t xml:space="preserve"> Hoogendoorn &amp; Klaassen 2006, p. 252</w:t>
      </w:r>
    </w:p>
  </w:footnote>
  <w:footnote w:id="39">
    <w:p w:rsidR="00497A28" w:rsidRDefault="00497A28" w:rsidP="00F37743">
      <w:pPr>
        <w:pStyle w:val="FootnoteText"/>
      </w:pPr>
      <w:r>
        <w:rPr>
          <w:rStyle w:val="FootnoteReference"/>
        </w:rPr>
        <w:footnoteRef/>
      </w:r>
      <w:r>
        <w:t xml:space="preserve"> Zimmerman 2009, p. 4</w:t>
      </w:r>
    </w:p>
  </w:footnote>
  <w:footnote w:id="40">
    <w:p w:rsidR="00497A28" w:rsidRDefault="00497A28" w:rsidP="00F37743">
      <w:pPr>
        <w:pStyle w:val="FootnoteText"/>
      </w:pPr>
      <w:r>
        <w:rPr>
          <w:rStyle w:val="FootnoteReference"/>
        </w:rPr>
        <w:footnoteRef/>
      </w:r>
      <w:r w:rsidRPr="00915BD3">
        <w:rPr>
          <w:lang w:val="en-US"/>
        </w:rPr>
        <w:t xml:space="preserve"> Zimmerman 2009, p. 3</w:t>
      </w:r>
    </w:p>
  </w:footnote>
  <w:footnote w:id="41">
    <w:p w:rsidR="00497A28" w:rsidRDefault="00497A28">
      <w:pPr>
        <w:pStyle w:val="FootnoteText"/>
      </w:pPr>
      <w:r>
        <w:rPr>
          <w:rStyle w:val="FootnoteReference"/>
        </w:rPr>
        <w:footnoteRef/>
      </w:r>
      <w:r w:rsidRPr="00915BD3">
        <w:rPr>
          <w:lang w:val="en-US"/>
        </w:rPr>
        <w:t xml:space="preserve"> Deegan &amp; Unermann 2006, p. 207</w:t>
      </w:r>
    </w:p>
  </w:footnote>
  <w:footnote w:id="42">
    <w:p w:rsidR="00497A28" w:rsidRDefault="00497A28">
      <w:pPr>
        <w:pStyle w:val="FootnoteText"/>
      </w:pPr>
      <w:r>
        <w:rPr>
          <w:rStyle w:val="FootnoteReference"/>
        </w:rPr>
        <w:footnoteRef/>
      </w:r>
      <w:r w:rsidRPr="00966802">
        <w:rPr>
          <w:lang w:val="en-US"/>
        </w:rPr>
        <w:t xml:space="preserve"> Deegan &amp; Unermann 2006, p. 224</w:t>
      </w:r>
    </w:p>
  </w:footnote>
  <w:footnote w:id="43">
    <w:p w:rsidR="00497A28" w:rsidRDefault="00497A28">
      <w:pPr>
        <w:pStyle w:val="FootnoteText"/>
      </w:pPr>
      <w:r>
        <w:rPr>
          <w:rStyle w:val="FootnoteReference"/>
        </w:rPr>
        <w:footnoteRef/>
      </w:r>
      <w:r w:rsidRPr="00966802">
        <w:rPr>
          <w:lang w:val="en-US"/>
        </w:rPr>
        <w:t xml:space="preserve"> Deegan &amp; Unermann 2006, p. 229</w:t>
      </w:r>
    </w:p>
  </w:footnote>
  <w:footnote w:id="44">
    <w:p w:rsidR="00497A28" w:rsidRDefault="00497A28">
      <w:pPr>
        <w:pStyle w:val="FootnoteText"/>
      </w:pPr>
      <w:r>
        <w:rPr>
          <w:rStyle w:val="FootnoteReference"/>
        </w:rPr>
        <w:footnoteRef/>
      </w:r>
      <w:r w:rsidRPr="00966802">
        <w:rPr>
          <w:lang w:val="en-US"/>
        </w:rPr>
        <w:t xml:space="preserve"> Global IFRS, ED 10</w:t>
      </w:r>
    </w:p>
  </w:footnote>
  <w:footnote w:id="45">
    <w:p w:rsidR="00497A28" w:rsidRDefault="00497A28">
      <w:pPr>
        <w:pStyle w:val="FootnoteText"/>
      </w:pPr>
      <w:r>
        <w:rPr>
          <w:rStyle w:val="FootnoteReference"/>
        </w:rPr>
        <w:footnoteRef/>
      </w:r>
      <w:r w:rsidRPr="00915BD3">
        <w:t xml:space="preserve"> Alfredson et al. 2009, p. 813</w:t>
      </w:r>
    </w:p>
  </w:footnote>
  <w:footnote w:id="46">
    <w:p w:rsidR="00497A28" w:rsidRDefault="00497A28">
      <w:pPr>
        <w:pStyle w:val="FootnoteText"/>
      </w:pPr>
      <w:r>
        <w:rPr>
          <w:rStyle w:val="FootnoteReference"/>
        </w:rPr>
        <w:footnoteRef/>
      </w:r>
      <w:r>
        <w:t xml:space="preserve"> Smit 2004</w:t>
      </w:r>
    </w:p>
  </w:footnote>
  <w:footnote w:id="47">
    <w:p w:rsidR="00497A28" w:rsidRDefault="00497A28">
      <w:pPr>
        <w:pStyle w:val="FootnoteText"/>
      </w:pPr>
      <w:r>
        <w:rPr>
          <w:rStyle w:val="FootnoteReference"/>
        </w:rPr>
        <w:footnoteRef/>
      </w:r>
      <w:r>
        <w:t xml:space="preserve"> Jaarverslag Ahold 2009, p. 2</w:t>
      </w:r>
    </w:p>
  </w:footnote>
  <w:footnote w:id="48">
    <w:p w:rsidR="00497A28" w:rsidRDefault="00497A28">
      <w:pPr>
        <w:pStyle w:val="FootnoteText"/>
      </w:pPr>
      <w:r>
        <w:rPr>
          <w:rStyle w:val="FootnoteReference"/>
        </w:rPr>
        <w:footnoteRef/>
      </w:r>
      <w:r>
        <w:t xml:space="preserve"> </w:t>
      </w:r>
      <w:r w:rsidRPr="00FD3CCC">
        <w:t>http://www.ah.nl/artikel?trg=albertheijn/article.geschiedenis.detail</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F3804"/>
    <w:rsid w:val="0001012B"/>
    <w:rsid w:val="000219B9"/>
    <w:rsid w:val="0002285A"/>
    <w:rsid w:val="00036396"/>
    <w:rsid w:val="00044E15"/>
    <w:rsid w:val="00052A74"/>
    <w:rsid w:val="0005339E"/>
    <w:rsid w:val="00055A4E"/>
    <w:rsid w:val="00060B97"/>
    <w:rsid w:val="000752CC"/>
    <w:rsid w:val="000806E0"/>
    <w:rsid w:val="00082237"/>
    <w:rsid w:val="00086E19"/>
    <w:rsid w:val="00095CCF"/>
    <w:rsid w:val="000A1187"/>
    <w:rsid w:val="000B4032"/>
    <w:rsid w:val="000B57DA"/>
    <w:rsid w:val="000C1F56"/>
    <w:rsid w:val="000C2621"/>
    <w:rsid w:val="000C5CA1"/>
    <w:rsid w:val="000C7D1E"/>
    <w:rsid w:val="000D5B53"/>
    <w:rsid w:val="000E05B6"/>
    <w:rsid w:val="000E4B08"/>
    <w:rsid w:val="000E6A4D"/>
    <w:rsid w:val="0010006F"/>
    <w:rsid w:val="0010014F"/>
    <w:rsid w:val="00113A27"/>
    <w:rsid w:val="001142AB"/>
    <w:rsid w:val="00115736"/>
    <w:rsid w:val="00134786"/>
    <w:rsid w:val="00136B8B"/>
    <w:rsid w:val="0018047E"/>
    <w:rsid w:val="0018124B"/>
    <w:rsid w:val="0018647A"/>
    <w:rsid w:val="001950D5"/>
    <w:rsid w:val="001B5C7F"/>
    <w:rsid w:val="001B5E3F"/>
    <w:rsid w:val="001C03F2"/>
    <w:rsid w:val="001C3D2C"/>
    <w:rsid w:val="001D2CDD"/>
    <w:rsid w:val="001E3E49"/>
    <w:rsid w:val="001F0EA4"/>
    <w:rsid w:val="002122B7"/>
    <w:rsid w:val="0022324C"/>
    <w:rsid w:val="00232EB3"/>
    <w:rsid w:val="00246766"/>
    <w:rsid w:val="002510B1"/>
    <w:rsid w:val="00296386"/>
    <w:rsid w:val="00296724"/>
    <w:rsid w:val="002B537A"/>
    <w:rsid w:val="002C0EE2"/>
    <w:rsid w:val="002C2E69"/>
    <w:rsid w:val="002D0281"/>
    <w:rsid w:val="002F122E"/>
    <w:rsid w:val="00304E2D"/>
    <w:rsid w:val="0030514F"/>
    <w:rsid w:val="003109AF"/>
    <w:rsid w:val="0031305C"/>
    <w:rsid w:val="0031447C"/>
    <w:rsid w:val="0034428D"/>
    <w:rsid w:val="00352478"/>
    <w:rsid w:val="00353846"/>
    <w:rsid w:val="003668E0"/>
    <w:rsid w:val="00370785"/>
    <w:rsid w:val="00370B2D"/>
    <w:rsid w:val="00373672"/>
    <w:rsid w:val="00373865"/>
    <w:rsid w:val="00381677"/>
    <w:rsid w:val="00383BCF"/>
    <w:rsid w:val="003923D1"/>
    <w:rsid w:val="003953D4"/>
    <w:rsid w:val="003B21C4"/>
    <w:rsid w:val="003D5AF4"/>
    <w:rsid w:val="003D5DCC"/>
    <w:rsid w:val="003E0535"/>
    <w:rsid w:val="003E5280"/>
    <w:rsid w:val="003E6280"/>
    <w:rsid w:val="003F058A"/>
    <w:rsid w:val="00401260"/>
    <w:rsid w:val="004021DF"/>
    <w:rsid w:val="00403A67"/>
    <w:rsid w:val="004101C4"/>
    <w:rsid w:val="00422217"/>
    <w:rsid w:val="00431B5D"/>
    <w:rsid w:val="00445142"/>
    <w:rsid w:val="00467314"/>
    <w:rsid w:val="00485658"/>
    <w:rsid w:val="004912C4"/>
    <w:rsid w:val="00492AA1"/>
    <w:rsid w:val="00496D52"/>
    <w:rsid w:val="00497A28"/>
    <w:rsid w:val="004A7504"/>
    <w:rsid w:val="004B057D"/>
    <w:rsid w:val="004C5432"/>
    <w:rsid w:val="004D72BC"/>
    <w:rsid w:val="004F146B"/>
    <w:rsid w:val="00505B3E"/>
    <w:rsid w:val="00507638"/>
    <w:rsid w:val="005127B8"/>
    <w:rsid w:val="00522A73"/>
    <w:rsid w:val="00525B98"/>
    <w:rsid w:val="00526AA2"/>
    <w:rsid w:val="00527555"/>
    <w:rsid w:val="005400D5"/>
    <w:rsid w:val="005444D8"/>
    <w:rsid w:val="00545E4B"/>
    <w:rsid w:val="00552CAC"/>
    <w:rsid w:val="005626A3"/>
    <w:rsid w:val="00596028"/>
    <w:rsid w:val="00597C0B"/>
    <w:rsid w:val="005A213E"/>
    <w:rsid w:val="005B5737"/>
    <w:rsid w:val="005C6B95"/>
    <w:rsid w:val="005D3FCA"/>
    <w:rsid w:val="005E30FC"/>
    <w:rsid w:val="005E44F7"/>
    <w:rsid w:val="005E484F"/>
    <w:rsid w:val="005F3804"/>
    <w:rsid w:val="005F3AD0"/>
    <w:rsid w:val="00622A54"/>
    <w:rsid w:val="00625F1E"/>
    <w:rsid w:val="00651B64"/>
    <w:rsid w:val="006949E9"/>
    <w:rsid w:val="006B4494"/>
    <w:rsid w:val="006B637F"/>
    <w:rsid w:val="006D0402"/>
    <w:rsid w:val="006D2902"/>
    <w:rsid w:val="006E7FD1"/>
    <w:rsid w:val="0070222D"/>
    <w:rsid w:val="0070319C"/>
    <w:rsid w:val="0070579A"/>
    <w:rsid w:val="0070665A"/>
    <w:rsid w:val="00715A94"/>
    <w:rsid w:val="007202C1"/>
    <w:rsid w:val="007512C7"/>
    <w:rsid w:val="007939EF"/>
    <w:rsid w:val="00796679"/>
    <w:rsid w:val="00796878"/>
    <w:rsid w:val="007A6203"/>
    <w:rsid w:val="007B00B5"/>
    <w:rsid w:val="007C6681"/>
    <w:rsid w:val="007D257C"/>
    <w:rsid w:val="007E42C8"/>
    <w:rsid w:val="007F25F3"/>
    <w:rsid w:val="007F4A3C"/>
    <w:rsid w:val="00817549"/>
    <w:rsid w:val="00820E14"/>
    <w:rsid w:val="008248C7"/>
    <w:rsid w:val="00831890"/>
    <w:rsid w:val="00833005"/>
    <w:rsid w:val="008421A5"/>
    <w:rsid w:val="00863767"/>
    <w:rsid w:val="00883A4B"/>
    <w:rsid w:val="008A57B1"/>
    <w:rsid w:val="008A7258"/>
    <w:rsid w:val="008C3C6F"/>
    <w:rsid w:val="008C617F"/>
    <w:rsid w:val="008E538D"/>
    <w:rsid w:val="008F26C4"/>
    <w:rsid w:val="008F54D8"/>
    <w:rsid w:val="00904291"/>
    <w:rsid w:val="00906BF2"/>
    <w:rsid w:val="00910EA6"/>
    <w:rsid w:val="00915BD3"/>
    <w:rsid w:val="0093158B"/>
    <w:rsid w:val="009361B9"/>
    <w:rsid w:val="00951D15"/>
    <w:rsid w:val="009572FC"/>
    <w:rsid w:val="00966802"/>
    <w:rsid w:val="00972D53"/>
    <w:rsid w:val="00974A48"/>
    <w:rsid w:val="0099199A"/>
    <w:rsid w:val="00992143"/>
    <w:rsid w:val="009A704B"/>
    <w:rsid w:val="009C18B2"/>
    <w:rsid w:val="009D239A"/>
    <w:rsid w:val="009F6F55"/>
    <w:rsid w:val="00A17058"/>
    <w:rsid w:val="00A25590"/>
    <w:rsid w:val="00A4355A"/>
    <w:rsid w:val="00A465EC"/>
    <w:rsid w:val="00A50208"/>
    <w:rsid w:val="00A5423C"/>
    <w:rsid w:val="00A57666"/>
    <w:rsid w:val="00A6592F"/>
    <w:rsid w:val="00A77971"/>
    <w:rsid w:val="00A82592"/>
    <w:rsid w:val="00AA550B"/>
    <w:rsid w:val="00AC1810"/>
    <w:rsid w:val="00AC479F"/>
    <w:rsid w:val="00AD17F5"/>
    <w:rsid w:val="00B013E7"/>
    <w:rsid w:val="00B13EE4"/>
    <w:rsid w:val="00B165E5"/>
    <w:rsid w:val="00B3717D"/>
    <w:rsid w:val="00B511F3"/>
    <w:rsid w:val="00B71198"/>
    <w:rsid w:val="00B96645"/>
    <w:rsid w:val="00BA7C45"/>
    <w:rsid w:val="00BC1351"/>
    <w:rsid w:val="00BC2193"/>
    <w:rsid w:val="00BD03F8"/>
    <w:rsid w:val="00BD1D4B"/>
    <w:rsid w:val="00BD7272"/>
    <w:rsid w:val="00BF7FCC"/>
    <w:rsid w:val="00C13D45"/>
    <w:rsid w:val="00C243AB"/>
    <w:rsid w:val="00C27947"/>
    <w:rsid w:val="00C3560C"/>
    <w:rsid w:val="00C52499"/>
    <w:rsid w:val="00C55D9F"/>
    <w:rsid w:val="00C65425"/>
    <w:rsid w:val="00C72E99"/>
    <w:rsid w:val="00C82A20"/>
    <w:rsid w:val="00C86657"/>
    <w:rsid w:val="00C95EFB"/>
    <w:rsid w:val="00CB4757"/>
    <w:rsid w:val="00CC2DE1"/>
    <w:rsid w:val="00CC58B4"/>
    <w:rsid w:val="00CC5EEB"/>
    <w:rsid w:val="00CD0136"/>
    <w:rsid w:val="00CD7010"/>
    <w:rsid w:val="00CF053A"/>
    <w:rsid w:val="00D02CE5"/>
    <w:rsid w:val="00D269A4"/>
    <w:rsid w:val="00D32A0A"/>
    <w:rsid w:val="00D33645"/>
    <w:rsid w:val="00D920DC"/>
    <w:rsid w:val="00DA46DD"/>
    <w:rsid w:val="00DB4BA9"/>
    <w:rsid w:val="00DC0FC3"/>
    <w:rsid w:val="00DC1445"/>
    <w:rsid w:val="00DC463C"/>
    <w:rsid w:val="00DF6C2A"/>
    <w:rsid w:val="00E038E2"/>
    <w:rsid w:val="00E04D4C"/>
    <w:rsid w:val="00E05DD4"/>
    <w:rsid w:val="00E13828"/>
    <w:rsid w:val="00E24E99"/>
    <w:rsid w:val="00E356BF"/>
    <w:rsid w:val="00E4288B"/>
    <w:rsid w:val="00E529AA"/>
    <w:rsid w:val="00E762B2"/>
    <w:rsid w:val="00E84D4F"/>
    <w:rsid w:val="00E90320"/>
    <w:rsid w:val="00E9212D"/>
    <w:rsid w:val="00E93EDA"/>
    <w:rsid w:val="00EA4578"/>
    <w:rsid w:val="00ED013E"/>
    <w:rsid w:val="00ED062E"/>
    <w:rsid w:val="00ED091C"/>
    <w:rsid w:val="00ED5BF0"/>
    <w:rsid w:val="00EE2183"/>
    <w:rsid w:val="00EE43FD"/>
    <w:rsid w:val="00EE694E"/>
    <w:rsid w:val="00F04075"/>
    <w:rsid w:val="00F04557"/>
    <w:rsid w:val="00F0543E"/>
    <w:rsid w:val="00F06983"/>
    <w:rsid w:val="00F3553A"/>
    <w:rsid w:val="00F370F2"/>
    <w:rsid w:val="00F37743"/>
    <w:rsid w:val="00F53747"/>
    <w:rsid w:val="00F60D05"/>
    <w:rsid w:val="00F97385"/>
    <w:rsid w:val="00F978BF"/>
    <w:rsid w:val="00FA19C5"/>
    <w:rsid w:val="00FB2082"/>
    <w:rsid w:val="00FC012F"/>
    <w:rsid w:val="00FC53A8"/>
    <w:rsid w:val="00FD3138"/>
    <w:rsid w:val="00FD3CCC"/>
    <w:rsid w:val="00FD4BB8"/>
    <w:rsid w:val="00FE48B6"/>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1F56"/>
    <w:pPr>
      <w:spacing w:after="200" w:line="276" w:lineRule="auto"/>
    </w:pPr>
    <w:rPr>
      <w:lang w:val="nl-N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rsid w:val="000E05B6"/>
    <w:pPr>
      <w:spacing w:after="0" w:line="240" w:lineRule="auto"/>
    </w:pPr>
    <w:rPr>
      <w:sz w:val="20"/>
      <w:szCs w:val="20"/>
    </w:rPr>
  </w:style>
  <w:style w:type="character" w:customStyle="1" w:styleId="FootnoteTextChar">
    <w:name w:val="Footnote Text Char"/>
    <w:basedOn w:val="DefaultParagraphFont"/>
    <w:link w:val="FootnoteText"/>
    <w:uiPriority w:val="99"/>
    <w:locked/>
    <w:rsid w:val="000E05B6"/>
    <w:rPr>
      <w:rFonts w:cs="Times New Roman"/>
      <w:sz w:val="20"/>
      <w:szCs w:val="20"/>
    </w:rPr>
  </w:style>
  <w:style w:type="character" w:styleId="FootnoteReference">
    <w:name w:val="footnote reference"/>
    <w:basedOn w:val="DefaultParagraphFont"/>
    <w:uiPriority w:val="99"/>
    <w:semiHidden/>
    <w:rsid w:val="000E05B6"/>
    <w:rPr>
      <w:rFonts w:cs="Times New Roman"/>
      <w:vertAlign w:val="superscript"/>
    </w:rPr>
  </w:style>
  <w:style w:type="table" w:styleId="TableGrid">
    <w:name w:val="Table Grid"/>
    <w:basedOn w:val="TableNormal"/>
    <w:uiPriority w:val="99"/>
    <w:rsid w:val="008A7258"/>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B966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96645"/>
    <w:rPr>
      <w:rFonts w:ascii="Tahoma" w:hAnsi="Tahoma" w:cs="Tahoma"/>
      <w:sz w:val="16"/>
      <w:szCs w:val="16"/>
    </w:rPr>
  </w:style>
  <w:style w:type="paragraph" w:styleId="Header">
    <w:name w:val="header"/>
    <w:basedOn w:val="Normal"/>
    <w:link w:val="HeaderChar"/>
    <w:uiPriority w:val="99"/>
    <w:semiHidden/>
    <w:rsid w:val="000D5B53"/>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0D5B53"/>
    <w:rPr>
      <w:rFonts w:cs="Times New Roman"/>
    </w:rPr>
  </w:style>
  <w:style w:type="paragraph" w:styleId="Footer">
    <w:name w:val="footer"/>
    <w:basedOn w:val="Normal"/>
    <w:link w:val="FooterChar"/>
    <w:uiPriority w:val="99"/>
    <w:rsid w:val="000D5B53"/>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0D5B53"/>
    <w:rPr>
      <w:rFonts w:cs="Times New Roman"/>
    </w:rPr>
  </w:style>
</w:styles>
</file>

<file path=word/webSettings.xml><?xml version="1.0" encoding="utf-8"?>
<w:webSettings xmlns:r="http://schemas.openxmlformats.org/officeDocument/2006/relationships" xmlns:w="http://schemas.openxmlformats.org/wordprocessingml/2006/main">
  <w:divs>
    <w:div w:id="105514237">
      <w:marLeft w:val="0"/>
      <w:marRight w:val="0"/>
      <w:marTop w:val="0"/>
      <w:marBottom w:val="0"/>
      <w:divBdr>
        <w:top w:val="none" w:sz="0" w:space="0" w:color="auto"/>
        <w:left w:val="none" w:sz="0" w:space="0" w:color="auto"/>
        <w:bottom w:val="none" w:sz="0" w:space="0" w:color="auto"/>
        <w:right w:val="none" w:sz="0" w:space="0" w:color="auto"/>
      </w:divBdr>
      <w:divsChild>
        <w:div w:id="105514236">
          <w:marLeft w:val="0"/>
          <w:marRight w:val="0"/>
          <w:marTop w:val="100"/>
          <w:marBottom w:val="100"/>
          <w:divBdr>
            <w:top w:val="none" w:sz="0" w:space="0" w:color="auto"/>
            <w:left w:val="none" w:sz="0" w:space="0" w:color="auto"/>
            <w:bottom w:val="none" w:sz="0" w:space="0" w:color="auto"/>
            <w:right w:val="none" w:sz="0" w:space="0" w:color="auto"/>
          </w:divBdr>
          <w:divsChild>
            <w:div w:id="105514233">
              <w:marLeft w:val="0"/>
              <w:marRight w:val="0"/>
              <w:marTop w:val="0"/>
              <w:marBottom w:val="0"/>
              <w:divBdr>
                <w:top w:val="none" w:sz="0" w:space="0" w:color="auto"/>
                <w:left w:val="none" w:sz="0" w:space="0" w:color="auto"/>
                <w:bottom w:val="none" w:sz="0" w:space="0" w:color="auto"/>
                <w:right w:val="none" w:sz="0" w:space="0" w:color="auto"/>
              </w:divBdr>
              <w:divsChild>
                <w:div w:id="105514231">
                  <w:marLeft w:val="0"/>
                  <w:marRight w:val="0"/>
                  <w:marTop w:val="0"/>
                  <w:marBottom w:val="150"/>
                  <w:divBdr>
                    <w:top w:val="single" w:sz="6" w:space="0" w:color="6D97A7"/>
                    <w:left w:val="single" w:sz="6" w:space="0" w:color="6D97A7"/>
                    <w:bottom w:val="single" w:sz="6" w:space="4" w:color="6D97A7"/>
                    <w:right w:val="single" w:sz="6" w:space="0" w:color="6D97A7"/>
                  </w:divBdr>
                </w:div>
                <w:div w:id="105514232">
                  <w:marLeft w:val="0"/>
                  <w:marRight w:val="0"/>
                  <w:marTop w:val="0"/>
                  <w:marBottom w:val="150"/>
                  <w:divBdr>
                    <w:top w:val="single" w:sz="6" w:space="0" w:color="6D97A7"/>
                    <w:left w:val="single" w:sz="6" w:space="0" w:color="6D97A7"/>
                    <w:bottom w:val="single" w:sz="6" w:space="4" w:color="6D97A7"/>
                    <w:right w:val="single" w:sz="6" w:space="0" w:color="6D97A7"/>
                  </w:divBdr>
                </w:div>
                <w:div w:id="105514234">
                  <w:marLeft w:val="0"/>
                  <w:marRight w:val="0"/>
                  <w:marTop w:val="0"/>
                  <w:marBottom w:val="150"/>
                  <w:divBdr>
                    <w:top w:val="single" w:sz="6" w:space="0" w:color="6D97A7"/>
                    <w:left w:val="single" w:sz="6" w:space="0" w:color="6D97A7"/>
                    <w:bottom w:val="single" w:sz="6" w:space="6" w:color="6D97A7"/>
                    <w:right w:val="single" w:sz="6" w:space="0" w:color="6D97A7"/>
                  </w:divBdr>
                </w:div>
                <w:div w:id="105514238">
                  <w:marLeft w:val="0"/>
                  <w:marRight w:val="0"/>
                  <w:marTop w:val="0"/>
                  <w:marBottom w:val="150"/>
                  <w:divBdr>
                    <w:top w:val="single" w:sz="6" w:space="0" w:color="6D97A7"/>
                    <w:left w:val="single" w:sz="6" w:space="0" w:color="6D97A7"/>
                    <w:bottom w:val="single" w:sz="6" w:space="4" w:color="6D97A7"/>
                    <w:right w:val="single" w:sz="6" w:space="0" w:color="6D97A7"/>
                  </w:divBdr>
                </w:div>
                <w:div w:id="105514239">
                  <w:marLeft w:val="0"/>
                  <w:marRight w:val="0"/>
                  <w:marTop w:val="0"/>
                  <w:marBottom w:val="150"/>
                  <w:divBdr>
                    <w:top w:val="single" w:sz="6" w:space="0" w:color="6D97A7"/>
                    <w:left w:val="single" w:sz="6" w:space="0" w:color="6D97A7"/>
                    <w:bottom w:val="single" w:sz="6" w:space="4" w:color="6D97A7"/>
                    <w:right w:val="single" w:sz="6" w:space="0" w:color="6D97A7"/>
                  </w:divBdr>
                </w:div>
                <w:div w:id="105514240">
                  <w:marLeft w:val="0"/>
                  <w:marRight w:val="0"/>
                  <w:marTop w:val="0"/>
                  <w:marBottom w:val="150"/>
                  <w:divBdr>
                    <w:top w:val="single" w:sz="6" w:space="0" w:color="6D97A7"/>
                    <w:left w:val="single" w:sz="6" w:space="0" w:color="6D97A7"/>
                    <w:bottom w:val="single" w:sz="6" w:space="4" w:color="6D97A7"/>
                    <w:right w:val="single" w:sz="6" w:space="0" w:color="6D97A7"/>
                  </w:divBdr>
                </w:div>
              </w:divsChild>
            </w:div>
            <w:div w:id="105514235">
              <w:marLeft w:val="255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49</Pages>
  <Words>14507</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Bachelor scriptie</dc:title>
  <dc:subject/>
  <dc:creator>Claudia</dc:creator>
  <cp:keywords/>
  <dc:description/>
  <cp:lastModifiedBy>Cia L. Scholte</cp:lastModifiedBy>
  <cp:revision>2</cp:revision>
  <cp:lastPrinted>2010-07-01T17:00:00Z</cp:lastPrinted>
  <dcterms:created xsi:type="dcterms:W3CDTF">2010-07-02T11:28:00Z</dcterms:created>
  <dcterms:modified xsi:type="dcterms:W3CDTF">2010-07-02T11:28:00Z</dcterms:modified>
</cp:coreProperties>
</file>