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568F" w:rsidRDefault="00EA568F" w:rsidP="002C7995">
      <w:pPr>
        <w:rPr>
          <w:lang w:val="nl-NL"/>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84pt;margin-top:-63pt;width:572.55pt;height:819pt;z-index:251658240">
            <v:imagedata r:id="rId7" o:title="" gain="69719f"/>
          </v:shape>
        </w:pict>
      </w: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Default="00EA568F" w:rsidP="002C7995">
      <w:pPr>
        <w:rPr>
          <w:lang w:val="nl-NL"/>
        </w:rPr>
      </w:pPr>
    </w:p>
    <w:p w:rsidR="00EA568F" w:rsidRPr="00995F55" w:rsidRDefault="00EA568F" w:rsidP="002C7995">
      <w:pPr>
        <w:rPr>
          <w:rFonts w:ascii="Calibri" w:hAnsi="Calibri"/>
          <w:b/>
          <w:color w:val="003471"/>
          <w:sz w:val="28"/>
          <w:szCs w:val="28"/>
          <w:lang w:val="nl-NL"/>
        </w:rPr>
      </w:pPr>
      <w:r>
        <w:rPr>
          <w:lang w:val="nl-NL"/>
        </w:rPr>
        <w:br w:type="page"/>
      </w:r>
      <w:r w:rsidRPr="00995F55">
        <w:rPr>
          <w:rFonts w:ascii="Calibri" w:hAnsi="Calibri"/>
          <w:b/>
          <w:color w:val="003471"/>
          <w:sz w:val="28"/>
          <w:szCs w:val="28"/>
          <w:lang w:val="nl-NL"/>
        </w:rPr>
        <w:t>Inhoudsopgave</w:t>
      </w:r>
    </w:p>
    <w:p w:rsidR="00EA568F" w:rsidRDefault="00EA568F" w:rsidP="00937063">
      <w:pPr>
        <w:rPr>
          <w:color w:val="003471"/>
          <w:lang w:val="nl-NL"/>
        </w:rPr>
      </w:pPr>
    </w:p>
    <w:p w:rsidR="00EA568F" w:rsidRPr="00995F55" w:rsidRDefault="00EA568F" w:rsidP="00937063">
      <w:pPr>
        <w:rPr>
          <w:color w:val="003471"/>
          <w:lang w:val="nl-NL"/>
        </w:rPr>
      </w:pPr>
    </w:p>
    <w:p w:rsidR="00EA568F" w:rsidRPr="00995F55" w:rsidRDefault="00EA568F" w:rsidP="00995F55">
      <w:pPr>
        <w:pStyle w:val="TOC1"/>
        <w:rPr>
          <w:sz w:val="22"/>
          <w:szCs w:val="22"/>
          <w:lang w:eastAsia="nl-NL"/>
        </w:rPr>
      </w:pPr>
      <w:r>
        <w:fldChar w:fldCharType="begin"/>
      </w:r>
      <w:r>
        <w:instrText xml:space="preserve"> TOC \o "1-4" \h \z \u </w:instrText>
      </w:r>
      <w:r>
        <w:fldChar w:fldCharType="separate"/>
      </w:r>
      <w:hyperlink w:anchor="_Toc265327671" w:history="1">
        <w:r w:rsidRPr="00995F55">
          <w:rPr>
            <w:rStyle w:val="Hyperlink"/>
            <w:color w:val="003471"/>
          </w:rPr>
          <w:t>1. Inleiding</w:t>
        </w:r>
        <w:r w:rsidRPr="00995F55">
          <w:rPr>
            <w:webHidden/>
          </w:rPr>
          <w:tab/>
        </w:r>
        <w:r w:rsidRPr="00995F55">
          <w:rPr>
            <w:webHidden/>
          </w:rPr>
          <w:fldChar w:fldCharType="begin"/>
        </w:r>
        <w:r w:rsidRPr="00995F55">
          <w:rPr>
            <w:webHidden/>
          </w:rPr>
          <w:instrText xml:space="preserve"> PAGEREF _Toc265327671 \h </w:instrText>
        </w:r>
        <w:r w:rsidRPr="00995F55">
          <w:rPr>
            <w:webHidden/>
          </w:rPr>
        </w:r>
        <w:r w:rsidRPr="00995F55">
          <w:rPr>
            <w:webHidden/>
          </w:rPr>
          <w:fldChar w:fldCharType="separate"/>
        </w:r>
        <w:r>
          <w:rPr>
            <w:webHidden/>
          </w:rPr>
          <w:t>4</w:t>
        </w:r>
        <w:r w:rsidRPr="00995F55">
          <w:rPr>
            <w:webHidden/>
          </w:rPr>
          <w:fldChar w:fldCharType="end"/>
        </w:r>
      </w:hyperlink>
    </w:p>
    <w:p w:rsidR="00EA568F" w:rsidRDefault="00EA568F">
      <w:pPr>
        <w:pStyle w:val="TOC2"/>
        <w:tabs>
          <w:tab w:val="left" w:pos="720"/>
          <w:tab w:val="right" w:leader="dot" w:pos="8296"/>
        </w:tabs>
        <w:rPr>
          <w:smallCaps w:val="0"/>
          <w:noProof/>
          <w:sz w:val="22"/>
          <w:szCs w:val="22"/>
          <w:lang w:val="nl-NL" w:eastAsia="nl-NL"/>
        </w:rPr>
      </w:pPr>
      <w:hyperlink w:anchor="_Toc265327672" w:history="1">
        <w:r w:rsidRPr="007F60D2">
          <w:rPr>
            <w:rStyle w:val="Hyperlink"/>
            <w:noProof/>
            <w:lang w:val="nl-NL"/>
          </w:rPr>
          <w:t>1.1</w:t>
        </w:r>
        <w:r>
          <w:rPr>
            <w:smallCaps w:val="0"/>
            <w:noProof/>
            <w:sz w:val="22"/>
            <w:szCs w:val="22"/>
            <w:lang w:val="nl-NL" w:eastAsia="nl-NL"/>
          </w:rPr>
          <w:tab/>
        </w:r>
        <w:r w:rsidRPr="007F60D2">
          <w:rPr>
            <w:rStyle w:val="Hyperlink"/>
            <w:noProof/>
            <w:lang w:val="nl-NL"/>
          </w:rPr>
          <w:t>Aanleiding</w:t>
        </w:r>
        <w:r>
          <w:rPr>
            <w:noProof/>
            <w:webHidden/>
          </w:rPr>
          <w:tab/>
        </w:r>
        <w:r>
          <w:rPr>
            <w:noProof/>
            <w:webHidden/>
          </w:rPr>
          <w:fldChar w:fldCharType="begin"/>
        </w:r>
        <w:r>
          <w:rPr>
            <w:noProof/>
            <w:webHidden/>
          </w:rPr>
          <w:instrText xml:space="preserve"> PAGEREF _Toc265327672 \h </w:instrText>
        </w:r>
        <w:r>
          <w:rPr>
            <w:noProof/>
            <w:webHidden/>
          </w:rPr>
        </w:r>
        <w:r>
          <w:rPr>
            <w:noProof/>
            <w:webHidden/>
          </w:rPr>
          <w:fldChar w:fldCharType="separate"/>
        </w:r>
        <w:r>
          <w:rPr>
            <w:noProof/>
            <w:webHidden/>
          </w:rPr>
          <w:t>4</w:t>
        </w:r>
        <w:r>
          <w:rPr>
            <w:noProof/>
            <w:webHidden/>
          </w:rPr>
          <w:fldChar w:fldCharType="end"/>
        </w:r>
      </w:hyperlink>
    </w:p>
    <w:p w:rsidR="00EA568F" w:rsidRDefault="00EA568F">
      <w:pPr>
        <w:pStyle w:val="TOC2"/>
        <w:tabs>
          <w:tab w:val="left" w:pos="720"/>
          <w:tab w:val="right" w:leader="dot" w:pos="8296"/>
        </w:tabs>
        <w:rPr>
          <w:smallCaps w:val="0"/>
          <w:noProof/>
          <w:sz w:val="22"/>
          <w:szCs w:val="22"/>
          <w:lang w:val="nl-NL" w:eastAsia="nl-NL"/>
        </w:rPr>
      </w:pPr>
      <w:hyperlink w:anchor="_Toc265327673" w:history="1">
        <w:r w:rsidRPr="007F60D2">
          <w:rPr>
            <w:rStyle w:val="Hyperlink"/>
            <w:noProof/>
            <w:lang w:val="nl-NL"/>
          </w:rPr>
          <w:t>1.2</w:t>
        </w:r>
        <w:r>
          <w:rPr>
            <w:smallCaps w:val="0"/>
            <w:noProof/>
            <w:sz w:val="22"/>
            <w:szCs w:val="22"/>
            <w:lang w:val="nl-NL" w:eastAsia="nl-NL"/>
          </w:rPr>
          <w:tab/>
        </w:r>
        <w:r w:rsidRPr="007F60D2">
          <w:rPr>
            <w:rStyle w:val="Hyperlink"/>
            <w:noProof/>
            <w:lang w:val="nl-NL"/>
          </w:rPr>
          <w:t>Relevantie</w:t>
        </w:r>
        <w:r>
          <w:rPr>
            <w:noProof/>
            <w:webHidden/>
          </w:rPr>
          <w:tab/>
        </w:r>
        <w:r>
          <w:rPr>
            <w:noProof/>
            <w:webHidden/>
          </w:rPr>
          <w:fldChar w:fldCharType="begin"/>
        </w:r>
        <w:r>
          <w:rPr>
            <w:noProof/>
            <w:webHidden/>
          </w:rPr>
          <w:instrText xml:space="preserve"> PAGEREF _Toc265327673 \h </w:instrText>
        </w:r>
        <w:r>
          <w:rPr>
            <w:noProof/>
            <w:webHidden/>
          </w:rPr>
        </w:r>
        <w:r>
          <w:rPr>
            <w:noProof/>
            <w:webHidden/>
          </w:rPr>
          <w:fldChar w:fldCharType="separate"/>
        </w:r>
        <w:r>
          <w:rPr>
            <w:noProof/>
            <w:webHidden/>
          </w:rPr>
          <w:t>5</w:t>
        </w:r>
        <w:r>
          <w:rPr>
            <w:noProof/>
            <w:webHidden/>
          </w:rPr>
          <w:fldChar w:fldCharType="end"/>
        </w:r>
      </w:hyperlink>
    </w:p>
    <w:p w:rsidR="00EA568F" w:rsidRDefault="00EA568F">
      <w:pPr>
        <w:pStyle w:val="TOC2"/>
        <w:tabs>
          <w:tab w:val="left" w:pos="720"/>
          <w:tab w:val="right" w:leader="dot" w:pos="8296"/>
        </w:tabs>
        <w:rPr>
          <w:smallCaps w:val="0"/>
          <w:noProof/>
          <w:sz w:val="22"/>
          <w:szCs w:val="22"/>
          <w:lang w:val="nl-NL" w:eastAsia="nl-NL"/>
        </w:rPr>
      </w:pPr>
      <w:hyperlink w:anchor="_Toc265327674" w:history="1">
        <w:r w:rsidRPr="007F60D2">
          <w:rPr>
            <w:rStyle w:val="Hyperlink"/>
            <w:noProof/>
            <w:lang w:val="nl-NL"/>
          </w:rPr>
          <w:t>1.3</w:t>
        </w:r>
        <w:r>
          <w:rPr>
            <w:smallCaps w:val="0"/>
            <w:noProof/>
            <w:sz w:val="22"/>
            <w:szCs w:val="22"/>
            <w:lang w:val="nl-NL" w:eastAsia="nl-NL"/>
          </w:rPr>
          <w:tab/>
        </w:r>
        <w:r w:rsidRPr="007F60D2">
          <w:rPr>
            <w:rStyle w:val="Hyperlink"/>
            <w:noProof/>
            <w:lang w:val="nl-NL"/>
          </w:rPr>
          <w:t>Probleemstelling</w:t>
        </w:r>
        <w:r>
          <w:rPr>
            <w:noProof/>
            <w:webHidden/>
          </w:rPr>
          <w:tab/>
        </w:r>
        <w:r>
          <w:rPr>
            <w:noProof/>
            <w:webHidden/>
          </w:rPr>
          <w:fldChar w:fldCharType="begin"/>
        </w:r>
        <w:r>
          <w:rPr>
            <w:noProof/>
            <w:webHidden/>
          </w:rPr>
          <w:instrText xml:space="preserve"> PAGEREF _Toc265327674 \h </w:instrText>
        </w:r>
        <w:r>
          <w:rPr>
            <w:noProof/>
            <w:webHidden/>
          </w:rPr>
        </w:r>
        <w:r>
          <w:rPr>
            <w:noProof/>
            <w:webHidden/>
          </w:rPr>
          <w:fldChar w:fldCharType="separate"/>
        </w:r>
        <w:r>
          <w:rPr>
            <w:noProof/>
            <w:webHidden/>
          </w:rPr>
          <w:t>6</w:t>
        </w:r>
        <w:r>
          <w:rPr>
            <w:noProof/>
            <w:webHidden/>
          </w:rPr>
          <w:fldChar w:fldCharType="end"/>
        </w:r>
      </w:hyperlink>
    </w:p>
    <w:p w:rsidR="00EA568F" w:rsidRDefault="00EA568F">
      <w:pPr>
        <w:pStyle w:val="TOC2"/>
        <w:tabs>
          <w:tab w:val="left" w:pos="720"/>
          <w:tab w:val="right" w:leader="dot" w:pos="8296"/>
        </w:tabs>
        <w:rPr>
          <w:smallCaps w:val="0"/>
          <w:noProof/>
          <w:sz w:val="22"/>
          <w:szCs w:val="22"/>
          <w:lang w:val="nl-NL" w:eastAsia="nl-NL"/>
        </w:rPr>
      </w:pPr>
      <w:hyperlink w:anchor="_Toc265327675" w:history="1">
        <w:r w:rsidRPr="007F60D2">
          <w:rPr>
            <w:rStyle w:val="Hyperlink"/>
            <w:noProof/>
          </w:rPr>
          <w:t>1.4</w:t>
        </w:r>
        <w:r>
          <w:rPr>
            <w:smallCaps w:val="0"/>
            <w:noProof/>
            <w:sz w:val="22"/>
            <w:szCs w:val="22"/>
            <w:lang w:val="nl-NL" w:eastAsia="nl-NL"/>
          </w:rPr>
          <w:tab/>
        </w:r>
        <w:r w:rsidRPr="007F60D2">
          <w:rPr>
            <w:rStyle w:val="Hyperlink"/>
            <w:noProof/>
          </w:rPr>
          <w:t>Methode van onderzoek</w:t>
        </w:r>
        <w:r>
          <w:rPr>
            <w:noProof/>
            <w:webHidden/>
          </w:rPr>
          <w:tab/>
        </w:r>
        <w:r>
          <w:rPr>
            <w:noProof/>
            <w:webHidden/>
          </w:rPr>
          <w:fldChar w:fldCharType="begin"/>
        </w:r>
        <w:r>
          <w:rPr>
            <w:noProof/>
            <w:webHidden/>
          </w:rPr>
          <w:instrText xml:space="preserve"> PAGEREF _Toc265327675 \h </w:instrText>
        </w:r>
        <w:r>
          <w:rPr>
            <w:noProof/>
            <w:webHidden/>
          </w:rPr>
        </w:r>
        <w:r>
          <w:rPr>
            <w:noProof/>
            <w:webHidden/>
          </w:rPr>
          <w:fldChar w:fldCharType="separate"/>
        </w:r>
        <w:r>
          <w:rPr>
            <w:noProof/>
            <w:webHidden/>
          </w:rPr>
          <w:t>7</w:t>
        </w:r>
        <w:r>
          <w:rPr>
            <w:noProof/>
            <w:webHidden/>
          </w:rPr>
          <w:fldChar w:fldCharType="end"/>
        </w:r>
      </w:hyperlink>
    </w:p>
    <w:p w:rsidR="00EA568F" w:rsidRDefault="00EA568F">
      <w:pPr>
        <w:pStyle w:val="TOC2"/>
        <w:tabs>
          <w:tab w:val="left" w:pos="720"/>
          <w:tab w:val="right" w:leader="dot" w:pos="8296"/>
        </w:tabs>
        <w:rPr>
          <w:smallCaps w:val="0"/>
          <w:noProof/>
          <w:sz w:val="22"/>
          <w:szCs w:val="22"/>
          <w:lang w:val="nl-NL" w:eastAsia="nl-NL"/>
        </w:rPr>
      </w:pPr>
      <w:hyperlink w:anchor="_Toc265327676" w:history="1">
        <w:r w:rsidRPr="007F60D2">
          <w:rPr>
            <w:rStyle w:val="Hyperlink"/>
            <w:noProof/>
          </w:rPr>
          <w:t>1.5</w:t>
        </w:r>
        <w:r>
          <w:rPr>
            <w:smallCaps w:val="0"/>
            <w:noProof/>
            <w:sz w:val="22"/>
            <w:szCs w:val="22"/>
            <w:lang w:val="nl-NL" w:eastAsia="nl-NL"/>
          </w:rPr>
          <w:tab/>
        </w:r>
        <w:r w:rsidRPr="007F60D2">
          <w:rPr>
            <w:rStyle w:val="Hyperlink"/>
            <w:noProof/>
          </w:rPr>
          <w:t>Doel en doelgroep</w:t>
        </w:r>
        <w:r>
          <w:rPr>
            <w:noProof/>
            <w:webHidden/>
          </w:rPr>
          <w:tab/>
        </w:r>
        <w:r>
          <w:rPr>
            <w:noProof/>
            <w:webHidden/>
          </w:rPr>
          <w:fldChar w:fldCharType="begin"/>
        </w:r>
        <w:r>
          <w:rPr>
            <w:noProof/>
            <w:webHidden/>
          </w:rPr>
          <w:instrText xml:space="preserve"> PAGEREF _Toc265327676 \h </w:instrText>
        </w:r>
        <w:r>
          <w:rPr>
            <w:noProof/>
            <w:webHidden/>
          </w:rPr>
        </w:r>
        <w:r>
          <w:rPr>
            <w:noProof/>
            <w:webHidden/>
          </w:rPr>
          <w:fldChar w:fldCharType="separate"/>
        </w:r>
        <w:r>
          <w:rPr>
            <w:noProof/>
            <w:webHidden/>
          </w:rPr>
          <w:t>7</w:t>
        </w:r>
        <w:r>
          <w:rPr>
            <w:noProof/>
            <w:webHidden/>
          </w:rPr>
          <w:fldChar w:fldCharType="end"/>
        </w:r>
      </w:hyperlink>
    </w:p>
    <w:p w:rsidR="00EA568F" w:rsidRDefault="00EA568F">
      <w:pPr>
        <w:pStyle w:val="TOC2"/>
        <w:tabs>
          <w:tab w:val="left" w:pos="720"/>
          <w:tab w:val="right" w:leader="dot" w:pos="8296"/>
        </w:tabs>
        <w:rPr>
          <w:smallCaps w:val="0"/>
          <w:noProof/>
          <w:sz w:val="22"/>
          <w:szCs w:val="22"/>
          <w:lang w:val="nl-NL" w:eastAsia="nl-NL"/>
        </w:rPr>
      </w:pPr>
      <w:hyperlink w:anchor="_Toc265327677" w:history="1">
        <w:r w:rsidRPr="007F60D2">
          <w:rPr>
            <w:rStyle w:val="Hyperlink"/>
            <w:noProof/>
          </w:rPr>
          <w:t>1.6</w:t>
        </w:r>
        <w:r>
          <w:rPr>
            <w:smallCaps w:val="0"/>
            <w:noProof/>
            <w:sz w:val="22"/>
            <w:szCs w:val="22"/>
            <w:lang w:val="nl-NL" w:eastAsia="nl-NL"/>
          </w:rPr>
          <w:tab/>
        </w:r>
        <w:r w:rsidRPr="007F60D2">
          <w:rPr>
            <w:rStyle w:val="Hyperlink"/>
            <w:noProof/>
          </w:rPr>
          <w:t>Afsluiting</w:t>
        </w:r>
        <w:r>
          <w:rPr>
            <w:noProof/>
            <w:webHidden/>
          </w:rPr>
          <w:tab/>
        </w:r>
        <w:r>
          <w:rPr>
            <w:noProof/>
            <w:webHidden/>
          </w:rPr>
          <w:fldChar w:fldCharType="begin"/>
        </w:r>
        <w:r>
          <w:rPr>
            <w:noProof/>
            <w:webHidden/>
          </w:rPr>
          <w:instrText xml:space="preserve"> PAGEREF _Toc265327677 \h </w:instrText>
        </w:r>
        <w:r>
          <w:rPr>
            <w:noProof/>
            <w:webHidden/>
          </w:rPr>
        </w:r>
        <w:r>
          <w:rPr>
            <w:noProof/>
            <w:webHidden/>
          </w:rPr>
          <w:fldChar w:fldCharType="separate"/>
        </w:r>
        <w:r>
          <w:rPr>
            <w:noProof/>
            <w:webHidden/>
          </w:rPr>
          <w:t>7</w:t>
        </w:r>
        <w:r>
          <w:rPr>
            <w:noProof/>
            <w:webHidden/>
          </w:rPr>
          <w:fldChar w:fldCharType="end"/>
        </w:r>
      </w:hyperlink>
    </w:p>
    <w:p w:rsidR="00EA568F" w:rsidRDefault="00EA568F" w:rsidP="00995F55">
      <w:pPr>
        <w:pStyle w:val="TOC1"/>
        <w:rPr>
          <w:sz w:val="22"/>
          <w:szCs w:val="22"/>
          <w:lang w:eastAsia="nl-NL"/>
        </w:rPr>
      </w:pPr>
      <w:hyperlink w:anchor="_Toc265327678" w:history="1">
        <w:r w:rsidRPr="007F60D2">
          <w:rPr>
            <w:rStyle w:val="Hyperlink"/>
          </w:rPr>
          <w:t xml:space="preserve">2. De huidige standaard IAS 17: </w:t>
        </w:r>
        <w:r w:rsidRPr="007F60D2">
          <w:rPr>
            <w:rStyle w:val="Hyperlink"/>
            <w:i/>
          </w:rPr>
          <w:t>Leases</w:t>
        </w:r>
        <w:r>
          <w:rPr>
            <w:webHidden/>
          </w:rPr>
          <w:tab/>
        </w:r>
        <w:r>
          <w:rPr>
            <w:webHidden/>
          </w:rPr>
          <w:fldChar w:fldCharType="begin"/>
        </w:r>
        <w:r>
          <w:rPr>
            <w:webHidden/>
          </w:rPr>
          <w:instrText xml:space="preserve"> PAGEREF _Toc265327678 \h </w:instrText>
        </w:r>
        <w:r>
          <w:rPr>
            <w:webHidden/>
          </w:rPr>
        </w:r>
        <w:r>
          <w:rPr>
            <w:webHidden/>
          </w:rPr>
          <w:fldChar w:fldCharType="separate"/>
        </w:r>
        <w:r>
          <w:rPr>
            <w:webHidden/>
          </w:rPr>
          <w:t>9</w:t>
        </w:r>
        <w:r>
          <w:rPr>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679" w:history="1">
        <w:r w:rsidRPr="007F60D2">
          <w:rPr>
            <w:rStyle w:val="Hyperlink"/>
            <w:noProof/>
            <w:lang w:val="nl-NL"/>
          </w:rPr>
          <w:t>2.1 Het begrip lease</w:t>
        </w:r>
        <w:r>
          <w:rPr>
            <w:noProof/>
            <w:webHidden/>
          </w:rPr>
          <w:tab/>
        </w:r>
        <w:r>
          <w:rPr>
            <w:noProof/>
            <w:webHidden/>
          </w:rPr>
          <w:fldChar w:fldCharType="begin"/>
        </w:r>
        <w:r>
          <w:rPr>
            <w:noProof/>
            <w:webHidden/>
          </w:rPr>
          <w:instrText xml:space="preserve"> PAGEREF _Toc265327679 \h </w:instrText>
        </w:r>
        <w:r>
          <w:rPr>
            <w:noProof/>
            <w:webHidden/>
          </w:rPr>
        </w:r>
        <w:r>
          <w:rPr>
            <w:noProof/>
            <w:webHidden/>
          </w:rPr>
          <w:fldChar w:fldCharType="separate"/>
        </w:r>
        <w:r>
          <w:rPr>
            <w:noProof/>
            <w:webHidden/>
          </w:rPr>
          <w:t>9</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680" w:history="1">
        <w:r w:rsidRPr="007F60D2">
          <w:rPr>
            <w:rStyle w:val="Hyperlink"/>
            <w:noProof/>
            <w:lang w:val="nl-NL"/>
          </w:rPr>
          <w:t>2.2 Leasevormen en de ‘risks and rewards’</w:t>
        </w:r>
        <w:r>
          <w:rPr>
            <w:noProof/>
            <w:webHidden/>
          </w:rPr>
          <w:tab/>
        </w:r>
        <w:r>
          <w:rPr>
            <w:noProof/>
            <w:webHidden/>
          </w:rPr>
          <w:fldChar w:fldCharType="begin"/>
        </w:r>
        <w:r>
          <w:rPr>
            <w:noProof/>
            <w:webHidden/>
          </w:rPr>
          <w:instrText xml:space="preserve"> PAGEREF _Toc265327680 \h </w:instrText>
        </w:r>
        <w:r>
          <w:rPr>
            <w:noProof/>
            <w:webHidden/>
          </w:rPr>
        </w:r>
        <w:r>
          <w:rPr>
            <w:noProof/>
            <w:webHidden/>
          </w:rPr>
          <w:fldChar w:fldCharType="separate"/>
        </w:r>
        <w:r>
          <w:rPr>
            <w:noProof/>
            <w:webHidden/>
          </w:rPr>
          <w:t>10</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681" w:history="1">
        <w:r w:rsidRPr="007F60D2">
          <w:rPr>
            <w:rStyle w:val="Hyperlink"/>
            <w:noProof/>
            <w:lang w:val="nl-NL"/>
          </w:rPr>
          <w:t>2.3 De verwerking bij een lessee</w:t>
        </w:r>
        <w:r>
          <w:rPr>
            <w:noProof/>
            <w:webHidden/>
          </w:rPr>
          <w:tab/>
        </w:r>
        <w:r>
          <w:rPr>
            <w:noProof/>
            <w:webHidden/>
          </w:rPr>
          <w:fldChar w:fldCharType="begin"/>
        </w:r>
        <w:r>
          <w:rPr>
            <w:noProof/>
            <w:webHidden/>
          </w:rPr>
          <w:instrText xml:space="preserve"> PAGEREF _Toc265327681 \h </w:instrText>
        </w:r>
        <w:r>
          <w:rPr>
            <w:noProof/>
            <w:webHidden/>
          </w:rPr>
        </w:r>
        <w:r>
          <w:rPr>
            <w:noProof/>
            <w:webHidden/>
          </w:rPr>
          <w:fldChar w:fldCharType="separate"/>
        </w:r>
        <w:r>
          <w:rPr>
            <w:noProof/>
            <w:webHidden/>
          </w:rPr>
          <w:t>11</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682" w:history="1">
        <w:r w:rsidRPr="007F60D2">
          <w:rPr>
            <w:rStyle w:val="Hyperlink"/>
            <w:noProof/>
            <w:lang w:val="nl-NL"/>
          </w:rPr>
          <w:t>2.3.1 Verwerking van een financiële lease</w:t>
        </w:r>
        <w:r>
          <w:rPr>
            <w:noProof/>
            <w:webHidden/>
          </w:rPr>
          <w:tab/>
        </w:r>
        <w:r>
          <w:rPr>
            <w:noProof/>
            <w:webHidden/>
          </w:rPr>
          <w:fldChar w:fldCharType="begin"/>
        </w:r>
        <w:r>
          <w:rPr>
            <w:noProof/>
            <w:webHidden/>
          </w:rPr>
          <w:instrText xml:space="preserve"> PAGEREF _Toc265327682 \h </w:instrText>
        </w:r>
        <w:r>
          <w:rPr>
            <w:noProof/>
            <w:webHidden/>
          </w:rPr>
        </w:r>
        <w:r>
          <w:rPr>
            <w:noProof/>
            <w:webHidden/>
          </w:rPr>
          <w:fldChar w:fldCharType="separate"/>
        </w:r>
        <w:r>
          <w:rPr>
            <w:noProof/>
            <w:webHidden/>
          </w:rPr>
          <w:t>11</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683" w:history="1">
        <w:r w:rsidRPr="007F60D2">
          <w:rPr>
            <w:rStyle w:val="Hyperlink"/>
            <w:noProof/>
            <w:lang w:val="nl-NL"/>
          </w:rPr>
          <w:t>2.3.2 Verwerking van een operationele lease</w:t>
        </w:r>
        <w:r>
          <w:rPr>
            <w:noProof/>
            <w:webHidden/>
          </w:rPr>
          <w:tab/>
        </w:r>
        <w:r>
          <w:rPr>
            <w:noProof/>
            <w:webHidden/>
          </w:rPr>
          <w:fldChar w:fldCharType="begin"/>
        </w:r>
        <w:r>
          <w:rPr>
            <w:noProof/>
            <w:webHidden/>
          </w:rPr>
          <w:instrText xml:space="preserve"> PAGEREF _Toc265327683 \h </w:instrText>
        </w:r>
        <w:r>
          <w:rPr>
            <w:noProof/>
            <w:webHidden/>
          </w:rPr>
        </w:r>
        <w:r>
          <w:rPr>
            <w:noProof/>
            <w:webHidden/>
          </w:rPr>
          <w:fldChar w:fldCharType="separate"/>
        </w:r>
        <w:r>
          <w:rPr>
            <w:noProof/>
            <w:webHidden/>
          </w:rPr>
          <w:t>12</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684" w:history="1">
        <w:r w:rsidRPr="007F60D2">
          <w:rPr>
            <w:rStyle w:val="Hyperlink"/>
            <w:noProof/>
            <w:lang w:val="nl-NL"/>
          </w:rPr>
          <w:t>2.3.3 Vergelijking</w:t>
        </w:r>
        <w:r>
          <w:rPr>
            <w:noProof/>
            <w:webHidden/>
          </w:rPr>
          <w:tab/>
        </w:r>
        <w:r>
          <w:rPr>
            <w:noProof/>
            <w:webHidden/>
          </w:rPr>
          <w:fldChar w:fldCharType="begin"/>
        </w:r>
        <w:r>
          <w:rPr>
            <w:noProof/>
            <w:webHidden/>
          </w:rPr>
          <w:instrText xml:space="preserve"> PAGEREF _Toc265327684 \h </w:instrText>
        </w:r>
        <w:r>
          <w:rPr>
            <w:noProof/>
            <w:webHidden/>
          </w:rPr>
        </w:r>
        <w:r>
          <w:rPr>
            <w:noProof/>
            <w:webHidden/>
          </w:rPr>
          <w:fldChar w:fldCharType="separate"/>
        </w:r>
        <w:r>
          <w:rPr>
            <w:noProof/>
            <w:webHidden/>
          </w:rPr>
          <w:t>13</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685" w:history="1">
        <w:r w:rsidRPr="007F60D2">
          <w:rPr>
            <w:rStyle w:val="Hyperlink"/>
            <w:noProof/>
            <w:lang w:val="nl-NL"/>
          </w:rPr>
          <w:t>2.4 De verwerking bij een lessor</w:t>
        </w:r>
        <w:r>
          <w:rPr>
            <w:noProof/>
            <w:webHidden/>
          </w:rPr>
          <w:tab/>
        </w:r>
        <w:r>
          <w:rPr>
            <w:noProof/>
            <w:webHidden/>
          </w:rPr>
          <w:fldChar w:fldCharType="begin"/>
        </w:r>
        <w:r>
          <w:rPr>
            <w:noProof/>
            <w:webHidden/>
          </w:rPr>
          <w:instrText xml:space="preserve"> PAGEREF _Toc265327685 \h </w:instrText>
        </w:r>
        <w:r>
          <w:rPr>
            <w:noProof/>
            <w:webHidden/>
          </w:rPr>
        </w:r>
        <w:r>
          <w:rPr>
            <w:noProof/>
            <w:webHidden/>
          </w:rPr>
          <w:fldChar w:fldCharType="separate"/>
        </w:r>
        <w:r>
          <w:rPr>
            <w:noProof/>
            <w:webHidden/>
          </w:rPr>
          <w:t>14</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686" w:history="1">
        <w:r w:rsidRPr="007F60D2">
          <w:rPr>
            <w:rStyle w:val="Hyperlink"/>
            <w:noProof/>
            <w:lang w:val="nl-NL"/>
          </w:rPr>
          <w:t>2.4.1 Verwerking van een financiële lease</w:t>
        </w:r>
        <w:r>
          <w:rPr>
            <w:noProof/>
            <w:webHidden/>
          </w:rPr>
          <w:tab/>
        </w:r>
        <w:r>
          <w:rPr>
            <w:noProof/>
            <w:webHidden/>
          </w:rPr>
          <w:fldChar w:fldCharType="begin"/>
        </w:r>
        <w:r>
          <w:rPr>
            <w:noProof/>
            <w:webHidden/>
          </w:rPr>
          <w:instrText xml:space="preserve"> PAGEREF _Toc265327686 \h </w:instrText>
        </w:r>
        <w:r>
          <w:rPr>
            <w:noProof/>
            <w:webHidden/>
          </w:rPr>
        </w:r>
        <w:r>
          <w:rPr>
            <w:noProof/>
            <w:webHidden/>
          </w:rPr>
          <w:fldChar w:fldCharType="separate"/>
        </w:r>
        <w:r>
          <w:rPr>
            <w:noProof/>
            <w:webHidden/>
          </w:rPr>
          <w:t>14</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687" w:history="1">
        <w:r w:rsidRPr="007F60D2">
          <w:rPr>
            <w:rStyle w:val="Hyperlink"/>
            <w:noProof/>
            <w:lang w:val="nl-NL"/>
          </w:rPr>
          <w:t>2.4.2 Verwerking van een operationele lease</w:t>
        </w:r>
        <w:r>
          <w:rPr>
            <w:noProof/>
            <w:webHidden/>
          </w:rPr>
          <w:tab/>
        </w:r>
        <w:r>
          <w:rPr>
            <w:noProof/>
            <w:webHidden/>
          </w:rPr>
          <w:fldChar w:fldCharType="begin"/>
        </w:r>
        <w:r>
          <w:rPr>
            <w:noProof/>
            <w:webHidden/>
          </w:rPr>
          <w:instrText xml:space="preserve"> PAGEREF _Toc265327687 \h </w:instrText>
        </w:r>
        <w:r>
          <w:rPr>
            <w:noProof/>
            <w:webHidden/>
          </w:rPr>
        </w:r>
        <w:r>
          <w:rPr>
            <w:noProof/>
            <w:webHidden/>
          </w:rPr>
          <w:fldChar w:fldCharType="separate"/>
        </w:r>
        <w:r>
          <w:rPr>
            <w:noProof/>
            <w:webHidden/>
          </w:rPr>
          <w:t>15</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688" w:history="1">
        <w:r w:rsidRPr="007F60D2">
          <w:rPr>
            <w:rStyle w:val="Hyperlink"/>
            <w:noProof/>
            <w:lang w:val="nl-NL"/>
          </w:rPr>
          <w:t>2.4.3 Vergelijking</w:t>
        </w:r>
        <w:r>
          <w:rPr>
            <w:noProof/>
            <w:webHidden/>
          </w:rPr>
          <w:tab/>
        </w:r>
        <w:r>
          <w:rPr>
            <w:noProof/>
            <w:webHidden/>
          </w:rPr>
          <w:fldChar w:fldCharType="begin"/>
        </w:r>
        <w:r>
          <w:rPr>
            <w:noProof/>
            <w:webHidden/>
          </w:rPr>
          <w:instrText xml:space="preserve"> PAGEREF _Toc265327688 \h </w:instrText>
        </w:r>
        <w:r>
          <w:rPr>
            <w:noProof/>
            <w:webHidden/>
          </w:rPr>
        </w:r>
        <w:r>
          <w:rPr>
            <w:noProof/>
            <w:webHidden/>
          </w:rPr>
          <w:fldChar w:fldCharType="separate"/>
        </w:r>
        <w:r>
          <w:rPr>
            <w:noProof/>
            <w:webHidden/>
          </w:rPr>
          <w:t>15</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689" w:history="1">
        <w:r w:rsidRPr="007F60D2">
          <w:rPr>
            <w:rStyle w:val="Hyperlink"/>
            <w:noProof/>
            <w:lang w:val="nl-NL"/>
          </w:rPr>
          <w:t>2.5 Sale and lease back</w:t>
        </w:r>
        <w:r>
          <w:rPr>
            <w:noProof/>
            <w:webHidden/>
          </w:rPr>
          <w:tab/>
        </w:r>
        <w:r>
          <w:rPr>
            <w:noProof/>
            <w:webHidden/>
          </w:rPr>
          <w:fldChar w:fldCharType="begin"/>
        </w:r>
        <w:r>
          <w:rPr>
            <w:noProof/>
            <w:webHidden/>
          </w:rPr>
          <w:instrText xml:space="preserve"> PAGEREF _Toc265327689 \h </w:instrText>
        </w:r>
        <w:r>
          <w:rPr>
            <w:noProof/>
            <w:webHidden/>
          </w:rPr>
        </w:r>
        <w:r>
          <w:rPr>
            <w:noProof/>
            <w:webHidden/>
          </w:rPr>
          <w:fldChar w:fldCharType="separate"/>
        </w:r>
        <w:r>
          <w:rPr>
            <w:noProof/>
            <w:webHidden/>
          </w:rPr>
          <w:t>16</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690" w:history="1">
        <w:r w:rsidRPr="007F60D2">
          <w:rPr>
            <w:rStyle w:val="Hyperlink"/>
            <w:noProof/>
            <w:lang w:val="nl-NL"/>
          </w:rPr>
          <w:t>2.6 Samenvatting en conclusie</w:t>
        </w:r>
        <w:r>
          <w:rPr>
            <w:noProof/>
            <w:webHidden/>
          </w:rPr>
          <w:tab/>
        </w:r>
        <w:r>
          <w:rPr>
            <w:noProof/>
            <w:webHidden/>
          </w:rPr>
          <w:fldChar w:fldCharType="begin"/>
        </w:r>
        <w:r>
          <w:rPr>
            <w:noProof/>
            <w:webHidden/>
          </w:rPr>
          <w:instrText xml:space="preserve"> PAGEREF _Toc265327690 \h </w:instrText>
        </w:r>
        <w:r>
          <w:rPr>
            <w:noProof/>
            <w:webHidden/>
          </w:rPr>
        </w:r>
        <w:r>
          <w:rPr>
            <w:noProof/>
            <w:webHidden/>
          </w:rPr>
          <w:fldChar w:fldCharType="separate"/>
        </w:r>
        <w:r>
          <w:rPr>
            <w:noProof/>
            <w:webHidden/>
          </w:rPr>
          <w:t>16</w:t>
        </w:r>
        <w:r>
          <w:rPr>
            <w:noProof/>
            <w:webHidden/>
          </w:rPr>
          <w:fldChar w:fldCharType="end"/>
        </w:r>
      </w:hyperlink>
    </w:p>
    <w:p w:rsidR="00EA568F" w:rsidRDefault="00EA568F" w:rsidP="00995F55">
      <w:pPr>
        <w:pStyle w:val="TOC1"/>
        <w:rPr>
          <w:sz w:val="22"/>
          <w:szCs w:val="22"/>
          <w:lang w:eastAsia="nl-NL"/>
        </w:rPr>
      </w:pPr>
      <w:hyperlink w:anchor="_Toc265327691" w:history="1">
        <w:r w:rsidRPr="007F60D2">
          <w:rPr>
            <w:rStyle w:val="Hyperlink"/>
          </w:rPr>
          <w:t>3. De tekortkomingen van de huidige standaard</w:t>
        </w:r>
        <w:r>
          <w:rPr>
            <w:webHidden/>
          </w:rPr>
          <w:tab/>
        </w:r>
        <w:r>
          <w:rPr>
            <w:webHidden/>
          </w:rPr>
          <w:fldChar w:fldCharType="begin"/>
        </w:r>
        <w:r>
          <w:rPr>
            <w:webHidden/>
          </w:rPr>
          <w:instrText xml:space="preserve"> PAGEREF _Toc265327691 \h </w:instrText>
        </w:r>
        <w:r>
          <w:rPr>
            <w:webHidden/>
          </w:rPr>
        </w:r>
        <w:r>
          <w:rPr>
            <w:webHidden/>
          </w:rPr>
          <w:fldChar w:fldCharType="separate"/>
        </w:r>
        <w:r>
          <w:rPr>
            <w:webHidden/>
          </w:rPr>
          <w:t>18</w:t>
        </w:r>
        <w:r>
          <w:rPr>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692" w:history="1">
        <w:r w:rsidRPr="007F60D2">
          <w:rPr>
            <w:rStyle w:val="Hyperlink"/>
            <w:noProof/>
            <w:lang w:val="nl-NL"/>
          </w:rPr>
          <w:t>3.1 De mogelijkheid tot afstemmen</w:t>
        </w:r>
        <w:r>
          <w:rPr>
            <w:noProof/>
            <w:webHidden/>
          </w:rPr>
          <w:tab/>
        </w:r>
        <w:r>
          <w:rPr>
            <w:noProof/>
            <w:webHidden/>
          </w:rPr>
          <w:fldChar w:fldCharType="begin"/>
        </w:r>
        <w:r>
          <w:rPr>
            <w:noProof/>
            <w:webHidden/>
          </w:rPr>
          <w:instrText xml:space="preserve"> PAGEREF _Toc265327692 \h </w:instrText>
        </w:r>
        <w:r>
          <w:rPr>
            <w:noProof/>
            <w:webHidden/>
          </w:rPr>
        </w:r>
        <w:r>
          <w:rPr>
            <w:noProof/>
            <w:webHidden/>
          </w:rPr>
          <w:fldChar w:fldCharType="separate"/>
        </w:r>
        <w:r>
          <w:rPr>
            <w:noProof/>
            <w:webHidden/>
          </w:rPr>
          <w:t>18</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693" w:history="1">
        <w:r w:rsidRPr="007F60D2">
          <w:rPr>
            <w:rStyle w:val="Hyperlink"/>
            <w:noProof/>
            <w:lang w:val="nl-NL"/>
          </w:rPr>
          <w:t>3.1.1 Leasetermijnen</w:t>
        </w:r>
        <w:r>
          <w:rPr>
            <w:noProof/>
            <w:webHidden/>
          </w:rPr>
          <w:tab/>
        </w:r>
        <w:r>
          <w:rPr>
            <w:noProof/>
            <w:webHidden/>
          </w:rPr>
          <w:fldChar w:fldCharType="begin"/>
        </w:r>
        <w:r>
          <w:rPr>
            <w:noProof/>
            <w:webHidden/>
          </w:rPr>
          <w:instrText xml:space="preserve"> PAGEREF _Toc265327693 \h </w:instrText>
        </w:r>
        <w:r>
          <w:rPr>
            <w:noProof/>
            <w:webHidden/>
          </w:rPr>
        </w:r>
        <w:r>
          <w:rPr>
            <w:noProof/>
            <w:webHidden/>
          </w:rPr>
          <w:fldChar w:fldCharType="separate"/>
        </w:r>
        <w:r>
          <w:rPr>
            <w:noProof/>
            <w:webHidden/>
          </w:rPr>
          <w:t>18</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694" w:history="1">
        <w:r w:rsidRPr="007F60D2">
          <w:rPr>
            <w:rStyle w:val="Hyperlink"/>
            <w:noProof/>
            <w:lang w:val="nl-NL"/>
          </w:rPr>
          <w:t>3.1.2 Economische levensduur</w:t>
        </w:r>
        <w:r>
          <w:rPr>
            <w:noProof/>
            <w:webHidden/>
          </w:rPr>
          <w:tab/>
        </w:r>
        <w:r>
          <w:rPr>
            <w:noProof/>
            <w:webHidden/>
          </w:rPr>
          <w:fldChar w:fldCharType="begin"/>
        </w:r>
        <w:r>
          <w:rPr>
            <w:noProof/>
            <w:webHidden/>
          </w:rPr>
          <w:instrText xml:space="preserve"> PAGEREF _Toc265327694 \h </w:instrText>
        </w:r>
        <w:r>
          <w:rPr>
            <w:noProof/>
            <w:webHidden/>
          </w:rPr>
        </w:r>
        <w:r>
          <w:rPr>
            <w:noProof/>
            <w:webHidden/>
          </w:rPr>
          <w:fldChar w:fldCharType="separate"/>
        </w:r>
        <w:r>
          <w:rPr>
            <w:noProof/>
            <w:webHidden/>
          </w:rPr>
          <w:t>20</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695" w:history="1">
        <w:r w:rsidRPr="007F60D2">
          <w:rPr>
            <w:rStyle w:val="Hyperlink"/>
            <w:noProof/>
            <w:lang w:val="nl-NL"/>
          </w:rPr>
          <w:t>3.1.3 Reële waarde</w:t>
        </w:r>
        <w:r>
          <w:rPr>
            <w:noProof/>
            <w:webHidden/>
          </w:rPr>
          <w:tab/>
        </w:r>
        <w:r>
          <w:rPr>
            <w:noProof/>
            <w:webHidden/>
          </w:rPr>
          <w:fldChar w:fldCharType="begin"/>
        </w:r>
        <w:r>
          <w:rPr>
            <w:noProof/>
            <w:webHidden/>
          </w:rPr>
          <w:instrText xml:space="preserve"> PAGEREF _Toc265327695 \h </w:instrText>
        </w:r>
        <w:r>
          <w:rPr>
            <w:noProof/>
            <w:webHidden/>
          </w:rPr>
        </w:r>
        <w:r>
          <w:rPr>
            <w:noProof/>
            <w:webHidden/>
          </w:rPr>
          <w:fldChar w:fldCharType="separate"/>
        </w:r>
        <w:r>
          <w:rPr>
            <w:noProof/>
            <w:webHidden/>
          </w:rPr>
          <w:t>21</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696" w:history="1">
        <w:r w:rsidRPr="007F60D2">
          <w:rPr>
            <w:rStyle w:val="Hyperlink"/>
            <w:noProof/>
            <w:lang w:val="nl-NL"/>
          </w:rPr>
          <w:t>3.1.4 Looptijd</w:t>
        </w:r>
        <w:r>
          <w:rPr>
            <w:noProof/>
            <w:webHidden/>
          </w:rPr>
          <w:tab/>
        </w:r>
        <w:r>
          <w:rPr>
            <w:noProof/>
            <w:webHidden/>
          </w:rPr>
          <w:fldChar w:fldCharType="begin"/>
        </w:r>
        <w:r>
          <w:rPr>
            <w:noProof/>
            <w:webHidden/>
          </w:rPr>
          <w:instrText xml:space="preserve"> PAGEREF _Toc265327696 \h </w:instrText>
        </w:r>
        <w:r>
          <w:rPr>
            <w:noProof/>
            <w:webHidden/>
          </w:rPr>
        </w:r>
        <w:r>
          <w:rPr>
            <w:noProof/>
            <w:webHidden/>
          </w:rPr>
          <w:fldChar w:fldCharType="separate"/>
        </w:r>
        <w:r>
          <w:rPr>
            <w:noProof/>
            <w:webHidden/>
          </w:rPr>
          <w:t>21</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697" w:history="1">
        <w:r w:rsidRPr="007F60D2">
          <w:rPr>
            <w:rStyle w:val="Hyperlink"/>
            <w:noProof/>
            <w:lang w:val="nl-NL"/>
          </w:rPr>
          <w:t>3.2 Kritiekpunten</w:t>
        </w:r>
        <w:r>
          <w:rPr>
            <w:noProof/>
            <w:webHidden/>
          </w:rPr>
          <w:tab/>
        </w:r>
        <w:r>
          <w:rPr>
            <w:noProof/>
            <w:webHidden/>
          </w:rPr>
          <w:fldChar w:fldCharType="begin"/>
        </w:r>
        <w:r>
          <w:rPr>
            <w:noProof/>
            <w:webHidden/>
          </w:rPr>
          <w:instrText xml:space="preserve"> PAGEREF _Toc265327697 \h </w:instrText>
        </w:r>
        <w:r>
          <w:rPr>
            <w:noProof/>
            <w:webHidden/>
          </w:rPr>
        </w:r>
        <w:r>
          <w:rPr>
            <w:noProof/>
            <w:webHidden/>
          </w:rPr>
          <w:fldChar w:fldCharType="separate"/>
        </w:r>
        <w:r>
          <w:rPr>
            <w:noProof/>
            <w:webHidden/>
          </w:rPr>
          <w:t>22</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698" w:history="1">
        <w:r w:rsidRPr="007F60D2">
          <w:rPr>
            <w:rStyle w:val="Hyperlink"/>
            <w:noProof/>
            <w:lang w:val="nl-NL"/>
          </w:rPr>
          <w:t>3.3 Samenvatting en conclusie</w:t>
        </w:r>
        <w:r>
          <w:rPr>
            <w:noProof/>
            <w:webHidden/>
          </w:rPr>
          <w:tab/>
        </w:r>
        <w:r>
          <w:rPr>
            <w:noProof/>
            <w:webHidden/>
          </w:rPr>
          <w:fldChar w:fldCharType="begin"/>
        </w:r>
        <w:r>
          <w:rPr>
            <w:noProof/>
            <w:webHidden/>
          </w:rPr>
          <w:instrText xml:space="preserve"> PAGEREF _Toc265327698 \h </w:instrText>
        </w:r>
        <w:r>
          <w:rPr>
            <w:noProof/>
            <w:webHidden/>
          </w:rPr>
        </w:r>
        <w:r>
          <w:rPr>
            <w:noProof/>
            <w:webHidden/>
          </w:rPr>
          <w:fldChar w:fldCharType="separate"/>
        </w:r>
        <w:r>
          <w:rPr>
            <w:noProof/>
            <w:webHidden/>
          </w:rPr>
          <w:t>23</w:t>
        </w:r>
        <w:r>
          <w:rPr>
            <w:noProof/>
            <w:webHidden/>
          </w:rPr>
          <w:fldChar w:fldCharType="end"/>
        </w:r>
      </w:hyperlink>
    </w:p>
    <w:p w:rsidR="00EA568F" w:rsidRDefault="00EA568F" w:rsidP="00995F55">
      <w:pPr>
        <w:pStyle w:val="TOC1"/>
        <w:rPr>
          <w:sz w:val="22"/>
          <w:szCs w:val="22"/>
          <w:lang w:eastAsia="nl-NL"/>
        </w:rPr>
      </w:pPr>
      <w:hyperlink w:anchor="_Toc265327699" w:history="1">
        <w:r w:rsidRPr="007F60D2">
          <w:rPr>
            <w:rStyle w:val="Hyperlink"/>
          </w:rPr>
          <w:t>4. De nieuwe lease accounting standaard</w:t>
        </w:r>
        <w:r>
          <w:rPr>
            <w:webHidden/>
          </w:rPr>
          <w:tab/>
        </w:r>
        <w:r>
          <w:rPr>
            <w:webHidden/>
          </w:rPr>
          <w:fldChar w:fldCharType="begin"/>
        </w:r>
        <w:r>
          <w:rPr>
            <w:webHidden/>
          </w:rPr>
          <w:instrText xml:space="preserve"> PAGEREF _Toc265327699 \h </w:instrText>
        </w:r>
        <w:r>
          <w:rPr>
            <w:webHidden/>
          </w:rPr>
        </w:r>
        <w:r>
          <w:rPr>
            <w:webHidden/>
          </w:rPr>
          <w:fldChar w:fldCharType="separate"/>
        </w:r>
        <w:r>
          <w:rPr>
            <w:webHidden/>
          </w:rPr>
          <w:t>25</w:t>
        </w:r>
        <w:r>
          <w:rPr>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00" w:history="1">
        <w:r w:rsidRPr="007F60D2">
          <w:rPr>
            <w:rStyle w:val="Hyperlink"/>
            <w:noProof/>
            <w:lang w:val="nl-NL"/>
          </w:rPr>
          <w:t>4.1 De nieuwe definitie van lease</w:t>
        </w:r>
        <w:r>
          <w:rPr>
            <w:noProof/>
            <w:webHidden/>
          </w:rPr>
          <w:tab/>
        </w:r>
        <w:r>
          <w:rPr>
            <w:noProof/>
            <w:webHidden/>
          </w:rPr>
          <w:fldChar w:fldCharType="begin"/>
        </w:r>
        <w:r>
          <w:rPr>
            <w:noProof/>
            <w:webHidden/>
          </w:rPr>
          <w:instrText xml:space="preserve"> PAGEREF _Toc265327700 \h </w:instrText>
        </w:r>
        <w:r>
          <w:rPr>
            <w:noProof/>
            <w:webHidden/>
          </w:rPr>
        </w:r>
        <w:r>
          <w:rPr>
            <w:noProof/>
            <w:webHidden/>
          </w:rPr>
          <w:fldChar w:fldCharType="separate"/>
        </w:r>
        <w:r>
          <w:rPr>
            <w:noProof/>
            <w:webHidden/>
          </w:rPr>
          <w:t>25</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01" w:history="1">
        <w:r w:rsidRPr="007F60D2">
          <w:rPr>
            <w:rStyle w:val="Hyperlink"/>
            <w:noProof/>
            <w:lang w:val="nl-NL"/>
          </w:rPr>
          <w:t>4.2 De ‘right to use’ benadering</w:t>
        </w:r>
        <w:r>
          <w:rPr>
            <w:noProof/>
            <w:webHidden/>
          </w:rPr>
          <w:tab/>
        </w:r>
        <w:r>
          <w:rPr>
            <w:noProof/>
            <w:webHidden/>
          </w:rPr>
          <w:fldChar w:fldCharType="begin"/>
        </w:r>
        <w:r>
          <w:rPr>
            <w:noProof/>
            <w:webHidden/>
          </w:rPr>
          <w:instrText xml:space="preserve"> PAGEREF _Toc265327701 \h </w:instrText>
        </w:r>
        <w:r>
          <w:rPr>
            <w:noProof/>
            <w:webHidden/>
          </w:rPr>
        </w:r>
        <w:r>
          <w:rPr>
            <w:noProof/>
            <w:webHidden/>
          </w:rPr>
          <w:fldChar w:fldCharType="separate"/>
        </w:r>
        <w:r>
          <w:rPr>
            <w:noProof/>
            <w:webHidden/>
          </w:rPr>
          <w:t>25</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02" w:history="1">
        <w:r w:rsidRPr="007F60D2">
          <w:rPr>
            <w:rStyle w:val="Hyperlink"/>
            <w:noProof/>
            <w:lang w:val="nl-NL"/>
          </w:rPr>
          <w:t>4.3 Leasevormen</w:t>
        </w:r>
        <w:r>
          <w:rPr>
            <w:noProof/>
            <w:webHidden/>
          </w:rPr>
          <w:tab/>
        </w:r>
        <w:r>
          <w:rPr>
            <w:noProof/>
            <w:webHidden/>
          </w:rPr>
          <w:fldChar w:fldCharType="begin"/>
        </w:r>
        <w:r>
          <w:rPr>
            <w:noProof/>
            <w:webHidden/>
          </w:rPr>
          <w:instrText xml:space="preserve"> PAGEREF _Toc265327702 \h </w:instrText>
        </w:r>
        <w:r>
          <w:rPr>
            <w:noProof/>
            <w:webHidden/>
          </w:rPr>
        </w:r>
        <w:r>
          <w:rPr>
            <w:noProof/>
            <w:webHidden/>
          </w:rPr>
          <w:fldChar w:fldCharType="separate"/>
        </w:r>
        <w:r>
          <w:rPr>
            <w:noProof/>
            <w:webHidden/>
          </w:rPr>
          <w:t>26</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03" w:history="1">
        <w:r w:rsidRPr="007F60D2">
          <w:rPr>
            <w:rStyle w:val="Hyperlink"/>
            <w:noProof/>
            <w:lang w:val="nl-NL"/>
          </w:rPr>
          <w:t>4.4 De verwerking bij een lessee</w:t>
        </w:r>
        <w:r>
          <w:rPr>
            <w:noProof/>
            <w:webHidden/>
          </w:rPr>
          <w:tab/>
        </w:r>
        <w:r>
          <w:rPr>
            <w:noProof/>
            <w:webHidden/>
          </w:rPr>
          <w:fldChar w:fldCharType="begin"/>
        </w:r>
        <w:r>
          <w:rPr>
            <w:noProof/>
            <w:webHidden/>
          </w:rPr>
          <w:instrText xml:space="preserve"> PAGEREF _Toc265327703 \h </w:instrText>
        </w:r>
        <w:r>
          <w:rPr>
            <w:noProof/>
            <w:webHidden/>
          </w:rPr>
        </w:r>
        <w:r>
          <w:rPr>
            <w:noProof/>
            <w:webHidden/>
          </w:rPr>
          <w:fldChar w:fldCharType="separate"/>
        </w:r>
        <w:r>
          <w:rPr>
            <w:noProof/>
            <w:webHidden/>
          </w:rPr>
          <w:t>26</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04" w:history="1">
        <w:r w:rsidRPr="007F60D2">
          <w:rPr>
            <w:rStyle w:val="Hyperlink"/>
            <w:noProof/>
            <w:lang w:val="nl-NL"/>
          </w:rPr>
          <w:t>4.4.1 De verwerking van een financiële lease</w:t>
        </w:r>
        <w:r>
          <w:rPr>
            <w:noProof/>
            <w:webHidden/>
          </w:rPr>
          <w:tab/>
        </w:r>
        <w:r>
          <w:rPr>
            <w:noProof/>
            <w:webHidden/>
          </w:rPr>
          <w:fldChar w:fldCharType="begin"/>
        </w:r>
        <w:r>
          <w:rPr>
            <w:noProof/>
            <w:webHidden/>
          </w:rPr>
          <w:instrText xml:space="preserve"> PAGEREF _Toc265327704 \h </w:instrText>
        </w:r>
        <w:r>
          <w:rPr>
            <w:noProof/>
            <w:webHidden/>
          </w:rPr>
        </w:r>
        <w:r>
          <w:rPr>
            <w:noProof/>
            <w:webHidden/>
          </w:rPr>
          <w:fldChar w:fldCharType="separate"/>
        </w:r>
        <w:r>
          <w:rPr>
            <w:noProof/>
            <w:webHidden/>
          </w:rPr>
          <w:t>26</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05" w:history="1">
        <w:r w:rsidRPr="007F60D2">
          <w:rPr>
            <w:rStyle w:val="Hyperlink"/>
            <w:noProof/>
            <w:lang w:val="nl-NL"/>
          </w:rPr>
          <w:t>4.4.2 De verwerking van een operationele lease</w:t>
        </w:r>
        <w:r>
          <w:rPr>
            <w:noProof/>
            <w:webHidden/>
          </w:rPr>
          <w:tab/>
        </w:r>
        <w:r>
          <w:rPr>
            <w:noProof/>
            <w:webHidden/>
          </w:rPr>
          <w:fldChar w:fldCharType="begin"/>
        </w:r>
        <w:r>
          <w:rPr>
            <w:noProof/>
            <w:webHidden/>
          </w:rPr>
          <w:instrText xml:space="preserve"> PAGEREF _Toc265327705 \h </w:instrText>
        </w:r>
        <w:r>
          <w:rPr>
            <w:noProof/>
            <w:webHidden/>
          </w:rPr>
        </w:r>
        <w:r>
          <w:rPr>
            <w:noProof/>
            <w:webHidden/>
          </w:rPr>
          <w:fldChar w:fldCharType="separate"/>
        </w:r>
        <w:r>
          <w:rPr>
            <w:noProof/>
            <w:webHidden/>
          </w:rPr>
          <w:t>27</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06" w:history="1">
        <w:r w:rsidRPr="007F60D2">
          <w:rPr>
            <w:rStyle w:val="Hyperlink"/>
            <w:noProof/>
            <w:lang w:val="nl-NL"/>
          </w:rPr>
          <w:t>4.5 De verwerking bij een lessor</w:t>
        </w:r>
        <w:r>
          <w:rPr>
            <w:noProof/>
            <w:webHidden/>
          </w:rPr>
          <w:tab/>
        </w:r>
        <w:r>
          <w:rPr>
            <w:noProof/>
            <w:webHidden/>
          </w:rPr>
          <w:fldChar w:fldCharType="begin"/>
        </w:r>
        <w:r>
          <w:rPr>
            <w:noProof/>
            <w:webHidden/>
          </w:rPr>
          <w:instrText xml:space="preserve"> PAGEREF _Toc265327706 \h </w:instrText>
        </w:r>
        <w:r>
          <w:rPr>
            <w:noProof/>
            <w:webHidden/>
          </w:rPr>
        </w:r>
        <w:r>
          <w:rPr>
            <w:noProof/>
            <w:webHidden/>
          </w:rPr>
          <w:fldChar w:fldCharType="separate"/>
        </w:r>
        <w:r>
          <w:rPr>
            <w:noProof/>
            <w:webHidden/>
          </w:rPr>
          <w:t>27</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07" w:history="1">
        <w:r w:rsidRPr="007F60D2">
          <w:rPr>
            <w:rStyle w:val="Hyperlink"/>
            <w:noProof/>
            <w:lang w:val="nl-NL"/>
          </w:rPr>
          <w:t>4.5.1 De verwerking van een financiële lease</w:t>
        </w:r>
        <w:r>
          <w:rPr>
            <w:noProof/>
            <w:webHidden/>
          </w:rPr>
          <w:tab/>
        </w:r>
        <w:r>
          <w:rPr>
            <w:noProof/>
            <w:webHidden/>
          </w:rPr>
          <w:fldChar w:fldCharType="begin"/>
        </w:r>
        <w:r>
          <w:rPr>
            <w:noProof/>
            <w:webHidden/>
          </w:rPr>
          <w:instrText xml:space="preserve"> PAGEREF _Toc265327707 \h </w:instrText>
        </w:r>
        <w:r>
          <w:rPr>
            <w:noProof/>
            <w:webHidden/>
          </w:rPr>
        </w:r>
        <w:r>
          <w:rPr>
            <w:noProof/>
            <w:webHidden/>
          </w:rPr>
          <w:fldChar w:fldCharType="separate"/>
        </w:r>
        <w:r>
          <w:rPr>
            <w:noProof/>
            <w:webHidden/>
          </w:rPr>
          <w:t>27</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08" w:history="1">
        <w:r w:rsidRPr="007F60D2">
          <w:rPr>
            <w:rStyle w:val="Hyperlink"/>
            <w:noProof/>
            <w:lang w:val="nl-NL"/>
          </w:rPr>
          <w:t>4.5.2 De verwerking van een operationele lease</w:t>
        </w:r>
        <w:r>
          <w:rPr>
            <w:noProof/>
            <w:webHidden/>
          </w:rPr>
          <w:tab/>
        </w:r>
        <w:r>
          <w:rPr>
            <w:noProof/>
            <w:webHidden/>
          </w:rPr>
          <w:fldChar w:fldCharType="begin"/>
        </w:r>
        <w:r>
          <w:rPr>
            <w:noProof/>
            <w:webHidden/>
          </w:rPr>
          <w:instrText xml:space="preserve"> PAGEREF _Toc265327708 \h </w:instrText>
        </w:r>
        <w:r>
          <w:rPr>
            <w:noProof/>
            <w:webHidden/>
          </w:rPr>
        </w:r>
        <w:r>
          <w:rPr>
            <w:noProof/>
            <w:webHidden/>
          </w:rPr>
          <w:fldChar w:fldCharType="separate"/>
        </w:r>
        <w:r>
          <w:rPr>
            <w:noProof/>
            <w:webHidden/>
          </w:rPr>
          <w:t>28</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09" w:history="1">
        <w:r w:rsidRPr="007F60D2">
          <w:rPr>
            <w:rStyle w:val="Hyperlink"/>
            <w:noProof/>
            <w:lang w:val="nl-NL"/>
          </w:rPr>
          <w:t>4.6 Sale and lease back</w:t>
        </w:r>
        <w:r>
          <w:rPr>
            <w:noProof/>
            <w:webHidden/>
          </w:rPr>
          <w:tab/>
        </w:r>
        <w:r>
          <w:rPr>
            <w:noProof/>
            <w:webHidden/>
          </w:rPr>
          <w:fldChar w:fldCharType="begin"/>
        </w:r>
        <w:r>
          <w:rPr>
            <w:noProof/>
            <w:webHidden/>
          </w:rPr>
          <w:instrText xml:space="preserve"> PAGEREF _Toc265327709 \h </w:instrText>
        </w:r>
        <w:r>
          <w:rPr>
            <w:noProof/>
            <w:webHidden/>
          </w:rPr>
        </w:r>
        <w:r>
          <w:rPr>
            <w:noProof/>
            <w:webHidden/>
          </w:rPr>
          <w:fldChar w:fldCharType="separate"/>
        </w:r>
        <w:r>
          <w:rPr>
            <w:noProof/>
            <w:webHidden/>
          </w:rPr>
          <w:t>28</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10" w:history="1">
        <w:r w:rsidRPr="007F60D2">
          <w:rPr>
            <w:rStyle w:val="Hyperlink"/>
            <w:noProof/>
            <w:lang w:val="nl-NL"/>
          </w:rPr>
          <w:t>4.7 Samenvatting en conclusie</w:t>
        </w:r>
        <w:r>
          <w:rPr>
            <w:noProof/>
            <w:webHidden/>
          </w:rPr>
          <w:tab/>
        </w:r>
        <w:r>
          <w:rPr>
            <w:noProof/>
            <w:webHidden/>
          </w:rPr>
          <w:fldChar w:fldCharType="begin"/>
        </w:r>
        <w:r>
          <w:rPr>
            <w:noProof/>
            <w:webHidden/>
          </w:rPr>
          <w:instrText xml:space="preserve"> PAGEREF _Toc265327710 \h </w:instrText>
        </w:r>
        <w:r>
          <w:rPr>
            <w:noProof/>
            <w:webHidden/>
          </w:rPr>
        </w:r>
        <w:r>
          <w:rPr>
            <w:noProof/>
            <w:webHidden/>
          </w:rPr>
          <w:fldChar w:fldCharType="separate"/>
        </w:r>
        <w:r>
          <w:rPr>
            <w:noProof/>
            <w:webHidden/>
          </w:rPr>
          <w:t>29</w:t>
        </w:r>
        <w:r>
          <w:rPr>
            <w:noProof/>
            <w:webHidden/>
          </w:rPr>
          <w:fldChar w:fldCharType="end"/>
        </w:r>
      </w:hyperlink>
    </w:p>
    <w:p w:rsidR="00EA568F" w:rsidRDefault="00EA568F" w:rsidP="00995F55">
      <w:pPr>
        <w:pStyle w:val="TOC1"/>
        <w:rPr>
          <w:sz w:val="22"/>
          <w:szCs w:val="22"/>
          <w:lang w:eastAsia="nl-NL"/>
        </w:rPr>
      </w:pPr>
      <w:hyperlink w:anchor="_Toc265327711" w:history="1">
        <w:r w:rsidRPr="007F60D2">
          <w:rPr>
            <w:rStyle w:val="Hyperlink"/>
          </w:rPr>
          <w:t>5. De effecten van de nieuwe lease accounting standaard</w:t>
        </w:r>
        <w:r>
          <w:rPr>
            <w:webHidden/>
          </w:rPr>
          <w:tab/>
        </w:r>
        <w:r>
          <w:rPr>
            <w:webHidden/>
          </w:rPr>
          <w:fldChar w:fldCharType="begin"/>
        </w:r>
        <w:r>
          <w:rPr>
            <w:webHidden/>
          </w:rPr>
          <w:instrText xml:space="preserve"> PAGEREF _Toc265327711 \h </w:instrText>
        </w:r>
        <w:r>
          <w:rPr>
            <w:webHidden/>
          </w:rPr>
        </w:r>
        <w:r>
          <w:rPr>
            <w:webHidden/>
          </w:rPr>
          <w:fldChar w:fldCharType="separate"/>
        </w:r>
        <w:r>
          <w:rPr>
            <w:webHidden/>
          </w:rPr>
          <w:t>30</w:t>
        </w:r>
        <w:r>
          <w:rPr>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12" w:history="1">
        <w:r w:rsidRPr="007F60D2">
          <w:rPr>
            <w:rStyle w:val="Hyperlink"/>
            <w:noProof/>
            <w:lang w:val="nl-NL"/>
          </w:rPr>
          <w:t>5.1 Effecten op kengetallen</w:t>
        </w:r>
        <w:r>
          <w:rPr>
            <w:noProof/>
            <w:webHidden/>
          </w:rPr>
          <w:tab/>
        </w:r>
        <w:r>
          <w:rPr>
            <w:noProof/>
            <w:webHidden/>
          </w:rPr>
          <w:fldChar w:fldCharType="begin"/>
        </w:r>
        <w:r>
          <w:rPr>
            <w:noProof/>
            <w:webHidden/>
          </w:rPr>
          <w:instrText xml:space="preserve"> PAGEREF _Toc265327712 \h </w:instrText>
        </w:r>
        <w:r>
          <w:rPr>
            <w:noProof/>
            <w:webHidden/>
          </w:rPr>
        </w:r>
        <w:r>
          <w:rPr>
            <w:noProof/>
            <w:webHidden/>
          </w:rPr>
          <w:fldChar w:fldCharType="separate"/>
        </w:r>
        <w:r>
          <w:rPr>
            <w:noProof/>
            <w:webHidden/>
          </w:rPr>
          <w:t>30</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13" w:history="1">
        <w:r w:rsidRPr="007F60D2">
          <w:rPr>
            <w:rStyle w:val="Hyperlink"/>
            <w:noProof/>
            <w:lang w:val="nl-NL"/>
          </w:rPr>
          <w:t>5.1.1 Kengetallen bij de lessee</w:t>
        </w:r>
        <w:r>
          <w:rPr>
            <w:noProof/>
            <w:webHidden/>
          </w:rPr>
          <w:tab/>
        </w:r>
        <w:r>
          <w:rPr>
            <w:noProof/>
            <w:webHidden/>
          </w:rPr>
          <w:fldChar w:fldCharType="begin"/>
        </w:r>
        <w:r>
          <w:rPr>
            <w:noProof/>
            <w:webHidden/>
          </w:rPr>
          <w:instrText xml:space="preserve"> PAGEREF _Toc265327713 \h </w:instrText>
        </w:r>
        <w:r>
          <w:rPr>
            <w:noProof/>
            <w:webHidden/>
          </w:rPr>
        </w:r>
        <w:r>
          <w:rPr>
            <w:noProof/>
            <w:webHidden/>
          </w:rPr>
          <w:fldChar w:fldCharType="separate"/>
        </w:r>
        <w:r>
          <w:rPr>
            <w:noProof/>
            <w:webHidden/>
          </w:rPr>
          <w:t>30</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14" w:history="1">
        <w:r w:rsidRPr="007F60D2">
          <w:rPr>
            <w:rStyle w:val="Hyperlink"/>
            <w:noProof/>
            <w:lang w:val="nl-NL"/>
          </w:rPr>
          <w:t>5.1.2 Kengetallen bij de lessor</w:t>
        </w:r>
        <w:r>
          <w:rPr>
            <w:noProof/>
            <w:webHidden/>
          </w:rPr>
          <w:tab/>
        </w:r>
        <w:r>
          <w:rPr>
            <w:noProof/>
            <w:webHidden/>
          </w:rPr>
          <w:fldChar w:fldCharType="begin"/>
        </w:r>
        <w:r>
          <w:rPr>
            <w:noProof/>
            <w:webHidden/>
          </w:rPr>
          <w:instrText xml:space="preserve"> PAGEREF _Toc265327714 \h </w:instrText>
        </w:r>
        <w:r>
          <w:rPr>
            <w:noProof/>
            <w:webHidden/>
          </w:rPr>
        </w:r>
        <w:r>
          <w:rPr>
            <w:noProof/>
            <w:webHidden/>
          </w:rPr>
          <w:fldChar w:fldCharType="separate"/>
        </w:r>
        <w:r>
          <w:rPr>
            <w:noProof/>
            <w:webHidden/>
          </w:rPr>
          <w:t>31</w:t>
        </w:r>
        <w:r>
          <w:rPr>
            <w:noProof/>
            <w:webHidden/>
          </w:rPr>
          <w:fldChar w:fldCharType="end"/>
        </w:r>
      </w:hyperlink>
    </w:p>
    <w:p w:rsidR="00EA568F" w:rsidRDefault="00EA568F">
      <w:pPr>
        <w:pStyle w:val="TOC4"/>
        <w:tabs>
          <w:tab w:val="right" w:leader="dot" w:pos="8296"/>
        </w:tabs>
        <w:rPr>
          <w:noProof/>
          <w:sz w:val="22"/>
          <w:szCs w:val="22"/>
          <w:lang w:val="nl-NL" w:eastAsia="nl-NL"/>
        </w:rPr>
      </w:pPr>
      <w:hyperlink w:anchor="_Toc265327715" w:history="1">
        <w:r w:rsidRPr="007F60D2">
          <w:rPr>
            <w:rStyle w:val="Hyperlink"/>
            <w:noProof/>
            <w:lang w:val="nl-NL"/>
          </w:rPr>
          <w:t>5.1.2.1 Financiële lease</w:t>
        </w:r>
        <w:r>
          <w:rPr>
            <w:noProof/>
            <w:webHidden/>
          </w:rPr>
          <w:tab/>
        </w:r>
        <w:r>
          <w:rPr>
            <w:noProof/>
            <w:webHidden/>
          </w:rPr>
          <w:fldChar w:fldCharType="begin"/>
        </w:r>
        <w:r>
          <w:rPr>
            <w:noProof/>
            <w:webHidden/>
          </w:rPr>
          <w:instrText xml:space="preserve"> PAGEREF _Toc265327715 \h </w:instrText>
        </w:r>
        <w:r>
          <w:rPr>
            <w:noProof/>
            <w:webHidden/>
          </w:rPr>
        </w:r>
        <w:r>
          <w:rPr>
            <w:noProof/>
            <w:webHidden/>
          </w:rPr>
          <w:fldChar w:fldCharType="separate"/>
        </w:r>
        <w:r>
          <w:rPr>
            <w:noProof/>
            <w:webHidden/>
          </w:rPr>
          <w:t>31</w:t>
        </w:r>
        <w:r>
          <w:rPr>
            <w:noProof/>
            <w:webHidden/>
          </w:rPr>
          <w:fldChar w:fldCharType="end"/>
        </w:r>
      </w:hyperlink>
    </w:p>
    <w:p w:rsidR="00EA568F" w:rsidRDefault="00EA568F">
      <w:pPr>
        <w:pStyle w:val="TOC4"/>
        <w:tabs>
          <w:tab w:val="right" w:leader="dot" w:pos="8296"/>
        </w:tabs>
        <w:rPr>
          <w:noProof/>
          <w:sz w:val="22"/>
          <w:szCs w:val="22"/>
          <w:lang w:val="nl-NL" w:eastAsia="nl-NL"/>
        </w:rPr>
      </w:pPr>
      <w:hyperlink w:anchor="_Toc265327716" w:history="1">
        <w:r w:rsidRPr="007F60D2">
          <w:rPr>
            <w:rStyle w:val="Hyperlink"/>
            <w:noProof/>
            <w:lang w:val="nl-NL"/>
          </w:rPr>
          <w:t>5.1.2.2 Operationele lease</w:t>
        </w:r>
        <w:r>
          <w:rPr>
            <w:noProof/>
            <w:webHidden/>
          </w:rPr>
          <w:tab/>
        </w:r>
        <w:r>
          <w:rPr>
            <w:noProof/>
            <w:webHidden/>
          </w:rPr>
          <w:fldChar w:fldCharType="begin"/>
        </w:r>
        <w:r>
          <w:rPr>
            <w:noProof/>
            <w:webHidden/>
          </w:rPr>
          <w:instrText xml:space="preserve"> PAGEREF _Toc265327716 \h </w:instrText>
        </w:r>
        <w:r>
          <w:rPr>
            <w:noProof/>
            <w:webHidden/>
          </w:rPr>
        </w:r>
        <w:r>
          <w:rPr>
            <w:noProof/>
            <w:webHidden/>
          </w:rPr>
          <w:fldChar w:fldCharType="separate"/>
        </w:r>
        <w:r>
          <w:rPr>
            <w:noProof/>
            <w:webHidden/>
          </w:rPr>
          <w:t>32</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17" w:history="1">
        <w:r w:rsidRPr="007F60D2">
          <w:rPr>
            <w:rStyle w:val="Hyperlink"/>
            <w:noProof/>
            <w:lang w:val="nl-NL"/>
          </w:rPr>
          <w:t>5.2 Leningen</w:t>
        </w:r>
        <w:r>
          <w:rPr>
            <w:noProof/>
            <w:webHidden/>
          </w:rPr>
          <w:tab/>
        </w:r>
        <w:r>
          <w:rPr>
            <w:noProof/>
            <w:webHidden/>
          </w:rPr>
          <w:fldChar w:fldCharType="begin"/>
        </w:r>
        <w:r>
          <w:rPr>
            <w:noProof/>
            <w:webHidden/>
          </w:rPr>
          <w:instrText xml:space="preserve"> PAGEREF _Toc265327717 \h </w:instrText>
        </w:r>
        <w:r>
          <w:rPr>
            <w:noProof/>
            <w:webHidden/>
          </w:rPr>
        </w:r>
        <w:r>
          <w:rPr>
            <w:noProof/>
            <w:webHidden/>
          </w:rPr>
          <w:fldChar w:fldCharType="separate"/>
        </w:r>
        <w:r>
          <w:rPr>
            <w:noProof/>
            <w:webHidden/>
          </w:rPr>
          <w:t>32</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18" w:history="1">
        <w:r w:rsidRPr="007F60D2">
          <w:rPr>
            <w:rStyle w:val="Hyperlink"/>
            <w:noProof/>
            <w:lang w:val="nl-NL"/>
          </w:rPr>
          <w:t>5.2.1 Leningconvenanten</w:t>
        </w:r>
        <w:r>
          <w:rPr>
            <w:noProof/>
            <w:webHidden/>
          </w:rPr>
          <w:tab/>
        </w:r>
        <w:r>
          <w:rPr>
            <w:noProof/>
            <w:webHidden/>
          </w:rPr>
          <w:fldChar w:fldCharType="begin"/>
        </w:r>
        <w:r>
          <w:rPr>
            <w:noProof/>
            <w:webHidden/>
          </w:rPr>
          <w:instrText xml:space="preserve"> PAGEREF _Toc265327718 \h </w:instrText>
        </w:r>
        <w:r>
          <w:rPr>
            <w:noProof/>
            <w:webHidden/>
          </w:rPr>
        </w:r>
        <w:r>
          <w:rPr>
            <w:noProof/>
            <w:webHidden/>
          </w:rPr>
          <w:fldChar w:fldCharType="separate"/>
        </w:r>
        <w:r>
          <w:rPr>
            <w:noProof/>
            <w:webHidden/>
          </w:rPr>
          <w:t>33</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19" w:history="1">
        <w:r w:rsidRPr="007F60D2">
          <w:rPr>
            <w:rStyle w:val="Hyperlink"/>
            <w:noProof/>
            <w:lang w:val="nl-NL"/>
          </w:rPr>
          <w:t>5.2.2 Bankiers</w:t>
        </w:r>
        <w:r>
          <w:rPr>
            <w:noProof/>
            <w:webHidden/>
          </w:rPr>
          <w:tab/>
        </w:r>
        <w:r>
          <w:rPr>
            <w:noProof/>
            <w:webHidden/>
          </w:rPr>
          <w:fldChar w:fldCharType="begin"/>
        </w:r>
        <w:r>
          <w:rPr>
            <w:noProof/>
            <w:webHidden/>
          </w:rPr>
          <w:instrText xml:space="preserve"> PAGEREF _Toc265327719 \h </w:instrText>
        </w:r>
        <w:r>
          <w:rPr>
            <w:noProof/>
            <w:webHidden/>
          </w:rPr>
        </w:r>
        <w:r>
          <w:rPr>
            <w:noProof/>
            <w:webHidden/>
          </w:rPr>
          <w:fldChar w:fldCharType="separate"/>
        </w:r>
        <w:r>
          <w:rPr>
            <w:noProof/>
            <w:webHidden/>
          </w:rPr>
          <w:t>34</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20" w:history="1">
        <w:r w:rsidRPr="007F60D2">
          <w:rPr>
            <w:rStyle w:val="Hyperlink"/>
            <w:noProof/>
            <w:lang w:val="nl-NL"/>
          </w:rPr>
          <w:t>5.3 Aandeelhouders</w:t>
        </w:r>
        <w:r>
          <w:rPr>
            <w:noProof/>
            <w:webHidden/>
          </w:rPr>
          <w:tab/>
        </w:r>
        <w:r>
          <w:rPr>
            <w:noProof/>
            <w:webHidden/>
          </w:rPr>
          <w:fldChar w:fldCharType="begin"/>
        </w:r>
        <w:r>
          <w:rPr>
            <w:noProof/>
            <w:webHidden/>
          </w:rPr>
          <w:instrText xml:space="preserve"> PAGEREF _Toc265327720 \h </w:instrText>
        </w:r>
        <w:r>
          <w:rPr>
            <w:noProof/>
            <w:webHidden/>
          </w:rPr>
        </w:r>
        <w:r>
          <w:rPr>
            <w:noProof/>
            <w:webHidden/>
          </w:rPr>
          <w:fldChar w:fldCharType="separate"/>
        </w:r>
        <w:r>
          <w:rPr>
            <w:noProof/>
            <w:webHidden/>
          </w:rPr>
          <w:t>34</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21" w:history="1">
        <w:r w:rsidRPr="007F60D2">
          <w:rPr>
            <w:rStyle w:val="Hyperlink"/>
            <w:noProof/>
            <w:lang w:val="nl-NL"/>
          </w:rPr>
          <w:t>5.4 Samenvatting en conclusie</w:t>
        </w:r>
        <w:r>
          <w:rPr>
            <w:noProof/>
            <w:webHidden/>
          </w:rPr>
          <w:tab/>
        </w:r>
        <w:r>
          <w:rPr>
            <w:noProof/>
            <w:webHidden/>
          </w:rPr>
          <w:fldChar w:fldCharType="begin"/>
        </w:r>
        <w:r>
          <w:rPr>
            <w:noProof/>
            <w:webHidden/>
          </w:rPr>
          <w:instrText xml:space="preserve"> PAGEREF _Toc265327721 \h </w:instrText>
        </w:r>
        <w:r>
          <w:rPr>
            <w:noProof/>
            <w:webHidden/>
          </w:rPr>
        </w:r>
        <w:r>
          <w:rPr>
            <w:noProof/>
            <w:webHidden/>
          </w:rPr>
          <w:fldChar w:fldCharType="separate"/>
        </w:r>
        <w:r>
          <w:rPr>
            <w:noProof/>
            <w:webHidden/>
          </w:rPr>
          <w:t>35</w:t>
        </w:r>
        <w:r>
          <w:rPr>
            <w:noProof/>
            <w:webHidden/>
          </w:rPr>
          <w:fldChar w:fldCharType="end"/>
        </w:r>
      </w:hyperlink>
    </w:p>
    <w:p w:rsidR="00EA568F" w:rsidRDefault="00EA568F" w:rsidP="00995F55">
      <w:pPr>
        <w:pStyle w:val="TOC1"/>
        <w:rPr>
          <w:sz w:val="22"/>
          <w:szCs w:val="22"/>
          <w:lang w:eastAsia="nl-NL"/>
        </w:rPr>
      </w:pPr>
      <w:hyperlink w:anchor="_Toc265327722" w:history="1">
        <w:r w:rsidRPr="007F60D2">
          <w:rPr>
            <w:rStyle w:val="Hyperlink"/>
          </w:rPr>
          <w:t>6. De mogelijkheid tot afstemmen onder de nieuwe standaard</w:t>
        </w:r>
        <w:r>
          <w:rPr>
            <w:webHidden/>
          </w:rPr>
          <w:tab/>
        </w:r>
        <w:r>
          <w:rPr>
            <w:webHidden/>
          </w:rPr>
          <w:fldChar w:fldCharType="begin"/>
        </w:r>
        <w:r>
          <w:rPr>
            <w:webHidden/>
          </w:rPr>
          <w:instrText xml:space="preserve"> PAGEREF _Toc265327722 \h </w:instrText>
        </w:r>
        <w:r>
          <w:rPr>
            <w:webHidden/>
          </w:rPr>
        </w:r>
        <w:r>
          <w:rPr>
            <w:webHidden/>
          </w:rPr>
          <w:fldChar w:fldCharType="separate"/>
        </w:r>
        <w:r>
          <w:rPr>
            <w:webHidden/>
          </w:rPr>
          <w:t>36</w:t>
        </w:r>
        <w:r>
          <w:rPr>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23" w:history="1">
        <w:r w:rsidRPr="007F60D2">
          <w:rPr>
            <w:rStyle w:val="Hyperlink"/>
            <w:noProof/>
            <w:lang w:val="nl-NL"/>
          </w:rPr>
          <w:t>6.1 Oude mogelijkheden onder de nieuwe standaard</w:t>
        </w:r>
        <w:r>
          <w:rPr>
            <w:noProof/>
            <w:webHidden/>
          </w:rPr>
          <w:tab/>
        </w:r>
        <w:r>
          <w:rPr>
            <w:noProof/>
            <w:webHidden/>
          </w:rPr>
          <w:fldChar w:fldCharType="begin"/>
        </w:r>
        <w:r>
          <w:rPr>
            <w:noProof/>
            <w:webHidden/>
          </w:rPr>
          <w:instrText xml:space="preserve"> PAGEREF _Toc265327723 \h </w:instrText>
        </w:r>
        <w:r>
          <w:rPr>
            <w:noProof/>
            <w:webHidden/>
          </w:rPr>
        </w:r>
        <w:r>
          <w:rPr>
            <w:noProof/>
            <w:webHidden/>
          </w:rPr>
          <w:fldChar w:fldCharType="separate"/>
        </w:r>
        <w:r>
          <w:rPr>
            <w:noProof/>
            <w:webHidden/>
          </w:rPr>
          <w:t>36</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24" w:history="1">
        <w:r w:rsidRPr="007F60D2">
          <w:rPr>
            <w:rStyle w:val="Hyperlink"/>
            <w:noProof/>
            <w:lang w:val="nl-NL"/>
          </w:rPr>
          <w:t>6.1.1 Leasetermijnen</w:t>
        </w:r>
        <w:r>
          <w:rPr>
            <w:noProof/>
            <w:webHidden/>
          </w:rPr>
          <w:tab/>
        </w:r>
        <w:r>
          <w:rPr>
            <w:noProof/>
            <w:webHidden/>
          </w:rPr>
          <w:fldChar w:fldCharType="begin"/>
        </w:r>
        <w:r>
          <w:rPr>
            <w:noProof/>
            <w:webHidden/>
          </w:rPr>
          <w:instrText xml:space="preserve"> PAGEREF _Toc265327724 \h </w:instrText>
        </w:r>
        <w:r>
          <w:rPr>
            <w:noProof/>
            <w:webHidden/>
          </w:rPr>
        </w:r>
        <w:r>
          <w:rPr>
            <w:noProof/>
            <w:webHidden/>
          </w:rPr>
          <w:fldChar w:fldCharType="separate"/>
        </w:r>
        <w:r>
          <w:rPr>
            <w:noProof/>
            <w:webHidden/>
          </w:rPr>
          <w:t>37</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25" w:history="1">
        <w:r w:rsidRPr="007F60D2">
          <w:rPr>
            <w:rStyle w:val="Hyperlink"/>
            <w:noProof/>
            <w:lang w:val="nl-NL"/>
          </w:rPr>
          <w:t>6.1.2 Economische levensduur</w:t>
        </w:r>
        <w:r>
          <w:rPr>
            <w:noProof/>
            <w:webHidden/>
          </w:rPr>
          <w:tab/>
        </w:r>
        <w:r>
          <w:rPr>
            <w:noProof/>
            <w:webHidden/>
          </w:rPr>
          <w:fldChar w:fldCharType="begin"/>
        </w:r>
        <w:r>
          <w:rPr>
            <w:noProof/>
            <w:webHidden/>
          </w:rPr>
          <w:instrText xml:space="preserve"> PAGEREF _Toc265327725 \h </w:instrText>
        </w:r>
        <w:r>
          <w:rPr>
            <w:noProof/>
            <w:webHidden/>
          </w:rPr>
        </w:r>
        <w:r>
          <w:rPr>
            <w:noProof/>
            <w:webHidden/>
          </w:rPr>
          <w:fldChar w:fldCharType="separate"/>
        </w:r>
        <w:r>
          <w:rPr>
            <w:noProof/>
            <w:webHidden/>
          </w:rPr>
          <w:t>38</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26" w:history="1">
        <w:r w:rsidRPr="007F60D2">
          <w:rPr>
            <w:rStyle w:val="Hyperlink"/>
            <w:noProof/>
            <w:lang w:val="nl-NL"/>
          </w:rPr>
          <w:t>6.1.3 Reële waarde</w:t>
        </w:r>
        <w:r>
          <w:rPr>
            <w:noProof/>
            <w:webHidden/>
          </w:rPr>
          <w:tab/>
        </w:r>
        <w:r>
          <w:rPr>
            <w:noProof/>
            <w:webHidden/>
          </w:rPr>
          <w:fldChar w:fldCharType="begin"/>
        </w:r>
        <w:r>
          <w:rPr>
            <w:noProof/>
            <w:webHidden/>
          </w:rPr>
          <w:instrText xml:space="preserve"> PAGEREF _Toc265327726 \h </w:instrText>
        </w:r>
        <w:r>
          <w:rPr>
            <w:noProof/>
            <w:webHidden/>
          </w:rPr>
        </w:r>
        <w:r>
          <w:rPr>
            <w:noProof/>
            <w:webHidden/>
          </w:rPr>
          <w:fldChar w:fldCharType="separate"/>
        </w:r>
        <w:r>
          <w:rPr>
            <w:noProof/>
            <w:webHidden/>
          </w:rPr>
          <w:t>38</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27" w:history="1">
        <w:r w:rsidRPr="007F60D2">
          <w:rPr>
            <w:rStyle w:val="Hyperlink"/>
            <w:noProof/>
            <w:lang w:val="nl-NL"/>
          </w:rPr>
          <w:t>6.1.4 Looptijd</w:t>
        </w:r>
        <w:r>
          <w:rPr>
            <w:noProof/>
            <w:webHidden/>
          </w:rPr>
          <w:tab/>
        </w:r>
        <w:r>
          <w:rPr>
            <w:noProof/>
            <w:webHidden/>
          </w:rPr>
          <w:fldChar w:fldCharType="begin"/>
        </w:r>
        <w:r>
          <w:rPr>
            <w:noProof/>
            <w:webHidden/>
          </w:rPr>
          <w:instrText xml:space="preserve"> PAGEREF _Toc265327727 \h </w:instrText>
        </w:r>
        <w:r>
          <w:rPr>
            <w:noProof/>
            <w:webHidden/>
          </w:rPr>
        </w:r>
        <w:r>
          <w:rPr>
            <w:noProof/>
            <w:webHidden/>
          </w:rPr>
          <w:fldChar w:fldCharType="separate"/>
        </w:r>
        <w:r>
          <w:rPr>
            <w:noProof/>
            <w:webHidden/>
          </w:rPr>
          <w:t>38</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28" w:history="1">
        <w:r w:rsidRPr="007F60D2">
          <w:rPr>
            <w:rStyle w:val="Hyperlink"/>
            <w:noProof/>
            <w:lang w:val="nl-NL"/>
          </w:rPr>
          <w:t>6.2 Nieuwe mogelijkheden tot afstemmen</w:t>
        </w:r>
        <w:r>
          <w:rPr>
            <w:noProof/>
            <w:webHidden/>
          </w:rPr>
          <w:tab/>
        </w:r>
        <w:r>
          <w:rPr>
            <w:noProof/>
            <w:webHidden/>
          </w:rPr>
          <w:fldChar w:fldCharType="begin"/>
        </w:r>
        <w:r>
          <w:rPr>
            <w:noProof/>
            <w:webHidden/>
          </w:rPr>
          <w:instrText xml:space="preserve"> PAGEREF _Toc265327728 \h </w:instrText>
        </w:r>
        <w:r>
          <w:rPr>
            <w:noProof/>
            <w:webHidden/>
          </w:rPr>
        </w:r>
        <w:r>
          <w:rPr>
            <w:noProof/>
            <w:webHidden/>
          </w:rPr>
          <w:fldChar w:fldCharType="separate"/>
        </w:r>
        <w:r>
          <w:rPr>
            <w:noProof/>
            <w:webHidden/>
          </w:rPr>
          <w:t>39</w:t>
        </w:r>
        <w:r>
          <w:rPr>
            <w:noProof/>
            <w:webHidden/>
          </w:rPr>
          <w:fldChar w:fldCharType="end"/>
        </w:r>
      </w:hyperlink>
    </w:p>
    <w:p w:rsidR="00EA568F" w:rsidRDefault="00EA568F">
      <w:pPr>
        <w:pStyle w:val="TOC3"/>
        <w:tabs>
          <w:tab w:val="right" w:leader="dot" w:pos="8296"/>
        </w:tabs>
        <w:rPr>
          <w:i w:val="0"/>
          <w:iCs w:val="0"/>
          <w:noProof/>
          <w:sz w:val="22"/>
          <w:szCs w:val="22"/>
          <w:lang w:val="nl-NL" w:eastAsia="nl-NL"/>
        </w:rPr>
      </w:pPr>
      <w:hyperlink w:anchor="_Toc265327729" w:history="1">
        <w:r w:rsidRPr="007F60D2">
          <w:rPr>
            <w:rStyle w:val="Hyperlink"/>
            <w:noProof/>
            <w:lang w:val="nl-NL"/>
          </w:rPr>
          <w:t>6.2.1 Servicebetalingen</w:t>
        </w:r>
        <w:r>
          <w:rPr>
            <w:noProof/>
            <w:webHidden/>
          </w:rPr>
          <w:tab/>
        </w:r>
        <w:r>
          <w:rPr>
            <w:noProof/>
            <w:webHidden/>
          </w:rPr>
          <w:fldChar w:fldCharType="begin"/>
        </w:r>
        <w:r>
          <w:rPr>
            <w:noProof/>
            <w:webHidden/>
          </w:rPr>
          <w:instrText xml:space="preserve"> PAGEREF _Toc265327729 \h </w:instrText>
        </w:r>
        <w:r>
          <w:rPr>
            <w:noProof/>
            <w:webHidden/>
          </w:rPr>
        </w:r>
        <w:r>
          <w:rPr>
            <w:noProof/>
            <w:webHidden/>
          </w:rPr>
          <w:fldChar w:fldCharType="separate"/>
        </w:r>
        <w:r>
          <w:rPr>
            <w:noProof/>
            <w:webHidden/>
          </w:rPr>
          <w:t>39</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30" w:history="1">
        <w:r w:rsidRPr="007F60D2">
          <w:rPr>
            <w:rStyle w:val="Hyperlink"/>
            <w:noProof/>
            <w:lang w:val="nl-NL"/>
          </w:rPr>
          <w:t>6.3 Samenvatting en conclusie</w:t>
        </w:r>
        <w:r>
          <w:rPr>
            <w:noProof/>
            <w:webHidden/>
          </w:rPr>
          <w:tab/>
        </w:r>
        <w:r>
          <w:rPr>
            <w:noProof/>
            <w:webHidden/>
          </w:rPr>
          <w:fldChar w:fldCharType="begin"/>
        </w:r>
        <w:r>
          <w:rPr>
            <w:noProof/>
            <w:webHidden/>
          </w:rPr>
          <w:instrText xml:space="preserve"> PAGEREF _Toc265327730 \h </w:instrText>
        </w:r>
        <w:r>
          <w:rPr>
            <w:noProof/>
            <w:webHidden/>
          </w:rPr>
        </w:r>
        <w:r>
          <w:rPr>
            <w:noProof/>
            <w:webHidden/>
          </w:rPr>
          <w:fldChar w:fldCharType="separate"/>
        </w:r>
        <w:r>
          <w:rPr>
            <w:noProof/>
            <w:webHidden/>
          </w:rPr>
          <w:t>40</w:t>
        </w:r>
        <w:r>
          <w:rPr>
            <w:noProof/>
            <w:webHidden/>
          </w:rPr>
          <w:fldChar w:fldCharType="end"/>
        </w:r>
      </w:hyperlink>
    </w:p>
    <w:p w:rsidR="00EA568F" w:rsidRDefault="00EA568F" w:rsidP="00995F55">
      <w:pPr>
        <w:pStyle w:val="TOC1"/>
        <w:rPr>
          <w:sz w:val="22"/>
          <w:szCs w:val="22"/>
          <w:lang w:eastAsia="nl-NL"/>
        </w:rPr>
      </w:pPr>
      <w:hyperlink w:anchor="_Toc265327731" w:history="1">
        <w:r w:rsidRPr="007F60D2">
          <w:rPr>
            <w:rStyle w:val="Hyperlink"/>
          </w:rPr>
          <w:t>7. Samenvatting en conclusie</w:t>
        </w:r>
        <w:r>
          <w:rPr>
            <w:webHidden/>
          </w:rPr>
          <w:tab/>
        </w:r>
        <w:r>
          <w:rPr>
            <w:webHidden/>
          </w:rPr>
          <w:fldChar w:fldCharType="begin"/>
        </w:r>
        <w:r>
          <w:rPr>
            <w:webHidden/>
          </w:rPr>
          <w:instrText xml:space="preserve"> PAGEREF _Toc265327731 \h </w:instrText>
        </w:r>
        <w:r>
          <w:rPr>
            <w:webHidden/>
          </w:rPr>
        </w:r>
        <w:r>
          <w:rPr>
            <w:webHidden/>
          </w:rPr>
          <w:fldChar w:fldCharType="separate"/>
        </w:r>
        <w:r>
          <w:rPr>
            <w:webHidden/>
          </w:rPr>
          <w:t>41</w:t>
        </w:r>
        <w:r>
          <w:rPr>
            <w:webHidden/>
          </w:rPr>
          <w:fldChar w:fldCharType="end"/>
        </w:r>
      </w:hyperlink>
    </w:p>
    <w:p w:rsidR="00EA568F" w:rsidRDefault="00EA568F" w:rsidP="00995F55">
      <w:pPr>
        <w:pStyle w:val="TOC1"/>
        <w:rPr>
          <w:sz w:val="22"/>
          <w:szCs w:val="22"/>
          <w:lang w:eastAsia="nl-NL"/>
        </w:rPr>
      </w:pPr>
      <w:hyperlink w:anchor="_Toc265327732" w:history="1">
        <w:r w:rsidRPr="007F60D2">
          <w:rPr>
            <w:rStyle w:val="Hyperlink"/>
          </w:rPr>
          <w:t>8. Tekortkomingen en suggesties</w:t>
        </w:r>
        <w:r>
          <w:rPr>
            <w:webHidden/>
          </w:rPr>
          <w:tab/>
        </w:r>
        <w:r>
          <w:rPr>
            <w:webHidden/>
          </w:rPr>
          <w:fldChar w:fldCharType="begin"/>
        </w:r>
        <w:r>
          <w:rPr>
            <w:webHidden/>
          </w:rPr>
          <w:instrText xml:space="preserve"> PAGEREF _Toc265327732 \h </w:instrText>
        </w:r>
        <w:r>
          <w:rPr>
            <w:webHidden/>
          </w:rPr>
        </w:r>
        <w:r>
          <w:rPr>
            <w:webHidden/>
          </w:rPr>
          <w:fldChar w:fldCharType="separate"/>
        </w:r>
        <w:r>
          <w:rPr>
            <w:webHidden/>
          </w:rPr>
          <w:t>43</w:t>
        </w:r>
        <w:r>
          <w:rPr>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33" w:history="1">
        <w:r w:rsidRPr="007F60D2">
          <w:rPr>
            <w:rStyle w:val="Hyperlink"/>
            <w:noProof/>
            <w:lang w:val="nl-NL"/>
          </w:rPr>
          <w:t>8.1 Tekortkomingen van dit onderzoek</w:t>
        </w:r>
        <w:r>
          <w:rPr>
            <w:noProof/>
            <w:webHidden/>
          </w:rPr>
          <w:tab/>
        </w:r>
        <w:r>
          <w:rPr>
            <w:noProof/>
            <w:webHidden/>
          </w:rPr>
          <w:fldChar w:fldCharType="begin"/>
        </w:r>
        <w:r>
          <w:rPr>
            <w:noProof/>
            <w:webHidden/>
          </w:rPr>
          <w:instrText xml:space="preserve"> PAGEREF _Toc265327733 \h </w:instrText>
        </w:r>
        <w:r>
          <w:rPr>
            <w:noProof/>
            <w:webHidden/>
          </w:rPr>
        </w:r>
        <w:r>
          <w:rPr>
            <w:noProof/>
            <w:webHidden/>
          </w:rPr>
          <w:fldChar w:fldCharType="separate"/>
        </w:r>
        <w:r>
          <w:rPr>
            <w:noProof/>
            <w:webHidden/>
          </w:rPr>
          <w:t>43</w:t>
        </w:r>
        <w:r>
          <w:rPr>
            <w:noProof/>
            <w:webHidden/>
          </w:rPr>
          <w:fldChar w:fldCharType="end"/>
        </w:r>
      </w:hyperlink>
    </w:p>
    <w:p w:rsidR="00EA568F" w:rsidRDefault="00EA568F">
      <w:pPr>
        <w:pStyle w:val="TOC2"/>
        <w:tabs>
          <w:tab w:val="right" w:leader="dot" w:pos="8296"/>
        </w:tabs>
        <w:rPr>
          <w:smallCaps w:val="0"/>
          <w:noProof/>
          <w:sz w:val="22"/>
          <w:szCs w:val="22"/>
          <w:lang w:val="nl-NL" w:eastAsia="nl-NL"/>
        </w:rPr>
      </w:pPr>
      <w:hyperlink w:anchor="_Toc265327734" w:history="1">
        <w:r w:rsidRPr="007F60D2">
          <w:rPr>
            <w:rStyle w:val="Hyperlink"/>
            <w:noProof/>
            <w:lang w:val="nl-NL"/>
          </w:rPr>
          <w:t>8.2 Suggesties voor verder onderzoek</w:t>
        </w:r>
        <w:r>
          <w:rPr>
            <w:noProof/>
            <w:webHidden/>
          </w:rPr>
          <w:tab/>
        </w:r>
        <w:r>
          <w:rPr>
            <w:noProof/>
            <w:webHidden/>
          </w:rPr>
          <w:fldChar w:fldCharType="begin"/>
        </w:r>
        <w:r>
          <w:rPr>
            <w:noProof/>
            <w:webHidden/>
          </w:rPr>
          <w:instrText xml:space="preserve"> PAGEREF _Toc265327734 \h </w:instrText>
        </w:r>
        <w:r>
          <w:rPr>
            <w:noProof/>
            <w:webHidden/>
          </w:rPr>
        </w:r>
        <w:r>
          <w:rPr>
            <w:noProof/>
            <w:webHidden/>
          </w:rPr>
          <w:fldChar w:fldCharType="separate"/>
        </w:r>
        <w:r>
          <w:rPr>
            <w:noProof/>
            <w:webHidden/>
          </w:rPr>
          <w:t>43</w:t>
        </w:r>
        <w:r>
          <w:rPr>
            <w:noProof/>
            <w:webHidden/>
          </w:rPr>
          <w:fldChar w:fldCharType="end"/>
        </w:r>
      </w:hyperlink>
    </w:p>
    <w:p w:rsidR="00EA568F" w:rsidRDefault="00EA568F" w:rsidP="00995F55">
      <w:pPr>
        <w:pStyle w:val="TOC1"/>
        <w:rPr>
          <w:sz w:val="22"/>
          <w:szCs w:val="22"/>
          <w:lang w:eastAsia="nl-NL"/>
        </w:rPr>
      </w:pPr>
      <w:hyperlink w:anchor="_Toc265327735" w:history="1">
        <w:r w:rsidRPr="007F60D2">
          <w:rPr>
            <w:rStyle w:val="Hyperlink"/>
          </w:rPr>
          <w:t>9. Bibliografie</w:t>
        </w:r>
        <w:r>
          <w:rPr>
            <w:webHidden/>
          </w:rPr>
          <w:tab/>
        </w:r>
        <w:r>
          <w:rPr>
            <w:webHidden/>
          </w:rPr>
          <w:fldChar w:fldCharType="begin"/>
        </w:r>
        <w:r>
          <w:rPr>
            <w:webHidden/>
          </w:rPr>
          <w:instrText xml:space="preserve"> PAGEREF _Toc265327735 \h </w:instrText>
        </w:r>
        <w:r>
          <w:rPr>
            <w:webHidden/>
          </w:rPr>
        </w:r>
        <w:r>
          <w:rPr>
            <w:webHidden/>
          </w:rPr>
          <w:fldChar w:fldCharType="separate"/>
        </w:r>
        <w:r>
          <w:rPr>
            <w:webHidden/>
          </w:rPr>
          <w:t>44</w:t>
        </w:r>
        <w:r>
          <w:rPr>
            <w:webHidden/>
          </w:rPr>
          <w:fldChar w:fldCharType="end"/>
        </w:r>
      </w:hyperlink>
    </w:p>
    <w:p w:rsidR="00EA568F" w:rsidRDefault="00EA568F" w:rsidP="00937063">
      <w:pPr>
        <w:rPr>
          <w:lang w:val="nl-NL"/>
        </w:rPr>
      </w:pPr>
      <w:r>
        <w:fldChar w:fldCharType="end"/>
      </w:r>
    </w:p>
    <w:p w:rsidR="00EA568F" w:rsidRDefault="00EA568F" w:rsidP="00937063">
      <w:pPr>
        <w:rPr>
          <w:lang w:val="nl-NL"/>
        </w:rPr>
      </w:pPr>
    </w:p>
    <w:p w:rsidR="00EA568F" w:rsidRDefault="00EA568F" w:rsidP="00937063">
      <w:pPr>
        <w:rPr>
          <w:lang w:val="nl-NL"/>
        </w:rPr>
      </w:pPr>
    </w:p>
    <w:p w:rsidR="00EA568F" w:rsidRDefault="00EA568F" w:rsidP="00937063">
      <w:pPr>
        <w:rPr>
          <w:lang w:val="nl-NL"/>
        </w:rPr>
      </w:pPr>
    </w:p>
    <w:p w:rsidR="00EA568F" w:rsidRDefault="00EA568F" w:rsidP="00937063">
      <w:pPr>
        <w:rPr>
          <w:lang w:val="nl-NL"/>
        </w:rPr>
      </w:pPr>
    </w:p>
    <w:p w:rsidR="00EA568F" w:rsidRDefault="00EA568F" w:rsidP="00937063">
      <w:pPr>
        <w:rPr>
          <w:lang w:val="nl-NL"/>
        </w:rPr>
      </w:pPr>
    </w:p>
    <w:p w:rsidR="00EA568F" w:rsidRDefault="00EA568F" w:rsidP="00937063">
      <w:pPr>
        <w:rPr>
          <w:lang w:val="nl-NL"/>
        </w:rPr>
      </w:pPr>
    </w:p>
    <w:p w:rsidR="00EA568F" w:rsidRDefault="00EA568F" w:rsidP="00937063">
      <w:pPr>
        <w:rPr>
          <w:lang w:val="nl-NL"/>
        </w:rPr>
      </w:pPr>
    </w:p>
    <w:p w:rsidR="00EA568F" w:rsidRDefault="00EA568F" w:rsidP="00937063">
      <w:pPr>
        <w:rPr>
          <w:lang w:val="nl-NL"/>
        </w:rPr>
      </w:pPr>
    </w:p>
    <w:p w:rsidR="00EA568F" w:rsidRDefault="00EA568F" w:rsidP="00937063">
      <w:pPr>
        <w:rPr>
          <w:lang w:val="nl-NL"/>
        </w:rPr>
      </w:pPr>
    </w:p>
    <w:p w:rsidR="00EA568F" w:rsidRDefault="00EA568F" w:rsidP="00937063">
      <w:pPr>
        <w:rPr>
          <w:lang w:val="nl-NL"/>
        </w:rPr>
      </w:pPr>
    </w:p>
    <w:p w:rsidR="00EA568F" w:rsidRDefault="00EA568F" w:rsidP="00937063">
      <w:pPr>
        <w:rPr>
          <w:lang w:val="nl-NL"/>
        </w:rPr>
      </w:pPr>
    </w:p>
    <w:p w:rsidR="00EA568F" w:rsidRPr="00937063" w:rsidRDefault="00EA568F" w:rsidP="00937063">
      <w:pPr>
        <w:rPr>
          <w:lang w:val="nl-NL"/>
        </w:rPr>
      </w:pPr>
    </w:p>
    <w:p w:rsidR="00EA568F" w:rsidRPr="00995F55" w:rsidRDefault="00EA568F" w:rsidP="00937063">
      <w:pPr>
        <w:pStyle w:val="Heading1"/>
        <w:rPr>
          <w:rFonts w:ascii="Calibri" w:hAnsi="Calibri"/>
          <w:color w:val="003471"/>
          <w:sz w:val="28"/>
          <w:szCs w:val="28"/>
          <w:lang w:val="nl-NL"/>
        </w:rPr>
      </w:pPr>
      <w:r w:rsidRPr="00937063">
        <w:rPr>
          <w:lang w:val="nl-NL"/>
        </w:rPr>
        <w:br w:type="page"/>
      </w:r>
      <w:bookmarkStart w:id="0" w:name="_Toc265327671"/>
      <w:r w:rsidRPr="00995F55">
        <w:rPr>
          <w:rFonts w:ascii="Calibri" w:hAnsi="Calibri"/>
          <w:color w:val="003471"/>
          <w:sz w:val="28"/>
          <w:szCs w:val="28"/>
          <w:lang w:val="nl-NL"/>
        </w:rPr>
        <w:t>1. Inleiding</w:t>
      </w:r>
      <w:bookmarkEnd w:id="0"/>
    </w:p>
    <w:p w:rsidR="00EA568F" w:rsidRPr="002D3C2C" w:rsidRDefault="00EA568F" w:rsidP="006C7BAC">
      <w:pPr>
        <w:spacing w:line="360" w:lineRule="auto"/>
        <w:jc w:val="both"/>
        <w:rPr>
          <w:rFonts w:ascii="Calibri" w:hAnsi="Calibri"/>
          <w:b/>
          <w:sz w:val="22"/>
          <w:szCs w:val="22"/>
          <w:lang w:val="nl-NL"/>
        </w:rPr>
      </w:pPr>
    </w:p>
    <w:p w:rsidR="00EA568F"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In deze inleiding wordt allereerst de aanleiding van deze scriptie besproken. Hierna wordt dieper ingegaan op de relevantie voor het vakgebied accounting. Daarna worden de centrale probleemstelling en de deelvragen gegeven en wordt de methode van onderzoek toegelicht. Ten slotte wordt de leeswijzer in de afsluiting van het hoofdstuk weergegeven.</w:t>
      </w:r>
    </w:p>
    <w:p w:rsidR="00EA568F" w:rsidRPr="002D3C2C" w:rsidRDefault="00EA568F" w:rsidP="006C7BAC">
      <w:pPr>
        <w:spacing w:line="360" w:lineRule="auto"/>
        <w:jc w:val="both"/>
        <w:rPr>
          <w:rFonts w:ascii="Calibri" w:hAnsi="Calibri"/>
          <w:sz w:val="22"/>
          <w:szCs w:val="22"/>
          <w:lang w:val="nl-NL"/>
        </w:rPr>
      </w:pPr>
    </w:p>
    <w:p w:rsidR="00EA568F" w:rsidRPr="00E95714" w:rsidRDefault="00EA568F" w:rsidP="002D3C2C">
      <w:pPr>
        <w:pStyle w:val="Heading2"/>
        <w:numPr>
          <w:ilvl w:val="1"/>
          <w:numId w:val="13"/>
        </w:numPr>
        <w:rPr>
          <w:rFonts w:ascii="Calibri" w:hAnsi="Calibri"/>
          <w:sz w:val="24"/>
          <w:szCs w:val="24"/>
          <w:lang w:val="nl-NL"/>
        </w:rPr>
      </w:pPr>
      <w:bookmarkStart w:id="1" w:name="_Toc265327672"/>
      <w:r w:rsidRPr="00E95714">
        <w:rPr>
          <w:rFonts w:ascii="Calibri" w:hAnsi="Calibri"/>
          <w:sz w:val="24"/>
          <w:szCs w:val="24"/>
          <w:lang w:val="nl-NL"/>
        </w:rPr>
        <w:t>Aanleiding</w:t>
      </w:r>
      <w:bookmarkEnd w:id="1"/>
    </w:p>
    <w:p w:rsidR="00EA568F" w:rsidRPr="002D3C2C" w:rsidRDefault="00EA568F" w:rsidP="002D3C2C">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De International Accounting Standards Board (IASB) is een organisatie die internationale accounting standaarden uitgeeft. Deze internationale standaarden worden International Financial Reporting Standards (IFRS) genoemd. Toepassing van IFRS in het jaarverslag moet leiden tot een ‘true and fair view’ op de financiële prestatie en positie van een bedrijf voor de gebruikers van jaarverslagen. Om de ‘true and fair view’ te vergroten worden verslaggevingrichtlijnen continue aangepast.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De IASB is met de Financial Accounting Standards Board (FASB), die verantwoordelijk is voor de Amerikaanse verslaggevingregels US GAAP, verwikkeld in een convergentie project om de verschillen tussen de richtlijnen die ze beide uitvaardigen te laten afnemen en tot dezelfde richtlijnen te komen. Een onderdeel van dit project omvat de aanpassing van de huidige lease accounting standaard IAS 17: </w:t>
      </w:r>
      <w:r w:rsidRPr="002D3C2C">
        <w:rPr>
          <w:rFonts w:ascii="Calibri" w:hAnsi="Calibri"/>
          <w:i/>
          <w:sz w:val="22"/>
          <w:szCs w:val="22"/>
          <w:lang w:val="nl-NL"/>
        </w:rPr>
        <w:t>Leases</w:t>
      </w:r>
      <w:r w:rsidRPr="002D3C2C">
        <w:rPr>
          <w:rFonts w:ascii="Calibri" w:hAnsi="Calibri"/>
          <w:sz w:val="22"/>
          <w:szCs w:val="22"/>
          <w:lang w:val="nl-NL"/>
        </w:rPr>
        <w:t>.</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Volgens de huidige standaard IAS 17: </w:t>
      </w:r>
      <w:r w:rsidRPr="002D3C2C">
        <w:rPr>
          <w:rFonts w:ascii="Calibri" w:hAnsi="Calibri"/>
          <w:i/>
          <w:sz w:val="22"/>
          <w:szCs w:val="22"/>
          <w:lang w:val="nl-NL"/>
        </w:rPr>
        <w:t>Leases</w:t>
      </w:r>
      <w:r w:rsidRPr="002D3C2C">
        <w:rPr>
          <w:rFonts w:ascii="Calibri" w:hAnsi="Calibri"/>
          <w:sz w:val="22"/>
          <w:szCs w:val="22"/>
          <w:lang w:val="nl-NL"/>
        </w:rPr>
        <w:t xml:space="preserve"> wordt er een onderscheid gemaakt tussen een operationele lease en een financiële lease. Een lease wordt gedefinieerd in IAS 17</w:t>
      </w:r>
      <w:r>
        <w:rPr>
          <w:rFonts w:ascii="Calibri" w:hAnsi="Calibri"/>
          <w:sz w:val="22"/>
          <w:szCs w:val="22"/>
          <w:lang w:val="nl-NL"/>
        </w:rPr>
        <w:t xml:space="preserve"> (IASB, 2009)</w:t>
      </w:r>
      <w:r w:rsidRPr="002D3C2C">
        <w:rPr>
          <w:rFonts w:ascii="Calibri" w:hAnsi="Calibri"/>
          <w:sz w:val="22"/>
          <w:szCs w:val="22"/>
          <w:lang w:val="nl-NL"/>
        </w:rPr>
        <w:t xml:space="preserve"> als een overeenkomst waarbij de lessor één of meer betalingen ontvangt van de lessee in ruil voor het recht om gebruik te maken van een actief voor een vastgestelde periode.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Een financiële lease wordt gedefinieerd als een lease waarbij een substantieel gedeelte van de ‘risks and rewards’ wordt overgedragen die incidenteel zijn aan het eigendom van een actief. En een operationele lease wordt simpelweg gedefinieerd als alle andere lease overeenkomsten die niet onder een financiële lease vallen. In de huidige IAS 17 wordt voorgeschreven dat een financiële lease op de balans als een verplichting moet worden verantwoord en een operationele lease niet. Dit onderscheid ontstaat door de ‘risks and rewards’ benadering die van toepassing is in IAS 17. Wanneer namelijk ‘risks and rewards’ zijn overgedragen, moet degene die is blootgesteld aan de risico’s en opbrengsten dit op zijn balans verantwoorden. Dit is consistent met één van de vijf criteria wanneer omzet genomen moet worden volgens IAS 18</w:t>
      </w:r>
      <w:r>
        <w:rPr>
          <w:rFonts w:ascii="Calibri" w:hAnsi="Calibri"/>
          <w:sz w:val="22"/>
          <w:szCs w:val="22"/>
          <w:lang w:val="nl-NL"/>
        </w:rPr>
        <w:t xml:space="preserve"> (IASB, 2009)</w:t>
      </w:r>
      <w:r w:rsidRPr="002D3C2C">
        <w:rPr>
          <w:rFonts w:ascii="Calibri" w:hAnsi="Calibri"/>
          <w:sz w:val="22"/>
          <w:szCs w:val="22"/>
          <w:lang w:val="nl-NL"/>
        </w:rPr>
        <w:t xml:space="preserve">, namelijk wanneer de significante ‘risks and rewards’ zijn overgedragen. Echter zal ook deze standaard veranderd worden in het convergentieproject van de IASB en de FASB.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Het onderscheid, wanneer een lease wel opgenomen moet worden en wanneer niet, leidt tot de nodige implicaties. Zo is er de mogelijkheid om leasecontracten af te stemmen, zodat ze als operationele lease worden aangemerkt en dus niet op de balans komen. Ook kunnen ze worden afgestemd, zodat de verplichting die moet worden opgenomen lager is. </w:t>
      </w:r>
      <w:r w:rsidRPr="008648FA">
        <w:rPr>
          <w:rFonts w:ascii="Calibri" w:hAnsi="Calibri"/>
          <w:sz w:val="22"/>
          <w:szCs w:val="22"/>
          <w:lang w:val="nl-NL"/>
        </w:rPr>
        <w:t>Het afstemmen van leasecontracten zorgt voor betere financiële ratio’s en zal de ‘true and fair view’, die de IASB met IFRS pretendeert, ondermijnen.</w:t>
      </w:r>
    </w:p>
    <w:p w:rsidR="00EA568F" w:rsidRPr="008648FA"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De mogelijkheid tot het afstemmen van lease overeenkomsten leidt ertoe dat het doel van de IASB met de IAS 17 zijn uitwerking verliest. </w:t>
      </w:r>
      <w:r w:rsidRPr="008648FA">
        <w:rPr>
          <w:rFonts w:ascii="Calibri" w:hAnsi="Calibri"/>
          <w:sz w:val="22"/>
          <w:szCs w:val="22"/>
          <w:lang w:val="nl-NL"/>
        </w:rPr>
        <w:t>De IASB onderkent de mogelijkheid tot afstemmen als een probleem dat aangepakt moet worden. Dit wil ze doen door met de FASB en gezamenlijke nieuwe lease accounting standaard te ontwerpen.</w:t>
      </w:r>
    </w:p>
    <w:p w:rsidR="00EA568F" w:rsidRPr="002D3C2C" w:rsidRDefault="00EA568F" w:rsidP="006C7BAC">
      <w:pPr>
        <w:spacing w:line="360" w:lineRule="auto"/>
        <w:jc w:val="both"/>
        <w:rPr>
          <w:rFonts w:ascii="Calibri" w:hAnsi="Calibri"/>
          <w:sz w:val="22"/>
          <w:szCs w:val="22"/>
          <w:lang w:val="nl-NL"/>
        </w:rPr>
      </w:pPr>
      <w:r w:rsidRPr="008648FA">
        <w:rPr>
          <w:rFonts w:ascii="Calibri" w:hAnsi="Calibri"/>
          <w:sz w:val="22"/>
          <w:szCs w:val="22"/>
          <w:lang w:val="nl-NL"/>
        </w:rPr>
        <w:t>In de nieuwe standaard zal het onderscheid tussen een operationele lease en een financiële lease wegvallen.</w:t>
      </w:r>
      <w:r w:rsidRPr="002D3C2C">
        <w:rPr>
          <w:rFonts w:ascii="Calibri" w:hAnsi="Calibri"/>
          <w:sz w:val="22"/>
          <w:szCs w:val="22"/>
          <w:lang w:val="nl-NL"/>
        </w:rPr>
        <w:t xml:space="preserve"> Hierdoor moet voortaan zowel een financiële lease overeenkomst als een operationele lease overeenkomst verantwoord worden op de balans. Hiermee vindt er een verschuiving plaats van de ‘risks and rewards’ benadering naar de ‘right to use’ benadering. De ‘right to use’ benadering zien we terug in de definitie van een lease. Deze benadering geeft dus aan dat wanneer de lessee een ‘right to use’, oftewel gebruiksrecht, krijgt over een leaseobject van de lessor, dit recht moet verantwoorden in de balans. Dit zal altijd het geval zijn bij een operationele en een financiële lease, zodat beide op de balans komen.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In maart 2009 heeft de IASB een discussion paper uitgevaardigd, waarin ze haar visie uitdrukt over de huidige situatie en de veranderingen die er zouden moeten komen. Na al het commentaar te hebben ontvangen is nu de verwachting dat de IASB met een exposure draft in het tweede kwartaal van dit jaar zal gaan komen. Deze exposure draft zal waarschijnlijk leiden tot de nieuwe standaard met betrekking tot lease accounting. </w:t>
      </w:r>
    </w:p>
    <w:p w:rsidR="00EA568F" w:rsidRPr="002D3C2C" w:rsidRDefault="00EA568F" w:rsidP="006C7BAC">
      <w:pPr>
        <w:spacing w:line="360" w:lineRule="auto"/>
        <w:jc w:val="both"/>
        <w:rPr>
          <w:rFonts w:ascii="Calibri" w:hAnsi="Calibri"/>
          <w:sz w:val="22"/>
          <w:szCs w:val="22"/>
          <w:lang w:val="nl-NL"/>
        </w:rPr>
      </w:pPr>
    </w:p>
    <w:p w:rsidR="00EA568F" w:rsidRPr="00E95714" w:rsidRDefault="00EA568F" w:rsidP="002D3C2C">
      <w:pPr>
        <w:pStyle w:val="Heading2"/>
        <w:numPr>
          <w:ilvl w:val="1"/>
          <w:numId w:val="13"/>
        </w:numPr>
        <w:rPr>
          <w:rFonts w:ascii="Calibri" w:hAnsi="Calibri"/>
          <w:sz w:val="24"/>
          <w:szCs w:val="24"/>
          <w:lang w:val="nl-NL"/>
        </w:rPr>
      </w:pPr>
      <w:bookmarkStart w:id="2" w:name="_Toc265327673"/>
      <w:r w:rsidRPr="00E95714">
        <w:rPr>
          <w:rFonts w:ascii="Calibri" w:hAnsi="Calibri"/>
          <w:sz w:val="24"/>
          <w:szCs w:val="24"/>
          <w:lang w:val="nl-NL"/>
        </w:rPr>
        <w:t>Relevantie</w:t>
      </w:r>
      <w:bookmarkEnd w:id="2"/>
    </w:p>
    <w:p w:rsidR="00EA568F" w:rsidRPr="002D3C2C" w:rsidRDefault="00EA568F" w:rsidP="002D3C2C">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Vanaf het jaar 2005 werden alle beursgenoteerde vennootschappen van de Europese Unie ertoe verplicht de geconsolideerde jaarrekening volgens internationale standaarden (IFRS/IAS) te publiceren</w:t>
      </w:r>
      <w:r>
        <w:rPr>
          <w:rFonts w:ascii="Calibri" w:hAnsi="Calibri"/>
          <w:sz w:val="22"/>
          <w:szCs w:val="22"/>
          <w:lang w:val="nl-NL"/>
        </w:rPr>
        <w:t xml:space="preserve"> (Europees Parlement en de Raad van de Europese Unie, 2002)</w:t>
      </w:r>
      <w:r w:rsidRPr="002D3C2C">
        <w:rPr>
          <w:rFonts w:ascii="Calibri" w:hAnsi="Calibri"/>
          <w:sz w:val="22"/>
          <w:szCs w:val="22"/>
          <w:lang w:val="nl-NL"/>
        </w:rPr>
        <w:t xml:space="preserve">.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Zoals ook hiervoor vermeld is er met de huidige standaard IAS 17: </w:t>
      </w:r>
      <w:r w:rsidRPr="002D3C2C">
        <w:rPr>
          <w:rFonts w:ascii="Calibri" w:hAnsi="Calibri"/>
          <w:i/>
          <w:sz w:val="22"/>
          <w:szCs w:val="22"/>
          <w:lang w:val="nl-NL"/>
        </w:rPr>
        <w:t>Leases</w:t>
      </w:r>
      <w:r w:rsidRPr="002D3C2C">
        <w:rPr>
          <w:rFonts w:ascii="Calibri" w:hAnsi="Calibri"/>
          <w:sz w:val="22"/>
          <w:szCs w:val="22"/>
          <w:lang w:val="nl-NL"/>
        </w:rPr>
        <w:t xml:space="preserve"> de mogelijkheid tot het afstemmen van lease contracten, zodat de verplichting die moet worden opgenomen lager uitvalt of helemaal wegvalt. Dit kan ook gezien worden als een vorm van ‘off balance sheet accounting’. Zoals uit het verleden is gebleken kan dit verstrekkende gevolgen hebben voor zowel het bedrijf</w:t>
      </w:r>
      <w:r>
        <w:rPr>
          <w:rFonts w:ascii="Calibri" w:hAnsi="Calibri"/>
          <w:sz w:val="22"/>
          <w:szCs w:val="22"/>
          <w:lang w:val="nl-NL"/>
        </w:rPr>
        <w:t xml:space="preserve"> zelf als de investeerders</w:t>
      </w:r>
      <w:r w:rsidRPr="002D3C2C">
        <w:rPr>
          <w:rFonts w:ascii="Calibri" w:hAnsi="Calibri"/>
          <w:sz w:val="22"/>
          <w:szCs w:val="22"/>
          <w:lang w:val="nl-NL"/>
        </w:rPr>
        <w:t xml:space="preserve"> </w:t>
      </w:r>
      <w:r>
        <w:rPr>
          <w:rFonts w:ascii="Calibri" w:hAnsi="Calibri"/>
          <w:sz w:val="22"/>
          <w:szCs w:val="22"/>
          <w:lang w:val="nl-NL"/>
        </w:rPr>
        <w:t>(Wielaard, 2005).</w:t>
      </w:r>
    </w:p>
    <w:p w:rsidR="00EA568F"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nieuwe lease accounting standaard moet ‘off balance sheet accounting’ op het gebied van lease accounting tegengaan. Deze nieuwe richtlijn zal grote gevolgen hebben voor bedrijven met veel operationele lease contracten. In deze scriptie zal onderzocht worden hoe deze standaard er precies uit zal komen te zien en wat voor mogelijke gevolgen voor de jaarrekening van een bedrijf het met zich mee brengt. Dat IFRS wordt toegepast in de Europese Unie en de mate van actualiteit maakt dat dit onderwerp relevant is.</w:t>
      </w:r>
    </w:p>
    <w:p w:rsidR="00EA568F" w:rsidRPr="002D3C2C" w:rsidRDefault="00EA568F" w:rsidP="006C7BAC">
      <w:pPr>
        <w:spacing w:line="360" w:lineRule="auto"/>
        <w:jc w:val="both"/>
        <w:rPr>
          <w:rFonts w:ascii="Calibri" w:hAnsi="Calibri"/>
          <w:sz w:val="22"/>
          <w:szCs w:val="22"/>
          <w:lang w:val="nl-NL"/>
        </w:rPr>
      </w:pPr>
    </w:p>
    <w:p w:rsidR="00EA568F" w:rsidRPr="00E95714" w:rsidRDefault="00EA568F" w:rsidP="002D3C2C">
      <w:pPr>
        <w:pStyle w:val="Heading2"/>
        <w:numPr>
          <w:ilvl w:val="1"/>
          <w:numId w:val="13"/>
        </w:numPr>
        <w:rPr>
          <w:rFonts w:ascii="Calibri" w:hAnsi="Calibri"/>
          <w:sz w:val="24"/>
          <w:szCs w:val="24"/>
          <w:lang w:val="nl-NL"/>
        </w:rPr>
      </w:pPr>
      <w:bookmarkStart w:id="3" w:name="_Toc265327674"/>
      <w:r w:rsidRPr="00E95714">
        <w:rPr>
          <w:rFonts w:ascii="Calibri" w:hAnsi="Calibri"/>
          <w:sz w:val="24"/>
          <w:szCs w:val="24"/>
          <w:lang w:val="nl-NL"/>
        </w:rPr>
        <w:t>Probleemstelling</w:t>
      </w:r>
      <w:bookmarkEnd w:id="3"/>
    </w:p>
    <w:p w:rsidR="00EA568F" w:rsidRPr="002D3C2C" w:rsidRDefault="00EA568F" w:rsidP="002D3C2C">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Om tot een gericht antwoord te komen is er een centrale probleemstelling geformuleerd en deze zal beantwoord worden aan de hand van een aantal deelvragen. De nieuwe lease accounting standaard is bedoeld om het afstemmen van leasecontracten tegen te gaan en de vergelijkbaarheid van jaarrekeningen te vergroten</w:t>
      </w:r>
      <w:r>
        <w:rPr>
          <w:rFonts w:ascii="Calibri" w:hAnsi="Calibri"/>
          <w:sz w:val="22"/>
          <w:szCs w:val="22"/>
          <w:lang w:val="nl-NL"/>
        </w:rPr>
        <w:t xml:space="preserve"> (IASB: Discussion Paper Leases Preliminary Views, 2009)</w:t>
      </w:r>
      <w:r w:rsidRPr="002D3C2C">
        <w:rPr>
          <w:rFonts w:ascii="Calibri" w:hAnsi="Calibri"/>
          <w:sz w:val="22"/>
          <w:szCs w:val="22"/>
          <w:lang w:val="nl-NL"/>
        </w:rPr>
        <w:t>. In deze scriptie zal onderzocht worden of het afstemmen van leasecontracten daadwerkelijk verdwijnt.</w:t>
      </w:r>
    </w:p>
    <w:p w:rsidR="00EA568F" w:rsidRPr="002D3C2C" w:rsidRDefault="00EA568F" w:rsidP="006C7BAC">
      <w:pPr>
        <w:spacing w:line="360" w:lineRule="auto"/>
        <w:jc w:val="both"/>
        <w:rPr>
          <w:rFonts w:ascii="Calibri" w:hAnsi="Calibri"/>
          <w:sz w:val="22"/>
          <w:szCs w:val="22"/>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centrale probleemstelling van deze scriptie luidt dan ook:</w:t>
      </w:r>
    </w:p>
    <w:p w:rsidR="00EA568F" w:rsidRPr="002D3C2C" w:rsidRDefault="00EA568F" w:rsidP="006C7BAC">
      <w:pPr>
        <w:spacing w:line="360" w:lineRule="auto"/>
        <w:jc w:val="both"/>
        <w:rPr>
          <w:rFonts w:ascii="Calibri" w:hAnsi="Calibri"/>
          <w:sz w:val="22"/>
          <w:szCs w:val="22"/>
          <w:lang w:val="nl-NL"/>
        </w:rPr>
      </w:pPr>
    </w:p>
    <w:p w:rsidR="00EA568F" w:rsidRPr="002D3C2C" w:rsidRDefault="00EA568F" w:rsidP="006C7BAC">
      <w:pPr>
        <w:spacing w:line="360" w:lineRule="auto"/>
        <w:jc w:val="center"/>
        <w:rPr>
          <w:rFonts w:ascii="Calibri" w:hAnsi="Calibri"/>
          <w:sz w:val="22"/>
          <w:szCs w:val="22"/>
          <w:lang w:val="nl-NL"/>
        </w:rPr>
      </w:pPr>
      <w:r w:rsidRPr="002D3C2C">
        <w:rPr>
          <w:rFonts w:ascii="Calibri" w:hAnsi="Calibri"/>
          <w:sz w:val="22"/>
          <w:szCs w:val="22"/>
          <w:lang w:val="nl-NL"/>
        </w:rPr>
        <w:t>‘</w:t>
      </w:r>
      <w:r w:rsidRPr="002D3C2C">
        <w:rPr>
          <w:rFonts w:ascii="Calibri" w:hAnsi="Calibri"/>
          <w:i/>
          <w:sz w:val="22"/>
          <w:szCs w:val="22"/>
          <w:lang w:val="nl-NL"/>
        </w:rPr>
        <w:t>Zal het doel van de nieuwe lease accounting standaard, met betrekking tot het afstemmen van leasecontracten, worden bereikt?</w:t>
      </w:r>
      <w:r w:rsidRPr="002D3C2C">
        <w:rPr>
          <w:rFonts w:ascii="Calibri" w:hAnsi="Calibri"/>
          <w:sz w:val="22"/>
          <w:szCs w:val="22"/>
          <w:lang w:val="nl-NL"/>
        </w:rPr>
        <w:t>’</w:t>
      </w:r>
    </w:p>
    <w:p w:rsidR="00EA568F" w:rsidRPr="002D3C2C" w:rsidRDefault="00EA568F" w:rsidP="006C7BAC">
      <w:pPr>
        <w:spacing w:line="360" w:lineRule="auto"/>
        <w:jc w:val="both"/>
        <w:rPr>
          <w:rFonts w:ascii="Calibri" w:hAnsi="Calibri"/>
          <w:sz w:val="22"/>
          <w:szCs w:val="22"/>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deelvragen luiden:</w:t>
      </w:r>
    </w:p>
    <w:p w:rsidR="00EA568F" w:rsidRPr="002D3C2C" w:rsidRDefault="00EA568F" w:rsidP="006C7BAC">
      <w:pPr>
        <w:pStyle w:val="ListParagraph"/>
        <w:numPr>
          <w:ilvl w:val="0"/>
          <w:numId w:val="1"/>
        </w:numPr>
        <w:spacing w:line="360" w:lineRule="auto"/>
        <w:jc w:val="both"/>
      </w:pPr>
      <w:r w:rsidRPr="002D3C2C">
        <w:t>Hoe wordt volgens de huidige standaard IAS 17 lease accounting toegepast in de jaarrekening?</w:t>
      </w:r>
    </w:p>
    <w:p w:rsidR="00EA568F" w:rsidRPr="002D3C2C" w:rsidRDefault="00EA568F" w:rsidP="006C7BAC">
      <w:pPr>
        <w:pStyle w:val="ListParagraph"/>
        <w:numPr>
          <w:ilvl w:val="0"/>
          <w:numId w:val="1"/>
        </w:numPr>
        <w:spacing w:line="360" w:lineRule="auto"/>
        <w:jc w:val="both"/>
      </w:pPr>
      <w:r w:rsidRPr="002D3C2C">
        <w:t>Wat zijn de huidige tekortkomingen en op welke wijze worden leasecontracten afgestemd?</w:t>
      </w:r>
    </w:p>
    <w:p w:rsidR="00EA568F" w:rsidRPr="002D3C2C" w:rsidRDefault="00EA568F" w:rsidP="006C7BAC">
      <w:pPr>
        <w:pStyle w:val="ListParagraph"/>
        <w:numPr>
          <w:ilvl w:val="0"/>
          <w:numId w:val="1"/>
        </w:numPr>
        <w:spacing w:line="360" w:lineRule="auto"/>
        <w:jc w:val="both"/>
      </w:pPr>
      <w:r w:rsidRPr="002D3C2C">
        <w:t xml:space="preserve">Hoe wordt volgens de nieuwe standaard lease accounting toegepast in de jaarrekening? </w:t>
      </w:r>
    </w:p>
    <w:p w:rsidR="00EA568F" w:rsidRPr="002D3C2C" w:rsidRDefault="00EA568F" w:rsidP="006C7BAC">
      <w:pPr>
        <w:pStyle w:val="ListParagraph"/>
        <w:numPr>
          <w:ilvl w:val="0"/>
          <w:numId w:val="1"/>
        </w:numPr>
        <w:spacing w:line="360" w:lineRule="auto"/>
        <w:jc w:val="both"/>
      </w:pPr>
      <w:r w:rsidRPr="002D3C2C">
        <w:t>Wat voor effecten heeft het toepassen van de nieuwe standaard op de jaarrekening?</w:t>
      </w:r>
    </w:p>
    <w:p w:rsidR="00EA568F" w:rsidRPr="002D3C2C" w:rsidRDefault="00EA568F" w:rsidP="006C7BAC">
      <w:pPr>
        <w:pStyle w:val="ListParagraph"/>
        <w:numPr>
          <w:ilvl w:val="0"/>
          <w:numId w:val="1"/>
        </w:numPr>
        <w:spacing w:line="360" w:lineRule="auto"/>
        <w:jc w:val="both"/>
      </w:pPr>
      <w:r w:rsidRPr="002D3C2C">
        <w:t>Is de mogelijkheid tot het afstemmen van leasecontracten verdwenen door invoering van de nieuwe lease accounting standaard?</w:t>
      </w:r>
    </w:p>
    <w:p w:rsidR="00EA568F" w:rsidRPr="002D3C2C" w:rsidRDefault="00EA568F" w:rsidP="00BC509B">
      <w:pPr>
        <w:pStyle w:val="ListParagraph"/>
        <w:spacing w:line="360" w:lineRule="auto"/>
        <w:ind w:left="0"/>
        <w:jc w:val="both"/>
      </w:pPr>
    </w:p>
    <w:p w:rsidR="00EA568F" w:rsidRPr="00E95714" w:rsidRDefault="00EA568F" w:rsidP="0084261E">
      <w:pPr>
        <w:pStyle w:val="Heading2"/>
        <w:numPr>
          <w:ilvl w:val="1"/>
          <w:numId w:val="13"/>
        </w:numPr>
        <w:rPr>
          <w:rFonts w:ascii="Calibri" w:hAnsi="Calibri"/>
          <w:sz w:val="24"/>
          <w:szCs w:val="24"/>
        </w:rPr>
      </w:pPr>
      <w:bookmarkStart w:id="4" w:name="_Toc265327675"/>
      <w:r w:rsidRPr="00E95714">
        <w:rPr>
          <w:rFonts w:ascii="Calibri" w:hAnsi="Calibri"/>
          <w:sz w:val="24"/>
          <w:szCs w:val="24"/>
        </w:rPr>
        <w:t>Methode van onderzoek</w:t>
      </w:r>
      <w:bookmarkEnd w:id="4"/>
    </w:p>
    <w:p w:rsidR="00EA568F" w:rsidRPr="0084261E" w:rsidRDefault="00EA568F" w:rsidP="0084261E"/>
    <w:p w:rsidR="00EA568F" w:rsidRPr="002D3C2C" w:rsidRDefault="00EA568F" w:rsidP="006C7BAC">
      <w:pPr>
        <w:pStyle w:val="ListParagraph"/>
        <w:spacing w:line="360" w:lineRule="auto"/>
        <w:ind w:left="0"/>
        <w:jc w:val="both"/>
      </w:pPr>
      <w:r w:rsidRPr="002D3C2C">
        <w:t xml:space="preserve">Doordat de nieuwe lease accounting standaard nog niet van kracht is, is het niet mogelijk om empirisch onderzoek te doen naar de gevolgen van de nieuwe voorgestelde standaard. De IASB heeft een discussion paper uitgegeven en zal binnenkort met een exposure draft komen. Er zijn echter al wel verslagen van exposure draft sessies van de FASB en IASB in omloop, waaruit de vorm van de nieuwe standaard naar voren komt. Het onderzoek zal daarom de vorm hebben van een literatuuronderzoek. De eerste deelvraag zal beantwoord worden met onder andere de IAS 17, die is uitgegeven door de IASB, ook worden er ratio’s berekend die de verschillen tussen operationele en financiële leases duidelijk maken. De tweede deelvraag zal vooral aan de hand van artikelen worden beantwoord, maar ook de discussion paper over de nieuwe lease accounting standaard. De derde deelvraag zal met hulp van de discussion paper en de verslagen van de exposure draft sessies worden beantwoord. De vierde deelvraag wordt beantwoordt met artikelen en het berekenen van ratio’s. De vijfde deelvraag zal ook met de discussion paper en de verslagen van de exposure draft sessies worden beantwoord, ook wordt hierbij eigen inzicht gebruikt. </w:t>
      </w:r>
    </w:p>
    <w:p w:rsidR="00EA568F" w:rsidRPr="002D3C2C" w:rsidRDefault="00EA568F" w:rsidP="006C7BAC">
      <w:pPr>
        <w:pStyle w:val="ListParagraph"/>
        <w:spacing w:line="360" w:lineRule="auto"/>
        <w:ind w:left="0"/>
        <w:jc w:val="both"/>
      </w:pPr>
    </w:p>
    <w:p w:rsidR="00EA568F" w:rsidRPr="00E95714" w:rsidRDefault="00EA568F" w:rsidP="0084261E">
      <w:pPr>
        <w:pStyle w:val="Heading2"/>
        <w:numPr>
          <w:ilvl w:val="1"/>
          <w:numId w:val="13"/>
        </w:numPr>
        <w:rPr>
          <w:rFonts w:ascii="Calibri" w:hAnsi="Calibri"/>
          <w:sz w:val="24"/>
          <w:szCs w:val="24"/>
        </w:rPr>
      </w:pPr>
      <w:bookmarkStart w:id="5" w:name="_Toc265327676"/>
      <w:r w:rsidRPr="00E95714">
        <w:rPr>
          <w:rFonts w:ascii="Calibri" w:hAnsi="Calibri"/>
          <w:sz w:val="24"/>
          <w:szCs w:val="24"/>
        </w:rPr>
        <w:t>Doel en doelgroep</w:t>
      </w:r>
      <w:bookmarkEnd w:id="5"/>
    </w:p>
    <w:p w:rsidR="00EA568F" w:rsidRPr="0084261E" w:rsidRDefault="00EA568F" w:rsidP="0084261E"/>
    <w:p w:rsidR="00EA568F" w:rsidRPr="002D3C2C" w:rsidRDefault="00EA568F" w:rsidP="006C7BAC">
      <w:pPr>
        <w:pStyle w:val="ListParagraph"/>
        <w:spacing w:line="360" w:lineRule="auto"/>
        <w:ind w:left="0"/>
        <w:jc w:val="both"/>
      </w:pPr>
      <w:r w:rsidRPr="002D3C2C">
        <w:t>Het doel van deze scriptie is om de nieuwe lease accounting standaard te doorgronden en te toetsen of het doel, waarom deze nieuwe standaard wordt ontworpen, behaald zal worden. Deze scriptie gaat diep in op de huidige en nieuwe lease accounting standaarden. Enige voorkennis is daarom vereist om deze scriptie te begrijpen. Het is daarom voornamelijk geschreven voor gebruikers van jaarrekeningen.</w:t>
      </w:r>
    </w:p>
    <w:p w:rsidR="00EA568F" w:rsidRPr="002D3C2C" w:rsidRDefault="00EA568F" w:rsidP="006C7BAC">
      <w:pPr>
        <w:pStyle w:val="ListParagraph"/>
        <w:spacing w:line="360" w:lineRule="auto"/>
        <w:ind w:left="0"/>
        <w:jc w:val="both"/>
      </w:pPr>
    </w:p>
    <w:p w:rsidR="00EA568F" w:rsidRPr="00E95714" w:rsidRDefault="00EA568F" w:rsidP="0084261E">
      <w:pPr>
        <w:pStyle w:val="Heading2"/>
        <w:numPr>
          <w:ilvl w:val="1"/>
          <w:numId w:val="13"/>
        </w:numPr>
        <w:rPr>
          <w:rFonts w:ascii="Calibri" w:hAnsi="Calibri"/>
          <w:sz w:val="24"/>
          <w:szCs w:val="24"/>
        </w:rPr>
      </w:pPr>
      <w:bookmarkStart w:id="6" w:name="_Toc265327677"/>
      <w:r w:rsidRPr="00E95714">
        <w:rPr>
          <w:rFonts w:ascii="Calibri" w:hAnsi="Calibri"/>
          <w:sz w:val="24"/>
          <w:szCs w:val="24"/>
        </w:rPr>
        <w:t>Afsluiting</w:t>
      </w:r>
      <w:bookmarkEnd w:id="6"/>
    </w:p>
    <w:p w:rsidR="00EA568F" w:rsidRPr="0084261E" w:rsidRDefault="00EA568F" w:rsidP="0084261E"/>
    <w:p w:rsidR="00EA568F" w:rsidRPr="002D3C2C" w:rsidRDefault="00EA568F" w:rsidP="006C7BAC">
      <w:pPr>
        <w:pStyle w:val="ListParagraph"/>
        <w:spacing w:line="360" w:lineRule="auto"/>
        <w:ind w:left="0"/>
        <w:jc w:val="both"/>
      </w:pPr>
      <w:r w:rsidRPr="002D3C2C">
        <w:t xml:space="preserve">In hoofdstuk 2 zal de huidige lease accounting standaard IAS 17: </w:t>
      </w:r>
      <w:r w:rsidRPr="002D3C2C">
        <w:rPr>
          <w:i/>
        </w:rPr>
        <w:t>Leases</w:t>
      </w:r>
      <w:r w:rsidRPr="002D3C2C">
        <w:t xml:space="preserve"> worden besproken. Er zal worden besproken wat de standaard inhoudt en hoe die wordt toegepast. Voor de toepassing van deze standaard wordt onderscheid gemaakt tussen de lessee en de lessor. Hiermee wordt de eerste deelvraag beantwoord. </w:t>
      </w:r>
    </w:p>
    <w:p w:rsidR="00EA568F" w:rsidRPr="002D3C2C" w:rsidRDefault="00EA568F" w:rsidP="006C7BAC">
      <w:pPr>
        <w:pStyle w:val="ListParagraph"/>
        <w:spacing w:line="360" w:lineRule="auto"/>
        <w:ind w:left="0"/>
        <w:jc w:val="both"/>
      </w:pPr>
      <w:r w:rsidRPr="002D3C2C">
        <w:t>Hoofdstuk 3 zal gaan over de tekortkomingen van de huidige standaard en de mogelijkheid lease overeenkomsten af te stemmen, met als doel de leaseverplichting te verminderen. Hiermee wordt de tweede deelvraag beantwoord.</w:t>
      </w:r>
    </w:p>
    <w:p w:rsidR="00EA568F" w:rsidRPr="002D3C2C" w:rsidRDefault="00EA568F" w:rsidP="006C7BAC">
      <w:pPr>
        <w:pStyle w:val="ListParagraph"/>
        <w:spacing w:line="360" w:lineRule="auto"/>
        <w:ind w:left="0"/>
        <w:jc w:val="both"/>
      </w:pPr>
      <w:r w:rsidRPr="002D3C2C">
        <w:t xml:space="preserve">Hoofdstuk 4 behandelt de nieuwe lease accounting standaard. Het gaat onder meer over wat deze zal gaan inhouden en hoe de nieuwe standaard wordt toegepast. Uiteraard wordt hier ook weer onderscheid gemaakt tussen de lessee en de lessor. De derde deelvraag wordt in dit hoofdstuk beantwoord. </w:t>
      </w:r>
    </w:p>
    <w:p w:rsidR="00EA568F" w:rsidRPr="002D3C2C" w:rsidRDefault="00EA568F" w:rsidP="006C7BAC">
      <w:pPr>
        <w:pStyle w:val="ListParagraph"/>
        <w:spacing w:line="360" w:lineRule="auto"/>
        <w:ind w:left="0"/>
        <w:jc w:val="both"/>
      </w:pPr>
      <w:r w:rsidRPr="002D3C2C">
        <w:t>In hoofdstuk 5 zullen de gevolgen van de nieuwe standaard op de kengetallen van een vennootschap en andere effecten worden besproken. Dit zal de vierde deelvraag beantwoorden.</w:t>
      </w:r>
    </w:p>
    <w:p w:rsidR="00EA568F" w:rsidRPr="002D3C2C" w:rsidRDefault="00EA568F" w:rsidP="006C7BAC">
      <w:pPr>
        <w:pStyle w:val="ListParagraph"/>
        <w:spacing w:line="360" w:lineRule="auto"/>
        <w:ind w:left="0"/>
        <w:jc w:val="both"/>
      </w:pPr>
      <w:r w:rsidRPr="002D3C2C">
        <w:t xml:space="preserve">In hoofdstuk 6 wordt het afstemmen van leasecontracten onder de nieuwe standaard besproken en zal hiermee antwoord geven op de vijfde deelvraag. </w:t>
      </w:r>
    </w:p>
    <w:p w:rsidR="00EA568F" w:rsidRPr="002D3C2C" w:rsidRDefault="00EA568F" w:rsidP="006C7BAC">
      <w:pPr>
        <w:pStyle w:val="ListParagraph"/>
        <w:spacing w:line="360" w:lineRule="auto"/>
        <w:ind w:left="0"/>
        <w:jc w:val="both"/>
      </w:pPr>
      <w:r w:rsidRPr="002D3C2C">
        <w:t>In hoofdstuk 7 zal de samenvatting en conclusie gegeven worden over of het doel van de invoering van de nieuwe lease accounting standaard zal worden bereikt.</w:t>
      </w:r>
    </w:p>
    <w:p w:rsidR="00EA568F" w:rsidRPr="002D3C2C" w:rsidRDefault="00EA568F" w:rsidP="006C7BAC">
      <w:pPr>
        <w:pStyle w:val="ListParagraph"/>
        <w:spacing w:line="360" w:lineRule="auto"/>
        <w:ind w:left="0"/>
        <w:jc w:val="both"/>
      </w:pPr>
      <w:r w:rsidRPr="002D3C2C">
        <w:t>Hoofdstuk 8 zal de tekortkomingen van dit onderzoek en suggesties voor verder onderzoek toelichten.</w:t>
      </w:r>
    </w:p>
    <w:p w:rsidR="00EA568F" w:rsidRPr="00995F55" w:rsidRDefault="00EA568F" w:rsidP="0084261E">
      <w:pPr>
        <w:pStyle w:val="Heading1"/>
        <w:rPr>
          <w:rFonts w:ascii="Calibri" w:hAnsi="Calibri"/>
          <w:i/>
          <w:color w:val="003471"/>
          <w:sz w:val="28"/>
          <w:szCs w:val="28"/>
          <w:lang w:val="nl-NL"/>
        </w:rPr>
      </w:pPr>
      <w:r w:rsidRPr="002D3C2C">
        <w:rPr>
          <w:lang w:val="nl-NL"/>
        </w:rPr>
        <w:br w:type="page"/>
      </w:r>
      <w:bookmarkStart w:id="7" w:name="_Toc265327678"/>
      <w:r w:rsidRPr="00995F55">
        <w:rPr>
          <w:rFonts w:ascii="Calibri" w:hAnsi="Calibri"/>
          <w:color w:val="003471"/>
          <w:sz w:val="28"/>
          <w:szCs w:val="28"/>
          <w:lang w:val="nl-NL"/>
        </w:rPr>
        <w:t xml:space="preserve">2. De huidige standaard IAS 17: </w:t>
      </w:r>
      <w:r w:rsidRPr="00995F55">
        <w:rPr>
          <w:rFonts w:ascii="Calibri" w:hAnsi="Calibri"/>
          <w:i/>
          <w:color w:val="003471"/>
          <w:sz w:val="28"/>
          <w:szCs w:val="28"/>
          <w:lang w:val="nl-NL"/>
        </w:rPr>
        <w:t>Leases</w:t>
      </w:r>
      <w:bookmarkEnd w:id="7"/>
    </w:p>
    <w:p w:rsidR="00EA568F" w:rsidRPr="002D3C2C" w:rsidRDefault="00EA568F" w:rsidP="006C7BAC">
      <w:pPr>
        <w:spacing w:line="360" w:lineRule="auto"/>
        <w:jc w:val="both"/>
        <w:rPr>
          <w:rFonts w:ascii="Calibri" w:hAnsi="Calibri"/>
          <w:sz w:val="22"/>
          <w:szCs w:val="22"/>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Om te zien op welke punten de nieuwe lease accounting standaard verschilt van de huidige zal in dit hoofdstuk de huidige standaard worden besproken. Er wordt onder meer ingegaan op hoe de huidige lease accounting standaard eruitziet en de ‘risks and rewards’ benadering. Er wordt bekeken hoe IAS 17 wordt toegepast door lessees, waarna een vergelijking tussen financiële lease en operationele lease wordt gemaakt met behulp van drie ratio’s. Daarna wordt hetzelfde gedaan voor de toepassing voor lessors. Sale and lease back transacties worden hierna toegelicht. Dan volgt er een samenvatting en wordt het hoofdstuk afgesloten.</w:t>
      </w:r>
    </w:p>
    <w:p w:rsidR="00EA568F" w:rsidRPr="002D3C2C" w:rsidRDefault="00EA568F" w:rsidP="006C7BAC">
      <w:pPr>
        <w:spacing w:line="360" w:lineRule="auto"/>
        <w:jc w:val="both"/>
        <w:rPr>
          <w:rFonts w:ascii="Calibri" w:hAnsi="Calibri"/>
          <w:sz w:val="22"/>
          <w:szCs w:val="22"/>
          <w:lang w:val="nl-NL"/>
        </w:rPr>
      </w:pPr>
    </w:p>
    <w:p w:rsidR="00EA568F" w:rsidRPr="00E95714" w:rsidRDefault="00EA568F" w:rsidP="0084261E">
      <w:pPr>
        <w:pStyle w:val="Heading2"/>
        <w:rPr>
          <w:rFonts w:ascii="Calibri" w:hAnsi="Calibri"/>
          <w:sz w:val="24"/>
          <w:szCs w:val="24"/>
          <w:lang w:val="nl-NL"/>
        </w:rPr>
      </w:pPr>
      <w:bookmarkStart w:id="8" w:name="_Toc265327679"/>
      <w:r w:rsidRPr="00E95714">
        <w:rPr>
          <w:rFonts w:ascii="Calibri" w:hAnsi="Calibri"/>
          <w:sz w:val="24"/>
          <w:szCs w:val="24"/>
          <w:lang w:val="nl-NL"/>
        </w:rPr>
        <w:t xml:space="preserve">2.1 </w:t>
      </w:r>
      <w:r w:rsidRPr="008648FA">
        <w:rPr>
          <w:rFonts w:ascii="Calibri" w:hAnsi="Calibri"/>
          <w:sz w:val="24"/>
          <w:szCs w:val="24"/>
          <w:lang w:val="nl-NL"/>
        </w:rPr>
        <w:t>Het begrip lease</w:t>
      </w:r>
      <w:bookmarkEnd w:id="8"/>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Het begrip lease is in het vorige hoofdstuk al gedefinieerd. Een lease is een overeenkomst waarbij de lessor één of meer betalingen ontvangt van de lessee in ruil voor het recht om gebruik te maken van een actief voor een vastgestelde periode. De lessor is degene die het actief ter beschikking stelt aan de lessee. De lessee krijgt dus het recht het actief te gebruiken, maar wordt juridisch gezien niet de eigenaar. In ruil voor dat recht moeten betalingen voldaan worden. Volgens IFRIC 4:6</w:t>
      </w:r>
      <w:r>
        <w:rPr>
          <w:rFonts w:ascii="Calibri" w:hAnsi="Calibri"/>
          <w:sz w:val="22"/>
          <w:szCs w:val="22"/>
          <w:lang w:val="nl-NL"/>
        </w:rPr>
        <w:t xml:space="preserve"> (IASB, 2009)</w:t>
      </w:r>
      <w:r w:rsidRPr="002D3C2C">
        <w:rPr>
          <w:rFonts w:ascii="Calibri" w:hAnsi="Calibri"/>
          <w:sz w:val="22"/>
          <w:szCs w:val="22"/>
          <w:lang w:val="nl-NL"/>
        </w:rPr>
        <w:t xml:space="preserve"> moet een lease aan twee voorwaarden voldoen, namelijk (1) nakoming van de overeenkomst is afhankelijk van het gebruik van het specifieke actief en (2) de overeenkomst omvat een recht om het actief te gebruiken.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Een lease lijkt hiermee sterk op het huren van een actief. Bij lease overeenkomsten is er echter vaak sprake van een koopoptie, waardoor aan het eind van de leaseperiode de lessee ook het juridisch eigendom over het leaseobject kan verkrijgen. De lessee kan het leaseobject voor een prijs overnemen, die bij aanvang van het leasecontract is vastgesteld. Ook dit lijkt op een vorm van huren, namelijk huurkoop. Bij huurkoop gaat het juridisch eigendom van het object van rechtswege over naar de huurder. De huurder hoeft hiermee niet met één bedrag het object aan te schaffen, maar betaalt periodiek een bedrag. Het verschil is dat bij een lease de koopoptie optioneel is en dat huurkoop een vorm van kredietverstrekking is. Echter kan een lease ook de kenmerken hebben van huurkoop.</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Bij een lease wordt het economisch eigendom over het leaseobject geheel of gedeeltelijk overgedragen van de lessor aan de lessee. Het is afhankelijk van welke leasevorm hoe veel van het economisch eigendom wordt overgedragen. De leasevormen worden later nog nader toegelicht.</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Volgens IFRIC 4:10-11</w:t>
      </w:r>
      <w:r>
        <w:rPr>
          <w:rFonts w:ascii="Calibri" w:hAnsi="Calibri"/>
          <w:sz w:val="22"/>
          <w:szCs w:val="22"/>
          <w:lang w:val="nl-NL"/>
        </w:rPr>
        <w:t xml:space="preserve"> (IASB, 2009)</w:t>
      </w:r>
      <w:r w:rsidRPr="002D3C2C">
        <w:rPr>
          <w:rFonts w:ascii="Calibri" w:hAnsi="Calibri"/>
          <w:sz w:val="22"/>
          <w:szCs w:val="22"/>
          <w:lang w:val="nl-NL"/>
        </w:rPr>
        <w:t xml:space="preserve"> kan een al bestaande overeenkomst onder bepaalde voorwaarden (opnieuw) als lease worden aangemerkt. Aan één van de volgende voorwaarden moet dan worden voldaan:</w:t>
      </w:r>
    </w:p>
    <w:p w:rsidR="00EA568F" w:rsidRPr="002D3C2C" w:rsidRDefault="00EA568F" w:rsidP="006C7BAC">
      <w:pPr>
        <w:numPr>
          <w:ilvl w:val="0"/>
          <w:numId w:val="2"/>
        </w:numPr>
        <w:spacing w:line="360" w:lineRule="auto"/>
        <w:jc w:val="both"/>
        <w:rPr>
          <w:rFonts w:ascii="Calibri" w:hAnsi="Calibri"/>
          <w:sz w:val="22"/>
          <w:szCs w:val="22"/>
          <w:lang w:val="nl-NL"/>
        </w:rPr>
      </w:pPr>
      <w:r w:rsidRPr="002D3C2C">
        <w:rPr>
          <w:rFonts w:ascii="Calibri" w:hAnsi="Calibri"/>
          <w:sz w:val="22"/>
          <w:szCs w:val="22"/>
          <w:lang w:val="nl-NL"/>
        </w:rPr>
        <w:t>Verandering van de contractuele lease termijn (looptijd);</w:t>
      </w:r>
    </w:p>
    <w:p w:rsidR="00EA568F" w:rsidRPr="002D3C2C" w:rsidRDefault="00EA568F" w:rsidP="006C7BAC">
      <w:pPr>
        <w:numPr>
          <w:ilvl w:val="0"/>
          <w:numId w:val="2"/>
        </w:numPr>
        <w:spacing w:line="360" w:lineRule="auto"/>
        <w:jc w:val="both"/>
        <w:rPr>
          <w:rFonts w:ascii="Calibri" w:hAnsi="Calibri"/>
          <w:sz w:val="22"/>
          <w:szCs w:val="22"/>
          <w:lang w:val="nl-NL"/>
        </w:rPr>
      </w:pPr>
      <w:r w:rsidRPr="002D3C2C">
        <w:rPr>
          <w:rFonts w:ascii="Calibri" w:hAnsi="Calibri"/>
          <w:sz w:val="22"/>
          <w:szCs w:val="22"/>
          <w:lang w:val="nl-NL"/>
        </w:rPr>
        <w:t>tussen lessor en lessee is een vernieuwing of verlenging van het leasecontract overeengekomen;</w:t>
      </w:r>
    </w:p>
    <w:p w:rsidR="00EA568F" w:rsidRPr="002D3C2C" w:rsidRDefault="00EA568F" w:rsidP="006C7BAC">
      <w:pPr>
        <w:numPr>
          <w:ilvl w:val="0"/>
          <w:numId w:val="2"/>
        </w:numPr>
        <w:spacing w:line="360" w:lineRule="auto"/>
        <w:jc w:val="both"/>
        <w:rPr>
          <w:rFonts w:ascii="Calibri" w:hAnsi="Calibri"/>
          <w:sz w:val="22"/>
          <w:szCs w:val="22"/>
          <w:lang w:val="nl-NL"/>
        </w:rPr>
      </w:pPr>
      <w:r w:rsidRPr="002D3C2C">
        <w:rPr>
          <w:rFonts w:ascii="Calibri" w:hAnsi="Calibri"/>
          <w:sz w:val="22"/>
          <w:szCs w:val="22"/>
          <w:lang w:val="nl-NL"/>
        </w:rPr>
        <w:t>er is een verandering in de bepaling of nakoming afhankelijk is van het specifieke actief;</w:t>
      </w:r>
    </w:p>
    <w:p w:rsidR="00EA568F" w:rsidRPr="002D3C2C" w:rsidRDefault="00EA568F" w:rsidP="006C7BAC">
      <w:pPr>
        <w:numPr>
          <w:ilvl w:val="0"/>
          <w:numId w:val="2"/>
        </w:numPr>
        <w:spacing w:line="360" w:lineRule="auto"/>
        <w:jc w:val="both"/>
        <w:rPr>
          <w:rFonts w:ascii="Calibri" w:hAnsi="Calibri"/>
          <w:sz w:val="22"/>
          <w:szCs w:val="22"/>
          <w:lang w:val="nl-NL"/>
        </w:rPr>
      </w:pPr>
      <w:r w:rsidRPr="002D3C2C">
        <w:rPr>
          <w:rFonts w:ascii="Calibri" w:hAnsi="Calibri"/>
          <w:sz w:val="22"/>
          <w:szCs w:val="22"/>
          <w:lang w:val="nl-NL"/>
        </w:rPr>
        <w:t>het actief is substantieel veranderd.</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Een verandering in schattingen zal er niet voor zorgen dat een contract als lease wordt aangemerkt.</w:t>
      </w:r>
    </w:p>
    <w:p w:rsidR="00EA568F" w:rsidRPr="002D3C2C" w:rsidRDefault="00EA568F" w:rsidP="006C7BAC">
      <w:pPr>
        <w:spacing w:line="360" w:lineRule="auto"/>
        <w:jc w:val="both"/>
        <w:rPr>
          <w:rFonts w:ascii="Calibri" w:hAnsi="Calibri"/>
          <w:sz w:val="22"/>
          <w:szCs w:val="22"/>
          <w:lang w:val="nl-NL"/>
        </w:rPr>
      </w:pPr>
    </w:p>
    <w:p w:rsidR="00EA568F" w:rsidRPr="00E95714" w:rsidRDefault="00EA568F" w:rsidP="0084261E">
      <w:pPr>
        <w:pStyle w:val="Heading2"/>
        <w:rPr>
          <w:rFonts w:ascii="Calibri" w:hAnsi="Calibri"/>
          <w:sz w:val="24"/>
          <w:szCs w:val="24"/>
          <w:lang w:val="nl-NL"/>
        </w:rPr>
      </w:pPr>
      <w:bookmarkStart w:id="9" w:name="_Toc265327680"/>
      <w:r w:rsidRPr="00E95714">
        <w:rPr>
          <w:rFonts w:ascii="Calibri" w:hAnsi="Calibri"/>
          <w:sz w:val="24"/>
          <w:szCs w:val="24"/>
          <w:lang w:val="nl-NL"/>
        </w:rPr>
        <w:t>2.2 Leasevormen en de ‘risks and rewards’</w:t>
      </w:r>
      <w:bookmarkEnd w:id="9"/>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Zoals in het vorige hoofdstuk ook is besproken zijn er twee vormen van leasen. Een financiële lease is een lease waarbij een substantieel gedeelte van de ‘risks and rewards’, die incidenteel zijn aan het eigendom van het leaseobject, worden overgedragen naar de lessee, aldus IAS 17:8 (</w:t>
      </w:r>
      <w:r>
        <w:rPr>
          <w:rFonts w:ascii="Calibri" w:hAnsi="Calibri"/>
          <w:sz w:val="22"/>
          <w:szCs w:val="22"/>
          <w:lang w:val="nl-NL"/>
        </w:rPr>
        <w:t xml:space="preserve">IASB, </w:t>
      </w:r>
      <w:r w:rsidRPr="002D3C2C">
        <w:rPr>
          <w:rFonts w:ascii="Calibri" w:hAnsi="Calibri"/>
          <w:sz w:val="22"/>
          <w:szCs w:val="22"/>
          <w:lang w:val="nl-NL"/>
        </w:rPr>
        <w:t xml:space="preserve">2009). En een operationele lease zijn alle andere lease overeenkomsten die niet onder een financiële lease vallen.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Om de scheiding tussen een financiële en een operationele lease goed te doorgronden, is het belangrijk de ‘risks and rewards’ te definiëren. De risico’s omvatten, volgens IAS 17 (</w:t>
      </w:r>
      <w:r>
        <w:rPr>
          <w:rFonts w:ascii="Calibri" w:hAnsi="Calibri"/>
          <w:sz w:val="22"/>
          <w:szCs w:val="22"/>
          <w:lang w:val="nl-NL"/>
        </w:rPr>
        <w:t xml:space="preserve">IASB, </w:t>
      </w:r>
      <w:r w:rsidRPr="002D3C2C">
        <w:rPr>
          <w:rFonts w:ascii="Calibri" w:hAnsi="Calibri"/>
          <w:sz w:val="22"/>
          <w:szCs w:val="22"/>
          <w:lang w:val="nl-NL"/>
        </w:rPr>
        <w:t>2009), de kans op verlies door ongebruikte capaciteit, technologische veroudering en variaties in inkomsten door economische omstandigheden. De ‘rewards’, oftewel de baten, kunnen zaken omvatten als de winstgevendheid over het inzetten van het actief over de economische levensduur en het voordeel van een waardestijging van het actief of het realiseren van een restwaarde.</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Als deze risico’s en baten in ogenschouw worden genomen, kan gezegd worden dat degene, die aan deze risico’s en baten blootstaat, het economische eigendom over een actief bezit. Bij een financiële lease ligt het economisch eigendom daarom bij een lessee en het juridisch eigendom bij de lessor. Bij een operationele lease worden deze risico’s en baten niet overgedragen en daarom is de lessor zowel juridisch als economisch de eigenaar. Wanneer de ‘risks and rewards’ benadering wordt toegepast is het logisch dat bij een financiële lease overeenkomst het leaseobject als een actief wordt geactiveerd op de balans en de te betalen leasetermijnen als een verplichting.</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Voor de bepaling welke leasevorm van toepassing is, is voor de accountant een belangrijke rol weggelegd (Bloom &amp; Cenker, 2009). De ‘risks and rewards’ benadering is heel abstract, daarom heeft de IASB in IAS 17:10 (</w:t>
      </w:r>
      <w:r>
        <w:rPr>
          <w:rFonts w:ascii="Calibri" w:hAnsi="Calibri"/>
          <w:sz w:val="22"/>
          <w:szCs w:val="22"/>
          <w:lang w:val="nl-NL"/>
        </w:rPr>
        <w:t xml:space="preserve">IASB, </w:t>
      </w:r>
      <w:r w:rsidRPr="002D3C2C">
        <w:rPr>
          <w:rFonts w:ascii="Calibri" w:hAnsi="Calibri"/>
          <w:sz w:val="22"/>
          <w:szCs w:val="22"/>
          <w:lang w:val="nl-NL"/>
        </w:rPr>
        <w:t xml:space="preserve">2009) een paar situaties en indicatoren geschetst die gewoonlijk tot een financiële lease behoren. Twee van die geschetste situaties zijn: </w:t>
      </w:r>
    </w:p>
    <w:p w:rsidR="00EA568F" w:rsidRPr="002D3C2C" w:rsidRDefault="00EA568F" w:rsidP="006C7BAC">
      <w:pPr>
        <w:tabs>
          <w:tab w:val="left" w:pos="720"/>
        </w:tabs>
        <w:spacing w:line="360" w:lineRule="auto"/>
        <w:ind w:left="720" w:hanging="360"/>
        <w:jc w:val="both"/>
        <w:rPr>
          <w:rFonts w:ascii="Calibri" w:hAnsi="Calibri"/>
          <w:sz w:val="22"/>
          <w:szCs w:val="22"/>
          <w:lang w:val="nl-NL"/>
        </w:rPr>
      </w:pPr>
      <w:r w:rsidRPr="002D3C2C">
        <w:rPr>
          <w:rFonts w:ascii="Calibri" w:hAnsi="Calibri"/>
          <w:sz w:val="22"/>
          <w:szCs w:val="22"/>
          <w:lang w:val="nl-NL"/>
        </w:rPr>
        <w:t>1.</w:t>
      </w:r>
      <w:r w:rsidRPr="002D3C2C">
        <w:rPr>
          <w:rFonts w:ascii="Calibri" w:hAnsi="Calibri"/>
          <w:sz w:val="22"/>
          <w:szCs w:val="22"/>
          <w:lang w:val="nl-NL"/>
        </w:rPr>
        <w:tab/>
        <w:t>De leaseperiode omvat het grootste deel van de economische levensduur van het leaseobject, ook wanneer het juridische eigendom niet overgaat;</w:t>
      </w:r>
    </w:p>
    <w:p w:rsidR="00EA568F" w:rsidRPr="002D3C2C" w:rsidRDefault="00EA568F" w:rsidP="006C7BAC">
      <w:pPr>
        <w:tabs>
          <w:tab w:val="left" w:pos="720"/>
        </w:tabs>
        <w:spacing w:line="360" w:lineRule="auto"/>
        <w:ind w:left="720" w:hanging="360"/>
        <w:jc w:val="both"/>
        <w:rPr>
          <w:rFonts w:ascii="Calibri" w:hAnsi="Calibri"/>
          <w:sz w:val="22"/>
          <w:szCs w:val="22"/>
          <w:lang w:val="nl-NL"/>
        </w:rPr>
      </w:pPr>
      <w:r w:rsidRPr="002D3C2C">
        <w:rPr>
          <w:rFonts w:ascii="Calibri" w:hAnsi="Calibri"/>
          <w:sz w:val="22"/>
          <w:szCs w:val="22"/>
          <w:lang w:val="nl-NL"/>
        </w:rPr>
        <w:t>2.</w:t>
      </w:r>
      <w:r w:rsidRPr="002D3C2C">
        <w:rPr>
          <w:rFonts w:ascii="Calibri" w:hAnsi="Calibri"/>
          <w:sz w:val="22"/>
          <w:szCs w:val="22"/>
          <w:lang w:val="nl-NL"/>
        </w:rPr>
        <w:tab/>
        <w:t>De contante waarde van de minimale leasetermijnen, bij afsluiten van het contract, bedraagt tenminste nagenoeg de gehele reële waarde van het leaseobject.</w:t>
      </w:r>
    </w:p>
    <w:p w:rsidR="00EA568F" w:rsidRPr="002D3C2C" w:rsidRDefault="00EA568F" w:rsidP="006C7BAC">
      <w:pPr>
        <w:tabs>
          <w:tab w:val="left" w:pos="720"/>
        </w:tabs>
        <w:spacing w:line="360" w:lineRule="auto"/>
        <w:jc w:val="both"/>
        <w:rPr>
          <w:rFonts w:ascii="Calibri" w:hAnsi="Calibri"/>
          <w:sz w:val="22"/>
          <w:szCs w:val="22"/>
          <w:lang w:val="nl-NL"/>
        </w:rPr>
      </w:pPr>
      <w:r w:rsidRPr="002D3C2C">
        <w:rPr>
          <w:rFonts w:ascii="Calibri" w:hAnsi="Calibri"/>
          <w:sz w:val="22"/>
          <w:szCs w:val="22"/>
          <w:lang w:val="nl-NL"/>
        </w:rPr>
        <w:t>In deze situaties geeft de IASB geen kwantitatieve richtlijnen aan. Hier vult de Nederlandse Raad voor de Jaarverslaggeving de IAS 17:10 aan met de RJ 292.120 (Arnold et al., 2009). De IAS 17 is vrijwel geheel overgenomen in RJ 292. Hierin wordt gezegd dat bij 1 de leaseperiode minstens 75% moet beslaan van de economische levensduur. Bij 2 wordt als aanvulling gegeven dat de contante waarde van de leasetermijnen minstens 90% van de reële waarde moet zijn. Deze maatstaven zijn echter meer richtlijnen, want het is belangrijk om bij het classificeren in de gaten te houden dat de eigenschappen van een leasecontract boven de vorm van het contract gaan. Ook kan, onder bepaalde omstandigheden, de classificatie van de lease overeenkomst verschillen tussen lessor en lessee (</w:t>
      </w:r>
      <w:r>
        <w:rPr>
          <w:rFonts w:ascii="Calibri" w:hAnsi="Calibri"/>
          <w:sz w:val="22"/>
          <w:szCs w:val="22"/>
          <w:lang w:val="nl-NL"/>
        </w:rPr>
        <w:t xml:space="preserve">IASB: </w:t>
      </w:r>
      <w:r w:rsidRPr="002D3C2C">
        <w:rPr>
          <w:rFonts w:ascii="Calibri" w:hAnsi="Calibri"/>
          <w:sz w:val="22"/>
          <w:szCs w:val="22"/>
          <w:lang w:val="nl-NL"/>
        </w:rPr>
        <w:t xml:space="preserve">IAS 17, 2009). </w:t>
      </w:r>
    </w:p>
    <w:p w:rsidR="00EA568F" w:rsidRPr="002D3C2C" w:rsidRDefault="00EA568F" w:rsidP="006C7BAC">
      <w:pPr>
        <w:spacing w:line="360" w:lineRule="auto"/>
        <w:jc w:val="both"/>
        <w:rPr>
          <w:rFonts w:ascii="Calibri" w:hAnsi="Calibri"/>
          <w:sz w:val="22"/>
          <w:szCs w:val="22"/>
          <w:lang w:val="nl-NL"/>
        </w:rPr>
      </w:pPr>
    </w:p>
    <w:p w:rsidR="00EA568F" w:rsidRPr="00E95714" w:rsidRDefault="00EA568F" w:rsidP="0084261E">
      <w:pPr>
        <w:pStyle w:val="Heading2"/>
        <w:rPr>
          <w:rFonts w:ascii="Calibri" w:hAnsi="Calibri"/>
          <w:sz w:val="24"/>
          <w:szCs w:val="24"/>
          <w:lang w:val="nl-NL"/>
        </w:rPr>
      </w:pPr>
      <w:bookmarkStart w:id="10" w:name="_Toc265327681"/>
      <w:r w:rsidRPr="00E95714">
        <w:rPr>
          <w:rFonts w:ascii="Calibri" w:hAnsi="Calibri"/>
          <w:sz w:val="24"/>
          <w:szCs w:val="24"/>
          <w:lang w:val="nl-NL"/>
        </w:rPr>
        <w:t>2.3 De verwerking bij een lessee</w:t>
      </w:r>
      <w:bookmarkEnd w:id="10"/>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In deze paragraaf komt naar voren hoe een lease overeenkomst wordt verwerkt in de jaarrekening van een lessee. Hierbij komt de toepassing van een financiële lease en een operationele lease achtereenvolgens aan bod, waarna de twee leasevormen worden vergeleken.</w:t>
      </w:r>
    </w:p>
    <w:p w:rsidR="00EA568F" w:rsidRPr="002D3C2C" w:rsidRDefault="00EA568F" w:rsidP="006C7BAC">
      <w:pPr>
        <w:spacing w:line="360" w:lineRule="auto"/>
        <w:jc w:val="both"/>
        <w:rPr>
          <w:rFonts w:ascii="Calibri" w:hAnsi="Calibri"/>
          <w:sz w:val="22"/>
          <w:szCs w:val="22"/>
          <w:lang w:val="nl-NL"/>
        </w:rPr>
      </w:pPr>
    </w:p>
    <w:p w:rsidR="00EA568F" w:rsidRPr="0084261E" w:rsidRDefault="00EA568F" w:rsidP="0084261E">
      <w:pPr>
        <w:pStyle w:val="Heading3"/>
        <w:rPr>
          <w:rFonts w:ascii="Calibri" w:hAnsi="Calibri"/>
          <w:b w:val="0"/>
          <w:i/>
          <w:sz w:val="24"/>
          <w:szCs w:val="24"/>
          <w:lang w:val="nl-NL"/>
        </w:rPr>
      </w:pPr>
      <w:bookmarkStart w:id="11" w:name="_Toc265327682"/>
      <w:r w:rsidRPr="0084261E">
        <w:rPr>
          <w:rFonts w:ascii="Calibri" w:hAnsi="Calibri"/>
          <w:b w:val="0"/>
          <w:i/>
          <w:sz w:val="24"/>
          <w:szCs w:val="24"/>
          <w:lang w:val="nl-NL"/>
        </w:rPr>
        <w:t>2.3.1 Verwerking van een financiële lease</w:t>
      </w:r>
      <w:bookmarkEnd w:id="11"/>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Zoals bekend moet de lessee een financiële lease verantwoorden als enerzijds een actief en anderzijds als een verplichting. Met het aangaan van het leasecontract wordt zowel het actief als de verplichting gewaardeerd tegen de lagere waarde van de reële waarde van het leaseobject of van de contante waarde van de minimale leasebetalingen. Volgens IFRIC 4:13 (</w:t>
      </w:r>
      <w:r>
        <w:rPr>
          <w:rFonts w:ascii="Calibri" w:hAnsi="Calibri"/>
          <w:sz w:val="22"/>
          <w:szCs w:val="22"/>
          <w:lang w:val="nl-NL"/>
        </w:rPr>
        <w:t xml:space="preserve">IASB, </w:t>
      </w:r>
      <w:r w:rsidRPr="002D3C2C">
        <w:rPr>
          <w:rFonts w:ascii="Calibri" w:hAnsi="Calibri"/>
          <w:sz w:val="22"/>
          <w:szCs w:val="22"/>
          <w:lang w:val="nl-NL"/>
        </w:rPr>
        <w:t>2009) mag alleen de contante waarde van de betalingen gepassiveerd worden, die uitsluitend betrekking hebben op het gebruiksrecht van het actief. Andere kosten, zoals servicekosten, mogen niet worden meegenomen. De verdisconteringvoet is de rentevoet die in het leasecontract vermeld staat of als die er niet is, de interestvoet waarmee de lessee een bedrag kan lenen. De directe kosten van het leasecontract worden met het leaseobject geactiveerd.</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Het geactiveerde deel mag afgeschreven worden volgens IAS 16 en IAS 38. Ook kan het leaseobject worden afgewaardeerd door middel van een impairment test volgens IAS 36.</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verplichting neemt elk jaar af met de leasebetalingen die gedaan zijn. Maar neemt toe met een interestgedeelte over dat jaar. De leasebetalingen, die op het boekjaar betrekking hebben, kunnen worden opgesplitst in een interestdeel en een aflossingsdeel. Het aflossingsdeel verminderd de verplichting en het interestdeel zijn eigenlijk de interestkosten (</w:t>
      </w:r>
      <w:r>
        <w:rPr>
          <w:rFonts w:ascii="Calibri" w:hAnsi="Calibri"/>
          <w:sz w:val="22"/>
          <w:szCs w:val="22"/>
          <w:lang w:val="nl-NL"/>
        </w:rPr>
        <w:t xml:space="preserve">IASB: </w:t>
      </w:r>
      <w:r w:rsidRPr="002D3C2C">
        <w:rPr>
          <w:rFonts w:ascii="Calibri" w:hAnsi="Calibri"/>
          <w:sz w:val="22"/>
          <w:szCs w:val="22"/>
          <w:lang w:val="nl-NL"/>
        </w:rPr>
        <w:t>IFRIC 4:15a, 2009).</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Daarnaast zijn er natuurlijk nog de ‘disclosures’ die moeten worden verantwoord. Hier wordt echter niet diep ingegaan, omdat dit weinig toegevoegde waarde heeft voor deze scriptie.</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Kortom de implicaties van een financiële lease op een balans, nadat de lease al is opgenomen, zijn dat het leaseobject in waarde wordt verminderd door afschrijving en afwaardering. De verplichting wordt ieder jaar verminderd met de betaalde leasetermijnen en wordt vermeerderd met het interestdeel. Na één jaar zal het geactiveerde gedeelte waarschijnlijk niet meer gelijk zijn aan de gepassiveerde verplichting.</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implicaties van een financiële lease op een resultatenrekening zijn de afschrijvingskosten en de afwaarderingkosten (</w:t>
      </w:r>
      <w:r>
        <w:rPr>
          <w:rFonts w:ascii="Calibri" w:hAnsi="Calibri"/>
          <w:sz w:val="22"/>
          <w:szCs w:val="22"/>
          <w:lang w:val="nl-NL"/>
        </w:rPr>
        <w:t xml:space="preserve">IASB: </w:t>
      </w:r>
      <w:r w:rsidRPr="002D3C2C">
        <w:rPr>
          <w:rFonts w:ascii="Calibri" w:hAnsi="Calibri"/>
          <w:sz w:val="22"/>
          <w:szCs w:val="22"/>
          <w:lang w:val="nl-NL"/>
        </w:rPr>
        <w:t>IAS 36:60, 2009) van het leaseobject plus de interestkosten.</w:t>
      </w:r>
    </w:p>
    <w:p w:rsidR="00EA568F" w:rsidRPr="002D3C2C" w:rsidRDefault="00EA568F" w:rsidP="006C7BAC">
      <w:pPr>
        <w:spacing w:line="360" w:lineRule="auto"/>
        <w:jc w:val="both"/>
        <w:rPr>
          <w:rFonts w:ascii="Calibri" w:hAnsi="Calibri"/>
          <w:sz w:val="22"/>
          <w:szCs w:val="22"/>
          <w:lang w:val="nl-NL"/>
        </w:rPr>
      </w:pPr>
    </w:p>
    <w:p w:rsidR="00EA568F" w:rsidRDefault="00EA568F" w:rsidP="0084261E">
      <w:pPr>
        <w:pStyle w:val="Heading3"/>
        <w:rPr>
          <w:rFonts w:ascii="Calibri" w:hAnsi="Calibri"/>
          <w:b w:val="0"/>
          <w:i/>
          <w:sz w:val="24"/>
          <w:szCs w:val="24"/>
          <w:lang w:val="nl-NL"/>
        </w:rPr>
      </w:pPr>
      <w:bookmarkStart w:id="12" w:name="_Toc265327683"/>
      <w:r w:rsidRPr="0084261E">
        <w:rPr>
          <w:rFonts w:ascii="Calibri" w:hAnsi="Calibri"/>
          <w:b w:val="0"/>
          <w:i/>
          <w:sz w:val="24"/>
          <w:szCs w:val="24"/>
          <w:lang w:val="nl-NL"/>
        </w:rPr>
        <w:t>2.3.2 Verwerking van een operationele lease</w:t>
      </w:r>
      <w:bookmarkEnd w:id="12"/>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Een operationele lease overeenkomst hoeft niet te worden opgenomen in de balans. Er kan dus gerust gezegd worden dat het aangaan van een operationele lease geen implicaties op de balans veroorzaakt.</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leasetermijnen die betrekking hebben op het boekjaar worden wel verantwoord in de resultatenrekening als kosten. Deze leasekosten hoeven in tegenstelling tot de financiële lease niet gesplitst te worden in een interestdeel en een aflossingsdeel (</w:t>
      </w:r>
      <w:r>
        <w:rPr>
          <w:rFonts w:ascii="Calibri" w:hAnsi="Calibri"/>
          <w:sz w:val="22"/>
          <w:szCs w:val="22"/>
          <w:lang w:val="nl-NL"/>
        </w:rPr>
        <w:t xml:space="preserve">IASB: </w:t>
      </w:r>
      <w:r w:rsidRPr="002D3C2C">
        <w:rPr>
          <w:rFonts w:ascii="Calibri" w:hAnsi="Calibri"/>
          <w:sz w:val="22"/>
          <w:szCs w:val="22"/>
          <w:lang w:val="nl-NL"/>
        </w:rPr>
        <w:t xml:space="preserve">IFRIC 4:15b, 2009). </w:t>
      </w:r>
    </w:p>
    <w:p w:rsidR="00EA568F"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Ook hier zijn weer enkele ‘disclosure’ voorschriften, maar deze worden hier bewust niet behandeld.</w:t>
      </w:r>
    </w:p>
    <w:p w:rsidR="00EA568F" w:rsidRDefault="00EA568F" w:rsidP="006C7BAC">
      <w:pPr>
        <w:spacing w:line="360" w:lineRule="auto"/>
        <w:jc w:val="both"/>
        <w:rPr>
          <w:rFonts w:ascii="Calibri" w:hAnsi="Calibri"/>
          <w:sz w:val="22"/>
          <w:szCs w:val="22"/>
          <w:lang w:val="nl-NL"/>
        </w:rPr>
      </w:pPr>
    </w:p>
    <w:p w:rsidR="00EA568F" w:rsidRDefault="00EA568F" w:rsidP="0084261E">
      <w:pPr>
        <w:pStyle w:val="Heading3"/>
        <w:rPr>
          <w:rFonts w:ascii="Calibri" w:hAnsi="Calibri"/>
          <w:b w:val="0"/>
          <w:i/>
          <w:sz w:val="24"/>
          <w:szCs w:val="24"/>
          <w:lang w:val="nl-NL"/>
        </w:rPr>
      </w:pPr>
      <w:bookmarkStart w:id="13" w:name="_Toc265327684"/>
      <w:r w:rsidRPr="0084261E">
        <w:rPr>
          <w:rFonts w:ascii="Calibri" w:hAnsi="Calibri"/>
          <w:b w:val="0"/>
          <w:i/>
          <w:sz w:val="24"/>
          <w:szCs w:val="24"/>
          <w:lang w:val="nl-NL"/>
        </w:rPr>
        <w:t>2.3.3 Vergelijking</w:t>
      </w:r>
      <w:bookmarkEnd w:id="13"/>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Nadat is toegelicht hoe de verwerking van beide leases bij een lessee in zijn werk gaat, wordt nu gekeken naar de verschillen en wat voor impact de verschillen hebben op de balans, resultatenrekening en ratio’s.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Het belangrijkste verschil tussen de toepassing van een operationele lease en een financiële lease is dat de laatste op de balans wordt verantwoord. Ten eerste worden de balanstotalen bij het aangaan van een financiële lease hoger dan bij een operationele lease. Het leaseobject wordt hetzelfde aangemerkt als wanneer het gekocht zou zijn. Het leaseobject wordt aangemerkt als materiële of immateriële vaste activa. De contante waarde van de nog te betalen leasetermijnen wordt aangemerkt als verplichting en valt onder vreemd vermogen.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In de resultatenrekening worden bij beide kosten verantwoord. De totale kosten van beide leases zouden per definitie gelijk kunnen zijn, maar dan nog zijn er een paar belangrijke verschillen. Bij een operationele lease worden de leasekosten als bedrijfskosten aangemerkt. Wanneer de EBITDA wordt berekend zijn deze kosten er al in verwerkt. Bij een financiële lease zijn de interest- en afschrijvingskosten hier nog niet in verwerkt en valt de EBITDA dus hoger uit. De EBITDA is een performance maatstaf die vaak wordt gebruikt in de financiële wereld door kapitaalverschaffers (Pounder, 2009). Met een hogere EBITDA wordt een bedrijf geacht beter aan zijn verplichtingen, zoals rente, te kunnen voldoen.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ratio’s die relevant bevonden zijn om het verschil tussen de leasevormen aan te tonen zijn de solvabiliteitsratio en de ROA (return on assets). De EBITDA die we hiervoor hebben toegelicht hoort hier ook bij de relevante ratio’s.</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Wanneer de solvabiliteitsratio onderzocht wordt zien we dat bij een financiële lease het vreemd vermogen omhoog gaat en dus, in vergelijking met een operationele lease, zorgt voor een slechtere ratio.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Voor de ROA wordt als return de EBIT genomen. Het is onbekend of de EBIT, waarin de interestkosten nog niet zijn verwerkt, hoger is bij een financiële of bij een operationele lease. Dit komt doordat het onbekend is of de afschrijving van het leaseobject groter of kleiner is dan de leasetermijn bij een operationele lease. Hier wordt aangenomen dat de EBIT van de twee leasevormen gelijk is aan elkaar om toch het verschil aan te tonen. Bij een financiële lease zijn door de activering van het leaseobject de assets hoger dan bij een operationele lease. Hierdoor is de ratio bij een financiële lease slechter.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De ROA en solvabiliteitsratio zijn slechter in het geval van een financiële lease, maar daar staat tegenover dat de EBITDA hoger is. De leasetermijnen van een operationele lease zullen waarschijnlijk hoger zijn dan bij een financiële lease, omdat bij de laatste meer risico’s zelf worden gedragen. </w:t>
      </w:r>
    </w:p>
    <w:p w:rsidR="00EA568F" w:rsidRPr="002D3C2C" w:rsidRDefault="00EA568F" w:rsidP="006C7BAC">
      <w:pPr>
        <w:spacing w:line="360" w:lineRule="auto"/>
        <w:jc w:val="both"/>
        <w:rPr>
          <w:rFonts w:ascii="Calibri" w:hAnsi="Calibri"/>
          <w:sz w:val="22"/>
          <w:szCs w:val="22"/>
          <w:lang w:val="nl-NL"/>
        </w:rPr>
      </w:pPr>
    </w:p>
    <w:p w:rsidR="00EA568F" w:rsidRPr="00E95714" w:rsidRDefault="00EA568F" w:rsidP="0084261E">
      <w:pPr>
        <w:pStyle w:val="Heading2"/>
        <w:rPr>
          <w:rFonts w:ascii="Calibri" w:hAnsi="Calibri"/>
          <w:sz w:val="24"/>
          <w:szCs w:val="24"/>
          <w:lang w:val="nl-NL"/>
        </w:rPr>
      </w:pPr>
      <w:bookmarkStart w:id="14" w:name="_Toc265327685"/>
      <w:r w:rsidRPr="00E95714">
        <w:rPr>
          <w:rFonts w:ascii="Calibri" w:hAnsi="Calibri"/>
          <w:sz w:val="24"/>
          <w:szCs w:val="24"/>
          <w:lang w:val="nl-NL"/>
        </w:rPr>
        <w:t>2.4 De verwerking bij een lessor</w:t>
      </w:r>
      <w:bookmarkEnd w:id="14"/>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In deze paragraaf wordt de verwerking van de twee leasevormen in de jaarrekening van de lessor behandeld. Ook hier wordt weer onderscheid gemaakt tussen financiële en operationele lease. Tot slot worden de twee leasevormen weer naast elkaar gelegd en vergeleken.</w:t>
      </w:r>
    </w:p>
    <w:p w:rsidR="00EA568F" w:rsidRPr="002D3C2C" w:rsidRDefault="00EA568F" w:rsidP="006C7BAC">
      <w:pPr>
        <w:spacing w:line="360" w:lineRule="auto"/>
        <w:jc w:val="both"/>
        <w:rPr>
          <w:rFonts w:ascii="Calibri" w:hAnsi="Calibri"/>
          <w:sz w:val="22"/>
          <w:szCs w:val="22"/>
          <w:lang w:val="nl-NL"/>
        </w:rPr>
      </w:pPr>
    </w:p>
    <w:p w:rsidR="00EA568F" w:rsidRDefault="00EA568F" w:rsidP="0084261E">
      <w:pPr>
        <w:pStyle w:val="Heading3"/>
        <w:rPr>
          <w:rFonts w:ascii="Calibri" w:hAnsi="Calibri"/>
          <w:b w:val="0"/>
          <w:i/>
          <w:sz w:val="24"/>
          <w:szCs w:val="24"/>
          <w:lang w:val="nl-NL"/>
        </w:rPr>
      </w:pPr>
      <w:bookmarkStart w:id="15" w:name="_Toc265327686"/>
      <w:r w:rsidRPr="0084261E">
        <w:rPr>
          <w:rFonts w:ascii="Calibri" w:hAnsi="Calibri"/>
          <w:b w:val="0"/>
          <w:i/>
          <w:sz w:val="24"/>
          <w:szCs w:val="24"/>
          <w:lang w:val="nl-NL"/>
        </w:rPr>
        <w:t>2.4.1 Verwerking van een financiële lease</w:t>
      </w:r>
      <w:bookmarkEnd w:id="15"/>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In het geval van een financiële lease zijn alle ‘risks and rewards’ overgedragen aan de lessee en heeft de lessor geen economisch eigendom meer over het leaseobject. De minimale te ontvangen leasetermijnen en een eventuele restwaarde worden verdisconteerd tegen het rentepercentage van het leasecontract. Deze contante waarde is de netto-investering. Aan de actiefzijde van de balans wordt een vordering op de lessee opgenomen ter hoogte van de netto-investering. De leasetermijnen, exclusief vergoeding voor service etc., verminderen de vordering. De vordering wordt vermeerderd met een interestgedeelte. De leasetermijnen bestaan net als bij de lessee, ook bij de lessor als termijnen met een aflossing- en een interestgedeelte. In IAS 17:42-46 (</w:t>
      </w:r>
      <w:r>
        <w:rPr>
          <w:rFonts w:ascii="Calibri" w:hAnsi="Calibri"/>
          <w:sz w:val="22"/>
          <w:szCs w:val="22"/>
          <w:lang w:val="nl-NL"/>
        </w:rPr>
        <w:t xml:space="preserve">IASB, </w:t>
      </w:r>
      <w:r w:rsidRPr="002D3C2C">
        <w:rPr>
          <w:rFonts w:ascii="Calibri" w:hAnsi="Calibri"/>
          <w:sz w:val="22"/>
          <w:szCs w:val="22"/>
          <w:lang w:val="nl-NL"/>
        </w:rPr>
        <w:t>2009) wordt ook onderscheid gemaakt tussen fabrikanten en dealers die als lessor optreden en lessors die geen fabrikanten of dealers zijn. Voor fabrikanten en dealers zijn er additionele bepalingen, in deze scriptie wordt hier niet verder op ingegaan.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netto-investering kan gezien worden als een vordering op de lessee. Het leaseobject staat zelf niet geactiveerd, omdat het al bij de lessee op de balans staat, en kan dus ook niet worden afgeschreven.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De implicatie voor de balans is, nadat de vordering is opgenomen, de vordering verminderd wordt met de ontvangen leasebetalingen en vermeerderd wordt met interestopbrengsten.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interestopbrengsten worden verantwoord in de resultatenrekening.</w:t>
      </w:r>
    </w:p>
    <w:p w:rsidR="00EA568F" w:rsidRDefault="00EA568F" w:rsidP="0084261E">
      <w:pPr>
        <w:pStyle w:val="Heading3"/>
        <w:rPr>
          <w:rFonts w:ascii="Calibri" w:hAnsi="Calibri"/>
          <w:b w:val="0"/>
          <w:i/>
          <w:sz w:val="24"/>
          <w:szCs w:val="24"/>
          <w:lang w:val="nl-NL"/>
        </w:rPr>
      </w:pPr>
      <w:bookmarkStart w:id="16" w:name="_Toc265327687"/>
      <w:r w:rsidRPr="0084261E">
        <w:rPr>
          <w:rFonts w:ascii="Calibri" w:hAnsi="Calibri"/>
          <w:b w:val="0"/>
          <w:i/>
          <w:sz w:val="24"/>
          <w:szCs w:val="24"/>
          <w:lang w:val="nl-NL"/>
        </w:rPr>
        <w:t>2.4.2 Verwerking van een operationele lease</w:t>
      </w:r>
      <w:bookmarkEnd w:id="16"/>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Bij een operationele lease is de lessor zowel de juridische als de economische eigenaar. Dit eigendom bepaalt dat het leaseobject is geactiveerd op de balans van de lessor. Hierbij zijn bijna dezelfde richtlijnen van toepassing als bij een financiële lease bij een lessee. De directe kosten van het leasecontract mogen geactiveerd worden en het leaseobject mag afgeschreven worden volgens IAS 16 en IAS 38. Tevens mag het worden afgewaardeerd door middel van een impairment test volgens IAS 36. Bij een operationele lease wordt echter geen vordering opgenomen, maar worden de leasetermijnen van het betreffende boekjaar opgenomen als opbrengsten.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implicatie is dat het leaseobject wordt geactiveerd en afgeschreven en afgewaardeerd. Op de resultatenrekening worden de leasetermijnen als opbrengst beschouwd en zijn er afschrijvings- en afwaarderingskosten.</w:t>
      </w:r>
    </w:p>
    <w:p w:rsidR="00EA568F" w:rsidRPr="002D3C2C" w:rsidRDefault="00EA568F" w:rsidP="006C7BAC">
      <w:pPr>
        <w:spacing w:line="360" w:lineRule="auto"/>
        <w:jc w:val="both"/>
        <w:rPr>
          <w:rFonts w:ascii="Calibri" w:hAnsi="Calibri"/>
          <w:sz w:val="22"/>
          <w:szCs w:val="22"/>
          <w:lang w:val="nl-NL"/>
        </w:rPr>
      </w:pPr>
    </w:p>
    <w:p w:rsidR="00EA568F" w:rsidRDefault="00EA568F" w:rsidP="0084261E">
      <w:pPr>
        <w:pStyle w:val="Heading3"/>
        <w:rPr>
          <w:rFonts w:ascii="Calibri" w:hAnsi="Calibri"/>
          <w:b w:val="0"/>
          <w:i/>
          <w:sz w:val="24"/>
          <w:szCs w:val="24"/>
          <w:lang w:val="nl-NL"/>
        </w:rPr>
      </w:pPr>
      <w:bookmarkStart w:id="17" w:name="_Toc265327688"/>
      <w:r w:rsidRPr="0084261E">
        <w:rPr>
          <w:rFonts w:ascii="Calibri" w:hAnsi="Calibri"/>
          <w:b w:val="0"/>
          <w:i/>
          <w:sz w:val="24"/>
          <w:szCs w:val="24"/>
          <w:lang w:val="nl-NL"/>
        </w:rPr>
        <w:t>2.4.3 Vergelijking</w:t>
      </w:r>
      <w:bookmarkEnd w:id="17"/>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De verschillen en hun impact op achtereenvolgens de balans, resultatenrekening en de ratio’s wordt nu toegelicht. De ratio’s zijn de EBITDA, ROA en de solvabiliteitsratio.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Bij een financiële lease staat er een vordering op de balans ter hoogte van de netto-investering en bij een operationele lease staat het leaseobject geactiveerd. Er zal niet veel verschil zitten in de hoogte van die bedragen, dus de actiefzijde van de balans zal bij beide leases ongeveer hetzelfde totaal weergeven. Op de passiefzijde van de balans staan geen posten.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Op de resultatenrekening in het geval van een operationele lease worden er afschrijvingskosten en opbrengst leasetermijnen geboekt. Bij een financiële lease worden alleen interestopbrengsten verantwoord. Het verschil tussen de leasetermijnen en afschrijvingskosten bij een operationele lease, zal niet veel verschillen van de interestopbrengsten bij een financiële lease, waardoor het verschil tussen beide leases niet groot zal zijn.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Bij een operationele lease zal de EBITDA hoger zijn dan bij een financiële lease. Dit omdat bij een operationele lease de opbrengsten bij de EBITDA zitten en afschrijvingskosten niet. Bij een financiële lease zitten de interestopbrengsten niet in EBITDA.</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Zoals ook bij de lessee wordt hier ook de ROA berekend met als return de EBIT. De assets op beide balansen zullen elkaar niet veel ontlopen, dus wordt hier verondersteld dat ze gelijk zijn. De EBIT bij een operationele lease omvat de opbrengst van de leasetermijnen en de afschrijvingskosten. Bij de EBIT bij een financiële lease vallen de interestopbrengsten er buiten. De EBIT bij een operationele lease zullen waarschijnlijk hoger uitvallen dan die bij een financiële lease. De ROA bij een operationele lease is hoger dan bij een financiële lease.</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solvabiliteitsratio zal in beide gevallen gelijk zijn, omdat er niks wordt gepassiveerd op de balans. Het eigen vermogen en het vreemd vermogen zullen in beide gevallen gelijk zijn.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Dankzij de hogere ROA zal een operationele lease licht in het voordeel zijn. Echter moet wel worden opgemerkt dat als er een andere maatstaf voor return zou worden gebruikt, zoals winst na belastingen de ROA bij beide leases ongeveer gelijk zou zijn. Er kan gezegd worden dat de implicaties bij de lessor bij beide leases ongeveer gelijk zijn en dat er niet echt een voorkeur is. Alleen moet wel rekening gehouden worden met de risico’s van een operationele lease die de lessor draagt.</w:t>
      </w:r>
    </w:p>
    <w:p w:rsidR="00EA568F" w:rsidRPr="002D3C2C" w:rsidRDefault="00EA568F" w:rsidP="006C7BAC">
      <w:pPr>
        <w:spacing w:line="360" w:lineRule="auto"/>
        <w:jc w:val="both"/>
        <w:rPr>
          <w:rFonts w:ascii="Calibri" w:hAnsi="Calibri"/>
          <w:sz w:val="22"/>
          <w:szCs w:val="22"/>
          <w:lang w:val="nl-NL"/>
        </w:rPr>
      </w:pPr>
    </w:p>
    <w:p w:rsidR="00EA568F" w:rsidRPr="00E95714" w:rsidRDefault="00EA568F" w:rsidP="0084261E">
      <w:pPr>
        <w:pStyle w:val="Heading2"/>
        <w:rPr>
          <w:rFonts w:ascii="Calibri" w:hAnsi="Calibri"/>
          <w:sz w:val="24"/>
          <w:szCs w:val="24"/>
          <w:lang w:val="nl-NL"/>
        </w:rPr>
      </w:pPr>
      <w:bookmarkStart w:id="18" w:name="_Toc265327689"/>
      <w:r w:rsidRPr="00E95714">
        <w:rPr>
          <w:rFonts w:ascii="Calibri" w:hAnsi="Calibri"/>
          <w:sz w:val="24"/>
          <w:szCs w:val="24"/>
          <w:lang w:val="nl-NL"/>
        </w:rPr>
        <w:t>2.5 Sale and lease back</w:t>
      </w:r>
      <w:bookmarkEnd w:id="18"/>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standaard IAS 17 licht ook toe hoe moet worden omgegaan met ‘sale and lease back’ transacties. Hoe de lease verwerkt moet worden in de jaarrekening verschilt niet met wat hiervoor is beschreven. Ook hier wordt onderscheid gemaakt tussen operationele en financiële lease. In IAS 17:58-66 (</w:t>
      </w:r>
      <w:r>
        <w:rPr>
          <w:rFonts w:ascii="Calibri" w:hAnsi="Calibri"/>
          <w:sz w:val="22"/>
          <w:szCs w:val="22"/>
          <w:lang w:val="nl-NL"/>
        </w:rPr>
        <w:t xml:space="preserve">IASB, </w:t>
      </w:r>
      <w:r w:rsidRPr="002D3C2C">
        <w:rPr>
          <w:rFonts w:ascii="Calibri" w:hAnsi="Calibri"/>
          <w:sz w:val="22"/>
          <w:szCs w:val="22"/>
          <w:lang w:val="nl-NL"/>
        </w:rPr>
        <w:t xml:space="preserve">2009) wordt uitgelegd hoe de boekwinst van de verkoop van het actief wordt verantwoord in de jaarrekening. In het geval van een financiële lease zal de boekwinst een latentie vormen en geamortiseerd worden over de looptijd. Bij een operationele lease is dit ook het geval wanneer de verkoopprijs boven de reële waarde ligt. Als de verkoopprijs lager is, maar dit wordt gecompenseerd door lagere leasetermijnen, vormt het verlies ook een latentie en moet ook geamortiseerd worden. Bij een boekverlies (het verschil tussen verkoopprijs en boekwaarde) wordt het onmiddellijk naar de resultatenrekening geboekt. Voor een financiële lease is een dergelijke aanpassing niet nodig, alleen wanneer het actief in waarde is gedaald. </w:t>
      </w:r>
    </w:p>
    <w:p w:rsidR="00EA568F" w:rsidRPr="002D3C2C" w:rsidRDefault="00EA568F" w:rsidP="006C7BAC">
      <w:pPr>
        <w:spacing w:line="360" w:lineRule="auto"/>
        <w:jc w:val="both"/>
        <w:rPr>
          <w:rFonts w:ascii="Calibri" w:hAnsi="Calibri"/>
          <w:sz w:val="22"/>
          <w:szCs w:val="22"/>
          <w:lang w:val="nl-NL"/>
        </w:rPr>
      </w:pPr>
    </w:p>
    <w:p w:rsidR="00EA568F" w:rsidRPr="00E95714" w:rsidRDefault="00EA568F" w:rsidP="0084261E">
      <w:pPr>
        <w:pStyle w:val="Heading2"/>
        <w:rPr>
          <w:rFonts w:ascii="Calibri" w:hAnsi="Calibri"/>
          <w:sz w:val="24"/>
          <w:szCs w:val="24"/>
          <w:lang w:val="nl-NL"/>
        </w:rPr>
      </w:pPr>
      <w:bookmarkStart w:id="19" w:name="_Toc265327690"/>
      <w:r w:rsidRPr="00E95714">
        <w:rPr>
          <w:rFonts w:ascii="Calibri" w:hAnsi="Calibri"/>
          <w:sz w:val="24"/>
          <w:szCs w:val="24"/>
          <w:lang w:val="nl-NL"/>
        </w:rPr>
        <w:t>2.6 Samenvatting en conclusie</w:t>
      </w:r>
      <w:bookmarkEnd w:id="19"/>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Het doel van dit hoofdstuk was om de verschillen tussen een operationele en een financiële lease toe te lichten en te zien hoe lease accounting wordt toegepast volgens de huidige IAS 17: </w:t>
      </w:r>
      <w:r w:rsidRPr="002D3C2C">
        <w:rPr>
          <w:rFonts w:ascii="Calibri" w:hAnsi="Calibri"/>
          <w:i/>
          <w:sz w:val="22"/>
          <w:szCs w:val="22"/>
          <w:lang w:val="nl-NL"/>
        </w:rPr>
        <w:t>Leases</w:t>
      </w:r>
      <w:r w:rsidRPr="002D3C2C">
        <w:rPr>
          <w:rFonts w:ascii="Calibri" w:hAnsi="Calibri"/>
          <w:sz w:val="22"/>
          <w:szCs w:val="22"/>
          <w:lang w:val="nl-NL"/>
        </w:rPr>
        <w:t xml:space="preserve"> om zo tot een antwoord op de centrale probleemstelling van deze scriptie te komen. Tevens is met dit hoofdstuk antwoord gegeven op de eerste deelvraag.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Dit hoofdstuk werd begonnen met het bespreken wat een lease is. Het begrip lease werd gedefinieerd en er werd besproken aan welke voorwaarden een lease moet voldoen. Het is belangrijk om te onthouden dat lease en huur twee verschillende dingen zijn. Het verschil tussen juridisch en economisch eigendom is vooral voor de classificatie van een lease van belang. De tweede paragraaf legt de scheiding van de leases uit. Hierbij is de ‘risks and rewards’ benadering de onderscheidende factor. Het principe is eigenlijk wie blootstaat aan de ‘risks and rewards’ van het leaseobject moet het leaseobject op zijn balans activeren. Ook zijn er een aantal indicatoren voor een financiële lease besproken die door de RJ zijn gekwantificeerd.</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In de daarna volgende paragrafen is de verwerking van verschillende lease bij lessor en lessee aan bod gekomen en is een vergelijking tussen de leases gemaakt. Bij de vergelijking voor de lessee is te zien dat bij een financiële lease de ROA en solvabiliteitspercentage slechter zijn, maar dat de EBITDA hoger is dan bij een operationele lease. Er staat wel tegenover dat bij de financiële lease meer risico’s worden gedragen door de lessee.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In de vergelijking bij de lessor zien we dat er geen grote verschillen zullen zijn. In dit geval is alleen de ROA verschillend. Echter bij een operationele lease worden meer risico’s gedragen door de lessor. Waardoor er misschien toch een lichte voorkeur is voor een financiële lease.</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Deze voorkeur hangt natuurlijk ook samen met de winstverwachting van beide leases, zodat de vermeende voorkeur niet echt toetsbaar is. Er moet dus voorzichtig worden omgesprongen met conclusies.</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Ten slotte is nog toegelicht hoe volgens IAS 17 een sale and lease back transactie verwerkt moeten worden. De verwerking van de lease blijft hetzelfde, alleen wordt toegelicht hoe met winst of verlies op het actief moet worden omgegaan.</w:t>
      </w:r>
    </w:p>
    <w:p w:rsidR="00EA568F" w:rsidRPr="002D3C2C" w:rsidRDefault="00EA568F" w:rsidP="006C7BAC">
      <w:pPr>
        <w:spacing w:line="360" w:lineRule="auto"/>
        <w:jc w:val="both"/>
        <w:rPr>
          <w:rFonts w:ascii="Calibri" w:hAnsi="Calibri"/>
          <w:sz w:val="22"/>
          <w:szCs w:val="22"/>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In het volgende hoofdstuk staat de beantwoording van de tweede deelvraag centraal. In dit hoofdstuk worden dus de tekortkomingen van de standaard besproken in combinatie met de mogelijkheid van het afstemmen van leaseovereenkomsten. </w:t>
      </w:r>
    </w:p>
    <w:p w:rsidR="00EA568F" w:rsidRPr="00995F55" w:rsidRDefault="00EA568F" w:rsidP="0084261E">
      <w:pPr>
        <w:pStyle w:val="Heading1"/>
        <w:rPr>
          <w:rFonts w:ascii="Calibri" w:hAnsi="Calibri"/>
          <w:color w:val="003471"/>
          <w:sz w:val="28"/>
          <w:szCs w:val="28"/>
          <w:lang w:val="nl-NL"/>
        </w:rPr>
      </w:pPr>
      <w:r w:rsidRPr="002D3C2C">
        <w:rPr>
          <w:lang w:val="nl-NL"/>
        </w:rPr>
        <w:br w:type="page"/>
      </w:r>
      <w:bookmarkStart w:id="20" w:name="_Toc265327691"/>
      <w:r w:rsidRPr="00995F55">
        <w:rPr>
          <w:rFonts w:ascii="Calibri" w:hAnsi="Calibri"/>
          <w:color w:val="003471"/>
          <w:sz w:val="28"/>
          <w:szCs w:val="28"/>
          <w:lang w:val="nl-NL"/>
        </w:rPr>
        <w:t>3. De tekortkomingen van de huidige standaard</w:t>
      </w:r>
      <w:bookmarkEnd w:id="20"/>
    </w:p>
    <w:p w:rsidR="00EA568F" w:rsidRPr="00995F55" w:rsidRDefault="00EA568F" w:rsidP="006C7BAC">
      <w:pPr>
        <w:spacing w:line="360" w:lineRule="auto"/>
        <w:jc w:val="both"/>
        <w:rPr>
          <w:rFonts w:ascii="Calibri" w:hAnsi="Calibri"/>
          <w:color w:val="003471"/>
          <w:sz w:val="22"/>
          <w:szCs w:val="22"/>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In het vorige hoofdstuk is uitgelegd hoe de verwerking van de huidige standaard wordt toegepast. Ook is hierin uitgelegd hoe bepaalde posten onder deze standaard worden gemeten. Om een zo laag mogelijke verplichting te krijgen is er de mogelijkheid leasecontracten af te stemmen. De mogelijkheid om contracten af te stemmen, zodat het voor een lagere waarde wordt opgenomen op de balans wordt gezien als een grote tekortkoming van deze standaard. In de eerste paragraaf van dit hoofdstuk wordt ingegaan op de mogelijkheid tot afstemmen van leasecontracten. Hierin worden verschillende mogelijkheden in verschillende subparagrafen gepresenteerd. Daarna worden er nog enkele kritiekpunten van de huidige IAS 17 genoemd. Dan wordt een samenvatting en conclusie gegeven en wordt afgesloten met dit hoofdstuk.</w:t>
      </w:r>
    </w:p>
    <w:p w:rsidR="00EA568F" w:rsidRPr="002D3C2C" w:rsidRDefault="00EA568F" w:rsidP="006C7BAC">
      <w:pPr>
        <w:spacing w:line="360" w:lineRule="auto"/>
        <w:jc w:val="both"/>
        <w:rPr>
          <w:rFonts w:ascii="Calibri" w:hAnsi="Calibri"/>
          <w:sz w:val="22"/>
          <w:szCs w:val="22"/>
          <w:lang w:val="nl-NL"/>
        </w:rPr>
      </w:pPr>
    </w:p>
    <w:p w:rsidR="00EA568F" w:rsidRPr="00E95714" w:rsidRDefault="00EA568F" w:rsidP="0084261E">
      <w:pPr>
        <w:pStyle w:val="Heading2"/>
        <w:rPr>
          <w:rFonts w:ascii="Calibri" w:hAnsi="Calibri"/>
          <w:sz w:val="24"/>
          <w:szCs w:val="24"/>
          <w:lang w:val="nl-NL"/>
        </w:rPr>
      </w:pPr>
      <w:bookmarkStart w:id="21" w:name="_Toc265327692"/>
      <w:r w:rsidRPr="00E95714">
        <w:rPr>
          <w:rFonts w:ascii="Calibri" w:hAnsi="Calibri"/>
          <w:sz w:val="24"/>
          <w:szCs w:val="24"/>
          <w:lang w:val="nl-NL"/>
        </w:rPr>
        <w:t>3.1 De mogelijkheid tot afstemmen</w:t>
      </w:r>
      <w:bookmarkEnd w:id="21"/>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Het afstemmen van een leasecontract wordt gezien als een bepaalde inhoud geven van sommige contractpunten, zodat ze een gunstigere presentatie in de jaarrekening geven. De lessor zal er financieel niet op achteruit gaan. Hierbij is dus een samenwerking tussen lessor en lessee voor nodig. De gunstige presentatie is vooral van belang voor de lessee, en in mindere mate voor de lessor. Het afstemmen van een leasecontract is volledig legaal. Het afstemmen van leasecontracten kan ook tot gevolg hebben dat het leasecontract wordt gezien als een operationele lease, terwijl het in werkelijkheid een financiële lease betreft.</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Zo zegt Vergoossen in het artikel ‘Lease buiten de balans loopt op laatste benen’ (Dekker, 2009): “Er wordt gespeeld met de hoogte en de samenstelling van de periodiek te betalen leasetermijnen, met de economische gebruiksduur of de reële waarde van geleaste bedrijfsmiddelen, et cetera.”. Deze voorbeelden worden nu nader toegelicht.</w:t>
      </w:r>
    </w:p>
    <w:p w:rsidR="00EA568F" w:rsidRPr="002D3C2C" w:rsidRDefault="00EA568F" w:rsidP="006C7BAC">
      <w:pPr>
        <w:spacing w:line="360" w:lineRule="auto"/>
        <w:jc w:val="both"/>
        <w:rPr>
          <w:rFonts w:ascii="Calibri" w:hAnsi="Calibri"/>
          <w:sz w:val="22"/>
          <w:szCs w:val="22"/>
          <w:lang w:val="nl-NL"/>
        </w:rPr>
      </w:pPr>
    </w:p>
    <w:p w:rsidR="00EA568F" w:rsidRDefault="00EA568F" w:rsidP="0084261E">
      <w:pPr>
        <w:pStyle w:val="Heading3"/>
        <w:rPr>
          <w:rFonts w:ascii="Calibri" w:hAnsi="Calibri"/>
          <w:b w:val="0"/>
          <w:i/>
          <w:sz w:val="24"/>
          <w:szCs w:val="24"/>
          <w:lang w:val="nl-NL"/>
        </w:rPr>
      </w:pPr>
      <w:bookmarkStart w:id="22" w:name="_Toc265327693"/>
      <w:r w:rsidRPr="0084261E">
        <w:rPr>
          <w:rFonts w:ascii="Calibri" w:hAnsi="Calibri"/>
          <w:b w:val="0"/>
          <w:i/>
          <w:sz w:val="24"/>
          <w:szCs w:val="24"/>
          <w:lang w:val="nl-NL"/>
        </w:rPr>
        <w:t>3.1.1 Leasetermijnen</w:t>
      </w:r>
      <w:bookmarkEnd w:id="22"/>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In het vorige hoofdstuk hebben we gezien dat de leasetermijnen bij een financiële lease de leasetermijnen worden opgesplitst in een aflossingsgedeelte en een interestgedeelte. Bij de lessee wordt het interestgedeelte in de resultatenrekening als interestkosten gepresenteerd. Het aflossingsgedeelte komt in mindering op de verplichting die is opgenomen. De verplichting was berekend als de lagere waarde van de contante waarde van de te betalen leasetermijnen en de reële waarde. Hier speelt de verdisconteringvoet een belangrijke rol.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samenstelling van de leasetermijnen is afhankelijk van de verdisconteringvoet die wordt gebruikt. Wanneer de verplichting berekend moet worden, en dus het aflossingsgedeelte van de lease, zorgt een lagere verdisconteringvoet voor een hogere verplichting en een hogere verdisconteringvoet voor een lagere. De verdisconteringvoet is het interestpercentage dat impliciet in de lease wordt gebruikt (</w:t>
      </w:r>
      <w:r>
        <w:rPr>
          <w:rFonts w:ascii="Calibri" w:hAnsi="Calibri"/>
          <w:sz w:val="22"/>
          <w:szCs w:val="22"/>
          <w:lang w:val="nl-NL"/>
        </w:rPr>
        <w:t xml:space="preserve">IASB: </w:t>
      </w:r>
      <w:r w:rsidRPr="002D3C2C">
        <w:rPr>
          <w:rFonts w:ascii="Calibri" w:hAnsi="Calibri"/>
          <w:sz w:val="22"/>
          <w:szCs w:val="22"/>
          <w:lang w:val="nl-NL"/>
        </w:rPr>
        <w:t xml:space="preserve">IAS 17:20, 2009). Dit percentage kan worden vastgesteld in onderling overleg tussen de lessor en lessee. De lagere verplichting voor de lessee betekent ook dat de lessee hogere interestkosten in zijn resultatenrekening presenteert, waardoor de winst afneemt. Aan de andere kant bij een lessor wordt de vordering op de lessee minder door een hoger interestpercentage, maar door de hogere interestopbrengsten neemt de winst wel toe.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Een andere samenstelling van leasetermijnen is bij een operationele lease niet van toepassing, omdat hierbij geen onderscheid wordt gemaakt tussen een aflossingsgedeelte en een interestgedeelte. De leasetermijnen worden in zijn geheel als opbrengst aangemerkt.</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Om te zien wat de voordelen van afstemmen zijn worden nu de implicaties op de ratio’s van EBITDA, ROA en solvabiliteit voor de lessee besproken. We gaan uit dat het voordelig is als het interestpercentage omhoog gaat, om zo een lagere verplichting te presenteren. De berekende ratio’s gaan uit van dat hogere interestpercentage.</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De EBITDA zal gelijk blijven, omdat hierin de hogere interestkosten niet in zijn verwerkt. De ROA die berekent wordt als EBIT gedeeld door totale activa zal omhoog gaan. De EBIT zal hetzelfde blijven als met een ander interestpercentage.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totale activa zal omlaag gaan, omdat de contante waarde van de leasebetalingen waarschijnlijk lager zal zijn dan de reële waarde, en de contante waarde van de leasebetalingen dus lager wordt. De ROA neemt hierdoor toe.</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solvabiliteitsratio zal beter worden. Het eigen vermogen blijft gelijk, maar het vreemd vermogen zal lager uitvallen in verband met de lagere verplichting die is opgenomen.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De gevolgen van een lager interestpercentage zijn natuurlijk omgedraaid.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Voor de lessor zal het minder gevolgen hebben, wanneer een hoger interestpercentage wordt genomen. De EBITDA zal gelijk blijven. De ROA zal ook stijgen, want de EBIT blijft hetzelfde en de vordering op de lessee gaat omlaag. De solvabiliteitsratio blijft hetzelfde, omdat er aan de creditzijde van de balans niets gebeurt.</w:t>
      </w:r>
    </w:p>
    <w:p w:rsidR="00EA568F" w:rsidRPr="002D3C2C" w:rsidRDefault="00EA568F" w:rsidP="006C7BAC">
      <w:pPr>
        <w:spacing w:line="360" w:lineRule="auto"/>
        <w:jc w:val="both"/>
        <w:rPr>
          <w:rFonts w:ascii="Calibri" w:hAnsi="Calibri"/>
          <w:sz w:val="22"/>
          <w:szCs w:val="22"/>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Een hoog interestpercentage kan er ook voor zorgen dat aan een indicator voor een financiële lease niet wordt voldaan, namelijk dat de contante waarde van de minimale leasetermijnen nagenoeg de gehele reële waarde van het leaseobject bedraagt. Door een hoger interestpercentage wordt, zoals ook hiervoor aangetoond, de contante waarde van de termijnen lager. Deze contante waarde kan dan ook niet meer voldoen aan de richtlijn van 90% die de RJ 292.120 (Arnold et al., 2009) voorschrijft. De lease kan dan als operationele lease worden aangemerkt en helemaal niet worden opgenomen op de balans. In de praktijk bedraagt de contante waarde van de leasebetalingen vaak 89% van de reële waarde, waardoor de lease als operationele lease wordt aangemerkt (Wielaard, 2005).</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Echter ligt de verandering van financiële lease naar operationele lease veel moeilijker, omdat moet worden gekeken naar of de ‘risks and rewards’ worden overgedragen. Dit subjectieve karakter maakt dat juist die indicatoren belangrijk worden.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Voor beide partijen kan het dus beter uitpakken als het interestpercentage heel hoog vastgesteld wordt. </w:t>
      </w:r>
    </w:p>
    <w:p w:rsidR="00EA568F" w:rsidRPr="002D3C2C" w:rsidRDefault="00EA568F" w:rsidP="006C7BAC">
      <w:pPr>
        <w:spacing w:line="360" w:lineRule="auto"/>
        <w:jc w:val="both"/>
        <w:rPr>
          <w:rFonts w:ascii="Calibri" w:hAnsi="Calibri"/>
          <w:sz w:val="22"/>
          <w:szCs w:val="22"/>
          <w:lang w:val="nl-NL"/>
        </w:rPr>
      </w:pPr>
    </w:p>
    <w:p w:rsidR="00EA568F" w:rsidRDefault="00EA568F" w:rsidP="0084261E">
      <w:pPr>
        <w:pStyle w:val="Heading3"/>
        <w:rPr>
          <w:rFonts w:ascii="Calibri" w:hAnsi="Calibri"/>
          <w:b w:val="0"/>
          <w:i/>
          <w:sz w:val="24"/>
          <w:szCs w:val="24"/>
          <w:lang w:val="nl-NL"/>
        </w:rPr>
      </w:pPr>
      <w:bookmarkStart w:id="23" w:name="_Toc265327694"/>
      <w:r w:rsidRPr="0084261E">
        <w:rPr>
          <w:rFonts w:ascii="Calibri" w:hAnsi="Calibri"/>
          <w:b w:val="0"/>
          <w:i/>
          <w:sz w:val="24"/>
          <w:szCs w:val="24"/>
          <w:lang w:val="nl-NL"/>
        </w:rPr>
        <w:t>3.1.2 Economische levensduur</w:t>
      </w:r>
      <w:bookmarkEnd w:id="23"/>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Ook een indicator voor een financiële lease die in het vorige hoofdstuk is besproken is dat de leaseperiode het belangrijkste deel van de economische levensduur omvat. En volgens RJ 292.120 is dat minstens 75% van de economische levensduur. Wanneer de economische levensduur van het leaseobject naar omhoog wordt gesteld, wordt het lastiger om aan die indicator te voldoen. En kan een financiële lease worden aangemerkt als operationele lease. Echter als niet aan de indicatoren worden voldaan kan de lease nog als een financiële lease aangemerkt worden. De verandering van de economische levensduur heeft op de balans en resultatenrekening van de lessor geen effect.</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Voor de balans en resultatenrekening van een lessee bij een operationele lease heeft de verandering van de economische levensduur geen effect. Bij een operationele lease heeft het voor de lessor alleen gevolgen voor de afschrijving, omdat het leaseobject over de economische levensduur wordt afgeschreven.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Wat de effecten zijn van het aanmerken van een lease bij een lessee en een lessor als financiële lease of operationele lease is al besproken in het vorige hoofdstuk, dus zal hier niet verder toegelicht worden. Wanneer de economische levensduur van een leaseobject wordt vergroot bij een operationele lease bij de lessor zal de EBITDA hetzelfde blijven, de ROA zal stijgen, omdat de afschrijvingskosten minder zijn en de solvabiliteitsratio blijft hetzelfde.</w:t>
      </w:r>
    </w:p>
    <w:p w:rsidR="00EA568F" w:rsidRPr="002D3C2C" w:rsidRDefault="00EA568F" w:rsidP="006C7BAC">
      <w:pPr>
        <w:spacing w:line="360" w:lineRule="auto"/>
        <w:jc w:val="both"/>
        <w:rPr>
          <w:rFonts w:ascii="Calibri" w:hAnsi="Calibri"/>
          <w:sz w:val="22"/>
          <w:szCs w:val="22"/>
          <w:lang w:val="nl-NL"/>
        </w:rPr>
      </w:pPr>
    </w:p>
    <w:p w:rsidR="00EA568F" w:rsidRDefault="00EA568F" w:rsidP="0084261E">
      <w:pPr>
        <w:pStyle w:val="Heading3"/>
        <w:rPr>
          <w:rFonts w:ascii="Calibri" w:hAnsi="Calibri"/>
          <w:b w:val="0"/>
          <w:i/>
          <w:sz w:val="24"/>
          <w:szCs w:val="24"/>
          <w:lang w:val="nl-NL"/>
        </w:rPr>
      </w:pPr>
      <w:bookmarkStart w:id="24" w:name="_Toc265327695"/>
      <w:r w:rsidRPr="0084261E">
        <w:rPr>
          <w:rFonts w:ascii="Calibri" w:hAnsi="Calibri"/>
          <w:b w:val="0"/>
          <w:i/>
          <w:sz w:val="24"/>
          <w:szCs w:val="24"/>
          <w:lang w:val="nl-NL"/>
        </w:rPr>
        <w:t>3.1.3 Reële waarde</w:t>
      </w:r>
      <w:bookmarkEnd w:id="24"/>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In IAS 17:20 (</w:t>
      </w:r>
      <w:r>
        <w:rPr>
          <w:rFonts w:ascii="Calibri" w:hAnsi="Calibri"/>
          <w:sz w:val="22"/>
          <w:szCs w:val="22"/>
          <w:lang w:val="nl-NL"/>
        </w:rPr>
        <w:t xml:space="preserve">IASB, </w:t>
      </w:r>
      <w:r w:rsidRPr="002D3C2C">
        <w:rPr>
          <w:rFonts w:ascii="Calibri" w:hAnsi="Calibri"/>
          <w:sz w:val="22"/>
          <w:szCs w:val="22"/>
          <w:lang w:val="nl-NL"/>
        </w:rPr>
        <w:t xml:space="preserve">2009) wordt het leaseobject geactiveerd en de verplichting gepassiveerd tegen de lagere waarde van de contante waarde van de leasetermijnen en van de reële waarde. Wanneer de reële waarde dus lager gesteld wordt dan anders en ook lager dan de contante waarde van de te betalen leasetermijnen, wordt de verplichting ook lager. De verandering van de reële waarde heeft precies dezelfde effecten als die van de verandering van de leasetermijnen en zal daarom verder niet meer besproken worden. </w:t>
      </w:r>
    </w:p>
    <w:p w:rsidR="00EA568F" w:rsidRPr="002D3C2C" w:rsidRDefault="00EA568F" w:rsidP="006C7BAC">
      <w:pPr>
        <w:spacing w:line="360" w:lineRule="auto"/>
        <w:jc w:val="both"/>
        <w:rPr>
          <w:rFonts w:ascii="Calibri" w:hAnsi="Calibri"/>
          <w:sz w:val="22"/>
          <w:szCs w:val="22"/>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Een lagere reële waarde en gelijkblijvende contante waarde van de leasebetalingen heeft wel tot gevolg dat een lease sneller als financiële lease wordt aangemerkt door het 90% criterium dat de RJ 292.120 (</w:t>
      </w:r>
      <w:r>
        <w:rPr>
          <w:rFonts w:ascii="Calibri" w:hAnsi="Calibri"/>
          <w:sz w:val="22"/>
          <w:szCs w:val="22"/>
          <w:lang w:val="nl-NL"/>
        </w:rPr>
        <w:t xml:space="preserve">Arnold et al., </w:t>
      </w:r>
      <w:r w:rsidRPr="002D3C2C">
        <w:rPr>
          <w:rFonts w:ascii="Calibri" w:hAnsi="Calibri"/>
          <w:sz w:val="22"/>
          <w:szCs w:val="22"/>
          <w:lang w:val="nl-NL"/>
        </w:rPr>
        <w:t>2009) voorschrijft.</w:t>
      </w:r>
    </w:p>
    <w:p w:rsidR="00EA568F" w:rsidRPr="002D3C2C" w:rsidRDefault="00EA568F" w:rsidP="006C7BAC">
      <w:pPr>
        <w:spacing w:line="360" w:lineRule="auto"/>
        <w:jc w:val="both"/>
        <w:rPr>
          <w:rFonts w:ascii="Calibri" w:hAnsi="Calibri"/>
          <w:sz w:val="22"/>
          <w:szCs w:val="22"/>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Verandering van de reële waarde heeft ook een gevolg in het geval van een sale and lease back transactie. Wanneer bij de verkoop van een actief de reële waarde groter is dan de verkoopprijs vormt dit eigenlijk een verlies. Als bij een operationele lease dat verlies wordt gecompenseerd door lagere leasetermijnen dan vormt het een latentie en moet het worden geamortiseerd. </w:t>
      </w:r>
    </w:p>
    <w:p w:rsidR="00EA568F" w:rsidRPr="002D3C2C" w:rsidRDefault="00EA568F" w:rsidP="006C7BAC">
      <w:pPr>
        <w:spacing w:line="360" w:lineRule="auto"/>
        <w:jc w:val="both"/>
        <w:rPr>
          <w:rFonts w:ascii="Calibri" w:hAnsi="Calibri"/>
          <w:sz w:val="22"/>
          <w:szCs w:val="22"/>
          <w:lang w:val="nl-NL"/>
        </w:rPr>
      </w:pPr>
    </w:p>
    <w:p w:rsidR="00EA568F" w:rsidRDefault="00EA568F" w:rsidP="0084261E">
      <w:pPr>
        <w:pStyle w:val="Heading3"/>
        <w:rPr>
          <w:rFonts w:ascii="Calibri" w:hAnsi="Calibri"/>
          <w:b w:val="0"/>
          <w:i/>
          <w:sz w:val="24"/>
          <w:szCs w:val="24"/>
          <w:lang w:val="nl-NL"/>
        </w:rPr>
      </w:pPr>
      <w:bookmarkStart w:id="25" w:name="_Toc265327696"/>
      <w:r w:rsidRPr="0084261E">
        <w:rPr>
          <w:rFonts w:ascii="Calibri" w:hAnsi="Calibri"/>
          <w:b w:val="0"/>
          <w:i/>
          <w:sz w:val="24"/>
          <w:szCs w:val="24"/>
          <w:lang w:val="nl-NL"/>
        </w:rPr>
        <w:t>3.1.4 Looptijd</w:t>
      </w:r>
      <w:bookmarkEnd w:id="25"/>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Een andere manier om een contract af te stemmen, maar die niet in bovenstaande uitspraak van Vergoossen werd genoemd is de looptijd van de leaseovereenkomst. In IAS 17 (</w:t>
      </w:r>
      <w:r>
        <w:rPr>
          <w:rFonts w:ascii="Calibri" w:hAnsi="Calibri"/>
          <w:sz w:val="22"/>
          <w:szCs w:val="22"/>
          <w:lang w:val="nl-NL"/>
        </w:rPr>
        <w:t xml:space="preserve">IASB, </w:t>
      </w:r>
      <w:r w:rsidRPr="002D3C2C">
        <w:rPr>
          <w:rFonts w:ascii="Calibri" w:hAnsi="Calibri"/>
          <w:sz w:val="22"/>
          <w:szCs w:val="22"/>
          <w:lang w:val="nl-NL"/>
        </w:rPr>
        <w:t>2009) moet bij een financiële lease het leaseobject en de verplichting op de balans komen. Een kortere looptijd van het contract betekent dat de lessee minder leasetermijnen hoeft te voldoen en daarmee de actief- en passivapost in waarde verminderd dan wanneer de looptijd langer was geweest. Ditzelfde geldt voor de vordering die bij de lessor op de balans staat.</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Een leasecontract met een korte looptijd gaat meestal wel in combinatie met een verlengingsoptie. Volgens Van Veen &amp; Jager (2001) moet de kans op verlengen worden getoetst op waarschijnlijkheid. Wanneer het verlengen zeer waarschijnlijk is zal de verlengingsperiode bij de looptijd opgeteld moeten worden en deze periode gebruiken in de berekeningen. Dit zou voor de lessor en de lessee moeten gelden.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kortere looptijd van het contract heeft tot gevolg dat de verplichting daalt, maar ook het geactiveerde leaseobject bij een financiële lease. De EBITDA bij de lessee zal hierdoor gelijk blijven, de ROA zal toenemen, omdat de totale activa daalt, en de solvabiliteitsratio zal verbeteren, omdat er een minder grote verplichting wordt opgenomen.</w:t>
      </w:r>
    </w:p>
    <w:p w:rsidR="00EA568F" w:rsidRPr="002D3C2C" w:rsidRDefault="00EA568F" w:rsidP="006C7BAC">
      <w:pPr>
        <w:spacing w:line="360" w:lineRule="auto"/>
        <w:jc w:val="both"/>
        <w:rPr>
          <w:rFonts w:ascii="Calibri" w:hAnsi="Calibri"/>
          <w:sz w:val="22"/>
          <w:szCs w:val="22"/>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minder lange looptijd van een contract heeft ook tot gevolg dat een lease als operationele lease wordt aangemerkt in plaats van een financiële lease. Aan de situatie, die werd geschetst door de IASB, dat bij een financiële lease de leaseperiode het grootste deel van de economische levensduur van het leaseobject omvat, zou niet meer voldaan kunnen worden. Dit leidt ertoe dat het leasecontract als operationele lease wordt aangemerkt.</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gevolgen hiervan op de ratio’s is al uitgelegd in het vorige hoofdstuk en zullen daarom hier niet meer besproken worden.</w:t>
      </w:r>
    </w:p>
    <w:p w:rsidR="00EA568F" w:rsidRPr="002D3C2C" w:rsidRDefault="00EA568F" w:rsidP="006C7BAC">
      <w:pPr>
        <w:spacing w:line="360" w:lineRule="auto"/>
        <w:jc w:val="both"/>
        <w:rPr>
          <w:rFonts w:ascii="Calibri" w:hAnsi="Calibri"/>
          <w:sz w:val="22"/>
          <w:szCs w:val="22"/>
          <w:lang w:val="nl-NL"/>
        </w:rPr>
      </w:pPr>
    </w:p>
    <w:p w:rsidR="00EA568F" w:rsidRPr="00E95714" w:rsidRDefault="00EA568F" w:rsidP="0084261E">
      <w:pPr>
        <w:pStyle w:val="Heading2"/>
        <w:rPr>
          <w:rFonts w:ascii="Calibri" w:hAnsi="Calibri"/>
          <w:sz w:val="24"/>
          <w:szCs w:val="24"/>
          <w:lang w:val="nl-NL"/>
        </w:rPr>
      </w:pPr>
      <w:bookmarkStart w:id="26" w:name="_Toc265327697"/>
      <w:r w:rsidRPr="00E95714">
        <w:rPr>
          <w:rFonts w:ascii="Calibri" w:hAnsi="Calibri"/>
          <w:sz w:val="24"/>
          <w:szCs w:val="24"/>
          <w:lang w:val="nl-NL"/>
        </w:rPr>
        <w:t>3.2 Kritiekpunten</w:t>
      </w:r>
      <w:bookmarkEnd w:id="26"/>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De mogelijkheid om af te stemmen en het buiten de balans laten van operationele leasecontracten leidt nogal eens tot discussie. In de discussion paper over de nieuwe lease accounting standaard staat een rijtje kritiekpunten op de huidige standaard. De kritiekpunten gaan vooral over de scheiding tussen operationele en financiële lease.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Er wordt als kritiek aangedragen dat de twee verschillende accountingmodellen de vergelijkbaarheid tussen jaarrekeningen vermindert, omdat zelfde transacties anders worden verantwoord in jaarrekeningen. Ook wordt gezegd dat de huidige standaard mogelijkheden geeft tot het geven van een bepaalde lease classificatie, zoals we in de vorige paragraaf hebben gezien met het afstemmen van contracten. Daarnaast is de classificatie onderhevig aan subjectieve oordelen en het systeem zou complex zijn.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Veel gebruikers van jaarrekeningen denken dat ook een operationele lease rechten en verplichtingen met zich mee brengt en dat deze moeten worden verantwoord in de balans. Tot slot zijn er toenemende verschillen tussen het accountingmodel van leases en het accounting model voor andere contracten (IASB</w:t>
      </w:r>
      <w:r>
        <w:rPr>
          <w:rFonts w:ascii="Calibri" w:hAnsi="Calibri"/>
          <w:sz w:val="22"/>
          <w:szCs w:val="22"/>
          <w:lang w:val="nl-NL"/>
        </w:rPr>
        <w:t>:</w:t>
      </w:r>
      <w:r w:rsidRPr="002D3C2C">
        <w:rPr>
          <w:rFonts w:ascii="Calibri" w:hAnsi="Calibri"/>
          <w:sz w:val="22"/>
          <w:szCs w:val="22"/>
          <w:lang w:val="nl-NL"/>
        </w:rPr>
        <w:t xml:space="preserve"> Discussion Paper Leases Preliminary Views, 2009).</w:t>
      </w:r>
    </w:p>
    <w:p w:rsidR="00EA568F" w:rsidRPr="002D3C2C" w:rsidRDefault="00EA568F" w:rsidP="006C7BAC">
      <w:pPr>
        <w:spacing w:line="360" w:lineRule="auto"/>
        <w:jc w:val="both"/>
        <w:rPr>
          <w:rFonts w:ascii="Calibri" w:hAnsi="Calibri"/>
          <w:sz w:val="22"/>
          <w:szCs w:val="22"/>
          <w:lang w:val="nl-NL"/>
        </w:rPr>
      </w:pPr>
    </w:p>
    <w:p w:rsidR="00EA568F" w:rsidRPr="00E95714" w:rsidRDefault="00EA568F" w:rsidP="0084261E">
      <w:pPr>
        <w:pStyle w:val="Heading2"/>
        <w:rPr>
          <w:rFonts w:ascii="Calibri" w:hAnsi="Calibri"/>
          <w:sz w:val="24"/>
          <w:szCs w:val="24"/>
          <w:lang w:val="nl-NL"/>
        </w:rPr>
      </w:pPr>
      <w:bookmarkStart w:id="27" w:name="_Toc265327698"/>
      <w:r w:rsidRPr="00E95714">
        <w:rPr>
          <w:rFonts w:ascii="Calibri" w:hAnsi="Calibri"/>
          <w:sz w:val="24"/>
          <w:szCs w:val="24"/>
          <w:lang w:val="nl-NL"/>
        </w:rPr>
        <w:t>3.3 Samenvatting en conclusie</w:t>
      </w:r>
      <w:bookmarkEnd w:id="27"/>
    </w:p>
    <w:p w:rsidR="00EA568F" w:rsidRPr="0084261E" w:rsidRDefault="00EA568F" w:rsidP="0084261E">
      <w:pPr>
        <w:rPr>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In dit hoofdstuk zijn de tekortkomingen van de huidige IAS 17 geanalyseerd aan de hand van de mogelijkheden om contracten af te stemmen. Het doel van dit afstemmen is vooral de ratio’s positief te beïnvloeden. Dit kan door de lease als operationele lease te laten aanmerken of door de financiële lease voor een zo laag mogelijk bedrag op te nemen. In dit hoofdstuk is aangetoond dat door verschillende kenmerken aan te passen de ratio’s positief worden beïnvloed. Zo kunnen de leasetermijnen of de samenstelling van deze worden beïnvloed door een hoger interestpercentage, waardoor de op te nemen verplichting lager is. De contante waarde van de leasebetalingen kan, dankzij het hogere interestpercentage, ook niet meer aan het 90% criterium voldoen, waardoor de lease als operationele lease wordt aangemerkt en dus buiten de balans valt.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Daarnaast hebben we gezien dat de economische levensduur van het leaseobject veranderd kan worden. Aan het 75% criterium van de economische levensduur zou niet meer kunnen worden voldaan, waardoor ook deze lease buiten de balans komt te staan. </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verandering van de reële waarde leidt tot vergelijkbare gevolgen als de verandering van de leasetermijnen. Dit komt omdat er wordt gekozen tussen de lagere waarde van de reële waarde of de contante waarde van de leasebetalingen. De verplichting en het geactiveerde leaseobject kunnen lager worden, maar de lease kan ook geheel ‘off balance’ komen.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De laatste beïnvloedbare factor is de looptijd van het contract. Hier heeft ook het 75% criterium betrekking op, dus deze gevolgen zijn vergelijkbaar met die van de verandering van economische levensduur. Door een kortere looptijd zijn er minder te betalen leasetermijnen die worden opgenomen op de balans als verplichting bij een financiële lease. Ook zou er niet voldaan kunnen worden aan het 75% criterium, waardoor ook deze lease niet op de balans komt te staan.</w:t>
      </w: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In de daarop volgende paragraaf zijn enkele kritiekpunten opgenomen die zijn geuit tegenover de huidige standaard IAS 17. De meeste kritiekpunten hadden betrekking op de classificatie van operationele lease en financiële lease. Ook werd de mogelijkheid tot afstemmen en eigenlijk het sturen naar een bepaalde classificatie van de lease als kritiekpunt aangedragen.</w:t>
      </w:r>
    </w:p>
    <w:p w:rsidR="00EA568F" w:rsidRPr="002D3C2C" w:rsidRDefault="00EA568F" w:rsidP="006C7BAC">
      <w:pPr>
        <w:spacing w:line="360" w:lineRule="auto"/>
        <w:jc w:val="both"/>
        <w:rPr>
          <w:rFonts w:ascii="Calibri" w:hAnsi="Calibri"/>
          <w:sz w:val="22"/>
          <w:szCs w:val="22"/>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Het 75% en het 90% criterium zijn door de Raad voor de Jaarverslaggeving aangereikt als kwantificeerbare kenmerken voor een financiële lease. De criteria moet het dus makkelijker maken om onderscheid te maken tussen financiële lease en operationele lease. Deze criteria hebben echter een ongewenst effect gehad. Ze zorgden er ook voor dat het makkelijker werd om leasecontracten af te stemmen dat ze niet aan deze criteria voldeden. De IASB heeft in IAS 17 (2009) niet zulke criteria gegeven, zodat de accountant zijn oordeel moet vellen. De scheiding is in IAS 17 (2009) niet zo strikt en dus is het moeilijker een grens te trekken wanneer een leaseovereenkomst een financiële lease of operationele lease is. Onder IAS 17 is het dus moeilijker om contracten af te stemmen. En er kan gezegd worden dat de criteria van de RJ niet het gewenste effect hebben.</w:t>
      </w:r>
    </w:p>
    <w:p w:rsidR="00EA568F" w:rsidRPr="002D3C2C" w:rsidRDefault="00EA568F" w:rsidP="006C7BAC">
      <w:pPr>
        <w:spacing w:line="360" w:lineRule="auto"/>
        <w:jc w:val="both"/>
        <w:rPr>
          <w:rFonts w:ascii="Calibri" w:hAnsi="Calibri"/>
          <w:sz w:val="22"/>
          <w:szCs w:val="22"/>
          <w:lang w:val="nl-NL"/>
        </w:rPr>
      </w:pPr>
    </w:p>
    <w:p w:rsidR="00EA568F" w:rsidRPr="002D3C2C" w:rsidRDefault="00EA568F" w:rsidP="006C7BAC">
      <w:pPr>
        <w:spacing w:line="360" w:lineRule="auto"/>
        <w:jc w:val="both"/>
        <w:rPr>
          <w:rFonts w:ascii="Calibri" w:hAnsi="Calibri"/>
          <w:sz w:val="22"/>
          <w:szCs w:val="22"/>
          <w:lang w:val="nl-NL"/>
        </w:rPr>
      </w:pPr>
      <w:r w:rsidRPr="002D3C2C">
        <w:rPr>
          <w:rFonts w:ascii="Calibri" w:hAnsi="Calibri"/>
          <w:sz w:val="22"/>
          <w:szCs w:val="22"/>
          <w:lang w:val="nl-NL"/>
        </w:rPr>
        <w:t xml:space="preserve">In hoofdstuk 4 zal de nieuwe lease accounting standaard, die door de IASB zal worden uitgegeven, worden besproken. Er zal toegelicht worden hoe de nieuwe standaard wordt toegepast. Dit hoofdstuk zal antwoord geven op de derde deelvraag. </w:t>
      </w:r>
    </w:p>
    <w:p w:rsidR="00EA568F" w:rsidRPr="002D3C2C" w:rsidRDefault="00EA568F" w:rsidP="006C7BAC">
      <w:pPr>
        <w:spacing w:line="360" w:lineRule="auto"/>
        <w:jc w:val="both"/>
        <w:rPr>
          <w:rFonts w:ascii="Calibri" w:hAnsi="Calibri"/>
          <w:sz w:val="22"/>
          <w:szCs w:val="22"/>
          <w:lang w:val="nl-NL"/>
        </w:rPr>
      </w:pPr>
    </w:p>
    <w:p w:rsidR="00EA568F" w:rsidRPr="00995F55" w:rsidRDefault="00EA568F" w:rsidP="0084261E">
      <w:pPr>
        <w:pStyle w:val="Heading1"/>
        <w:rPr>
          <w:rFonts w:ascii="Calibri" w:hAnsi="Calibri"/>
          <w:color w:val="003471"/>
          <w:sz w:val="28"/>
          <w:szCs w:val="28"/>
          <w:lang w:val="nl-NL"/>
        </w:rPr>
      </w:pPr>
      <w:r w:rsidRPr="002D3C2C">
        <w:rPr>
          <w:lang w:val="nl-NL"/>
        </w:rPr>
        <w:br w:type="page"/>
      </w:r>
      <w:bookmarkStart w:id="28" w:name="_Toc265327699"/>
      <w:r w:rsidRPr="00995F55">
        <w:rPr>
          <w:rFonts w:ascii="Calibri" w:hAnsi="Calibri"/>
          <w:color w:val="003471"/>
          <w:sz w:val="28"/>
          <w:szCs w:val="28"/>
          <w:lang w:val="nl-NL"/>
        </w:rPr>
        <w:t>4. De nieuwe lease accounting standaard</w:t>
      </w:r>
      <w:bookmarkEnd w:id="28"/>
    </w:p>
    <w:p w:rsidR="00EA568F" w:rsidRPr="002D3C2C" w:rsidRDefault="00EA568F" w:rsidP="003F27DB">
      <w:pPr>
        <w:spacing w:line="360" w:lineRule="auto"/>
        <w:jc w:val="both"/>
        <w:rPr>
          <w:rFonts w:ascii="Calibri" w:hAnsi="Calibri"/>
          <w:sz w:val="22"/>
          <w:szCs w:val="22"/>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In het vorige hoofdstuk hebben we de tekortkomingen gezien van de huidige standaard IAS 17. De aard van deze tekortkomingen hebben ervoor gezorgd dat de IASB een nieuwe standaard gaat introduceren. Van deze nieuwe standaard is nog geen exposure draft uitgegeven, maar deze wordt wel spoedig verwacht. Om toch tot een beeld te komen hoe de nieuwe standaard er uit zal gaan zien, wordt gebruik gemaakt van de discussion paper die in maart 2009 door de IASB is uitgegeven, het commentaar op de discussion paper en van de notulen die zijn gemaakt tijdens vergaderingen van de IASB met de FASB over de nieuwe lease accounting standaard. Om een goede vergelijking mogelijk te maken, komt een zelfde opbouw voor als in hoofdstuk 2. Allereerst wordt de nieuwe definitie van een lease besproken. Dan worden de ‘right to use’ benadering en de leasevormen toegelicht en weergegeven hoe de verwerking in de balans voor de lessee en lessor wordt toegepast. Sale and lease back transacties zullen nog kort worden toegelicht. Dan volgen de samenvatting en de afsluiting van dit hoofdstuk.</w:t>
      </w:r>
    </w:p>
    <w:p w:rsidR="00EA568F" w:rsidRPr="002D3C2C" w:rsidRDefault="00EA568F" w:rsidP="003F27DB">
      <w:pPr>
        <w:spacing w:line="360" w:lineRule="auto"/>
        <w:jc w:val="both"/>
        <w:rPr>
          <w:rFonts w:ascii="Calibri" w:hAnsi="Calibri"/>
          <w:sz w:val="22"/>
          <w:szCs w:val="22"/>
          <w:lang w:val="nl-NL"/>
        </w:rPr>
      </w:pPr>
    </w:p>
    <w:p w:rsidR="00EA568F" w:rsidRPr="00E95714" w:rsidRDefault="00EA568F" w:rsidP="0084261E">
      <w:pPr>
        <w:pStyle w:val="Heading2"/>
        <w:rPr>
          <w:rFonts w:ascii="Calibri" w:hAnsi="Calibri"/>
          <w:sz w:val="24"/>
          <w:szCs w:val="24"/>
          <w:lang w:val="nl-NL"/>
        </w:rPr>
      </w:pPr>
      <w:bookmarkStart w:id="29" w:name="_Toc265327700"/>
      <w:r w:rsidRPr="00E95714">
        <w:rPr>
          <w:rFonts w:ascii="Calibri" w:hAnsi="Calibri"/>
          <w:sz w:val="24"/>
          <w:szCs w:val="24"/>
          <w:lang w:val="nl-NL"/>
        </w:rPr>
        <w:t>4.1 De nieuwe definitie van lease</w:t>
      </w:r>
      <w:bookmarkEnd w:id="29"/>
    </w:p>
    <w:p w:rsidR="00EA568F" w:rsidRPr="0084261E" w:rsidRDefault="00EA568F" w:rsidP="0084261E">
      <w:pPr>
        <w:rPr>
          <w:lang w:val="nl-NL"/>
        </w:rPr>
      </w:pPr>
    </w:p>
    <w:p w:rsidR="00EA568F"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Volgens IAS 17 is een lease is een overeenkomst waarbij de lessor één of meer betalingen ontvangt van de lessee in ruil voor het recht om gebruik te maken van een actief voor een vastgestelde periode. Voor de nieuwe lease accounting standaard is aan deze definitie het een en ander veranderd. Volgens Agenda Paper 2 (</w:t>
      </w:r>
      <w:r>
        <w:rPr>
          <w:rFonts w:ascii="Calibri" w:hAnsi="Calibri"/>
          <w:sz w:val="22"/>
          <w:szCs w:val="22"/>
          <w:lang w:val="nl-NL"/>
        </w:rPr>
        <w:t xml:space="preserve">IASB, </w:t>
      </w:r>
      <w:r w:rsidRPr="002D3C2C">
        <w:rPr>
          <w:rFonts w:ascii="Calibri" w:hAnsi="Calibri"/>
          <w:sz w:val="22"/>
          <w:szCs w:val="22"/>
          <w:lang w:val="nl-NL"/>
        </w:rPr>
        <w:t>2010) van de gezamenlijke meeting van de FASB en de IASB wordt de term ‘overeenkomst’ vervangen door ‘contract’, omdat dit begrip beter aansluit bij bestaande standaarden. Het gebruiksrecht zal hetzelfde blijven en de leasebetalingen ook. De vastgestelde periode van een lease is echter geen essentieel element meer, omdat er ook lease contracten zijn voor een onbepaalde periode en deze dan buiten het begrip lease vallen. Volgens Agenda Paper 2 (</w:t>
      </w:r>
      <w:r>
        <w:rPr>
          <w:rFonts w:ascii="Calibri" w:hAnsi="Calibri"/>
          <w:sz w:val="22"/>
          <w:szCs w:val="22"/>
          <w:lang w:val="nl-NL"/>
        </w:rPr>
        <w:t xml:space="preserve">IASB, </w:t>
      </w:r>
      <w:r w:rsidRPr="002D3C2C">
        <w:rPr>
          <w:rFonts w:ascii="Calibri" w:hAnsi="Calibri"/>
          <w:sz w:val="22"/>
          <w:szCs w:val="22"/>
          <w:lang w:val="nl-NL"/>
        </w:rPr>
        <w:t>2010) wordt de volgende definitie aanbevolen: ‘Een lease is een contract, waarbij de lessor het gebruiksrecht van een bepaald actief overdraagt, meestal voor een vastgestelde periode, in ruil voor een betaling.’.</w:t>
      </w:r>
    </w:p>
    <w:p w:rsidR="00EA568F" w:rsidRPr="002D3C2C" w:rsidRDefault="00EA568F" w:rsidP="003F27DB">
      <w:pPr>
        <w:spacing w:line="360" w:lineRule="auto"/>
        <w:jc w:val="both"/>
        <w:rPr>
          <w:rFonts w:ascii="Calibri" w:hAnsi="Calibri"/>
          <w:sz w:val="22"/>
          <w:szCs w:val="22"/>
          <w:lang w:val="nl-NL"/>
        </w:rPr>
      </w:pPr>
    </w:p>
    <w:p w:rsidR="00EA568F" w:rsidRPr="006B16C9" w:rsidRDefault="00EA568F" w:rsidP="0084261E">
      <w:pPr>
        <w:pStyle w:val="Heading2"/>
        <w:rPr>
          <w:rFonts w:ascii="Calibri" w:hAnsi="Calibri"/>
          <w:sz w:val="24"/>
          <w:szCs w:val="24"/>
          <w:lang w:val="nl-NL"/>
        </w:rPr>
      </w:pPr>
      <w:bookmarkStart w:id="30" w:name="_Toc265327701"/>
      <w:r w:rsidRPr="006B16C9">
        <w:rPr>
          <w:rFonts w:ascii="Calibri" w:hAnsi="Calibri"/>
          <w:bCs w:val="0"/>
          <w:i w:val="0"/>
          <w:iCs w:val="0"/>
          <w:sz w:val="24"/>
          <w:szCs w:val="24"/>
          <w:lang w:val="nl-NL"/>
        </w:rPr>
        <w:t>4.</w:t>
      </w:r>
      <w:r w:rsidRPr="006B16C9">
        <w:rPr>
          <w:rFonts w:ascii="Calibri" w:hAnsi="Calibri"/>
          <w:sz w:val="24"/>
          <w:szCs w:val="24"/>
          <w:lang w:val="nl-NL"/>
        </w:rPr>
        <w:t>2 De ‘right to use’ benadering</w:t>
      </w:r>
      <w:bookmarkEnd w:id="30"/>
    </w:p>
    <w:p w:rsidR="00EA568F" w:rsidRPr="006B16C9" w:rsidRDefault="00EA568F" w:rsidP="0084261E">
      <w:pPr>
        <w:rPr>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De nieuwe lease accounting standaard zorgt voor een verschuiving van de benadering. Zo wordt met de huidige standaard de nadruk gelegd op de ‘risks and rewards’ die overgedragen moeten zijn, dit komt alleen voor bij financiële leasecontracten. In de nieuwe lease accounting standaard wordt de nadruk gelegd op het overgedragen gebruiksrecht, oftewel ‘right to use’. Dit komt voor bij alle leasecontracten en daarom vervalt het onderscheid tussen operationele en financiële leases. De ‘right to use’ benadering wordt ook wel ‘asset and liability’ benadering genoemd.</w:t>
      </w:r>
    </w:p>
    <w:p w:rsidR="00EA568F" w:rsidRPr="002D3C2C" w:rsidRDefault="00EA568F" w:rsidP="003F27DB">
      <w:pPr>
        <w:spacing w:line="360" w:lineRule="auto"/>
        <w:jc w:val="both"/>
        <w:rPr>
          <w:rFonts w:ascii="Calibri" w:hAnsi="Calibri"/>
          <w:sz w:val="22"/>
          <w:szCs w:val="22"/>
          <w:lang w:val="nl-NL"/>
        </w:rPr>
      </w:pPr>
    </w:p>
    <w:p w:rsidR="00EA568F" w:rsidRPr="00E95714" w:rsidRDefault="00EA568F" w:rsidP="0084261E">
      <w:pPr>
        <w:pStyle w:val="Heading2"/>
        <w:rPr>
          <w:rFonts w:ascii="Calibri" w:hAnsi="Calibri"/>
          <w:sz w:val="24"/>
          <w:szCs w:val="24"/>
          <w:lang w:val="nl-NL"/>
        </w:rPr>
      </w:pPr>
      <w:bookmarkStart w:id="31" w:name="_Toc265327702"/>
      <w:r w:rsidRPr="00E95714">
        <w:rPr>
          <w:rFonts w:ascii="Calibri" w:hAnsi="Calibri"/>
          <w:sz w:val="24"/>
          <w:szCs w:val="24"/>
          <w:lang w:val="nl-NL"/>
        </w:rPr>
        <w:t>4.3 Leasevormen</w:t>
      </w:r>
      <w:bookmarkEnd w:id="31"/>
    </w:p>
    <w:p w:rsidR="00EA568F" w:rsidRPr="0084261E" w:rsidRDefault="00EA568F" w:rsidP="0084261E">
      <w:pPr>
        <w:rPr>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De huidige leasevormen onder IAS 17 zijn operationele en financiële lease. Bij de nieuwe lease accounting standaard verdwijnt het onderscheid tussen een operationele en een financiële lease voor het opnemen van een lease als actief en als verplichting in de jaarrekening. De twee leasevormen hebben nog zulke andere eigenschappen, op het gebied van de ‘risks and rewards’, dat de twee leasevormen nog altijd zullen blijven bestaan. De verandering van de standaard zal geen invloed hebben op het voortbestaan van de leasevormen.</w:t>
      </w:r>
    </w:p>
    <w:p w:rsidR="00EA568F" w:rsidRPr="002D3C2C" w:rsidRDefault="00EA568F" w:rsidP="003F27DB">
      <w:pPr>
        <w:spacing w:line="360" w:lineRule="auto"/>
        <w:jc w:val="both"/>
        <w:rPr>
          <w:rFonts w:ascii="Calibri" w:hAnsi="Calibri"/>
          <w:sz w:val="22"/>
          <w:szCs w:val="22"/>
          <w:lang w:val="nl-NL"/>
        </w:rPr>
      </w:pPr>
    </w:p>
    <w:p w:rsidR="00EA568F" w:rsidRPr="00E95714" w:rsidRDefault="00EA568F" w:rsidP="0084261E">
      <w:pPr>
        <w:pStyle w:val="Heading2"/>
        <w:rPr>
          <w:rFonts w:ascii="Calibri" w:hAnsi="Calibri"/>
          <w:sz w:val="24"/>
          <w:szCs w:val="24"/>
          <w:lang w:val="nl-NL"/>
        </w:rPr>
      </w:pPr>
      <w:bookmarkStart w:id="32" w:name="_Toc265327703"/>
      <w:r w:rsidRPr="00E95714">
        <w:rPr>
          <w:rFonts w:ascii="Calibri" w:hAnsi="Calibri"/>
          <w:sz w:val="24"/>
          <w:szCs w:val="24"/>
          <w:lang w:val="nl-NL"/>
        </w:rPr>
        <w:t>4.4 De verwerking bij een lessee</w:t>
      </w:r>
      <w:bookmarkEnd w:id="32"/>
    </w:p>
    <w:p w:rsidR="00EA568F" w:rsidRPr="0084261E" w:rsidRDefault="00EA568F" w:rsidP="0084261E">
      <w:pPr>
        <w:rPr>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Hoe een lease volgens de nieuwe standaard moet worden verwerkt in de jaarrekening van een lessee wordt hier besproken. Het is bekend dat het onderscheid van operationele lease en financiële lease gaat verdwijnen, maar dit is niet de enige aanpassing. Ook zal de methode om de verplichting te meten en het interestpercentage veranderd worden. De verwerking van een financiële lease zal dus gedeeltelijk anders gaan onder de nieuwe standaard.</w:t>
      </w:r>
    </w:p>
    <w:p w:rsidR="00EA568F" w:rsidRPr="002D3C2C" w:rsidRDefault="00EA568F" w:rsidP="003F27DB">
      <w:pPr>
        <w:spacing w:line="360" w:lineRule="auto"/>
        <w:jc w:val="both"/>
        <w:rPr>
          <w:rFonts w:ascii="Calibri" w:hAnsi="Calibri"/>
          <w:sz w:val="22"/>
          <w:szCs w:val="22"/>
          <w:lang w:val="nl-NL"/>
        </w:rPr>
      </w:pPr>
    </w:p>
    <w:p w:rsidR="00EA568F" w:rsidRDefault="00EA568F" w:rsidP="0084261E">
      <w:pPr>
        <w:pStyle w:val="Heading3"/>
        <w:rPr>
          <w:rFonts w:ascii="Calibri" w:hAnsi="Calibri"/>
          <w:b w:val="0"/>
          <w:i/>
          <w:sz w:val="24"/>
          <w:szCs w:val="24"/>
          <w:lang w:val="nl-NL"/>
        </w:rPr>
      </w:pPr>
      <w:bookmarkStart w:id="33" w:name="_Toc265327704"/>
      <w:r w:rsidRPr="0084261E">
        <w:rPr>
          <w:rFonts w:ascii="Calibri" w:hAnsi="Calibri"/>
          <w:b w:val="0"/>
          <w:i/>
          <w:sz w:val="24"/>
          <w:szCs w:val="24"/>
          <w:lang w:val="nl-NL"/>
        </w:rPr>
        <w:t>4.4.1 De verwerking van een financiële lease</w:t>
      </w:r>
      <w:bookmarkEnd w:id="33"/>
    </w:p>
    <w:p w:rsidR="00EA568F" w:rsidRPr="0084261E" w:rsidRDefault="00EA568F" w:rsidP="0084261E">
      <w:pPr>
        <w:rPr>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Onder IAS 17 moet een financiële lease worden verantwoord op de balans. Dit zal niet veel veranderen onder de nieuwe standaard, maar wel de manier waarop de waarde van het actief en de verplichting wordt berekend. In de discussion paper Leases: Preliminary Views (</w:t>
      </w:r>
      <w:r>
        <w:rPr>
          <w:rFonts w:ascii="Calibri" w:hAnsi="Calibri"/>
          <w:sz w:val="22"/>
          <w:szCs w:val="22"/>
          <w:lang w:val="nl-NL"/>
        </w:rPr>
        <w:t xml:space="preserve">IASB, </w:t>
      </w:r>
      <w:r w:rsidRPr="002D3C2C">
        <w:rPr>
          <w:rFonts w:ascii="Calibri" w:hAnsi="Calibri"/>
          <w:sz w:val="22"/>
          <w:szCs w:val="22"/>
          <w:lang w:val="nl-NL"/>
        </w:rPr>
        <w:t>2009) en in Agenda Paper 9A (</w:t>
      </w:r>
      <w:r>
        <w:rPr>
          <w:rFonts w:ascii="Calibri" w:hAnsi="Calibri"/>
          <w:sz w:val="22"/>
          <w:szCs w:val="22"/>
          <w:lang w:val="nl-NL"/>
        </w:rPr>
        <w:t xml:space="preserve">IASB, </w:t>
      </w:r>
      <w:r w:rsidRPr="002D3C2C">
        <w:rPr>
          <w:rFonts w:ascii="Calibri" w:hAnsi="Calibri"/>
          <w:sz w:val="22"/>
          <w:szCs w:val="22"/>
          <w:lang w:val="nl-NL"/>
        </w:rPr>
        <w:t>2010) wordt voorgesteld om de waarde van de verplichting als de contante waarde van de leasebetalingen vast te stellen. Er wordt niet meer gekeken naar de reële waarde van het leaseobject. Dit werd wel in IAS 17 gedaan. De waarde van het gebruiksrecht op het leaseobject wordt op dezelfde manier vastgesteld, maar met correcties om impairment weer te geven. De verdisconteringvoet wordt het rentepercentage dat de lessor in rekening op de lessee brengt in het leasecontract, wanneer dit een redelijke benadering is van het rentepercentage op een gelijkende lening (</w:t>
      </w:r>
      <w:r>
        <w:rPr>
          <w:rFonts w:ascii="Calibri" w:hAnsi="Calibri"/>
          <w:sz w:val="22"/>
          <w:szCs w:val="22"/>
          <w:lang w:val="nl-NL"/>
        </w:rPr>
        <w:t xml:space="preserve">IASB: </w:t>
      </w:r>
      <w:r w:rsidRPr="002D3C2C">
        <w:rPr>
          <w:rFonts w:ascii="Calibri" w:hAnsi="Calibri"/>
          <w:sz w:val="22"/>
          <w:szCs w:val="22"/>
          <w:lang w:val="nl-NL"/>
        </w:rPr>
        <w:t xml:space="preserve">Agenda Paper 9B, 2010). </w:t>
      </w: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Huidige financiële leasecontracten, die al op de balans waren verantwoord, worden omgezet naar de nieuwe waarde berekend volgens de nieuwe standaard (</w:t>
      </w:r>
      <w:r>
        <w:rPr>
          <w:rFonts w:ascii="Calibri" w:hAnsi="Calibri"/>
          <w:sz w:val="22"/>
          <w:szCs w:val="22"/>
          <w:lang w:val="nl-NL"/>
        </w:rPr>
        <w:t xml:space="preserve">IASB: </w:t>
      </w:r>
      <w:r w:rsidRPr="002D3C2C">
        <w:rPr>
          <w:rFonts w:ascii="Calibri" w:hAnsi="Calibri"/>
          <w:sz w:val="22"/>
          <w:szCs w:val="22"/>
          <w:lang w:val="nl-NL"/>
        </w:rPr>
        <w:t xml:space="preserve">Agenda Paper 10D, 2010). </w:t>
      </w: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Onder de nieuwe standaard bestaat de lease weer uit een aflossingsdeel en een interestdeel. De verplichting wordt elk jaar verminderd met het aflossingsdeel van de leasebetalingen. En het gebruiksrecht wordt elk jaar geamortiseerd.</w:t>
      </w: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Op de balans wordt dus het gebruiksrecht op het leaseobject en de verplichting aangegeven en op de resultatenrekening komen te interestkosten en de amortisatiekosten te staan. Onder IAS 17 werd op een zelfde manier de lease in de jaarrekening verantwoord. Met de nieuwe standaard zijn voornamelijk de berekeningen anders.</w:t>
      </w:r>
    </w:p>
    <w:p w:rsidR="00EA568F" w:rsidRPr="002D3C2C" w:rsidRDefault="00EA568F" w:rsidP="003F27DB">
      <w:pPr>
        <w:spacing w:line="360" w:lineRule="auto"/>
        <w:jc w:val="both"/>
        <w:rPr>
          <w:rFonts w:ascii="Calibri" w:hAnsi="Calibri"/>
          <w:sz w:val="22"/>
          <w:szCs w:val="22"/>
          <w:lang w:val="nl-NL"/>
        </w:rPr>
      </w:pPr>
    </w:p>
    <w:p w:rsidR="00EA568F" w:rsidRDefault="00EA568F" w:rsidP="00E95714">
      <w:pPr>
        <w:pStyle w:val="Heading3"/>
        <w:rPr>
          <w:rFonts w:ascii="Calibri" w:hAnsi="Calibri"/>
          <w:b w:val="0"/>
          <w:i/>
          <w:sz w:val="24"/>
          <w:szCs w:val="24"/>
          <w:lang w:val="nl-NL"/>
        </w:rPr>
      </w:pPr>
      <w:bookmarkStart w:id="34" w:name="_Toc265327705"/>
      <w:r w:rsidRPr="00E95714">
        <w:rPr>
          <w:rFonts w:ascii="Calibri" w:hAnsi="Calibri"/>
          <w:b w:val="0"/>
          <w:i/>
          <w:sz w:val="24"/>
          <w:szCs w:val="24"/>
          <w:lang w:val="nl-NL"/>
        </w:rPr>
        <w:t>4.4.2 De verwerking van een operationele lease</w:t>
      </w:r>
      <w:bookmarkEnd w:id="34"/>
    </w:p>
    <w:p w:rsidR="00EA568F" w:rsidRPr="00E95714" w:rsidRDefault="00EA568F" w:rsidP="00E95714">
      <w:pPr>
        <w:rPr>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 xml:space="preserve">Er is vaak benadrukt dat het onderscheid tussen operationele en financiële lease vervalt en dat dit betekent dat een operationele lease ook op de balans moet worden verantwoord. Het opnemen van een operationele lease geschiedt hetzelfde als bij een financiële lease, zoals die in de vorige subparagraaf besproken is. Het geeft weinig toegevoegde waarde om dit hier nogmaals uit te leggen, en daarom gebeurt dit ook niet. </w:t>
      </w:r>
    </w:p>
    <w:p w:rsidR="00EA568F" w:rsidRPr="002D3C2C" w:rsidRDefault="00EA568F" w:rsidP="003F27DB">
      <w:pPr>
        <w:spacing w:line="360" w:lineRule="auto"/>
        <w:jc w:val="both"/>
        <w:rPr>
          <w:rFonts w:ascii="Calibri" w:hAnsi="Calibri"/>
          <w:sz w:val="22"/>
          <w:szCs w:val="22"/>
          <w:lang w:val="nl-NL"/>
        </w:rPr>
      </w:pPr>
    </w:p>
    <w:p w:rsidR="00EA568F" w:rsidRPr="00E95714" w:rsidRDefault="00EA568F" w:rsidP="00E95714">
      <w:pPr>
        <w:pStyle w:val="Heading2"/>
        <w:rPr>
          <w:rFonts w:ascii="Calibri" w:hAnsi="Calibri"/>
          <w:sz w:val="24"/>
          <w:szCs w:val="24"/>
          <w:lang w:val="nl-NL"/>
        </w:rPr>
      </w:pPr>
      <w:bookmarkStart w:id="35" w:name="_Toc265327706"/>
      <w:r w:rsidRPr="00E95714">
        <w:rPr>
          <w:rFonts w:ascii="Calibri" w:hAnsi="Calibri"/>
          <w:sz w:val="24"/>
          <w:szCs w:val="24"/>
          <w:lang w:val="nl-NL"/>
        </w:rPr>
        <w:t>4.5 De verwerking bij een lessor</w:t>
      </w:r>
      <w:bookmarkEnd w:id="35"/>
    </w:p>
    <w:p w:rsidR="00EA568F" w:rsidRPr="00E95714" w:rsidRDefault="00EA568F" w:rsidP="00E95714">
      <w:pPr>
        <w:rPr>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Het wegvallen van het onderscheid tussen leases heeft ook voor de verwerking bij de lessor zijn consequenties. Hoe een leasecontract volgens de nieuwe standaard wordt verwerkt in de jaarrekening van een lessor wordt in deze paragraaf besproken. Eerst wordt de verwerking van een financiële lease toegelicht en daarna die van een operationele lease.</w:t>
      </w:r>
    </w:p>
    <w:p w:rsidR="00EA568F" w:rsidRPr="002D3C2C" w:rsidRDefault="00EA568F" w:rsidP="003F27DB">
      <w:pPr>
        <w:spacing w:line="360" w:lineRule="auto"/>
        <w:jc w:val="both"/>
        <w:rPr>
          <w:rFonts w:ascii="Calibri" w:hAnsi="Calibri"/>
          <w:sz w:val="22"/>
          <w:szCs w:val="22"/>
          <w:lang w:val="nl-NL"/>
        </w:rPr>
      </w:pPr>
    </w:p>
    <w:p w:rsidR="00EA568F" w:rsidRDefault="00EA568F" w:rsidP="00E95714">
      <w:pPr>
        <w:pStyle w:val="Heading3"/>
        <w:rPr>
          <w:rFonts w:ascii="Calibri" w:hAnsi="Calibri"/>
          <w:b w:val="0"/>
          <w:i/>
          <w:sz w:val="24"/>
          <w:szCs w:val="24"/>
          <w:lang w:val="nl-NL"/>
        </w:rPr>
      </w:pPr>
      <w:bookmarkStart w:id="36" w:name="_Toc265327707"/>
      <w:r w:rsidRPr="00E95714">
        <w:rPr>
          <w:rFonts w:ascii="Calibri" w:hAnsi="Calibri"/>
          <w:b w:val="0"/>
          <w:i/>
          <w:sz w:val="24"/>
          <w:szCs w:val="24"/>
          <w:lang w:val="nl-NL"/>
        </w:rPr>
        <w:t>4.5.1 De verwerking van een financiële lease</w:t>
      </w:r>
      <w:bookmarkEnd w:id="36"/>
    </w:p>
    <w:p w:rsidR="00EA568F" w:rsidRPr="00E95714" w:rsidRDefault="00EA568F" w:rsidP="00E95714">
      <w:pPr>
        <w:rPr>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 xml:space="preserve">In de huidige situatie onder IAS 17 wordt alleen een vordering opgenomen op de balans van de lessor. Er wordt voorgesteld om diezelfde vordering in de nieuwe standaard te behouden. Daar komt wel een verplichting tegenover. Het mogen gebruiken van het leaseobject door de lessee wordt gezien als een verplichting voor de lessor. Daarnaast wordt voorgesteld om het leaseobject op de balans van de lessor te laten, omdat hij juridisch eigenaar ervan is. </w:t>
      </w: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Over het geactiveerde leaseobject kan afgeschreven worden volgens IAS 16 en IAS 38. De vordering wordt verminderd met het aflossingsgedeelte van de ontvangen leasetermijnen. Het interestgedeelte hiervan wordt als interestopbrengst verantwoord in de resultatenrekening. De verplichting wordt voor hetzelfde bedrag opgenomen als de vordering, namelijk de contante waarde van de leasetermijnen. Ieder jaar wordt een stuk van de verplichting voldaan en de waarde hiervan wordt verantwoord als opbrengst in de resultatenrekening (</w:t>
      </w:r>
      <w:r>
        <w:rPr>
          <w:rFonts w:ascii="Calibri" w:hAnsi="Calibri"/>
          <w:sz w:val="22"/>
          <w:szCs w:val="22"/>
          <w:lang w:val="nl-NL"/>
        </w:rPr>
        <w:t xml:space="preserve">IASB: </w:t>
      </w:r>
      <w:r w:rsidRPr="002D3C2C">
        <w:rPr>
          <w:rFonts w:ascii="Calibri" w:hAnsi="Calibri"/>
          <w:sz w:val="22"/>
          <w:szCs w:val="22"/>
          <w:lang w:val="nl-NL"/>
        </w:rPr>
        <w:t xml:space="preserve">Agenda Paper 9D, 2010). </w:t>
      </w: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Op de balans komt dus aan de activazijde het leaseobject en de vordering te staan. Aan de creditzijde komt de verplichting te staan. Als opbrengsten in de resultatenrekening worden interestopbrengsten en de waardedaling van de verplichting verantwoord. De waardedaling van de verplichting is gelijk aan het aflossingsgedeelte van de leasetermijnen en daarom worden de opbrengsten even groot als de totale leasetermijnen van dat jaar. Daarnaast worden er afschrijvingskosten als kosten genomen.</w:t>
      </w:r>
    </w:p>
    <w:p w:rsidR="00EA568F" w:rsidRPr="002D3C2C" w:rsidRDefault="00EA568F" w:rsidP="003F27DB">
      <w:pPr>
        <w:spacing w:line="360" w:lineRule="auto"/>
        <w:jc w:val="both"/>
        <w:rPr>
          <w:rFonts w:ascii="Calibri" w:hAnsi="Calibri"/>
          <w:sz w:val="22"/>
          <w:szCs w:val="22"/>
          <w:lang w:val="nl-NL"/>
        </w:rPr>
      </w:pPr>
    </w:p>
    <w:p w:rsidR="00EA568F" w:rsidRDefault="00EA568F" w:rsidP="00E95714">
      <w:pPr>
        <w:pStyle w:val="Heading3"/>
        <w:rPr>
          <w:rFonts w:ascii="Calibri" w:hAnsi="Calibri"/>
          <w:b w:val="0"/>
          <w:i/>
          <w:sz w:val="24"/>
          <w:szCs w:val="24"/>
          <w:lang w:val="nl-NL"/>
        </w:rPr>
      </w:pPr>
      <w:bookmarkStart w:id="37" w:name="_Toc265327708"/>
      <w:r w:rsidRPr="00E95714">
        <w:rPr>
          <w:rFonts w:ascii="Calibri" w:hAnsi="Calibri"/>
          <w:b w:val="0"/>
          <w:i/>
          <w:sz w:val="24"/>
          <w:szCs w:val="24"/>
          <w:lang w:val="nl-NL"/>
        </w:rPr>
        <w:t>4.5.2 De verwerking van een operationele lease</w:t>
      </w:r>
      <w:bookmarkEnd w:id="37"/>
    </w:p>
    <w:p w:rsidR="00EA568F" w:rsidRPr="00E95714" w:rsidRDefault="00EA568F" w:rsidP="00E95714">
      <w:pPr>
        <w:rPr>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 xml:space="preserve">Zoals ook bij de verwerking van leases bij een lessee is ook bij de lessor geen onderscheid meer tussen de verwerking van beide leasevormen. De verwerking van een operationele lease bij een lessor gaat precies hetzelfde als de verwerking van een financiële lease. In principe verandert de nieuwe standaard niet veel aan de huidige methode. Er wordt alleen een vordering en verplichting opgenomen naast de al bestaande posten. </w:t>
      </w:r>
    </w:p>
    <w:p w:rsidR="00EA568F" w:rsidRPr="002D3C2C" w:rsidRDefault="00EA568F" w:rsidP="003F27DB">
      <w:pPr>
        <w:spacing w:line="360" w:lineRule="auto"/>
        <w:jc w:val="both"/>
        <w:rPr>
          <w:rFonts w:ascii="Calibri" w:hAnsi="Calibri"/>
          <w:sz w:val="22"/>
          <w:szCs w:val="22"/>
          <w:lang w:val="nl-NL"/>
        </w:rPr>
      </w:pPr>
    </w:p>
    <w:p w:rsidR="00EA568F" w:rsidRPr="00E95714" w:rsidRDefault="00EA568F" w:rsidP="00E95714">
      <w:pPr>
        <w:pStyle w:val="Heading2"/>
        <w:rPr>
          <w:rFonts w:ascii="Calibri" w:hAnsi="Calibri"/>
          <w:sz w:val="24"/>
          <w:szCs w:val="24"/>
          <w:lang w:val="nl-NL"/>
        </w:rPr>
      </w:pPr>
      <w:bookmarkStart w:id="38" w:name="_Toc265327709"/>
      <w:r w:rsidRPr="00E95714">
        <w:rPr>
          <w:rFonts w:ascii="Calibri" w:hAnsi="Calibri"/>
          <w:sz w:val="24"/>
          <w:szCs w:val="24"/>
          <w:lang w:val="nl-NL"/>
        </w:rPr>
        <w:t>4.6 Sale and lease back</w:t>
      </w:r>
      <w:bookmarkEnd w:id="38"/>
    </w:p>
    <w:p w:rsidR="00EA568F" w:rsidRPr="00E95714" w:rsidRDefault="00EA568F" w:rsidP="00E95714">
      <w:pPr>
        <w:rPr>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Hoe de nieuwe standaard zal omgaan met sale and lease back transacties is nog vrijwel niets bekend. De nieuwe standaard zal waarschijnlijk ook hier het onderscheid tussen financiële en operationele lease vervallen. Hoe met winsten of verliezen moet worden omgegaan kan volgens verschillende methoden. Het is niet relevant voor deze scriptie om hier verder op in te gaan. Belangrijk is dat ook hier het onderscheid tussen een financiële lease en een operationele lease verdwijnt.</w:t>
      </w:r>
    </w:p>
    <w:p w:rsidR="00EA568F" w:rsidRPr="002D3C2C" w:rsidRDefault="00EA568F" w:rsidP="003F27DB">
      <w:pPr>
        <w:spacing w:line="360" w:lineRule="auto"/>
        <w:jc w:val="both"/>
        <w:rPr>
          <w:rFonts w:ascii="Calibri" w:hAnsi="Calibri"/>
          <w:sz w:val="22"/>
          <w:szCs w:val="22"/>
          <w:lang w:val="nl-NL"/>
        </w:rPr>
      </w:pPr>
    </w:p>
    <w:p w:rsidR="00EA568F" w:rsidRDefault="00EA568F" w:rsidP="00E95714">
      <w:pPr>
        <w:pStyle w:val="Heading2"/>
        <w:rPr>
          <w:rFonts w:ascii="Calibri" w:hAnsi="Calibri"/>
          <w:sz w:val="24"/>
          <w:szCs w:val="24"/>
          <w:lang w:val="nl-NL"/>
        </w:rPr>
      </w:pPr>
      <w:bookmarkStart w:id="39" w:name="_Toc265327710"/>
      <w:r w:rsidRPr="00E95714">
        <w:rPr>
          <w:rFonts w:ascii="Calibri" w:hAnsi="Calibri"/>
          <w:sz w:val="24"/>
          <w:szCs w:val="24"/>
          <w:lang w:val="nl-NL"/>
        </w:rPr>
        <w:t>4.7 Samenvatting en conclusie</w:t>
      </w:r>
      <w:bookmarkEnd w:id="39"/>
    </w:p>
    <w:p w:rsidR="00EA568F" w:rsidRPr="00E95714" w:rsidRDefault="00EA568F" w:rsidP="00E95714">
      <w:pPr>
        <w:rPr>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 xml:space="preserve">In dit hoofdstuk is toegelicht hoe de nieuwe standaard er waarschijnlijk uit zal komen te zien. Eerst is de nieuwe definitie van een lease gegeven. Bij deze definitie zijn twee aspecten van belang, namelijk het gebruiksrecht dat verkregen wordt en de leasebetalingen. Hierna is de ‘right to use’ benadering, ofwel de ‘asset and liability’ benadering, besproken. Het belangrijkste verschil met de ‘risks and rewards’ benadering is dat de ‘right to use’ benadering een ruimere benadering is. Daarna zijn de leasevormen nog kort toegelicht. De verwerking van een lease bij lessee en lessor werden daarna besproken. Belangrijk hierbij is dat is gebleken dat er bij zowel de lessee als de lessor geen onderscheid tussen operationele en financiële leases bij de verwerking meer is. Over hoe wordt omgegaan met sale and lease back transacties is nog niet veel bekend. Met dit hoofdstuk is de derde deelvraag beantwoord. </w:t>
      </w:r>
    </w:p>
    <w:p w:rsidR="00EA568F" w:rsidRPr="002D3C2C" w:rsidRDefault="00EA568F" w:rsidP="003F27DB">
      <w:pPr>
        <w:spacing w:line="360" w:lineRule="auto"/>
        <w:jc w:val="both"/>
        <w:rPr>
          <w:rFonts w:ascii="Calibri" w:hAnsi="Calibri"/>
          <w:sz w:val="22"/>
          <w:szCs w:val="22"/>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In het volgende hoofdstuk wordt de vierde deelvraag beantwoord. In dit hoofdstuk zullen verschillende effecten van de nieuwe standaard besproken. Zo worden effecten op kengetallen besproken, maar ook effecten met betrekking tot leningen.</w:t>
      </w:r>
    </w:p>
    <w:p w:rsidR="00EA568F" w:rsidRPr="00995F55" w:rsidRDefault="00EA568F" w:rsidP="00E95714">
      <w:pPr>
        <w:pStyle w:val="Heading1"/>
        <w:rPr>
          <w:rFonts w:ascii="Calibri" w:hAnsi="Calibri"/>
          <w:color w:val="003471"/>
          <w:sz w:val="28"/>
          <w:szCs w:val="28"/>
          <w:lang w:val="nl-NL"/>
        </w:rPr>
      </w:pPr>
      <w:r w:rsidRPr="002D3C2C">
        <w:rPr>
          <w:lang w:val="nl-NL"/>
        </w:rPr>
        <w:br w:type="page"/>
      </w:r>
      <w:bookmarkStart w:id="40" w:name="_Toc265327711"/>
      <w:r w:rsidRPr="00995F55">
        <w:rPr>
          <w:rFonts w:ascii="Calibri" w:hAnsi="Calibri"/>
          <w:color w:val="003471"/>
          <w:sz w:val="28"/>
          <w:szCs w:val="28"/>
          <w:lang w:val="nl-NL"/>
        </w:rPr>
        <w:t>5. De effecten van de nieuwe lease accounting standaard</w:t>
      </w:r>
      <w:bookmarkEnd w:id="40"/>
    </w:p>
    <w:p w:rsidR="00EA568F" w:rsidRPr="002D3C2C" w:rsidRDefault="00EA568F" w:rsidP="00D1521D">
      <w:pPr>
        <w:spacing w:line="360" w:lineRule="auto"/>
        <w:jc w:val="both"/>
        <w:rPr>
          <w:rFonts w:ascii="Calibri" w:hAnsi="Calibri"/>
          <w:sz w:val="22"/>
          <w:szCs w:val="22"/>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Het vorige hoofdstuk heeft laten zien hoe de verwerking van een leasecontract wordt toegepast bij lessee en lessor. Voor de verwerking van een financieel leasecontract bij een lessee verandert er weinig in de nieuwe standaard. Hier zullen er dus weinig tot geen effecten zijn. De verwerking van een operationeel leasecontract zal hetzelfde geschieden als die bij een financieel leasecontract. Bij dit type contract wordt verwacht dat de nieuwe standaard wel grote gevolgen heeft. Wat de effecten van de nieuwe standaard kunnen zijn zal hier worden besproken. Er zal worden begonnen met een paragraaf over kengetallen. Logisch is dat hier de kengetallen worden besproken die het meest relevant zijn voor leases. Deze kengetallen zijn ook in vorige hoofdstukken al aan bod gekomen. Het zijn de EBITDA, ROA en de solvabiliteitsratio. De ratio’s kunnen van invloed zijn op leningovereenkomsten en de mate van kredietverstrekking. Dit zal in de tweede paragraaf worden besproken. Dan volgt de samenvatting en conclusie en daarna wordt het hoofdstuk afgesloten.</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2"/>
        <w:rPr>
          <w:rFonts w:ascii="Calibri" w:hAnsi="Calibri"/>
          <w:sz w:val="24"/>
          <w:szCs w:val="24"/>
          <w:lang w:val="nl-NL"/>
        </w:rPr>
      </w:pPr>
      <w:bookmarkStart w:id="41" w:name="_Toc265327712"/>
      <w:r w:rsidRPr="00E95714">
        <w:rPr>
          <w:rFonts w:ascii="Calibri" w:hAnsi="Calibri"/>
          <w:sz w:val="24"/>
          <w:szCs w:val="24"/>
          <w:lang w:val="nl-NL"/>
        </w:rPr>
        <w:t>5.1 Effecten op kengetallen</w:t>
      </w:r>
      <w:bookmarkEnd w:id="41"/>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In hoofdstuk 2 is toegelicht hoe het classificeren van leases kengetallen beïnvloedt onder IAS 17. In deze paragraaf worden de effecten op ratio’s van het opnemen van een leasecontract volgens de nieuwe voorgestelde standaard onderzocht. Omdat het opnemen van een financiële lease bij een lessee onder de nieuwe standaard weinig tot niets verschilt van de huidige standaard, zal het geringe effecten hebben op de kengetallen. Deze geringe effecten zullen van weinig toegevoegde waarde voor deze scriptie zijn en zullen daarom niet worden besproken. De significante verandering van de verwerking van een operationele lease maakt dit wel relevant om toe te lichten. Eerst wordt gekeken wat de effecten op de ratio’s zijn vanuit het perspectief van de lessee en daarna vanuit die van de lessor.</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3"/>
        <w:rPr>
          <w:rFonts w:ascii="Calibri" w:hAnsi="Calibri"/>
          <w:b w:val="0"/>
          <w:i/>
          <w:sz w:val="24"/>
          <w:szCs w:val="24"/>
          <w:lang w:val="nl-NL"/>
        </w:rPr>
      </w:pPr>
      <w:bookmarkStart w:id="42" w:name="_Toc265327713"/>
      <w:r w:rsidRPr="00E95714">
        <w:rPr>
          <w:rFonts w:ascii="Calibri" w:hAnsi="Calibri"/>
          <w:b w:val="0"/>
          <w:i/>
          <w:sz w:val="24"/>
          <w:szCs w:val="24"/>
          <w:lang w:val="nl-NL"/>
        </w:rPr>
        <w:t>5.1.1 Kengetallen bij de lessee</w:t>
      </w:r>
      <w:bookmarkEnd w:id="42"/>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Zoals al vaker gezegd verandert er voor de verwerking van een financiële lease weinig, waardoor de effecten op de kengetallen gering zullen zijn. De nieuwe lease accounting standaard maakt geen onderscheid tussen een operationele lease en een financiële lease. Een operationele lease wordt onder de nieuwe standaard verwerkt alsof het een financiële lease betreft. In hoofdstuk 2 is al toegelicht hoe de classificatie van een lease van invloed is op de kengetallen EBITDA, ROA en de solvabiliteitsratio. De effecten op de kengetallen bij de lessee van de nieuwe standaard bij operationele leases zullen dezelfde invloed op de ratio’s hebben als in paragraaf 2.3.3 is besproken. </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De nieuwe manier van verwerken van een operationele lease zul dus zorgen voor een hogere EBITDA, omdat de amortisatie- en interestkosten hier nog niet in verwerkt zijn. In de huidige manier waren de complete leasetermijnen hier wel al in verwerkt. </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De nieuwe standaard zal daarnaast zorgen voor een lagere ROA, als wordt aangenomen dat de EBIT gelijk blijft. Onder de nieuwe standaard wordt het gebruiksrecht geactiveerd, waardoor de totale activa hoger wordt. Hierdoor daalt de ROA.</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Ook de solvabiliteitsratio wordt slechter onder de nieuwe standaard. Doordat onder de nieuwe standaard de contante waarde van de leasetermijnen als verplichting, en dus vreemd vermogen, wordt opgenomen op de balans zal de solvabiliteit afnemen (Goodacre, 2003; Bennett &amp; Bradbury, 2003). Uit een onderzoek van Durocher (2008) is gebleken dat de solvabiliteitsratio van Canadese publieke bedrijven significant verslechterd als de nieuwe lease accounting zou worden toegepast. </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3"/>
        <w:rPr>
          <w:rFonts w:ascii="Calibri" w:hAnsi="Calibri"/>
          <w:b w:val="0"/>
          <w:i/>
          <w:sz w:val="24"/>
          <w:szCs w:val="24"/>
          <w:lang w:val="nl-NL"/>
        </w:rPr>
      </w:pPr>
      <w:bookmarkStart w:id="43" w:name="_Toc265327714"/>
      <w:r w:rsidRPr="00E95714">
        <w:rPr>
          <w:rFonts w:ascii="Calibri" w:hAnsi="Calibri"/>
          <w:b w:val="0"/>
          <w:i/>
          <w:sz w:val="24"/>
          <w:szCs w:val="24"/>
          <w:lang w:val="nl-NL"/>
        </w:rPr>
        <w:t>5.1.2 Kengetallen bij de lessor</w:t>
      </w:r>
      <w:bookmarkEnd w:id="43"/>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De nieuwe lease accounting standaard zal bij de lessor voor zowel de verwerking van een operationele als een financiële lease in belangrijke mate verschillen. Om de effecten van de ratio’s zo duidelijk mogelijk weer te geven, wordt in deze paragraaf onderverdeeld in de effecten bij een financiële lease en de effecten bij een operationele lease.</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4"/>
        <w:rPr>
          <w:rFonts w:ascii="Calibri" w:hAnsi="Calibri"/>
          <w:b w:val="0"/>
          <w:sz w:val="24"/>
          <w:szCs w:val="24"/>
          <w:lang w:val="nl-NL"/>
        </w:rPr>
      </w:pPr>
      <w:bookmarkStart w:id="44" w:name="_Toc265327715"/>
      <w:r w:rsidRPr="00E95714">
        <w:rPr>
          <w:rFonts w:ascii="Calibri" w:hAnsi="Calibri"/>
          <w:b w:val="0"/>
          <w:sz w:val="24"/>
          <w:szCs w:val="24"/>
          <w:lang w:val="nl-NL"/>
        </w:rPr>
        <w:t>5.1.2.1 Financiële lease</w:t>
      </w:r>
      <w:bookmarkEnd w:id="44"/>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Behalve de vordering die volgens de huidige standaard moet worden opgenomen, zal de nieuwe lease accounting standaard vereisen dat het leaseobject wordt geactiveerd en de prestatieverplichting wordt gepassiveerd op de balans. Op de resultatenrekening worden naast de interestopbrengsten, zoals die ook in de huidige standaard worden verantwoord, de daling van de prestatieverplichting als lease-inkomsten beschouwd en worden de afschrijvingskosten van het leaseobject opgenomen. </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De lease-inkomsten zullen wel in de EBITDA verwerkt zijn en de afschrijvingskosten niet. De interestopbrengsten zullen gelijk blijven. Hierdoor zal de EBITDA stijgen onder de nieuwe standaard.</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Voor de berekening van de ROA wordt de formule EBIT delen door totale activa genomen. Onder de nieuwe lease accounting standaard zal de EBIT aan de ene kant omhoog gaan door de lease-inkomsten en aan de andere kant omlaag gaan door de afschrijvingskosten. Of de EBIT hoger of lager zal worden is moeilijk te voorspellen, omdat dit afhankelijk is van meerdere factoren, zoals het interestpercentage en afschrijvingsmethode. Daarom wordt aangenomen dat de EBIT gelijk zal blijven. Het totaal aan activa gaat omhoog, doordat naast de vordering ook het leaseobject wordt geactiveerd. De ROA zal hierdoor dalen.</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In de nieuwe lease accounting standaard zal er een prestatieverplichting worden opgenomen als vreemd vermogen, terwijl er in de huidige standaard bij een lessor niets wordt gepassiveerd. Het vreemd vermogen zal omhoog gaan, terwijl het eigen vermogen gelijk blijft. De solvabiliteit van de onderneming zal hierdoor verslechteren. </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4"/>
        <w:rPr>
          <w:rFonts w:ascii="Calibri" w:hAnsi="Calibri"/>
          <w:b w:val="0"/>
          <w:sz w:val="24"/>
          <w:szCs w:val="24"/>
          <w:lang w:val="nl-NL"/>
        </w:rPr>
      </w:pPr>
      <w:bookmarkStart w:id="45" w:name="_Toc265327716"/>
      <w:r w:rsidRPr="00E95714">
        <w:rPr>
          <w:rFonts w:ascii="Calibri" w:hAnsi="Calibri"/>
          <w:b w:val="0"/>
          <w:sz w:val="24"/>
          <w:szCs w:val="24"/>
          <w:lang w:val="nl-NL"/>
        </w:rPr>
        <w:t>5.1.2.2 Operationele lease</w:t>
      </w:r>
      <w:bookmarkEnd w:id="45"/>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In de huidige standaard werd bij een operationele lease alleen het leaseobject geactiveerd en afgeschreven en afgewaardeerd. Daarnaast werden de complete leasetermijnen als opbrengsten genomen en de afschrijving op het leaseobject als kosten. In de nieuwe lease accounting standaard wordt (net als bij een financiële lease) het leaseobject en de vordering geactiveerd en de prestatieverplichting gepassiveerd. De interestopbrengsten en daling van de prestatieverplichting worden als opbrengsten genomen en de afschrijving op het leaseobject als kosten.</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De interestopbrengsten en de daling van de verplichting zullen ongeveer hetzelfde zijn als de complete leasetermijn. De afschrijving zal ook hetzelfde blijven. Dit impliceert dat de EBITDA ook gelijk zal blijven.</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Als al deze opbrengsten en kosten gelijk blijven zal ook de EBIT gelijk blijven. Het totaal aan activa zal door de opname van de vordering omhoog gaan. De ROA zal dan dalen.</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De verplichting die onder de nieuwe standaard moet worden opgenomen zal het vreemd vermogen doen stijgen. Het eigen vermogen zal gelijk blijven. Hierdoor zal de solvabiliteitsratio verslechteren.</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2"/>
        <w:rPr>
          <w:rFonts w:ascii="Calibri" w:hAnsi="Calibri"/>
          <w:sz w:val="24"/>
          <w:szCs w:val="24"/>
          <w:lang w:val="nl-NL"/>
        </w:rPr>
      </w:pPr>
      <w:bookmarkStart w:id="46" w:name="_Toc265327717"/>
      <w:r w:rsidRPr="00E95714">
        <w:rPr>
          <w:rFonts w:ascii="Calibri" w:hAnsi="Calibri"/>
          <w:sz w:val="24"/>
          <w:szCs w:val="24"/>
          <w:lang w:val="nl-NL"/>
        </w:rPr>
        <w:t>5.2 Leningen</w:t>
      </w:r>
      <w:bookmarkEnd w:id="46"/>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Voordat een bank een lening verstrekt aan een onderneming wordt eerst naar allerlei factoren gekeken. Eén daarvan is de kredietwaardigheid van de onderneming. Afhankelijk hiervan wordt de lening wel of niet verstrekt en wordt het interestpercentage vastgesteld.  Zo wordt er gekeken naar de solvabiliteit van de onderneming en de EBITDA. Welke invloed de verandering van deze ratio’s hebben op leningovereenkomsten zal in de eerstvolgende subparagraaf worden verduidelijkt. De tweede subparagraaf zal beschrijven hoe deze ratio’s de mate van kredietverstrekking beïnvloeden vanuit het bankiers perspectief. </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 </w:t>
      </w:r>
    </w:p>
    <w:p w:rsidR="00EA568F" w:rsidRDefault="00EA568F" w:rsidP="00E95714">
      <w:pPr>
        <w:pStyle w:val="Heading3"/>
        <w:rPr>
          <w:rFonts w:ascii="Calibri" w:hAnsi="Calibri"/>
          <w:b w:val="0"/>
          <w:i/>
          <w:sz w:val="24"/>
          <w:szCs w:val="24"/>
          <w:lang w:val="nl-NL"/>
        </w:rPr>
      </w:pPr>
      <w:bookmarkStart w:id="47" w:name="_Toc265327718"/>
      <w:r w:rsidRPr="00E95714">
        <w:rPr>
          <w:rFonts w:ascii="Calibri" w:hAnsi="Calibri"/>
          <w:b w:val="0"/>
          <w:i/>
          <w:sz w:val="24"/>
          <w:szCs w:val="24"/>
          <w:lang w:val="nl-NL"/>
        </w:rPr>
        <w:t>5.2.1 Leningconvenanten</w:t>
      </w:r>
      <w:bookmarkEnd w:id="47"/>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Voordat een lening definitief wordt verstrekt aan de onderneming vinden er eerst onderhandelingen plaats. Hierin worden afspraken gemaakt tussen de bank en de onderneming die het risico van de bank moeten verkleinen. Deze afspraken worden opgesteld in een leningconvenant. De bank zal continu in de gaten houden of bepaalde afspraken in een leningconvenant niet worden nagekomen. Wanneer er niet wordt voldaan aan de afspraken volgen er sancties voor de onderneming. Ook de leningconvenanten zijn veelal gebaseerd op de solvabiliteitsratio en de EBITDA (Pounder, 2009). Zoals hiervoor is besproken zal de EBITDA in iedere situatie gelijk blijven of stijgen. De EBITDA zal geen probleem opleveren voor de onderneming. Een veel voorkomende afspraak binnen een leningconvenant is dat de solvabiliteitsratio niet slechter mag worden dan een bepaalde waarde. Wanneer de nieuwe lease accounting standaard met de huidige wordt vergeleken, zoals in paragraaf 5.1 is gedaan, is te zien dat de solvabiliteitsratio in iedere situatie zal verslechteren. Op zich hoeft dit geen problemen op te leveren. Echter wanneer de afspraak met betrekking tot de solvabiliteitsratio wordt geschonden, zullen er sancties voor de onderneming door de bank opgelegd worden. Daarnaast zal de onderneming zich in een slechtere positie gaan bevinden wanneer zij een nieuwe lening nodig heeft.</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Uit een onderzoek van El-Gazzar (1993) kan geconcludeerd worden dat het kapitaliseren van ‘off balance’ leases, ofwel operationele leases, de kans op het overschrijden van een leningconvenant vergroot.</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Een onderneming kan zich tegen deze toekomstige effecten beschermen door in het leningconvenant te bedingen dat de ratio’s berekend moeten worden op basis van jaarverslagen die zijn opgesteld volgens de, op het moment van afsluiten, geldende richtlijnen. Hierdoor worden veranderingen in de richtlijnen in het leningconvenant buiten beschouwing gelaten. Dit neemt echter weer extra administratie- en accountantskosten met zich mee.</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3"/>
        <w:rPr>
          <w:rFonts w:ascii="Calibri" w:hAnsi="Calibri"/>
          <w:b w:val="0"/>
          <w:i/>
          <w:sz w:val="24"/>
          <w:szCs w:val="24"/>
          <w:lang w:val="nl-NL"/>
        </w:rPr>
      </w:pPr>
      <w:bookmarkStart w:id="48" w:name="_Toc265327719"/>
      <w:r w:rsidRPr="00E95714">
        <w:rPr>
          <w:rFonts w:ascii="Calibri" w:hAnsi="Calibri"/>
          <w:b w:val="0"/>
          <w:i/>
          <w:sz w:val="24"/>
          <w:szCs w:val="24"/>
          <w:lang w:val="nl-NL"/>
        </w:rPr>
        <w:t>5.2.2 Bankiers</w:t>
      </w:r>
      <w:bookmarkEnd w:id="48"/>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In de vorige subparagraaf werden de gevolgen van de voorgestelde lease accounting standaard vanuit het perspectief van een onderneming toegelicht. Deze subparagraaf zal worden gekeken hoe de nieuwe standaard bankiers beïnvloedt in hun keuze om leningen te verstrekken. Wanneer ondernemingen een slechtere solvabiliteitsratio hebben zal een bank minder geneigd zijn een lening te verstrekken aan die onderneming. </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In een onderzoek van Durocher en Fortin (2009) is onderzocht of de voorgestelde lease accounting standaard bankiers zal beïnvloeden met betrekking tot het verstrekken van leningen. Bij dit onderzoek waren 65 bankiers van verschillende regionale kantoren in Quebec, Canada van vier banken betrokken. Uit het onderzoek kwam onder andere dat de bankiers bij een leningaanvraag al rekening hielden met operationele leases die in de ‘disclosure notes’ werden vermeld. Financiële leases telde echter zwaarder mee. Ook waren ze voorstander van de voorgestelde lease accounting standaard, omdat die de vergelijkbaarheid tussen bedrijven zou vergroten en bankiers is staat stelde hun schatting van het risico te vergroten. Daarnaast gaven de bankiers al zelf aan in het onderzoek dat ze dachten dat de nieuwe standaard de analyse met betrekking tot de kredietverstrekking zal beïnvloeden. Het wordt moeilijker voor ondernemingen om een lening te krijgen onder de nieuwe standaard dan onder de huidige.</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2"/>
        <w:rPr>
          <w:rFonts w:ascii="Calibri" w:hAnsi="Calibri"/>
          <w:sz w:val="24"/>
          <w:szCs w:val="24"/>
          <w:lang w:val="nl-NL"/>
        </w:rPr>
      </w:pPr>
      <w:bookmarkStart w:id="49" w:name="_Toc265327720"/>
      <w:r w:rsidRPr="00E95714">
        <w:rPr>
          <w:rFonts w:ascii="Calibri" w:hAnsi="Calibri"/>
          <w:sz w:val="24"/>
          <w:szCs w:val="24"/>
          <w:lang w:val="nl-NL"/>
        </w:rPr>
        <w:t>5.3 Aandeelhouders</w:t>
      </w:r>
      <w:bookmarkEnd w:id="49"/>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De aandelenkoers representeert de waarde van het bedrijf. De financiële positie en prestatie wordt hierin meegenomen, maar ook zaken als een imago en bepaalde marktinformatie.</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Wanneer een operationele lease wordt verantwoord op de balans zal de financiële positie veranderen door een hoger vreemd vermogen. De aandelenkoers kan hierdoor veranderen.</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In de studie van El-Gazzar (1993), die ook in subparagraaf 5.2.1 wordt genoemd, is ook onderzoek gedaan naar het effect op de aandelenkoersen. Het kapitaliseren van operationele leases heeft minder ruimte in leningconvenanten als gevolg. Deze krapte wordt door investeerders als slecht nieuws ervaren en de aandelenkoers zal dan dalen. De aandeelhouders van een onderneming worden hier de dupe van.</w:t>
      </w:r>
    </w:p>
    <w:p w:rsidR="00EA568F" w:rsidRDefault="00EA568F" w:rsidP="00D1521D">
      <w:pPr>
        <w:spacing w:line="360" w:lineRule="auto"/>
        <w:jc w:val="both"/>
        <w:rPr>
          <w:rFonts w:ascii="Calibri" w:hAnsi="Calibri"/>
          <w:sz w:val="22"/>
          <w:szCs w:val="22"/>
          <w:lang w:val="nl-NL"/>
        </w:rPr>
      </w:pP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2"/>
        <w:rPr>
          <w:rFonts w:ascii="Calibri" w:hAnsi="Calibri"/>
          <w:sz w:val="24"/>
          <w:szCs w:val="24"/>
          <w:lang w:val="nl-NL"/>
        </w:rPr>
      </w:pPr>
      <w:bookmarkStart w:id="50" w:name="_Toc265327721"/>
      <w:r w:rsidRPr="00E95714">
        <w:rPr>
          <w:rFonts w:ascii="Calibri" w:hAnsi="Calibri"/>
          <w:sz w:val="24"/>
          <w:szCs w:val="24"/>
          <w:lang w:val="nl-NL"/>
        </w:rPr>
        <w:t>5.4 Samenvatting en conclusie</w:t>
      </w:r>
      <w:bookmarkEnd w:id="50"/>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In iedere situatie die in paragraaf 5.1 geschetst is, zal de EBITDA gelijk blijven of stijgen, de ROA zal dalen en de solvabiliteit zal verslechteren vergeleken met de huidige standaard IAS 17. In eerste instantie betekenen de lagere ROA en slechtere solvabiliteit een verslechtering van de financiële positie en prestatie. De hogere EBITDA betekent een verbetering van de financiële prestatie. Hoe belangrijk en hoe groot beide effecten zijn is voor elke stakeholder van het bedrijf verschillend. </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De nieuwe lease accounting standaard heeft niet alleen gevolgen op de presentatie van de financiële positie en prestatie van een onderneming, maar ook op de door banken beoordeelde kredietwaardigheid. Het kapitaliseren van een operationele lease zal de beoordelingen van bankiers beïnvloeden. En de mogelijkheid kapitaal te lenen van de onderneming zal worden verminderd. Daarnaast zal de nieuwe lease accounting standaard zijn invloed hebben op leningconvenanten, doordat die op ratio’s zijn gebaseerd die onderhevig zijn aan de nieuwe lease accounting standaard. De krapte die ontstaat in leningconvenanten heeft ook zijn gevolg op de aandelenkoers. Meer krapte zal zorgen voor een lagere koers. De aandeelhouders van een bedrijf worden dus ook getroffen door de invoering van de nieuwe standaard.</w:t>
      </w:r>
    </w:p>
    <w:p w:rsidR="00EA568F" w:rsidRPr="002D3C2C" w:rsidRDefault="00EA568F" w:rsidP="00D1521D">
      <w:pPr>
        <w:spacing w:line="360" w:lineRule="auto"/>
        <w:jc w:val="both"/>
        <w:rPr>
          <w:rFonts w:ascii="Calibri" w:hAnsi="Calibri"/>
          <w:sz w:val="22"/>
          <w:szCs w:val="22"/>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In dit hoofdstuk zijn slechts enkele effecten van de voorgestelde lease accounting standaard besproken en is antwoord gegeven op de vierde deelvraag. </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In hoofdstuk 6 zal de mogelijkheid tot afstemmen van leasecontracten onder de nieuwe standaard centraal staan. De vijfde deelvraag zal hier worden beantwoord. </w:t>
      </w:r>
    </w:p>
    <w:p w:rsidR="00EA568F" w:rsidRPr="00995F55" w:rsidRDefault="00EA568F" w:rsidP="00E95714">
      <w:pPr>
        <w:pStyle w:val="Heading1"/>
        <w:rPr>
          <w:rFonts w:ascii="Calibri" w:hAnsi="Calibri"/>
          <w:color w:val="003471"/>
          <w:sz w:val="28"/>
          <w:szCs w:val="28"/>
          <w:lang w:val="nl-NL"/>
        </w:rPr>
      </w:pPr>
      <w:r w:rsidRPr="002D3C2C">
        <w:rPr>
          <w:lang w:val="nl-NL"/>
        </w:rPr>
        <w:br w:type="page"/>
      </w:r>
      <w:r w:rsidRPr="00995F55">
        <w:rPr>
          <w:rFonts w:ascii="Calibri" w:hAnsi="Calibri"/>
          <w:color w:val="003471"/>
          <w:sz w:val="28"/>
          <w:szCs w:val="28"/>
          <w:lang w:val="nl-NL"/>
        </w:rPr>
        <w:t xml:space="preserve"> </w:t>
      </w:r>
      <w:bookmarkStart w:id="51" w:name="_Toc265327722"/>
      <w:r w:rsidRPr="00995F55">
        <w:rPr>
          <w:rFonts w:ascii="Calibri" w:hAnsi="Calibri"/>
          <w:color w:val="003471"/>
          <w:sz w:val="28"/>
          <w:szCs w:val="28"/>
          <w:lang w:val="nl-NL"/>
        </w:rPr>
        <w:t>6. De mogelijkheid tot afstemmen onder de nieuwe standaard</w:t>
      </w:r>
      <w:bookmarkEnd w:id="51"/>
    </w:p>
    <w:p w:rsidR="00EA568F" w:rsidRPr="002D3C2C" w:rsidRDefault="00EA568F" w:rsidP="00D1521D">
      <w:pPr>
        <w:spacing w:line="360" w:lineRule="auto"/>
        <w:jc w:val="both"/>
        <w:rPr>
          <w:rFonts w:ascii="Calibri" w:hAnsi="Calibri"/>
          <w:sz w:val="22"/>
          <w:szCs w:val="22"/>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Zoals beschreven in hoofdstuk 3 is er in de huidige lease accounting standaard IAS 17 de mogelijkheid om leasecontracten af te stemmen. Onder de huidige standaard zijn er twee methoden voor het afstemmen van contracten. Ten eerste kon een financiële lease als operationele lease worden aangemerkt. De lease werd dan niet verantwoord op de balans. Ten tweede kon een financiële lease zo laag mogelijk worden verantwoord. Afstemmen van contracten wordt vooral gedaan om gunstigere financiële ratio’s te presenteren. De IASB en de FASB onderkenden dit probleem. De IASB en de FASB zijn nu van plan een nieuwe lease accounting standaard te introduceren. Het doel van deze nieuwe standaard is vooral het afstemmen van leasecontracten tegen te gaan en daarnaast de vergelijkbaarheid te vergroten. In dit hoofdstuk wordt onderzocht in hoeverre leasecontracten nog steeds kunnen worden afgestemd. Dit wordt gedaan aan de hand van de voorbeelden die in hoofdstuk 3 naar voren kwamen. Er wordt gekeken of die mogelijkheden tot afstemmen onder de nieuwe standaard niet meer mogelijk zijn. Dit wordt in de eerste paragraaf besproken. Daarnaast wordt in de tweede paragraaf onderzocht of zich nieuwe mogelijkheden tot afstemmen van leasecontracten aandienen. </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2"/>
        <w:rPr>
          <w:rFonts w:ascii="Calibri" w:hAnsi="Calibri"/>
          <w:sz w:val="24"/>
          <w:szCs w:val="24"/>
          <w:lang w:val="nl-NL"/>
        </w:rPr>
      </w:pPr>
      <w:bookmarkStart w:id="52" w:name="_Toc265327723"/>
      <w:r w:rsidRPr="00E95714">
        <w:rPr>
          <w:rFonts w:ascii="Calibri" w:hAnsi="Calibri"/>
          <w:sz w:val="24"/>
          <w:szCs w:val="24"/>
          <w:lang w:val="nl-NL"/>
        </w:rPr>
        <w:t>6.1 Oude mogelijkheden onder de nieuwe standaard</w:t>
      </w:r>
      <w:bookmarkEnd w:id="52"/>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De bedoeling van de nieuwe lease accounting standaard is dat oude mogelijkheden tot afstemmen van leasecontracten worden bestreden of ingeperkt. Aan de hand van hoofdstuk 4 kan worden nagegaan of de oude mogelijkheden onder de nieuwe standaard ook nog toepasbaar zijn. Door de verschuiving van de ‘risks and rewards’ benadering naar de ‘right to use’ benadering, waar alle leases op de balans moeten komen, vervalt de mogelijkheid om een financiële lease aan te merken als een operationele lease. De mogelijkheid om de lease voor een zo laag mogelijk bedrag op te nemen op de balans blijft wel bestaan.</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In deze paragraaf worden dezelfde mogelijkheden doorgenomen onder de nieuwe standaard en zal besproken worden of de mogelijkheid tot afstemmen is afgenomen of verdwenen.</w:t>
      </w:r>
    </w:p>
    <w:p w:rsidR="00EA568F" w:rsidRDefault="00EA568F" w:rsidP="00D1521D">
      <w:pPr>
        <w:spacing w:line="360" w:lineRule="auto"/>
        <w:jc w:val="both"/>
        <w:rPr>
          <w:rFonts w:ascii="Calibri" w:hAnsi="Calibri"/>
          <w:sz w:val="22"/>
          <w:szCs w:val="22"/>
          <w:lang w:val="nl-NL"/>
        </w:rPr>
      </w:pP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3"/>
        <w:rPr>
          <w:rFonts w:ascii="Calibri" w:hAnsi="Calibri"/>
          <w:b w:val="0"/>
          <w:i/>
          <w:sz w:val="24"/>
          <w:szCs w:val="24"/>
          <w:lang w:val="nl-NL"/>
        </w:rPr>
      </w:pPr>
      <w:bookmarkStart w:id="53" w:name="_Toc265327724"/>
      <w:r w:rsidRPr="00E95714">
        <w:rPr>
          <w:rFonts w:ascii="Calibri" w:hAnsi="Calibri"/>
          <w:b w:val="0"/>
          <w:i/>
          <w:sz w:val="24"/>
          <w:szCs w:val="24"/>
          <w:lang w:val="nl-NL"/>
        </w:rPr>
        <w:t>6.1.1 Leasetermijnen</w:t>
      </w:r>
      <w:bookmarkEnd w:id="53"/>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In de subparagraaf 3.1.1 ging het vooral om de samenstelling van leasetermijnen in een aflossings- en een interestbestanddeel. De verdisconteringvoet was hier een belangrijke schakel, omdat deze de samenstelling bepaalde. De verdisconteringvoet was het interestpercentage impliciet in de lease. Wanneer dit interestpercentage moeilijk achterhaalbaar was, werd de rente van een gelijkende lening gebruikt. Ook in de nieuwe lease accounting standaard zien we zoiets terug. Echter wordt nu gezegd dat het interestpercentage in de lease een redelijke benadering van de rente van een gelijkende lening moet zijn, anders wordt de laatste als verdisconteringvoet gebruikt. Zo kan er niet een veel hoger interestpercentage in de verwerking van de lease worden gebruikt, zodat de op te nemen verplichting op de balans van de lessee lager is. De samenstelling van de leasetermijnen is door deze regel moeilijk beïnvloedbaar geworden. Hierdoor zal de op te nemen verplichting bij de lessee economisch gezien realistisch zijn. Bij de lessor wordt het interestpercentage dat hij in rekening brengt op de lessee gebruikt als verdisconteringvoet (</w:t>
      </w:r>
      <w:r>
        <w:rPr>
          <w:rFonts w:ascii="Calibri" w:hAnsi="Calibri"/>
          <w:sz w:val="22"/>
          <w:szCs w:val="22"/>
          <w:lang w:val="nl-NL"/>
        </w:rPr>
        <w:t xml:space="preserve">IASB: </w:t>
      </w:r>
      <w:r w:rsidRPr="002D3C2C">
        <w:rPr>
          <w:rFonts w:ascii="Calibri" w:hAnsi="Calibri"/>
          <w:sz w:val="22"/>
          <w:szCs w:val="22"/>
          <w:lang w:val="nl-NL"/>
        </w:rPr>
        <w:t>Agenda Paper 9D, 2010). Hier kan de lessor dus nog wel de hoogte van de vordering beïnvloeden. Daarnaast wordt voor hetzelfde bedrag als de vordering een prestatieverplichting opgenomen. Hier is het voordelig om in verband met de solvabiliteitsratio de prestatieverplichting voor minder op te nemen door het interestpercentage te verhogen. De op te nemen verplichting voor de lessee zal hierdoor niet beïnvloed worden. De afname van de prestatieverplichting bij de lessor komt iedere periode ten gunste van de resultatenrekening. Hier betekent een lagere verplichting is ook een lagere opbrengst iedere periode, maar hogere interestopbrengsten. Zoals vermeld in subparagraaf 4.5.1 zal de daling van de verplichting plus de interestopbrengsten gelijk zijn aan de leasetermijnen van dat jaar. De winst zal dus gelijk blijven, maar de EBITDA zal dalen. De mogelijkheid om af te stemmen blijft voor de lessor dus behouden.</w:t>
      </w:r>
    </w:p>
    <w:p w:rsidR="00EA568F" w:rsidRPr="002D3C2C" w:rsidRDefault="00EA568F" w:rsidP="00D1521D">
      <w:pPr>
        <w:spacing w:line="360" w:lineRule="auto"/>
        <w:jc w:val="both"/>
        <w:rPr>
          <w:rFonts w:ascii="Calibri" w:hAnsi="Calibri"/>
          <w:sz w:val="22"/>
          <w:szCs w:val="22"/>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In het tweede gedeelte van subparagraaf 3.1.1 stond de 90%-richtlijn van de RJ centraal. Wanneer de contante waarde van de minimale leasetermijnen minstens 90% van de reële waarde van het leaseobject was, gold het als een indicator voor een financiële leaseovereenkomst. In de nieuwe lease accounting standaard geld het onderscheid tussen financiële en operationele leases niet meer. Daardoor zal deze richtlijn ook vervallen en is hier ook geen mogelijkheid tot afstemmen meer.</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3"/>
        <w:rPr>
          <w:rFonts w:ascii="Calibri" w:hAnsi="Calibri"/>
          <w:b w:val="0"/>
          <w:i/>
          <w:sz w:val="24"/>
          <w:szCs w:val="24"/>
          <w:lang w:val="nl-NL"/>
        </w:rPr>
      </w:pPr>
      <w:bookmarkStart w:id="54" w:name="_Toc265327725"/>
      <w:r w:rsidRPr="00E95714">
        <w:rPr>
          <w:rFonts w:ascii="Calibri" w:hAnsi="Calibri"/>
          <w:b w:val="0"/>
          <w:i/>
          <w:sz w:val="24"/>
          <w:szCs w:val="24"/>
          <w:lang w:val="nl-NL"/>
        </w:rPr>
        <w:t>6.1.2 Economische levensduur</w:t>
      </w:r>
      <w:bookmarkEnd w:id="54"/>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In subparagraaf 3.1.2 werd de 75%-richtlijn van de RJ besproken. Bij deze richtlijn gold dat als de leaseperiode minstens 75% van de economische levensduur van het leaseobject bedroeg, dit een indicatie was voor een financiële leaseovereenkomst. Ander zou het een operationele lease zijn en zou het niet worden verantwoord op de balans. Ook hier zal door het verdwijnen van het onderscheid tussen financiële en operationele leases deze richtlijn vervallen. Ook deze mogelijkheid tot afstemmen zal verdwijnen.</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3"/>
        <w:rPr>
          <w:rFonts w:ascii="Calibri" w:hAnsi="Calibri"/>
          <w:b w:val="0"/>
          <w:i/>
          <w:sz w:val="24"/>
          <w:szCs w:val="24"/>
          <w:lang w:val="nl-NL"/>
        </w:rPr>
      </w:pPr>
      <w:bookmarkStart w:id="55" w:name="_Toc265327726"/>
      <w:r w:rsidRPr="00E95714">
        <w:rPr>
          <w:rFonts w:ascii="Calibri" w:hAnsi="Calibri"/>
          <w:b w:val="0"/>
          <w:i/>
          <w:sz w:val="24"/>
          <w:szCs w:val="24"/>
          <w:lang w:val="nl-NL"/>
        </w:rPr>
        <w:t>6.1.3 Reële waarde</w:t>
      </w:r>
      <w:bookmarkEnd w:id="55"/>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In IAS 17 moest bij een financiële lease het actief en de verplichting bij een lessee worden opgenomen tegen de lagere waarde van de contante waarde van de leasetermijnen of de reële waarde. Een lagere reële waarde zou betekenen dat, wanneer de reële waarde lager dan de contante waarde van de leasetermijnen was, een lagere waarde voor het actief en de verplichting opgenomen werd. Bij de 90%-richtlijn zal een lease wel eerder als financiële lease worden aangemerkt wanneer de reële waarde daalt. Wanneer de lease toch al als een financiële lease wordt aangemerkt zal het verlagen van de reële waarde gunstig zijn. Uit hoofdstuk 4 is gebleken dat de reële waarde bij het berekenen van de waarde van het actief en de verplichting geen rol meer speelt. De waarde van het actief en de verplichting worden alleen bepaald door de contante waarde van de minimale leasetermijnen. Hier is door het wegvallen van het onderscheid en het wegvallen van de reële waarde in de berekening de mogelijkheid tot afstemmen verdwenen.</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3"/>
        <w:rPr>
          <w:rFonts w:ascii="Calibri" w:hAnsi="Calibri"/>
          <w:b w:val="0"/>
          <w:i/>
          <w:sz w:val="24"/>
          <w:szCs w:val="24"/>
          <w:lang w:val="nl-NL"/>
        </w:rPr>
      </w:pPr>
      <w:bookmarkStart w:id="56" w:name="_Toc265327727"/>
      <w:r w:rsidRPr="00E95714">
        <w:rPr>
          <w:rFonts w:ascii="Calibri" w:hAnsi="Calibri"/>
          <w:b w:val="0"/>
          <w:i/>
          <w:sz w:val="24"/>
          <w:szCs w:val="24"/>
          <w:lang w:val="nl-NL"/>
        </w:rPr>
        <w:t>6.1.4 Looptijd</w:t>
      </w:r>
      <w:bookmarkEnd w:id="56"/>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Een andere mogelijkheid contracten af te stemmen met IAS 17 was een kortere looptijd van een leasecontract. Een kortere looptijd van het contract zorgde ervoor dat de lessee minder leasetermijnen moest betalen en de lessor zou ontvangen. In principe is dit op zichzelf geen afstemmen van een leasecontract. Het contract met een korte looptijd ging echter wel gepaard met verlengingsopties, die iedere keer werden uitgeoefend. Dit zorgde voor een lage waarde van de verplichting en het leaseobject op de balans bij een financiële lease. Ook in de nieuwe standaard kan de looptijd van het leasecontract kort zijn. Uit onderzoeken van Beattie, Goodacre en Thomson (2006) en Goodacre (2003) blijkt dat zowel gebruikers als opstellers van jaarrekeningen verwachten dat de looptijd van leasecontracten korter zal worden, zodat er een lagere verplichting wordt gepresenteerd. De kortere looptijd zal wel zorgen voor verlengingsopties. De nieuwe lease accounting standaard zal de looptijd, maar ook de waarschijnlijkheid van het uitoefenen van een verlengingsoptie in ogenschouw nemen en hierop de totale looptijd van het contract baseren. De totale looptijd wordt dan de langste meest waarschijnlijkste periode (</w:t>
      </w:r>
      <w:r>
        <w:rPr>
          <w:rFonts w:ascii="Calibri" w:hAnsi="Calibri"/>
          <w:sz w:val="22"/>
          <w:szCs w:val="22"/>
          <w:lang w:val="nl-NL"/>
        </w:rPr>
        <w:t xml:space="preserve">IASB: </w:t>
      </w:r>
      <w:r w:rsidRPr="002D3C2C">
        <w:rPr>
          <w:rFonts w:ascii="Calibri" w:hAnsi="Calibri"/>
          <w:sz w:val="22"/>
          <w:szCs w:val="22"/>
          <w:lang w:val="nl-NL"/>
        </w:rPr>
        <w:t xml:space="preserve">Agenda Paper 10D, 2010). Dit is hetzelfde als Van Veen &amp; Jager (2001) voorgesteld hadden, zoals ook te zien in subparagraaf 3.1.4. De accountant moet schatten hoe groot de waarschijnlijkheid van verlengen is en moet berekenen hoe lang de totale looptijd dan wordt. De manager kan enige invloed uitoefenen met betrekking tot de hoogte van waarschijnlijkheid dat het de verlengingsoptie wordt gelicht, maar het uiteindelijke oordeel komt van de accountant. Hier wordt de mogelijkheid ingeperkt om contracten af te stemmen. </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2"/>
        <w:rPr>
          <w:rFonts w:ascii="Calibri" w:hAnsi="Calibri"/>
          <w:sz w:val="24"/>
          <w:szCs w:val="24"/>
          <w:lang w:val="nl-NL"/>
        </w:rPr>
      </w:pPr>
      <w:bookmarkStart w:id="57" w:name="_Toc265327728"/>
      <w:r w:rsidRPr="00E95714">
        <w:rPr>
          <w:rFonts w:ascii="Calibri" w:hAnsi="Calibri"/>
          <w:sz w:val="24"/>
          <w:szCs w:val="24"/>
          <w:lang w:val="nl-NL"/>
        </w:rPr>
        <w:t>6.2 Nieuwe mogelijkheden tot afstemmen</w:t>
      </w:r>
      <w:bookmarkEnd w:id="57"/>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Uit de vorige paragraaf is gebleken dat de nieuwe lease accounting standaard zal zorgen voor minder mogelijkheden om leasecontracten af te stemmen. De nieuwe standaard kan wellicht ook nieuwe mogelijkheden tot afstemmen van contracten bieden. Of deze nieuwe mogelijkheden er zijn en wat deze dan wel zijn, wordt in deze paragraaf kenbaar gemaakt.</w:t>
      </w:r>
    </w:p>
    <w:p w:rsidR="00EA568F" w:rsidRPr="002D3C2C" w:rsidRDefault="00EA568F" w:rsidP="00D1521D">
      <w:pPr>
        <w:spacing w:line="360" w:lineRule="auto"/>
        <w:jc w:val="both"/>
        <w:rPr>
          <w:rFonts w:ascii="Calibri" w:hAnsi="Calibri"/>
          <w:sz w:val="22"/>
          <w:szCs w:val="22"/>
          <w:lang w:val="nl-NL"/>
        </w:rPr>
      </w:pPr>
    </w:p>
    <w:p w:rsidR="00EA568F" w:rsidRDefault="00EA568F" w:rsidP="00E95714">
      <w:pPr>
        <w:pStyle w:val="Heading3"/>
        <w:rPr>
          <w:rFonts w:ascii="Calibri" w:hAnsi="Calibri"/>
          <w:b w:val="0"/>
          <w:i/>
          <w:sz w:val="24"/>
          <w:szCs w:val="24"/>
          <w:lang w:val="nl-NL"/>
        </w:rPr>
      </w:pPr>
      <w:bookmarkStart w:id="58" w:name="_Toc265327729"/>
      <w:r w:rsidRPr="00E95714">
        <w:rPr>
          <w:rFonts w:ascii="Calibri" w:hAnsi="Calibri"/>
          <w:b w:val="0"/>
          <w:i/>
          <w:sz w:val="24"/>
          <w:szCs w:val="24"/>
          <w:lang w:val="nl-NL"/>
        </w:rPr>
        <w:t>6.2.1 Servicebetalingen</w:t>
      </w:r>
      <w:bookmarkEnd w:id="58"/>
    </w:p>
    <w:p w:rsidR="00EA568F" w:rsidRPr="00E95714" w:rsidRDefault="00EA568F" w:rsidP="00E95714">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Zoals ook in de huidige standaard IAS 17 wordt het service-element in de lease niet meegenomen bij de bepaling van de verplichting bij de lessee. In IAS 17 werd bij een financiële lease het service-element apart vermeld en kwam ten laste van de resultatenrekening van de lessee. Bij een operationele lease werd het service-element van de leasetermijn niet apart vermeld en kwam ook ten laste van de resultatenrekening bij de lessee. In de nieuwe lease accounting standaard zal het service-element wederom apart worden vermeld en in de resultatenrekening worden verwerkt. De zorg is dat bij de nieuwe standaard het service-element van de leasetermijn hoog zal worden vastgesteld. Hierdoor zal het aflossing- en interestgedeelte kleiner worden, waardoor er een kleinere verplichting wordt opgenomen op de balans. De RJ heeft in zijn ‘comment letter’ (2009) op de discussion paper over de nieuwe lease accounting standaard deze zorg aangegeven. Ze stellen dat het waarschijnlijk is dat bedrijven afspraken maken, waardoor een leasecontract ontworpen wordt als een servicecontract. Hierdoor hoeft geen verplichting te worden opgenomen en is er een mogelijkheid tot het afstemmen van een contract. De accountant zal hier moeten nagaan of er inderdaad sprake is van een servicecontract en niet van een lease. Wanneer dit niet het geval is zal de accountant dit moeten corrigeren en de betalingen splitsen in een servicegedeelte, aflossingsgedeelte en een interestgedeelte. Er is wel een mogelijkheid tot afstemmen, maar de accountant moet deze mogelijkheid inperken.</w:t>
      </w:r>
    </w:p>
    <w:p w:rsidR="00EA568F" w:rsidRPr="002D3C2C" w:rsidRDefault="00EA568F" w:rsidP="00D1521D">
      <w:pPr>
        <w:spacing w:line="360" w:lineRule="auto"/>
        <w:jc w:val="both"/>
        <w:rPr>
          <w:rFonts w:ascii="Calibri" w:hAnsi="Calibri"/>
          <w:sz w:val="22"/>
          <w:szCs w:val="22"/>
          <w:lang w:val="nl-NL"/>
        </w:rPr>
      </w:pPr>
    </w:p>
    <w:p w:rsidR="00EA568F" w:rsidRDefault="00EA568F" w:rsidP="00882DFE">
      <w:pPr>
        <w:pStyle w:val="Heading2"/>
        <w:rPr>
          <w:rFonts w:ascii="Calibri" w:hAnsi="Calibri"/>
          <w:sz w:val="24"/>
          <w:szCs w:val="24"/>
          <w:lang w:val="nl-NL"/>
        </w:rPr>
      </w:pPr>
      <w:bookmarkStart w:id="59" w:name="_Toc265327730"/>
      <w:r w:rsidRPr="00882DFE">
        <w:rPr>
          <w:rFonts w:ascii="Calibri" w:hAnsi="Calibri"/>
          <w:sz w:val="24"/>
          <w:szCs w:val="24"/>
          <w:lang w:val="nl-NL"/>
        </w:rPr>
        <w:t>6.3 Samenvatting en conclusie</w:t>
      </w:r>
      <w:bookmarkEnd w:id="59"/>
    </w:p>
    <w:p w:rsidR="00EA568F" w:rsidRPr="00882DFE" w:rsidRDefault="00EA568F" w:rsidP="00882DFE">
      <w:pPr>
        <w:rPr>
          <w:lang w:val="nl-NL"/>
        </w:rPr>
      </w:pP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De mogelijkheden tot afstemmen die in IAS 17 bestonden, worden door de nieuwe standaard aanzienlijk verminderd. De reële waarde en de economische levensduur gaan simpelweg geen rol meer spelen in de nieuwe lease accounting standaard. De mogelijkheden om af te stemmen met deze factoren zullen dan verdwijnen. Het begrip ‘looptijd’ van het leasecontract wordt vernieuwd. De nieuwe looptijd wordt de looptijd van het leasecontract vermeerderd met de verlengingsoptie, wanneer het waarschijnlijker is dat deze wel wordt uitgeoefend dan niet. De accountant zal moeten oordelen of hier sprake van is. Een manager van een bedrijf kan lichte invloed hierop uitoefenen, maar niet meer dan dat. Deze mogelijkheid tot afstemmen wordt daarom ingeperkt. Bij de samenstelling van leasetermijnen, die in de eerste subparagraaf aan bod zijn gekomen, wordt de mogelijkheid alleen maar verschoven. De lessee kan weinig invloed uitoefenen op de hoogte van het interestpercentage. Waar het interestpercentage voor de lessor eerst weinig verschil maakte (zie subparagraaf 3.1.1), kan het nu wel een grotere rol spelen. De lessor kan nog steeds een hoog interestpercentage rekenen. Hierdoor kan de lessor bepalen of hij een lagere verplichting op zijn balans en een lagere EBITDA wilt of een hogere verplichting en EBITDA. </w:t>
      </w:r>
    </w:p>
    <w:p w:rsidR="00EA568F" w:rsidRPr="002D3C2C" w:rsidRDefault="00EA568F" w:rsidP="00D1521D">
      <w:pPr>
        <w:spacing w:line="360" w:lineRule="auto"/>
        <w:jc w:val="both"/>
        <w:rPr>
          <w:rFonts w:ascii="Calibri" w:hAnsi="Calibri"/>
          <w:sz w:val="22"/>
          <w:szCs w:val="22"/>
          <w:lang w:val="nl-NL"/>
        </w:rPr>
      </w:pPr>
      <w:r w:rsidRPr="002D3C2C">
        <w:rPr>
          <w:rFonts w:ascii="Calibri" w:hAnsi="Calibri"/>
          <w:sz w:val="22"/>
          <w:szCs w:val="22"/>
          <w:lang w:val="nl-NL"/>
        </w:rPr>
        <w:t xml:space="preserve">Wellicht een nieuwe mogelijkheid om af te stemmen zal het ontwerpen van een leasecontract in een servicecontract zijn. De servicebetalingen worden niet gepassiveerd op de balans en hierdoor zal de verplichtingen lager worden bij de lessee. Onder IAS 17 was dit echter ook mogelijk bij een financiële lease. Zoals is beschreven in deze scriptie waren er toen nog veel meer mogelijkheden. In de nieuwe standaard wordt dit één van de weinige mogelijkheden en zal dan meer gebruikt kunnen gaan worden. Ook hier zal de accountant een belangrijke rol moeten gaan vervullen. </w:t>
      </w:r>
    </w:p>
    <w:p w:rsidR="00EA568F" w:rsidRPr="002D3C2C" w:rsidRDefault="00EA568F" w:rsidP="003F27DB">
      <w:pPr>
        <w:spacing w:line="360" w:lineRule="auto"/>
        <w:jc w:val="both"/>
        <w:rPr>
          <w:rFonts w:ascii="Calibri" w:hAnsi="Calibri"/>
          <w:sz w:val="22"/>
          <w:szCs w:val="22"/>
          <w:lang w:val="nl-NL"/>
        </w:rPr>
      </w:pPr>
    </w:p>
    <w:p w:rsidR="00EA568F" w:rsidRPr="00995F55" w:rsidRDefault="00EA568F" w:rsidP="00882DFE">
      <w:pPr>
        <w:pStyle w:val="Heading1"/>
        <w:rPr>
          <w:rFonts w:ascii="Calibri" w:hAnsi="Calibri"/>
          <w:color w:val="003471"/>
          <w:sz w:val="28"/>
          <w:szCs w:val="28"/>
          <w:lang w:val="nl-NL"/>
        </w:rPr>
      </w:pPr>
      <w:r w:rsidRPr="002D3C2C">
        <w:rPr>
          <w:lang w:val="nl-NL"/>
        </w:rPr>
        <w:br w:type="page"/>
      </w:r>
      <w:bookmarkStart w:id="60" w:name="_Toc265327731"/>
      <w:r w:rsidRPr="00995F55">
        <w:rPr>
          <w:rFonts w:ascii="Calibri" w:hAnsi="Calibri"/>
          <w:color w:val="003471"/>
          <w:sz w:val="28"/>
          <w:szCs w:val="28"/>
          <w:lang w:val="nl-NL"/>
        </w:rPr>
        <w:t xml:space="preserve">7. </w:t>
      </w:r>
      <w:r w:rsidRPr="008648FA">
        <w:rPr>
          <w:rFonts w:ascii="Calibri" w:hAnsi="Calibri"/>
          <w:color w:val="003471"/>
          <w:sz w:val="28"/>
          <w:szCs w:val="28"/>
          <w:lang w:val="nl-NL"/>
        </w:rPr>
        <w:t>Samenvatting</w:t>
      </w:r>
      <w:r w:rsidRPr="00995F55">
        <w:rPr>
          <w:rFonts w:ascii="Calibri" w:hAnsi="Calibri"/>
          <w:color w:val="003471"/>
          <w:sz w:val="28"/>
          <w:szCs w:val="28"/>
          <w:lang w:val="nl-NL"/>
        </w:rPr>
        <w:t xml:space="preserve"> en conclusie</w:t>
      </w:r>
      <w:bookmarkEnd w:id="60"/>
    </w:p>
    <w:p w:rsidR="00EA568F" w:rsidRPr="002D3C2C" w:rsidRDefault="00EA568F" w:rsidP="006E03A8">
      <w:pPr>
        <w:spacing w:line="360" w:lineRule="auto"/>
        <w:jc w:val="both"/>
        <w:rPr>
          <w:rFonts w:ascii="Calibri" w:hAnsi="Calibri"/>
          <w:sz w:val="22"/>
          <w:szCs w:val="22"/>
          <w:lang w:val="nl-NL"/>
        </w:rPr>
      </w:pPr>
    </w:p>
    <w:p w:rsidR="00EA568F" w:rsidRPr="002D3C2C" w:rsidRDefault="00EA568F" w:rsidP="006E03A8">
      <w:pPr>
        <w:spacing w:line="360" w:lineRule="auto"/>
        <w:jc w:val="both"/>
        <w:rPr>
          <w:rFonts w:ascii="Calibri" w:hAnsi="Calibri"/>
          <w:sz w:val="22"/>
          <w:szCs w:val="22"/>
          <w:lang w:val="nl-NL"/>
        </w:rPr>
      </w:pPr>
      <w:r w:rsidRPr="002D3C2C">
        <w:rPr>
          <w:rFonts w:ascii="Calibri" w:hAnsi="Calibri"/>
          <w:sz w:val="22"/>
          <w:szCs w:val="22"/>
          <w:lang w:val="nl-NL"/>
        </w:rPr>
        <w:t xml:space="preserve">In de huidige lease accounting standaard IAS 17 zit enige mate van subjectiviteit. Het onderscheid tussen financiële en operationele lease is hier een voorbeeld van. Voor het classificeren van leases worden geen kwantitatieve maatstaven gevraagd. Hierdoor zijn er geen exacte richtlijnen wanneer een lease financieel of operationeel is. De RJ maakt deze richtlijnen wel kwantificeerbaar. Van deze richtlijnen wordt handig gebruik gemaakt door bedrijven. De ‘off balance’ financiering van operationele leasecontracten zorgt voor betere financiële ratio’s en is een prikkel voor managers om te zorgen dat leasecontracten ‘off balance’ komen. Binnen IAS 17 bestaat de mogelijkheid leasecontracten zo af te stemmen dat ze ‘off balance’ komen. </w:t>
      </w:r>
    </w:p>
    <w:p w:rsidR="00EA568F" w:rsidRPr="008648FA" w:rsidRDefault="00EA568F" w:rsidP="006E03A8">
      <w:pPr>
        <w:spacing w:line="360" w:lineRule="auto"/>
        <w:jc w:val="both"/>
        <w:rPr>
          <w:rFonts w:ascii="Calibri" w:hAnsi="Calibri"/>
          <w:i/>
          <w:sz w:val="22"/>
          <w:szCs w:val="22"/>
          <w:lang w:val="nl-NL"/>
        </w:rPr>
      </w:pPr>
      <w:r w:rsidRPr="002D3C2C">
        <w:rPr>
          <w:rFonts w:ascii="Calibri" w:hAnsi="Calibri"/>
          <w:sz w:val="22"/>
          <w:szCs w:val="22"/>
          <w:lang w:val="nl-NL"/>
        </w:rPr>
        <w:t xml:space="preserve">De IASB vond samen met de FASB dat de mogelijkheid om af te stemmen een reëel beeld van de financiële positie en prestatie van een onderneming ondermijnt. Het voorstel is om de huidige IAS 17 te vervangen door een nieuwe standaard om zo de vergelijkbaarheid tussen bedrijven te vergroten en het afstemmen te verminderen. </w:t>
      </w:r>
      <w:r w:rsidRPr="008648FA">
        <w:rPr>
          <w:rFonts w:ascii="Calibri" w:hAnsi="Calibri"/>
          <w:sz w:val="22"/>
          <w:szCs w:val="22"/>
          <w:lang w:val="nl-NL"/>
        </w:rPr>
        <w:t xml:space="preserve">In deze scriptie wordt onderzocht of de mogelijkheid tot afstemmen van leasecontracten daadwerkelijk wordt verminderd. De centrale probleemstelling van deze scriptie luidde: </w:t>
      </w:r>
      <w:r w:rsidRPr="008648FA">
        <w:rPr>
          <w:rFonts w:ascii="Calibri" w:hAnsi="Calibri"/>
          <w:i/>
          <w:sz w:val="22"/>
          <w:szCs w:val="22"/>
          <w:lang w:val="nl-NL"/>
        </w:rPr>
        <w:t xml:space="preserve">Zal het doel van de nieuwe lease accounting standaard, met betrekking tot het afstemmen van leasecontracten, worden bereikt? </w:t>
      </w:r>
    </w:p>
    <w:p w:rsidR="00EA568F" w:rsidRPr="002D3C2C" w:rsidRDefault="00EA568F" w:rsidP="006E03A8">
      <w:pPr>
        <w:spacing w:line="360" w:lineRule="auto"/>
        <w:jc w:val="both"/>
        <w:rPr>
          <w:rFonts w:ascii="Calibri" w:hAnsi="Calibri"/>
          <w:sz w:val="22"/>
          <w:szCs w:val="22"/>
          <w:lang w:val="nl-NL"/>
        </w:rPr>
      </w:pPr>
      <w:r w:rsidRPr="008648FA">
        <w:rPr>
          <w:rFonts w:ascii="Calibri" w:hAnsi="Calibri"/>
          <w:sz w:val="22"/>
          <w:szCs w:val="22"/>
          <w:lang w:val="nl-NL"/>
        </w:rPr>
        <w:t>De beantwoording van de centrale probleemstelling gebeurt door middel van de beantwoording van vijf deelvragen. Deze deelvragen zijn in afzonderlijke hoofdstukken beantwoord. In hoofdstuk 2 is beschreven hoe IAS 17 wordt toegepast in de jaarrekening. In IAS 17 is de ‘risks and rewards’ benadering van toepassing, waardoor financiële leasecontracten moeten worden verantwoord op de balans en operationele leasecontracten niet. In hoofdstuk 3 is toegelicht welke mogelijkheden er bestaan om contracten af te stemmen onder IAS 17 om een lagere of geen verplichting te hoeven verantwoorden op de balans. De mogelijkheden waren het afstemmen van de leasetermijnen, de economische levensduur, de reële waarde en de looptijd. In hoofdstuk 4 is beschreven hoe de voorgestelde lease accounting standaard toegepast moet worden. Bij de nieuwe standaard wordt uitgegaan van de ‘right to use’ benadering. Deze benadering impliceert dat alle leasecontracten worden verantwoord op de balans. In hoofdstuk 5 zijn de effecten van de nieuwe standaard besproken. De nieuwe lease accounting standaard heeft negatieve effecten op de solvabiliteitsratio en de ROA, maar een positief effect op de EBITDA. Daarnaast heeft het negatieve gevolgen op de kredietwaardigheid van ondernemingen en de aandelenkoers. In hoofdstuk 6 zijn de mogelijkheden tot afstemmen van leasecontracten onder de voorgestelde standaard onderzocht.</w:t>
      </w:r>
      <w:r w:rsidRPr="002D3C2C">
        <w:rPr>
          <w:rFonts w:ascii="Calibri" w:hAnsi="Calibri"/>
          <w:sz w:val="22"/>
          <w:szCs w:val="22"/>
          <w:lang w:val="nl-NL"/>
        </w:rPr>
        <w:t xml:space="preserve"> Hieruit blijkt dat de mogelijkheden om af te stemmen inderdaad worden verminderd, uitgaande van de nieuwe standaard die is beschreven in hoofdstuk 4. De oude mogelijkheden van reële waarde en economische levensduur verdwijnen, doordat deze begrippen bij de nieuwe lease accounting standaard geen rol meer gaan spelen. De looptijd zal anders worden vastgesteld. In de nieuwe standaard wordt ook de verlengingsoptie in ogenschouw genomen. Hierdoor zal een manager slechts invloed op de waarschijnlijkheid van de uitoefening van de verlengingsoptie hebben. Echter zal de accountant de waarschijnlijkheid vaststellen en de looptijd bepalen. De accountant zal ook een belangrijke rol gaan spelen in het bepalen welke verdisconteringvoet de lessee hanteert. De manager kan minder invloed uitoefenen op de samenstelling van de leasetermijnen. Echter kan de lessor dit wel gaan doen. Afstemmen van het leasecontract wordt voor de lessor dan wel gunstig. Een mogelijkheid om af te stemmen die onder de nieuwe lease accounting standaard blijft bestaan is leasecontracten vormgeven als servicecontracten. Deze contracten hoeven niet op de balans verantwoord te worden. </w:t>
      </w:r>
    </w:p>
    <w:p w:rsidR="00EA568F" w:rsidRPr="002D3C2C" w:rsidRDefault="00EA568F" w:rsidP="006E03A8">
      <w:pPr>
        <w:spacing w:line="360" w:lineRule="auto"/>
        <w:jc w:val="both"/>
        <w:rPr>
          <w:rFonts w:ascii="Calibri" w:hAnsi="Calibri"/>
          <w:sz w:val="22"/>
          <w:szCs w:val="22"/>
          <w:lang w:val="nl-NL"/>
        </w:rPr>
      </w:pPr>
      <w:r w:rsidRPr="002D3C2C">
        <w:rPr>
          <w:rFonts w:ascii="Calibri" w:hAnsi="Calibri"/>
          <w:sz w:val="22"/>
          <w:szCs w:val="22"/>
          <w:lang w:val="nl-NL"/>
        </w:rPr>
        <w:t xml:space="preserve">Om de mogelijkheden om af te stemmen zo klein mogelijk te maken is er een belangrijke rol voor de accountant weggelegd. Voorheen konden lessor en lessee afspraken maken over bepaalde voorwaarden. Met de nieuwe standaard wordt alles meer getoetst aan de economische realiteit. De vaststelling van de verdisconteringvoet van de lessee en leasecontracten onderscheiden van servicecontracten zijn hier voorbeelden van. </w:t>
      </w:r>
    </w:p>
    <w:p w:rsidR="00EA568F" w:rsidRDefault="00EA568F" w:rsidP="006E03A8">
      <w:pPr>
        <w:spacing w:line="360" w:lineRule="auto"/>
        <w:jc w:val="both"/>
        <w:rPr>
          <w:rFonts w:ascii="Calibri" w:hAnsi="Calibri"/>
          <w:sz w:val="22"/>
          <w:szCs w:val="22"/>
          <w:lang w:val="nl-NL"/>
        </w:rPr>
      </w:pPr>
      <w:r w:rsidRPr="002D3C2C">
        <w:rPr>
          <w:rFonts w:ascii="Calibri" w:hAnsi="Calibri"/>
          <w:sz w:val="22"/>
          <w:szCs w:val="22"/>
          <w:lang w:val="nl-NL"/>
        </w:rPr>
        <w:t xml:space="preserve">De ‘right to use’ benadering gaat meer uit van principes dan de ‘risks and rewards’ benadering. De laatstgenoemde benadering gaat meer uit van regels, zoals de indicatoren voor het classificeren van leasecontracten. Mensen hebben de neiging om de regels te omzeilen. Met een meer ‘principles based’ benadering wordt dit toch moeilijker en zullen de mogelijkheden tot afstemmen verminderd worden. </w:t>
      </w:r>
    </w:p>
    <w:p w:rsidR="00EA568F" w:rsidRPr="002D3C2C" w:rsidRDefault="00EA568F" w:rsidP="006E03A8">
      <w:pPr>
        <w:spacing w:line="360" w:lineRule="auto"/>
        <w:jc w:val="both"/>
        <w:rPr>
          <w:rFonts w:ascii="Calibri" w:hAnsi="Calibri"/>
          <w:sz w:val="22"/>
          <w:szCs w:val="22"/>
          <w:lang w:val="nl-NL"/>
        </w:rPr>
      </w:pPr>
      <w:r w:rsidRPr="002D3C2C">
        <w:rPr>
          <w:rFonts w:ascii="Calibri" w:hAnsi="Calibri"/>
          <w:sz w:val="22"/>
          <w:szCs w:val="22"/>
          <w:lang w:val="nl-NL"/>
        </w:rPr>
        <w:t xml:space="preserve">Geconcludeerd kan worden dat de mogelijkheid tot het afstemmen van leasecontracten onder de nieuwe standaard aanzienlijk verminderd zal worden. Het doel van de IASB en de FASB met de introductie van de nieuwe lease accounting standaard wordt hiermee bereikt. </w:t>
      </w:r>
    </w:p>
    <w:p w:rsidR="00EA568F" w:rsidRPr="002D3C2C" w:rsidRDefault="00EA568F" w:rsidP="003F27DB">
      <w:pPr>
        <w:spacing w:line="360" w:lineRule="auto"/>
        <w:jc w:val="both"/>
        <w:rPr>
          <w:rFonts w:ascii="Calibri" w:hAnsi="Calibri"/>
          <w:sz w:val="22"/>
          <w:szCs w:val="22"/>
          <w:lang w:val="nl-NL"/>
        </w:rPr>
      </w:pPr>
    </w:p>
    <w:p w:rsidR="00EA568F" w:rsidRPr="00995F55" w:rsidRDefault="00EA568F" w:rsidP="00882DFE">
      <w:pPr>
        <w:pStyle w:val="Heading1"/>
        <w:rPr>
          <w:rFonts w:ascii="Calibri" w:hAnsi="Calibri"/>
          <w:color w:val="003471"/>
          <w:sz w:val="28"/>
          <w:szCs w:val="28"/>
          <w:lang w:val="nl-NL"/>
        </w:rPr>
      </w:pPr>
      <w:r w:rsidRPr="002D3C2C">
        <w:rPr>
          <w:lang w:val="nl-NL"/>
        </w:rPr>
        <w:br w:type="page"/>
      </w:r>
      <w:bookmarkStart w:id="61" w:name="_Toc265327732"/>
      <w:r w:rsidRPr="00995F55">
        <w:rPr>
          <w:rFonts w:ascii="Calibri" w:hAnsi="Calibri"/>
          <w:color w:val="003471"/>
          <w:sz w:val="28"/>
          <w:szCs w:val="28"/>
          <w:lang w:val="nl-NL"/>
        </w:rPr>
        <w:t>8. Tekortkomingen en suggesties</w:t>
      </w:r>
      <w:bookmarkEnd w:id="61"/>
    </w:p>
    <w:p w:rsidR="00EA568F" w:rsidRPr="002D3C2C" w:rsidRDefault="00EA568F" w:rsidP="003F27DB">
      <w:pPr>
        <w:spacing w:line="360" w:lineRule="auto"/>
        <w:jc w:val="both"/>
        <w:rPr>
          <w:rFonts w:ascii="Calibri" w:hAnsi="Calibri"/>
          <w:sz w:val="22"/>
          <w:szCs w:val="22"/>
          <w:lang w:val="nl-NL"/>
        </w:rPr>
      </w:pPr>
    </w:p>
    <w:p w:rsidR="00EA568F" w:rsidRDefault="00EA568F" w:rsidP="00882DFE">
      <w:pPr>
        <w:pStyle w:val="Heading2"/>
        <w:rPr>
          <w:rFonts w:ascii="Calibri" w:hAnsi="Calibri"/>
          <w:sz w:val="24"/>
          <w:szCs w:val="24"/>
          <w:lang w:val="nl-NL"/>
        </w:rPr>
      </w:pPr>
      <w:bookmarkStart w:id="62" w:name="_Toc265327733"/>
      <w:r w:rsidRPr="00882DFE">
        <w:rPr>
          <w:rFonts w:ascii="Calibri" w:hAnsi="Calibri"/>
          <w:sz w:val="24"/>
          <w:szCs w:val="24"/>
          <w:lang w:val="nl-NL"/>
        </w:rPr>
        <w:t>8.1 Tekortkomingen van dit onderzoek</w:t>
      </w:r>
      <w:bookmarkEnd w:id="62"/>
    </w:p>
    <w:p w:rsidR="00EA568F" w:rsidRPr="00882DFE" w:rsidRDefault="00EA568F" w:rsidP="00882DFE">
      <w:pPr>
        <w:rPr>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 xml:space="preserve">Zoals ieder ander onderzoek heeft ook dit onderzoek zijn beperkingen. Het onderzoek in deze scriptie is gebaseerd op een literatuuronderzoek. Er is geen empirisch onderzoek verricht. </w:t>
      </w: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 xml:space="preserve">Daarnaast is er weinig bekend in welke mate leasecontracten daadwerkelijk worden afgestemd. Bedrijven lopen niet te koop met informatie over het afstemmen van contracten, waardoor er weinig beschikbare informatie is. In deze scriptie is wel duidelijk geworden dat de mogelijkheden hiertoe bestaan en wat deze mogelijkheden inhouden. </w:t>
      </w: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Tot slot is er op het moment van schrijven van deze scriptie nog geen exposure draft uitgebracht door de IASB en de FASB over de nieuwe lease accounting standaard. Het is dus nog onzeker hoe de nieuwe standaard er precies uit komt te zien. In deze scriptie is gebruik gemaakt van de meest recente informatie betreffende deze standaard, waardoor er een zo goed mogelijk beeld wordt gevormd.</w:t>
      </w:r>
    </w:p>
    <w:p w:rsidR="00EA568F" w:rsidRPr="002D3C2C" w:rsidRDefault="00EA568F" w:rsidP="003F27DB">
      <w:pPr>
        <w:spacing w:line="360" w:lineRule="auto"/>
        <w:jc w:val="both"/>
        <w:rPr>
          <w:rFonts w:ascii="Calibri" w:hAnsi="Calibri"/>
          <w:sz w:val="22"/>
          <w:szCs w:val="22"/>
          <w:lang w:val="nl-NL"/>
        </w:rPr>
      </w:pPr>
    </w:p>
    <w:p w:rsidR="00EA568F" w:rsidRDefault="00EA568F" w:rsidP="00882DFE">
      <w:pPr>
        <w:pStyle w:val="Heading2"/>
        <w:rPr>
          <w:rFonts w:ascii="Calibri" w:hAnsi="Calibri"/>
          <w:sz w:val="24"/>
          <w:szCs w:val="24"/>
          <w:lang w:val="nl-NL"/>
        </w:rPr>
      </w:pPr>
      <w:bookmarkStart w:id="63" w:name="_Toc265327734"/>
      <w:r w:rsidRPr="00882DFE">
        <w:rPr>
          <w:rFonts w:ascii="Calibri" w:hAnsi="Calibri"/>
          <w:sz w:val="24"/>
          <w:szCs w:val="24"/>
          <w:lang w:val="nl-NL"/>
        </w:rPr>
        <w:t>8.2 Suggesties voor verder onderzoek</w:t>
      </w:r>
      <w:bookmarkEnd w:id="63"/>
    </w:p>
    <w:p w:rsidR="00EA568F" w:rsidRPr="00882DFE" w:rsidRDefault="00EA568F" w:rsidP="00882DFE">
      <w:pPr>
        <w:rPr>
          <w:lang w:val="nl-NL"/>
        </w:rPr>
      </w:pP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 xml:space="preserve">De exposure draft is nog niet uitgegeven op het moment van schrijven en de IFRS-standaard zal waarschijnlijk in 2011 uitgebracht worden. Als er een beter beeld van de nieuwe standaard is of wanneer de nieuwe standaard van kracht is, kan er empirisch onderzoek worden verricht naar de impacts op financiële ratio’s. </w:t>
      </w: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 xml:space="preserve">Een andere suggestie is het doen van meer onderzoek naar de invloed van de nieuwe lease accounting standaard op bepaalde groepen investeerders. </w:t>
      </w:r>
    </w:p>
    <w:p w:rsidR="00EA568F" w:rsidRPr="002D3C2C" w:rsidRDefault="00EA568F" w:rsidP="003F27DB">
      <w:pPr>
        <w:spacing w:line="360" w:lineRule="auto"/>
        <w:jc w:val="both"/>
        <w:rPr>
          <w:rFonts w:ascii="Calibri" w:hAnsi="Calibri"/>
          <w:sz w:val="22"/>
          <w:szCs w:val="22"/>
          <w:lang w:val="nl-NL"/>
        </w:rPr>
      </w:pPr>
      <w:r w:rsidRPr="002D3C2C">
        <w:rPr>
          <w:rFonts w:ascii="Calibri" w:hAnsi="Calibri"/>
          <w:sz w:val="22"/>
          <w:szCs w:val="22"/>
          <w:lang w:val="nl-NL"/>
        </w:rPr>
        <w:t>Er is weinig informatie beschikbaar over het afstemmen van contracten. Ondanks de hoge barrières van bedrijven in het vrijgeven van informatie hierover kan het van waarde zijn om hier onderzoek naar te doen.</w:t>
      </w:r>
    </w:p>
    <w:p w:rsidR="00EA568F" w:rsidRPr="002D3C2C" w:rsidRDefault="00EA568F" w:rsidP="003F27DB">
      <w:pPr>
        <w:spacing w:line="360" w:lineRule="auto"/>
        <w:jc w:val="both"/>
        <w:rPr>
          <w:rFonts w:ascii="Calibri" w:hAnsi="Calibri"/>
          <w:sz w:val="22"/>
          <w:szCs w:val="22"/>
          <w:lang w:val="nl-NL"/>
        </w:rPr>
      </w:pPr>
    </w:p>
    <w:p w:rsidR="00EA568F" w:rsidRPr="00995F55" w:rsidRDefault="00EA568F" w:rsidP="00B64D24">
      <w:pPr>
        <w:pStyle w:val="Heading1"/>
        <w:spacing w:line="360" w:lineRule="auto"/>
        <w:rPr>
          <w:rFonts w:ascii="Calibri" w:hAnsi="Calibri"/>
          <w:color w:val="003471"/>
          <w:sz w:val="28"/>
          <w:szCs w:val="28"/>
          <w:lang w:val="nl-NL"/>
        </w:rPr>
      </w:pPr>
      <w:r w:rsidRPr="006B16C9">
        <w:rPr>
          <w:lang w:val="nl-NL"/>
        </w:rPr>
        <w:br w:type="page"/>
      </w:r>
      <w:bookmarkStart w:id="64" w:name="_Toc265327735"/>
      <w:r w:rsidRPr="00995F55">
        <w:rPr>
          <w:rFonts w:ascii="Calibri" w:hAnsi="Calibri"/>
          <w:color w:val="003471"/>
          <w:sz w:val="28"/>
          <w:szCs w:val="28"/>
          <w:lang w:val="nl-NL"/>
        </w:rPr>
        <w:t>9. Bibliografie</w:t>
      </w:r>
      <w:bookmarkEnd w:id="64"/>
    </w:p>
    <w:p w:rsidR="00EA568F" w:rsidRPr="006B16C9" w:rsidRDefault="00EA568F" w:rsidP="00B64D24">
      <w:pPr>
        <w:spacing w:line="360" w:lineRule="auto"/>
        <w:rPr>
          <w:rFonts w:ascii="Calibri" w:hAnsi="Calibri"/>
          <w:sz w:val="22"/>
          <w:szCs w:val="22"/>
          <w:lang w:val="nl-NL"/>
        </w:rPr>
      </w:pPr>
    </w:p>
    <w:p w:rsidR="00EA568F" w:rsidRDefault="00EA568F" w:rsidP="00A439F9">
      <w:pPr>
        <w:spacing w:line="360" w:lineRule="auto"/>
        <w:ind w:left="709" w:hanging="709"/>
        <w:rPr>
          <w:rFonts w:ascii="Calibri" w:hAnsi="Calibri"/>
          <w:sz w:val="22"/>
          <w:szCs w:val="22"/>
          <w:lang w:val="nl-NL"/>
        </w:rPr>
      </w:pPr>
      <w:r w:rsidRPr="002C7995">
        <w:rPr>
          <w:rFonts w:ascii="Calibri" w:hAnsi="Calibri"/>
          <w:sz w:val="22"/>
          <w:szCs w:val="22"/>
          <w:lang w:val="nl-NL"/>
        </w:rPr>
        <w:t xml:space="preserve">Arnold, C., Bergwerff, K., Eeftink, E., De Feijter, R., Holla, J., Hoogcarspel, E., Koster, W., Van Der Kuij-Groenberg, K., Smorenburg, P., Versteeg, F. (2009). </w:t>
      </w:r>
      <w:r w:rsidRPr="002C7995">
        <w:rPr>
          <w:rFonts w:ascii="Calibri" w:hAnsi="Calibri"/>
          <w:i/>
          <w:sz w:val="22"/>
          <w:szCs w:val="22"/>
          <w:lang w:val="nl-NL"/>
        </w:rPr>
        <w:t>KPMG Jaarboek Externe Verslaggeving</w:t>
      </w:r>
      <w:r w:rsidRPr="002C7995">
        <w:rPr>
          <w:rFonts w:ascii="Calibri" w:hAnsi="Calibri"/>
          <w:sz w:val="22"/>
          <w:szCs w:val="22"/>
          <w:lang w:val="nl-NL"/>
        </w:rPr>
        <w:t>. Amstelveen: Kluwer.</w:t>
      </w:r>
    </w:p>
    <w:p w:rsidR="00EA568F" w:rsidRDefault="00EA568F" w:rsidP="00A439F9">
      <w:pPr>
        <w:pStyle w:val="Default"/>
        <w:spacing w:line="360" w:lineRule="auto"/>
        <w:ind w:left="709" w:hanging="709"/>
        <w:rPr>
          <w:rFonts w:ascii="Calibri" w:hAnsi="Calibri"/>
          <w:sz w:val="22"/>
          <w:szCs w:val="22"/>
        </w:rPr>
      </w:pPr>
      <w:r w:rsidRPr="00A439F9">
        <w:rPr>
          <w:rFonts w:ascii="Calibri" w:hAnsi="Calibri"/>
          <w:sz w:val="22"/>
          <w:szCs w:val="22"/>
          <w:lang w:val="nl-NL"/>
        </w:rPr>
        <w:t>Beattie, V., Goodacre, A. &amp; Thomson, S.J. (2006).</w:t>
      </w:r>
      <w:r w:rsidRPr="00A439F9">
        <w:rPr>
          <w:rFonts w:ascii="Calibri" w:hAnsi="Calibri"/>
          <w:color w:val="313131"/>
          <w:sz w:val="22"/>
          <w:szCs w:val="22"/>
          <w:lang w:val="nl-NL"/>
        </w:rPr>
        <w:t xml:space="preserve"> </w:t>
      </w:r>
      <w:r w:rsidRPr="002C7995">
        <w:rPr>
          <w:rFonts w:ascii="Calibri" w:hAnsi="Calibri"/>
          <w:color w:val="auto"/>
          <w:sz w:val="22"/>
          <w:szCs w:val="22"/>
        </w:rPr>
        <w:t>‘</w:t>
      </w:r>
      <w:r w:rsidRPr="002C7995">
        <w:rPr>
          <w:rFonts w:ascii="Calibri" w:hAnsi="Calibri"/>
          <w:sz w:val="22"/>
          <w:szCs w:val="22"/>
        </w:rPr>
        <w:t xml:space="preserve">International lease accounting reform and economic consequences: the views of UK users and preparers.’ </w:t>
      </w:r>
      <w:r w:rsidRPr="002C7995">
        <w:rPr>
          <w:rFonts w:ascii="Calibri" w:hAnsi="Calibri"/>
          <w:i/>
          <w:sz w:val="22"/>
          <w:szCs w:val="22"/>
        </w:rPr>
        <w:t>International journal of accounting</w:t>
      </w:r>
      <w:r w:rsidRPr="002C7995">
        <w:rPr>
          <w:rFonts w:ascii="Calibri" w:hAnsi="Calibri"/>
          <w:sz w:val="22"/>
          <w:szCs w:val="22"/>
        </w:rPr>
        <w:t>, 41(1), 75-103.</w:t>
      </w:r>
    </w:p>
    <w:p w:rsidR="00EA568F" w:rsidRPr="00FC1571" w:rsidRDefault="00EA568F" w:rsidP="00A439F9">
      <w:pPr>
        <w:spacing w:line="360" w:lineRule="auto"/>
        <w:ind w:left="709" w:hanging="709"/>
        <w:rPr>
          <w:rFonts w:ascii="Calibri" w:hAnsi="Calibri"/>
          <w:sz w:val="22"/>
          <w:szCs w:val="22"/>
        </w:rPr>
      </w:pPr>
      <w:r w:rsidRPr="002C7995">
        <w:rPr>
          <w:rFonts w:ascii="Calibri" w:hAnsi="Calibri"/>
          <w:sz w:val="22"/>
          <w:szCs w:val="22"/>
        </w:rPr>
        <w:t>Bennett, B.K. &amp; Bradbury, M.E. (2003). ‘Capitalizing non-cancelable operating leases.’</w:t>
      </w:r>
      <w:r w:rsidRPr="002C7995">
        <w:rPr>
          <w:rFonts w:ascii="Calibri" w:hAnsi="Calibri"/>
          <w:b/>
          <w:sz w:val="22"/>
          <w:szCs w:val="22"/>
        </w:rPr>
        <w:t xml:space="preserve"> </w:t>
      </w:r>
      <w:r w:rsidRPr="002C7995">
        <w:rPr>
          <w:rFonts w:ascii="Calibri" w:hAnsi="Calibri"/>
          <w:i/>
          <w:sz w:val="22"/>
          <w:szCs w:val="22"/>
        </w:rPr>
        <w:t>Journal of International Financial Management and Accounting</w:t>
      </w:r>
      <w:r w:rsidRPr="002C7995">
        <w:rPr>
          <w:rFonts w:ascii="Calibri" w:hAnsi="Calibri"/>
          <w:sz w:val="22"/>
          <w:szCs w:val="22"/>
        </w:rPr>
        <w:t>, 14(2), 101-114.</w:t>
      </w:r>
    </w:p>
    <w:p w:rsidR="00EA568F" w:rsidRPr="002C7995" w:rsidRDefault="00EA568F" w:rsidP="00A439F9">
      <w:pPr>
        <w:spacing w:line="360" w:lineRule="auto"/>
        <w:ind w:left="709" w:hanging="709"/>
        <w:rPr>
          <w:rFonts w:ascii="Calibri" w:hAnsi="Calibri"/>
          <w:sz w:val="22"/>
          <w:szCs w:val="22"/>
          <w:lang w:val="nl-NL"/>
        </w:rPr>
      </w:pPr>
      <w:r w:rsidRPr="002C7995">
        <w:rPr>
          <w:rFonts w:ascii="Calibri" w:hAnsi="Calibri"/>
          <w:sz w:val="22"/>
          <w:szCs w:val="22"/>
        </w:rPr>
        <w:t xml:space="preserve">Bloom, R. &amp; Cenker, W.J. (2009). ‘Comparing Accounting and Taxation for Leases.’ </w:t>
      </w:r>
      <w:r w:rsidRPr="002C7995">
        <w:rPr>
          <w:rFonts w:ascii="Calibri" w:hAnsi="Calibri"/>
          <w:i/>
          <w:sz w:val="22"/>
          <w:szCs w:val="22"/>
          <w:lang w:val="nl-NL"/>
        </w:rPr>
        <w:t>The CPA Journal</w:t>
      </w:r>
      <w:r w:rsidRPr="002C7995">
        <w:rPr>
          <w:rFonts w:ascii="Calibri" w:hAnsi="Calibri"/>
          <w:sz w:val="22"/>
          <w:szCs w:val="22"/>
          <w:lang w:val="nl-NL"/>
        </w:rPr>
        <w:t>, april 2009, 40-42.</w:t>
      </w:r>
    </w:p>
    <w:p w:rsidR="00EA568F" w:rsidRDefault="00EA568F" w:rsidP="00A439F9">
      <w:pPr>
        <w:spacing w:line="360" w:lineRule="auto"/>
        <w:ind w:left="709" w:hanging="709"/>
        <w:rPr>
          <w:rFonts w:ascii="Calibri" w:hAnsi="Calibri"/>
          <w:sz w:val="22"/>
          <w:szCs w:val="22"/>
        </w:rPr>
      </w:pPr>
      <w:r w:rsidRPr="002C7995">
        <w:rPr>
          <w:rFonts w:ascii="Calibri" w:hAnsi="Calibri"/>
          <w:sz w:val="22"/>
          <w:szCs w:val="22"/>
          <w:lang w:val="nl-NL"/>
        </w:rPr>
        <w:t xml:space="preserve">Dekker, G. (2009). ‘Lease buiten de balans loopt op laatste benen.’ </w:t>
      </w:r>
      <w:r w:rsidRPr="002C7995">
        <w:rPr>
          <w:rFonts w:ascii="Calibri" w:hAnsi="Calibri"/>
          <w:i/>
          <w:sz w:val="22"/>
          <w:szCs w:val="22"/>
        </w:rPr>
        <w:t>De Accountant</w:t>
      </w:r>
      <w:r w:rsidRPr="002C7995">
        <w:rPr>
          <w:rFonts w:ascii="Calibri" w:hAnsi="Calibri"/>
          <w:sz w:val="22"/>
          <w:szCs w:val="22"/>
        </w:rPr>
        <w:t>, juli/augustus 2009, 30-33.</w:t>
      </w:r>
    </w:p>
    <w:p w:rsidR="00EA568F" w:rsidRPr="002C7995" w:rsidRDefault="00EA568F" w:rsidP="00A439F9">
      <w:pPr>
        <w:shd w:val="clear" w:color="auto" w:fill="FFFFFF"/>
        <w:spacing w:line="360" w:lineRule="auto"/>
        <w:ind w:left="709" w:hanging="709"/>
        <w:rPr>
          <w:rFonts w:ascii="Calibri" w:hAnsi="Calibri"/>
          <w:sz w:val="22"/>
          <w:szCs w:val="22"/>
        </w:rPr>
      </w:pPr>
      <w:r w:rsidRPr="002C7995">
        <w:rPr>
          <w:rFonts w:ascii="Calibri" w:hAnsi="Calibri"/>
          <w:bCs/>
          <w:sz w:val="22"/>
          <w:szCs w:val="22"/>
        </w:rPr>
        <w:t xml:space="preserve">Durocher, S. (2008). ‘Canadian Evidence on the Constructive Capitalization of Operating Leases.’ </w:t>
      </w:r>
      <w:r w:rsidRPr="002C7995">
        <w:rPr>
          <w:rFonts w:ascii="Calibri" w:hAnsi="Calibri"/>
          <w:bCs/>
          <w:i/>
          <w:sz w:val="22"/>
          <w:szCs w:val="22"/>
        </w:rPr>
        <w:t>Accounting Perspectives</w:t>
      </w:r>
      <w:r w:rsidRPr="002C7995">
        <w:rPr>
          <w:rFonts w:ascii="Calibri" w:hAnsi="Calibri"/>
          <w:bCs/>
          <w:sz w:val="22"/>
          <w:szCs w:val="22"/>
        </w:rPr>
        <w:t>, 7(3), 227-256.</w:t>
      </w:r>
    </w:p>
    <w:p w:rsidR="00EA568F" w:rsidRPr="002C7995" w:rsidRDefault="00EA568F" w:rsidP="00A439F9">
      <w:pPr>
        <w:shd w:val="clear" w:color="auto" w:fill="FFFFFF"/>
        <w:spacing w:line="360" w:lineRule="auto"/>
        <w:ind w:left="709" w:hanging="709"/>
        <w:rPr>
          <w:rFonts w:ascii="Calibri" w:hAnsi="Calibri"/>
          <w:bCs/>
          <w:sz w:val="22"/>
          <w:szCs w:val="22"/>
        </w:rPr>
      </w:pPr>
      <w:r w:rsidRPr="002C7995">
        <w:rPr>
          <w:rFonts w:ascii="Calibri" w:hAnsi="Calibri"/>
          <w:sz w:val="22"/>
          <w:szCs w:val="22"/>
        </w:rPr>
        <w:t>Durocher, S. &amp; Fortin, A. (2009). ‘</w:t>
      </w:r>
      <w:r w:rsidRPr="002C7995">
        <w:rPr>
          <w:rFonts w:ascii="Calibri" w:hAnsi="Calibri"/>
          <w:bCs/>
          <w:sz w:val="22"/>
          <w:szCs w:val="22"/>
        </w:rPr>
        <w:t>Proposed Changes in Lease Accounting and</w:t>
      </w:r>
    </w:p>
    <w:p w:rsidR="00EA568F" w:rsidRPr="002C7995" w:rsidRDefault="00EA568F" w:rsidP="00A439F9">
      <w:pPr>
        <w:shd w:val="clear" w:color="auto" w:fill="FFFFFF"/>
        <w:spacing w:line="360" w:lineRule="auto"/>
        <w:ind w:left="709" w:hanging="709"/>
        <w:rPr>
          <w:rFonts w:ascii="Calibri" w:hAnsi="Calibri"/>
          <w:sz w:val="22"/>
          <w:szCs w:val="22"/>
        </w:rPr>
      </w:pPr>
      <w:r w:rsidRPr="002C7995">
        <w:rPr>
          <w:rFonts w:ascii="Calibri" w:hAnsi="Calibri"/>
          <w:bCs/>
          <w:sz w:val="22"/>
          <w:szCs w:val="22"/>
        </w:rPr>
        <w:t xml:space="preserve">Private Business Bankers' Credit Decisions.’ </w:t>
      </w:r>
      <w:r w:rsidRPr="002C7995">
        <w:rPr>
          <w:rFonts w:ascii="Calibri" w:hAnsi="Calibri"/>
          <w:bCs/>
          <w:i/>
          <w:sz w:val="22"/>
          <w:szCs w:val="22"/>
        </w:rPr>
        <w:t>Accounting Perspectives</w:t>
      </w:r>
      <w:r w:rsidRPr="002C7995">
        <w:rPr>
          <w:rFonts w:ascii="Calibri" w:hAnsi="Calibri"/>
          <w:bCs/>
          <w:sz w:val="22"/>
          <w:szCs w:val="22"/>
        </w:rPr>
        <w:t>, 8(1), 9-42.</w:t>
      </w:r>
    </w:p>
    <w:p w:rsidR="00EA568F" w:rsidRPr="006B16C9" w:rsidRDefault="00EA568F" w:rsidP="00A439F9">
      <w:pPr>
        <w:shd w:val="clear" w:color="auto" w:fill="FFFFFF"/>
        <w:spacing w:line="360" w:lineRule="auto"/>
        <w:ind w:left="709" w:hanging="709"/>
        <w:rPr>
          <w:rFonts w:ascii="Calibri" w:hAnsi="Calibri"/>
          <w:sz w:val="22"/>
          <w:szCs w:val="22"/>
          <w:lang w:val="nl-NL"/>
        </w:rPr>
      </w:pPr>
      <w:r w:rsidRPr="002C7995">
        <w:rPr>
          <w:rFonts w:ascii="Calibri" w:hAnsi="Calibri"/>
          <w:sz w:val="22"/>
          <w:szCs w:val="22"/>
        </w:rPr>
        <w:t xml:space="preserve">El-Gazzar, S.M. (1993). ‘Stock Market Effects of the Closeness to Debt Covenant Restrictions Resulting from Capitalizationof Leases.’ </w:t>
      </w:r>
      <w:r w:rsidRPr="006B16C9">
        <w:rPr>
          <w:rFonts w:ascii="Calibri" w:hAnsi="Calibri"/>
          <w:i/>
          <w:sz w:val="22"/>
          <w:szCs w:val="22"/>
          <w:lang w:val="nl-NL"/>
        </w:rPr>
        <w:t>The Accounting Review</w:t>
      </w:r>
      <w:r w:rsidRPr="006B16C9">
        <w:rPr>
          <w:rFonts w:ascii="Calibri" w:hAnsi="Calibri"/>
          <w:sz w:val="22"/>
          <w:szCs w:val="22"/>
          <w:lang w:val="nl-NL"/>
        </w:rPr>
        <w:t>, 68(2), 258-272.</w:t>
      </w:r>
    </w:p>
    <w:p w:rsidR="00EA568F" w:rsidRPr="002C7995" w:rsidRDefault="00EA568F" w:rsidP="00A439F9">
      <w:pPr>
        <w:autoSpaceDE w:val="0"/>
        <w:autoSpaceDN w:val="0"/>
        <w:adjustRightInd w:val="0"/>
        <w:spacing w:line="360" w:lineRule="auto"/>
        <w:ind w:left="709" w:hanging="709"/>
        <w:rPr>
          <w:rFonts w:ascii="Calibri" w:hAnsi="Calibri"/>
          <w:sz w:val="22"/>
          <w:szCs w:val="22"/>
          <w:lang w:val="nl-NL"/>
        </w:rPr>
      </w:pPr>
      <w:r w:rsidRPr="002C7995">
        <w:rPr>
          <w:rFonts w:ascii="Calibri" w:hAnsi="Calibri"/>
          <w:sz w:val="22"/>
          <w:szCs w:val="22"/>
          <w:lang w:val="nl-NL"/>
        </w:rPr>
        <w:t xml:space="preserve">Europees Parlement en de Raad van de Europese Unie. (2002). ‘Verordening (EG) Nr. 1606/2002.’ </w:t>
      </w:r>
      <w:r w:rsidRPr="002C7995">
        <w:rPr>
          <w:rFonts w:ascii="Calibri" w:hAnsi="Calibri"/>
          <w:i/>
          <w:sz w:val="22"/>
          <w:szCs w:val="22"/>
          <w:lang w:val="nl-NL"/>
        </w:rPr>
        <w:t>Publicatie blad van de Europese Gemeenschappen</w:t>
      </w:r>
      <w:r w:rsidRPr="002C7995">
        <w:rPr>
          <w:rFonts w:ascii="Calibri" w:hAnsi="Calibri"/>
          <w:sz w:val="22"/>
          <w:szCs w:val="22"/>
          <w:lang w:val="nl-NL"/>
        </w:rPr>
        <w:t>, http://eur-lex.europa.eu/LexUriServ/LexUriServ.do?uri=OJ:L:2002:243:0001:0004:NL:PDF [04-05-2010].</w:t>
      </w:r>
    </w:p>
    <w:p w:rsidR="00EA568F" w:rsidRPr="002C7995" w:rsidRDefault="00EA568F" w:rsidP="00A439F9">
      <w:pPr>
        <w:shd w:val="clear" w:color="auto" w:fill="FFFFFF"/>
        <w:spacing w:line="360" w:lineRule="auto"/>
        <w:ind w:left="709" w:hanging="709"/>
        <w:rPr>
          <w:rFonts w:ascii="Calibri" w:hAnsi="Calibri"/>
          <w:b/>
          <w:sz w:val="22"/>
          <w:szCs w:val="22"/>
        </w:rPr>
      </w:pPr>
      <w:r w:rsidRPr="002C7995">
        <w:rPr>
          <w:rFonts w:ascii="Calibri" w:hAnsi="Calibri"/>
          <w:sz w:val="22"/>
          <w:szCs w:val="22"/>
        </w:rPr>
        <w:t>Goodacre, A. (2003). ‘Assessing the potential impact of lease accounting reform: A review of the empirical evidence.’</w:t>
      </w:r>
      <w:r w:rsidRPr="002C7995">
        <w:rPr>
          <w:rFonts w:ascii="Calibri" w:hAnsi="Calibri"/>
          <w:b/>
          <w:sz w:val="22"/>
          <w:szCs w:val="22"/>
        </w:rPr>
        <w:t xml:space="preserve"> </w:t>
      </w:r>
      <w:r w:rsidRPr="002C7995">
        <w:rPr>
          <w:rFonts w:ascii="Calibri" w:hAnsi="Calibri"/>
          <w:i/>
          <w:sz w:val="22"/>
          <w:szCs w:val="22"/>
        </w:rPr>
        <w:t>Journal of Property Research</w:t>
      </w:r>
      <w:r w:rsidRPr="002C7995">
        <w:rPr>
          <w:rFonts w:ascii="Calibri" w:hAnsi="Calibri"/>
          <w:sz w:val="22"/>
          <w:szCs w:val="22"/>
        </w:rPr>
        <w:t>, 20(1), 49-66.</w:t>
      </w:r>
    </w:p>
    <w:p w:rsidR="00EA568F" w:rsidRPr="002C7995" w:rsidRDefault="00EA568F" w:rsidP="00A439F9">
      <w:pPr>
        <w:pStyle w:val="FootnoteText"/>
        <w:spacing w:line="360" w:lineRule="auto"/>
        <w:ind w:left="709" w:hanging="709"/>
        <w:rPr>
          <w:rFonts w:ascii="Calibri" w:hAnsi="Calibri"/>
          <w:sz w:val="22"/>
          <w:szCs w:val="22"/>
        </w:rPr>
      </w:pPr>
      <w:r w:rsidRPr="002C7995">
        <w:rPr>
          <w:rFonts w:ascii="Calibri" w:hAnsi="Calibri"/>
          <w:sz w:val="22"/>
          <w:szCs w:val="22"/>
        </w:rPr>
        <w:t>International Accounting Standards Board. (2009). ‘Discussion Paper Leases Preliminary Views’, http://www.iasb.org/NR/rdonlyres/FF3A33DB-E40D-4125-9ABD-9AF51EB92627/0/DPLeasesPreliminaryViews.pdf [25-05-2010].</w:t>
      </w:r>
    </w:p>
    <w:p w:rsidR="00EA568F" w:rsidRPr="002C7995" w:rsidRDefault="00EA568F" w:rsidP="00A439F9">
      <w:pPr>
        <w:spacing w:line="360" w:lineRule="auto"/>
        <w:ind w:left="709" w:hanging="709"/>
        <w:rPr>
          <w:rFonts w:ascii="Calibri" w:hAnsi="Calibri"/>
          <w:sz w:val="22"/>
          <w:szCs w:val="22"/>
        </w:rPr>
      </w:pPr>
      <w:r w:rsidRPr="002C7995">
        <w:rPr>
          <w:rFonts w:ascii="Calibri" w:hAnsi="Calibri"/>
          <w:sz w:val="22"/>
          <w:szCs w:val="22"/>
        </w:rPr>
        <w:t xml:space="preserve">International Accounting Standards Board. (2009). ‘IAS 17: </w:t>
      </w:r>
      <w:r w:rsidRPr="002C7995">
        <w:rPr>
          <w:rFonts w:ascii="Calibri" w:hAnsi="Calibri"/>
          <w:i/>
          <w:sz w:val="22"/>
          <w:szCs w:val="22"/>
        </w:rPr>
        <w:t>Leases</w:t>
      </w:r>
      <w:r w:rsidRPr="002C7995">
        <w:rPr>
          <w:rFonts w:ascii="Calibri" w:hAnsi="Calibri"/>
          <w:sz w:val="22"/>
          <w:szCs w:val="22"/>
        </w:rPr>
        <w:t>’, http://eifrs.iasb.org/eifrs/bnstandards/en/ias17.pdf [04-05-2010].</w:t>
      </w:r>
    </w:p>
    <w:p w:rsidR="00EA568F" w:rsidRDefault="00EA568F" w:rsidP="00A439F9">
      <w:pPr>
        <w:pStyle w:val="FootnoteText"/>
        <w:spacing w:line="360" w:lineRule="auto"/>
        <w:ind w:left="709" w:hanging="709"/>
        <w:rPr>
          <w:rFonts w:ascii="Calibri" w:hAnsi="Calibri"/>
          <w:sz w:val="22"/>
          <w:szCs w:val="22"/>
        </w:rPr>
      </w:pPr>
      <w:r w:rsidRPr="002C7995">
        <w:rPr>
          <w:rFonts w:ascii="Calibri" w:hAnsi="Calibri"/>
          <w:sz w:val="22"/>
          <w:szCs w:val="22"/>
        </w:rPr>
        <w:t xml:space="preserve">International Accounting Standards Board. (2009). ‘IAS 18: </w:t>
      </w:r>
      <w:r w:rsidRPr="002C7995">
        <w:rPr>
          <w:rFonts w:ascii="Calibri" w:hAnsi="Calibri"/>
          <w:i/>
          <w:sz w:val="22"/>
          <w:szCs w:val="22"/>
        </w:rPr>
        <w:t>Revenue</w:t>
      </w:r>
      <w:r w:rsidRPr="002C7995">
        <w:rPr>
          <w:rFonts w:ascii="Calibri" w:hAnsi="Calibri"/>
          <w:sz w:val="22"/>
          <w:szCs w:val="22"/>
        </w:rPr>
        <w:t>’, http://eifrs.iasb.org/eifrs/bnstandards/en/ias18.pdf [06-04-2010].</w:t>
      </w:r>
    </w:p>
    <w:p w:rsidR="00EA568F" w:rsidRPr="002C7995" w:rsidRDefault="00EA568F" w:rsidP="00A439F9">
      <w:pPr>
        <w:spacing w:line="360" w:lineRule="auto"/>
        <w:ind w:left="709" w:hanging="709"/>
        <w:rPr>
          <w:rFonts w:ascii="Calibri" w:hAnsi="Calibri"/>
          <w:sz w:val="22"/>
          <w:szCs w:val="22"/>
        </w:rPr>
      </w:pPr>
      <w:r w:rsidRPr="002C7995">
        <w:rPr>
          <w:rFonts w:ascii="Calibri" w:hAnsi="Calibri"/>
          <w:sz w:val="22"/>
          <w:szCs w:val="22"/>
        </w:rPr>
        <w:t>International Accounting Standards Board. (2009). ‘IFRIC Interpretation 4’, http://eifrs.iasb.org/eifrs/bnstandards/en/ifric4.pdf [06-05-2010].</w:t>
      </w:r>
    </w:p>
    <w:p w:rsidR="00EA568F" w:rsidRPr="002C7995" w:rsidRDefault="00EA568F" w:rsidP="00A439F9">
      <w:pPr>
        <w:shd w:val="clear" w:color="auto" w:fill="FFFFFF"/>
        <w:spacing w:line="360" w:lineRule="auto"/>
        <w:ind w:left="709" w:hanging="709"/>
        <w:rPr>
          <w:rFonts w:ascii="Calibri" w:hAnsi="Calibri"/>
          <w:sz w:val="22"/>
          <w:szCs w:val="22"/>
        </w:rPr>
      </w:pPr>
      <w:r w:rsidRPr="002C7995">
        <w:rPr>
          <w:rFonts w:ascii="Calibri" w:hAnsi="Calibri"/>
          <w:sz w:val="22"/>
          <w:szCs w:val="22"/>
        </w:rPr>
        <w:t>International Accounting Standards Board. (2010). ‘Agenda Paper 2: Definition of a lease’, http://www.iasb.org/Current+Projects/IASB+Projects/Leases/Meeting+Summaries+and+Observer+Notes/IASB+2+February+2010.htm [17-05-2010].</w:t>
      </w:r>
    </w:p>
    <w:p w:rsidR="00EA568F" w:rsidRPr="002C7995" w:rsidRDefault="00EA568F" w:rsidP="00A439F9">
      <w:pPr>
        <w:shd w:val="clear" w:color="auto" w:fill="FFFFFF"/>
        <w:spacing w:line="360" w:lineRule="auto"/>
        <w:ind w:left="709" w:hanging="709"/>
        <w:rPr>
          <w:rFonts w:ascii="Calibri" w:hAnsi="Calibri"/>
          <w:sz w:val="22"/>
          <w:szCs w:val="22"/>
        </w:rPr>
      </w:pPr>
      <w:r w:rsidRPr="002C7995">
        <w:rPr>
          <w:rFonts w:ascii="Calibri" w:hAnsi="Calibri"/>
          <w:sz w:val="22"/>
          <w:szCs w:val="22"/>
        </w:rPr>
        <w:t xml:space="preserve">International Accounting Standards Board. (2010). ‘Agenda Paper 9A: Lessee accounting - Presentation’, </w:t>
      </w:r>
      <w:r w:rsidRPr="00A439F9">
        <w:rPr>
          <w:rFonts w:ascii="Calibri" w:hAnsi="Calibri"/>
          <w:sz w:val="22"/>
          <w:szCs w:val="22"/>
        </w:rPr>
        <w:t>http://www.iasb.org/Current+Projects/IASB+Projects/Leases/Meeting</w:t>
      </w:r>
      <w:r>
        <w:rPr>
          <w:rFonts w:ascii="Calibri" w:hAnsi="Calibri"/>
          <w:sz w:val="22"/>
          <w:szCs w:val="22"/>
        </w:rPr>
        <w:t xml:space="preserve"> </w:t>
      </w:r>
      <w:r w:rsidRPr="002C7995">
        <w:rPr>
          <w:rFonts w:ascii="Calibri" w:hAnsi="Calibri"/>
          <w:sz w:val="22"/>
          <w:szCs w:val="22"/>
        </w:rPr>
        <w:t>+Summaries+and+Observer+Notes/IASB+March+2010.htm [19-05-2010].</w:t>
      </w:r>
    </w:p>
    <w:p w:rsidR="00EA568F" w:rsidRDefault="00EA568F" w:rsidP="00A439F9">
      <w:pPr>
        <w:shd w:val="clear" w:color="auto" w:fill="FFFFFF"/>
        <w:spacing w:line="360" w:lineRule="auto"/>
        <w:ind w:left="709" w:hanging="709"/>
        <w:rPr>
          <w:rFonts w:ascii="Calibri" w:hAnsi="Calibri"/>
          <w:sz w:val="22"/>
          <w:szCs w:val="22"/>
        </w:rPr>
      </w:pPr>
      <w:r w:rsidRPr="002C7995">
        <w:rPr>
          <w:rFonts w:ascii="Calibri" w:hAnsi="Calibri"/>
          <w:sz w:val="22"/>
          <w:szCs w:val="22"/>
        </w:rPr>
        <w:t xml:space="preserve">International Accounting Standards Board. (2010). ‘Agenda Paper 9B: Measurement at initial recognition’, </w:t>
      </w:r>
      <w:r w:rsidRPr="00A439F9">
        <w:rPr>
          <w:rFonts w:ascii="Calibri" w:hAnsi="Calibri"/>
          <w:sz w:val="22"/>
          <w:szCs w:val="22"/>
        </w:rPr>
        <w:t>http://www.iasb.org/Current+Projects/IASB+Projects/Leases/Meeting</w:t>
      </w:r>
      <w:r>
        <w:rPr>
          <w:rFonts w:ascii="Calibri" w:hAnsi="Calibri"/>
          <w:sz w:val="22"/>
          <w:szCs w:val="22"/>
        </w:rPr>
        <w:t xml:space="preserve"> </w:t>
      </w:r>
      <w:r w:rsidRPr="002C7995">
        <w:rPr>
          <w:rFonts w:ascii="Calibri" w:hAnsi="Calibri"/>
          <w:sz w:val="22"/>
          <w:szCs w:val="22"/>
        </w:rPr>
        <w:t>+Summaries+and+Observer+Notes/IASB+March+2010.htm [19-05-2010].</w:t>
      </w:r>
    </w:p>
    <w:p w:rsidR="00EA568F" w:rsidRDefault="00EA568F" w:rsidP="00A439F9">
      <w:pPr>
        <w:shd w:val="clear" w:color="auto" w:fill="FFFFFF"/>
        <w:spacing w:line="360" w:lineRule="auto"/>
        <w:ind w:left="709" w:hanging="709"/>
        <w:rPr>
          <w:rFonts w:ascii="Calibri" w:hAnsi="Calibri"/>
          <w:sz w:val="22"/>
          <w:szCs w:val="22"/>
        </w:rPr>
      </w:pPr>
      <w:r w:rsidRPr="002C7995">
        <w:rPr>
          <w:rFonts w:ascii="Calibri" w:hAnsi="Calibri"/>
          <w:sz w:val="22"/>
          <w:szCs w:val="22"/>
        </w:rPr>
        <w:t xml:space="preserve">International Accounting Standards Board. (2010). ‘Agenda Paper 9D: Lessor accounting transition’, </w:t>
      </w:r>
      <w:r w:rsidRPr="00A439F9">
        <w:rPr>
          <w:rFonts w:ascii="Calibri" w:hAnsi="Calibri"/>
          <w:sz w:val="22"/>
          <w:szCs w:val="22"/>
        </w:rPr>
        <w:t>http://www.iasb.org/Current+Projects/IASB+Projects/Leases/Meeting</w:t>
      </w:r>
      <w:r w:rsidRPr="002C7995">
        <w:rPr>
          <w:rFonts w:ascii="Calibri" w:hAnsi="Calibri"/>
          <w:sz w:val="22"/>
          <w:szCs w:val="22"/>
        </w:rPr>
        <w:t>+</w:t>
      </w:r>
      <w:r>
        <w:rPr>
          <w:rFonts w:ascii="Calibri" w:hAnsi="Calibri"/>
          <w:sz w:val="22"/>
          <w:szCs w:val="22"/>
        </w:rPr>
        <w:t xml:space="preserve"> </w:t>
      </w:r>
      <w:r w:rsidRPr="002C7995">
        <w:rPr>
          <w:rFonts w:ascii="Calibri" w:hAnsi="Calibri"/>
          <w:sz w:val="22"/>
          <w:szCs w:val="22"/>
        </w:rPr>
        <w:t>Summaries+and+Observer+Notes/IASB+March+2010.htm [20-05-2010].</w:t>
      </w:r>
    </w:p>
    <w:p w:rsidR="00EA568F" w:rsidRPr="002C7995" w:rsidRDefault="00EA568F" w:rsidP="00D97FE7">
      <w:pPr>
        <w:shd w:val="clear" w:color="auto" w:fill="FFFFFF"/>
        <w:spacing w:line="360" w:lineRule="auto"/>
        <w:ind w:left="709" w:hanging="709"/>
        <w:rPr>
          <w:rFonts w:ascii="Calibri" w:hAnsi="Calibri"/>
          <w:sz w:val="22"/>
          <w:szCs w:val="22"/>
        </w:rPr>
      </w:pPr>
      <w:r w:rsidRPr="002C7995">
        <w:rPr>
          <w:rFonts w:ascii="Calibri" w:hAnsi="Calibri"/>
          <w:sz w:val="22"/>
          <w:szCs w:val="22"/>
        </w:rPr>
        <w:t>International Accounting Standards Board. (2010). ‘Agenda Paper 10D:</w:t>
      </w:r>
      <w:r>
        <w:rPr>
          <w:rFonts w:ascii="Calibri" w:hAnsi="Calibri"/>
          <w:sz w:val="22"/>
          <w:szCs w:val="22"/>
        </w:rPr>
        <w:t xml:space="preserve"> Lessee accounting transition’, h</w:t>
      </w:r>
      <w:r w:rsidRPr="002C7995">
        <w:rPr>
          <w:rFonts w:ascii="Calibri" w:hAnsi="Calibri"/>
          <w:sz w:val="22"/>
          <w:szCs w:val="22"/>
        </w:rPr>
        <w:t>ttp://www.iasb.org/Current+Projects/IASB+Projects/Leases/Meeting+</w:t>
      </w:r>
      <w:r>
        <w:rPr>
          <w:rFonts w:ascii="Calibri" w:hAnsi="Calibri"/>
          <w:sz w:val="22"/>
          <w:szCs w:val="22"/>
        </w:rPr>
        <w:t xml:space="preserve"> </w:t>
      </w:r>
      <w:r w:rsidRPr="002C7995">
        <w:rPr>
          <w:rFonts w:ascii="Calibri" w:hAnsi="Calibri"/>
          <w:sz w:val="22"/>
          <w:szCs w:val="22"/>
        </w:rPr>
        <w:t>Summaries+and+Observer+Notes/IASB+February+2010.htm [19-05-2010].</w:t>
      </w:r>
    </w:p>
    <w:p w:rsidR="00EA568F" w:rsidRPr="006B16C9" w:rsidRDefault="00EA568F" w:rsidP="00D97FE7">
      <w:pPr>
        <w:spacing w:line="360" w:lineRule="auto"/>
        <w:ind w:left="709" w:hanging="709"/>
        <w:rPr>
          <w:rFonts w:ascii="Calibri" w:hAnsi="Calibri"/>
          <w:sz w:val="22"/>
          <w:szCs w:val="22"/>
          <w:lang w:val="nl-NL"/>
        </w:rPr>
      </w:pPr>
      <w:r w:rsidRPr="002C7995">
        <w:rPr>
          <w:rFonts w:ascii="Calibri" w:hAnsi="Calibri"/>
          <w:sz w:val="22"/>
          <w:szCs w:val="22"/>
          <w:lang w:val="nl-NL"/>
        </w:rPr>
        <w:t xml:space="preserve">Jager, J.H. &amp; Van Veen, H.B. (2001). ‘Verwerking van leasecontracten in de jaarrekening.’ </w:t>
      </w:r>
      <w:r w:rsidRPr="002C7995">
        <w:rPr>
          <w:rFonts w:ascii="Calibri" w:hAnsi="Calibri"/>
          <w:i/>
          <w:sz w:val="22"/>
          <w:szCs w:val="22"/>
          <w:lang w:val="nl-NL"/>
        </w:rPr>
        <w:t>Maandblad voor Accountancy en Bedrijfseconomie</w:t>
      </w:r>
      <w:r w:rsidRPr="002C7995">
        <w:rPr>
          <w:rFonts w:ascii="Calibri" w:hAnsi="Calibri"/>
          <w:sz w:val="22"/>
          <w:szCs w:val="22"/>
          <w:lang w:val="nl-NL"/>
        </w:rPr>
        <w:t>, maart 2001, 81-90.</w:t>
      </w:r>
    </w:p>
    <w:p w:rsidR="00EA568F" w:rsidRPr="002C7995" w:rsidRDefault="00EA568F" w:rsidP="00D97FE7">
      <w:pPr>
        <w:spacing w:line="360" w:lineRule="auto"/>
        <w:ind w:left="709" w:hanging="709"/>
        <w:rPr>
          <w:rFonts w:ascii="Calibri" w:hAnsi="Calibri"/>
          <w:sz w:val="22"/>
          <w:szCs w:val="22"/>
          <w:lang w:val="nl-NL"/>
        </w:rPr>
      </w:pPr>
      <w:r w:rsidRPr="006B16C9">
        <w:rPr>
          <w:rFonts w:ascii="Calibri" w:hAnsi="Calibri"/>
          <w:sz w:val="22"/>
          <w:szCs w:val="22"/>
          <w:lang w:val="nl-NL"/>
        </w:rPr>
        <w:t xml:space="preserve">Pounder, B. (2009). ‘New Views on Lease Accounting.’ </w:t>
      </w:r>
      <w:r w:rsidRPr="002C7995">
        <w:rPr>
          <w:rFonts w:ascii="Calibri" w:hAnsi="Calibri"/>
          <w:i/>
          <w:sz w:val="22"/>
          <w:szCs w:val="22"/>
          <w:lang w:val="nl-NL"/>
        </w:rPr>
        <w:t>Stategic Finance</w:t>
      </w:r>
      <w:r w:rsidRPr="002C7995">
        <w:rPr>
          <w:rFonts w:ascii="Calibri" w:hAnsi="Calibri"/>
          <w:sz w:val="22"/>
          <w:szCs w:val="22"/>
          <w:lang w:val="nl-NL"/>
        </w:rPr>
        <w:t>, mei 2009, 16-18.</w:t>
      </w:r>
    </w:p>
    <w:p w:rsidR="00EA568F" w:rsidRPr="00983FEA" w:rsidRDefault="00EA568F" w:rsidP="00D97FE7">
      <w:pPr>
        <w:shd w:val="clear" w:color="auto" w:fill="FFFFFF"/>
        <w:spacing w:line="360" w:lineRule="auto"/>
        <w:ind w:left="709" w:hanging="709"/>
        <w:rPr>
          <w:rFonts w:ascii="Calibri" w:hAnsi="Calibri"/>
          <w:sz w:val="22"/>
          <w:szCs w:val="22"/>
        </w:rPr>
      </w:pPr>
      <w:r w:rsidRPr="002C7995">
        <w:rPr>
          <w:rFonts w:ascii="Calibri" w:hAnsi="Calibri"/>
          <w:sz w:val="22"/>
          <w:szCs w:val="22"/>
          <w:lang w:val="nl-NL"/>
        </w:rPr>
        <w:t xml:space="preserve">Raad voor de Jaarverslaggeving. </w:t>
      </w:r>
      <w:r w:rsidRPr="00983FEA">
        <w:rPr>
          <w:rFonts w:ascii="Calibri" w:hAnsi="Calibri"/>
          <w:sz w:val="22"/>
          <w:szCs w:val="22"/>
        </w:rPr>
        <w:t>(2009). ‘Comment on Discussion paper Leases’, http://www.iasb.org/NR/rdonlyres/A9B018D6-5861-4DB8-A258-64D3A6BDBFC4/0/CL44.pdf [02-06-2010].</w:t>
      </w:r>
    </w:p>
    <w:p w:rsidR="00EA568F" w:rsidRPr="002C7995" w:rsidRDefault="00EA568F" w:rsidP="00D97FE7">
      <w:pPr>
        <w:pStyle w:val="FootnoteText"/>
        <w:spacing w:line="360" w:lineRule="auto"/>
        <w:ind w:left="709" w:hanging="709"/>
        <w:rPr>
          <w:rFonts w:ascii="Calibri" w:hAnsi="Calibri"/>
          <w:bCs/>
          <w:sz w:val="22"/>
          <w:szCs w:val="22"/>
          <w:lang w:val="nl-NL"/>
        </w:rPr>
      </w:pPr>
      <w:r w:rsidRPr="002C7995">
        <w:rPr>
          <w:rFonts w:ascii="Calibri" w:hAnsi="Calibri"/>
          <w:sz w:val="22"/>
          <w:szCs w:val="22"/>
          <w:lang w:val="nl-NL"/>
        </w:rPr>
        <w:t>Wielaard, N. (2005). ‘</w:t>
      </w:r>
      <w:r w:rsidRPr="002C7995">
        <w:rPr>
          <w:rFonts w:ascii="Calibri" w:hAnsi="Calibri"/>
          <w:bCs/>
          <w:sz w:val="22"/>
          <w:szCs w:val="22"/>
          <w:lang w:val="nl-NL"/>
        </w:rPr>
        <w:t xml:space="preserve">Misbruik off balance sheet accounting nauwelijks uit te roeien: Gezocht: balanspost’ </w:t>
      </w:r>
      <w:r w:rsidRPr="002C7995">
        <w:rPr>
          <w:rFonts w:ascii="Calibri" w:hAnsi="Calibri"/>
          <w:bCs/>
          <w:i/>
          <w:sz w:val="22"/>
          <w:szCs w:val="22"/>
          <w:lang w:val="nl-NL"/>
        </w:rPr>
        <w:t>De Accountant</w:t>
      </w:r>
      <w:r w:rsidRPr="002C7995">
        <w:rPr>
          <w:rFonts w:ascii="Calibri" w:hAnsi="Calibri"/>
          <w:bCs/>
          <w:sz w:val="22"/>
          <w:szCs w:val="22"/>
          <w:lang w:val="nl-NL"/>
        </w:rPr>
        <w:t xml:space="preserve">, </w:t>
      </w:r>
      <w:r w:rsidRPr="00D97FE7">
        <w:rPr>
          <w:rFonts w:ascii="Calibri" w:hAnsi="Calibri"/>
          <w:bCs/>
          <w:sz w:val="22"/>
          <w:szCs w:val="22"/>
          <w:lang w:val="nl-NL"/>
        </w:rPr>
        <w:t>http://www.accountant.nl/Accountant/</w:t>
      </w:r>
      <w:r>
        <w:rPr>
          <w:rFonts w:ascii="Calibri" w:hAnsi="Calibri"/>
          <w:bCs/>
          <w:sz w:val="22"/>
          <w:szCs w:val="22"/>
          <w:lang w:val="nl-NL"/>
        </w:rPr>
        <w:t xml:space="preserve"> </w:t>
      </w:r>
      <w:r w:rsidRPr="002C7995">
        <w:rPr>
          <w:rFonts w:ascii="Calibri" w:hAnsi="Calibri"/>
          <w:bCs/>
          <w:sz w:val="22"/>
          <w:szCs w:val="22"/>
          <w:lang w:val="nl-NL"/>
        </w:rPr>
        <w:t>Archief_11882/Archief+'de+Accountant'/2005/December+2005/Gezocht+balanspost.aspx [06-05-2010].</w:t>
      </w:r>
    </w:p>
    <w:p w:rsidR="00EA568F" w:rsidRPr="002C7995" w:rsidRDefault="00EA568F" w:rsidP="00D97FE7">
      <w:pPr>
        <w:pStyle w:val="FootnoteText"/>
        <w:ind w:left="709" w:hanging="709"/>
        <w:rPr>
          <w:rFonts w:ascii="Calibri" w:hAnsi="Calibri"/>
          <w:bCs/>
          <w:sz w:val="22"/>
          <w:szCs w:val="22"/>
          <w:lang w:val="nl-NL"/>
        </w:rPr>
      </w:pPr>
    </w:p>
    <w:p w:rsidR="00EA568F" w:rsidRPr="009E1024" w:rsidRDefault="00EA568F" w:rsidP="002C7995">
      <w:pPr>
        <w:rPr>
          <w:rFonts w:ascii="Calibri" w:hAnsi="Calibri"/>
          <w:sz w:val="22"/>
          <w:szCs w:val="22"/>
          <w:lang w:val="nl-NL"/>
        </w:rPr>
      </w:pPr>
    </w:p>
    <w:p w:rsidR="00EA568F" w:rsidRPr="009E1024" w:rsidRDefault="00EA568F" w:rsidP="002C7995">
      <w:pPr>
        <w:shd w:val="clear" w:color="auto" w:fill="FFFFFF"/>
        <w:rPr>
          <w:rFonts w:ascii="Calibri" w:hAnsi="Calibri"/>
          <w:sz w:val="22"/>
          <w:szCs w:val="22"/>
          <w:lang w:val="nl-NL"/>
        </w:rPr>
      </w:pPr>
    </w:p>
    <w:p w:rsidR="00EA568F" w:rsidRPr="009E1024" w:rsidRDefault="00EA568F" w:rsidP="002C7995">
      <w:pPr>
        <w:shd w:val="clear" w:color="auto" w:fill="FFFFFF"/>
        <w:rPr>
          <w:rFonts w:ascii="Calibri" w:hAnsi="Calibri"/>
          <w:sz w:val="22"/>
          <w:szCs w:val="22"/>
          <w:lang w:val="nl-NL"/>
        </w:rPr>
      </w:pPr>
    </w:p>
    <w:sectPr w:rsidR="00EA568F" w:rsidRPr="009E1024" w:rsidSect="006400B2">
      <w:headerReference w:type="default" r:id="rId8"/>
      <w:footerReference w:type="default" r:id="rId9"/>
      <w:pgSz w:w="11906" w:h="16838" w:code="9"/>
      <w:pgMar w:top="1440" w:right="1800" w:bottom="1440" w:left="1800" w:header="576" w:footer="576"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568F" w:rsidRDefault="00EA568F" w:rsidP="007F68C4">
      <w:r>
        <w:separator/>
      </w:r>
    </w:p>
  </w:endnote>
  <w:endnote w:type="continuationSeparator" w:id="1">
    <w:p w:rsidR="00EA568F" w:rsidRDefault="00EA568F" w:rsidP="007F68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216" w:type="pct"/>
      <w:tblBorders>
        <w:top w:val="single" w:sz="4" w:space="0" w:color="003471"/>
      </w:tblBorders>
      <w:tblCellMar>
        <w:top w:w="72" w:type="dxa"/>
        <w:left w:w="115" w:type="dxa"/>
        <w:bottom w:w="72" w:type="dxa"/>
        <w:right w:w="115" w:type="dxa"/>
      </w:tblCellMar>
      <w:tblLook w:val="00A0"/>
    </w:tblPr>
    <w:tblGrid>
      <w:gridCol w:w="8155"/>
      <w:gridCol w:w="750"/>
    </w:tblGrid>
    <w:tr w:rsidR="00EA568F" w:rsidRPr="001D2638" w:rsidTr="006400B2">
      <w:trPr>
        <w:trHeight w:val="275"/>
      </w:trPr>
      <w:tc>
        <w:tcPr>
          <w:tcW w:w="4579" w:type="pct"/>
          <w:tcBorders>
            <w:top w:val="single" w:sz="4" w:space="0" w:color="003471"/>
          </w:tcBorders>
        </w:tcPr>
        <w:p w:rsidR="00EA568F" w:rsidRPr="00F63D68" w:rsidRDefault="00EA568F" w:rsidP="001D2638">
          <w:pPr>
            <w:pStyle w:val="Footer"/>
            <w:jc w:val="center"/>
            <w:rPr>
              <w:rFonts w:ascii="Calibri" w:hAnsi="Calibri"/>
              <w:color w:val="7F7F7F"/>
              <w:sz w:val="20"/>
              <w:szCs w:val="20"/>
              <w:lang w:val="nl-NL"/>
            </w:rPr>
          </w:pPr>
          <w:r w:rsidRPr="00F63D68">
            <w:rPr>
              <w:rFonts w:ascii="Calibri" w:hAnsi="Calibri"/>
              <w:color w:val="7F7F7F"/>
              <w:sz w:val="20"/>
              <w:szCs w:val="20"/>
              <w:lang w:val="nl-NL"/>
            </w:rPr>
            <w:t>Bachelorscriptie Robbert Hooijmeijer | 28 juni 2010</w:t>
          </w:r>
        </w:p>
      </w:tc>
      <w:tc>
        <w:tcPr>
          <w:tcW w:w="421" w:type="pct"/>
          <w:tcBorders>
            <w:top w:val="single" w:sz="4" w:space="0" w:color="003471"/>
            <w:bottom w:val="nil"/>
          </w:tcBorders>
          <w:shd w:val="clear" w:color="auto" w:fill="003471"/>
        </w:tcPr>
        <w:p w:rsidR="00EA568F" w:rsidRPr="00983FEA" w:rsidRDefault="00EA568F" w:rsidP="001D2638">
          <w:pPr>
            <w:pStyle w:val="Header"/>
            <w:jc w:val="center"/>
            <w:rPr>
              <w:rFonts w:ascii="Calibri" w:hAnsi="Calibri"/>
              <w:b/>
              <w:color w:val="FFFFFF"/>
              <w:sz w:val="20"/>
              <w:szCs w:val="20"/>
            </w:rPr>
          </w:pPr>
          <w:r w:rsidRPr="00983FEA">
            <w:rPr>
              <w:rFonts w:ascii="Calibri" w:hAnsi="Calibri"/>
              <w:b/>
              <w:color w:val="FFFFFF"/>
              <w:sz w:val="20"/>
              <w:szCs w:val="20"/>
            </w:rPr>
            <w:fldChar w:fldCharType="begin"/>
          </w:r>
          <w:r w:rsidRPr="00983FEA">
            <w:rPr>
              <w:rFonts w:ascii="Calibri" w:hAnsi="Calibri"/>
              <w:b/>
              <w:color w:val="FFFFFF"/>
              <w:sz w:val="20"/>
              <w:szCs w:val="20"/>
            </w:rPr>
            <w:instrText xml:space="preserve"> PAGE   \* MERGEFORMAT </w:instrText>
          </w:r>
          <w:r w:rsidRPr="00983FEA">
            <w:rPr>
              <w:rFonts w:ascii="Calibri" w:hAnsi="Calibri"/>
              <w:b/>
              <w:color w:val="FFFFFF"/>
              <w:sz w:val="20"/>
              <w:szCs w:val="20"/>
            </w:rPr>
            <w:fldChar w:fldCharType="separate"/>
          </w:r>
          <w:r>
            <w:rPr>
              <w:rFonts w:ascii="Calibri" w:hAnsi="Calibri"/>
              <w:b/>
              <w:noProof/>
              <w:color w:val="FFFFFF"/>
              <w:sz w:val="20"/>
              <w:szCs w:val="20"/>
            </w:rPr>
            <w:t>2</w:t>
          </w:r>
          <w:r w:rsidRPr="00983FEA">
            <w:rPr>
              <w:rFonts w:ascii="Calibri" w:hAnsi="Calibri"/>
              <w:b/>
              <w:color w:val="FFFFFF"/>
              <w:sz w:val="20"/>
              <w:szCs w:val="20"/>
            </w:rPr>
            <w:fldChar w:fldCharType="end"/>
          </w:r>
        </w:p>
      </w:tc>
    </w:tr>
  </w:tbl>
  <w:p w:rsidR="00EA568F" w:rsidRPr="00BF1497" w:rsidRDefault="00EA568F">
    <w:pPr>
      <w:pStyle w:val="Footer"/>
      <w:rPr>
        <w:lang w:val="nl-N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568F" w:rsidRDefault="00EA568F" w:rsidP="007F68C4">
      <w:r>
        <w:separator/>
      </w:r>
    </w:p>
  </w:footnote>
  <w:footnote w:type="continuationSeparator" w:id="1">
    <w:p w:rsidR="00EA568F" w:rsidRDefault="00EA568F" w:rsidP="007F68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568F" w:rsidRDefault="00EA568F">
    <w:pPr>
      <w:pStyle w:val="Header"/>
    </w:pPr>
  </w:p>
  <w:p w:rsidR="00EA568F" w:rsidRPr="00716EB1" w:rsidRDefault="00EA568F">
    <w:pPr>
      <w:pStyle w:val="Header"/>
      <w:rPr>
        <w:lang w:val="nl-N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86A75A2"/>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F3C68BE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4A34263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73EEF2C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4AD8A0F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EC68DC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550892D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230F4D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4434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CBDEA092"/>
    <w:lvl w:ilvl="0">
      <w:start w:val="1"/>
      <w:numFmt w:val="bullet"/>
      <w:lvlText w:val=""/>
      <w:lvlJc w:val="left"/>
      <w:pPr>
        <w:tabs>
          <w:tab w:val="num" w:pos="360"/>
        </w:tabs>
        <w:ind w:left="360" w:hanging="360"/>
      </w:pPr>
      <w:rPr>
        <w:rFonts w:ascii="Symbol" w:hAnsi="Symbol" w:hint="default"/>
      </w:rPr>
    </w:lvl>
  </w:abstractNum>
  <w:abstractNum w:abstractNumId="10">
    <w:nsid w:val="70664764"/>
    <w:multiLevelType w:val="multilevel"/>
    <w:tmpl w:val="70FC0CFE"/>
    <w:lvl w:ilvl="0">
      <w:start w:val="1"/>
      <w:numFmt w:val="decimal"/>
      <w:lvlText w:val="%1."/>
      <w:lvlJc w:val="left"/>
      <w:pPr>
        <w:tabs>
          <w:tab w:val="num" w:pos="720"/>
        </w:tabs>
        <w:ind w:left="720" w:hanging="360"/>
      </w:pPr>
      <w:rPr>
        <w:rFonts w:cs="Times New Roman" w:hint="default"/>
      </w:rPr>
    </w:lvl>
    <w:lvl w:ilvl="1">
      <w:start w:val="2"/>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11">
    <w:nsid w:val="7701453A"/>
    <w:multiLevelType w:val="multilevel"/>
    <w:tmpl w:val="0409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sz w:val="22"/>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sz w:val="22"/>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77A418B1"/>
    <w:multiLevelType w:val="multilevel"/>
    <w:tmpl w:val="F5AC7F3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11"/>
  </w:num>
  <w:num w:numId="2">
    <w:abstractNumId w:val="10"/>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F68C4"/>
    <w:rsid w:val="00015030"/>
    <w:rsid w:val="000165B8"/>
    <w:rsid w:val="00041B48"/>
    <w:rsid w:val="00041F3E"/>
    <w:rsid w:val="000456DD"/>
    <w:rsid w:val="000544E8"/>
    <w:rsid w:val="00056A90"/>
    <w:rsid w:val="000B4492"/>
    <w:rsid w:val="000D49ED"/>
    <w:rsid w:val="000E7D09"/>
    <w:rsid w:val="00106CBD"/>
    <w:rsid w:val="00117F5E"/>
    <w:rsid w:val="00132F67"/>
    <w:rsid w:val="001338FE"/>
    <w:rsid w:val="001377CB"/>
    <w:rsid w:val="00143ABA"/>
    <w:rsid w:val="001747AF"/>
    <w:rsid w:val="001866F1"/>
    <w:rsid w:val="001D2638"/>
    <w:rsid w:val="001D3F8B"/>
    <w:rsid w:val="001E2BAF"/>
    <w:rsid w:val="001F7C3A"/>
    <w:rsid w:val="002132A8"/>
    <w:rsid w:val="00215056"/>
    <w:rsid w:val="002155E7"/>
    <w:rsid w:val="00236A61"/>
    <w:rsid w:val="00242F2B"/>
    <w:rsid w:val="00247D4B"/>
    <w:rsid w:val="00270718"/>
    <w:rsid w:val="0028036A"/>
    <w:rsid w:val="0028117A"/>
    <w:rsid w:val="002826FF"/>
    <w:rsid w:val="0028310E"/>
    <w:rsid w:val="00284961"/>
    <w:rsid w:val="00297E0C"/>
    <w:rsid w:val="002A20FF"/>
    <w:rsid w:val="002B3CED"/>
    <w:rsid w:val="002C51B9"/>
    <w:rsid w:val="002C5B14"/>
    <w:rsid w:val="002C7399"/>
    <w:rsid w:val="002C7995"/>
    <w:rsid w:val="002D3C2C"/>
    <w:rsid w:val="002F13BB"/>
    <w:rsid w:val="002F3BCF"/>
    <w:rsid w:val="002F6473"/>
    <w:rsid w:val="00320A75"/>
    <w:rsid w:val="00346E29"/>
    <w:rsid w:val="003601CD"/>
    <w:rsid w:val="003733F5"/>
    <w:rsid w:val="00397B74"/>
    <w:rsid w:val="003D7E21"/>
    <w:rsid w:val="003E47C1"/>
    <w:rsid w:val="003F27DB"/>
    <w:rsid w:val="00406FB0"/>
    <w:rsid w:val="00412733"/>
    <w:rsid w:val="004317C4"/>
    <w:rsid w:val="00441DBE"/>
    <w:rsid w:val="00445A31"/>
    <w:rsid w:val="004463DA"/>
    <w:rsid w:val="004858AC"/>
    <w:rsid w:val="00492546"/>
    <w:rsid w:val="004B1796"/>
    <w:rsid w:val="004B601A"/>
    <w:rsid w:val="004D3649"/>
    <w:rsid w:val="004D3F45"/>
    <w:rsid w:val="004E7002"/>
    <w:rsid w:val="00502054"/>
    <w:rsid w:val="0050333B"/>
    <w:rsid w:val="0050674E"/>
    <w:rsid w:val="00522951"/>
    <w:rsid w:val="00581EE8"/>
    <w:rsid w:val="005A62F7"/>
    <w:rsid w:val="005B4C1B"/>
    <w:rsid w:val="005B632E"/>
    <w:rsid w:val="005B665E"/>
    <w:rsid w:val="005C026E"/>
    <w:rsid w:val="005C3074"/>
    <w:rsid w:val="00625679"/>
    <w:rsid w:val="00630B45"/>
    <w:rsid w:val="006400B2"/>
    <w:rsid w:val="006465CC"/>
    <w:rsid w:val="006546D5"/>
    <w:rsid w:val="006819F7"/>
    <w:rsid w:val="00694521"/>
    <w:rsid w:val="006A343E"/>
    <w:rsid w:val="006B16C9"/>
    <w:rsid w:val="006C7BAC"/>
    <w:rsid w:val="006D1819"/>
    <w:rsid w:val="006D3A43"/>
    <w:rsid w:val="006E03A8"/>
    <w:rsid w:val="006E3F43"/>
    <w:rsid w:val="006F09F0"/>
    <w:rsid w:val="007002E2"/>
    <w:rsid w:val="0070526E"/>
    <w:rsid w:val="00714AD1"/>
    <w:rsid w:val="00716EB1"/>
    <w:rsid w:val="00723430"/>
    <w:rsid w:val="007253B2"/>
    <w:rsid w:val="00727E8E"/>
    <w:rsid w:val="00742C5D"/>
    <w:rsid w:val="00755F21"/>
    <w:rsid w:val="00775C61"/>
    <w:rsid w:val="00785B0A"/>
    <w:rsid w:val="00796B95"/>
    <w:rsid w:val="007B6201"/>
    <w:rsid w:val="007D0FD8"/>
    <w:rsid w:val="007D4014"/>
    <w:rsid w:val="007E4A45"/>
    <w:rsid w:val="007F0E3A"/>
    <w:rsid w:val="007F60D2"/>
    <w:rsid w:val="007F68C4"/>
    <w:rsid w:val="00834416"/>
    <w:rsid w:val="0084261E"/>
    <w:rsid w:val="008648FA"/>
    <w:rsid w:val="008724D4"/>
    <w:rsid w:val="0087266A"/>
    <w:rsid w:val="008745D2"/>
    <w:rsid w:val="0087591A"/>
    <w:rsid w:val="00882DFE"/>
    <w:rsid w:val="008A2C7C"/>
    <w:rsid w:val="008B3DB0"/>
    <w:rsid w:val="008B3F98"/>
    <w:rsid w:val="008D6DB5"/>
    <w:rsid w:val="008E36D1"/>
    <w:rsid w:val="008F1B7B"/>
    <w:rsid w:val="00900DC6"/>
    <w:rsid w:val="00924475"/>
    <w:rsid w:val="0092585B"/>
    <w:rsid w:val="009339DF"/>
    <w:rsid w:val="00937063"/>
    <w:rsid w:val="00947E89"/>
    <w:rsid w:val="00962FBB"/>
    <w:rsid w:val="00963C68"/>
    <w:rsid w:val="0097391F"/>
    <w:rsid w:val="00983FEA"/>
    <w:rsid w:val="00993324"/>
    <w:rsid w:val="00995F55"/>
    <w:rsid w:val="009A5D83"/>
    <w:rsid w:val="009B03A2"/>
    <w:rsid w:val="009C6B4F"/>
    <w:rsid w:val="009C6DEC"/>
    <w:rsid w:val="009E1024"/>
    <w:rsid w:val="00A155E3"/>
    <w:rsid w:val="00A23081"/>
    <w:rsid w:val="00A439F9"/>
    <w:rsid w:val="00A53D16"/>
    <w:rsid w:val="00A71A40"/>
    <w:rsid w:val="00AA1EF2"/>
    <w:rsid w:val="00AB0955"/>
    <w:rsid w:val="00AE4724"/>
    <w:rsid w:val="00B327F6"/>
    <w:rsid w:val="00B44999"/>
    <w:rsid w:val="00B50948"/>
    <w:rsid w:val="00B64D24"/>
    <w:rsid w:val="00B65767"/>
    <w:rsid w:val="00B823C0"/>
    <w:rsid w:val="00B870D5"/>
    <w:rsid w:val="00BC509B"/>
    <w:rsid w:val="00BD6C07"/>
    <w:rsid w:val="00BD7FFD"/>
    <w:rsid w:val="00BE0D28"/>
    <w:rsid w:val="00BF1497"/>
    <w:rsid w:val="00C30B34"/>
    <w:rsid w:val="00C804B8"/>
    <w:rsid w:val="00C81D23"/>
    <w:rsid w:val="00CA339F"/>
    <w:rsid w:val="00CC2F4F"/>
    <w:rsid w:val="00CC356C"/>
    <w:rsid w:val="00CF4FAA"/>
    <w:rsid w:val="00D00F8A"/>
    <w:rsid w:val="00D1521D"/>
    <w:rsid w:val="00D72060"/>
    <w:rsid w:val="00D94D3B"/>
    <w:rsid w:val="00D97FE7"/>
    <w:rsid w:val="00DB172B"/>
    <w:rsid w:val="00DB6657"/>
    <w:rsid w:val="00DD3BA3"/>
    <w:rsid w:val="00DF1784"/>
    <w:rsid w:val="00DF4853"/>
    <w:rsid w:val="00E22E24"/>
    <w:rsid w:val="00E34FFF"/>
    <w:rsid w:val="00E4163A"/>
    <w:rsid w:val="00E4168B"/>
    <w:rsid w:val="00E95714"/>
    <w:rsid w:val="00EA568F"/>
    <w:rsid w:val="00EC0E79"/>
    <w:rsid w:val="00EC5B8C"/>
    <w:rsid w:val="00F20E4C"/>
    <w:rsid w:val="00F515C6"/>
    <w:rsid w:val="00F63D68"/>
    <w:rsid w:val="00F66522"/>
    <w:rsid w:val="00F70D8B"/>
    <w:rsid w:val="00F95C4A"/>
    <w:rsid w:val="00FA0752"/>
    <w:rsid w:val="00FC1571"/>
    <w:rsid w:val="00FC179D"/>
    <w:rsid w:val="00FD0181"/>
    <w:rsid w:val="00FD198A"/>
    <w:rsid w:val="00FE29EC"/>
    <w:rsid w:val="00FF3055"/>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68C4"/>
    <w:rPr>
      <w:rFonts w:ascii="Times New Roman" w:eastAsia="Times New Roman" w:hAnsi="Times New Roman"/>
      <w:sz w:val="24"/>
      <w:szCs w:val="24"/>
    </w:rPr>
  </w:style>
  <w:style w:type="paragraph" w:styleId="Heading1">
    <w:name w:val="heading 1"/>
    <w:basedOn w:val="Normal"/>
    <w:next w:val="Normal"/>
    <w:link w:val="Heading1Char"/>
    <w:uiPriority w:val="99"/>
    <w:qFormat/>
    <w:locked/>
    <w:rsid w:val="002D3C2C"/>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locked/>
    <w:rsid w:val="002D3C2C"/>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locked/>
    <w:rsid w:val="0084261E"/>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locked/>
    <w:rsid w:val="00E95714"/>
    <w:pPr>
      <w:keepNext/>
      <w:spacing w:before="240" w:after="60"/>
      <w:outlineLvl w:val="3"/>
    </w:pPr>
    <w:rPr>
      <w:b/>
      <w:b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E2BAF"/>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1E2BAF"/>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1E2BAF"/>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1E2BAF"/>
    <w:rPr>
      <w:rFonts w:ascii="Calibri" w:hAnsi="Calibri" w:cs="Times New Roman"/>
      <w:b/>
      <w:bCs/>
      <w:sz w:val="28"/>
      <w:szCs w:val="28"/>
    </w:rPr>
  </w:style>
  <w:style w:type="paragraph" w:customStyle="1" w:styleId="ListParagraph1">
    <w:name w:val="List Paragraph1"/>
    <w:basedOn w:val="Normal"/>
    <w:uiPriority w:val="99"/>
    <w:rsid w:val="007F68C4"/>
    <w:pPr>
      <w:spacing w:after="200" w:line="276" w:lineRule="auto"/>
      <w:ind w:left="720"/>
      <w:contextualSpacing/>
    </w:pPr>
    <w:rPr>
      <w:rFonts w:ascii="Calibri" w:hAnsi="Calibri"/>
      <w:sz w:val="22"/>
      <w:szCs w:val="22"/>
      <w:lang w:val="nl-NL"/>
    </w:rPr>
  </w:style>
  <w:style w:type="paragraph" w:styleId="FootnoteText">
    <w:name w:val="footnote text"/>
    <w:basedOn w:val="Normal"/>
    <w:link w:val="FootnoteTextChar"/>
    <w:uiPriority w:val="99"/>
    <w:semiHidden/>
    <w:rsid w:val="007F68C4"/>
    <w:rPr>
      <w:sz w:val="20"/>
      <w:szCs w:val="20"/>
    </w:rPr>
  </w:style>
  <w:style w:type="character" w:customStyle="1" w:styleId="FootnoteTextChar">
    <w:name w:val="Footnote Text Char"/>
    <w:basedOn w:val="DefaultParagraphFont"/>
    <w:link w:val="FootnoteText"/>
    <w:uiPriority w:val="99"/>
    <w:semiHidden/>
    <w:locked/>
    <w:rsid w:val="007F68C4"/>
    <w:rPr>
      <w:rFonts w:ascii="Times New Roman" w:hAnsi="Times New Roman" w:cs="Times New Roman"/>
      <w:sz w:val="20"/>
      <w:szCs w:val="20"/>
      <w:lang w:val="en-US"/>
    </w:rPr>
  </w:style>
  <w:style w:type="character" w:styleId="FootnoteReference">
    <w:name w:val="footnote reference"/>
    <w:basedOn w:val="DefaultParagraphFont"/>
    <w:uiPriority w:val="99"/>
    <w:semiHidden/>
    <w:rsid w:val="007F68C4"/>
    <w:rPr>
      <w:rFonts w:cs="Times New Roman"/>
      <w:vertAlign w:val="superscript"/>
    </w:rPr>
  </w:style>
  <w:style w:type="paragraph" w:styleId="EndnoteText">
    <w:name w:val="endnote text"/>
    <w:basedOn w:val="Normal"/>
    <w:link w:val="EndnoteTextChar"/>
    <w:uiPriority w:val="99"/>
    <w:semiHidden/>
    <w:rsid w:val="00716EB1"/>
    <w:rPr>
      <w:sz w:val="20"/>
      <w:szCs w:val="20"/>
    </w:rPr>
  </w:style>
  <w:style w:type="character" w:customStyle="1" w:styleId="EndnoteTextChar">
    <w:name w:val="Endnote Text Char"/>
    <w:basedOn w:val="DefaultParagraphFont"/>
    <w:link w:val="EndnoteText"/>
    <w:uiPriority w:val="99"/>
    <w:semiHidden/>
    <w:locked/>
    <w:rsid w:val="00716EB1"/>
    <w:rPr>
      <w:rFonts w:ascii="Times New Roman" w:hAnsi="Times New Roman" w:cs="Times New Roman"/>
      <w:sz w:val="20"/>
      <w:szCs w:val="20"/>
      <w:lang w:val="en-US"/>
    </w:rPr>
  </w:style>
  <w:style w:type="character" w:styleId="EndnoteReference">
    <w:name w:val="endnote reference"/>
    <w:basedOn w:val="DefaultParagraphFont"/>
    <w:uiPriority w:val="99"/>
    <w:semiHidden/>
    <w:rsid w:val="00716EB1"/>
    <w:rPr>
      <w:rFonts w:cs="Times New Roman"/>
      <w:vertAlign w:val="superscript"/>
    </w:rPr>
  </w:style>
  <w:style w:type="paragraph" w:styleId="Header">
    <w:name w:val="header"/>
    <w:basedOn w:val="Normal"/>
    <w:link w:val="HeaderChar"/>
    <w:uiPriority w:val="99"/>
    <w:rsid w:val="00716EB1"/>
    <w:pPr>
      <w:tabs>
        <w:tab w:val="center" w:pos="4536"/>
        <w:tab w:val="right" w:pos="9072"/>
      </w:tabs>
    </w:pPr>
  </w:style>
  <w:style w:type="character" w:customStyle="1" w:styleId="HeaderChar">
    <w:name w:val="Header Char"/>
    <w:basedOn w:val="DefaultParagraphFont"/>
    <w:link w:val="Header"/>
    <w:uiPriority w:val="99"/>
    <w:locked/>
    <w:rsid w:val="00716EB1"/>
    <w:rPr>
      <w:rFonts w:ascii="Times New Roman" w:hAnsi="Times New Roman" w:cs="Times New Roman"/>
      <w:sz w:val="24"/>
      <w:szCs w:val="24"/>
      <w:lang w:val="en-US"/>
    </w:rPr>
  </w:style>
  <w:style w:type="paragraph" w:styleId="Footer">
    <w:name w:val="footer"/>
    <w:basedOn w:val="Normal"/>
    <w:link w:val="FooterChar"/>
    <w:uiPriority w:val="99"/>
    <w:rsid w:val="00716EB1"/>
    <w:pPr>
      <w:tabs>
        <w:tab w:val="center" w:pos="4536"/>
        <w:tab w:val="right" w:pos="9072"/>
      </w:tabs>
    </w:pPr>
  </w:style>
  <w:style w:type="character" w:customStyle="1" w:styleId="FooterChar">
    <w:name w:val="Footer Char"/>
    <w:basedOn w:val="DefaultParagraphFont"/>
    <w:link w:val="Footer"/>
    <w:uiPriority w:val="99"/>
    <w:locked/>
    <w:rsid w:val="00716EB1"/>
    <w:rPr>
      <w:rFonts w:ascii="Times New Roman" w:hAnsi="Times New Roman" w:cs="Times New Roman"/>
      <w:sz w:val="24"/>
      <w:szCs w:val="24"/>
      <w:lang w:val="en-US"/>
    </w:rPr>
  </w:style>
  <w:style w:type="paragraph" w:styleId="BalloonText">
    <w:name w:val="Balloon Text"/>
    <w:basedOn w:val="Normal"/>
    <w:link w:val="BalloonTextChar"/>
    <w:uiPriority w:val="99"/>
    <w:semiHidden/>
    <w:rsid w:val="00716EB1"/>
    <w:rPr>
      <w:rFonts w:ascii="Tahoma" w:hAnsi="Tahoma"/>
      <w:sz w:val="16"/>
      <w:szCs w:val="16"/>
    </w:rPr>
  </w:style>
  <w:style w:type="character" w:customStyle="1" w:styleId="BalloonTextChar">
    <w:name w:val="Balloon Text Char"/>
    <w:basedOn w:val="DefaultParagraphFont"/>
    <w:link w:val="BalloonText"/>
    <w:uiPriority w:val="99"/>
    <w:semiHidden/>
    <w:locked/>
    <w:rsid w:val="00716EB1"/>
    <w:rPr>
      <w:rFonts w:ascii="Tahoma" w:hAnsi="Tahoma" w:cs="Times New Roman"/>
      <w:sz w:val="16"/>
      <w:szCs w:val="16"/>
      <w:lang w:val="en-US"/>
    </w:rPr>
  </w:style>
  <w:style w:type="paragraph" w:styleId="ListParagraph">
    <w:name w:val="List Paragraph"/>
    <w:basedOn w:val="Normal"/>
    <w:uiPriority w:val="99"/>
    <w:qFormat/>
    <w:rsid w:val="006C7BAC"/>
    <w:pPr>
      <w:spacing w:after="200" w:line="276" w:lineRule="auto"/>
      <w:ind w:left="720"/>
      <w:contextualSpacing/>
    </w:pPr>
    <w:rPr>
      <w:rFonts w:ascii="Calibri" w:eastAsia="Calibri" w:hAnsi="Calibri"/>
      <w:sz w:val="22"/>
      <w:szCs w:val="22"/>
      <w:lang w:val="nl-NL"/>
    </w:rPr>
  </w:style>
  <w:style w:type="paragraph" w:customStyle="1" w:styleId="Default">
    <w:name w:val="Default"/>
    <w:uiPriority w:val="99"/>
    <w:rsid w:val="002C7995"/>
    <w:pPr>
      <w:autoSpaceDE w:val="0"/>
      <w:autoSpaceDN w:val="0"/>
      <w:adjustRightInd w:val="0"/>
    </w:pPr>
    <w:rPr>
      <w:rFonts w:ascii="Times New Roman" w:hAnsi="Times New Roman"/>
      <w:color w:val="000000"/>
      <w:sz w:val="24"/>
      <w:szCs w:val="24"/>
    </w:rPr>
  </w:style>
  <w:style w:type="paragraph" w:styleId="TOC1">
    <w:name w:val="toc 1"/>
    <w:basedOn w:val="Normal"/>
    <w:next w:val="Normal"/>
    <w:autoRedefine/>
    <w:uiPriority w:val="99"/>
    <w:locked/>
    <w:rsid w:val="00995F55"/>
    <w:pPr>
      <w:tabs>
        <w:tab w:val="right" w:leader="dot" w:pos="8296"/>
      </w:tabs>
      <w:spacing w:before="120" w:after="120"/>
    </w:pPr>
    <w:rPr>
      <w:rFonts w:ascii="Calibri" w:hAnsi="Calibri"/>
      <w:b/>
      <w:bCs/>
      <w:caps/>
      <w:noProof/>
      <w:color w:val="003471"/>
      <w:sz w:val="20"/>
      <w:szCs w:val="20"/>
      <w:lang w:val="nl-NL"/>
    </w:rPr>
  </w:style>
  <w:style w:type="paragraph" w:styleId="TOC2">
    <w:name w:val="toc 2"/>
    <w:basedOn w:val="Normal"/>
    <w:next w:val="Normal"/>
    <w:autoRedefine/>
    <w:uiPriority w:val="99"/>
    <w:locked/>
    <w:rsid w:val="00BF1497"/>
    <w:pPr>
      <w:ind w:left="240"/>
    </w:pPr>
    <w:rPr>
      <w:rFonts w:ascii="Calibri" w:hAnsi="Calibri"/>
      <w:smallCaps/>
      <w:sz w:val="20"/>
      <w:szCs w:val="20"/>
    </w:rPr>
  </w:style>
  <w:style w:type="paragraph" w:styleId="TOC3">
    <w:name w:val="toc 3"/>
    <w:basedOn w:val="Normal"/>
    <w:next w:val="Normal"/>
    <w:autoRedefine/>
    <w:uiPriority w:val="99"/>
    <w:locked/>
    <w:rsid w:val="00BF1497"/>
    <w:pPr>
      <w:ind w:left="480"/>
    </w:pPr>
    <w:rPr>
      <w:rFonts w:ascii="Calibri" w:hAnsi="Calibri"/>
      <w:i/>
      <w:iCs/>
      <w:sz w:val="20"/>
      <w:szCs w:val="20"/>
    </w:rPr>
  </w:style>
  <w:style w:type="paragraph" w:styleId="TOC4">
    <w:name w:val="toc 4"/>
    <w:basedOn w:val="Normal"/>
    <w:next w:val="Normal"/>
    <w:autoRedefine/>
    <w:uiPriority w:val="99"/>
    <w:locked/>
    <w:rsid w:val="00BF1497"/>
    <w:pPr>
      <w:ind w:left="720"/>
    </w:pPr>
    <w:rPr>
      <w:rFonts w:ascii="Calibri" w:hAnsi="Calibri"/>
      <w:sz w:val="18"/>
      <w:szCs w:val="18"/>
    </w:rPr>
  </w:style>
  <w:style w:type="paragraph" w:styleId="TOC5">
    <w:name w:val="toc 5"/>
    <w:basedOn w:val="Normal"/>
    <w:next w:val="Normal"/>
    <w:autoRedefine/>
    <w:uiPriority w:val="99"/>
    <w:locked/>
    <w:rsid w:val="00BF1497"/>
    <w:pPr>
      <w:ind w:left="960"/>
    </w:pPr>
    <w:rPr>
      <w:rFonts w:ascii="Calibri" w:hAnsi="Calibri"/>
      <w:sz w:val="18"/>
      <w:szCs w:val="18"/>
    </w:rPr>
  </w:style>
  <w:style w:type="paragraph" w:styleId="TOC6">
    <w:name w:val="toc 6"/>
    <w:basedOn w:val="Normal"/>
    <w:next w:val="Normal"/>
    <w:autoRedefine/>
    <w:uiPriority w:val="99"/>
    <w:locked/>
    <w:rsid w:val="00BF1497"/>
    <w:pPr>
      <w:ind w:left="1200"/>
    </w:pPr>
    <w:rPr>
      <w:rFonts w:ascii="Calibri" w:hAnsi="Calibri"/>
      <w:sz w:val="18"/>
      <w:szCs w:val="18"/>
    </w:rPr>
  </w:style>
  <w:style w:type="paragraph" w:styleId="TOC7">
    <w:name w:val="toc 7"/>
    <w:basedOn w:val="Normal"/>
    <w:next w:val="Normal"/>
    <w:autoRedefine/>
    <w:uiPriority w:val="99"/>
    <w:locked/>
    <w:rsid w:val="00BF1497"/>
    <w:pPr>
      <w:ind w:left="1440"/>
    </w:pPr>
    <w:rPr>
      <w:rFonts w:ascii="Calibri" w:hAnsi="Calibri"/>
      <w:sz w:val="18"/>
      <w:szCs w:val="18"/>
    </w:rPr>
  </w:style>
  <w:style w:type="paragraph" w:styleId="TOC8">
    <w:name w:val="toc 8"/>
    <w:basedOn w:val="Normal"/>
    <w:next w:val="Normal"/>
    <w:autoRedefine/>
    <w:uiPriority w:val="99"/>
    <w:locked/>
    <w:rsid w:val="00BF1497"/>
    <w:pPr>
      <w:ind w:left="1680"/>
    </w:pPr>
    <w:rPr>
      <w:rFonts w:ascii="Calibri" w:hAnsi="Calibri"/>
      <w:sz w:val="18"/>
      <w:szCs w:val="18"/>
    </w:rPr>
  </w:style>
  <w:style w:type="paragraph" w:styleId="TOC9">
    <w:name w:val="toc 9"/>
    <w:basedOn w:val="Normal"/>
    <w:next w:val="Normal"/>
    <w:autoRedefine/>
    <w:uiPriority w:val="99"/>
    <w:locked/>
    <w:rsid w:val="00BF1497"/>
    <w:pPr>
      <w:ind w:left="1920"/>
    </w:pPr>
    <w:rPr>
      <w:rFonts w:ascii="Calibri" w:hAnsi="Calibri"/>
      <w:sz w:val="18"/>
      <w:szCs w:val="18"/>
    </w:rPr>
  </w:style>
  <w:style w:type="character" w:styleId="Hyperlink">
    <w:name w:val="Hyperlink"/>
    <w:basedOn w:val="DefaultParagraphFont"/>
    <w:uiPriority w:val="99"/>
    <w:rsid w:val="00BF1497"/>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45</Pages>
  <Words>14667</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Bachelorscriptie Robbert Hooijmeijer</dc:title>
  <dc:subject/>
  <dc:creator>Robbert</dc:creator>
  <cp:keywords/>
  <dc:description/>
  <cp:lastModifiedBy>Cia L. Scholte</cp:lastModifiedBy>
  <cp:revision>2</cp:revision>
  <cp:lastPrinted>2010-06-28T09:05:00Z</cp:lastPrinted>
  <dcterms:created xsi:type="dcterms:W3CDTF">2010-07-01T13:05:00Z</dcterms:created>
  <dcterms:modified xsi:type="dcterms:W3CDTF">2010-07-01T13:05:00Z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ISLanguage">
    <vt:lpwstr>\ID2004 Engels</vt:lpwstr>
  </property>
  <property fmtid="{D5CDD505-2E9C-101B-9397-08002B2CF9AE}" pid="3" name="KISTemplate">
    <vt:lpwstr>Bachelorscriptie Robbert Hooijmeijer</vt:lpwstr>
  </property>
</Properties>
</file>