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7AD" w:rsidRPr="00C4559A" w:rsidRDefault="005217AD" w:rsidP="00993F61">
      <w:pPr>
        <w:ind w:firstLine="0"/>
        <w:rPr>
          <w:sz w:val="32"/>
          <w:szCs w:val="32"/>
        </w:rPr>
      </w:pPr>
      <w:bookmarkStart w:id="0" w:name="_Toc263336785"/>
      <w:bookmarkStart w:id="1" w:name="_Toc261344449"/>
      <w:r w:rsidRPr="00C4559A">
        <w:rPr>
          <w:sz w:val="32"/>
          <w:szCs w:val="32"/>
        </w:rPr>
        <w:t>ERASMUS UNIVERSITEIT ROTTERDAM</w:t>
      </w:r>
    </w:p>
    <w:p w:rsidR="005217AD" w:rsidRPr="00C4559A" w:rsidRDefault="005217AD" w:rsidP="00993F61">
      <w:pPr>
        <w:ind w:firstLine="0"/>
        <w:rPr>
          <w:sz w:val="32"/>
          <w:szCs w:val="32"/>
        </w:rPr>
      </w:pPr>
      <w:r w:rsidRPr="00C4559A">
        <w:rPr>
          <w:sz w:val="32"/>
          <w:szCs w:val="32"/>
        </w:rPr>
        <w:t xml:space="preserve">ERASMUS SCHOOL </w:t>
      </w:r>
      <w:r>
        <w:rPr>
          <w:sz w:val="32"/>
          <w:szCs w:val="32"/>
        </w:rPr>
        <w:t>VAN DE ECONOMIE</w:t>
      </w:r>
    </w:p>
    <w:p w:rsidR="005217AD" w:rsidRPr="00C4559A" w:rsidRDefault="005217AD" w:rsidP="00993F61">
      <w:pPr>
        <w:ind w:firstLine="0"/>
        <w:rPr>
          <w:sz w:val="32"/>
          <w:szCs w:val="32"/>
        </w:rPr>
      </w:pPr>
      <w:r w:rsidRPr="00C4559A">
        <w:rPr>
          <w:sz w:val="32"/>
          <w:szCs w:val="32"/>
        </w:rPr>
        <w:t>Bachelor Scriptie Finance</w:t>
      </w:r>
    </w:p>
    <w:p w:rsidR="005217AD" w:rsidRDefault="005217AD" w:rsidP="00993F61">
      <w:pPr>
        <w:ind w:firstLine="0"/>
        <w:rPr>
          <w:sz w:val="40"/>
          <w:szCs w:val="40"/>
        </w:rPr>
      </w:pPr>
    </w:p>
    <w:p w:rsidR="005217AD" w:rsidRDefault="005217AD" w:rsidP="00993F61">
      <w:pPr>
        <w:ind w:firstLine="0"/>
        <w:rPr>
          <w:sz w:val="40"/>
          <w:szCs w:val="40"/>
        </w:rPr>
      </w:pPr>
    </w:p>
    <w:p w:rsidR="005217AD" w:rsidRDefault="005217AD" w:rsidP="00993F61">
      <w:pPr>
        <w:ind w:firstLine="0"/>
        <w:rPr>
          <w:sz w:val="40"/>
          <w:szCs w:val="40"/>
        </w:rPr>
      </w:pPr>
    </w:p>
    <w:p w:rsidR="005217AD" w:rsidRDefault="005217AD" w:rsidP="00993F61">
      <w:pPr>
        <w:ind w:firstLine="0"/>
        <w:rPr>
          <w:sz w:val="40"/>
          <w:szCs w:val="40"/>
        </w:rPr>
      </w:pPr>
    </w:p>
    <w:p w:rsidR="005217AD" w:rsidRDefault="005217AD" w:rsidP="00993F61">
      <w:pPr>
        <w:ind w:firstLine="0"/>
        <w:rPr>
          <w:sz w:val="56"/>
          <w:szCs w:val="56"/>
        </w:rPr>
      </w:pPr>
    </w:p>
    <w:p w:rsidR="005217AD" w:rsidRDefault="005217AD" w:rsidP="00993F61">
      <w:pPr>
        <w:ind w:firstLine="0"/>
        <w:rPr>
          <w:sz w:val="56"/>
          <w:szCs w:val="56"/>
        </w:rPr>
      </w:pPr>
      <w:r>
        <w:rPr>
          <w:sz w:val="56"/>
          <w:szCs w:val="56"/>
        </w:rPr>
        <w:t>DE BOODSCHAP VAN DIVIDEND</w:t>
      </w:r>
    </w:p>
    <w:p w:rsidR="005217AD" w:rsidRDefault="005217AD" w:rsidP="00993F61">
      <w:pPr>
        <w:ind w:firstLine="0"/>
        <w:rPr>
          <w:sz w:val="56"/>
          <w:szCs w:val="56"/>
        </w:rPr>
      </w:pPr>
    </w:p>
    <w:p w:rsidR="005217AD" w:rsidRDefault="005217AD" w:rsidP="00993F61">
      <w:pPr>
        <w:ind w:firstLine="0"/>
        <w:rPr>
          <w:sz w:val="56"/>
          <w:szCs w:val="56"/>
        </w:rPr>
      </w:pPr>
    </w:p>
    <w:p w:rsidR="005217AD" w:rsidRDefault="005217AD" w:rsidP="00993F61">
      <w:pPr>
        <w:ind w:firstLine="0"/>
        <w:rPr>
          <w:sz w:val="56"/>
          <w:szCs w:val="56"/>
        </w:rPr>
      </w:pPr>
    </w:p>
    <w:p w:rsidR="005217AD" w:rsidRDefault="005217AD" w:rsidP="00993F61">
      <w:pPr>
        <w:ind w:firstLine="0"/>
        <w:rPr>
          <w:sz w:val="56"/>
          <w:szCs w:val="56"/>
        </w:rPr>
      </w:pPr>
    </w:p>
    <w:p w:rsidR="005217AD" w:rsidRDefault="005217AD" w:rsidP="00993F61">
      <w:pPr>
        <w:ind w:firstLine="0"/>
        <w:rPr>
          <w:sz w:val="56"/>
          <w:szCs w:val="56"/>
        </w:rPr>
      </w:pPr>
    </w:p>
    <w:p w:rsidR="005217AD" w:rsidRPr="001416F9" w:rsidRDefault="005217AD" w:rsidP="00993F61">
      <w:pPr>
        <w:ind w:firstLine="0"/>
        <w:rPr>
          <w:sz w:val="20"/>
          <w:szCs w:val="20"/>
        </w:rPr>
      </w:pPr>
    </w:p>
    <w:tbl>
      <w:tblPr>
        <w:tblW w:w="0" w:type="auto"/>
        <w:tblLook w:val="00A0"/>
      </w:tblPr>
      <w:tblGrid>
        <w:gridCol w:w="2660"/>
        <w:gridCol w:w="6552"/>
      </w:tblGrid>
      <w:tr w:rsidR="005217AD" w:rsidRPr="00467B78" w:rsidTr="00D754FA">
        <w:tc>
          <w:tcPr>
            <w:tcW w:w="2660" w:type="dxa"/>
          </w:tcPr>
          <w:p w:rsidR="005217AD" w:rsidRPr="00D754FA" w:rsidRDefault="005217AD" w:rsidP="00D754FA">
            <w:pPr>
              <w:ind w:firstLine="0"/>
              <w:rPr>
                <w:sz w:val="32"/>
                <w:szCs w:val="32"/>
              </w:rPr>
            </w:pPr>
            <w:r w:rsidRPr="00D754FA">
              <w:rPr>
                <w:sz w:val="32"/>
                <w:szCs w:val="32"/>
              </w:rPr>
              <w:t>Auteur</w:t>
            </w:r>
          </w:p>
        </w:tc>
        <w:tc>
          <w:tcPr>
            <w:tcW w:w="6552" w:type="dxa"/>
          </w:tcPr>
          <w:p w:rsidR="005217AD" w:rsidRPr="00D754FA" w:rsidRDefault="005217AD" w:rsidP="00D754FA">
            <w:pPr>
              <w:ind w:firstLine="0"/>
              <w:rPr>
                <w:sz w:val="32"/>
                <w:szCs w:val="32"/>
              </w:rPr>
            </w:pPr>
            <w:r w:rsidRPr="00D754FA">
              <w:rPr>
                <w:sz w:val="32"/>
                <w:szCs w:val="32"/>
              </w:rPr>
              <w:t>J.A.N. de Groot</w:t>
            </w:r>
          </w:p>
        </w:tc>
      </w:tr>
      <w:tr w:rsidR="005217AD" w:rsidRPr="00467B78" w:rsidTr="00D754FA">
        <w:tc>
          <w:tcPr>
            <w:tcW w:w="2660" w:type="dxa"/>
          </w:tcPr>
          <w:p w:rsidR="005217AD" w:rsidRPr="00D754FA" w:rsidRDefault="005217AD" w:rsidP="00D754FA">
            <w:pPr>
              <w:ind w:firstLine="0"/>
              <w:rPr>
                <w:sz w:val="32"/>
                <w:szCs w:val="32"/>
              </w:rPr>
            </w:pPr>
            <w:r w:rsidRPr="00D754FA">
              <w:rPr>
                <w:sz w:val="32"/>
                <w:szCs w:val="32"/>
              </w:rPr>
              <w:t>Student nummer</w:t>
            </w:r>
          </w:p>
        </w:tc>
        <w:tc>
          <w:tcPr>
            <w:tcW w:w="6552" w:type="dxa"/>
          </w:tcPr>
          <w:p w:rsidR="005217AD" w:rsidRPr="00D754FA" w:rsidRDefault="005217AD" w:rsidP="00D754FA">
            <w:pPr>
              <w:ind w:firstLine="0"/>
              <w:rPr>
                <w:sz w:val="32"/>
                <w:szCs w:val="32"/>
              </w:rPr>
            </w:pPr>
            <w:r w:rsidRPr="00D754FA">
              <w:rPr>
                <w:sz w:val="32"/>
                <w:szCs w:val="32"/>
              </w:rPr>
              <w:t>316387jg</w:t>
            </w:r>
          </w:p>
        </w:tc>
      </w:tr>
      <w:tr w:rsidR="005217AD" w:rsidRPr="00467B78" w:rsidTr="00D754FA">
        <w:tc>
          <w:tcPr>
            <w:tcW w:w="2660" w:type="dxa"/>
          </w:tcPr>
          <w:p w:rsidR="005217AD" w:rsidRPr="00D754FA" w:rsidRDefault="005217AD" w:rsidP="00D754FA">
            <w:pPr>
              <w:ind w:firstLine="0"/>
              <w:rPr>
                <w:sz w:val="32"/>
                <w:szCs w:val="32"/>
              </w:rPr>
            </w:pPr>
            <w:r w:rsidRPr="00D754FA">
              <w:rPr>
                <w:sz w:val="32"/>
                <w:szCs w:val="32"/>
              </w:rPr>
              <w:t>Scriptie supervisor</w:t>
            </w:r>
          </w:p>
        </w:tc>
        <w:tc>
          <w:tcPr>
            <w:tcW w:w="6552" w:type="dxa"/>
          </w:tcPr>
          <w:p w:rsidR="005217AD" w:rsidRPr="00D754FA" w:rsidRDefault="005217AD" w:rsidP="00D754FA">
            <w:pPr>
              <w:ind w:firstLine="0"/>
              <w:rPr>
                <w:sz w:val="32"/>
                <w:szCs w:val="32"/>
              </w:rPr>
            </w:pPr>
            <w:r w:rsidRPr="00D754FA">
              <w:rPr>
                <w:sz w:val="32"/>
                <w:szCs w:val="32"/>
              </w:rPr>
              <w:t>R. Zwinkels</w:t>
            </w:r>
          </w:p>
        </w:tc>
      </w:tr>
      <w:tr w:rsidR="005217AD" w:rsidRPr="00467B78" w:rsidTr="00D754FA">
        <w:tc>
          <w:tcPr>
            <w:tcW w:w="2660" w:type="dxa"/>
          </w:tcPr>
          <w:p w:rsidR="005217AD" w:rsidRPr="00D754FA" w:rsidRDefault="005217AD" w:rsidP="00D754FA">
            <w:pPr>
              <w:ind w:firstLine="0"/>
              <w:rPr>
                <w:sz w:val="32"/>
                <w:szCs w:val="32"/>
              </w:rPr>
            </w:pPr>
            <w:r w:rsidRPr="00D754FA">
              <w:rPr>
                <w:sz w:val="32"/>
                <w:szCs w:val="32"/>
              </w:rPr>
              <w:t>Eind datum</w:t>
            </w:r>
          </w:p>
        </w:tc>
        <w:tc>
          <w:tcPr>
            <w:tcW w:w="6552" w:type="dxa"/>
          </w:tcPr>
          <w:p w:rsidR="005217AD" w:rsidRPr="00D754FA" w:rsidRDefault="005217AD" w:rsidP="00D754FA">
            <w:pPr>
              <w:ind w:firstLine="0"/>
              <w:rPr>
                <w:sz w:val="32"/>
                <w:szCs w:val="32"/>
              </w:rPr>
            </w:pPr>
          </w:p>
        </w:tc>
      </w:tr>
    </w:tbl>
    <w:p w:rsidR="005217AD" w:rsidRPr="001870CE" w:rsidRDefault="005217AD" w:rsidP="00993F61">
      <w:pPr>
        <w:spacing w:line="240" w:lineRule="auto"/>
        <w:ind w:firstLine="0"/>
        <w:rPr>
          <w:bCs/>
          <w:sz w:val="20"/>
          <w:szCs w:val="18"/>
        </w:rPr>
      </w:pPr>
    </w:p>
    <w:bookmarkStart w:id="2" w:name="_Toc264012469"/>
    <w:p w:rsidR="005217AD" w:rsidRDefault="005217AD">
      <w:pPr>
        <w:pStyle w:val="TOC1"/>
        <w:tabs>
          <w:tab w:val="left" w:pos="880"/>
          <w:tab w:val="right" w:pos="9062"/>
        </w:tabs>
        <w:rPr>
          <w:rFonts w:ascii="Georgia" w:hAnsi="Georgia"/>
          <w:b w:val="0"/>
          <w:noProof/>
          <w:kern w:val="0"/>
          <w:sz w:val="22"/>
          <w:lang w:eastAsia="nl-NL"/>
        </w:rPr>
      </w:pPr>
      <w:r>
        <w:fldChar w:fldCharType="begin"/>
      </w:r>
      <w:r>
        <w:instrText xml:space="preserve"> TOC \o "1-2" \h \z \u </w:instrText>
      </w:r>
      <w:r>
        <w:fldChar w:fldCharType="separate"/>
      </w:r>
      <w:hyperlink w:anchor="_Toc267486036" w:history="1">
        <w:r w:rsidRPr="00E90F7D">
          <w:rPr>
            <w:rStyle w:val="Hyperlink"/>
            <w:noProof/>
          </w:rPr>
          <w:t>1</w:t>
        </w:r>
        <w:r>
          <w:rPr>
            <w:rFonts w:ascii="Georgia" w:hAnsi="Georgia"/>
            <w:b w:val="0"/>
            <w:noProof/>
            <w:kern w:val="0"/>
            <w:sz w:val="22"/>
            <w:lang w:eastAsia="nl-NL"/>
          </w:rPr>
          <w:tab/>
        </w:r>
        <w:r w:rsidRPr="00E90F7D">
          <w:rPr>
            <w:rStyle w:val="Hyperlink"/>
            <w:noProof/>
          </w:rPr>
          <w:t>Inleiding</w:t>
        </w:r>
        <w:r>
          <w:rPr>
            <w:noProof/>
            <w:webHidden/>
          </w:rPr>
          <w:tab/>
        </w:r>
        <w:r>
          <w:rPr>
            <w:noProof/>
            <w:webHidden/>
          </w:rPr>
          <w:fldChar w:fldCharType="begin"/>
        </w:r>
        <w:r>
          <w:rPr>
            <w:noProof/>
            <w:webHidden/>
          </w:rPr>
          <w:instrText xml:space="preserve"> PAGEREF _Toc267486036 \h </w:instrText>
        </w:r>
        <w:r>
          <w:rPr>
            <w:noProof/>
            <w:webHidden/>
          </w:rPr>
        </w:r>
        <w:r>
          <w:rPr>
            <w:noProof/>
            <w:webHidden/>
          </w:rPr>
          <w:fldChar w:fldCharType="separate"/>
        </w:r>
        <w:r>
          <w:rPr>
            <w:noProof/>
            <w:webHidden/>
          </w:rPr>
          <w:t>2</w:t>
        </w:r>
        <w:r>
          <w:rPr>
            <w:noProof/>
            <w:webHidden/>
          </w:rPr>
          <w:fldChar w:fldCharType="end"/>
        </w:r>
      </w:hyperlink>
    </w:p>
    <w:p w:rsidR="005217AD" w:rsidRDefault="005217AD">
      <w:pPr>
        <w:pStyle w:val="TOC1"/>
        <w:tabs>
          <w:tab w:val="left" w:pos="880"/>
          <w:tab w:val="right" w:pos="9062"/>
        </w:tabs>
        <w:rPr>
          <w:rFonts w:ascii="Georgia" w:hAnsi="Georgia"/>
          <w:b w:val="0"/>
          <w:noProof/>
          <w:kern w:val="0"/>
          <w:sz w:val="22"/>
          <w:lang w:eastAsia="nl-NL"/>
        </w:rPr>
      </w:pPr>
      <w:hyperlink w:anchor="_Toc267486037" w:history="1">
        <w:r w:rsidRPr="00E90F7D">
          <w:rPr>
            <w:rStyle w:val="Hyperlink"/>
            <w:noProof/>
          </w:rPr>
          <w:t>2</w:t>
        </w:r>
        <w:r>
          <w:rPr>
            <w:rFonts w:ascii="Georgia" w:hAnsi="Georgia"/>
            <w:b w:val="0"/>
            <w:noProof/>
            <w:kern w:val="0"/>
            <w:sz w:val="22"/>
            <w:lang w:eastAsia="nl-NL"/>
          </w:rPr>
          <w:tab/>
        </w:r>
        <w:r w:rsidRPr="00E90F7D">
          <w:rPr>
            <w:rStyle w:val="Hyperlink"/>
            <w:noProof/>
          </w:rPr>
          <w:t>De Theorie</w:t>
        </w:r>
        <w:r>
          <w:rPr>
            <w:noProof/>
            <w:webHidden/>
          </w:rPr>
          <w:tab/>
        </w:r>
        <w:r>
          <w:rPr>
            <w:noProof/>
            <w:webHidden/>
          </w:rPr>
          <w:fldChar w:fldCharType="begin"/>
        </w:r>
        <w:r>
          <w:rPr>
            <w:noProof/>
            <w:webHidden/>
          </w:rPr>
          <w:instrText xml:space="preserve"> PAGEREF _Toc267486037 \h </w:instrText>
        </w:r>
        <w:r>
          <w:rPr>
            <w:noProof/>
            <w:webHidden/>
          </w:rPr>
        </w:r>
        <w:r>
          <w:rPr>
            <w:noProof/>
            <w:webHidden/>
          </w:rPr>
          <w:fldChar w:fldCharType="separate"/>
        </w:r>
        <w:r>
          <w:rPr>
            <w:noProof/>
            <w:webHidden/>
          </w:rPr>
          <w:t>4</w:t>
        </w:r>
        <w:r>
          <w:rPr>
            <w:noProof/>
            <w:webHidden/>
          </w:rPr>
          <w:fldChar w:fldCharType="end"/>
        </w:r>
      </w:hyperlink>
    </w:p>
    <w:p w:rsidR="005217AD" w:rsidRDefault="005217AD">
      <w:pPr>
        <w:pStyle w:val="TOC2"/>
        <w:tabs>
          <w:tab w:val="left" w:pos="1320"/>
          <w:tab w:val="right" w:pos="9062"/>
        </w:tabs>
        <w:rPr>
          <w:rFonts w:ascii="Georgia" w:hAnsi="Georgia"/>
          <w:noProof/>
          <w:kern w:val="0"/>
          <w:sz w:val="22"/>
          <w:lang w:eastAsia="nl-NL"/>
        </w:rPr>
      </w:pPr>
      <w:hyperlink w:anchor="_Toc267486038" w:history="1">
        <w:r w:rsidRPr="00E90F7D">
          <w:rPr>
            <w:rStyle w:val="Hyperlink"/>
            <w:noProof/>
          </w:rPr>
          <w:t>2.1</w:t>
        </w:r>
        <w:r>
          <w:rPr>
            <w:rFonts w:ascii="Georgia" w:hAnsi="Georgia"/>
            <w:noProof/>
            <w:kern w:val="0"/>
            <w:sz w:val="22"/>
            <w:lang w:eastAsia="nl-NL"/>
          </w:rPr>
          <w:tab/>
        </w:r>
        <w:r w:rsidRPr="00E90F7D">
          <w:rPr>
            <w:rStyle w:val="Hyperlink"/>
            <w:noProof/>
          </w:rPr>
          <w:t>Irrelevantie van uitbetaling en uitbetalingbeleid</w:t>
        </w:r>
        <w:r>
          <w:rPr>
            <w:noProof/>
            <w:webHidden/>
          </w:rPr>
          <w:tab/>
        </w:r>
        <w:r>
          <w:rPr>
            <w:noProof/>
            <w:webHidden/>
          </w:rPr>
          <w:fldChar w:fldCharType="begin"/>
        </w:r>
        <w:r>
          <w:rPr>
            <w:noProof/>
            <w:webHidden/>
          </w:rPr>
          <w:instrText xml:space="preserve"> PAGEREF _Toc267486038 \h </w:instrText>
        </w:r>
        <w:r>
          <w:rPr>
            <w:noProof/>
            <w:webHidden/>
          </w:rPr>
        </w:r>
        <w:r>
          <w:rPr>
            <w:noProof/>
            <w:webHidden/>
          </w:rPr>
          <w:fldChar w:fldCharType="separate"/>
        </w:r>
        <w:r>
          <w:rPr>
            <w:noProof/>
            <w:webHidden/>
          </w:rPr>
          <w:t>5</w:t>
        </w:r>
        <w:r>
          <w:rPr>
            <w:noProof/>
            <w:webHidden/>
          </w:rPr>
          <w:fldChar w:fldCharType="end"/>
        </w:r>
      </w:hyperlink>
    </w:p>
    <w:p w:rsidR="005217AD" w:rsidRDefault="005217AD">
      <w:pPr>
        <w:pStyle w:val="TOC2"/>
        <w:tabs>
          <w:tab w:val="left" w:pos="1320"/>
          <w:tab w:val="right" w:pos="9062"/>
        </w:tabs>
        <w:rPr>
          <w:rFonts w:ascii="Georgia" w:hAnsi="Georgia"/>
          <w:noProof/>
          <w:kern w:val="0"/>
          <w:sz w:val="22"/>
          <w:lang w:eastAsia="nl-NL"/>
        </w:rPr>
      </w:pPr>
      <w:hyperlink w:anchor="_Toc267486039" w:history="1">
        <w:r w:rsidRPr="00E90F7D">
          <w:rPr>
            <w:rStyle w:val="Hyperlink"/>
            <w:noProof/>
          </w:rPr>
          <w:t>2.2</w:t>
        </w:r>
        <w:r>
          <w:rPr>
            <w:rFonts w:ascii="Georgia" w:hAnsi="Georgia"/>
            <w:noProof/>
            <w:kern w:val="0"/>
            <w:sz w:val="22"/>
            <w:lang w:eastAsia="nl-NL"/>
          </w:rPr>
          <w:tab/>
        </w:r>
        <w:r w:rsidRPr="00E90F7D">
          <w:rPr>
            <w:rStyle w:val="Hyperlink"/>
            <w:noProof/>
          </w:rPr>
          <w:t>Belang van uitbetaling</w:t>
        </w:r>
        <w:r>
          <w:rPr>
            <w:noProof/>
            <w:webHidden/>
          </w:rPr>
          <w:tab/>
        </w:r>
        <w:r>
          <w:rPr>
            <w:noProof/>
            <w:webHidden/>
          </w:rPr>
          <w:fldChar w:fldCharType="begin"/>
        </w:r>
        <w:r>
          <w:rPr>
            <w:noProof/>
            <w:webHidden/>
          </w:rPr>
          <w:instrText xml:space="preserve"> PAGEREF _Toc267486039 \h </w:instrText>
        </w:r>
        <w:r>
          <w:rPr>
            <w:noProof/>
            <w:webHidden/>
          </w:rPr>
        </w:r>
        <w:r>
          <w:rPr>
            <w:noProof/>
            <w:webHidden/>
          </w:rPr>
          <w:fldChar w:fldCharType="separate"/>
        </w:r>
        <w:r>
          <w:rPr>
            <w:noProof/>
            <w:webHidden/>
          </w:rPr>
          <w:t>5</w:t>
        </w:r>
        <w:r>
          <w:rPr>
            <w:noProof/>
            <w:webHidden/>
          </w:rPr>
          <w:fldChar w:fldCharType="end"/>
        </w:r>
      </w:hyperlink>
    </w:p>
    <w:p w:rsidR="005217AD" w:rsidRDefault="005217AD">
      <w:pPr>
        <w:pStyle w:val="TOC2"/>
        <w:tabs>
          <w:tab w:val="left" w:pos="1320"/>
          <w:tab w:val="right" w:pos="9062"/>
        </w:tabs>
        <w:rPr>
          <w:rFonts w:ascii="Georgia" w:hAnsi="Georgia"/>
          <w:noProof/>
          <w:kern w:val="0"/>
          <w:sz w:val="22"/>
          <w:lang w:eastAsia="nl-NL"/>
        </w:rPr>
      </w:pPr>
      <w:hyperlink w:anchor="_Toc267486040" w:history="1">
        <w:r w:rsidRPr="00E90F7D">
          <w:rPr>
            <w:rStyle w:val="Hyperlink"/>
            <w:noProof/>
          </w:rPr>
          <w:t>2.3</w:t>
        </w:r>
        <w:r>
          <w:rPr>
            <w:rFonts w:ascii="Georgia" w:hAnsi="Georgia"/>
            <w:noProof/>
            <w:kern w:val="0"/>
            <w:sz w:val="22"/>
            <w:lang w:eastAsia="nl-NL"/>
          </w:rPr>
          <w:tab/>
        </w:r>
        <w:r w:rsidRPr="00E90F7D">
          <w:rPr>
            <w:rStyle w:val="Hyperlink"/>
            <w:noProof/>
          </w:rPr>
          <w:t>Signalering</w:t>
        </w:r>
        <w:r>
          <w:rPr>
            <w:noProof/>
            <w:webHidden/>
          </w:rPr>
          <w:tab/>
        </w:r>
        <w:r>
          <w:rPr>
            <w:noProof/>
            <w:webHidden/>
          </w:rPr>
          <w:fldChar w:fldCharType="begin"/>
        </w:r>
        <w:r>
          <w:rPr>
            <w:noProof/>
            <w:webHidden/>
          </w:rPr>
          <w:instrText xml:space="preserve"> PAGEREF _Toc267486040 \h </w:instrText>
        </w:r>
        <w:r>
          <w:rPr>
            <w:noProof/>
            <w:webHidden/>
          </w:rPr>
        </w:r>
        <w:r>
          <w:rPr>
            <w:noProof/>
            <w:webHidden/>
          </w:rPr>
          <w:fldChar w:fldCharType="separate"/>
        </w:r>
        <w:r>
          <w:rPr>
            <w:noProof/>
            <w:webHidden/>
          </w:rPr>
          <w:t>6</w:t>
        </w:r>
        <w:r>
          <w:rPr>
            <w:noProof/>
            <w:webHidden/>
          </w:rPr>
          <w:fldChar w:fldCharType="end"/>
        </w:r>
      </w:hyperlink>
    </w:p>
    <w:p w:rsidR="005217AD" w:rsidRDefault="005217AD">
      <w:pPr>
        <w:pStyle w:val="TOC2"/>
        <w:tabs>
          <w:tab w:val="left" w:pos="1320"/>
          <w:tab w:val="right" w:pos="9062"/>
        </w:tabs>
        <w:rPr>
          <w:rFonts w:ascii="Georgia" w:hAnsi="Georgia"/>
          <w:noProof/>
          <w:kern w:val="0"/>
          <w:sz w:val="22"/>
          <w:lang w:eastAsia="nl-NL"/>
        </w:rPr>
      </w:pPr>
      <w:hyperlink w:anchor="_Toc267486041" w:history="1">
        <w:r w:rsidRPr="00E90F7D">
          <w:rPr>
            <w:rStyle w:val="Hyperlink"/>
            <w:noProof/>
          </w:rPr>
          <w:t>2.4</w:t>
        </w:r>
        <w:r>
          <w:rPr>
            <w:rFonts w:ascii="Georgia" w:hAnsi="Georgia"/>
            <w:noProof/>
            <w:kern w:val="0"/>
            <w:sz w:val="22"/>
            <w:lang w:eastAsia="nl-NL"/>
          </w:rPr>
          <w:tab/>
        </w:r>
        <w:r w:rsidRPr="00E90F7D">
          <w:rPr>
            <w:rStyle w:val="Hyperlink"/>
            <w:noProof/>
          </w:rPr>
          <w:t>Marktimperfecties</w:t>
        </w:r>
        <w:r>
          <w:rPr>
            <w:noProof/>
            <w:webHidden/>
          </w:rPr>
          <w:tab/>
        </w:r>
        <w:r>
          <w:rPr>
            <w:noProof/>
            <w:webHidden/>
          </w:rPr>
          <w:fldChar w:fldCharType="begin"/>
        </w:r>
        <w:r>
          <w:rPr>
            <w:noProof/>
            <w:webHidden/>
          </w:rPr>
          <w:instrText xml:space="preserve"> PAGEREF _Toc267486041 \h </w:instrText>
        </w:r>
        <w:r>
          <w:rPr>
            <w:noProof/>
            <w:webHidden/>
          </w:rPr>
        </w:r>
        <w:r>
          <w:rPr>
            <w:noProof/>
            <w:webHidden/>
          </w:rPr>
          <w:fldChar w:fldCharType="separate"/>
        </w:r>
        <w:r>
          <w:rPr>
            <w:noProof/>
            <w:webHidden/>
          </w:rPr>
          <w:t>7</w:t>
        </w:r>
        <w:r>
          <w:rPr>
            <w:noProof/>
            <w:webHidden/>
          </w:rPr>
          <w:fldChar w:fldCharType="end"/>
        </w:r>
      </w:hyperlink>
    </w:p>
    <w:p w:rsidR="005217AD" w:rsidRDefault="005217AD">
      <w:pPr>
        <w:pStyle w:val="TOC2"/>
        <w:tabs>
          <w:tab w:val="left" w:pos="1320"/>
          <w:tab w:val="right" w:pos="9062"/>
        </w:tabs>
        <w:rPr>
          <w:rFonts w:ascii="Georgia" w:hAnsi="Georgia"/>
          <w:noProof/>
          <w:kern w:val="0"/>
          <w:sz w:val="22"/>
          <w:lang w:eastAsia="nl-NL"/>
        </w:rPr>
      </w:pPr>
      <w:hyperlink w:anchor="_Toc267486042" w:history="1">
        <w:r w:rsidRPr="00E90F7D">
          <w:rPr>
            <w:rStyle w:val="Hyperlink"/>
            <w:noProof/>
          </w:rPr>
          <w:t>2.5</w:t>
        </w:r>
        <w:r>
          <w:rPr>
            <w:rFonts w:ascii="Georgia" w:hAnsi="Georgia"/>
            <w:noProof/>
            <w:kern w:val="0"/>
            <w:sz w:val="22"/>
            <w:lang w:eastAsia="nl-NL"/>
          </w:rPr>
          <w:tab/>
        </w:r>
        <w:r w:rsidRPr="00E90F7D">
          <w:rPr>
            <w:rStyle w:val="Hyperlink"/>
            <w:noProof/>
          </w:rPr>
          <w:t>Appendix</w:t>
        </w:r>
        <w:r>
          <w:rPr>
            <w:noProof/>
            <w:webHidden/>
          </w:rPr>
          <w:tab/>
        </w:r>
        <w:r>
          <w:rPr>
            <w:noProof/>
            <w:webHidden/>
          </w:rPr>
          <w:fldChar w:fldCharType="begin"/>
        </w:r>
        <w:r>
          <w:rPr>
            <w:noProof/>
            <w:webHidden/>
          </w:rPr>
          <w:instrText xml:space="preserve"> PAGEREF _Toc267486042 \h </w:instrText>
        </w:r>
        <w:r>
          <w:rPr>
            <w:noProof/>
            <w:webHidden/>
          </w:rPr>
        </w:r>
        <w:r>
          <w:rPr>
            <w:noProof/>
            <w:webHidden/>
          </w:rPr>
          <w:fldChar w:fldCharType="separate"/>
        </w:r>
        <w:r>
          <w:rPr>
            <w:noProof/>
            <w:webHidden/>
          </w:rPr>
          <w:t>9</w:t>
        </w:r>
        <w:r>
          <w:rPr>
            <w:noProof/>
            <w:webHidden/>
          </w:rPr>
          <w:fldChar w:fldCharType="end"/>
        </w:r>
      </w:hyperlink>
    </w:p>
    <w:p w:rsidR="005217AD" w:rsidRDefault="005217AD">
      <w:pPr>
        <w:pStyle w:val="TOC1"/>
        <w:tabs>
          <w:tab w:val="left" w:pos="880"/>
          <w:tab w:val="right" w:pos="9062"/>
        </w:tabs>
        <w:rPr>
          <w:rFonts w:ascii="Georgia" w:hAnsi="Georgia"/>
          <w:b w:val="0"/>
          <w:noProof/>
          <w:kern w:val="0"/>
          <w:sz w:val="22"/>
          <w:lang w:eastAsia="nl-NL"/>
        </w:rPr>
      </w:pPr>
      <w:hyperlink w:anchor="_Toc267486043" w:history="1">
        <w:r w:rsidRPr="00E90F7D">
          <w:rPr>
            <w:rStyle w:val="Hyperlink"/>
            <w:noProof/>
          </w:rPr>
          <w:t>3</w:t>
        </w:r>
        <w:r>
          <w:rPr>
            <w:rFonts w:ascii="Georgia" w:hAnsi="Georgia"/>
            <w:b w:val="0"/>
            <w:noProof/>
            <w:kern w:val="0"/>
            <w:sz w:val="22"/>
            <w:lang w:eastAsia="nl-NL"/>
          </w:rPr>
          <w:tab/>
        </w:r>
        <w:r w:rsidRPr="00E90F7D">
          <w:rPr>
            <w:rStyle w:val="Hyperlink"/>
            <w:noProof/>
          </w:rPr>
          <w:t>Data en data verzameling</w:t>
        </w:r>
        <w:r>
          <w:rPr>
            <w:noProof/>
            <w:webHidden/>
          </w:rPr>
          <w:tab/>
        </w:r>
        <w:r>
          <w:rPr>
            <w:noProof/>
            <w:webHidden/>
          </w:rPr>
          <w:fldChar w:fldCharType="begin"/>
        </w:r>
        <w:r>
          <w:rPr>
            <w:noProof/>
            <w:webHidden/>
          </w:rPr>
          <w:instrText xml:space="preserve"> PAGEREF _Toc267486043 \h </w:instrText>
        </w:r>
        <w:r>
          <w:rPr>
            <w:noProof/>
            <w:webHidden/>
          </w:rPr>
        </w:r>
        <w:r>
          <w:rPr>
            <w:noProof/>
            <w:webHidden/>
          </w:rPr>
          <w:fldChar w:fldCharType="separate"/>
        </w:r>
        <w:r>
          <w:rPr>
            <w:noProof/>
            <w:webHidden/>
          </w:rPr>
          <w:t>11</w:t>
        </w:r>
        <w:r>
          <w:rPr>
            <w:noProof/>
            <w:webHidden/>
          </w:rPr>
          <w:fldChar w:fldCharType="end"/>
        </w:r>
      </w:hyperlink>
    </w:p>
    <w:p w:rsidR="005217AD" w:rsidRDefault="005217AD">
      <w:pPr>
        <w:pStyle w:val="TOC1"/>
        <w:tabs>
          <w:tab w:val="left" w:pos="880"/>
          <w:tab w:val="right" w:pos="9062"/>
        </w:tabs>
        <w:rPr>
          <w:rFonts w:ascii="Georgia" w:hAnsi="Georgia"/>
          <w:b w:val="0"/>
          <w:noProof/>
          <w:kern w:val="0"/>
          <w:sz w:val="22"/>
          <w:lang w:eastAsia="nl-NL"/>
        </w:rPr>
      </w:pPr>
      <w:hyperlink w:anchor="_Toc267486044" w:history="1">
        <w:r w:rsidRPr="00E90F7D">
          <w:rPr>
            <w:rStyle w:val="Hyperlink"/>
            <w:noProof/>
          </w:rPr>
          <w:t>4</w:t>
        </w:r>
        <w:r>
          <w:rPr>
            <w:rFonts w:ascii="Georgia" w:hAnsi="Georgia"/>
            <w:b w:val="0"/>
            <w:noProof/>
            <w:kern w:val="0"/>
            <w:sz w:val="22"/>
            <w:lang w:eastAsia="nl-NL"/>
          </w:rPr>
          <w:tab/>
        </w:r>
        <w:r w:rsidRPr="00E90F7D">
          <w:rPr>
            <w:rStyle w:val="Hyperlink"/>
            <w:noProof/>
          </w:rPr>
          <w:t>Bevat dividenduitkering informatie volgens de markt?</w:t>
        </w:r>
        <w:r>
          <w:rPr>
            <w:noProof/>
            <w:webHidden/>
          </w:rPr>
          <w:tab/>
        </w:r>
        <w:r>
          <w:rPr>
            <w:noProof/>
            <w:webHidden/>
          </w:rPr>
          <w:fldChar w:fldCharType="begin"/>
        </w:r>
        <w:r>
          <w:rPr>
            <w:noProof/>
            <w:webHidden/>
          </w:rPr>
          <w:instrText xml:space="preserve"> PAGEREF _Toc267486044 \h </w:instrText>
        </w:r>
        <w:r>
          <w:rPr>
            <w:noProof/>
            <w:webHidden/>
          </w:rPr>
        </w:r>
        <w:r>
          <w:rPr>
            <w:noProof/>
            <w:webHidden/>
          </w:rPr>
          <w:fldChar w:fldCharType="separate"/>
        </w:r>
        <w:r>
          <w:rPr>
            <w:noProof/>
            <w:webHidden/>
          </w:rPr>
          <w:t>13</w:t>
        </w:r>
        <w:r>
          <w:rPr>
            <w:noProof/>
            <w:webHidden/>
          </w:rPr>
          <w:fldChar w:fldCharType="end"/>
        </w:r>
      </w:hyperlink>
    </w:p>
    <w:p w:rsidR="005217AD" w:rsidRDefault="005217AD">
      <w:pPr>
        <w:pStyle w:val="TOC2"/>
        <w:tabs>
          <w:tab w:val="left" w:pos="1320"/>
          <w:tab w:val="right" w:pos="9062"/>
        </w:tabs>
        <w:rPr>
          <w:rFonts w:ascii="Georgia" w:hAnsi="Georgia"/>
          <w:noProof/>
          <w:kern w:val="0"/>
          <w:sz w:val="22"/>
          <w:lang w:eastAsia="nl-NL"/>
        </w:rPr>
      </w:pPr>
      <w:hyperlink w:anchor="_Toc267486045" w:history="1">
        <w:r w:rsidRPr="00E90F7D">
          <w:rPr>
            <w:rStyle w:val="Hyperlink"/>
            <w:noProof/>
          </w:rPr>
          <w:t>4.1</w:t>
        </w:r>
        <w:r>
          <w:rPr>
            <w:rFonts w:ascii="Georgia" w:hAnsi="Georgia"/>
            <w:noProof/>
            <w:kern w:val="0"/>
            <w:sz w:val="22"/>
            <w:lang w:eastAsia="nl-NL"/>
          </w:rPr>
          <w:tab/>
        </w:r>
        <w:r w:rsidRPr="00E90F7D">
          <w:rPr>
            <w:rStyle w:val="Hyperlink"/>
            <w:noProof/>
          </w:rPr>
          <w:t>Dividend verwachting en realisatie</w:t>
        </w:r>
        <w:r>
          <w:rPr>
            <w:noProof/>
            <w:webHidden/>
          </w:rPr>
          <w:tab/>
        </w:r>
        <w:r>
          <w:rPr>
            <w:noProof/>
            <w:webHidden/>
          </w:rPr>
          <w:fldChar w:fldCharType="begin"/>
        </w:r>
        <w:r>
          <w:rPr>
            <w:noProof/>
            <w:webHidden/>
          </w:rPr>
          <w:instrText xml:space="preserve"> PAGEREF _Toc267486045 \h </w:instrText>
        </w:r>
        <w:r>
          <w:rPr>
            <w:noProof/>
            <w:webHidden/>
          </w:rPr>
        </w:r>
        <w:r>
          <w:rPr>
            <w:noProof/>
            <w:webHidden/>
          </w:rPr>
          <w:fldChar w:fldCharType="separate"/>
        </w:r>
        <w:r>
          <w:rPr>
            <w:noProof/>
            <w:webHidden/>
          </w:rPr>
          <w:t>13</w:t>
        </w:r>
        <w:r>
          <w:rPr>
            <w:noProof/>
            <w:webHidden/>
          </w:rPr>
          <w:fldChar w:fldCharType="end"/>
        </w:r>
      </w:hyperlink>
    </w:p>
    <w:p w:rsidR="005217AD" w:rsidRDefault="005217AD">
      <w:pPr>
        <w:pStyle w:val="TOC2"/>
        <w:tabs>
          <w:tab w:val="left" w:pos="1320"/>
          <w:tab w:val="right" w:pos="9062"/>
        </w:tabs>
        <w:rPr>
          <w:rFonts w:ascii="Georgia" w:hAnsi="Georgia"/>
          <w:noProof/>
          <w:kern w:val="0"/>
          <w:sz w:val="22"/>
          <w:lang w:eastAsia="nl-NL"/>
        </w:rPr>
      </w:pPr>
      <w:hyperlink w:anchor="_Toc267486046" w:history="1">
        <w:r w:rsidRPr="00E90F7D">
          <w:rPr>
            <w:rStyle w:val="Hyperlink"/>
            <w:noProof/>
          </w:rPr>
          <w:t>4.2</w:t>
        </w:r>
        <w:r>
          <w:rPr>
            <w:rFonts w:ascii="Georgia" w:hAnsi="Georgia"/>
            <w:noProof/>
            <w:kern w:val="0"/>
            <w:sz w:val="22"/>
            <w:lang w:eastAsia="nl-NL"/>
          </w:rPr>
          <w:tab/>
        </w:r>
        <w:r w:rsidRPr="00E90F7D">
          <w:rPr>
            <w:rStyle w:val="Hyperlink"/>
            <w:noProof/>
          </w:rPr>
          <w:t>Berekening en evaluatie van abnormale rendementen</w:t>
        </w:r>
        <w:r>
          <w:rPr>
            <w:noProof/>
            <w:webHidden/>
          </w:rPr>
          <w:tab/>
        </w:r>
        <w:r>
          <w:rPr>
            <w:noProof/>
            <w:webHidden/>
          </w:rPr>
          <w:fldChar w:fldCharType="begin"/>
        </w:r>
        <w:r>
          <w:rPr>
            <w:noProof/>
            <w:webHidden/>
          </w:rPr>
          <w:instrText xml:space="preserve"> PAGEREF _Toc267486046 \h </w:instrText>
        </w:r>
        <w:r>
          <w:rPr>
            <w:noProof/>
            <w:webHidden/>
          </w:rPr>
        </w:r>
        <w:r>
          <w:rPr>
            <w:noProof/>
            <w:webHidden/>
          </w:rPr>
          <w:fldChar w:fldCharType="separate"/>
        </w:r>
        <w:r>
          <w:rPr>
            <w:noProof/>
            <w:webHidden/>
          </w:rPr>
          <w:t>14</w:t>
        </w:r>
        <w:r>
          <w:rPr>
            <w:noProof/>
            <w:webHidden/>
          </w:rPr>
          <w:fldChar w:fldCharType="end"/>
        </w:r>
      </w:hyperlink>
    </w:p>
    <w:p w:rsidR="005217AD" w:rsidRDefault="005217AD">
      <w:pPr>
        <w:pStyle w:val="TOC2"/>
        <w:tabs>
          <w:tab w:val="left" w:pos="1320"/>
          <w:tab w:val="right" w:pos="9062"/>
        </w:tabs>
        <w:rPr>
          <w:rFonts w:ascii="Georgia" w:hAnsi="Georgia"/>
          <w:noProof/>
          <w:kern w:val="0"/>
          <w:sz w:val="22"/>
          <w:lang w:eastAsia="nl-NL"/>
        </w:rPr>
      </w:pPr>
      <w:hyperlink w:anchor="_Toc267486047" w:history="1">
        <w:r w:rsidRPr="00E90F7D">
          <w:rPr>
            <w:rStyle w:val="Hyperlink"/>
            <w:noProof/>
          </w:rPr>
          <w:t>4.3</w:t>
        </w:r>
        <w:r>
          <w:rPr>
            <w:rFonts w:ascii="Georgia" w:hAnsi="Georgia"/>
            <w:noProof/>
            <w:kern w:val="0"/>
            <w:sz w:val="22"/>
            <w:lang w:eastAsia="nl-NL"/>
          </w:rPr>
          <w:tab/>
        </w:r>
        <w:r w:rsidRPr="00E90F7D">
          <w:rPr>
            <w:rStyle w:val="Hyperlink"/>
            <w:noProof/>
          </w:rPr>
          <w:t>Toetsing van vermoedens</w:t>
        </w:r>
        <w:r>
          <w:rPr>
            <w:noProof/>
            <w:webHidden/>
          </w:rPr>
          <w:tab/>
        </w:r>
        <w:r>
          <w:rPr>
            <w:noProof/>
            <w:webHidden/>
          </w:rPr>
          <w:fldChar w:fldCharType="begin"/>
        </w:r>
        <w:r>
          <w:rPr>
            <w:noProof/>
            <w:webHidden/>
          </w:rPr>
          <w:instrText xml:space="preserve"> PAGEREF _Toc267486047 \h </w:instrText>
        </w:r>
        <w:r>
          <w:rPr>
            <w:noProof/>
            <w:webHidden/>
          </w:rPr>
        </w:r>
        <w:r>
          <w:rPr>
            <w:noProof/>
            <w:webHidden/>
          </w:rPr>
          <w:fldChar w:fldCharType="separate"/>
        </w:r>
        <w:r>
          <w:rPr>
            <w:noProof/>
            <w:webHidden/>
          </w:rPr>
          <w:t>16</w:t>
        </w:r>
        <w:r>
          <w:rPr>
            <w:noProof/>
            <w:webHidden/>
          </w:rPr>
          <w:fldChar w:fldCharType="end"/>
        </w:r>
      </w:hyperlink>
    </w:p>
    <w:p w:rsidR="005217AD" w:rsidRDefault="005217AD">
      <w:pPr>
        <w:pStyle w:val="TOC2"/>
        <w:tabs>
          <w:tab w:val="left" w:pos="1320"/>
          <w:tab w:val="right" w:pos="9062"/>
        </w:tabs>
        <w:rPr>
          <w:rFonts w:ascii="Georgia" w:hAnsi="Georgia"/>
          <w:noProof/>
          <w:kern w:val="0"/>
          <w:sz w:val="22"/>
          <w:lang w:eastAsia="nl-NL"/>
        </w:rPr>
      </w:pPr>
      <w:hyperlink w:anchor="_Toc267486048" w:history="1">
        <w:r w:rsidRPr="00E90F7D">
          <w:rPr>
            <w:rStyle w:val="Hyperlink"/>
            <w:noProof/>
          </w:rPr>
          <w:t>4.4</w:t>
        </w:r>
        <w:r>
          <w:rPr>
            <w:rFonts w:ascii="Georgia" w:hAnsi="Georgia"/>
            <w:noProof/>
            <w:kern w:val="0"/>
            <w:sz w:val="22"/>
            <w:lang w:eastAsia="nl-NL"/>
          </w:rPr>
          <w:tab/>
        </w:r>
        <w:r w:rsidRPr="00E90F7D">
          <w:rPr>
            <w:rStyle w:val="Hyperlink"/>
            <w:noProof/>
          </w:rPr>
          <w:t>Investering door marktimperfectie</w:t>
        </w:r>
        <w:r>
          <w:rPr>
            <w:noProof/>
            <w:webHidden/>
          </w:rPr>
          <w:tab/>
        </w:r>
        <w:r>
          <w:rPr>
            <w:noProof/>
            <w:webHidden/>
          </w:rPr>
          <w:fldChar w:fldCharType="begin"/>
        </w:r>
        <w:r>
          <w:rPr>
            <w:noProof/>
            <w:webHidden/>
          </w:rPr>
          <w:instrText xml:space="preserve"> PAGEREF _Toc267486048 \h </w:instrText>
        </w:r>
        <w:r>
          <w:rPr>
            <w:noProof/>
            <w:webHidden/>
          </w:rPr>
        </w:r>
        <w:r>
          <w:rPr>
            <w:noProof/>
            <w:webHidden/>
          </w:rPr>
          <w:fldChar w:fldCharType="separate"/>
        </w:r>
        <w:r>
          <w:rPr>
            <w:noProof/>
            <w:webHidden/>
          </w:rPr>
          <w:t>20</w:t>
        </w:r>
        <w:r>
          <w:rPr>
            <w:noProof/>
            <w:webHidden/>
          </w:rPr>
          <w:fldChar w:fldCharType="end"/>
        </w:r>
      </w:hyperlink>
    </w:p>
    <w:p w:rsidR="005217AD" w:rsidRDefault="005217AD">
      <w:pPr>
        <w:pStyle w:val="TOC1"/>
        <w:tabs>
          <w:tab w:val="left" w:pos="880"/>
          <w:tab w:val="right" w:pos="9062"/>
        </w:tabs>
        <w:rPr>
          <w:rFonts w:ascii="Georgia" w:hAnsi="Georgia"/>
          <w:b w:val="0"/>
          <w:noProof/>
          <w:kern w:val="0"/>
          <w:sz w:val="22"/>
          <w:lang w:eastAsia="nl-NL"/>
        </w:rPr>
      </w:pPr>
      <w:hyperlink w:anchor="_Toc267486049" w:history="1">
        <w:r w:rsidRPr="00E90F7D">
          <w:rPr>
            <w:rStyle w:val="Hyperlink"/>
            <w:noProof/>
          </w:rPr>
          <w:t>5</w:t>
        </w:r>
        <w:r>
          <w:rPr>
            <w:rFonts w:ascii="Georgia" w:hAnsi="Georgia"/>
            <w:b w:val="0"/>
            <w:noProof/>
            <w:kern w:val="0"/>
            <w:sz w:val="22"/>
            <w:lang w:eastAsia="nl-NL"/>
          </w:rPr>
          <w:tab/>
        </w:r>
        <w:r w:rsidRPr="00E90F7D">
          <w:rPr>
            <w:rStyle w:val="Hyperlink"/>
            <w:noProof/>
          </w:rPr>
          <w:t>Wat is de mogelijk economische significantie?</w:t>
        </w:r>
        <w:r>
          <w:rPr>
            <w:noProof/>
            <w:webHidden/>
          </w:rPr>
          <w:tab/>
        </w:r>
        <w:r>
          <w:rPr>
            <w:noProof/>
            <w:webHidden/>
          </w:rPr>
          <w:fldChar w:fldCharType="begin"/>
        </w:r>
        <w:r>
          <w:rPr>
            <w:noProof/>
            <w:webHidden/>
          </w:rPr>
          <w:instrText xml:space="preserve"> PAGEREF _Toc267486049 \h </w:instrText>
        </w:r>
        <w:r>
          <w:rPr>
            <w:noProof/>
            <w:webHidden/>
          </w:rPr>
        </w:r>
        <w:r>
          <w:rPr>
            <w:noProof/>
            <w:webHidden/>
          </w:rPr>
          <w:fldChar w:fldCharType="separate"/>
        </w:r>
        <w:r>
          <w:rPr>
            <w:noProof/>
            <w:webHidden/>
          </w:rPr>
          <w:t>22</w:t>
        </w:r>
        <w:r>
          <w:rPr>
            <w:noProof/>
            <w:webHidden/>
          </w:rPr>
          <w:fldChar w:fldCharType="end"/>
        </w:r>
      </w:hyperlink>
    </w:p>
    <w:p w:rsidR="005217AD" w:rsidRDefault="005217AD">
      <w:pPr>
        <w:pStyle w:val="TOC2"/>
        <w:tabs>
          <w:tab w:val="left" w:pos="1320"/>
          <w:tab w:val="right" w:pos="9062"/>
        </w:tabs>
        <w:rPr>
          <w:rFonts w:ascii="Georgia" w:hAnsi="Georgia"/>
          <w:noProof/>
          <w:kern w:val="0"/>
          <w:sz w:val="22"/>
          <w:lang w:eastAsia="nl-NL"/>
        </w:rPr>
      </w:pPr>
      <w:hyperlink w:anchor="_Toc267486050" w:history="1">
        <w:r w:rsidRPr="00E90F7D">
          <w:rPr>
            <w:rStyle w:val="Hyperlink"/>
            <w:noProof/>
          </w:rPr>
          <w:t>5.1</w:t>
        </w:r>
        <w:r>
          <w:rPr>
            <w:rFonts w:ascii="Georgia" w:hAnsi="Georgia"/>
            <w:noProof/>
            <w:kern w:val="0"/>
            <w:sz w:val="22"/>
            <w:lang w:eastAsia="nl-NL"/>
          </w:rPr>
          <w:tab/>
        </w:r>
        <w:r w:rsidRPr="00E90F7D">
          <w:rPr>
            <w:rStyle w:val="Hyperlink"/>
            <w:noProof/>
          </w:rPr>
          <w:t>Regressie</w:t>
        </w:r>
        <w:r>
          <w:rPr>
            <w:noProof/>
            <w:webHidden/>
          </w:rPr>
          <w:tab/>
        </w:r>
        <w:r>
          <w:rPr>
            <w:noProof/>
            <w:webHidden/>
          </w:rPr>
          <w:fldChar w:fldCharType="begin"/>
        </w:r>
        <w:r>
          <w:rPr>
            <w:noProof/>
            <w:webHidden/>
          </w:rPr>
          <w:instrText xml:space="preserve"> PAGEREF _Toc267486050 \h </w:instrText>
        </w:r>
        <w:r>
          <w:rPr>
            <w:noProof/>
            <w:webHidden/>
          </w:rPr>
        </w:r>
        <w:r>
          <w:rPr>
            <w:noProof/>
            <w:webHidden/>
          </w:rPr>
          <w:fldChar w:fldCharType="separate"/>
        </w:r>
        <w:r>
          <w:rPr>
            <w:noProof/>
            <w:webHidden/>
          </w:rPr>
          <w:t>22</w:t>
        </w:r>
        <w:r>
          <w:rPr>
            <w:noProof/>
            <w:webHidden/>
          </w:rPr>
          <w:fldChar w:fldCharType="end"/>
        </w:r>
      </w:hyperlink>
    </w:p>
    <w:p w:rsidR="005217AD" w:rsidRDefault="005217AD">
      <w:pPr>
        <w:pStyle w:val="TOC2"/>
        <w:tabs>
          <w:tab w:val="left" w:pos="1320"/>
          <w:tab w:val="right" w:pos="9062"/>
        </w:tabs>
        <w:rPr>
          <w:rFonts w:ascii="Georgia" w:hAnsi="Georgia"/>
          <w:noProof/>
          <w:kern w:val="0"/>
          <w:sz w:val="22"/>
          <w:lang w:eastAsia="nl-NL"/>
        </w:rPr>
      </w:pPr>
      <w:hyperlink w:anchor="_Toc267486051" w:history="1">
        <w:r w:rsidRPr="00E90F7D">
          <w:rPr>
            <w:rStyle w:val="Hyperlink"/>
            <w:noProof/>
          </w:rPr>
          <w:t>5.2</w:t>
        </w:r>
        <w:r>
          <w:rPr>
            <w:rFonts w:ascii="Georgia" w:hAnsi="Georgia"/>
            <w:noProof/>
            <w:kern w:val="0"/>
            <w:sz w:val="22"/>
            <w:lang w:eastAsia="nl-NL"/>
          </w:rPr>
          <w:tab/>
        </w:r>
        <w:r w:rsidRPr="00E90F7D">
          <w:rPr>
            <w:rStyle w:val="Hyperlink"/>
            <w:noProof/>
          </w:rPr>
          <w:t>De uitkomsten</w:t>
        </w:r>
        <w:r>
          <w:rPr>
            <w:noProof/>
            <w:webHidden/>
          </w:rPr>
          <w:tab/>
        </w:r>
        <w:r>
          <w:rPr>
            <w:noProof/>
            <w:webHidden/>
          </w:rPr>
          <w:fldChar w:fldCharType="begin"/>
        </w:r>
        <w:r>
          <w:rPr>
            <w:noProof/>
            <w:webHidden/>
          </w:rPr>
          <w:instrText xml:space="preserve"> PAGEREF _Toc267486051 \h </w:instrText>
        </w:r>
        <w:r>
          <w:rPr>
            <w:noProof/>
            <w:webHidden/>
          </w:rPr>
        </w:r>
        <w:r>
          <w:rPr>
            <w:noProof/>
            <w:webHidden/>
          </w:rPr>
          <w:fldChar w:fldCharType="separate"/>
        </w:r>
        <w:r>
          <w:rPr>
            <w:noProof/>
            <w:webHidden/>
          </w:rPr>
          <w:t>23</w:t>
        </w:r>
        <w:r>
          <w:rPr>
            <w:noProof/>
            <w:webHidden/>
          </w:rPr>
          <w:fldChar w:fldCharType="end"/>
        </w:r>
      </w:hyperlink>
    </w:p>
    <w:p w:rsidR="005217AD" w:rsidRDefault="005217AD">
      <w:pPr>
        <w:pStyle w:val="TOC1"/>
        <w:tabs>
          <w:tab w:val="left" w:pos="880"/>
          <w:tab w:val="right" w:pos="9062"/>
        </w:tabs>
        <w:rPr>
          <w:rFonts w:ascii="Georgia" w:hAnsi="Georgia"/>
          <w:b w:val="0"/>
          <w:noProof/>
          <w:kern w:val="0"/>
          <w:sz w:val="22"/>
          <w:lang w:eastAsia="nl-NL"/>
        </w:rPr>
      </w:pPr>
      <w:hyperlink w:anchor="_Toc267486052" w:history="1">
        <w:r w:rsidRPr="00E90F7D">
          <w:rPr>
            <w:rStyle w:val="Hyperlink"/>
            <w:noProof/>
          </w:rPr>
          <w:t>6</w:t>
        </w:r>
        <w:r>
          <w:rPr>
            <w:rFonts w:ascii="Georgia" w:hAnsi="Georgia"/>
            <w:b w:val="0"/>
            <w:noProof/>
            <w:kern w:val="0"/>
            <w:sz w:val="22"/>
            <w:lang w:eastAsia="nl-NL"/>
          </w:rPr>
          <w:tab/>
        </w:r>
        <w:r w:rsidRPr="00E90F7D">
          <w:rPr>
            <w:rStyle w:val="Hyperlink"/>
            <w:noProof/>
          </w:rPr>
          <w:t>Conclusie en discussie</w:t>
        </w:r>
        <w:r>
          <w:rPr>
            <w:noProof/>
            <w:webHidden/>
          </w:rPr>
          <w:tab/>
        </w:r>
        <w:r>
          <w:rPr>
            <w:noProof/>
            <w:webHidden/>
          </w:rPr>
          <w:fldChar w:fldCharType="begin"/>
        </w:r>
        <w:r>
          <w:rPr>
            <w:noProof/>
            <w:webHidden/>
          </w:rPr>
          <w:instrText xml:space="preserve"> PAGEREF _Toc267486052 \h </w:instrText>
        </w:r>
        <w:r>
          <w:rPr>
            <w:noProof/>
            <w:webHidden/>
          </w:rPr>
        </w:r>
        <w:r>
          <w:rPr>
            <w:noProof/>
            <w:webHidden/>
          </w:rPr>
          <w:fldChar w:fldCharType="separate"/>
        </w:r>
        <w:r>
          <w:rPr>
            <w:noProof/>
            <w:webHidden/>
          </w:rPr>
          <w:t>24</w:t>
        </w:r>
        <w:r>
          <w:rPr>
            <w:noProof/>
            <w:webHidden/>
          </w:rPr>
          <w:fldChar w:fldCharType="end"/>
        </w:r>
      </w:hyperlink>
    </w:p>
    <w:p w:rsidR="005217AD" w:rsidRDefault="005217AD">
      <w:pPr>
        <w:pStyle w:val="TOC1"/>
        <w:tabs>
          <w:tab w:val="right" w:pos="9062"/>
        </w:tabs>
        <w:rPr>
          <w:rFonts w:ascii="Georgia" w:hAnsi="Georgia"/>
          <w:b w:val="0"/>
          <w:noProof/>
          <w:kern w:val="0"/>
          <w:sz w:val="22"/>
          <w:lang w:eastAsia="nl-NL"/>
        </w:rPr>
      </w:pPr>
      <w:hyperlink w:anchor="_Toc267486053" w:history="1">
        <w:r w:rsidRPr="00E90F7D">
          <w:rPr>
            <w:rStyle w:val="Hyperlink"/>
            <w:noProof/>
            <w:lang w:val="en-US"/>
          </w:rPr>
          <w:t>Bibliografie</w:t>
        </w:r>
        <w:r>
          <w:rPr>
            <w:noProof/>
            <w:webHidden/>
          </w:rPr>
          <w:tab/>
        </w:r>
        <w:r>
          <w:rPr>
            <w:noProof/>
            <w:webHidden/>
          </w:rPr>
          <w:fldChar w:fldCharType="begin"/>
        </w:r>
        <w:r>
          <w:rPr>
            <w:noProof/>
            <w:webHidden/>
          </w:rPr>
          <w:instrText xml:space="preserve"> PAGEREF _Toc267486053 \h </w:instrText>
        </w:r>
        <w:r>
          <w:rPr>
            <w:noProof/>
            <w:webHidden/>
          </w:rPr>
        </w:r>
        <w:r>
          <w:rPr>
            <w:noProof/>
            <w:webHidden/>
          </w:rPr>
          <w:fldChar w:fldCharType="separate"/>
        </w:r>
        <w:r>
          <w:rPr>
            <w:noProof/>
            <w:webHidden/>
          </w:rPr>
          <w:t>25</w:t>
        </w:r>
        <w:r>
          <w:rPr>
            <w:noProof/>
            <w:webHidden/>
          </w:rPr>
          <w:fldChar w:fldCharType="end"/>
        </w:r>
      </w:hyperlink>
    </w:p>
    <w:p w:rsidR="005217AD" w:rsidRDefault="005217AD" w:rsidP="00993F61">
      <w:pPr>
        <w:spacing w:line="240" w:lineRule="auto"/>
        <w:ind w:firstLine="0"/>
        <w:rPr>
          <w:b/>
          <w:bCs/>
          <w:sz w:val="28"/>
          <w:szCs w:val="24"/>
          <w:lang w:eastAsia="nl-NL"/>
        </w:rPr>
      </w:pPr>
      <w:r>
        <w:fldChar w:fldCharType="end"/>
      </w:r>
      <w:r>
        <w:br w:type="page"/>
      </w:r>
    </w:p>
    <w:tbl>
      <w:tblPr>
        <w:tblW w:w="0" w:type="auto"/>
        <w:tblBorders>
          <w:top w:val="single" w:sz="4" w:space="0" w:color="auto"/>
          <w:bottom w:val="single" w:sz="4" w:space="0" w:color="auto"/>
        </w:tblBorders>
        <w:tblLook w:val="00A0"/>
      </w:tblPr>
      <w:tblGrid>
        <w:gridCol w:w="9212"/>
      </w:tblGrid>
      <w:tr w:rsidR="005217AD" w:rsidTr="00D754FA">
        <w:tc>
          <w:tcPr>
            <w:tcW w:w="9212" w:type="dxa"/>
            <w:tcBorders>
              <w:top w:val="single" w:sz="4" w:space="0" w:color="auto"/>
              <w:bottom w:val="single" w:sz="4" w:space="0" w:color="auto"/>
            </w:tcBorders>
          </w:tcPr>
          <w:p w:rsidR="005217AD" w:rsidRDefault="005217AD" w:rsidP="00993F61">
            <w:r>
              <w:t xml:space="preserve">In deze scriptie is onderzoek gedaan naar mogelijke signaal effecten, die aandeelhouders van Nederlandse ondernemingen hedendaags denken te ontvangen, en de reactie van de markt met betrekking tot de waardering. Hiervoor is, binnen een steekproef van 167 ondernemingen die in Nederland beursgenoteerd zijn op de AEX, een causaal verband gezocht tussen verschil in verwacht en gerealiseerd dividend en mutaties in de waardering van de ondernemingen rond de dividendaankondiging. Er blijkt een statistisch significante marktreactie plaats te vinden rond deze periode. De economische significantie is echter in twijfel te trekken, maar vindt mogelijk zijn oorzaak in het tijdsinterval van de steekproef. </w:t>
            </w:r>
            <w:r w:rsidRPr="0018408E">
              <w:t>Het onderzochte tijdsinterval is namelijk de periode 2005 – 2010, waarin de kredietcrisis valt.</w:t>
            </w:r>
          </w:p>
        </w:tc>
      </w:tr>
    </w:tbl>
    <w:p w:rsidR="005217AD" w:rsidRDefault="005217AD" w:rsidP="00993F61">
      <w:pPr>
        <w:pStyle w:val="Heading1"/>
        <w:numPr>
          <w:ilvl w:val="0"/>
          <w:numId w:val="5"/>
        </w:numPr>
      </w:pPr>
      <w:bookmarkStart w:id="3" w:name="_Toc267486036"/>
      <w:r>
        <w:t>Inleiding</w:t>
      </w:r>
      <w:bookmarkEnd w:id="2"/>
      <w:bookmarkEnd w:id="3"/>
      <w:bookmarkEnd w:id="0"/>
    </w:p>
    <w:p w:rsidR="005217AD" w:rsidRDefault="005217AD" w:rsidP="00993F61">
      <w:r>
        <w:t xml:space="preserve">In de geschiedenis van statistisch onderzoek binnen de financiële sector van de economie zijn vele onderzoeken gedaan op het gebied van dividendbeleid. Zoals </w:t>
      </w:r>
      <w:r>
        <w:rPr>
          <w:noProof/>
        </w:rPr>
        <w:t>Miller en Modigliani (1961)</w:t>
      </w:r>
      <w:r>
        <w:t xml:space="preserve"> al benadrukten, kent dividenduitkering, binnen de aanname van een perfecte markt, geen relevantie. Toch kennen ondernemingen belang toe aan deze tak van beleid. Zeker in de tijd van Lintner </w:t>
      </w:r>
      <w:r>
        <w:rPr>
          <w:noProof/>
        </w:rPr>
        <w:t>(1956)</w:t>
      </w:r>
      <w:r>
        <w:t xml:space="preserve">, die een enquête hield onder het management van ondernemingen over hun visie op dividend beleid, bleek dat management veel belang toekende aan dividendbeleid. Zeker gezien de theoretische irrelevantie. In meer recent soortgelijk onderzoek van </w:t>
      </w:r>
      <w:r>
        <w:rPr>
          <w:noProof/>
        </w:rPr>
        <w:t>Brav, et al. (2005)</w:t>
      </w:r>
      <w:r>
        <w:t xml:space="preserve"> blijkt deze gradatie enigszins te zijn afgenomen. Toch gaven de verschillende leidinggevenden aan een preferentie te hebben voor aandelenterugkoop, als substituut voor dividenduitkering. De oorzaak hiervoor ligt in de flexibiliteit, wat wijst op de angst voor wijzigingen in het dividendbeleid.</w:t>
      </w:r>
    </w:p>
    <w:p w:rsidR="005217AD" w:rsidRDefault="005217AD" w:rsidP="00993F61">
      <w:r>
        <w:t xml:space="preserve">Veel onderzoekers hebben onderzoek verricht waarin gepleit wordt voor een mogelijk signalerend effect over toekomstverwachtingen van het management (e.g. </w:t>
      </w:r>
      <w:r w:rsidRPr="0064669B">
        <w:rPr>
          <w:noProof/>
        </w:rPr>
        <w:t xml:space="preserve">Bhattacharya </w:t>
      </w:r>
      <w:r>
        <w:rPr>
          <w:noProof/>
        </w:rPr>
        <w:t>(1979)</w:t>
      </w:r>
      <w:r>
        <w:t xml:space="preserve">; </w:t>
      </w:r>
      <w:r w:rsidRPr="0064669B">
        <w:rPr>
          <w:noProof/>
        </w:rPr>
        <w:t>Miller en Rock</w:t>
      </w:r>
      <w:r>
        <w:t xml:space="preserve"> </w:t>
      </w:r>
      <w:r>
        <w:rPr>
          <w:noProof/>
        </w:rPr>
        <w:t>(1985)</w:t>
      </w:r>
      <w:r w:rsidRPr="0064669B">
        <w:rPr>
          <w:noProof/>
        </w:rPr>
        <w:t>; John en Williams</w:t>
      </w:r>
      <w:r>
        <w:rPr>
          <w:noProof/>
        </w:rPr>
        <w:t>(1985)</w:t>
      </w:r>
      <w:r w:rsidRPr="0064669B">
        <w:t>).</w:t>
      </w:r>
      <w:r>
        <w:t xml:space="preserve"> Ook </w:t>
      </w:r>
      <w:r>
        <w:rPr>
          <w:noProof/>
        </w:rPr>
        <w:t>Miller en Modigliani (1961)</w:t>
      </w:r>
      <w:r>
        <w:t>, die de irrelevantie van dividenduitkering benadrukten, kende deze mogelijkheid toe aan dit beleid. De informatieve lading is dan ook de reden, dat aanpassingen moeizaam gebeuren.</w:t>
      </w:r>
    </w:p>
    <w:p w:rsidR="005217AD" w:rsidRDefault="005217AD" w:rsidP="00993F61">
      <w:r>
        <w:t xml:space="preserve">Onderzoeken, naar marktreacties op mutaties in dividenduitbetaling, wijzen over algemeen op een positieve correlatie tussen het verschil in verwacht en daadwerkelijk dividend en de marktwaardering van een onderneming(e.g. </w:t>
      </w:r>
      <w:r>
        <w:rPr>
          <w:noProof/>
        </w:rPr>
        <w:t>Aharony en Swary</w:t>
      </w:r>
      <w:r>
        <w:t xml:space="preserve"> </w:t>
      </w:r>
      <w:r>
        <w:rPr>
          <w:noProof/>
        </w:rPr>
        <w:t>(1980)</w:t>
      </w:r>
      <w:r>
        <w:t xml:space="preserve">, </w:t>
      </w:r>
      <w:r>
        <w:rPr>
          <w:noProof/>
        </w:rPr>
        <w:t>Asquith en Mullins(1983)</w:t>
      </w:r>
      <w:r>
        <w:t xml:space="preserve">, </w:t>
      </w:r>
      <w:r>
        <w:rPr>
          <w:noProof/>
        </w:rPr>
        <w:t>Jin</w:t>
      </w:r>
      <w:r>
        <w:t xml:space="preserve"> </w:t>
      </w:r>
      <w:r>
        <w:rPr>
          <w:noProof/>
        </w:rPr>
        <w:t>(2000)</w:t>
      </w:r>
      <w:r>
        <w:t>,</w:t>
      </w:r>
      <w:r w:rsidRPr="00FF16B2">
        <w:rPr>
          <w:noProof/>
        </w:rPr>
        <w:t xml:space="preserve"> </w:t>
      </w:r>
      <w:r>
        <w:rPr>
          <w:noProof/>
        </w:rPr>
        <w:t>Michaely, Thaler en Womack</w:t>
      </w:r>
      <w:r>
        <w:t xml:space="preserve"> </w:t>
      </w:r>
      <w:r>
        <w:rPr>
          <w:noProof/>
        </w:rPr>
        <w:t>(1995)</w:t>
      </w:r>
      <w:r>
        <w:t xml:space="preserve"> en </w:t>
      </w:r>
      <w:r>
        <w:rPr>
          <w:noProof/>
        </w:rPr>
        <w:t>Yoon en Starks</w:t>
      </w:r>
      <w:r>
        <w:t xml:space="preserve"> </w:t>
      </w:r>
      <w:r>
        <w:rPr>
          <w:noProof/>
        </w:rPr>
        <w:t>(1995)</w:t>
      </w:r>
      <w:r>
        <w:t xml:space="preserve">).  Deze uitkomsten ondersteunen, door de significante correlaties, de  signalering theorie.  </w:t>
      </w:r>
    </w:p>
    <w:p w:rsidR="005217AD" w:rsidRDefault="005217AD" w:rsidP="00993F61">
      <w:r>
        <w:t>Deze scriptie is gericht op de hedendaagse ontvangst van deze mogelijke signalen</w:t>
      </w:r>
      <w:r w:rsidRPr="00371133">
        <w:t xml:space="preserve"> </w:t>
      </w:r>
      <w:r>
        <w:t>door de Nederlandse markt. De nadruk ligt op de Nederlandse markt met de reden dat onderzoek, naar deze signalen, normaliter gericht is op internationale landen, of werelddelen. In deze scriptie zal getracht worden om de vraag te beantwoorden, of aandeelhouders van in Nederland beursgenoteerde ondernemingen een reactie in waardering hebben op het moment van dividendaankondiging. Er wordt hierbij getracht om een vermoeden van causaliteit toe te schrijven aan de onverwachte hoogte van de dividenduitkeringen. Hiermee zal impliciet worden getoetst, of de markt van Nederlandse ondernemingen</w:t>
      </w:r>
      <w:r>
        <w:rPr>
          <w:rStyle w:val="FootnoteReference"/>
        </w:rPr>
        <w:footnoteReference w:id="2"/>
      </w:r>
      <w:r>
        <w:t xml:space="preserve"> een boodschap, ook wel signaal, toekent aan mutaties in dividendbeleid.</w:t>
      </w:r>
    </w:p>
    <w:p w:rsidR="005217AD" w:rsidRDefault="005217AD" w:rsidP="00993F61">
      <w:r>
        <w:t xml:space="preserve">Achtereenvolgens zal eerst een theoretisch kader worden geschetst in hoofdstuk </w:t>
      </w:r>
      <w:fldSimple w:instr=" REF _Ref264539028 \n \h  \* MERGEFORMAT ">
        <w:r>
          <w:t>2</w:t>
        </w:r>
      </w:fldSimple>
      <w:r>
        <w:t xml:space="preserve">. Vervolgens zal de steekproef voor het onderzoek worden gekarakteriseerd en beargumenteerd in hoofdstuk </w:t>
      </w:r>
      <w:fldSimple w:instr=" REF _Ref264539105 \n \h  \* MERGEFORMAT ">
        <w:r>
          <w:t>3</w:t>
        </w:r>
      </w:fldSimple>
      <w:r>
        <w:t xml:space="preserve">. Deze zal in hoofdstuk </w:t>
      </w:r>
      <w:fldSimple w:instr=" REF _Ref263335116 \n \h  \* MERGEFORMAT ">
        <w:r>
          <w:t>4</w:t>
        </w:r>
      </w:fldSimple>
      <w:r>
        <w:t xml:space="preserve"> onderworpen worden aan statistische toets ter beantwoording van de hoofdvraag van deze scriptie. De belangrijkste resultaten en de uiteindelijke beantwoording van de hoofdvraag zullen, als afsluiting van deze scriptie, uiteen worden gezet in hoofdstuk </w:t>
      </w:r>
      <w:fldSimple w:instr=" REF _Ref264539356 \n \h  \* MERGEFORMAT ">
        <w:r>
          <w:t>5</w:t>
        </w:r>
      </w:fldSimple>
      <w:r>
        <w:t xml:space="preserve">.  </w:t>
      </w:r>
    </w:p>
    <w:p w:rsidR="005217AD" w:rsidRPr="0064669B" w:rsidRDefault="005217AD" w:rsidP="00993F61"/>
    <w:p w:rsidR="005217AD" w:rsidRPr="0064669B" w:rsidRDefault="005217AD" w:rsidP="00993F61">
      <w:pPr>
        <w:spacing w:line="240" w:lineRule="auto"/>
        <w:ind w:firstLine="0"/>
        <w:rPr>
          <w:b/>
          <w:bCs/>
          <w:sz w:val="28"/>
          <w:szCs w:val="24"/>
          <w:lang w:eastAsia="nl-NL"/>
        </w:rPr>
      </w:pPr>
      <w:bookmarkStart w:id="4" w:name="_Toc263336786"/>
      <w:bookmarkStart w:id="5" w:name="_Toc264012470"/>
      <w:r w:rsidRPr="0064669B">
        <w:br w:type="page"/>
      </w:r>
    </w:p>
    <w:p w:rsidR="005217AD" w:rsidRDefault="005217AD" w:rsidP="00993F61">
      <w:pPr>
        <w:pStyle w:val="Heading1"/>
        <w:numPr>
          <w:ilvl w:val="0"/>
          <w:numId w:val="5"/>
        </w:numPr>
      </w:pPr>
      <w:bookmarkStart w:id="6" w:name="_Ref264539028"/>
      <w:bookmarkStart w:id="7" w:name="_Toc267486037"/>
      <w:r>
        <w:t>De Theorie</w:t>
      </w:r>
      <w:bookmarkEnd w:id="4"/>
      <w:bookmarkEnd w:id="5"/>
      <w:bookmarkEnd w:id="6"/>
      <w:bookmarkEnd w:id="7"/>
      <w:bookmarkEnd w:id="1"/>
    </w:p>
    <w:p w:rsidR="005217AD" w:rsidRDefault="005217AD" w:rsidP="00993F61">
      <w:r>
        <w:t>Uit operaties van een onderneming komen kasstromen voort. De kasstromen die overblijven na aftrek van uitgaven, die nodig zijn voor investeringen en het operationeel blijven van de onderneming</w:t>
      </w:r>
      <w:r>
        <w:rPr>
          <w:rStyle w:val="FootnoteReference"/>
        </w:rPr>
        <w:footnoteReference w:id="3"/>
      </w:r>
      <w:r>
        <w:t>, zijn de vrije kasstromen.  De toekomstige kasstromen bepalen, na verdiscontering met de juiste vermogenskostenvoet, de marktwaarde van de onderneming. Dit doordat het de vergoeding voor de belegger is voor zijn/haar investering. Bij beslissingen omtrent de allocatie van deze vrije kasstromen zijn grofweg twee opties te benoemen. Deze opties betreffen het aanhouden en dus later uitkeren in de vorm van de kasreserves</w:t>
      </w:r>
      <w:r>
        <w:rPr>
          <w:rStyle w:val="FootnoteReference"/>
        </w:rPr>
        <w:footnoteReference w:id="4"/>
      </w:r>
      <w:r>
        <w:t>, of het uitbetalen aan de vermogensverschaffers</w:t>
      </w:r>
      <w:r>
        <w:rPr>
          <w:rStyle w:val="FootnoteReference"/>
        </w:rPr>
        <w:footnoteReference w:id="5"/>
      </w:r>
      <w:r>
        <w:t>. Deze laatste optie heeft onder andere betrekking op het beleid van uitbetaling aan de eigen vermogensverschaffers van de onderneming. Hiervan is dividend een mogelijke vorm</w:t>
      </w:r>
      <w:r>
        <w:rPr>
          <w:rStyle w:val="FootnoteReference"/>
        </w:rPr>
        <w:footnoteReference w:id="6"/>
      </w:r>
      <w:r>
        <w:t>.</w:t>
      </w:r>
    </w:p>
    <w:p w:rsidR="005217AD" w:rsidRDefault="005217AD" w:rsidP="00993F61">
      <w:r>
        <w:t>In dit hoofdstuk zal een theoretisch kader worden gevormd met betrekking tot deze dividenduitkering en de mogelijke signalen die dit beleid kan geven aan de markt. Het is een rectificatie voor het onderzoek en de conclusies in de komende hoofdstukken. Dit zal achtereenvolgend gebeuren door eerst de irrelevantie van uitbetaling en de keuze tussen twee vormen van uitbetaling te bespreken (</w:t>
      </w:r>
      <w:fldSimple w:instr=" REF _Ref261343369 \n \h  \* MERGEFORMAT ">
        <w:r>
          <w:t>2.1</w:t>
        </w:r>
      </w:fldSimple>
      <w:r>
        <w:t>), namelijk dividenduitkering en de terugkoop van eigen aandelen. Dit onder de aanname van een perfecte markt. Vervolgens zal het belang voor de empirie van uitkering wordt benadrukt (</w:t>
      </w:r>
      <w:fldSimple w:instr=" REF _Ref261343245 \n \h  \* MERGEFORMAT ">
        <w:r>
          <w:t>2.2</w:t>
        </w:r>
      </w:fldSimple>
      <w:r>
        <w:t>). Daarna zal de gedragswetenschappelijke kant van uitbetaling, in de vorm van (mogelijke) signaaleffecten die het management geeft aan de markt, worden besproken (</w:t>
      </w:r>
      <w:fldSimple w:instr=" REF _Ref262041621 \r \h  \* MERGEFORMAT ">
        <w:r>
          <w:t>2.3</w:t>
        </w:r>
      </w:fldSimple>
      <w:r>
        <w:t>). Afgesloten zal worden met het geheel loslaten van de aanname van een perfecte markt en zullen enkele marktimperfecties genoemd worden, die de keuze tussen de eerder genoemde vormen van uitkering relevant kunnen maken (</w:t>
      </w:r>
      <w:fldSimple w:instr=" REF _Ref261343389 \n \h  \* MERGEFORMAT ">
        <w:r>
          <w:t>2.4</w:t>
        </w:r>
      </w:fldSimple>
      <w:r>
        <w:t xml:space="preserve">). </w:t>
      </w:r>
    </w:p>
    <w:p w:rsidR="005217AD" w:rsidRDefault="005217AD" w:rsidP="00993F61">
      <w:pPr>
        <w:pStyle w:val="Heading2"/>
        <w:numPr>
          <w:ilvl w:val="1"/>
          <w:numId w:val="5"/>
        </w:numPr>
      </w:pPr>
      <w:bookmarkStart w:id="8" w:name="_Ref261343369"/>
      <w:bookmarkStart w:id="9" w:name="_Toc261344451"/>
      <w:bookmarkStart w:id="10" w:name="_Ref261544651"/>
      <w:bookmarkStart w:id="11" w:name="_Toc263336787"/>
      <w:bookmarkStart w:id="12" w:name="_Toc264012471"/>
      <w:bookmarkStart w:id="13" w:name="_Toc267486038"/>
      <w:r w:rsidRPr="00C37E4E">
        <w:t>Irrelevantie</w:t>
      </w:r>
      <w:r>
        <w:t xml:space="preserve"> van uitbetaling en </w:t>
      </w:r>
      <w:bookmarkEnd w:id="8"/>
      <w:bookmarkEnd w:id="9"/>
      <w:r>
        <w:t>uitbetalingbeleid</w:t>
      </w:r>
      <w:bookmarkEnd w:id="10"/>
      <w:bookmarkEnd w:id="11"/>
      <w:bookmarkEnd w:id="12"/>
      <w:bookmarkEnd w:id="13"/>
    </w:p>
    <w:p w:rsidR="005217AD" w:rsidRDefault="005217AD" w:rsidP="00993F61">
      <w:pPr>
        <w:rPr>
          <w:lang w:eastAsia="nl-NL"/>
        </w:rPr>
      </w:pPr>
      <w:r>
        <w:rPr>
          <w:lang w:eastAsia="nl-NL"/>
        </w:rPr>
        <w:t xml:space="preserve">In deze paragraaf zal de irrelevantie van uitbetaling en de keuze betreffende de vorm van uitbetaling worden uitgewerkt. Deze irrelevantie is echter gevormd vanuit een theoretisch kader, dat wordt begrensd door aannames, die in de volgende paragrafen zullen worden weerlegd. Het doel van deze paragraaf is om aan te tonen dat er onder een perfecte markt geen belang is voor uitbetaling en er geen onderscheid van belang is voor de keuze van de vorm van uitbetaling. Het onderscheid kan dus enkel gevormd worden door marktimperfecties. </w:t>
      </w:r>
    </w:p>
    <w:p w:rsidR="005217AD" w:rsidRPr="005E7B85" w:rsidRDefault="005217AD" w:rsidP="00993F61">
      <w:pPr>
        <w:rPr>
          <w:lang w:eastAsia="nl-NL"/>
        </w:rPr>
      </w:pPr>
      <w:r>
        <w:rPr>
          <w:lang w:eastAsia="nl-NL"/>
        </w:rPr>
        <w:t xml:space="preserve">Het idee, dat uitkering theoretisch niet van belang is, werd al benadrukt door </w:t>
      </w:r>
      <w:r>
        <w:rPr>
          <w:noProof/>
          <w:lang w:eastAsia="nl-NL"/>
        </w:rPr>
        <w:t>Miller en Modigliani (1961)</w:t>
      </w:r>
      <w:r>
        <w:rPr>
          <w:lang w:eastAsia="nl-NL"/>
        </w:rPr>
        <w:t>. De waarde van een onderneming wordt enkel bepaald door de mogelijkheid om toekomstige kasstromen te realiseren en, daarmee samenhangend, de investeringen die de onderneming doet. De waarde is dus enkel afhankelijk van hoeveel de markt denkt dat de onderneming in de toekomst zal retourneren en baseren hier hun prijs op. Hierbij is de keuze van aanhouden van kasgeld, of uitbetalen slechts een detail. De belegger heeft namelijk zelf in de hand wanneer hij uitbetaald wil worden</w:t>
      </w:r>
      <w:r>
        <w:rPr>
          <w:rStyle w:val="FootnoteReference"/>
          <w:lang w:eastAsia="nl-NL"/>
        </w:rPr>
        <w:footnoteReference w:id="7"/>
      </w:r>
      <w:r>
        <w:rPr>
          <w:lang w:eastAsia="nl-NL"/>
        </w:rPr>
        <w:t>. Er is echter wel een verschil in risico tussen aanhouden en uitbetalen, maar niet in wijze van uitbetalen. Wat ook is terug te vinden, is in de irrelevantie in algemene zin. Zo worden bij uitbetaling en/of aanhouden slechts toekomstige kasgelden naar het heden gehaald en deze zijn al verdisconteerd naar het heden, waarbij rekening wordt gehouden met het risico dat wordt gelopen</w:t>
      </w:r>
      <w:r>
        <w:rPr>
          <w:rStyle w:val="FootnoteReference"/>
          <w:lang w:eastAsia="nl-NL"/>
        </w:rPr>
        <w:footnoteReference w:id="8"/>
      </w:r>
      <w:r>
        <w:rPr>
          <w:lang w:eastAsia="nl-NL"/>
        </w:rPr>
        <w:t xml:space="preserve">. Deze statements zullen aan de hand van een theoretisch voorbeeld verder uitgewerkt worden in de </w:t>
      </w:r>
      <w:fldSimple w:instr=" REF _Ref263337049 \h  \* MERGEFORMAT ">
        <w:r>
          <w:t>Appendix</w:t>
        </w:r>
      </w:fldSimple>
      <w:r>
        <w:rPr>
          <w:lang w:eastAsia="nl-NL"/>
        </w:rPr>
        <w:t xml:space="preserve">. </w:t>
      </w:r>
    </w:p>
    <w:p w:rsidR="005217AD" w:rsidRDefault="005217AD" w:rsidP="00993F61">
      <w:pPr>
        <w:pStyle w:val="Heading2"/>
        <w:numPr>
          <w:ilvl w:val="1"/>
          <w:numId w:val="5"/>
        </w:numPr>
      </w:pPr>
      <w:bookmarkStart w:id="14" w:name="_Ref261342952"/>
      <w:bookmarkStart w:id="15" w:name="_Ref261343097"/>
      <w:bookmarkStart w:id="16" w:name="_Ref261343180"/>
      <w:bookmarkStart w:id="17" w:name="_Ref261343245"/>
      <w:bookmarkStart w:id="18" w:name="_Toc261344450"/>
      <w:bookmarkStart w:id="19" w:name="_Toc263336788"/>
      <w:bookmarkStart w:id="20" w:name="_Toc264012472"/>
      <w:bookmarkStart w:id="21" w:name="_Toc267486039"/>
      <w:r>
        <w:t xml:space="preserve">Belang </w:t>
      </w:r>
      <w:r w:rsidRPr="00C37E4E">
        <w:t>van</w:t>
      </w:r>
      <w:r>
        <w:t xml:space="preserve"> uitbetaling</w:t>
      </w:r>
      <w:bookmarkEnd w:id="14"/>
      <w:bookmarkEnd w:id="15"/>
      <w:bookmarkEnd w:id="16"/>
      <w:bookmarkEnd w:id="17"/>
      <w:bookmarkEnd w:id="18"/>
      <w:bookmarkEnd w:id="19"/>
      <w:bookmarkEnd w:id="20"/>
      <w:bookmarkEnd w:id="21"/>
      <w:r>
        <w:t xml:space="preserve"> </w:t>
      </w:r>
    </w:p>
    <w:p w:rsidR="005217AD" w:rsidRDefault="005217AD" w:rsidP="00993F61">
      <w:pPr>
        <w:rPr>
          <w:lang w:eastAsia="nl-NL"/>
        </w:rPr>
      </w:pPr>
      <w:r>
        <w:rPr>
          <w:lang w:eastAsia="nl-NL"/>
        </w:rPr>
        <w:t>Het belang van uitbetaling van vrije kasstromen ligt in het alternatief. Zoals in de inleiding van dit hoofdstuk genoemd is, is het alternatief van uitbetaling het aanhouden van kasreserves. Hierbij moet benadrukt worden dat de huidige investeringsbeslissingen en hiermee gepaarde uitgaven in mindering zijn gebracht op deze vrije kasstromen. De kasreserves zijn hierdoor een buffer voor de toekomst. Een voorziening voor incidentele gebeurtenissen en een financieringskas voor toekomstige projecten.</w:t>
      </w:r>
    </w:p>
    <w:p w:rsidR="005217AD" w:rsidRDefault="005217AD" w:rsidP="00993F61">
      <w:pPr>
        <w:rPr>
          <w:lang w:eastAsia="nl-NL"/>
        </w:rPr>
      </w:pPr>
      <w:r>
        <w:rPr>
          <w:lang w:eastAsia="nl-NL"/>
        </w:rPr>
        <w:t>Het voordeel van het aanhouden van deze kasreserves ligt in de relatief goedkope aard van interne financiering. Voor financiering in de vorm van vreemd vermogen wordt een vooraf vastgestelde vergoeding geëist, oftewel interest. Daarnaast kent het aantrekken van eigen vermogen nadelen als gevolg van zijn waarderende aard</w:t>
      </w:r>
      <w:r>
        <w:rPr>
          <w:rStyle w:val="FootnoteReference"/>
          <w:lang w:eastAsia="nl-NL"/>
        </w:rPr>
        <w:footnoteReference w:id="9"/>
      </w:r>
      <w:r>
        <w:rPr>
          <w:lang w:eastAsia="nl-NL"/>
        </w:rPr>
        <w:t xml:space="preserve">. Deze vorm van redenatie en classificatie is onder andere terug te vinden in de </w:t>
      </w:r>
      <w:r w:rsidRPr="000876F5">
        <w:rPr>
          <w:i/>
          <w:lang w:eastAsia="nl-NL"/>
        </w:rPr>
        <w:t>pecking-order</w:t>
      </w:r>
      <w:r>
        <w:rPr>
          <w:lang w:eastAsia="nl-NL"/>
        </w:rPr>
        <w:t xml:space="preserve"> theorie </w:t>
      </w:r>
      <w:r>
        <w:rPr>
          <w:noProof/>
          <w:lang w:eastAsia="nl-NL"/>
        </w:rPr>
        <w:t>(Myers 1984)</w:t>
      </w:r>
      <w:r>
        <w:rPr>
          <w:lang w:eastAsia="nl-NL"/>
        </w:rPr>
        <w:t xml:space="preserve">. </w:t>
      </w:r>
    </w:p>
    <w:p w:rsidR="005217AD" w:rsidRDefault="005217AD" w:rsidP="00993F61">
      <w:r>
        <w:rPr>
          <w:lang w:eastAsia="nl-NL"/>
        </w:rPr>
        <w:t>Naast dit voordeel kent het aanhouden van kasreserves, buiten de benodigde omvang voor de operaties van de onderneming, ook nadelen. Deze nadelen hebben betrekking op het belangenconflict tussen aandeelhouders en het management van de onderneming. Het management kan, hoewel dat theoretisch gezien in het belang van de aandeelhouders de onderneming handelt, extra geld inefficiënt besteden. Deze inefficiënte bestedingen kunnen bijvoorbeeld voortkomen uit de beloningsysteem voor het management</w:t>
      </w:r>
      <w:r>
        <w:rPr>
          <w:rStyle w:val="FootnoteReference"/>
          <w:lang w:eastAsia="nl-NL"/>
        </w:rPr>
        <w:footnoteReference w:id="10"/>
      </w:r>
      <w:r>
        <w:rPr>
          <w:lang w:eastAsia="nl-NL"/>
        </w:rPr>
        <w:t xml:space="preserve">. Ook kan niet worden uitgesloten dat het management slachtoffer is van te veel zelfvertrouwen en projecten te hoog inschat, of de kosten hiervan te laag </w:t>
      </w:r>
      <w:r>
        <w:rPr>
          <w:noProof/>
          <w:lang w:eastAsia="nl-NL"/>
        </w:rPr>
        <w:t>(Shefrin 2001)</w:t>
      </w:r>
      <w:r>
        <w:rPr>
          <w:lang w:eastAsia="nl-NL"/>
        </w:rPr>
        <w:t>.</w:t>
      </w:r>
      <w:r w:rsidRPr="00D102C2">
        <w:t xml:space="preserve"> </w:t>
      </w:r>
    </w:p>
    <w:p w:rsidR="005217AD" w:rsidRDefault="005217AD" w:rsidP="00993F61">
      <w:r>
        <w:t xml:space="preserve">Het nadeel van inefficiëntie, door voornamelijk intern te financieren, wordt nog versterkt door een relatief lager niveau van controle. Zo zou het aanhouden van relatief veel vreemd vermogen als gevolg hebben dat er, door de verschaffers, meer controle wordt uitgeoefend </w:t>
      </w:r>
      <w:r>
        <w:rPr>
          <w:noProof/>
        </w:rPr>
        <w:t>(Jensen 1986)</w:t>
      </w:r>
      <w:r>
        <w:t xml:space="preserve">. </w:t>
      </w:r>
      <w:bookmarkStart w:id="22" w:name="_Ref261343419"/>
      <w:bookmarkStart w:id="23" w:name="_Toc261344453"/>
    </w:p>
    <w:p w:rsidR="005217AD" w:rsidRDefault="005217AD" w:rsidP="00993F61">
      <w:pPr>
        <w:pStyle w:val="Heading2"/>
        <w:numPr>
          <w:ilvl w:val="1"/>
          <w:numId w:val="5"/>
        </w:numPr>
      </w:pPr>
      <w:bookmarkStart w:id="24" w:name="_Ref262041621"/>
      <w:bookmarkStart w:id="25" w:name="_Toc263336789"/>
      <w:bookmarkStart w:id="26" w:name="_Toc264012473"/>
      <w:bookmarkStart w:id="27" w:name="_Toc267486040"/>
      <w:r w:rsidRPr="00C37E4E">
        <w:t>Signalering</w:t>
      </w:r>
      <w:bookmarkEnd w:id="22"/>
      <w:bookmarkEnd w:id="23"/>
      <w:bookmarkEnd w:id="24"/>
      <w:bookmarkEnd w:id="25"/>
      <w:bookmarkEnd w:id="26"/>
      <w:bookmarkEnd w:id="27"/>
      <w:r>
        <w:t xml:space="preserve"> </w:t>
      </w:r>
    </w:p>
    <w:p w:rsidR="005217AD" w:rsidRDefault="005217AD" w:rsidP="00993F61">
      <w:pPr>
        <w:rPr>
          <w:lang w:eastAsia="nl-NL"/>
        </w:rPr>
      </w:pPr>
      <w:r>
        <w:rPr>
          <w:lang w:eastAsia="nl-NL"/>
        </w:rPr>
        <w:t xml:space="preserve">Naast deze overwegingen, die extern worden opgelegd, bestaat er de mogelijkheid dat een onderneming een signaal wil afgeven aan de markt. Hoewel de theorie veelal uitgaat van een hoge transparantie, bestaat er in de praktijk toch informatie asymmetrie tussen het management en de  markt. Om kracht bij te zetten aan voorspellingen van het management aan de markt, kan gebruik worden gemaakt van aanpassingen in het dividendbeleid. </w:t>
      </w:r>
    </w:p>
    <w:p w:rsidR="005217AD" w:rsidRDefault="005217AD">
      <w:pPr>
        <w:spacing w:line="240" w:lineRule="auto"/>
        <w:ind w:firstLine="0"/>
        <w:rPr>
          <w:lang w:eastAsia="nl-NL"/>
        </w:rPr>
      </w:pPr>
      <w:r>
        <w:rPr>
          <w:lang w:eastAsia="nl-NL"/>
        </w:rPr>
        <w:br w:type="page"/>
      </w:r>
    </w:p>
    <w:p w:rsidR="005217AD" w:rsidRDefault="005217AD" w:rsidP="00993F61">
      <w:pPr>
        <w:rPr>
          <w:lang w:eastAsia="nl-NL"/>
        </w:rPr>
      </w:pPr>
      <w:r>
        <w:rPr>
          <w:lang w:eastAsia="nl-NL"/>
        </w:rPr>
        <w:t>Op basis van de pecking-order theorie kan gesteld worden dat uitkering van intern vermogen, met name als sprake is van veel investeringsmogelijkheden, irrationeel is</w:t>
      </w:r>
      <w:r>
        <w:rPr>
          <w:rStyle w:val="FootnoteReference"/>
          <w:lang w:eastAsia="nl-NL"/>
        </w:rPr>
        <w:footnoteReference w:id="11"/>
      </w:r>
      <w:r>
        <w:rPr>
          <w:lang w:eastAsia="nl-NL"/>
        </w:rPr>
        <w:t xml:space="preserve">. De toekomstige kasstromen moeten dan wel positief zijn om meer financieel risico te nemen. Er zou ook veel zekerheid moeten bestaan over deze kasstromen. Dit laatste punt wordt bevestigd door Fama en French </w:t>
      </w:r>
      <w:r>
        <w:rPr>
          <w:noProof/>
          <w:lang w:eastAsia="nl-NL"/>
        </w:rPr>
        <w:t>(2002)</w:t>
      </w:r>
      <w:r>
        <w:rPr>
          <w:lang w:eastAsia="nl-NL"/>
        </w:rPr>
        <w:t xml:space="preserve"> in een gevonden negatieve correlatie tussen volatiliteit van toekomstige kasstromen en de hoogte van het dividend. </w:t>
      </w:r>
    </w:p>
    <w:p w:rsidR="005217AD" w:rsidRDefault="005217AD" w:rsidP="00993F61">
      <w:pPr>
        <w:rPr>
          <w:lang w:eastAsia="nl-NL"/>
        </w:rPr>
      </w:pPr>
      <w:r>
        <w:rPr>
          <w:lang w:eastAsia="nl-NL"/>
        </w:rPr>
        <w:t xml:space="preserve">Daarnaast is dividenduitkering theoretisch gezien irrelevant. Het zou een restwaarde moeten omvatten die overblijft nadat alle investeringen zijn gedaan. Het voeren van een actief dividendbeleid zou, in zijn beginselen, al getuigen van irrationaliteit. De enige reden om dit beleid te voeren, is het overbrengen van informatie. Dit is dan ook de kanttekening die Miller en Modigliani </w:t>
      </w:r>
      <w:r>
        <w:rPr>
          <w:noProof/>
          <w:lang w:eastAsia="nl-NL"/>
        </w:rPr>
        <w:t>(1961)</w:t>
      </w:r>
      <w:r>
        <w:rPr>
          <w:lang w:eastAsia="nl-NL"/>
        </w:rPr>
        <w:t xml:space="preserve"> plaatsen.</w:t>
      </w:r>
    </w:p>
    <w:p w:rsidR="005217AD" w:rsidRPr="00776BDE" w:rsidRDefault="005217AD" w:rsidP="00993F61">
      <w:r>
        <w:rPr>
          <w:lang w:eastAsia="nl-NL"/>
        </w:rPr>
        <w:t>Als echter kan worden uitgegaan van dividend als passief residu, dan kan de informatieve lading van deze uitkeringen ook minder goed zijn. Het bedrijf heeft geen extra kasgeld nodig, bijvoorbeeld gezien de beperkte investeringshorizon. Mutaties in dividenduitkering zouden in dit geval gezien moeten worden, als informatie over een beperkte, toekomstige investeringshorizon.</w:t>
      </w:r>
      <w:r w:rsidRPr="00C173C9">
        <w:t xml:space="preserve"> </w:t>
      </w:r>
    </w:p>
    <w:p w:rsidR="005217AD" w:rsidRDefault="005217AD" w:rsidP="00993F61">
      <w:pPr>
        <w:pStyle w:val="Heading2"/>
        <w:numPr>
          <w:ilvl w:val="1"/>
          <w:numId w:val="5"/>
        </w:numPr>
      </w:pPr>
      <w:bookmarkStart w:id="28" w:name="_Ref261343389"/>
      <w:bookmarkStart w:id="29" w:name="_Toc261344452"/>
      <w:bookmarkStart w:id="30" w:name="_Toc263336790"/>
      <w:bookmarkStart w:id="31" w:name="_Toc264012474"/>
      <w:bookmarkStart w:id="32" w:name="_Toc267486041"/>
      <w:r w:rsidRPr="00C37E4E">
        <w:t>Marktimperfecties</w:t>
      </w:r>
      <w:bookmarkEnd w:id="28"/>
      <w:bookmarkEnd w:id="29"/>
      <w:bookmarkEnd w:id="30"/>
      <w:bookmarkEnd w:id="31"/>
      <w:bookmarkEnd w:id="32"/>
      <w:r>
        <w:t xml:space="preserve"> </w:t>
      </w:r>
    </w:p>
    <w:p w:rsidR="005217AD" w:rsidRDefault="005217AD" w:rsidP="00993F61">
      <w:pPr>
        <w:rPr>
          <w:lang w:eastAsia="nl-NL"/>
        </w:rPr>
      </w:pPr>
      <w:r>
        <w:rPr>
          <w:lang w:eastAsia="nl-NL"/>
        </w:rPr>
        <w:t>Naast het belang van uitkering gezien de belangenverschillen, vanuit de  managementtheorieën, en de mogelijk informatieve lading aan de markt, vanuit de gedragswetenschappelijke theorieën, zullen in deze paragraaf enkele marktimperfecties worden</w:t>
      </w:r>
      <w:r w:rsidRPr="0055008E">
        <w:rPr>
          <w:lang w:eastAsia="nl-NL"/>
        </w:rPr>
        <w:t xml:space="preserve"> </w:t>
      </w:r>
      <w:r>
        <w:rPr>
          <w:lang w:eastAsia="nl-NL"/>
        </w:rPr>
        <w:t xml:space="preserve">uitgewerkt. Deze zouden van belang kunnen zijn op de keuze van de vorm van uitkering en/of het type aandeelhouder dat investeert in een onderneming. </w:t>
      </w:r>
    </w:p>
    <w:p w:rsidR="005217AD" w:rsidRDefault="005217AD" w:rsidP="00993F61">
      <w:pPr>
        <w:rPr>
          <w:lang w:eastAsia="nl-NL"/>
        </w:rPr>
      </w:pPr>
      <w:r>
        <w:rPr>
          <w:lang w:eastAsia="nl-NL"/>
        </w:rPr>
        <w:t>De keuze van de vorm van uitkering is in de empirie mogelijk afhankelijk van enkele marktimperfecties. Deze worden opgelegd aan de markt. Zo is er in de praktijk onder andere sprake van belastingen, flotatie- en transactiekosten en restricties op de mogelijkheid om aandelen te splitsen.</w:t>
      </w:r>
    </w:p>
    <w:p w:rsidR="005217AD" w:rsidRDefault="005217AD" w:rsidP="00993F61">
      <w:pPr>
        <w:rPr>
          <w:lang w:eastAsia="nl-NL"/>
        </w:rPr>
      </w:pPr>
      <w:r>
        <w:rPr>
          <w:lang w:eastAsia="nl-NL"/>
        </w:rPr>
        <w:t>Bij belastingen, die invloed hebben op aandeelhouderswaarde, gaat het om de belasting die geheven wordt op de investeerder. De belasting op dividendinkomen is in de praktijk veelal verschillend van de belasting die wordt geheven op kapitaal. Daar bovenop wordt belasting op kapitaal meestal geheven op het moment van realisatie. Dit betekent dat de investeerder zelf in de hand heeft wanneer hij de belasting afdraagt. Daarnaast verschilt het per belegger in hoeverre er belasting wordt geheven. Kortom, belasting zorgt in de praktijk wel degelijk voor een variatie in preferentie.</w:t>
      </w:r>
    </w:p>
    <w:p w:rsidR="005217AD" w:rsidRDefault="005217AD" w:rsidP="00993F61">
      <w:pPr>
        <w:rPr>
          <w:lang w:eastAsia="nl-NL"/>
        </w:rPr>
      </w:pPr>
      <w:r>
        <w:rPr>
          <w:lang w:eastAsia="nl-NL"/>
        </w:rPr>
        <w:t>Flotatiekosten omvatten de kosten die voortkomen bij het aantrekken van extern vermogen. Als er een uitkering plaats zou vinden van toekomstige kasstromen, welke niet alleen met intern vermogen zouden kunnen worden gefinancierd, spelen deze kosten een rol. Er is in de praktijk geen sprake van zorgeloos aantrekken van extern vermogen, zoals gesuggereerd wordt bij een perfecte markt.</w:t>
      </w:r>
    </w:p>
    <w:p w:rsidR="005217AD" w:rsidRDefault="005217AD" w:rsidP="00993F61">
      <w:pPr>
        <w:rPr>
          <w:lang w:eastAsia="nl-NL"/>
        </w:rPr>
      </w:pPr>
      <w:r>
        <w:rPr>
          <w:lang w:eastAsia="nl-NL"/>
        </w:rPr>
        <w:t>De transactiekosten spelen een rol met betrekking tot het verhandelen van aandelen. Aan in- en verkoop van aandelen zijn kosten verbonden. Als er bijvoorbeeld, in het geval van aandeleninkoop, eigen dividend wordt gecreëerd zal een deel van de opbrengst moeten worden beschouwd als kosten van de wisseling van eigenaar.</w:t>
      </w:r>
    </w:p>
    <w:p w:rsidR="005217AD" w:rsidRPr="00834008" w:rsidRDefault="005217AD" w:rsidP="00993F61">
      <w:pPr>
        <w:rPr>
          <w:lang w:eastAsia="nl-NL"/>
        </w:rPr>
      </w:pPr>
      <w:r>
        <w:rPr>
          <w:lang w:eastAsia="nl-NL"/>
        </w:rPr>
        <w:t xml:space="preserve">De laatste contradictie tussen de theorie en de empirie komt voort uit de mogelijkheid om aandelen te splitsen. Bij in- en verkoop van aandelen zal veelal afgerond moeten worden op hele aandelen. Dit zorgt ervoor dat het, bijvoorbeeld bij de creatie van eigen dividend, niet zo makkelijk is als in de theorie wordt aangenomen. Er zullen afrondingsfouten kunnen optreden. De grootte van de afrondingsfouten is afhankelijk van het aantal aandelen dat in het bezit is van de belegger en de marktwaarde van een aandeel.  </w:t>
      </w:r>
    </w:p>
    <w:p w:rsidR="005217AD" w:rsidRPr="0008225C" w:rsidRDefault="005217AD" w:rsidP="00993F61">
      <w:pPr>
        <w:spacing w:line="240" w:lineRule="auto"/>
        <w:ind w:firstLine="0"/>
      </w:pPr>
      <w:bookmarkStart w:id="33" w:name="_Ref261437796"/>
      <w:bookmarkStart w:id="34" w:name="_Ref262041650"/>
    </w:p>
    <w:p w:rsidR="005217AD" w:rsidRDefault="005217AD" w:rsidP="00993F61">
      <w:pPr>
        <w:spacing w:line="240" w:lineRule="auto"/>
        <w:ind w:firstLine="0"/>
        <w:rPr>
          <w:b/>
          <w:kern w:val="0"/>
          <w:szCs w:val="24"/>
          <w:lang w:eastAsia="nl-NL"/>
        </w:rPr>
      </w:pPr>
      <w:r>
        <w:br w:type="page"/>
      </w:r>
    </w:p>
    <w:p w:rsidR="005217AD" w:rsidRDefault="005217AD" w:rsidP="00993F61">
      <w:pPr>
        <w:pStyle w:val="Heading2"/>
        <w:numPr>
          <w:ilvl w:val="1"/>
          <w:numId w:val="5"/>
        </w:numPr>
      </w:pPr>
      <w:bookmarkStart w:id="35" w:name="_Toc263336791"/>
      <w:bookmarkStart w:id="36" w:name="_Ref263337044"/>
      <w:bookmarkStart w:id="37" w:name="_Ref263337049"/>
      <w:bookmarkStart w:id="38" w:name="_Toc264012475"/>
      <w:bookmarkStart w:id="39" w:name="_Toc267486042"/>
      <w:r>
        <w:t>Appendix</w:t>
      </w:r>
      <w:bookmarkEnd w:id="33"/>
      <w:bookmarkEnd w:id="34"/>
      <w:bookmarkEnd w:id="35"/>
      <w:bookmarkEnd w:id="36"/>
      <w:bookmarkEnd w:id="37"/>
      <w:bookmarkEnd w:id="38"/>
      <w:bookmarkEnd w:id="39"/>
    </w:p>
    <w:p w:rsidR="005217AD" w:rsidRDefault="005217AD" w:rsidP="00993F61">
      <w:pPr>
        <w:rPr>
          <w:lang w:eastAsia="nl-NL"/>
        </w:rPr>
      </w:pPr>
      <w:r>
        <w:rPr>
          <w:lang w:eastAsia="nl-NL"/>
        </w:rPr>
        <w:t xml:space="preserve">Ninja NV is een onderneming die tot de ontdekking is gekomen dat ninja’s, naast het vechten met ninjastokken, ook groot voorstander zijn van het eten van softijs. Van dit gegeven maken zij gretig gebruik en daarom bestaat hun enige productie uit het fabriceren van ninjastokken en softijs. Ninja NV opereert in een perfecte markt en heeft hierdoor geen last van kosten aan transactie, flotatie, noch belasting. Daarnaast is Ninja NV geheel gefinancierd uit eigen vermogen. </w:t>
      </w:r>
    </w:p>
    <w:p w:rsidR="005217AD" w:rsidRDefault="005217AD" w:rsidP="00993F61">
      <w:pPr>
        <w:rPr>
          <w:lang w:eastAsia="nl-NL"/>
        </w:rPr>
      </w:pPr>
      <w:r>
        <w:rPr>
          <w:lang w:eastAsia="nl-NL"/>
        </w:rPr>
        <w:t xml:space="preserve">Zoals eerder vermeld, wijdt Ninja NV zich geheel aan het fabriceren van ninjastokken en ijs. De NV Heeft hierdoor slechts twee machines in bezit. De ninjastokken machine brengt jaarlijks een rendement op van 9,8%. De marktwaarde van deze machine is </w:t>
      </w:r>
      <w:r w:rsidRPr="00C173C9">
        <w:rPr>
          <w:lang w:eastAsia="nl-NL"/>
        </w:rPr>
        <w:t>€</w:t>
      </w:r>
      <w:r>
        <w:rPr>
          <w:lang w:eastAsia="nl-NL"/>
        </w:rPr>
        <w:t xml:space="preserve">500 en het systematisch risico dat wordt gelopen met deze activiteit, uitgedrukt in </w:t>
      </w:r>
      <w:r w:rsidRPr="00391DC1">
        <w:rPr>
          <w:lang w:eastAsia="nl-NL"/>
        </w:rPr>
        <w:t>β</w:t>
      </w:r>
      <w:r>
        <w:rPr>
          <w:lang w:eastAsia="nl-NL"/>
        </w:rPr>
        <w:t xml:space="preserve">,  is 1,6. De ijsmachine heeft daarentegen een marktwaarde van </w:t>
      </w:r>
      <w:r w:rsidRPr="00C173C9">
        <w:rPr>
          <w:lang w:eastAsia="nl-NL"/>
        </w:rPr>
        <w:t>€</w:t>
      </w:r>
      <w:r>
        <w:rPr>
          <w:lang w:eastAsia="nl-NL"/>
        </w:rPr>
        <w:t xml:space="preserve">400 en een </w:t>
      </w:r>
      <w:r w:rsidRPr="00391DC1">
        <w:rPr>
          <w:lang w:eastAsia="nl-NL"/>
        </w:rPr>
        <w:t>β</w:t>
      </w:r>
      <w:r>
        <w:rPr>
          <w:lang w:eastAsia="nl-NL"/>
        </w:rPr>
        <w:t xml:space="preserve"> van 2,5. Het verwachte jaarlijkse rendement op deze activiteit bedraagt hierdoor 12,5%. </w:t>
      </w:r>
    </w:p>
    <w:p w:rsidR="005217AD" w:rsidRDefault="005217AD" w:rsidP="00993F61">
      <w:pPr>
        <w:rPr>
          <w:lang w:eastAsia="nl-NL"/>
        </w:rPr>
      </w:pPr>
      <w:r>
        <w:rPr>
          <w:lang w:eastAsia="nl-NL"/>
        </w:rPr>
        <w:t xml:space="preserve">Naast deze machines heeft Ninja NV ook nog geld in kas, namelijk </w:t>
      </w:r>
      <w:r w:rsidRPr="00C173C9">
        <w:rPr>
          <w:lang w:eastAsia="nl-NL"/>
        </w:rPr>
        <w:t>€</w:t>
      </w:r>
      <w:r>
        <w:rPr>
          <w:lang w:eastAsia="nl-NL"/>
        </w:rPr>
        <w:t xml:space="preserve">100. Hierop wordt geen risico gelopen en het rendement hierop is daarom gelijk aan de risicovrije rente van 5%. Het rendement op de marktportfolio, dat naar zijn aard enkel bestaat uit een risicovrij rendement en een rendement voor systematisch risico, bedraagt 8%. Het geëiste rendement van de eigen vermogen verschaffers is met de huidige opbouw van Ninja NV 10,4% met een </w:t>
      </w:r>
      <w:r w:rsidRPr="00E73D20">
        <w:rPr>
          <w:lang w:eastAsia="nl-NL"/>
        </w:rPr>
        <w:t>β</w:t>
      </w:r>
      <w:r>
        <w:rPr>
          <w:lang w:eastAsia="nl-NL"/>
        </w:rPr>
        <w:t xml:space="preserve"> van 1,8 </w:t>
      </w:r>
      <w:r>
        <w:rPr>
          <w:rStyle w:val="FootnoteReference"/>
          <w:lang w:eastAsia="nl-NL"/>
        </w:rPr>
        <w:footnoteReference w:id="12"/>
      </w:r>
      <w:r>
        <w:rPr>
          <w:lang w:eastAsia="nl-NL"/>
        </w:rPr>
        <w:t xml:space="preserve">. Dit eigen vermogen is verdeeld in 100 aandelen van </w:t>
      </w:r>
      <w:r w:rsidRPr="00C173C9">
        <w:rPr>
          <w:lang w:eastAsia="nl-NL"/>
        </w:rPr>
        <w:t>€</w:t>
      </w:r>
      <w:r>
        <w:rPr>
          <w:lang w:eastAsia="nl-NL"/>
        </w:rPr>
        <w:t xml:space="preserve">10. De voorgaande informatie over Ninja NV is samengevat in </w:t>
      </w:r>
      <w:fldSimple w:instr=" REF _Ref261429540 \h  \* MERGEFORMAT ">
        <w:r>
          <w:t xml:space="preserve">Tabel </w:t>
        </w:r>
        <w:r>
          <w:rPr>
            <w:noProof/>
          </w:rPr>
          <w:t>1</w:t>
        </w:r>
      </w:fldSimple>
      <w:r>
        <w:rPr>
          <w:lang w:eastAsia="nl-NL"/>
        </w:rPr>
        <w:t>.</w:t>
      </w:r>
    </w:p>
    <w:p w:rsidR="005217AD" w:rsidRDefault="005217AD" w:rsidP="00993F61">
      <w:pPr>
        <w:rPr>
          <w:lang w:eastAsia="nl-NL"/>
        </w:rPr>
      </w:pPr>
    </w:p>
    <w:p w:rsidR="005217AD" w:rsidRDefault="005217AD" w:rsidP="00993F61">
      <w:pPr>
        <w:pStyle w:val="Caption"/>
        <w:keepNext/>
      </w:pPr>
      <w:bookmarkStart w:id="40" w:name="_Ref261429540"/>
      <w:r>
        <w:t xml:space="preserve">Tabel </w:t>
      </w:r>
      <w:fldSimple w:instr=" SEQ Tabel \* ARABIC ">
        <w:r>
          <w:rPr>
            <w:noProof/>
          </w:rPr>
          <w:t>1</w:t>
        </w:r>
      </w:fldSimple>
      <w:bookmarkEnd w:id="40"/>
      <w:r>
        <w:t>: Balans voor transactie</w:t>
      </w:r>
    </w:p>
    <w:tbl>
      <w:tblPr>
        <w:tblW w:w="7640" w:type="dxa"/>
        <w:tblInd w:w="55" w:type="dxa"/>
        <w:tblCellMar>
          <w:left w:w="70" w:type="dxa"/>
          <w:right w:w="70" w:type="dxa"/>
        </w:tblCellMar>
        <w:tblLook w:val="00A0"/>
      </w:tblPr>
      <w:tblGrid>
        <w:gridCol w:w="2541"/>
        <w:gridCol w:w="707"/>
        <w:gridCol w:w="436"/>
        <w:gridCol w:w="2087"/>
        <w:gridCol w:w="940"/>
        <w:gridCol w:w="960"/>
      </w:tblGrid>
      <w:tr w:rsidR="005217AD" w:rsidRPr="00E73D20" w:rsidTr="00E73D20">
        <w:trPr>
          <w:trHeight w:val="300"/>
        </w:trPr>
        <w:tc>
          <w:tcPr>
            <w:tcW w:w="5740" w:type="dxa"/>
            <w:gridSpan w:val="4"/>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Ninja NV(Balans op basis van marktwaarden)</w:t>
            </w:r>
          </w:p>
        </w:tc>
        <w:tc>
          <w:tcPr>
            <w:tcW w:w="940" w:type="dxa"/>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 </w:t>
            </w:r>
          </w:p>
        </w:tc>
        <w:tc>
          <w:tcPr>
            <w:tcW w:w="960" w:type="dxa"/>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 </w:t>
            </w:r>
          </w:p>
        </w:tc>
      </w:tr>
      <w:tr w:rsidR="005217AD" w:rsidRPr="00E73D20" w:rsidTr="00E73D20">
        <w:trPr>
          <w:trHeight w:val="300"/>
        </w:trPr>
        <w:tc>
          <w:tcPr>
            <w:tcW w:w="2541" w:type="dxa"/>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 </w:t>
            </w:r>
          </w:p>
        </w:tc>
        <w:tc>
          <w:tcPr>
            <w:tcW w:w="676" w:type="dxa"/>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 </w:t>
            </w:r>
          </w:p>
        </w:tc>
        <w:tc>
          <w:tcPr>
            <w:tcW w:w="436" w:type="dxa"/>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β</w:t>
            </w:r>
          </w:p>
        </w:tc>
        <w:tc>
          <w:tcPr>
            <w:tcW w:w="2087" w:type="dxa"/>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 </w:t>
            </w:r>
          </w:p>
        </w:tc>
        <w:tc>
          <w:tcPr>
            <w:tcW w:w="940" w:type="dxa"/>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 </w:t>
            </w:r>
          </w:p>
        </w:tc>
        <w:tc>
          <w:tcPr>
            <w:tcW w:w="960" w:type="dxa"/>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β</w:t>
            </w:r>
          </w:p>
        </w:tc>
      </w:tr>
      <w:tr w:rsidR="005217AD" w:rsidRPr="00E73D20" w:rsidTr="00E73D20">
        <w:trPr>
          <w:trHeight w:val="300"/>
        </w:trPr>
        <w:tc>
          <w:tcPr>
            <w:tcW w:w="2541"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Ninja Stokjes Mach.</w:t>
            </w:r>
          </w:p>
        </w:tc>
        <w:tc>
          <w:tcPr>
            <w:tcW w:w="676"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C173C9">
              <w:rPr>
                <w:lang w:eastAsia="nl-NL"/>
              </w:rPr>
              <w:t>€</w:t>
            </w:r>
            <w:r w:rsidRPr="00E73D20">
              <w:rPr>
                <w:rFonts w:ascii="Calibri" w:hAnsi="Calibri" w:cs="Calibri"/>
                <w:color w:val="000000"/>
                <w:kern w:val="0"/>
                <w:sz w:val="22"/>
                <w:lang w:eastAsia="nl-NL"/>
              </w:rPr>
              <w:t>500</w:t>
            </w:r>
          </w:p>
        </w:tc>
        <w:tc>
          <w:tcPr>
            <w:tcW w:w="436"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1,6</w:t>
            </w:r>
          </w:p>
        </w:tc>
        <w:tc>
          <w:tcPr>
            <w:tcW w:w="2087" w:type="dxa"/>
            <w:tcBorders>
              <w:top w:val="nil"/>
              <w:left w:val="single" w:sz="4" w:space="0" w:color="auto"/>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Eigen vermogen</w:t>
            </w:r>
          </w:p>
        </w:tc>
        <w:tc>
          <w:tcPr>
            <w:tcW w:w="940"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C173C9">
              <w:rPr>
                <w:lang w:eastAsia="nl-NL"/>
              </w:rPr>
              <w:t>€</w:t>
            </w:r>
            <w:r w:rsidRPr="00E73D20">
              <w:rPr>
                <w:rFonts w:ascii="Calibri" w:hAnsi="Calibri" w:cs="Calibri"/>
                <w:color w:val="000000"/>
                <w:kern w:val="0"/>
                <w:sz w:val="22"/>
                <w:lang w:eastAsia="nl-NL"/>
              </w:rPr>
              <w:t>1000</w:t>
            </w:r>
          </w:p>
        </w:tc>
        <w:tc>
          <w:tcPr>
            <w:tcW w:w="960"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1,8</w:t>
            </w:r>
          </w:p>
        </w:tc>
      </w:tr>
      <w:tr w:rsidR="005217AD" w:rsidRPr="00E73D20" w:rsidTr="00E73D20">
        <w:trPr>
          <w:trHeight w:val="300"/>
        </w:trPr>
        <w:tc>
          <w:tcPr>
            <w:tcW w:w="2541"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Soft ijs machine</w:t>
            </w:r>
          </w:p>
        </w:tc>
        <w:tc>
          <w:tcPr>
            <w:tcW w:w="676"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Pr>
                <w:lang w:eastAsia="nl-NL"/>
              </w:rPr>
              <w:t>-</w:t>
            </w:r>
            <w:r w:rsidRPr="00E73D20">
              <w:rPr>
                <w:rFonts w:ascii="Calibri" w:hAnsi="Calibri" w:cs="Calibri"/>
                <w:color w:val="000000"/>
                <w:kern w:val="0"/>
                <w:sz w:val="22"/>
                <w:lang w:eastAsia="nl-NL"/>
              </w:rPr>
              <w:t>400</w:t>
            </w:r>
          </w:p>
        </w:tc>
        <w:tc>
          <w:tcPr>
            <w:tcW w:w="436"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2,5</w:t>
            </w:r>
          </w:p>
        </w:tc>
        <w:tc>
          <w:tcPr>
            <w:tcW w:w="2087" w:type="dxa"/>
            <w:tcBorders>
              <w:top w:val="nil"/>
              <w:left w:val="single" w:sz="4" w:space="0" w:color="auto"/>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 </w:t>
            </w:r>
          </w:p>
        </w:tc>
        <w:tc>
          <w:tcPr>
            <w:tcW w:w="940"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p>
        </w:tc>
        <w:tc>
          <w:tcPr>
            <w:tcW w:w="960"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p>
        </w:tc>
      </w:tr>
      <w:tr w:rsidR="005217AD" w:rsidRPr="00E73D20" w:rsidTr="00E73D20">
        <w:trPr>
          <w:trHeight w:val="300"/>
        </w:trPr>
        <w:tc>
          <w:tcPr>
            <w:tcW w:w="2541" w:type="dxa"/>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Kas</w:t>
            </w:r>
          </w:p>
        </w:tc>
        <w:tc>
          <w:tcPr>
            <w:tcW w:w="676" w:type="dxa"/>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Pr>
                <w:lang w:eastAsia="nl-NL"/>
              </w:rPr>
              <w:t>-</w:t>
            </w:r>
            <w:r w:rsidRPr="00E73D20">
              <w:rPr>
                <w:rFonts w:ascii="Calibri" w:hAnsi="Calibri" w:cs="Calibri"/>
                <w:color w:val="000000"/>
                <w:kern w:val="0"/>
                <w:sz w:val="22"/>
                <w:lang w:eastAsia="nl-NL"/>
              </w:rPr>
              <w:t>100</w:t>
            </w:r>
          </w:p>
        </w:tc>
        <w:tc>
          <w:tcPr>
            <w:tcW w:w="436" w:type="dxa"/>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0</w:t>
            </w:r>
          </w:p>
        </w:tc>
        <w:tc>
          <w:tcPr>
            <w:tcW w:w="2087" w:type="dxa"/>
            <w:tcBorders>
              <w:top w:val="nil"/>
              <w:left w:val="single" w:sz="4" w:space="0" w:color="auto"/>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 </w:t>
            </w:r>
          </w:p>
        </w:tc>
        <w:tc>
          <w:tcPr>
            <w:tcW w:w="940" w:type="dxa"/>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 </w:t>
            </w:r>
          </w:p>
        </w:tc>
        <w:tc>
          <w:tcPr>
            <w:tcW w:w="960" w:type="dxa"/>
            <w:tcBorders>
              <w:top w:val="nil"/>
              <w:left w:val="nil"/>
              <w:bottom w:val="single" w:sz="4" w:space="0" w:color="auto"/>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 </w:t>
            </w:r>
          </w:p>
        </w:tc>
      </w:tr>
      <w:tr w:rsidR="005217AD" w:rsidRPr="00E73D20" w:rsidTr="00E73D20">
        <w:trPr>
          <w:trHeight w:val="300"/>
        </w:trPr>
        <w:tc>
          <w:tcPr>
            <w:tcW w:w="2541"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p>
        </w:tc>
        <w:tc>
          <w:tcPr>
            <w:tcW w:w="676"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C173C9">
              <w:rPr>
                <w:lang w:eastAsia="nl-NL"/>
              </w:rPr>
              <w:t>€</w:t>
            </w:r>
            <w:r w:rsidRPr="00E73D20">
              <w:rPr>
                <w:rFonts w:ascii="Calibri" w:hAnsi="Calibri" w:cs="Calibri"/>
                <w:color w:val="000000"/>
                <w:kern w:val="0"/>
                <w:sz w:val="22"/>
                <w:lang w:eastAsia="nl-NL"/>
              </w:rPr>
              <w:t>1000</w:t>
            </w:r>
          </w:p>
        </w:tc>
        <w:tc>
          <w:tcPr>
            <w:tcW w:w="436"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p>
        </w:tc>
        <w:tc>
          <w:tcPr>
            <w:tcW w:w="2087" w:type="dxa"/>
            <w:tcBorders>
              <w:top w:val="nil"/>
              <w:left w:val="single" w:sz="4" w:space="0" w:color="auto"/>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E73D20">
              <w:rPr>
                <w:rFonts w:ascii="Calibri" w:hAnsi="Calibri" w:cs="Calibri"/>
                <w:color w:val="000000"/>
                <w:kern w:val="0"/>
                <w:sz w:val="22"/>
                <w:lang w:eastAsia="nl-NL"/>
              </w:rPr>
              <w:t> </w:t>
            </w:r>
          </w:p>
        </w:tc>
        <w:tc>
          <w:tcPr>
            <w:tcW w:w="940"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r w:rsidRPr="00C173C9">
              <w:rPr>
                <w:lang w:eastAsia="nl-NL"/>
              </w:rPr>
              <w:t>€</w:t>
            </w:r>
            <w:r w:rsidRPr="00E73D20">
              <w:rPr>
                <w:rFonts w:ascii="Calibri" w:hAnsi="Calibri" w:cs="Calibri"/>
                <w:color w:val="000000"/>
                <w:kern w:val="0"/>
                <w:sz w:val="22"/>
                <w:lang w:eastAsia="nl-NL"/>
              </w:rPr>
              <w:t>1000</w:t>
            </w:r>
          </w:p>
        </w:tc>
        <w:tc>
          <w:tcPr>
            <w:tcW w:w="960" w:type="dxa"/>
            <w:tcBorders>
              <w:top w:val="nil"/>
              <w:left w:val="nil"/>
              <w:bottom w:val="nil"/>
              <w:right w:val="nil"/>
            </w:tcBorders>
            <w:noWrap/>
            <w:vAlign w:val="bottom"/>
          </w:tcPr>
          <w:p w:rsidR="005217AD" w:rsidRPr="00E73D20" w:rsidRDefault="005217AD" w:rsidP="00993F61">
            <w:pPr>
              <w:spacing w:line="240" w:lineRule="auto"/>
              <w:ind w:firstLine="0"/>
              <w:rPr>
                <w:rFonts w:ascii="Calibri" w:hAnsi="Calibri" w:cs="Calibri"/>
                <w:color w:val="000000"/>
                <w:kern w:val="0"/>
                <w:sz w:val="22"/>
                <w:lang w:eastAsia="nl-NL"/>
              </w:rPr>
            </w:pPr>
          </w:p>
        </w:tc>
      </w:tr>
    </w:tbl>
    <w:p w:rsidR="005217AD" w:rsidRDefault="005217AD" w:rsidP="00993F61">
      <w:pPr>
        <w:rPr>
          <w:lang w:eastAsia="nl-NL"/>
        </w:rPr>
      </w:pPr>
    </w:p>
    <w:p w:rsidR="005217AD" w:rsidRDefault="005217AD" w:rsidP="00993F61">
      <w:pPr>
        <w:rPr>
          <w:lang w:eastAsia="nl-NL"/>
        </w:rPr>
      </w:pPr>
      <w:r>
        <w:rPr>
          <w:lang w:eastAsia="nl-NL"/>
        </w:rPr>
        <w:t xml:space="preserve">Nu heeft het management besloten om zich te ontdoen van kasgeld. Het is namelijk vrij onverstandig dit aan te houden, als je voornaamste klanten softijs etende, criminele ninja’s zijn die je zelf voorziet van wapens. Besloten wordt om het geld uit te keren aan de aandeelhouders. Dit kan gedaan worden aan de hand van een dividenduitkering, of door aandelen terug te kopen en ritueel te verbranden. Welk scenario ook wordt gekozen, de balans na transactie ziet eruit als in </w:t>
      </w:r>
      <w:fldSimple w:instr=" REF _Ref261430126 \h  \* MERGEFORMAT ">
        <w:r>
          <w:t xml:space="preserve">Tabel </w:t>
        </w:r>
        <w:r>
          <w:rPr>
            <w:noProof/>
          </w:rPr>
          <w:t>2</w:t>
        </w:r>
      </w:fldSimple>
      <w:r>
        <w:rPr>
          <w:lang w:eastAsia="nl-NL"/>
        </w:rPr>
        <w:t xml:space="preserve">. </w:t>
      </w:r>
    </w:p>
    <w:p w:rsidR="005217AD" w:rsidRDefault="005217AD" w:rsidP="00993F61">
      <w:pPr>
        <w:rPr>
          <w:lang w:eastAsia="nl-NL"/>
        </w:rPr>
      </w:pPr>
      <w:r>
        <w:rPr>
          <w:lang w:eastAsia="nl-NL"/>
        </w:rPr>
        <w:t xml:space="preserve">Het kasgeld verdwijnt en wordt bij dividenduitkering aan de aandeelhouders gegeven. Er blijven 100 aandelen uitstaan, maar de marktwaarde van deze bedraagt nu </w:t>
      </w:r>
      <w:r w:rsidRPr="00C173C9">
        <w:rPr>
          <w:lang w:eastAsia="nl-NL"/>
        </w:rPr>
        <w:t>€</w:t>
      </w:r>
      <w:r>
        <w:rPr>
          <w:lang w:eastAsia="nl-NL"/>
        </w:rPr>
        <w:t xml:space="preserve">9 per aandeel. Het risico is enigszins toegenomen, doordat het theoretisch risicovrije kasgeld is verdwenen, naar een </w:t>
      </w:r>
      <w:r w:rsidRPr="00E73D20">
        <w:rPr>
          <w:lang w:eastAsia="nl-NL"/>
        </w:rPr>
        <w:t>β</w:t>
      </w:r>
      <w:r>
        <w:rPr>
          <w:lang w:eastAsia="nl-NL"/>
        </w:rPr>
        <w:t xml:space="preserve"> van 2. Hierdoor is het geëiste rendement ook toegenomen naar 11%</w:t>
      </w:r>
      <w:r>
        <w:rPr>
          <w:rStyle w:val="FootnoteReference"/>
          <w:lang w:eastAsia="nl-NL"/>
        </w:rPr>
        <w:footnoteReference w:id="13"/>
      </w:r>
      <w:r>
        <w:rPr>
          <w:lang w:eastAsia="nl-NL"/>
        </w:rPr>
        <w:t xml:space="preserve">. Dit vormt geen probleem aangezien er aan de machines jaarlijks 99 wordt verdiend. Dit is </w:t>
      </w:r>
      <w:r w:rsidRPr="00C173C9">
        <w:rPr>
          <w:lang w:eastAsia="nl-NL"/>
        </w:rPr>
        <w:t>€</w:t>
      </w:r>
      <w:r>
        <w:rPr>
          <w:lang w:eastAsia="nl-NL"/>
        </w:rPr>
        <w:t xml:space="preserve">0,99 per aandeel, wat 11% van 9 is. </w:t>
      </w:r>
    </w:p>
    <w:p w:rsidR="005217AD" w:rsidRDefault="005217AD" w:rsidP="00993F61">
      <w:pPr>
        <w:rPr>
          <w:lang w:eastAsia="nl-NL"/>
        </w:rPr>
      </w:pPr>
      <w:r>
        <w:rPr>
          <w:lang w:eastAsia="nl-NL"/>
        </w:rPr>
        <w:t xml:space="preserve">  In het geval van een aandelen terugkoop worden er 10 aandelen van 10 teruggekocht. Er zijn dan onder de bevolking nog 90 aandelen van </w:t>
      </w:r>
      <w:r w:rsidRPr="00C173C9">
        <w:rPr>
          <w:lang w:eastAsia="nl-NL"/>
        </w:rPr>
        <w:t>€</w:t>
      </w:r>
      <w:r>
        <w:rPr>
          <w:lang w:eastAsia="nl-NL"/>
        </w:rPr>
        <w:t xml:space="preserve">10 over. De </w:t>
      </w:r>
      <w:r w:rsidRPr="00E73D20">
        <w:rPr>
          <w:lang w:eastAsia="nl-NL"/>
        </w:rPr>
        <w:t>β</w:t>
      </w:r>
      <w:r>
        <w:rPr>
          <w:lang w:eastAsia="nl-NL"/>
        </w:rPr>
        <w:t xml:space="preserve"> verandert wederom naar 2 en dus het geëiste rendement naar 11%. Er wordt 99 verdiend wat in dit geval </w:t>
      </w:r>
      <w:r w:rsidRPr="00C173C9">
        <w:rPr>
          <w:lang w:eastAsia="nl-NL"/>
        </w:rPr>
        <w:t>€</w:t>
      </w:r>
      <w:r>
        <w:rPr>
          <w:lang w:eastAsia="nl-NL"/>
        </w:rPr>
        <w:t xml:space="preserve">1,1 per aandeel bedraagt en dit is 11% van </w:t>
      </w:r>
      <w:r w:rsidRPr="00C173C9">
        <w:rPr>
          <w:lang w:eastAsia="nl-NL"/>
        </w:rPr>
        <w:t>€</w:t>
      </w:r>
      <w:r>
        <w:rPr>
          <w:lang w:eastAsia="nl-NL"/>
        </w:rPr>
        <w:t>10.</w:t>
      </w:r>
    </w:p>
    <w:p w:rsidR="005217AD" w:rsidRDefault="005217AD" w:rsidP="00993F61">
      <w:pPr>
        <w:rPr>
          <w:lang w:eastAsia="nl-NL"/>
        </w:rPr>
      </w:pPr>
      <w:r>
        <w:rPr>
          <w:lang w:eastAsia="nl-NL"/>
        </w:rPr>
        <w:t xml:space="preserve">Er bestaat bij een perfecte markt dus geen verschil in risico, noch geëist rendement, tussen de twee methoden van uitkeren. Als aandeelhouders bij dividenduitkering hun geld in aandelen zouden stoppen, dus hun </w:t>
      </w:r>
      <w:r w:rsidRPr="00C173C9">
        <w:rPr>
          <w:lang w:eastAsia="nl-NL"/>
        </w:rPr>
        <w:t>€</w:t>
      </w:r>
      <w:r>
        <w:rPr>
          <w:lang w:eastAsia="nl-NL"/>
        </w:rPr>
        <w:t xml:space="preserve">1 aan dividend gebruiken voor 1/9 aandeel, hebben zij wederom </w:t>
      </w:r>
      <w:r w:rsidRPr="00C173C9">
        <w:rPr>
          <w:lang w:eastAsia="nl-NL"/>
        </w:rPr>
        <w:t>€</w:t>
      </w:r>
      <w:r>
        <w:rPr>
          <w:lang w:eastAsia="nl-NL"/>
        </w:rPr>
        <w:t xml:space="preserve">10 aan aandelen. Ze verdienen hierop hun </w:t>
      </w:r>
      <w:r w:rsidRPr="00C173C9">
        <w:rPr>
          <w:lang w:eastAsia="nl-NL"/>
        </w:rPr>
        <w:t>€</w:t>
      </w:r>
      <w:r>
        <w:rPr>
          <w:lang w:eastAsia="nl-NL"/>
        </w:rPr>
        <w:t xml:space="preserve">0,99 en de </w:t>
      </w:r>
      <w:r w:rsidRPr="00C173C9">
        <w:rPr>
          <w:lang w:eastAsia="nl-NL"/>
        </w:rPr>
        <w:t>€</w:t>
      </w:r>
      <w:r>
        <w:rPr>
          <w:lang w:eastAsia="nl-NL"/>
        </w:rPr>
        <w:t xml:space="preserve">0,11 van het 1/9 aandeel. Dit resulteert in 1,1, wat hetzelfde is als bij aandelen terugkoop. Het enige verschil ligt hem dus in het aantal uitstaande aandelen. </w:t>
      </w:r>
    </w:p>
    <w:p w:rsidR="005217AD" w:rsidRDefault="005217AD" w:rsidP="00993F61">
      <w:pPr>
        <w:rPr>
          <w:lang w:eastAsia="nl-NL"/>
        </w:rPr>
      </w:pPr>
      <w:r>
        <w:rPr>
          <w:lang w:eastAsia="nl-NL"/>
        </w:rPr>
        <w:t>Het verschil in risico ligt hem in het uitgekeerde kasgeld. Deze werd risicoloos vastgelegd en werd, voor bepaling van de marktwaarde, hierdoor ook verdisconteerd met de risicovrije voet. De vergoeding voor deze investering is de marktwaarde, zoals beoordeeld door de aandeelhouders. Ze investeren niet meer in dit “project” en lopen enkel nog risico over de overige, in dit geval risicovollere projecten. De aandeelhouder zou onverschillig moeten zijn tussen het terugontvangen van deze investering, naar zijn waarde, over de gehele tijdshorizon van bestaan van Ninja NV.</w:t>
      </w:r>
    </w:p>
    <w:p w:rsidR="005217AD" w:rsidRPr="00880BBB" w:rsidRDefault="005217AD" w:rsidP="00993F61">
      <w:pPr>
        <w:rPr>
          <w:lang w:eastAsia="nl-NL"/>
        </w:rPr>
      </w:pPr>
    </w:p>
    <w:p w:rsidR="005217AD" w:rsidRDefault="005217AD" w:rsidP="00993F61">
      <w:pPr>
        <w:pStyle w:val="Caption"/>
        <w:keepNext/>
      </w:pPr>
      <w:bookmarkStart w:id="41" w:name="_Ref261430126"/>
      <w:r>
        <w:t xml:space="preserve">Tabel </w:t>
      </w:r>
      <w:fldSimple w:instr=" SEQ Tabel \* ARABIC ">
        <w:r>
          <w:rPr>
            <w:noProof/>
          </w:rPr>
          <w:t>2</w:t>
        </w:r>
      </w:fldSimple>
      <w:bookmarkEnd w:id="41"/>
      <w:r>
        <w:t>: Balans na transactie</w:t>
      </w:r>
    </w:p>
    <w:tbl>
      <w:tblPr>
        <w:tblW w:w="7640" w:type="dxa"/>
        <w:tblInd w:w="55" w:type="dxa"/>
        <w:tblCellMar>
          <w:left w:w="70" w:type="dxa"/>
          <w:right w:w="70" w:type="dxa"/>
        </w:tblCellMar>
        <w:tblLook w:val="00A0"/>
      </w:tblPr>
      <w:tblGrid>
        <w:gridCol w:w="2613"/>
        <w:gridCol w:w="595"/>
        <w:gridCol w:w="449"/>
        <w:gridCol w:w="2146"/>
        <w:gridCol w:w="940"/>
        <w:gridCol w:w="960"/>
      </w:tblGrid>
      <w:tr w:rsidR="005217AD" w:rsidRPr="00745A16" w:rsidTr="00745A16">
        <w:trPr>
          <w:trHeight w:val="300"/>
        </w:trPr>
        <w:tc>
          <w:tcPr>
            <w:tcW w:w="5740" w:type="dxa"/>
            <w:gridSpan w:val="4"/>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Ninja NV(Balans op basis van marktwaarden)</w:t>
            </w:r>
          </w:p>
        </w:tc>
        <w:tc>
          <w:tcPr>
            <w:tcW w:w="940" w:type="dxa"/>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c>
          <w:tcPr>
            <w:tcW w:w="960" w:type="dxa"/>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r>
      <w:tr w:rsidR="005217AD" w:rsidRPr="00745A16" w:rsidTr="00745A16">
        <w:trPr>
          <w:trHeight w:val="300"/>
        </w:trPr>
        <w:tc>
          <w:tcPr>
            <w:tcW w:w="2613" w:type="dxa"/>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c>
          <w:tcPr>
            <w:tcW w:w="532" w:type="dxa"/>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c>
          <w:tcPr>
            <w:tcW w:w="449" w:type="dxa"/>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β</w:t>
            </w:r>
          </w:p>
        </w:tc>
        <w:tc>
          <w:tcPr>
            <w:tcW w:w="2146" w:type="dxa"/>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c>
          <w:tcPr>
            <w:tcW w:w="940" w:type="dxa"/>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c>
          <w:tcPr>
            <w:tcW w:w="960" w:type="dxa"/>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β</w:t>
            </w:r>
          </w:p>
        </w:tc>
      </w:tr>
      <w:tr w:rsidR="005217AD" w:rsidRPr="00745A16" w:rsidTr="00745A16">
        <w:trPr>
          <w:trHeight w:val="300"/>
        </w:trPr>
        <w:tc>
          <w:tcPr>
            <w:tcW w:w="2613"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Ninja Stokjes Mach.</w:t>
            </w:r>
          </w:p>
        </w:tc>
        <w:tc>
          <w:tcPr>
            <w:tcW w:w="532"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C173C9">
              <w:rPr>
                <w:lang w:eastAsia="nl-NL"/>
              </w:rPr>
              <w:t>€</w:t>
            </w:r>
            <w:r w:rsidRPr="00745A16">
              <w:rPr>
                <w:rFonts w:ascii="Calibri" w:hAnsi="Calibri" w:cs="Calibri"/>
                <w:color w:val="000000"/>
                <w:kern w:val="0"/>
                <w:sz w:val="22"/>
                <w:lang w:eastAsia="nl-NL"/>
              </w:rPr>
              <w:t>500</w:t>
            </w:r>
          </w:p>
        </w:tc>
        <w:tc>
          <w:tcPr>
            <w:tcW w:w="449"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1,6</w:t>
            </w:r>
          </w:p>
        </w:tc>
        <w:tc>
          <w:tcPr>
            <w:tcW w:w="2146" w:type="dxa"/>
            <w:tcBorders>
              <w:top w:val="nil"/>
              <w:left w:val="single" w:sz="4" w:space="0" w:color="auto"/>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Eigen vermogen</w:t>
            </w:r>
          </w:p>
        </w:tc>
        <w:tc>
          <w:tcPr>
            <w:tcW w:w="940"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C173C9">
              <w:rPr>
                <w:lang w:eastAsia="nl-NL"/>
              </w:rPr>
              <w:t>€</w:t>
            </w:r>
            <w:r w:rsidRPr="00745A16">
              <w:rPr>
                <w:rFonts w:ascii="Calibri" w:hAnsi="Calibri" w:cs="Calibri"/>
                <w:color w:val="000000"/>
                <w:kern w:val="0"/>
                <w:sz w:val="22"/>
                <w:lang w:eastAsia="nl-NL"/>
              </w:rPr>
              <w:t>900</w:t>
            </w:r>
          </w:p>
        </w:tc>
        <w:tc>
          <w:tcPr>
            <w:tcW w:w="960"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2</w:t>
            </w:r>
          </w:p>
        </w:tc>
      </w:tr>
      <w:tr w:rsidR="005217AD" w:rsidRPr="00745A16" w:rsidTr="00745A16">
        <w:trPr>
          <w:trHeight w:val="300"/>
        </w:trPr>
        <w:tc>
          <w:tcPr>
            <w:tcW w:w="2613"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Soft ijs machine</w:t>
            </w:r>
          </w:p>
        </w:tc>
        <w:tc>
          <w:tcPr>
            <w:tcW w:w="532"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Pr>
                <w:rFonts w:ascii="Calibri" w:hAnsi="Calibri" w:cs="Calibri"/>
                <w:color w:val="000000"/>
                <w:kern w:val="0"/>
                <w:sz w:val="22"/>
                <w:lang w:eastAsia="nl-NL"/>
              </w:rPr>
              <w:t>-</w:t>
            </w:r>
            <w:r w:rsidRPr="00745A16">
              <w:rPr>
                <w:rFonts w:ascii="Calibri" w:hAnsi="Calibri" w:cs="Calibri"/>
                <w:color w:val="000000"/>
                <w:kern w:val="0"/>
                <w:sz w:val="22"/>
                <w:lang w:eastAsia="nl-NL"/>
              </w:rPr>
              <w:t>400</w:t>
            </w:r>
          </w:p>
        </w:tc>
        <w:tc>
          <w:tcPr>
            <w:tcW w:w="449"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2,5</w:t>
            </w:r>
          </w:p>
        </w:tc>
        <w:tc>
          <w:tcPr>
            <w:tcW w:w="2146" w:type="dxa"/>
            <w:tcBorders>
              <w:top w:val="nil"/>
              <w:left w:val="single" w:sz="4" w:space="0" w:color="auto"/>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c>
          <w:tcPr>
            <w:tcW w:w="940"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p>
        </w:tc>
        <w:tc>
          <w:tcPr>
            <w:tcW w:w="960"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p>
        </w:tc>
      </w:tr>
      <w:tr w:rsidR="005217AD" w:rsidRPr="00745A16" w:rsidTr="00745A16">
        <w:trPr>
          <w:trHeight w:val="300"/>
        </w:trPr>
        <w:tc>
          <w:tcPr>
            <w:tcW w:w="2613" w:type="dxa"/>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c>
          <w:tcPr>
            <w:tcW w:w="532" w:type="dxa"/>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c>
          <w:tcPr>
            <w:tcW w:w="449" w:type="dxa"/>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c>
          <w:tcPr>
            <w:tcW w:w="2146" w:type="dxa"/>
            <w:tcBorders>
              <w:top w:val="nil"/>
              <w:left w:val="single" w:sz="4" w:space="0" w:color="auto"/>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c>
          <w:tcPr>
            <w:tcW w:w="940" w:type="dxa"/>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c>
          <w:tcPr>
            <w:tcW w:w="960" w:type="dxa"/>
            <w:tcBorders>
              <w:top w:val="nil"/>
              <w:left w:val="nil"/>
              <w:bottom w:val="single" w:sz="4" w:space="0" w:color="auto"/>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r>
      <w:tr w:rsidR="005217AD" w:rsidRPr="00745A16" w:rsidTr="00745A16">
        <w:trPr>
          <w:trHeight w:val="300"/>
        </w:trPr>
        <w:tc>
          <w:tcPr>
            <w:tcW w:w="2613"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p>
        </w:tc>
        <w:tc>
          <w:tcPr>
            <w:tcW w:w="532"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C173C9">
              <w:rPr>
                <w:lang w:eastAsia="nl-NL"/>
              </w:rPr>
              <w:t>€</w:t>
            </w:r>
            <w:r w:rsidRPr="00745A16">
              <w:rPr>
                <w:rFonts w:ascii="Calibri" w:hAnsi="Calibri" w:cs="Calibri"/>
                <w:color w:val="000000"/>
                <w:kern w:val="0"/>
                <w:sz w:val="22"/>
                <w:lang w:eastAsia="nl-NL"/>
              </w:rPr>
              <w:t>900</w:t>
            </w:r>
          </w:p>
        </w:tc>
        <w:tc>
          <w:tcPr>
            <w:tcW w:w="449"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p>
        </w:tc>
        <w:tc>
          <w:tcPr>
            <w:tcW w:w="2146" w:type="dxa"/>
            <w:tcBorders>
              <w:top w:val="nil"/>
              <w:left w:val="single" w:sz="4" w:space="0" w:color="auto"/>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745A16">
              <w:rPr>
                <w:rFonts w:ascii="Calibri" w:hAnsi="Calibri" w:cs="Calibri"/>
                <w:color w:val="000000"/>
                <w:kern w:val="0"/>
                <w:sz w:val="22"/>
                <w:lang w:eastAsia="nl-NL"/>
              </w:rPr>
              <w:t> </w:t>
            </w:r>
          </w:p>
        </w:tc>
        <w:tc>
          <w:tcPr>
            <w:tcW w:w="940"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r w:rsidRPr="00C173C9">
              <w:rPr>
                <w:lang w:eastAsia="nl-NL"/>
              </w:rPr>
              <w:t>€</w:t>
            </w:r>
            <w:r w:rsidRPr="00745A16">
              <w:rPr>
                <w:rFonts w:ascii="Calibri" w:hAnsi="Calibri" w:cs="Calibri"/>
                <w:color w:val="000000"/>
                <w:kern w:val="0"/>
                <w:sz w:val="22"/>
                <w:lang w:eastAsia="nl-NL"/>
              </w:rPr>
              <w:t>900</w:t>
            </w:r>
          </w:p>
        </w:tc>
        <w:tc>
          <w:tcPr>
            <w:tcW w:w="960" w:type="dxa"/>
            <w:tcBorders>
              <w:top w:val="nil"/>
              <w:left w:val="nil"/>
              <w:bottom w:val="nil"/>
              <w:right w:val="nil"/>
            </w:tcBorders>
            <w:noWrap/>
            <w:vAlign w:val="bottom"/>
          </w:tcPr>
          <w:p w:rsidR="005217AD" w:rsidRPr="00745A16" w:rsidRDefault="005217AD" w:rsidP="00993F61">
            <w:pPr>
              <w:spacing w:line="240" w:lineRule="auto"/>
              <w:ind w:firstLine="0"/>
              <w:rPr>
                <w:rFonts w:ascii="Calibri" w:hAnsi="Calibri" w:cs="Calibri"/>
                <w:color w:val="000000"/>
                <w:kern w:val="0"/>
                <w:sz w:val="22"/>
                <w:lang w:eastAsia="nl-NL"/>
              </w:rPr>
            </w:pPr>
          </w:p>
        </w:tc>
      </w:tr>
    </w:tbl>
    <w:p w:rsidR="005217AD" w:rsidRPr="00745A16" w:rsidRDefault="005217AD" w:rsidP="00993F61">
      <w:pPr>
        <w:rPr>
          <w:b/>
          <w:lang w:eastAsia="nl-NL"/>
        </w:rPr>
      </w:pPr>
    </w:p>
    <w:p w:rsidR="005217AD" w:rsidRDefault="005217AD" w:rsidP="00993F61">
      <w:pPr>
        <w:pStyle w:val="Heading1"/>
        <w:numPr>
          <w:ilvl w:val="0"/>
          <w:numId w:val="5"/>
        </w:numPr>
      </w:pPr>
      <w:bookmarkStart w:id="42" w:name="_Toc263336792"/>
      <w:bookmarkStart w:id="43" w:name="_Ref263759163"/>
      <w:bookmarkStart w:id="44" w:name="_Ref263771668"/>
      <w:bookmarkStart w:id="45" w:name="_Toc264012476"/>
      <w:bookmarkStart w:id="46" w:name="_Ref264539105"/>
      <w:bookmarkStart w:id="47" w:name="_Toc267486043"/>
      <w:r>
        <w:t>Data en data verzameling</w:t>
      </w:r>
      <w:bookmarkEnd w:id="42"/>
      <w:bookmarkEnd w:id="43"/>
      <w:bookmarkEnd w:id="44"/>
      <w:bookmarkEnd w:id="45"/>
      <w:bookmarkEnd w:id="46"/>
      <w:bookmarkEnd w:id="47"/>
    </w:p>
    <w:p w:rsidR="005217AD" w:rsidRDefault="005217AD" w:rsidP="00993F61">
      <w:pPr>
        <w:rPr>
          <w:lang w:eastAsia="nl-NL"/>
        </w:rPr>
      </w:pPr>
      <w:r>
        <w:rPr>
          <w:lang w:eastAsia="nl-NL"/>
        </w:rPr>
        <w:t>De ondernemingen, die gebruikt zijn voor dit onderzoek, kennen enkele gemeenschappelijke restricties. Deze restricties komen zowel voort uit het oogpunt van dit onderzoek, als de mogelijkheid tot dataverzameling. Gezien de beperkingen die worden opgelegd vanuit het oogpunt van onderzoek moeten de ondernemingen:</w:t>
      </w:r>
    </w:p>
    <w:p w:rsidR="005217AD" w:rsidRDefault="005217AD" w:rsidP="003F4370">
      <w:pPr>
        <w:pStyle w:val="ListParagraph"/>
        <w:numPr>
          <w:ilvl w:val="0"/>
          <w:numId w:val="25"/>
        </w:numPr>
        <w:rPr>
          <w:lang w:eastAsia="nl-NL"/>
        </w:rPr>
      </w:pPr>
      <w:r>
        <w:rPr>
          <w:lang w:eastAsia="nl-NL"/>
        </w:rPr>
        <w:t xml:space="preserve"> naamloze vennootschap (NV) zijn; het doel van het onderzoek richt zich namelijk op de waardering van de markt. </w:t>
      </w:r>
    </w:p>
    <w:p w:rsidR="005217AD" w:rsidRDefault="005217AD" w:rsidP="003F4370">
      <w:pPr>
        <w:pStyle w:val="ListParagraph"/>
        <w:numPr>
          <w:ilvl w:val="0"/>
          <w:numId w:val="25"/>
        </w:numPr>
        <w:rPr>
          <w:lang w:eastAsia="nl-NL"/>
        </w:rPr>
      </w:pPr>
      <w:r>
        <w:rPr>
          <w:lang w:eastAsia="nl-NL"/>
        </w:rPr>
        <w:t>Nederlandse bedrijven zijn; dit omvat het onderscheidende karakter van dit onderzoek.</w:t>
      </w:r>
    </w:p>
    <w:p w:rsidR="005217AD" w:rsidRDefault="005217AD" w:rsidP="003F4370">
      <w:pPr>
        <w:pStyle w:val="ListParagraph"/>
        <w:numPr>
          <w:ilvl w:val="0"/>
          <w:numId w:val="25"/>
        </w:numPr>
        <w:rPr>
          <w:lang w:eastAsia="nl-NL"/>
        </w:rPr>
      </w:pPr>
      <w:r>
        <w:rPr>
          <w:lang w:eastAsia="nl-NL"/>
        </w:rPr>
        <w:t>mogelijk en/of daadwerkelijk dividend uitkeren en</w:t>
      </w:r>
    </w:p>
    <w:p w:rsidR="005217AD" w:rsidRDefault="005217AD" w:rsidP="003F4370">
      <w:pPr>
        <w:pStyle w:val="ListParagraph"/>
        <w:numPr>
          <w:ilvl w:val="0"/>
          <w:numId w:val="25"/>
        </w:numPr>
        <w:rPr>
          <w:lang w:eastAsia="nl-NL"/>
        </w:rPr>
      </w:pPr>
      <w:r>
        <w:rPr>
          <w:lang w:eastAsia="nl-NL"/>
        </w:rPr>
        <w:t>dit ook de afgelopen jaren hebben gedaan; gekozen is voor een onderzoekshorizon van zo’n 5 jaar</w:t>
      </w:r>
      <w:r>
        <w:rPr>
          <w:rStyle w:val="FootnoteReference"/>
          <w:lang w:eastAsia="nl-NL"/>
        </w:rPr>
        <w:footnoteReference w:id="14"/>
      </w:r>
      <w:r>
        <w:rPr>
          <w:lang w:eastAsia="nl-NL"/>
        </w:rPr>
        <w:t xml:space="preserve">. </w:t>
      </w:r>
    </w:p>
    <w:p w:rsidR="005217AD" w:rsidRDefault="005217AD" w:rsidP="00993F61">
      <w:pPr>
        <w:rPr>
          <w:lang w:eastAsia="nl-NL"/>
        </w:rPr>
      </w:pPr>
      <w:r>
        <w:rPr>
          <w:lang w:eastAsia="nl-NL"/>
        </w:rPr>
        <w:t>De begrenzingen, die voortkomen vanuit het onderzoeksperspectief, hebben ook hun invloed gehad op de restricties die bij de dataverzameling speelden. Voor onderzoek naar dividendverrassingen, en dus het verschil in verwachting en gerealiseerde uitkering, is gekozen voor voorspellingen die analisten gemaakt hebben over de dividenduitkering</w:t>
      </w:r>
      <w:r>
        <w:rPr>
          <w:rStyle w:val="FootnoteReference"/>
          <w:lang w:eastAsia="nl-NL"/>
        </w:rPr>
        <w:footnoteReference w:id="15"/>
      </w:r>
      <w:r>
        <w:rPr>
          <w:lang w:eastAsia="nl-NL"/>
        </w:rPr>
        <w:t>. Bij selectie moest een Nederlands beursgenoteerde onderneming terug te vinden zijn in de I/B/E/S dataset</w:t>
      </w:r>
      <w:r>
        <w:rPr>
          <w:rStyle w:val="FootnoteReference"/>
          <w:lang w:eastAsia="nl-NL"/>
        </w:rPr>
        <w:footnoteReference w:id="16"/>
      </w:r>
      <w:r>
        <w:rPr>
          <w:lang w:eastAsia="nl-NL"/>
        </w:rPr>
        <w:t xml:space="preserve">. Deze dataset zou mogelijk 523 ondernemingen omvatten. </w:t>
      </w:r>
    </w:p>
    <w:p w:rsidR="005217AD" w:rsidRDefault="005217AD" w:rsidP="00993F61">
      <w:pPr>
        <w:rPr>
          <w:lang w:eastAsia="nl-NL"/>
        </w:rPr>
      </w:pPr>
      <w:r>
        <w:rPr>
          <w:lang w:eastAsia="nl-NL"/>
        </w:rPr>
        <w:t>Naast de aanwezigheid in de dataset is specifieke informatie vereist voor het onderzoeken van het verschil in verwachting en realiteit. Zo moet (1) er sprake zijn van een verwachte en/of gerealiseerde dividenduitbetaling, (2) is de aanwezigheid van de, bij punt 1 genoemde, gegevens binnen de dataset vereist, en (3) moet de aankondigingdatum, van het daadwerkelijke dividend, beschikbaar zijn</w:t>
      </w:r>
      <w:r>
        <w:rPr>
          <w:rStyle w:val="FootnoteReference"/>
          <w:lang w:eastAsia="nl-NL"/>
        </w:rPr>
        <w:footnoteReference w:id="17"/>
      </w:r>
      <w:r>
        <w:rPr>
          <w:lang w:eastAsia="nl-NL"/>
        </w:rPr>
        <w:t xml:space="preserve">. </w:t>
      </w:r>
    </w:p>
    <w:p w:rsidR="005217AD" w:rsidRDefault="005217AD" w:rsidP="00993F61">
      <w:pPr>
        <w:rPr>
          <w:lang w:eastAsia="nl-NL"/>
        </w:rPr>
      </w:pPr>
      <w:r>
        <w:rPr>
          <w:lang w:eastAsia="nl-NL"/>
        </w:rPr>
        <w:t xml:space="preserve">Naast de begrenzingen, voortkomend vanuit  de causale kant van het onderzoek, kent de mogelijkheid tot dataverzameling ook beperkingen vanuit de reactionele hoek. Dus de reactie van de markt. Voor het onderzoek naar een mogelijk informatieve onderlaag in het uitkeren van dividend is gekozen voor de vorm van een zogenoemde </w:t>
      </w:r>
      <w:r w:rsidRPr="00C0425C">
        <w:rPr>
          <w:i/>
          <w:lang w:eastAsia="nl-NL"/>
        </w:rPr>
        <w:t>event study</w:t>
      </w:r>
      <w:r>
        <w:rPr>
          <w:lang w:eastAsia="nl-NL"/>
        </w:rPr>
        <w:t xml:space="preserve"> (zie hoofdstuk </w:t>
      </w:r>
      <w:fldSimple w:instr=" REF _Ref263335116 \r \h  \* MERGEFORMAT ">
        <w:r>
          <w:rPr>
            <w:lang w:eastAsia="nl-NL"/>
          </w:rPr>
          <w:t>4</w:t>
        </w:r>
      </w:fldSimple>
      <w:r>
        <w:rPr>
          <w:lang w:eastAsia="nl-NL"/>
        </w:rPr>
        <w:t xml:space="preserve">). Voor een dergelijk onderzoek zijn de dagelijkse aandelenkoersen van de ondernemingen een vereiste. Voor het verzamelen van deze dagelijkse aandelenprijzen is gekozen om deze te verzamelen aan de hand van de AEX prijs index. Dit vanwege het Nederlandse karakter van deze index. De overgebleven ondernemingen uit de steekproef moesten hiervoor een code bezitten en benodigde informatie moest aanwezig zijn. </w:t>
      </w:r>
    </w:p>
    <w:p w:rsidR="005217AD" w:rsidRDefault="005217AD" w:rsidP="00993F61">
      <w:pPr>
        <w:rPr>
          <w:lang w:eastAsia="nl-NL"/>
        </w:rPr>
      </w:pPr>
      <w:r>
        <w:rPr>
          <w:lang w:eastAsia="nl-NL"/>
        </w:rPr>
        <w:t>Uiteindelijk is door al de begrenzingen een steekproef van 167 ondernemingen overgebleven, die cumulatief 5658 dividendaankondigingen hebben gedaan over de afgelopen 5 jaar.</w:t>
      </w:r>
    </w:p>
    <w:p w:rsidR="005217AD" w:rsidRDefault="005217AD" w:rsidP="00993F61">
      <w:pPr>
        <w:rPr>
          <w:lang w:eastAsia="nl-NL"/>
        </w:rPr>
      </w:pPr>
    </w:p>
    <w:p w:rsidR="005217AD" w:rsidRDefault="005217AD" w:rsidP="00993F61">
      <w:pPr>
        <w:spacing w:line="240" w:lineRule="auto"/>
        <w:ind w:firstLine="0"/>
        <w:rPr>
          <w:lang w:eastAsia="nl-NL"/>
        </w:rPr>
      </w:pPr>
      <w:r>
        <w:rPr>
          <w:lang w:eastAsia="nl-NL"/>
        </w:rPr>
        <w:br w:type="page"/>
      </w:r>
    </w:p>
    <w:p w:rsidR="005217AD" w:rsidRDefault="005217AD" w:rsidP="00993F61">
      <w:pPr>
        <w:pStyle w:val="Heading1"/>
        <w:numPr>
          <w:ilvl w:val="0"/>
          <w:numId w:val="5"/>
        </w:numPr>
      </w:pPr>
      <w:bookmarkStart w:id="48" w:name="_Ref263335116"/>
      <w:bookmarkStart w:id="49" w:name="_Toc263336793"/>
      <w:bookmarkStart w:id="50" w:name="_Toc264012477"/>
      <w:bookmarkStart w:id="51" w:name="_Toc267486044"/>
      <w:r>
        <w:t>Bevat dividenduitkering informatie volgens de markt?</w:t>
      </w:r>
      <w:bookmarkEnd w:id="48"/>
      <w:bookmarkEnd w:id="49"/>
      <w:bookmarkEnd w:id="50"/>
      <w:bookmarkEnd w:id="51"/>
    </w:p>
    <w:p w:rsidR="005217AD" w:rsidRDefault="005217AD" w:rsidP="00993F61">
      <w:pPr>
        <w:rPr>
          <w:lang w:eastAsia="nl-NL"/>
        </w:rPr>
      </w:pPr>
      <w:r>
        <w:rPr>
          <w:lang w:eastAsia="nl-NL"/>
        </w:rPr>
        <w:t xml:space="preserve">Met de data die gekarakteriseerd zijn in hoofdstuk </w:t>
      </w:r>
      <w:fldSimple w:instr=" REF _Ref263759163 \r \h  \* MERGEFORMAT ">
        <w:r>
          <w:rPr>
            <w:lang w:eastAsia="nl-NL"/>
          </w:rPr>
          <w:t>3</w:t>
        </w:r>
      </w:fldSimple>
      <w:r>
        <w:rPr>
          <w:lang w:eastAsia="nl-NL"/>
        </w:rPr>
        <w:t xml:space="preserve"> is onderzocht of dividend uitkering mogelijk een informatieve lading meedraagt voor de markt. Dit ter beantwoording van de hoofdvraag van deze scriptie. Voor het onderzoek naar een informatieve onderlaag binnen dividendbeleid is gekozen voor de vorm van een zogenoemde “</w:t>
      </w:r>
      <w:r w:rsidRPr="002A1456">
        <w:rPr>
          <w:i/>
          <w:lang w:eastAsia="nl-NL"/>
        </w:rPr>
        <w:t>event study</w:t>
      </w:r>
      <w:r>
        <w:rPr>
          <w:lang w:eastAsia="nl-NL"/>
        </w:rPr>
        <w:t xml:space="preserve">” naar MacKinlay </w:t>
      </w:r>
      <w:r>
        <w:rPr>
          <w:noProof/>
          <w:lang w:eastAsia="nl-NL"/>
        </w:rPr>
        <w:t>(1997)</w:t>
      </w:r>
      <w:r>
        <w:rPr>
          <w:lang w:eastAsia="nl-NL"/>
        </w:rPr>
        <w:t>.  Dit type onderzoek is specifiek gericht op het evalueren van gebeurtenissen en onderscheiden van mogelijk samenhangende reactie(s). Het verloop van een dergelijke studie omvat het verklaren van abnormale rendementen</w:t>
      </w:r>
      <w:r>
        <w:rPr>
          <w:rStyle w:val="FootnoteReference"/>
          <w:lang w:eastAsia="nl-NL"/>
        </w:rPr>
        <w:footnoteReference w:id="18"/>
      </w:r>
      <w:r>
        <w:rPr>
          <w:lang w:eastAsia="nl-NL"/>
        </w:rPr>
        <w:t xml:space="preserve">. In het hierop volgende hoofdstuk zal gezocht worden naar een mogelijke correlatie, oftewel samenhang, tussen dividend en rendement verrassingen. De uitkomsten van deze toetsing zullen uitwijzen of er een suggestie van causaliteit kan worden gevormd.   </w:t>
      </w:r>
    </w:p>
    <w:p w:rsidR="005217AD" w:rsidRDefault="005217AD" w:rsidP="00993F61">
      <w:pPr>
        <w:pStyle w:val="Heading2"/>
        <w:numPr>
          <w:ilvl w:val="1"/>
          <w:numId w:val="5"/>
        </w:numPr>
      </w:pPr>
      <w:bookmarkStart w:id="52" w:name="_Ref263777770"/>
      <w:bookmarkStart w:id="53" w:name="_Toc264012478"/>
      <w:bookmarkStart w:id="54" w:name="_Toc267486045"/>
      <w:r>
        <w:t>Dividend verwachting en realisatie</w:t>
      </w:r>
      <w:bookmarkEnd w:id="52"/>
      <w:bookmarkEnd w:id="53"/>
      <w:bookmarkEnd w:id="54"/>
    </w:p>
    <w:p w:rsidR="005217AD" w:rsidRDefault="005217AD" w:rsidP="00993F61">
      <w:pPr>
        <w:rPr>
          <w:lang w:eastAsia="nl-NL"/>
        </w:rPr>
      </w:pPr>
      <w:r>
        <w:rPr>
          <w:lang w:eastAsia="nl-NL"/>
        </w:rPr>
        <w:t xml:space="preserve">Dividendbeleid van een onderneming kenmerkt zich, als mogelijk oorzakelijke variabele. Als dividend een informatieve lading met zich meedraagt voor de markt, zal het verwachte dividend al zijn opgenomen in de waardering van de onderneming. Voor toetsing van dividendbeleid zal dus gekeken moeten worden naar het dividend dat niet is opgenomen. Zoals al geschetst in hoofdstuk </w:t>
      </w:r>
      <w:fldSimple w:instr=" REF _Ref263771668 \r \h  \* MERGEFORMAT ">
        <w:r>
          <w:rPr>
            <w:lang w:eastAsia="nl-NL"/>
          </w:rPr>
          <w:t>3</w:t>
        </w:r>
      </w:fldSimple>
      <w:r>
        <w:rPr>
          <w:lang w:eastAsia="nl-NL"/>
        </w:rPr>
        <w:t xml:space="preserve"> is hier aangenomen dat voorspellingen van analisten representatief zijn voor verwachtingen binnen de markt. Hieruit volgende kan gesteld worden dat:</w:t>
      </w:r>
    </w:p>
    <w:p w:rsidR="005217AD" w:rsidRDefault="005217AD" w:rsidP="00993F61">
      <w:pPr>
        <w:rPr>
          <w:sz w:val="16"/>
          <w:szCs w:val="16"/>
          <w:lang w:eastAsia="nl-NL"/>
        </w:rPr>
      </w:pPr>
    </w:p>
    <w:p w:rsidR="005217AD" w:rsidRPr="00AF0A74" w:rsidRDefault="005217AD" w:rsidP="00993F61">
      <w:pPr>
        <w:pStyle w:val="ListParagraph"/>
        <w:numPr>
          <w:ilvl w:val="0"/>
          <w:numId w:val="10"/>
        </w:numPr>
        <w:rPr>
          <w:szCs w:val="24"/>
          <w:lang w:eastAsia="nl-NL"/>
        </w:rPr>
      </w:pPr>
      <w:r>
        <w:rPr>
          <w:szCs w:val="24"/>
          <w:lang w:eastAsia="nl-NL"/>
        </w:rPr>
        <w:t>ADIV</w:t>
      </w:r>
      <w:r w:rsidRPr="00BF5AC6">
        <w:rPr>
          <w:vertAlign w:val="subscript"/>
          <w:lang w:eastAsia="nl-NL"/>
        </w:rPr>
        <w:t>i</w:t>
      </w:r>
      <w:r>
        <w:rPr>
          <w:kern w:val="0"/>
          <w:szCs w:val="24"/>
          <w:lang w:eastAsia="nl-NL"/>
        </w:rPr>
        <w:t xml:space="preserve"> = </w:t>
      </w:r>
      <w:r>
        <w:rPr>
          <w:szCs w:val="24"/>
          <w:lang w:eastAsia="nl-NL"/>
        </w:rPr>
        <w:t>DIV</w:t>
      </w:r>
      <w:r w:rsidRPr="00BF5AC6">
        <w:rPr>
          <w:vertAlign w:val="subscript"/>
          <w:lang w:eastAsia="nl-NL"/>
        </w:rPr>
        <w:t>i</w:t>
      </w:r>
      <w:r>
        <w:rPr>
          <w:kern w:val="0"/>
          <w:szCs w:val="24"/>
          <w:vertAlign w:val="subscript"/>
          <w:lang w:eastAsia="nl-NL"/>
        </w:rPr>
        <w:t xml:space="preserve"> </w:t>
      </w:r>
      <w:r>
        <w:rPr>
          <w:kern w:val="0"/>
          <w:szCs w:val="24"/>
          <w:lang w:eastAsia="nl-NL"/>
        </w:rPr>
        <w:t>– E(</w:t>
      </w:r>
      <w:r>
        <w:rPr>
          <w:szCs w:val="24"/>
          <w:lang w:eastAsia="nl-NL"/>
        </w:rPr>
        <w:t>DIV</w:t>
      </w:r>
      <w:r w:rsidRPr="00BF5AC6">
        <w:rPr>
          <w:vertAlign w:val="subscript"/>
          <w:lang w:eastAsia="nl-NL"/>
        </w:rPr>
        <w:t>i</w:t>
      </w:r>
      <w:r>
        <w:rPr>
          <w:kern w:val="0"/>
          <w:szCs w:val="24"/>
          <w:lang w:eastAsia="nl-NL"/>
        </w:rPr>
        <w:t>)</w:t>
      </w:r>
    </w:p>
    <w:p w:rsidR="005217AD" w:rsidRDefault="005217AD" w:rsidP="00993F61">
      <w:pPr>
        <w:pStyle w:val="ListParagraph"/>
        <w:ind w:firstLine="0"/>
        <w:rPr>
          <w:sz w:val="16"/>
          <w:szCs w:val="16"/>
          <w:lang w:eastAsia="nl-NL"/>
        </w:rPr>
      </w:pPr>
    </w:p>
    <w:p w:rsidR="005217AD" w:rsidRDefault="005217AD" w:rsidP="00993F61">
      <w:pPr>
        <w:rPr>
          <w:b/>
          <w:kern w:val="0"/>
          <w:szCs w:val="24"/>
          <w:lang w:eastAsia="nl-NL"/>
        </w:rPr>
      </w:pPr>
      <w:r>
        <w:rPr>
          <w:lang w:eastAsia="nl-NL"/>
        </w:rPr>
        <w:t>Het onverwachte/abnormale dividend (ADIV), van een onderneming rond zijn dividendaankondiging i</w:t>
      </w:r>
      <w:r>
        <w:rPr>
          <w:kern w:val="0"/>
          <w:szCs w:val="24"/>
          <w:lang w:eastAsia="nl-NL"/>
        </w:rPr>
        <w:t>, is het verschil tussen verwachting en realisatie van dividend (DIV). Gebaseerd op deze abnormale dividenden zijn de data geclassificeerd. De abnormale dividenden kenmerken zich als positief, geen, of negatief. Deze gradatie vindt plaats op basis van een percentuele afwijking van het abnormale dividend (ADIV) ten opzichte van het verwachte dividend (E(DIV)) buiten een marge van 2,5%</w:t>
      </w:r>
      <w:r>
        <w:rPr>
          <w:rStyle w:val="FootnoteReference"/>
          <w:kern w:val="0"/>
          <w:szCs w:val="24"/>
          <w:lang w:eastAsia="nl-NL"/>
        </w:rPr>
        <w:footnoteReference w:id="19"/>
      </w:r>
      <w:r>
        <w:rPr>
          <w:kern w:val="0"/>
          <w:szCs w:val="24"/>
          <w:lang w:eastAsia="nl-NL"/>
        </w:rPr>
        <w:t>. De gekozen classificatie plaatst 2414 dividendaankondigingen in klasse positief, 1404 in geen en 1840 in klasse negatief. Rectificatie ter classificatie vindt zich in gedachte van mogelijk onderscheid tussen reacties binnen deze klassen</w:t>
      </w:r>
      <w:r>
        <w:rPr>
          <w:rStyle w:val="FootnoteReference"/>
          <w:kern w:val="0"/>
          <w:szCs w:val="24"/>
          <w:lang w:eastAsia="nl-NL"/>
        </w:rPr>
        <w:footnoteReference w:id="20"/>
      </w:r>
      <w:r>
        <w:rPr>
          <w:kern w:val="0"/>
          <w:szCs w:val="24"/>
          <w:lang w:eastAsia="nl-NL"/>
        </w:rPr>
        <w:t>. Vrijwel alle empirische studies dragen bij aan deze gedachte. Bij een positieve (negatieve) correlatie, tussen abnormaal dividend en rendement, is namelijk sprake van een contra reactie tussen positief en negatief abnormaal dividend op abnormaal rendement.</w:t>
      </w:r>
    </w:p>
    <w:p w:rsidR="005217AD" w:rsidRDefault="005217AD" w:rsidP="00993F61">
      <w:pPr>
        <w:pStyle w:val="Heading2"/>
        <w:numPr>
          <w:ilvl w:val="1"/>
          <w:numId w:val="5"/>
        </w:numPr>
      </w:pPr>
      <w:bookmarkStart w:id="55" w:name="_Toc264012479"/>
      <w:bookmarkStart w:id="56" w:name="_Toc267486046"/>
      <w:r>
        <w:t>Berekening en evaluatie van abnormale rendementen</w:t>
      </w:r>
      <w:bookmarkEnd w:id="55"/>
      <w:bookmarkEnd w:id="56"/>
    </w:p>
    <w:p w:rsidR="005217AD" w:rsidRDefault="005217AD" w:rsidP="00993F61">
      <w:pPr>
        <w:rPr>
          <w:lang w:eastAsia="nl-NL"/>
        </w:rPr>
      </w:pPr>
      <w:r>
        <w:rPr>
          <w:lang w:eastAsia="nl-NL"/>
        </w:rPr>
        <w:t>De abnormale rendementen zijn berekend op basis van een variant van het CAPM-model</w:t>
      </w:r>
      <w:r>
        <w:rPr>
          <w:rStyle w:val="FootnoteReference"/>
          <w:lang w:eastAsia="nl-NL"/>
        </w:rPr>
        <w:footnoteReference w:id="21"/>
      </w:r>
      <w:r>
        <w:rPr>
          <w:lang w:eastAsia="nl-NL"/>
        </w:rPr>
        <w:t>. Hieruit volgende is een regressie uitgevoerd op de volgende vergelijking ter berekening van de normale rendementen:</w:t>
      </w:r>
    </w:p>
    <w:p w:rsidR="005217AD" w:rsidRPr="00D91EB4" w:rsidRDefault="005217AD" w:rsidP="00993F61">
      <w:pPr>
        <w:rPr>
          <w:sz w:val="16"/>
          <w:szCs w:val="16"/>
          <w:lang w:eastAsia="nl-NL"/>
        </w:rPr>
      </w:pPr>
    </w:p>
    <w:p w:rsidR="005217AD" w:rsidRPr="0018408E" w:rsidRDefault="005217AD" w:rsidP="00993F61">
      <w:pPr>
        <w:pStyle w:val="ListParagraph"/>
        <w:numPr>
          <w:ilvl w:val="0"/>
          <w:numId w:val="10"/>
        </w:numPr>
        <w:rPr>
          <w:lang w:eastAsia="nl-NL"/>
        </w:rPr>
      </w:pPr>
      <w:bookmarkStart w:id="57" w:name="_Ref264289790"/>
      <w:r w:rsidRPr="00C93B7D">
        <w:rPr>
          <w:lang w:eastAsia="nl-NL"/>
        </w:rPr>
        <w:t>R</w:t>
      </w:r>
      <w:r w:rsidRPr="00C93B7D">
        <w:rPr>
          <w:vertAlign w:val="subscript"/>
          <w:lang w:eastAsia="nl-NL"/>
        </w:rPr>
        <w:t>i</w:t>
      </w:r>
      <w:r w:rsidRPr="00C93B7D">
        <w:rPr>
          <w:kern w:val="0"/>
          <w:szCs w:val="24"/>
          <w:vertAlign w:val="subscript"/>
          <w:lang w:eastAsia="nl-NL"/>
        </w:rPr>
        <w:t>t</w:t>
      </w:r>
      <w:r w:rsidRPr="00C93B7D">
        <w:rPr>
          <w:lang w:eastAsia="nl-NL"/>
        </w:rPr>
        <w:t xml:space="preserve"> = </w:t>
      </w:r>
      <w:r w:rsidRPr="00FD201F">
        <w:rPr>
          <w:kern w:val="0"/>
          <w:szCs w:val="24"/>
          <w:lang w:eastAsia="nl-NL"/>
        </w:rPr>
        <w:t>α</w:t>
      </w:r>
      <w:r w:rsidRPr="00C93B7D">
        <w:rPr>
          <w:kern w:val="0"/>
          <w:szCs w:val="24"/>
          <w:vertAlign w:val="subscript"/>
          <w:lang w:eastAsia="nl-NL"/>
        </w:rPr>
        <w:t>i</w:t>
      </w:r>
      <w:r w:rsidRPr="00C93B7D">
        <w:rPr>
          <w:kern w:val="0"/>
          <w:szCs w:val="24"/>
          <w:lang w:eastAsia="nl-NL"/>
        </w:rPr>
        <w:t xml:space="preserve"> + </w:t>
      </w:r>
      <w:r w:rsidRPr="00FD201F">
        <w:rPr>
          <w:kern w:val="0"/>
          <w:szCs w:val="24"/>
          <w:lang w:eastAsia="nl-NL"/>
        </w:rPr>
        <w:t>β</w:t>
      </w:r>
      <w:r w:rsidRPr="00C93B7D">
        <w:rPr>
          <w:kern w:val="0"/>
          <w:szCs w:val="24"/>
          <w:vertAlign w:val="subscript"/>
          <w:lang w:eastAsia="nl-NL"/>
        </w:rPr>
        <w:t>i</w:t>
      </w:r>
      <w:r w:rsidRPr="00C93B7D">
        <w:rPr>
          <w:kern w:val="0"/>
          <w:szCs w:val="24"/>
          <w:lang w:eastAsia="nl-NL"/>
        </w:rPr>
        <w:t>(R</w:t>
      </w:r>
      <w:r w:rsidRPr="00C93B7D">
        <w:rPr>
          <w:kern w:val="0"/>
          <w:szCs w:val="24"/>
          <w:vertAlign w:val="subscript"/>
          <w:lang w:eastAsia="nl-NL"/>
        </w:rPr>
        <w:t>mt</w:t>
      </w:r>
      <w:r w:rsidRPr="00C93B7D">
        <w:rPr>
          <w:kern w:val="0"/>
          <w:szCs w:val="24"/>
          <w:lang w:eastAsia="nl-NL"/>
        </w:rPr>
        <w:t xml:space="preserve">) + </w:t>
      </w:r>
      <w:r>
        <w:rPr>
          <w:kern w:val="0"/>
          <w:szCs w:val="24"/>
          <w:lang w:eastAsia="nl-NL"/>
        </w:rPr>
        <w:t>ε</w:t>
      </w:r>
      <w:r>
        <w:rPr>
          <w:kern w:val="0"/>
          <w:szCs w:val="24"/>
          <w:vertAlign w:val="subscript"/>
          <w:lang w:eastAsia="nl-NL"/>
        </w:rPr>
        <w:t>it</w:t>
      </w:r>
    </w:p>
    <w:p w:rsidR="005217AD" w:rsidRPr="00C93B7D" w:rsidRDefault="005217AD" w:rsidP="0018408E">
      <w:pPr>
        <w:pStyle w:val="ListParagraph"/>
        <w:ind w:firstLine="0"/>
        <w:rPr>
          <w:lang w:eastAsia="nl-NL"/>
        </w:rPr>
      </w:pPr>
      <w:r>
        <w:rPr>
          <w:kern w:val="0"/>
          <w:szCs w:val="24"/>
          <w:lang w:eastAsia="nl-NL"/>
        </w:rPr>
        <w:t>E(ε</w:t>
      </w:r>
      <w:r>
        <w:rPr>
          <w:kern w:val="0"/>
          <w:szCs w:val="24"/>
          <w:vertAlign w:val="subscript"/>
          <w:lang w:eastAsia="nl-NL"/>
        </w:rPr>
        <w:t>it</w:t>
      </w:r>
      <w:r>
        <w:rPr>
          <w:kern w:val="0"/>
          <w:szCs w:val="24"/>
          <w:lang w:eastAsia="nl-NL"/>
        </w:rPr>
        <w:t xml:space="preserve"> =0) </w:t>
      </w:r>
      <w:r>
        <w:rPr>
          <w:kern w:val="0"/>
          <w:szCs w:val="24"/>
          <w:lang w:eastAsia="nl-NL"/>
        </w:rPr>
        <w:tab/>
        <w:t>Var(ε</w:t>
      </w:r>
      <w:r>
        <w:rPr>
          <w:kern w:val="0"/>
          <w:szCs w:val="24"/>
          <w:vertAlign w:val="subscript"/>
          <w:lang w:eastAsia="nl-NL"/>
        </w:rPr>
        <w:t>it</w:t>
      </w:r>
      <w:r>
        <w:rPr>
          <w:kern w:val="0"/>
          <w:szCs w:val="24"/>
          <w:lang w:eastAsia="nl-NL"/>
        </w:rPr>
        <w:t>)=</w:t>
      </w:r>
      <w:r w:rsidRPr="00D6429F">
        <w:rPr>
          <w:kern w:val="0"/>
          <w:szCs w:val="24"/>
          <w:lang w:eastAsia="nl-NL"/>
        </w:rPr>
        <w:t xml:space="preserve"> σ</w:t>
      </w:r>
      <w:r w:rsidRPr="000A1D02">
        <w:rPr>
          <w:kern w:val="0"/>
          <w:szCs w:val="24"/>
          <w:vertAlign w:val="subscript"/>
          <w:lang w:eastAsia="nl-NL"/>
        </w:rPr>
        <w:t>ε</w:t>
      </w:r>
      <w:r w:rsidRPr="000A1D02">
        <w:rPr>
          <w:kern w:val="0"/>
          <w:szCs w:val="24"/>
          <w:vertAlign w:val="superscript"/>
          <w:lang w:eastAsia="nl-NL"/>
        </w:rPr>
        <w:t>2</w:t>
      </w:r>
      <w:bookmarkEnd w:id="57"/>
    </w:p>
    <w:p w:rsidR="005217AD" w:rsidRPr="00C93B7D" w:rsidRDefault="005217AD" w:rsidP="00993F61">
      <w:pPr>
        <w:rPr>
          <w:sz w:val="16"/>
          <w:szCs w:val="16"/>
          <w:lang w:eastAsia="nl-NL"/>
        </w:rPr>
      </w:pPr>
    </w:p>
    <w:p w:rsidR="005217AD" w:rsidRDefault="005217AD" w:rsidP="00993F61">
      <w:pPr>
        <w:rPr>
          <w:kern w:val="0"/>
          <w:szCs w:val="24"/>
          <w:lang w:eastAsia="nl-NL"/>
        </w:rPr>
      </w:pPr>
      <w:r>
        <w:rPr>
          <w:lang w:eastAsia="nl-NL"/>
        </w:rPr>
        <w:t>R</w:t>
      </w:r>
      <w:r w:rsidRPr="00BF5AC6">
        <w:rPr>
          <w:vertAlign w:val="subscript"/>
          <w:lang w:eastAsia="nl-NL"/>
        </w:rPr>
        <w:t>i</w:t>
      </w:r>
      <w:r>
        <w:rPr>
          <w:vertAlign w:val="subscript"/>
          <w:lang w:eastAsia="nl-NL"/>
        </w:rPr>
        <w:t>t</w:t>
      </w:r>
      <w:r>
        <w:rPr>
          <w:lang w:eastAsia="nl-NL"/>
        </w:rPr>
        <w:t xml:space="preserve"> kenmerkt zich als een schatting van het verwachte rendement van onderneming tijdens gebeurtenis i</w:t>
      </w:r>
      <w:r>
        <w:rPr>
          <w:rStyle w:val="FootnoteReference"/>
          <w:lang w:eastAsia="nl-NL"/>
        </w:rPr>
        <w:footnoteReference w:id="22"/>
      </w:r>
      <w:r>
        <w:rPr>
          <w:lang w:eastAsia="nl-NL"/>
        </w:rPr>
        <w:t xml:space="preserve">, waarbij </w:t>
      </w:r>
      <w:r>
        <w:rPr>
          <w:kern w:val="0"/>
          <w:szCs w:val="24"/>
          <w:lang w:eastAsia="nl-NL"/>
        </w:rPr>
        <w:t>deze gebeurtenis valt op tijdstip t</w:t>
      </w:r>
      <w:r>
        <w:rPr>
          <w:lang w:eastAsia="nl-NL"/>
        </w:rPr>
        <w:t xml:space="preserve">. Er wordt getracht het rendement te voorspellen aan de hand van een bedrijfsspecifieke constante </w:t>
      </w:r>
      <w:r w:rsidRPr="00FD201F">
        <w:rPr>
          <w:kern w:val="0"/>
          <w:szCs w:val="24"/>
          <w:lang w:eastAsia="nl-NL"/>
        </w:rPr>
        <w:t>α</w:t>
      </w:r>
      <w:r w:rsidRPr="00FD201F">
        <w:rPr>
          <w:kern w:val="0"/>
          <w:szCs w:val="24"/>
          <w:vertAlign w:val="subscript"/>
          <w:lang w:eastAsia="nl-NL"/>
        </w:rPr>
        <w:t>i</w:t>
      </w:r>
      <w:r w:rsidRPr="00FD201F">
        <w:rPr>
          <w:kern w:val="0"/>
          <w:szCs w:val="24"/>
          <w:lang w:eastAsia="nl-NL"/>
        </w:rPr>
        <w:t xml:space="preserve"> </w:t>
      </w:r>
      <w:r>
        <w:rPr>
          <w:kern w:val="0"/>
          <w:szCs w:val="24"/>
          <w:lang w:eastAsia="nl-NL"/>
        </w:rPr>
        <w:t xml:space="preserve">en bedrijfsspecifieke gevoeligheid voor systematisch risico </w:t>
      </w:r>
      <w:r w:rsidRPr="00FD201F">
        <w:rPr>
          <w:kern w:val="0"/>
          <w:szCs w:val="24"/>
          <w:lang w:eastAsia="nl-NL"/>
        </w:rPr>
        <w:t>β</w:t>
      </w:r>
      <w:r w:rsidRPr="00FD201F">
        <w:rPr>
          <w:kern w:val="0"/>
          <w:szCs w:val="24"/>
          <w:vertAlign w:val="subscript"/>
          <w:lang w:eastAsia="nl-NL"/>
        </w:rPr>
        <w:t>i</w:t>
      </w:r>
      <w:r>
        <w:rPr>
          <w:rStyle w:val="FootnoteReference"/>
          <w:kern w:val="0"/>
          <w:szCs w:val="24"/>
          <w:lang w:eastAsia="nl-NL"/>
        </w:rPr>
        <w:footnoteReference w:id="23"/>
      </w:r>
      <w:r>
        <w:rPr>
          <w:kern w:val="0"/>
          <w:szCs w:val="24"/>
          <w:lang w:eastAsia="nl-NL"/>
        </w:rPr>
        <w:t>. Beide variabelen worden op korte termijn constant verondersteld over tijd en ontlenen hieraan hun voorspellende mogelijkheid. Berekening en zo schatting van de variabelen heeft plaatsgevonden aan de hand van regressie over het tijdsinterval τ</w:t>
      </w:r>
      <w:r w:rsidRPr="00F07F17">
        <w:rPr>
          <w:kern w:val="0"/>
          <w:szCs w:val="24"/>
          <w:lang w:eastAsia="nl-NL"/>
        </w:rPr>
        <w:t>[-60,-50</w:t>
      </w:r>
      <w:r>
        <w:rPr>
          <w:kern w:val="0"/>
          <w:szCs w:val="24"/>
          <w:lang w:eastAsia="nl-NL"/>
        </w:rPr>
        <w:t>].</w:t>
      </w:r>
      <w:r>
        <w:rPr>
          <w:rStyle w:val="FootnoteReference"/>
          <w:kern w:val="0"/>
          <w:szCs w:val="24"/>
          <w:lang w:eastAsia="nl-NL"/>
        </w:rPr>
        <w:footnoteReference w:id="24"/>
      </w:r>
      <w:r>
        <w:rPr>
          <w:kern w:val="0"/>
          <w:szCs w:val="24"/>
          <w:lang w:eastAsia="nl-NL"/>
        </w:rPr>
        <w:t xml:space="preserve"> τ kenmerkt zich, als een tijdstip in dagen, relatief ten opzichte van  het moment van dividendaankondiging (τ =0). Naast deze variabele kent de regressievergelijking een standaardfout voor de observaties in de steekproef. Van deze standaardfout wordt verondersteld dat het gemiddelde, oftewel de schatting, nul is. Daarnaast wordt verondersteld dat de variantie van de steekproef gelijk is aan de variantie van de populatie. De veronderstelling is dat de standaardfout buiten de normale rendementen ligt. Met deze gedachte valt het abnormale rendement te onderscheiden in het verschil tussen normaal verwacht</w:t>
      </w:r>
      <w:r>
        <w:rPr>
          <w:rStyle w:val="FootnoteReference"/>
          <w:kern w:val="0"/>
          <w:szCs w:val="24"/>
          <w:lang w:eastAsia="nl-NL"/>
        </w:rPr>
        <w:footnoteReference w:id="25"/>
      </w:r>
      <w:r>
        <w:rPr>
          <w:kern w:val="0"/>
          <w:szCs w:val="24"/>
          <w:lang w:eastAsia="nl-NL"/>
        </w:rPr>
        <w:t xml:space="preserve"> en daadwerkelijk gerealiseerd rendement tijdens dividendaankondiging i.</w:t>
      </w:r>
    </w:p>
    <w:p w:rsidR="005217AD" w:rsidRDefault="005217AD" w:rsidP="00993F61">
      <w:pPr>
        <w:rPr>
          <w:kern w:val="0"/>
          <w:sz w:val="16"/>
          <w:szCs w:val="16"/>
          <w:lang w:eastAsia="nl-NL"/>
        </w:rPr>
      </w:pPr>
    </w:p>
    <w:p w:rsidR="005217AD" w:rsidRPr="00936BF6" w:rsidRDefault="005217AD" w:rsidP="00993F61">
      <w:pPr>
        <w:pStyle w:val="ListParagraph"/>
        <w:numPr>
          <w:ilvl w:val="0"/>
          <w:numId w:val="10"/>
        </w:numPr>
        <w:spacing w:line="240" w:lineRule="auto"/>
        <w:rPr>
          <w:kern w:val="0"/>
          <w:szCs w:val="24"/>
          <w:lang w:val="en-US" w:eastAsia="nl-NL"/>
        </w:rPr>
      </w:pPr>
      <w:bookmarkStart w:id="58" w:name="_Ref264296411"/>
      <w:r w:rsidRPr="00936BF6">
        <w:rPr>
          <w:kern w:val="0"/>
          <w:szCs w:val="24"/>
          <w:lang w:val="en-US" w:eastAsia="nl-NL"/>
        </w:rPr>
        <w:t>A</w:t>
      </w:r>
      <w:r w:rsidRPr="00936BF6">
        <w:rPr>
          <w:lang w:val="en-US" w:eastAsia="nl-NL"/>
        </w:rPr>
        <w:t>R</w:t>
      </w:r>
      <w:r w:rsidRPr="00936BF6">
        <w:rPr>
          <w:vertAlign w:val="subscript"/>
          <w:lang w:val="en-US" w:eastAsia="nl-NL"/>
        </w:rPr>
        <w:t>i</w:t>
      </w:r>
      <w:r w:rsidRPr="00936BF6">
        <w:rPr>
          <w:kern w:val="0"/>
          <w:szCs w:val="24"/>
          <w:vertAlign w:val="subscript"/>
          <w:lang w:val="en-US" w:eastAsia="nl-NL"/>
        </w:rPr>
        <w:t>t</w:t>
      </w:r>
      <w:r w:rsidRPr="00936BF6">
        <w:rPr>
          <w:kern w:val="0"/>
          <w:szCs w:val="24"/>
          <w:lang w:val="en-US" w:eastAsia="nl-NL"/>
        </w:rPr>
        <w:t xml:space="preserve"> = </w:t>
      </w:r>
      <w:r w:rsidRPr="00936BF6">
        <w:rPr>
          <w:lang w:val="en-US" w:eastAsia="nl-NL"/>
        </w:rPr>
        <w:t>R</w:t>
      </w:r>
      <w:r w:rsidRPr="00936BF6">
        <w:rPr>
          <w:vertAlign w:val="subscript"/>
          <w:lang w:val="en-US" w:eastAsia="nl-NL"/>
        </w:rPr>
        <w:t>i</w:t>
      </w:r>
      <w:r w:rsidRPr="00936BF6">
        <w:rPr>
          <w:kern w:val="0"/>
          <w:szCs w:val="24"/>
          <w:vertAlign w:val="subscript"/>
          <w:lang w:val="en-US" w:eastAsia="nl-NL"/>
        </w:rPr>
        <w:t>t</w:t>
      </w:r>
      <w:r w:rsidRPr="00936BF6">
        <w:rPr>
          <w:kern w:val="0"/>
          <w:szCs w:val="24"/>
          <w:lang w:val="en-US" w:eastAsia="nl-NL"/>
        </w:rPr>
        <w:t xml:space="preserve"> – E(</w:t>
      </w:r>
      <w:r w:rsidRPr="00936BF6">
        <w:rPr>
          <w:lang w:val="en-US" w:eastAsia="nl-NL"/>
        </w:rPr>
        <w:t>R</w:t>
      </w:r>
      <w:r w:rsidRPr="00936BF6">
        <w:rPr>
          <w:vertAlign w:val="subscript"/>
          <w:lang w:val="en-US" w:eastAsia="nl-NL"/>
        </w:rPr>
        <w:t>i</w:t>
      </w:r>
      <w:r w:rsidRPr="00936BF6">
        <w:rPr>
          <w:kern w:val="0"/>
          <w:szCs w:val="24"/>
          <w:vertAlign w:val="subscript"/>
          <w:lang w:val="en-US" w:eastAsia="nl-NL"/>
        </w:rPr>
        <w:t>t</w:t>
      </w:r>
      <w:r w:rsidRPr="00936BF6">
        <w:rPr>
          <w:kern w:val="0"/>
          <w:szCs w:val="24"/>
          <w:lang w:val="en-US" w:eastAsia="nl-NL"/>
        </w:rPr>
        <w:t>|R</w:t>
      </w:r>
      <w:r w:rsidRPr="00936BF6">
        <w:rPr>
          <w:kern w:val="0"/>
          <w:szCs w:val="24"/>
          <w:vertAlign w:val="subscript"/>
          <w:lang w:val="en-US" w:eastAsia="nl-NL"/>
        </w:rPr>
        <w:t>mt</w:t>
      </w:r>
      <w:r w:rsidRPr="00936BF6">
        <w:rPr>
          <w:kern w:val="0"/>
          <w:szCs w:val="24"/>
          <w:lang w:val="en-US" w:eastAsia="nl-NL"/>
        </w:rPr>
        <w:t>)</w:t>
      </w:r>
      <w:bookmarkEnd w:id="58"/>
      <w:r w:rsidRPr="00936BF6">
        <w:rPr>
          <w:kern w:val="0"/>
          <w:lang w:val="en-US" w:eastAsia="nl-NL"/>
        </w:rPr>
        <w:t xml:space="preserve"> </w:t>
      </w:r>
    </w:p>
    <w:p w:rsidR="005217AD" w:rsidRPr="0083224B" w:rsidRDefault="005217AD" w:rsidP="00993F61">
      <w:pPr>
        <w:ind w:left="360" w:firstLine="0"/>
        <w:rPr>
          <w:kern w:val="0"/>
          <w:sz w:val="16"/>
          <w:szCs w:val="16"/>
          <w:lang w:val="en-US" w:eastAsia="nl-NL"/>
        </w:rPr>
      </w:pPr>
    </w:p>
    <w:p w:rsidR="005217AD" w:rsidRDefault="005217AD" w:rsidP="00993F61">
      <w:pPr>
        <w:rPr>
          <w:kern w:val="0"/>
          <w:lang w:eastAsia="nl-NL"/>
        </w:rPr>
      </w:pPr>
      <w:r w:rsidRPr="00ED2F2B">
        <w:rPr>
          <w:kern w:val="0"/>
          <w:lang w:eastAsia="nl-NL"/>
        </w:rPr>
        <w:t>Met deze omschrijving van abnormaal rendement zijn de</w:t>
      </w:r>
      <w:r>
        <w:rPr>
          <w:kern w:val="0"/>
          <w:lang w:eastAsia="nl-NL"/>
        </w:rPr>
        <w:t>ze</w:t>
      </w:r>
      <w:r w:rsidRPr="00ED2F2B">
        <w:rPr>
          <w:kern w:val="0"/>
          <w:lang w:eastAsia="nl-NL"/>
        </w:rPr>
        <w:t xml:space="preserve"> rendementen van de ondernemingen binnen de data berekend</w:t>
      </w:r>
      <w:r>
        <w:rPr>
          <w:rStyle w:val="FootnoteReference"/>
          <w:kern w:val="0"/>
          <w:szCs w:val="24"/>
          <w:lang w:eastAsia="nl-NL"/>
        </w:rPr>
        <w:footnoteReference w:id="26"/>
      </w:r>
      <w:r w:rsidRPr="00ED2F2B">
        <w:rPr>
          <w:kern w:val="0"/>
          <w:lang w:eastAsia="nl-NL"/>
        </w:rPr>
        <w:t xml:space="preserve">. Als de classificatie van paragraaf </w:t>
      </w:r>
      <w:fldSimple w:instr=" REF _Ref263777770 \r \h  \* MERGEFORMAT ">
        <w:r w:rsidRPr="00192623">
          <w:rPr>
            <w:kern w:val="0"/>
            <w:lang w:eastAsia="nl-NL"/>
          </w:rPr>
          <w:t>4.1</w:t>
        </w:r>
      </w:fldSimple>
      <w:r w:rsidRPr="00ED2F2B">
        <w:rPr>
          <w:kern w:val="0"/>
          <w:lang w:eastAsia="nl-NL"/>
        </w:rPr>
        <w:t xml:space="preserve"> wordt aangehouden kan </w:t>
      </w:r>
      <w:r>
        <w:rPr>
          <w:kern w:val="0"/>
          <w:lang w:eastAsia="nl-NL"/>
        </w:rPr>
        <w:t>het</w:t>
      </w:r>
      <w:r w:rsidRPr="00ED2F2B">
        <w:rPr>
          <w:kern w:val="0"/>
          <w:lang w:eastAsia="nl-NL"/>
        </w:rPr>
        <w:t xml:space="preserve"> abnormale </w:t>
      </w:r>
      <w:r>
        <w:rPr>
          <w:kern w:val="0"/>
          <w:lang w:eastAsia="nl-NL"/>
        </w:rPr>
        <w:t xml:space="preserve">rendement onderverdeeld worden in de verschillende klassen. Dit is onder andere nodig ter verificatie van de classificatie, zoals reeds aangekondigd in de voorafgaande paragraaf. </w:t>
      </w:r>
    </w:p>
    <w:p w:rsidR="005217AD" w:rsidRDefault="005217AD">
      <w:pPr>
        <w:spacing w:line="240" w:lineRule="auto"/>
        <w:ind w:firstLine="0"/>
        <w:rPr>
          <w:b/>
          <w:kern w:val="0"/>
          <w:szCs w:val="24"/>
          <w:lang w:eastAsia="nl-NL"/>
        </w:rPr>
      </w:pPr>
      <w:bookmarkStart w:id="59" w:name="_Ref264451724"/>
      <w:r>
        <w:br w:type="page"/>
      </w:r>
    </w:p>
    <w:p w:rsidR="005217AD" w:rsidRDefault="005217AD" w:rsidP="00993F61">
      <w:pPr>
        <w:pStyle w:val="Heading2"/>
        <w:numPr>
          <w:ilvl w:val="1"/>
          <w:numId w:val="5"/>
        </w:numPr>
      </w:pPr>
      <w:bookmarkStart w:id="60" w:name="_Ref267480792"/>
      <w:bookmarkStart w:id="61" w:name="_Toc267486047"/>
      <w:r>
        <w:t>Toetsing van vermoedens</w:t>
      </w:r>
      <w:bookmarkEnd w:id="59"/>
      <w:bookmarkEnd w:id="60"/>
      <w:bookmarkEnd w:id="61"/>
    </w:p>
    <w:p w:rsidR="005217AD" w:rsidRDefault="005217AD" w:rsidP="00993F61">
      <w:pPr>
        <w:rPr>
          <w:lang w:eastAsia="nl-NL"/>
        </w:rPr>
      </w:pPr>
      <w:r>
        <w:rPr>
          <w:lang w:eastAsia="nl-NL"/>
        </w:rPr>
        <w:t xml:space="preserve">Ter toetsing van de vermoedens, die zijn uitgezet in de voorafgaande paragrafen, zullen eerst de eigenschappen van de abnormale rendementen uiteen worden gezet. Zoals aangehaald in formule </w:t>
      </w:r>
      <w:fldSimple w:instr=" REF _Ref264296411 \n \h  \* MERGEFORMAT ">
        <w:r>
          <w:rPr>
            <w:lang w:eastAsia="nl-NL"/>
          </w:rPr>
          <w:t>(3)</w:t>
        </w:r>
      </w:fldSimple>
      <w:r>
        <w:rPr>
          <w:lang w:eastAsia="nl-NL"/>
        </w:rPr>
        <w:t xml:space="preserve"> zijn de abnormale rendementen de residuen van regressie </w:t>
      </w:r>
      <w:fldSimple w:instr=" REF _Ref264289790 \n \h  \* MERGEFORMAT ">
        <w:r>
          <w:rPr>
            <w:lang w:eastAsia="nl-NL"/>
          </w:rPr>
          <w:t>(2)</w:t>
        </w:r>
      </w:fldSimple>
      <w:r>
        <w:rPr>
          <w:lang w:eastAsia="nl-NL"/>
        </w:rPr>
        <w:t>. Bij uitvoering van een regressie zijn enkele vereisten betreffende de consistentie en het buitenhouden van systematische fouten. Zo moeten de standaard fouten onder andere normaal gedistribueerd  zijn en serieel onafhankelijk. Deze laatst genoemde eis wordt bij een “</w:t>
      </w:r>
      <w:r w:rsidRPr="0055404E">
        <w:rPr>
          <w:i/>
          <w:lang w:eastAsia="nl-NL"/>
        </w:rPr>
        <w:t>event study</w:t>
      </w:r>
      <w:r>
        <w:rPr>
          <w:lang w:eastAsia="nl-NL"/>
        </w:rPr>
        <w:t xml:space="preserve">” in twijfel getrokken. Als variant op regressie </w:t>
      </w:r>
      <w:fldSimple w:instr=" REF _Ref264289790 \n \h  \* MERGEFORMAT ">
        <w:r>
          <w:rPr>
            <w:lang w:eastAsia="nl-NL"/>
          </w:rPr>
          <w:t>(2)</w:t>
        </w:r>
      </w:fldSimple>
      <w:r>
        <w:rPr>
          <w:lang w:eastAsia="nl-NL"/>
        </w:rPr>
        <w:t xml:space="preserve"> wordt de regressie vergelijking gezien, als:</w:t>
      </w:r>
    </w:p>
    <w:p w:rsidR="005217AD" w:rsidRDefault="005217AD" w:rsidP="00993F61">
      <w:pPr>
        <w:rPr>
          <w:sz w:val="16"/>
          <w:szCs w:val="16"/>
          <w:lang w:eastAsia="nl-NL"/>
        </w:rPr>
      </w:pPr>
    </w:p>
    <w:p w:rsidR="005217AD" w:rsidRPr="00AF1720" w:rsidRDefault="005217AD" w:rsidP="00993F61">
      <w:pPr>
        <w:pStyle w:val="ListParagraph"/>
        <w:numPr>
          <w:ilvl w:val="0"/>
          <w:numId w:val="10"/>
        </w:numPr>
        <w:rPr>
          <w:szCs w:val="24"/>
          <w:lang w:eastAsia="nl-NL"/>
        </w:rPr>
      </w:pPr>
      <w:r w:rsidRPr="00C93B7D">
        <w:rPr>
          <w:lang w:eastAsia="nl-NL"/>
        </w:rPr>
        <w:t>R</w:t>
      </w:r>
      <w:r w:rsidRPr="0055404E">
        <w:rPr>
          <w:vertAlign w:val="subscript"/>
          <w:lang w:eastAsia="nl-NL"/>
        </w:rPr>
        <w:t>i</w:t>
      </w:r>
      <w:r w:rsidRPr="0055404E">
        <w:rPr>
          <w:kern w:val="0"/>
          <w:szCs w:val="24"/>
          <w:vertAlign w:val="subscript"/>
          <w:lang w:eastAsia="nl-NL"/>
        </w:rPr>
        <w:t>τ</w:t>
      </w:r>
      <w:r w:rsidRPr="00C93B7D">
        <w:rPr>
          <w:lang w:eastAsia="nl-NL"/>
        </w:rPr>
        <w:t xml:space="preserve"> = </w:t>
      </w:r>
      <w:r w:rsidRPr="00FD201F">
        <w:rPr>
          <w:kern w:val="0"/>
          <w:szCs w:val="24"/>
          <w:lang w:eastAsia="nl-NL"/>
        </w:rPr>
        <w:t>α</w:t>
      </w:r>
      <w:r w:rsidRPr="00C93B7D">
        <w:rPr>
          <w:kern w:val="0"/>
          <w:szCs w:val="24"/>
          <w:vertAlign w:val="subscript"/>
          <w:lang w:eastAsia="nl-NL"/>
        </w:rPr>
        <w:t>i</w:t>
      </w:r>
      <w:r w:rsidRPr="00C93B7D">
        <w:rPr>
          <w:kern w:val="0"/>
          <w:szCs w:val="24"/>
          <w:lang w:eastAsia="nl-NL"/>
        </w:rPr>
        <w:t xml:space="preserve"> + </w:t>
      </w:r>
      <w:r w:rsidRPr="00FD201F">
        <w:rPr>
          <w:kern w:val="0"/>
          <w:szCs w:val="24"/>
          <w:lang w:eastAsia="nl-NL"/>
        </w:rPr>
        <w:t>β</w:t>
      </w:r>
      <w:r w:rsidRPr="00C93B7D">
        <w:rPr>
          <w:kern w:val="0"/>
          <w:szCs w:val="24"/>
          <w:vertAlign w:val="subscript"/>
          <w:lang w:eastAsia="nl-NL"/>
        </w:rPr>
        <w:t>i</w:t>
      </w:r>
      <w:r w:rsidRPr="00C93B7D">
        <w:rPr>
          <w:kern w:val="0"/>
          <w:szCs w:val="24"/>
          <w:lang w:eastAsia="nl-NL"/>
        </w:rPr>
        <w:t>(R</w:t>
      </w:r>
      <w:r w:rsidRPr="0055404E">
        <w:rPr>
          <w:kern w:val="0"/>
          <w:szCs w:val="24"/>
          <w:vertAlign w:val="subscript"/>
          <w:lang w:eastAsia="nl-NL"/>
        </w:rPr>
        <w:t>mτ</w:t>
      </w:r>
      <w:r w:rsidRPr="00C93B7D">
        <w:rPr>
          <w:kern w:val="0"/>
          <w:szCs w:val="24"/>
          <w:lang w:eastAsia="nl-NL"/>
        </w:rPr>
        <w:t xml:space="preserve">) + </w:t>
      </w:r>
      <w:r>
        <w:rPr>
          <w:kern w:val="0"/>
          <w:szCs w:val="24"/>
          <w:lang w:eastAsia="nl-NL"/>
        </w:rPr>
        <w:t>(u</w:t>
      </w:r>
      <w:r w:rsidRPr="0055404E">
        <w:rPr>
          <w:kern w:val="0"/>
          <w:szCs w:val="24"/>
          <w:vertAlign w:val="subscript"/>
          <w:lang w:eastAsia="nl-NL"/>
        </w:rPr>
        <w:t>iτ</w:t>
      </w:r>
      <w:r>
        <w:rPr>
          <w:kern w:val="0"/>
          <w:szCs w:val="24"/>
          <w:lang w:eastAsia="nl-NL"/>
        </w:rPr>
        <w:t>+ γ</w:t>
      </w:r>
      <w:r w:rsidRPr="0055404E">
        <w:rPr>
          <w:kern w:val="0"/>
          <w:szCs w:val="24"/>
          <w:vertAlign w:val="subscript"/>
          <w:lang w:eastAsia="nl-NL"/>
        </w:rPr>
        <w:t>iτ</w:t>
      </w:r>
      <w:r>
        <w:rPr>
          <w:kern w:val="0"/>
          <w:szCs w:val="24"/>
          <w:lang w:eastAsia="nl-NL"/>
        </w:rPr>
        <w:t>)</w:t>
      </w:r>
    </w:p>
    <w:p w:rsidR="005217AD" w:rsidRDefault="005217AD" w:rsidP="00993F61">
      <w:pPr>
        <w:rPr>
          <w:sz w:val="16"/>
          <w:szCs w:val="16"/>
          <w:lang w:eastAsia="nl-NL"/>
        </w:rPr>
      </w:pPr>
    </w:p>
    <w:p w:rsidR="005217AD" w:rsidRDefault="005217AD" w:rsidP="00993F61">
      <w:pPr>
        <w:rPr>
          <w:kern w:val="0"/>
          <w:szCs w:val="24"/>
          <w:lang w:eastAsia="nl-NL"/>
        </w:rPr>
      </w:pPr>
      <w:r>
        <w:rPr>
          <w:szCs w:val="24"/>
          <w:lang w:eastAsia="nl-NL"/>
        </w:rPr>
        <w:t xml:space="preserve">Na enige reconstructie met de aanname dat de schatting van constante </w:t>
      </w:r>
      <w:r w:rsidRPr="00FD201F">
        <w:rPr>
          <w:kern w:val="0"/>
          <w:szCs w:val="24"/>
          <w:lang w:eastAsia="nl-NL"/>
        </w:rPr>
        <w:t>α</w:t>
      </w:r>
      <w:r>
        <w:rPr>
          <w:kern w:val="0"/>
          <w:szCs w:val="24"/>
          <w:lang w:eastAsia="nl-NL"/>
        </w:rPr>
        <w:t xml:space="preserve"> representatief is voor de </w:t>
      </w:r>
      <w:r w:rsidRPr="00FD201F">
        <w:rPr>
          <w:kern w:val="0"/>
          <w:szCs w:val="24"/>
          <w:lang w:eastAsia="nl-NL"/>
        </w:rPr>
        <w:t>α</w:t>
      </w:r>
      <w:r>
        <w:rPr>
          <w:kern w:val="0"/>
          <w:szCs w:val="24"/>
          <w:lang w:eastAsia="nl-NL"/>
        </w:rPr>
        <w:t xml:space="preserve"> van de populatie. Daarnaast eenzelfde aanname betreffende </w:t>
      </w:r>
      <w:r w:rsidRPr="00FD201F">
        <w:rPr>
          <w:kern w:val="0"/>
          <w:szCs w:val="24"/>
          <w:lang w:eastAsia="nl-NL"/>
        </w:rPr>
        <w:t>β</w:t>
      </w:r>
      <w:r>
        <w:rPr>
          <w:kern w:val="0"/>
          <w:szCs w:val="24"/>
          <w:lang w:eastAsia="nl-NL"/>
        </w:rPr>
        <w:t>. En een standaard fout van de regressie (u) met een gemiddelde van 0, is de verwachting voor het abnormaal rendement te schrijven, als:</w:t>
      </w:r>
    </w:p>
    <w:p w:rsidR="005217AD" w:rsidRDefault="005217AD" w:rsidP="00993F61">
      <w:pPr>
        <w:rPr>
          <w:sz w:val="16"/>
          <w:szCs w:val="16"/>
          <w:lang w:eastAsia="nl-NL"/>
        </w:rPr>
      </w:pPr>
    </w:p>
    <w:p w:rsidR="005217AD" w:rsidRPr="00132E24" w:rsidRDefault="005217AD" w:rsidP="00993F61">
      <w:pPr>
        <w:pStyle w:val="ListParagraph"/>
        <w:numPr>
          <w:ilvl w:val="0"/>
          <w:numId w:val="10"/>
        </w:numPr>
        <w:spacing w:line="240" w:lineRule="auto"/>
        <w:rPr>
          <w:kern w:val="0"/>
          <w:szCs w:val="24"/>
          <w:lang w:val="en-US" w:eastAsia="nl-NL"/>
        </w:rPr>
      </w:pPr>
      <w:r w:rsidRPr="00936BF6">
        <w:rPr>
          <w:kern w:val="0"/>
          <w:szCs w:val="24"/>
          <w:lang w:val="en-US" w:eastAsia="nl-NL"/>
        </w:rPr>
        <w:t>E(</w:t>
      </w:r>
      <w:r>
        <w:rPr>
          <w:kern w:val="0"/>
          <w:szCs w:val="24"/>
          <w:lang w:val="en-US" w:eastAsia="nl-NL"/>
        </w:rPr>
        <w:t>A</w:t>
      </w:r>
      <w:r w:rsidRPr="00936BF6">
        <w:rPr>
          <w:lang w:val="en-US" w:eastAsia="nl-NL"/>
        </w:rPr>
        <w:t>R</w:t>
      </w:r>
      <w:r w:rsidRPr="00936BF6">
        <w:rPr>
          <w:vertAlign w:val="subscript"/>
          <w:lang w:val="en-US" w:eastAsia="nl-NL"/>
        </w:rPr>
        <w:t>i</w:t>
      </w:r>
      <w:r>
        <w:rPr>
          <w:kern w:val="0"/>
          <w:szCs w:val="24"/>
          <w:vertAlign w:val="subscript"/>
          <w:lang w:val="en-US" w:eastAsia="nl-NL"/>
        </w:rPr>
        <w:t>τ</w:t>
      </w:r>
      <w:r w:rsidRPr="00936BF6">
        <w:rPr>
          <w:kern w:val="0"/>
          <w:szCs w:val="24"/>
          <w:lang w:val="en-US" w:eastAsia="nl-NL"/>
        </w:rPr>
        <w:t>|R</w:t>
      </w:r>
      <w:r w:rsidRPr="00936BF6">
        <w:rPr>
          <w:kern w:val="0"/>
          <w:szCs w:val="24"/>
          <w:vertAlign w:val="subscript"/>
          <w:lang w:val="en-US" w:eastAsia="nl-NL"/>
        </w:rPr>
        <w:t>m</w:t>
      </w:r>
      <w:r>
        <w:rPr>
          <w:kern w:val="0"/>
          <w:szCs w:val="24"/>
          <w:vertAlign w:val="subscript"/>
          <w:lang w:val="en-US" w:eastAsia="nl-NL"/>
        </w:rPr>
        <w:t>τ</w:t>
      </w:r>
      <w:r w:rsidRPr="00936BF6">
        <w:rPr>
          <w:kern w:val="0"/>
          <w:szCs w:val="24"/>
          <w:lang w:val="en-US" w:eastAsia="nl-NL"/>
        </w:rPr>
        <w:t>)</w:t>
      </w:r>
      <w:r>
        <w:rPr>
          <w:kern w:val="0"/>
          <w:lang w:val="en-US" w:eastAsia="nl-NL"/>
        </w:rPr>
        <w:t xml:space="preserve"> </w:t>
      </w:r>
      <w:r w:rsidRPr="00C93B7D">
        <w:rPr>
          <w:lang w:eastAsia="nl-NL"/>
        </w:rPr>
        <w:t xml:space="preserve">= </w:t>
      </w:r>
      <w:r w:rsidRPr="00132E24">
        <w:rPr>
          <w:kern w:val="0"/>
          <w:szCs w:val="24"/>
          <w:lang w:eastAsia="nl-NL"/>
        </w:rPr>
        <w:t xml:space="preserve"> </w:t>
      </w:r>
      <w:r>
        <w:rPr>
          <w:kern w:val="0"/>
          <w:szCs w:val="24"/>
          <w:lang w:eastAsia="nl-NL"/>
        </w:rPr>
        <w:t>γ</w:t>
      </w:r>
      <w:r w:rsidRPr="00132E24">
        <w:rPr>
          <w:kern w:val="0"/>
          <w:szCs w:val="24"/>
          <w:vertAlign w:val="subscript"/>
          <w:lang w:eastAsia="nl-NL"/>
        </w:rPr>
        <w:t>iτ</w:t>
      </w:r>
    </w:p>
    <w:p w:rsidR="005217AD" w:rsidRDefault="005217AD" w:rsidP="00993F61">
      <w:pPr>
        <w:pStyle w:val="ListParagraph"/>
        <w:spacing w:line="240" w:lineRule="auto"/>
        <w:ind w:firstLine="0"/>
        <w:rPr>
          <w:kern w:val="0"/>
          <w:sz w:val="16"/>
          <w:szCs w:val="16"/>
          <w:lang w:val="en-US" w:eastAsia="nl-NL"/>
        </w:rPr>
      </w:pPr>
    </w:p>
    <w:p w:rsidR="005217AD" w:rsidRDefault="005217AD" w:rsidP="00993F61">
      <w:pPr>
        <w:rPr>
          <w:kern w:val="0"/>
          <w:szCs w:val="24"/>
          <w:lang w:eastAsia="nl-NL"/>
        </w:rPr>
      </w:pPr>
      <w:r w:rsidRPr="00B83C3B">
        <w:rPr>
          <w:kern w:val="0"/>
          <w:lang w:eastAsia="nl-NL"/>
        </w:rPr>
        <w:t>In een model zonder s</w:t>
      </w:r>
      <w:r>
        <w:rPr>
          <w:kern w:val="0"/>
          <w:lang w:eastAsia="nl-NL"/>
        </w:rPr>
        <w:t xml:space="preserve">ystematische fouten geldt </w:t>
      </w:r>
      <w:r>
        <w:rPr>
          <w:kern w:val="0"/>
          <w:szCs w:val="24"/>
          <w:lang w:eastAsia="nl-NL"/>
        </w:rPr>
        <w:t>γ=0, want de verwachte standaard fout van de populatie zou ook een gemiddelde moeten kennen van 0, als alle verklarende variabelen in de originele regressie zijn opgenomen. Mocht dit niet het geval zijn, dan kent de regressie een zogenoemde bias ten opzichte van de populatie. Als alternatieve hypothese wordt getoetst of γ systematisch afwijkt van nul en hierdoor mogelijke een aanvulling vormt op het getoetste model. Het gaat hier om een afwijking in de periode van onderzoek.</w:t>
      </w:r>
    </w:p>
    <w:p w:rsidR="005217AD" w:rsidRDefault="005217AD" w:rsidP="004E61DB">
      <w:pPr>
        <w:rPr>
          <w:kern w:val="0"/>
          <w:szCs w:val="24"/>
          <w:lang w:eastAsia="nl-NL"/>
        </w:rPr>
      </w:pPr>
      <w:r>
        <w:rPr>
          <w:kern w:val="0"/>
          <w:szCs w:val="24"/>
          <w:lang w:eastAsia="nl-NL"/>
        </w:rPr>
        <w:t>Voor het toetsen van de hypothese dat γ gelijk is aan nul, is aggregatie van de data van belang. Dit vanwege de onzekerheid over het moment dat de informatie vrijkomt.</w:t>
      </w:r>
    </w:p>
    <w:p w:rsidR="005217AD" w:rsidRDefault="005217AD" w:rsidP="00993F61">
      <w:pPr>
        <w:rPr>
          <w:kern w:val="0"/>
          <w:szCs w:val="24"/>
          <w:lang w:eastAsia="nl-NL"/>
        </w:rPr>
      </w:pPr>
      <w:r>
        <w:rPr>
          <w:noProof/>
          <w:lang w:val="en-US"/>
        </w:rPr>
        <w:pict>
          <v:shapetype id="_x0000_t202" coordsize="21600,21600" o:spt="202" path="m,l,21600r21600,l21600,xe">
            <v:stroke joinstyle="miter"/>
            <v:path gradientshapeok="t" o:connecttype="rect"/>
          </v:shapetype>
          <v:shape id="_x0000_s1026" type="#_x0000_t202" style="position:absolute;left:0;text-align:left;margin-left:0;margin-top:368.55pt;width:453.75pt;height:.05pt;z-index:251657216;mso-position-vertical-relative:page" o:allowoverlap="f" stroked="f">
            <v:textbox style="mso-next-textbox:#_x0000_s1026;mso-fit-shape-to-text:t" inset="0,0,0,0">
              <w:txbxContent>
                <w:p w:rsidR="005217AD" w:rsidRPr="00D52E5D" w:rsidRDefault="005217AD" w:rsidP="004F6AA2">
                  <w:pPr>
                    <w:pStyle w:val="Caption"/>
                    <w:pBdr>
                      <w:top w:val="single" w:sz="4" w:space="1" w:color="auto"/>
                      <w:bottom w:val="single" w:sz="4" w:space="1" w:color="auto"/>
                    </w:pBdr>
                    <w:rPr>
                      <w:sz w:val="24"/>
                    </w:rPr>
                  </w:pPr>
                  <w:bookmarkStart w:id="62" w:name="_Ref264378575"/>
                  <w:r>
                    <w:t xml:space="preserve">Figuur </w:t>
                  </w:r>
                  <w:fldSimple w:instr=" SEQ Figuur \* ARABIC ">
                    <w:r>
                      <w:rPr>
                        <w:noProof/>
                      </w:rPr>
                      <w:t>1</w:t>
                    </w:r>
                  </w:fldSimple>
                  <w:bookmarkEnd w:id="62"/>
                  <w:r>
                    <w:t xml:space="preserve">. De gemiddeld cumulatieve abnormale rendementen afgezet tegenover de relatieve tijd rond dividend aankondiging. De abnormale rendementen zijn berekend op basis van het marktmodel. Moment van dividend aankondiging kenmerkt zich als </w:t>
                  </w:r>
                  <w:r>
                    <w:rPr>
                      <w:kern w:val="0"/>
                      <w:szCs w:val="24"/>
                      <w:lang w:eastAsia="nl-NL"/>
                    </w:rPr>
                    <w:t xml:space="preserve">τ=0. De accumulatie vindt plaats vanaf τ=-5 tot de locatie op de τ-as. Categorisatie is op basis van abnormaal dividend, waarbij categorie ‘geen’ een interval kent van [-2,5%;+2,5%], als correctie voor onzekerheid rond de voorspellingen. </w:t>
                  </w:r>
                </w:p>
              </w:txbxContent>
            </v:textbox>
            <w10:wrap type="square" anchory="page"/>
            <w10:anchorlock/>
          </v:shape>
        </w:pict>
      </w: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ek 1" o:spid="_x0000_s1027" type="#_x0000_t75" style="position:absolute;left:0;text-align:left;margin-left:14.05pt;margin-top:7.35pt;width:414.7pt;height:276.5pt;z-index:251656192;visibility:visible;mso-wrap-distance-left:23.4pt;mso-wrap-distance-top:7.68pt;mso-wrap-distance-right:33.63pt;mso-wrap-distance-bottom:12.09pt;mso-position-horizontal-relative:margin;mso-position-vertical-relative:margin"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" o:allowoverlap="f">
            <v:imagedata r:id="rId7" o:title=""/>
            <o:lock v:ext="edit" aspectratio="f"/>
            <w10:wrap type="topAndBottom" anchorx="margin" anchory="margin"/>
            <w10:anchorlock/>
          </v:shape>
        </w:pict>
      </w:r>
      <w:r>
        <w:rPr>
          <w:kern w:val="0"/>
          <w:szCs w:val="24"/>
          <w:lang w:eastAsia="nl-NL"/>
        </w:rPr>
        <w:t>Conclusies kunnen worden getrokken op basis van de variatie binnen de onderzoeksperiode ten opzichte van de overige, oftewel de normale periode van bedrijfsvoering. Voor enige visualisatie is gekozen om de gemiddeld cumulatieve abnormale rendementen af te zetten tegenover de tijd. Waardoor er wordt geaggregeerd in de tijdsdimensie door de cumulatie en in de aankondigingdimensie door het nemen van het gemiddelde.  Representatie in formulevorm:</w:t>
      </w:r>
    </w:p>
    <w:p w:rsidR="005217AD" w:rsidRPr="000243EF" w:rsidRDefault="005217AD" w:rsidP="00993F61">
      <w:pPr>
        <w:rPr>
          <w:kern w:val="0"/>
          <w:sz w:val="16"/>
          <w:szCs w:val="16"/>
          <w:lang w:eastAsia="nl-NL"/>
        </w:rPr>
      </w:pPr>
    </w:p>
    <w:p w:rsidR="005217AD" w:rsidRDefault="005217AD" w:rsidP="00993F61">
      <w:pPr>
        <w:pStyle w:val="ListParagraph"/>
        <w:numPr>
          <w:ilvl w:val="0"/>
          <w:numId w:val="10"/>
        </w:numPr>
        <w:rPr>
          <w:kern w:val="0"/>
          <w:lang w:eastAsia="nl-NL"/>
        </w:rPr>
      </w:pPr>
      <w:r w:rsidRPr="00D754FA">
        <w:rPr>
          <w:kern w:val="0"/>
          <w:lang w:eastAsia="nl-NL"/>
        </w:rPr>
        <w:fldChar w:fldCharType="begin"/>
      </w:r>
      <w:r w:rsidRPr="00D754FA">
        <w:rPr>
          <w:kern w:val="0"/>
          <w:lang w:eastAsia="nl-NL"/>
        </w:rPr>
        <w:instrText xml:space="preserve"> QUOTE </w:instrText>
      </w:r>
      <w:r w:rsidRPr="00D754FA">
        <w:pict>
          <v:shape id="_x0000_i1025" type="#_x0000_t75" style="width:141.75pt;height:39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1F7C&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761F7C&quot;&gt;&lt;m:oMathPara&gt;&lt;m:oMath&gt;&lt;m:acc&gt;&lt;m:accPr&gt;&lt;m:chr m:val=&quot;Ì…&quot;/&gt;&lt;m:ctrlPr&gt;&lt;w:rPr&gt;&lt;w:rFonts w:ascii=&quot;Cambria Math&quot; w:h-ansi=&quot;Cambria Math&quot;/&gt;&lt;wx:font wx:val=&quot;Cambria Math&quot;/&gt;&lt;w:i/&gt;&lt;w:kern w:val=&quot;0&quot;/&gt;&lt;w:lang w:fareast=&quot;NL&quot; w:bidi=&quot;AR-SA&quot;/&gt;&lt;/w:rPr&gt;&lt;/m:ctrlPr&gt;&lt;/m:accPr&gt;&lt;m:e&gt;&lt;m:r&gt;&lt;w:rPr&gt;&lt;w:rFonts w:ascii=&quot;Cambria Math&quot; w:h-ansi=&quot;Cambria Math&quot;/&gt;&lt;wx:font wx:val=&quot;Cambria Math&quot;/&gt;&lt;w:i/&gt;&lt;w:kern w:val=&quot;0&quot;/&gt;&lt;w:lang w:fareast=&quot;NL&quot; w:bidi=&quot;AR-SA&quot;/&gt;&lt;/w:rPr&gt;&lt;m:t&gt;CAR&lt;/m:t&gt;&lt;/m:r&gt;&lt;/m:e&gt;&lt;/m:acc&gt;&lt;m:d&gt;&lt;m:dPr&gt;&lt;m:ctrlPr&gt;&lt;w:rPr&gt;&lt;w:rFonts w:ascii=&quot;Cambria Math&quot; w:h-ansi=&quot;Cambria Math&quot;/&gt;&lt;wx:font wx:val=&quot;Cambria Math&quot;/&gt;&lt;w:i/&gt;&lt;w:kern w:val=&quot;0&quot;/&gt;&lt;w:lang w:fareast=&quot;NL&quot; w:bidi=&quot;AR-SA&quot;/&gt;&lt;/w:rPr&gt;&lt;/m:ctrlPr&gt;&lt;/m:dPr&gt;&lt;m:e&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1&lt;/m:t&gt;&lt;/m:r&gt;&lt;/m:sub&gt;&lt;/m:sSub&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e&gt;&lt;/m:d&gt;&lt;m:r&gt;&lt;w:rPr&gt;&lt;w:rFonts w:ascii=&quot;Cambria Math&quot; w:h-ansi=&quot;Cambria Math&quot;/&gt;&lt;wx:font wx:val=&quot;Cambria Math&quot;/&gt;&lt;w:i/&gt;&lt;w:kern w:val=&quot;0&quot;/&gt;&lt;w:lang w:fareast=&quot;NL&quot; w:bidi=&quot;AR-SA&quot;/&gt;&lt;/w:rPr&gt;&lt;m:t&gt;= &lt;/m:t&gt;&lt;/m:r&gt;&lt;m:f&gt;&lt;m:fPr&gt;&lt;m:ctrlPr&gt;&lt;w:rPr&gt;&lt;w:rFonts w:ascii=&quot;Cambria Math&quot; w:h-ansi=&quot;Cambria Math&quot;/&gt;&lt;wx:font wx:val=&quot;Cambria Math&quot;/&gt;&lt;w:i/&gt;&lt;w:kern w:val=&quot;0&quot;/&gt;&lt;w:lang w:fareast=&quot;NL&quot; w:bidi=&quot;AR-SA&quot;/&gt;&lt;/w:rPr&gt;&lt;/m:ctrlPr&gt;&lt;/m:fPr&gt;&lt;m:num&gt;&lt;m:r&gt;&lt;w:rPr&gt;&lt;w:rFonts w:ascii=&quot;Cambria Math&quot; w:h-ansi=&quot;Cambria Math&quot;/&gt;&lt;wx:font wx:val=&quot;Cambria Math&quot;/&gt;&lt;w:i/&gt;&lt;w:kern w:val=&quot;0&quot;/&gt;&lt;w:lang w:fareast=&quot;NL&quot; w:bidi=&quot;AR-SA&quot;/&gt;&lt;/w:rPr&gt;&lt;m:t&gt;1&lt;/m:t&gt;&lt;/m:r&gt;&lt;/m:num&gt;&lt;m:den&gt;&lt;m:r&gt;&lt;w:rPr&gt;&lt;w:rFonts w:ascii=&quot;Cambria Math&quot; w:h-ansi=&quot;Cambria Math&quot;/&gt;&lt;wx:font wx:val=&quot;Cambria Math&quot;/&gt;&lt;w:i/&gt;&lt;w:kern w:val=&quot;0&quot;/&gt;&lt;w:lang w:fareast=&quot;NL&quot; w:bidi=&quot;AR-SA&quot;/&gt;&lt;/w:rPr&gt;&lt;m:t&gt;N&lt;/m:t&gt;&lt;/m:r&gt;&lt;/m:den&gt;&lt;/m:f&gt;&lt;m:r&gt;&lt;w:rPr&gt;&lt;w:rFonts w:ascii=&quot;Cambria Math&quot; w:h-ansi=&quot;Cambria Math&quot;/&gt;&lt;wx:font wx:val=&quot;Cambria Math&quot;/&gt;&lt;w:i/&gt;&lt;w:kern w:val=&quot;0&quot;/&gt;&lt;w:lang w:fareast=&quot;NL&quot; w:bidi=&quot;AR-SA&quot;/&gt;&lt;/w:rPr&gt;&lt;m:t&gt; &lt;/m:t&gt;&lt;/m:r&gt;&lt;m:nary&gt;&lt;m:naryPr&gt;&lt;m:chr m:val=&quot;âˆ‘&quot;/&gt;&lt;m:limLoc m:val=&quot;undOvr&quot;/&gt;&lt;m:ctrlPr&gt;&lt;w:rPr&gt;&lt;w:rFonts w:ascii=&quot;Cambria Math&quot; w:h-ansi=&quot;Cambria Math&quot;/&gt;&lt;wx:font wx:val=&quot;Cambria Math&quot;/&gt;&lt;w:i/&gt;&lt;w:kern w:val=&quot;0&quot;/&gt;&lt;w:lang w:fareast=&quot;NL&quot; w:bidi=&quot;AR-SA&quot;/&gt;&lt;/w:rPr&gt;&lt;/m:ctrlPr&gt;&lt;/m:naryPr&gt;&lt;m:sub&gt;&lt;m:r&gt;&lt;w:rPr&gt;&lt;w:rFonts w:ascii=&quot;Cambria Math&quot; w:h-ansi=&quot;Cambria Math&quot;/&gt;&lt;wx:font wx:val=&quot;Cambria Math&quot;/&gt;&lt;w:i/&gt;&lt;w:kern w:val=&quot;0&quot;/&gt;&lt;w:lang w:fareast=&quot;NL&quot; w:bidi=&quot;AR-SA&quot;/&gt;&lt;/w:rPr&gt;&lt;m:t&gt;i=1&lt;/m:t&gt;&lt;/m:r&gt;&lt;/m:sub&gt;&lt;m:sup&gt;&lt;m:r&gt;&lt;w:rPr&gt;&lt;w:rFonts w:ascii=&quot;Cambria Math&quot; w:h-ansi=&quot;Cambria Math&quot;/&gt;&lt;wx:font wx:val=&quot;Cambria Math&quot;/&gt;&lt;w:i/&gt;&lt;w:kern w:val=&quot;0&quot;/&gt;&lt;w:lang w:fareast=&quot;NL&quot; w:bidi=&quot;AR-SA&quot;/&gt;&lt;/w:rPr&gt;&lt;m:t&gt;N&lt;/m:t&gt;&lt;/m:r&gt;&lt;/m:sup&gt;&lt;m:e&gt;&lt;m:nary&gt;&lt;m:naryPr&gt;&lt;m:chr m:val=&quot;âˆ‘&quot;/&gt;&lt;m:limLoc m:val=&quot;undOvr&quot;/&gt;&lt;m:ctrlPr&gt;&lt;w:rPr&gt;&lt;w:rFonts w:ascii=&quot;Cambria Math&quot; w:h-ansi=&quot;Cambria Math&quot;/&gt;&lt;wx:font wx:val=&quot;Cambria Math&quot;/&gt;&lt;w:i/&gt;&lt;w:kern w:val=&quot;0&quot;/&gt;&lt;w:lang w:fareast=&quot;NL&quot; w:bidi=&quot;AR-SA&quot;/&gt;&lt;/w:rPr&gt;&lt;/m:ctrlPr&gt;&lt;/m:naryPr&gt;&lt;m:sub&gt;&lt;m:r&gt;&lt;m:rPr&gt;&lt;m:sty m:val=&quot;p&quot;/&gt;&lt;/m:rPr&gt;&lt;w:rPr&gt;&lt;w:rFonts w:ascii=&quot;Cambria Math&quot; w:h-ansi=&quot;Cambria Math&quot;/&gt;&lt;wx:font wx:val=&quot;Cambria Math&quot;/&gt;&lt;w:kern w:val=&quot;0&quot;/&gt;&lt;w:sz-cs w:val=&quot;24&quot;/&gt;&lt;w:lang w:fareast=&quot;NL&quot; w:bidi=&quot;AR-SA&quot;/&gt;&lt;/w:rPr&gt;&lt;m:t&gt;Ï„=&lt;/m:t&gt;&lt;/m:r&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1&lt;/m:t&gt;&lt;/m:r&gt;&lt;/m:sub&gt;&lt;/m:sSub&gt;&lt;/m:sub&gt;&lt;m:sup&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sup&gt;&lt;m:e&gt;&lt;m:sSub&gt;&lt;m:sSubPr&gt;&lt;m:ctrlPr&gt;&lt;w:rPr&gt;&lt;w:rFonts w:ascii=&quot;Cambria Math&quot; w:h-ansi=&quot;Cambria Math&quot;/&gt;&lt;wx:font wx:val=&quot;Cambria Math&quot;/&gt;&lt;w:i/&gt;&lt;w:kern w:val=&quot;0&quot;/&gt;&lt;w:lang w:fareast=&quot;NL&quot; w:bidi=&quot;AR-SA&quot;/&gt;&lt;/w:rPr&gt;&lt;/m:ctrlPr&gt;&lt;/m:sSubPr&gt;&lt;m:e&gt;&lt;m:r&gt;&lt;w:rPr&gt;&lt;w:rFonts w:ascii=&quot;Cambria Math&quot; w:h-ansi=&quot;Cambria Math&quot;/&gt;&lt;wx:font wx:val=&quot;Cambria Math&quot;/&gt;&lt;w:i/&gt;&lt;w:kern w:val=&quot;0&quot;/&gt;&lt;w:lang w:fareast=&quot;NL&quot; w:bidi=&quot;AR-SA&quot;/&gt;&lt;/w:rPr&gt;&lt;m:t&gt;AR&lt;/m:t&gt;&lt;/m:r&gt;&lt;/m:e&gt;&lt;m:sub&gt;&lt;m:r&gt;&lt;w:rPr&gt;&lt;w:rFonts w:ascii=&quot;Cambria Math&quot; w:h-ansi=&quot;Cambria Math&quot;/&gt;&lt;wx:font wx:val=&quot;Cambria Math&quot;/&gt;&lt;w:i/&gt;&lt;w:kern w:val=&quot;0&quot;/&gt;&lt;w:lang w:fareast=&quot;NL&quot; w:bidi=&quot;AR-SA&quot;/&gt;&lt;/w:rPr&gt;&lt;m:t&gt;i&lt;/m:t&gt;&lt;/m:r&gt;&lt;m:r&gt;&lt;m:rPr&gt;&lt;m:sty m:val=&quot;p&quot;/&gt;&lt;/m:rPr&gt;&lt;w:rPr&gt;&lt;w:rFonts w:ascii=&quot;Cambria Math&quot; w:h-ansi=&quot;Cambria Math&quot;/&gt;&lt;wx:font wx:val=&quot;Cambria Math&quot;/&gt;&lt;w:kern w:val=&quot;0&quot;/&gt;&lt;w:sz-cs w:val=&quot;24&quot;/&gt;&lt;w:lang w:fareast=&quot;NL&quot; w:bidi=&quot;AR-SA&quot;/&gt;&lt;/w:rPr&gt;&lt;m:t&gt;Ï„&lt;/m:t&gt;&lt;/m:r&gt;&lt;/m:sub&gt;&lt;/m:sSub&gt;&lt;/m:e&gt;&lt;/m:nary&gt;&lt;/m:e&gt;&lt;/m:nary&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8" o:title="" chromakey="white"/>
          </v:shape>
        </w:pict>
      </w:r>
      <w:r w:rsidRPr="00D754FA">
        <w:rPr>
          <w:kern w:val="0"/>
          <w:lang w:eastAsia="nl-NL"/>
        </w:rPr>
        <w:instrText xml:space="preserve"> </w:instrText>
      </w:r>
      <w:r w:rsidRPr="00D754FA">
        <w:rPr>
          <w:kern w:val="0"/>
          <w:lang w:eastAsia="nl-NL"/>
        </w:rPr>
        <w:fldChar w:fldCharType="separate"/>
      </w:r>
      <w:r w:rsidRPr="00D754FA">
        <w:pict>
          <v:shape id="_x0000_i1026" type="#_x0000_t75" style="width:141.75pt;height:39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1F7C&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761F7C&quot;&gt;&lt;m:oMathPara&gt;&lt;m:oMath&gt;&lt;m:acc&gt;&lt;m:accPr&gt;&lt;m:chr m:val=&quot;Ì…&quot;/&gt;&lt;m:ctrlPr&gt;&lt;w:rPr&gt;&lt;w:rFonts w:ascii=&quot;Cambria Math&quot; w:h-ansi=&quot;Cambria Math&quot;/&gt;&lt;wx:font wx:val=&quot;Cambria Math&quot;/&gt;&lt;w:i/&gt;&lt;w:kern w:val=&quot;0&quot;/&gt;&lt;w:lang w:fareast=&quot;NL&quot; w:bidi=&quot;AR-SA&quot;/&gt;&lt;/w:rPr&gt;&lt;/m:ctrlPr&gt;&lt;/m:accPr&gt;&lt;m:e&gt;&lt;m:r&gt;&lt;w:rPr&gt;&lt;w:rFonts w:ascii=&quot;Cambria Math&quot; w:h-ansi=&quot;Cambria Math&quot;/&gt;&lt;wx:font wx:val=&quot;Cambria Math&quot;/&gt;&lt;w:i/&gt;&lt;w:kern w:val=&quot;0&quot;/&gt;&lt;w:lang w:fareast=&quot;NL&quot; w:bidi=&quot;AR-SA&quot;/&gt;&lt;/w:rPr&gt;&lt;m:t&gt;CAR&lt;/m:t&gt;&lt;/m:r&gt;&lt;/m:e&gt;&lt;/m:acc&gt;&lt;m:d&gt;&lt;m:dPr&gt;&lt;m:ctrlPr&gt;&lt;w:rPr&gt;&lt;w:rFonts w:ascii=&quot;Cambria Math&quot; w:h-ansi=&quot;Cambria Math&quot;/&gt;&lt;wx:font wx:val=&quot;Cambria Math&quot;/&gt;&lt;w:i/&gt;&lt;w:kern w:val=&quot;0&quot;/&gt;&lt;w:lang w:fareast=&quot;NL&quot; w:bidi=&quot;AR-SA&quot;/&gt;&lt;/w:rPr&gt;&lt;/m:ctrlPr&gt;&lt;/m:dPr&gt;&lt;m:e&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1&lt;/m:t&gt;&lt;/m:r&gt;&lt;/m:sub&gt;&lt;/m:sSub&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e&gt;&lt;/m:d&gt;&lt;m:r&gt;&lt;w:rPr&gt;&lt;w:rFonts w:ascii=&quot;Cambria Math&quot; w:h-ansi=&quot;Cambria Math&quot;/&gt;&lt;wx:font wx:val=&quot;Cambria Math&quot;/&gt;&lt;w:i/&gt;&lt;w:kern w:val=&quot;0&quot;/&gt;&lt;w:lang w:fareast=&quot;NL&quot; w:bidi=&quot;AR-SA&quot;/&gt;&lt;/w:rPr&gt;&lt;m:t&gt;= &lt;/m:t&gt;&lt;/m:r&gt;&lt;m:f&gt;&lt;m:fPr&gt;&lt;m:ctrlPr&gt;&lt;w:rPr&gt;&lt;w:rFonts w:ascii=&quot;Cambria Math&quot; w:h-ansi=&quot;Cambria Math&quot;/&gt;&lt;wx:font wx:val=&quot;Cambria Math&quot;/&gt;&lt;w:i/&gt;&lt;w:kern w:val=&quot;0&quot;/&gt;&lt;w:lang w:fareast=&quot;NL&quot; w:bidi=&quot;AR-SA&quot;/&gt;&lt;/w:rPr&gt;&lt;/m:ctrlPr&gt;&lt;/m:fPr&gt;&lt;m:num&gt;&lt;m:r&gt;&lt;w:rPr&gt;&lt;w:rFonts w:ascii=&quot;Cambria Math&quot; w:h-ansi=&quot;Cambria Math&quot;/&gt;&lt;wx:font wx:val=&quot;Cambria Math&quot;/&gt;&lt;w:i/&gt;&lt;w:kern w:val=&quot;0&quot;/&gt;&lt;w:lang w:fareast=&quot;NL&quot; w:bidi=&quot;AR-SA&quot;/&gt;&lt;/w:rPr&gt;&lt;m:t&gt;1&lt;/m:t&gt;&lt;/m:r&gt;&lt;/m:num&gt;&lt;m:den&gt;&lt;m:r&gt;&lt;w:rPr&gt;&lt;w:rFonts w:ascii=&quot;Cambria Math&quot; w:h-ansi=&quot;Cambria Math&quot;/&gt;&lt;wx:font wx:val=&quot;Cambria Math&quot;/&gt;&lt;w:i/&gt;&lt;w:kern w:val=&quot;0&quot;/&gt;&lt;w:lang w:fareast=&quot;NL&quot; w:bidi=&quot;AR-SA&quot;/&gt;&lt;/w:rPr&gt;&lt;m:t&gt;N&lt;/m:t&gt;&lt;/m:r&gt;&lt;/m:den&gt;&lt;/m:f&gt;&lt;m:r&gt;&lt;w:rPr&gt;&lt;w:rFonts w:ascii=&quot;Cambria Math&quot; w:h-ansi=&quot;Cambria Math&quot;/&gt;&lt;wx:font wx:val=&quot;Cambria Math&quot;/&gt;&lt;w:i/&gt;&lt;w:kern w:val=&quot;0&quot;/&gt;&lt;w:lang w:fareast=&quot;NL&quot; w:bidi=&quot;AR-SA&quot;/&gt;&lt;/w:rPr&gt;&lt;m:t&gt; &lt;/m:t&gt;&lt;/m:r&gt;&lt;m:nary&gt;&lt;m:naryPr&gt;&lt;m:chr m:val=&quot;âˆ‘&quot;/&gt;&lt;m:limLoc m:val=&quot;undOvr&quot;/&gt;&lt;m:ctrlPr&gt;&lt;w:rPr&gt;&lt;w:rFonts w:ascii=&quot;Cambria Math&quot; w:h-ansi=&quot;Cambria Math&quot;/&gt;&lt;wx:font wx:val=&quot;Cambria Math&quot;/&gt;&lt;w:i/&gt;&lt;w:kern w:val=&quot;0&quot;/&gt;&lt;w:lang w:fareast=&quot;NL&quot; w:bidi=&quot;AR-SA&quot;/&gt;&lt;/w:rPr&gt;&lt;/m:ctrlPr&gt;&lt;/m:naryPr&gt;&lt;m:sub&gt;&lt;m:r&gt;&lt;w:rPr&gt;&lt;w:rFonts w:ascii=&quot;Cambria Math&quot; w:h-ansi=&quot;Cambria Math&quot;/&gt;&lt;wx:font wx:val=&quot;Cambria Math&quot;/&gt;&lt;w:i/&gt;&lt;w:kern w:val=&quot;0&quot;/&gt;&lt;w:lang w:fareast=&quot;NL&quot; w:bidi=&quot;AR-SA&quot;/&gt;&lt;/w:rPr&gt;&lt;m:t&gt;i=1&lt;/m:t&gt;&lt;/m:r&gt;&lt;/m:sub&gt;&lt;m:sup&gt;&lt;m:r&gt;&lt;w:rPr&gt;&lt;w:rFonts w:ascii=&quot;Cambria Math&quot; w:h-ansi=&quot;Cambria Math&quot;/&gt;&lt;wx:font wx:val=&quot;Cambria Math&quot;/&gt;&lt;w:i/&gt;&lt;w:kern w:val=&quot;0&quot;/&gt;&lt;w:lang w:fareast=&quot;NL&quot; w:bidi=&quot;AR-SA&quot;/&gt;&lt;/w:rPr&gt;&lt;m:t&gt;N&lt;/m:t&gt;&lt;/m:r&gt;&lt;/m:sup&gt;&lt;m:e&gt;&lt;m:nary&gt;&lt;m:naryPr&gt;&lt;m:chr m:val=&quot;âˆ‘&quot;/&gt;&lt;m:limLoc m:val=&quot;undOvr&quot;/&gt;&lt;m:ctrlPr&gt;&lt;w:rPr&gt;&lt;w:rFonts w:ascii=&quot;Cambria Math&quot; w:h-ansi=&quot;Cambria Math&quot;/&gt;&lt;wx:font wx:val=&quot;Cambria Math&quot;/&gt;&lt;w:i/&gt;&lt;w:kern w:val=&quot;0&quot;/&gt;&lt;w:lang w:fareast=&quot;NL&quot; w:bidi=&quot;AR-SA&quot;/&gt;&lt;/w:rPr&gt;&lt;/m:ctrlPr&gt;&lt;/m:naryPr&gt;&lt;m:sub&gt;&lt;m:r&gt;&lt;m:rPr&gt;&lt;m:sty m:val=&quot;p&quot;/&gt;&lt;/m:rPr&gt;&lt;w:rPr&gt;&lt;w:rFonts w:ascii=&quot;Cambria Math&quot; w:h-ansi=&quot;Cambria Math&quot;/&gt;&lt;wx:font wx:val=&quot;Cambria Math&quot;/&gt;&lt;w:kern w:val=&quot;0&quot;/&gt;&lt;w:sz-cs w:val=&quot;24&quot;/&gt;&lt;w:lang w:fareast=&quot;NL&quot; w:bidi=&quot;AR-SA&quot;/&gt;&lt;/w:rPr&gt;&lt;m:t&gt;Ï„=&lt;/m:t&gt;&lt;/m:r&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1&lt;/m:t&gt;&lt;/m:r&gt;&lt;/m:sub&gt;&lt;/m:sSub&gt;&lt;/m:sub&gt;&lt;m:sup&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sup&gt;&lt;m:e&gt;&lt;m:sSub&gt;&lt;m:sSubPr&gt;&lt;m:ctrlPr&gt;&lt;w:rPr&gt;&lt;w:rFonts w:ascii=&quot;Cambria Math&quot; w:h-ansi=&quot;Cambria Math&quot;/&gt;&lt;wx:font wx:val=&quot;Cambria Math&quot;/&gt;&lt;w:i/&gt;&lt;w:kern w:val=&quot;0&quot;/&gt;&lt;w:lang w:fareast=&quot;NL&quot; w:bidi=&quot;AR-SA&quot;/&gt;&lt;/w:rPr&gt;&lt;/m:ctrlPr&gt;&lt;/m:sSubPr&gt;&lt;m:e&gt;&lt;m:r&gt;&lt;w:rPr&gt;&lt;w:rFonts w:ascii=&quot;Cambria Math&quot; w:h-ansi=&quot;Cambria Math&quot;/&gt;&lt;wx:font wx:val=&quot;Cambria Math&quot;/&gt;&lt;w:i/&gt;&lt;w:kern w:val=&quot;0&quot;/&gt;&lt;w:lang w:fareast=&quot;NL&quot; w:bidi=&quot;AR-SA&quot;/&gt;&lt;/w:rPr&gt;&lt;m:t&gt;AR&lt;/m:t&gt;&lt;/m:r&gt;&lt;/m:e&gt;&lt;m:sub&gt;&lt;m:r&gt;&lt;w:rPr&gt;&lt;w:rFonts w:ascii=&quot;Cambria Math&quot; w:h-ansi=&quot;Cambria Math&quot;/&gt;&lt;wx:font wx:val=&quot;Cambria Math&quot;/&gt;&lt;w:i/&gt;&lt;w:kern w:val=&quot;0&quot;/&gt;&lt;w:lang w:fareast=&quot;NL&quot; w:bidi=&quot;AR-SA&quot;/&gt;&lt;/w:rPr&gt;&lt;m:t&gt;i&lt;/m:t&gt;&lt;/m:r&gt;&lt;m:r&gt;&lt;m:rPr&gt;&lt;m:sty m:val=&quot;p&quot;/&gt;&lt;/m:rPr&gt;&lt;w:rPr&gt;&lt;w:rFonts w:ascii=&quot;Cambria Math&quot; w:h-ansi=&quot;Cambria Math&quot;/&gt;&lt;wx:font wx:val=&quot;Cambria Math&quot;/&gt;&lt;w:kern w:val=&quot;0&quot;/&gt;&lt;w:sz-cs w:val=&quot;24&quot;/&gt;&lt;w:lang w:fareast=&quot;NL&quot; w:bidi=&quot;AR-SA&quot;/&gt;&lt;/w:rPr&gt;&lt;m:t&gt;Ï„&lt;/m:t&gt;&lt;/m:r&gt;&lt;/m:sub&gt;&lt;/m:sSub&gt;&lt;/m:e&gt;&lt;/m:nary&gt;&lt;/m:e&gt;&lt;/m:nary&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8" o:title="" chromakey="white"/>
          </v:shape>
        </w:pict>
      </w:r>
      <w:r w:rsidRPr="00D754FA">
        <w:rPr>
          <w:kern w:val="0"/>
          <w:lang w:eastAsia="nl-NL"/>
        </w:rPr>
        <w:fldChar w:fldCharType="end"/>
      </w:r>
    </w:p>
    <w:p w:rsidR="005217AD" w:rsidRDefault="005217AD" w:rsidP="00993F61">
      <w:pPr>
        <w:ind w:left="360" w:firstLine="0"/>
        <w:rPr>
          <w:kern w:val="0"/>
          <w:sz w:val="16"/>
          <w:szCs w:val="16"/>
          <w:lang w:eastAsia="nl-NL"/>
        </w:rPr>
      </w:pPr>
    </w:p>
    <w:p w:rsidR="005217AD" w:rsidRDefault="005217AD" w:rsidP="00993F61">
      <w:pPr>
        <w:rPr>
          <w:kern w:val="0"/>
          <w:szCs w:val="24"/>
          <w:lang w:eastAsia="nl-NL"/>
        </w:rPr>
      </w:pPr>
      <w:r>
        <w:rPr>
          <w:kern w:val="0"/>
          <w:szCs w:val="24"/>
          <w:lang w:eastAsia="nl-NL"/>
        </w:rPr>
        <w:t>Van links naar rechts houdt dit in dat het gemiddelde abnormale rendement(</w:t>
      </w:r>
      <w:r w:rsidRPr="00D754FA">
        <w:rPr>
          <w:kern w:val="0"/>
          <w:lang w:eastAsia="nl-NL"/>
        </w:rPr>
        <w:fldChar w:fldCharType="begin"/>
      </w:r>
      <w:r w:rsidRPr="00D754FA">
        <w:rPr>
          <w:kern w:val="0"/>
          <w:lang w:eastAsia="nl-NL"/>
        </w:rPr>
        <w:instrText xml:space="preserve"> QUOTE </w:instrText>
      </w:r>
      <w:r w:rsidRPr="00D754FA">
        <w:pict>
          <v:shape id="_x0000_i1027"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39FB&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5539FB&quot;&gt;&lt;m:oMathPara&gt;&lt;m:oMath&gt;&lt;m:acc&gt;&lt;m:accPr&gt;&lt;m:chr m:val=&quot;Ì…&quot;/&gt;&lt;m:ctrlPr&gt;&lt;w:rPr&gt;&lt;w:rFonts w:ascii=&quot;Cambria Math&quot; w:h-ansi=&quot;Cambria Math&quot;/&gt;&lt;wx:font wx:val=&quot;Cambria Math&quot;/&gt;&lt;w:i/&gt;&lt;w:kern w:val=&quot;0&quot;/&gt;&lt;w:lang w:fareast=&quot;NL&quot; w:bidi=&quot;AR-SA&quot;/&gt;&lt;/w:rPr&gt;&lt;/m:ctrlPr&gt;&lt;/m:accPr&gt;&lt;m:e&gt;&lt;m:r&gt;&lt;w:rPr&gt;&lt;w:rFonts w:ascii=&quot;Cambria Math&quot; w:h-ansi=&quot;Cambria Math&quot;/&gt;&lt;wx:font wx:val=&quot;Cambria Math&quot;/&gt;&lt;w:i/&gt;&lt;w:kern w:val=&quot;0&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kern w:val="0"/>
          <w:lang w:eastAsia="nl-NL"/>
        </w:rPr>
        <w:instrText xml:space="preserve"> </w:instrText>
      </w:r>
      <w:r w:rsidRPr="00D754FA">
        <w:rPr>
          <w:kern w:val="0"/>
          <w:lang w:eastAsia="nl-NL"/>
        </w:rPr>
        <w:fldChar w:fldCharType="separate"/>
      </w:r>
      <w:r w:rsidRPr="00D754FA">
        <w:pict>
          <v:shape id="_x0000_i1028"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39FB&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5539FB&quot;&gt;&lt;m:oMathPara&gt;&lt;m:oMath&gt;&lt;m:acc&gt;&lt;m:accPr&gt;&lt;m:chr m:val=&quot;Ì…&quot;/&gt;&lt;m:ctrlPr&gt;&lt;w:rPr&gt;&lt;w:rFonts w:ascii=&quot;Cambria Math&quot; w:h-ansi=&quot;Cambria Math&quot;/&gt;&lt;wx:font wx:val=&quot;Cambria Math&quot;/&gt;&lt;w:i/&gt;&lt;w:kern w:val=&quot;0&quot;/&gt;&lt;w:lang w:fareast=&quot;NL&quot; w:bidi=&quot;AR-SA&quot;/&gt;&lt;/w:rPr&gt;&lt;/m:ctrlPr&gt;&lt;/m:accPr&gt;&lt;m:e&gt;&lt;m:r&gt;&lt;w:rPr&gt;&lt;w:rFonts w:ascii=&quot;Cambria Math&quot; w:h-ansi=&quot;Cambria Math&quot;/&gt;&lt;wx:font wx:val=&quot;Cambria Math&quot;/&gt;&lt;w:i/&gt;&lt;w:kern w:val=&quot;0&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kern w:val="0"/>
          <w:lang w:eastAsia="nl-NL"/>
        </w:rPr>
        <w:fldChar w:fldCharType="end"/>
      </w:r>
      <w:r>
        <w:rPr>
          <w:kern w:val="0"/>
          <w:lang w:eastAsia="nl-NL"/>
        </w:rPr>
        <w:t xml:space="preserve">) de som is van de abnormale rendementen (AR) tijdens de dividend aankondigingen(i), van 1 tot het totaal (N), gedeeld door het totaal (N). Accumulatie vindt plaats vanaf relatief tijdstip </w:t>
      </w:r>
      <w:r>
        <w:rPr>
          <w:kern w:val="0"/>
          <w:szCs w:val="24"/>
          <w:lang w:eastAsia="nl-NL"/>
        </w:rPr>
        <w:t>τ</w:t>
      </w:r>
      <w:r>
        <w:rPr>
          <w:kern w:val="0"/>
          <w:szCs w:val="24"/>
          <w:vertAlign w:val="subscript"/>
          <w:lang w:eastAsia="nl-NL"/>
        </w:rPr>
        <w:t>1</w:t>
      </w:r>
      <w:r>
        <w:rPr>
          <w:kern w:val="0"/>
          <w:szCs w:val="24"/>
          <w:lang w:eastAsia="nl-NL"/>
        </w:rPr>
        <w:t xml:space="preserve"> tot het eind tijdstip τ</w:t>
      </w:r>
      <w:r>
        <w:rPr>
          <w:kern w:val="0"/>
          <w:szCs w:val="24"/>
          <w:vertAlign w:val="subscript"/>
          <w:lang w:eastAsia="nl-NL"/>
        </w:rPr>
        <w:t>2</w:t>
      </w:r>
      <w:r>
        <w:rPr>
          <w:kern w:val="0"/>
          <w:szCs w:val="24"/>
          <w:lang w:eastAsia="nl-NL"/>
        </w:rPr>
        <w:t xml:space="preserve">. Visualisatie is te zien in </w:t>
      </w:r>
      <w:fldSimple w:instr=" REF _Ref264378575 \h  \* MERGEFORMAT ">
        <w:r>
          <w:t xml:space="preserve">Figuur </w:t>
        </w:r>
        <w:r>
          <w:rPr>
            <w:noProof/>
          </w:rPr>
          <w:t>1</w:t>
        </w:r>
      </w:fldSimple>
      <w:r>
        <w:rPr>
          <w:kern w:val="0"/>
          <w:szCs w:val="24"/>
          <w:lang w:eastAsia="nl-NL"/>
        </w:rPr>
        <w:t>. Opvallend is dat de directies van de abnormale rendementen niet geheel gerepresenteerd lijken te worden door de directies van gemiddeld cumulatieve abnormale rendementen. Ondernemingen, die relatief geen abnormaal dividend kennen, lijken buitengewoon goed te worden gewaardeerd door de markt rond de periode van dividend aankondiging. Een mogelijke verklaring ligt in de onzekerheid, met betrekking tot uitbetaling, tijdens de economisch onstabiele periode waarbinnen de steekproef is genomen. Voldoen aan de verwachtingen zou binnen deze argumentatie  een positief beeld geven over de toekomst.</w:t>
      </w:r>
    </w:p>
    <w:p w:rsidR="005217AD" w:rsidRDefault="005217AD" w:rsidP="00993F61">
      <w:pPr>
        <w:rPr>
          <w:kern w:val="0"/>
          <w:szCs w:val="24"/>
          <w:lang w:eastAsia="nl-NL"/>
        </w:rPr>
      </w:pPr>
      <w:r>
        <w:rPr>
          <w:kern w:val="0"/>
          <w:szCs w:val="24"/>
          <w:lang w:eastAsia="nl-NL"/>
        </w:rPr>
        <w:t>Voor het toetsen van enige significantie van de hypothese, dat γ gelijk is aan nul, moet een schatting gemaakt worden van de variantie. Deze schatting begint bij het schatten van de variantie van de verschillende dividendaankondigingen. Deze wordt gemaakt over het relatieve interval τ[-5;-2]</w:t>
      </w:r>
      <w:r>
        <w:rPr>
          <w:rStyle w:val="FootnoteReference"/>
          <w:kern w:val="0"/>
          <w:szCs w:val="24"/>
          <w:lang w:eastAsia="nl-NL"/>
        </w:rPr>
        <w:footnoteReference w:id="27"/>
      </w:r>
      <w:r>
        <w:rPr>
          <w:kern w:val="0"/>
          <w:szCs w:val="24"/>
          <w:lang w:eastAsia="nl-NL"/>
        </w:rPr>
        <w:t xml:space="preserve"> en op basis van:</w:t>
      </w:r>
    </w:p>
    <w:p w:rsidR="005217AD" w:rsidRDefault="005217AD" w:rsidP="00993F61">
      <w:pPr>
        <w:rPr>
          <w:kern w:val="0"/>
          <w:sz w:val="16"/>
          <w:szCs w:val="16"/>
          <w:lang w:eastAsia="nl-NL"/>
        </w:rPr>
      </w:pPr>
    </w:p>
    <w:p w:rsidR="005217AD" w:rsidRDefault="005217AD" w:rsidP="00993F61">
      <w:pPr>
        <w:pStyle w:val="ListParagraph"/>
        <w:numPr>
          <w:ilvl w:val="0"/>
          <w:numId w:val="10"/>
        </w:numPr>
        <w:rPr>
          <w:kern w:val="0"/>
          <w:szCs w:val="24"/>
          <w:lang w:eastAsia="nl-NL"/>
        </w:rPr>
      </w:pPr>
      <w:r w:rsidRPr="00D754FA">
        <w:rPr>
          <w:kern w:val="0"/>
          <w:szCs w:val="24"/>
          <w:lang w:eastAsia="nl-NL"/>
        </w:rPr>
        <w:fldChar w:fldCharType="begin"/>
      </w:r>
      <w:r w:rsidRPr="00D754FA">
        <w:rPr>
          <w:kern w:val="0"/>
          <w:szCs w:val="24"/>
          <w:lang w:eastAsia="nl-NL"/>
        </w:rPr>
        <w:instrText xml:space="preserve"> QUOTE </w:instrText>
      </w:r>
      <w:r w:rsidRPr="00D754FA">
        <w:pict>
          <v:shape id="_x0000_i1029" type="#_x0000_t75" style="width:121.5pt;height:39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25F0&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5E25F0&quot;&gt;&lt;m:oMathPara&gt;&lt;m:oMath&gt;&lt;m:sSubSup&gt;&lt;m:sSubSupPr&gt;&lt;m:ctrlPr&gt;&lt;w:rPr&gt;&lt;w:rFonts w:ascii=&quot;Cambria Math&quot; w:h-ansi=&quot;Cambria Math&quot;/&gt;&lt;wx:font wx:val=&quot;Cambria Math&quot;/&gt;&lt;w:i/&gt;&lt;w:kern w:val=&quot;0&quot;/&gt;&lt;w:sz-cs w:val=&quot;24&quot;/&gt;&lt;w:lang w:fareast=&quot;NL&quot; w:bidi=&quot;AR-SA&quot;/&gt;&lt;/w:rPr&gt;&lt;/m:ctrlPr&gt;&lt;/m:sSubSupPr&gt;&lt;m:e&gt;&lt;m:r&gt;&lt;m:rPr&gt;&lt;m:sty m:val=&quot;p&quot;/&gt;&lt;/m:rPr&gt;&lt;w:rPr&gt;&lt;w:rFonts w:ascii=&quot;Cambria Math&quot; w:h-ansi=&quot;Cambria Math&quot;/&gt;&lt;wx:font wx:val=&quot;Cambria Math&quot;/&gt;&lt;w:kern w:val=&quot;0&quot;/&gt;&lt;w:sz-cs w:val=&quot;24&quot;/&gt;&lt;w:lang w:fareast=&quot;NL&quot; w:bidi=&quot;AR-SA&quot;/&gt;&lt;/w:rPr&gt;&lt;m:t&gt;Ïƒ&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Îµi&lt;/m:t&gt;&lt;/m:r&gt;&lt;/m:sub&gt;&lt;m:sup&gt;&lt;m:r&gt;&lt;w:rPr&gt;&lt;w:rFonts w:ascii=&quot;Cambria Math&quot; w:h-ansi=&quot;Cambria Math&quot;/&gt;&lt;wx:font wx:val=&quot;Cambria Math&quot;/&gt;&lt;w:i/&gt;&lt;w:kern w:val=&quot;0&quot;/&gt;&lt;w:sz-cs w:val=&quot;24&quot;/&gt;&lt;w:lang w:fareast=&quot;NL&quot; w:bidi=&quot;AR-SA&quot;/&gt;&lt;/w:rPr&gt;&lt;m:t&gt;2&lt;/m:t&gt;&lt;/m:r&gt;&lt;/m:sup&gt;&lt;/m:sSubSup&gt;&lt;m:r&gt;&lt;w:rPr&gt;&lt;w:rFonts w:ascii=&quot;Cambria Math&quot; w:h-ansi=&quot;Cambria Math&quot;/&gt;&lt;wx:font wx:val=&quot;Cambria Math&quot;/&gt;&lt;w:i/&gt;&lt;w:kern w:val=&quot;0&quot;/&gt;&lt;w:sz-cs w:val=&quot;24&quot;/&gt;&lt;w:lang w:fareast=&quot;NL&quot; w:bidi=&quot;AR-SA&quot;/&gt;&lt;/w:rPr&gt;&lt;m:t&gt;=&lt;/m:t&gt;&lt;/m:r&gt;&lt;m:f&gt;&lt;m:fPr&gt;&lt;m:ctrlPr&gt;&lt;w:rPr&gt;&lt;w:rFonts w:ascii=&quot;Cambria Math&quot; w:h-ansi=&quot;Cambria Math&quot;/&gt;&lt;wx:font wx:val=&quot;Cambria Math&quot;/&gt;&lt;w:i/&gt;&lt;w:kern w:val=&quot;0&quot;/&gt;&lt;w:sz-cs w:val=&quot;24&quot;/&gt;&lt;w:lang w:fareast=&quot;NL&quot; w:bidi=&quot;AR-SA&quot;/&gt;&lt;/w:rPr&gt;&lt;/m:ctrlPr&gt;&lt;/m:fPr&gt;&lt;m:num&gt;&lt;m:r&gt;&lt;w:rPr&gt;&lt;w:rFonts w:ascii=&quot;Cambria Math&quot; w:h-ansi=&quot;Cambria Math&quot;/&gt;&lt;wx:font wx:val=&quot;Cambria Math&quot;/&gt;&lt;w:i/&gt;&lt;w:kern w:val=&quot;0&quot;/&gt;&lt;w:sz-cs w:val=&quot;24&quot;/&gt;&lt;w:lang w:fareast=&quot;NL&quot; w:bidi=&quot;AR-SA&quot;/&gt;&lt;/w:rPr&gt;&lt;m:t&gt;1&lt;/m:t&gt;&lt;/m:r&gt;&lt;/m:num&gt;&lt;m:den&gt;&lt;m:r&gt;&lt;w:rPr&gt;&lt;w:rFonts w:ascii=&quot;Cambria Math&quot; w:h-ansi=&quot;Cambria Math&quot;/&gt;&lt;wx:font wx:val=&quot;Cambria Math&quot;/&gt;&lt;w:i/&gt;&lt;w:kern w:val=&quot;0&quot;/&gt;&lt;w:sz-cs w:val=&quot;24&quot;/&gt;&lt;w:lang w:fareast=&quot;NL&quot; w:bidi=&quot;AR-SA&quot;/&gt;&lt;/w:rPr&gt;&lt;m:t&gt;3-2&lt;/m:t&gt;&lt;/m:r&gt;&lt;/m:den&gt;&lt;/m:f&gt;&lt;m:r&gt;&lt;w:rPr&gt;&lt;w:rFonts w:ascii=&quot;Cambria Math&quot; w:h-ansi=&quot;Cambria Math&quot;/&gt;&lt;wx:font wx:val=&quot;Cambria Math&quot;/&gt;&lt;w:i/&gt;&lt;w:kern w:val=&quot;0&quot;/&gt;&lt;w:sz-cs w:val=&quot;24&quot;/&gt;&lt;w:lang w:fareast=&quot;NL&quot; w:bidi=&quot;AR-SA&quot;/&gt;&lt;/w:rPr&gt;&lt;m:t&gt; &lt;/m:t&gt;&lt;/m:r&gt;&lt;m:nary&gt;&lt;m:naryPr&gt;&lt;m:chr m:val=&quot;âˆ‘&quot;/&gt;&lt;m:limLoc m:val=&quot;undOvr&quot;/&gt;&lt;m:ctrlPr&gt;&lt;w:rPr&gt;&lt;w:rFonts w:ascii=&quot;Cambria Math&quot; w:h-ansi=&quot;Cambria Math&quot;/&gt;&lt;wx:font wx:val=&quot;Cambria Math&quot;/&gt;&lt;w:i/&gt;&lt;w:kern w:val=&quot;0&quot;/&gt;&lt;w:sz-cs w:val=&quot;24&quot;/&gt;&lt;w:lang w:fareast=&quot;NL&quot; w:bidi=&quot;AR-SA&quot;/&gt;&lt;/w:rPr&gt;&lt;/m:ctrlPr&gt;&lt;/m:naryPr&gt;&lt;m:sub&gt;&lt;m:r&gt;&lt;m:rPr&gt;&lt;m:sty m:val=&quot;p&quot;/&gt;&lt;/m:rPr&gt;&lt;w:rPr&gt;&lt;w:rFonts w:ascii=&quot;Cambria Math&quot; w:h-ansi=&quot;Cambria Math&quot;/&gt;&lt;wx:font wx:val=&quot;Cambria Math&quot;/&gt;&lt;w:kern w:val=&quot;0&quot;/&gt;&lt;w:sz-cs w:val=&quot;24&quot;/&gt;&lt;w:lang w:fareast=&quot;NL&quot; w:bidi=&quot;AR-SA&quot;/&gt;&lt;/w:rPr&gt;&lt;m:t&gt;Ï„&lt;/m:t&gt;&lt;/m:r&gt;&lt;m:r&gt;&lt;m:rPr&gt;&lt;m:sty m:val=&quot;p&quot;/&gt;&lt;/m:rPr&gt;&lt;w:rPr&gt;&lt;w:rFonts w:ascii=&quot;Cambria Math&quot;/&gt;&lt;wx:font wx:val=&quot;Cambria Math&quot;/&gt;&lt;w:kern w:val=&quot;0&quot;/&gt;&lt;w:sz-cs w:val=&quot;24&quot;/&gt;&lt;w:lang w:fareast=&quot;NL&quot; w:bidi=&quot;AR-SA&quot;/&gt;&lt;/w:rPr&gt;&lt;m:t&gt;=&lt;/m:t&gt;&lt;/m:r&gt;&lt;m:r&gt;&lt;m:rPr&gt;&lt;m:sty m:val=&quot;p&quot;/&gt;&lt;/m:rPr&gt;&lt;w:rPr&gt;&lt;w:rFonts w:ascii=&quot;Cambria Math&quot;/&gt;&lt;w:kern w:val=&quot;0&quot;/&gt;&lt;w:sz-cs w:val=&quot;24&quot;/&gt;&lt;w:lang w:fareast=&quot;NL&quot; w:bidi=&quot;AR-SA&quot;/&gt;&lt;/w:rPr&gt;&lt;m:t&gt;-&lt;/m:t&gt;&lt;/m:r&gt;&lt;m:r&gt;&lt;m:rPr&gt;&lt;m:sty m:val=&quot;p&quot;/&gt;&lt;/m:rPr&gt;&lt;w:rPr&gt;&lt;w:rFonts w:ascii=&quot;Cambria Math&quot;/&gt;&lt;wx:font wx:val=&quot;Cambria Math&quot;/&gt;&lt;w:kern w:val=&quot;0&quot;/&gt;&lt;w:sz-cs w:val=&quot;24&quot;/&gt;&lt;w:lang w:fareast=&quot;NL&quot; w:bidi=&quot;AR-SA&quot;/&gt;&lt;/w:rPr&gt;&lt;m:t&gt;5&lt;/m:t&gt;&lt;/m:r&gt;&lt;/m:sub&gt;&lt;m:sup&gt;&lt;m:r&gt;&lt;w:rPr&gt;&lt;w:rFonts w:ascii=&quot;Cambria Math&quot; w:h-ansi=&quot;Cambria Math&quot;/&gt;&lt;wx:font wx:val=&quot;Cambria Math&quot;/&gt;&lt;w:i/&gt;&lt;w:kern w:val=&quot;0&quot;/&gt;&lt;w:sz-cs w:val=&quot;24&quot;/&gt;&lt;w:lang w:fareast=&quot;NL&quot; w:bidi=&quot;AR-SA&quot;/&gt;&lt;/w:rPr&gt;&lt;m:t&gt;-2&lt;/m:t&gt;&lt;/m:r&gt;&lt;/m:sup&gt;&lt;m:e&gt;&lt;m:sSup&gt;&lt;m:sSupPr&gt;&lt;m:ctrlPr&gt;&lt;w:rPr&gt;&lt;w:rFonts w:ascii=&quot;Cambria Math&quot; w:h-ansi=&quot;Cambria Math&quot;/&gt;&lt;wx:font wx:val=&quot;Cambria Math&quot;/&gt;&lt;w:i/&gt;&lt;w:kern w:val=&quot;0&quot;/&gt;&lt;w:sz-cs w:val=&quot;24&quot;/&gt;&lt;w:lang w:fareast=&quot;NL&quot; w:bidi=&quot;AR-SA&quot;/&gt;&lt;/w:rPr&gt;&lt;/m:ctrlPr&gt;&lt;/m:sSupPr&gt;&lt;m:e&gt;&lt;m:r&gt;&lt;w:rPr&gt;&lt;w:rFonts w:ascii=&quot;Cambria Math&quot; w:h-ansi=&quot;Cambria Math&quot;/&gt;&lt;wx:font wx:val=&quot;Cambria Math&quot;/&gt;&lt;w:i/&gt;&lt;w:kern w:val=&quot;0&quot;/&gt;&lt;w:sz-cs w:val=&quot;24&quot;/&gt;&lt;w:lang w:fareast=&quot;NL&quot; w:bidi=&quot;AR-SA&quot;/&gt;&lt;/w:rPr&gt;&lt;m:t&gt;(&lt;/m:t&gt;&lt;/m:r&gt;&lt;m:sSub&gt;&lt;m:sSubPr&gt;&lt;m:ctrlPr&gt;&lt;w:rPr&gt;&lt;w:rFonts w:ascii=&quot;Cambria Math&quot; w:h-ansi=&quot;Cambria Math&quot;/&gt;&lt;wx:font wx:val=&quot;Cambria Math&quot;/&gt;&lt;w:i/&gt;&lt;w:kern w:val=&quot;0&quot;/&gt;&lt;w:lang w:fareast=&quot;NL&quot; w:bidi=&quot;AR-SA&quot;/&gt;&lt;/w:rPr&gt;&lt;/m:ctrlPr&gt;&lt;/m:sSubPr&gt;&lt;m:e&gt;&lt;m:r&gt;&lt;w:rPr&gt;&lt;w:rFonts w:ascii=&quot;Cambria Math&quot; w:h-ansi=&quot;Cambria Math&quot;/&gt;&lt;wx:font wx:val=&quot;Cambria Math&quot;/&gt;&lt;w:i/&gt;&lt;w:kern w:val=&quot;0&quot;/&gt;&lt;w:lang w:fareast=&quot;NL&quot; w:bidi=&quot;AR-SA&quot;/&gt;&lt;/w:rPr&gt;&lt;m:t&gt;AR&lt;/m:t&gt;&lt;/m:r&gt;&lt;/m:e&gt;&lt;m:sub&gt;&lt;m:r&gt;&lt;w:rPr&gt;&lt;w:rFonts w:ascii=&quot;Cambria Math&quot; w:h-ansi=&quot;Cambria Math&quot;/&gt;&lt;wx:font wx:val=&quot;Cambria Math&quot;/&gt;&lt;w:i/&gt;&lt;w:kern w:val=&quot;0&quot;/&gt;&lt;w:lang w:fareast=&quot;NL&quot; w:bidi=&quot;AR-SA&quot;/&gt;&lt;/w:rPr&gt;&lt;m:t&gt;i&lt;/m:t&gt;&lt;/m:r&gt;&lt;m:r&gt;&lt;m:rPr&gt;&lt;m:sty m:val=&quot;p&quot;/&gt;&lt;/m:rPr&gt;&lt;w:rPr&gt;&lt;w:rFonts w:ascii=&quot;Cambria Math&quot; w:h-ansi=&quot;Cambria Math&quot;/&gt;&lt;wx:font wx:val=&quot;Cambria Math&quot;/&gt;&lt;w:kern w:val=&quot;0&quot;/&gt;&lt;w:sz-cs w:val=&quot;24&quot;/&gt;&lt;w:lang w:fareast=&quot;NL&quot; w:bidi=&quot;AR-SA&quot;/&gt;&lt;/w:rPr&gt;&lt;m:t&gt;Ï„&lt;/m:t&gt;&lt;/m:r&gt;&lt;/m:sub&gt;&lt;/m:sSub&gt;&lt;m:r&gt;&lt;w:rPr&gt;&lt;w:rFonts w:ascii=&quot;Cambria Math&quot; w:h-ansi=&quot;Cambria Math&quot;/&gt;&lt;wx:font wx:val=&quot;Cambria Math&quot;/&gt;&lt;w:i/&gt;&lt;w:kern w:val=&quot;0&quot;/&gt;&lt;w:sz-cs w:val=&quot;24&quot;/&gt;&lt;w:lang w:fareast=&quot;NL&quot; w:bidi=&quot;AR-SA&quot;/&gt;&lt;/w:rPr&gt;&lt;m:t&gt;)&lt;/m:t&gt;&lt;/m:r&gt;&lt;/m:e&gt;&lt;m:sup&gt;&lt;m:r&gt;&lt;w:rPr&gt;&lt;w:rFonts w:ascii=&quot;Cambria Math&quot; w:h-ansi=&quot;Cambria Math&quot;/&gt;&lt;wx:font wx:val=&quot;Cambria Math&quot;/&gt;&lt;w:i/&gt;&lt;w:kern w:val=&quot;0&quot;/&gt;&lt;w:sz-cs w:val=&quot;24&quot;/&gt;&lt;w:lang w:fareast=&quot;NL&quot; w:bidi=&quot;AR-SA&quot;/&gt;&lt;/w:rPr&gt;&lt;m:t&gt;2&lt;/m:t&gt;&lt;/m:r&gt;&lt;/m:sup&gt;&lt;/m:sSup&gt;&lt;/m:e&gt;&lt;/m:nary&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0" o:title="" chromakey="white"/>
          </v:shape>
        </w:pict>
      </w:r>
      <w:r w:rsidRPr="00D754FA">
        <w:rPr>
          <w:kern w:val="0"/>
          <w:szCs w:val="24"/>
          <w:lang w:eastAsia="nl-NL"/>
        </w:rPr>
        <w:instrText xml:space="preserve"> </w:instrText>
      </w:r>
      <w:r w:rsidRPr="00D754FA">
        <w:rPr>
          <w:kern w:val="0"/>
          <w:szCs w:val="24"/>
          <w:lang w:eastAsia="nl-NL"/>
        </w:rPr>
        <w:fldChar w:fldCharType="separate"/>
      </w:r>
      <w:r w:rsidRPr="00D754FA">
        <w:pict>
          <v:shape id="_x0000_i1030" type="#_x0000_t75" style="width:121.5pt;height:39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25F0&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5E25F0&quot;&gt;&lt;m:oMathPara&gt;&lt;m:oMath&gt;&lt;m:sSubSup&gt;&lt;m:sSubSupPr&gt;&lt;m:ctrlPr&gt;&lt;w:rPr&gt;&lt;w:rFonts w:ascii=&quot;Cambria Math&quot; w:h-ansi=&quot;Cambria Math&quot;/&gt;&lt;wx:font wx:val=&quot;Cambria Math&quot;/&gt;&lt;w:i/&gt;&lt;w:kern w:val=&quot;0&quot;/&gt;&lt;w:sz-cs w:val=&quot;24&quot;/&gt;&lt;w:lang w:fareast=&quot;NL&quot; w:bidi=&quot;AR-SA&quot;/&gt;&lt;/w:rPr&gt;&lt;/m:ctrlPr&gt;&lt;/m:sSubSupPr&gt;&lt;m:e&gt;&lt;m:r&gt;&lt;m:rPr&gt;&lt;m:sty m:val=&quot;p&quot;/&gt;&lt;/m:rPr&gt;&lt;w:rPr&gt;&lt;w:rFonts w:ascii=&quot;Cambria Math&quot; w:h-ansi=&quot;Cambria Math&quot;/&gt;&lt;wx:font wx:val=&quot;Cambria Math&quot;/&gt;&lt;w:kern w:val=&quot;0&quot;/&gt;&lt;w:sz-cs w:val=&quot;24&quot;/&gt;&lt;w:lang w:fareast=&quot;NL&quot; w:bidi=&quot;AR-SA&quot;/&gt;&lt;/w:rPr&gt;&lt;m:t&gt;Ïƒ&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Îµi&lt;/m:t&gt;&lt;/m:r&gt;&lt;/m:sub&gt;&lt;m:sup&gt;&lt;m:r&gt;&lt;w:rPr&gt;&lt;w:rFonts w:ascii=&quot;Cambria Math&quot; w:h-ansi=&quot;Cambria Math&quot;/&gt;&lt;wx:font wx:val=&quot;Cambria Math&quot;/&gt;&lt;w:i/&gt;&lt;w:kern w:val=&quot;0&quot;/&gt;&lt;w:sz-cs w:val=&quot;24&quot;/&gt;&lt;w:lang w:fareast=&quot;NL&quot; w:bidi=&quot;AR-SA&quot;/&gt;&lt;/w:rPr&gt;&lt;m:t&gt;2&lt;/m:t&gt;&lt;/m:r&gt;&lt;/m:sup&gt;&lt;/m:sSubSup&gt;&lt;m:r&gt;&lt;w:rPr&gt;&lt;w:rFonts w:ascii=&quot;Cambria Math&quot; w:h-ansi=&quot;Cambria Math&quot;/&gt;&lt;wx:font wx:val=&quot;Cambria Math&quot;/&gt;&lt;w:i/&gt;&lt;w:kern w:val=&quot;0&quot;/&gt;&lt;w:sz-cs w:val=&quot;24&quot;/&gt;&lt;w:lang w:fareast=&quot;NL&quot; w:bidi=&quot;AR-SA&quot;/&gt;&lt;/w:rPr&gt;&lt;m:t&gt;=&lt;/m:t&gt;&lt;/m:r&gt;&lt;m:f&gt;&lt;m:fPr&gt;&lt;m:ctrlPr&gt;&lt;w:rPr&gt;&lt;w:rFonts w:ascii=&quot;Cambria Math&quot; w:h-ansi=&quot;Cambria Math&quot;/&gt;&lt;wx:font wx:val=&quot;Cambria Math&quot;/&gt;&lt;w:i/&gt;&lt;w:kern w:val=&quot;0&quot;/&gt;&lt;w:sz-cs w:val=&quot;24&quot;/&gt;&lt;w:lang w:fareast=&quot;NL&quot; w:bidi=&quot;AR-SA&quot;/&gt;&lt;/w:rPr&gt;&lt;/m:ctrlPr&gt;&lt;/m:fPr&gt;&lt;m:num&gt;&lt;m:r&gt;&lt;w:rPr&gt;&lt;w:rFonts w:ascii=&quot;Cambria Math&quot; w:h-ansi=&quot;Cambria Math&quot;/&gt;&lt;wx:font wx:val=&quot;Cambria Math&quot;/&gt;&lt;w:i/&gt;&lt;w:kern w:val=&quot;0&quot;/&gt;&lt;w:sz-cs w:val=&quot;24&quot;/&gt;&lt;w:lang w:fareast=&quot;NL&quot; w:bidi=&quot;AR-SA&quot;/&gt;&lt;/w:rPr&gt;&lt;m:t&gt;1&lt;/m:t&gt;&lt;/m:r&gt;&lt;/m:num&gt;&lt;m:den&gt;&lt;m:r&gt;&lt;w:rPr&gt;&lt;w:rFonts w:ascii=&quot;Cambria Math&quot; w:h-ansi=&quot;Cambria Math&quot;/&gt;&lt;wx:font wx:val=&quot;Cambria Math&quot;/&gt;&lt;w:i/&gt;&lt;w:kern w:val=&quot;0&quot;/&gt;&lt;w:sz-cs w:val=&quot;24&quot;/&gt;&lt;w:lang w:fareast=&quot;NL&quot; w:bidi=&quot;AR-SA&quot;/&gt;&lt;/w:rPr&gt;&lt;m:t&gt;3-2&lt;/m:t&gt;&lt;/m:r&gt;&lt;/m:den&gt;&lt;/m:f&gt;&lt;m:r&gt;&lt;w:rPr&gt;&lt;w:rFonts w:ascii=&quot;Cambria Math&quot; w:h-ansi=&quot;Cambria Math&quot;/&gt;&lt;wx:font wx:val=&quot;Cambria Math&quot;/&gt;&lt;w:i/&gt;&lt;w:kern w:val=&quot;0&quot;/&gt;&lt;w:sz-cs w:val=&quot;24&quot;/&gt;&lt;w:lang w:fareast=&quot;NL&quot; w:bidi=&quot;AR-SA&quot;/&gt;&lt;/w:rPr&gt;&lt;m:t&gt; &lt;/m:t&gt;&lt;/m:r&gt;&lt;m:nary&gt;&lt;m:naryPr&gt;&lt;m:chr m:val=&quot;âˆ‘&quot;/&gt;&lt;m:limLoc m:val=&quot;undOvr&quot;/&gt;&lt;m:ctrlPr&gt;&lt;w:rPr&gt;&lt;w:rFonts w:ascii=&quot;Cambria Math&quot; w:h-ansi=&quot;Cambria Math&quot;/&gt;&lt;wx:font wx:val=&quot;Cambria Math&quot;/&gt;&lt;w:i/&gt;&lt;w:kern w:val=&quot;0&quot;/&gt;&lt;w:sz-cs w:val=&quot;24&quot;/&gt;&lt;w:lang w:fareast=&quot;NL&quot; w:bidi=&quot;AR-SA&quot;/&gt;&lt;/w:rPr&gt;&lt;/m:ctrlPr&gt;&lt;/m:naryPr&gt;&lt;m:sub&gt;&lt;m:r&gt;&lt;m:rPr&gt;&lt;m:sty m:val=&quot;p&quot;/&gt;&lt;/m:rPr&gt;&lt;w:rPr&gt;&lt;w:rFonts w:ascii=&quot;Cambria Math&quot; w:h-ansi=&quot;Cambria Math&quot;/&gt;&lt;wx:font wx:val=&quot;Cambria Math&quot;/&gt;&lt;w:kern w:val=&quot;0&quot;/&gt;&lt;w:sz-cs w:val=&quot;24&quot;/&gt;&lt;w:lang w:fareast=&quot;NL&quot; w:bidi=&quot;AR-SA&quot;/&gt;&lt;/w:rPr&gt;&lt;m:t&gt;Ï„&lt;/m:t&gt;&lt;/m:r&gt;&lt;m:r&gt;&lt;m:rPr&gt;&lt;m:sty m:val=&quot;p&quot;/&gt;&lt;/m:rPr&gt;&lt;w:rPr&gt;&lt;w:rFonts w:ascii=&quot;Cambria Math&quot;/&gt;&lt;wx:font wx:val=&quot;Cambria Math&quot;/&gt;&lt;w:kern w:val=&quot;0&quot;/&gt;&lt;w:sz-cs w:val=&quot;24&quot;/&gt;&lt;w:lang w:fareast=&quot;NL&quot; w:bidi=&quot;AR-SA&quot;/&gt;&lt;/w:rPr&gt;&lt;m:t&gt;=&lt;/m:t&gt;&lt;/m:r&gt;&lt;m:r&gt;&lt;m:rPr&gt;&lt;m:sty m:val=&quot;p&quot;/&gt;&lt;/m:rPr&gt;&lt;w:rPr&gt;&lt;w:rFonts w:ascii=&quot;Cambria Math&quot;/&gt;&lt;w:kern w:val=&quot;0&quot;/&gt;&lt;w:sz-cs w:val=&quot;24&quot;/&gt;&lt;w:lang w:fareast=&quot;NL&quot; w:bidi=&quot;AR-SA&quot;/&gt;&lt;/w:rPr&gt;&lt;m:t&gt;-&lt;/m:t&gt;&lt;/m:r&gt;&lt;m:r&gt;&lt;m:rPr&gt;&lt;m:sty m:val=&quot;p&quot;/&gt;&lt;/m:rPr&gt;&lt;w:rPr&gt;&lt;w:rFonts w:ascii=&quot;Cambria Math&quot;/&gt;&lt;wx:font wx:val=&quot;Cambria Math&quot;/&gt;&lt;w:kern w:val=&quot;0&quot;/&gt;&lt;w:sz-cs w:val=&quot;24&quot;/&gt;&lt;w:lang w:fareast=&quot;NL&quot; w:bidi=&quot;AR-SA&quot;/&gt;&lt;/w:rPr&gt;&lt;m:t&gt;5&lt;/m:t&gt;&lt;/m:r&gt;&lt;/m:sub&gt;&lt;m:sup&gt;&lt;m:r&gt;&lt;w:rPr&gt;&lt;w:rFonts w:ascii=&quot;Cambria Math&quot; w:h-ansi=&quot;Cambria Math&quot;/&gt;&lt;wx:font wx:val=&quot;Cambria Math&quot;/&gt;&lt;w:i/&gt;&lt;w:kern w:val=&quot;0&quot;/&gt;&lt;w:sz-cs w:val=&quot;24&quot;/&gt;&lt;w:lang w:fareast=&quot;NL&quot; w:bidi=&quot;AR-SA&quot;/&gt;&lt;/w:rPr&gt;&lt;m:t&gt;-2&lt;/m:t&gt;&lt;/m:r&gt;&lt;/m:sup&gt;&lt;m:e&gt;&lt;m:sSup&gt;&lt;m:sSupPr&gt;&lt;m:ctrlPr&gt;&lt;w:rPr&gt;&lt;w:rFonts w:ascii=&quot;Cambria Math&quot; w:h-ansi=&quot;Cambria Math&quot;/&gt;&lt;wx:font wx:val=&quot;Cambria Math&quot;/&gt;&lt;w:i/&gt;&lt;w:kern w:val=&quot;0&quot;/&gt;&lt;w:sz-cs w:val=&quot;24&quot;/&gt;&lt;w:lang w:fareast=&quot;NL&quot; w:bidi=&quot;AR-SA&quot;/&gt;&lt;/w:rPr&gt;&lt;/m:ctrlPr&gt;&lt;/m:sSupPr&gt;&lt;m:e&gt;&lt;m:r&gt;&lt;w:rPr&gt;&lt;w:rFonts w:ascii=&quot;Cambria Math&quot; w:h-ansi=&quot;Cambria Math&quot;/&gt;&lt;wx:font wx:val=&quot;Cambria Math&quot;/&gt;&lt;w:i/&gt;&lt;w:kern w:val=&quot;0&quot;/&gt;&lt;w:sz-cs w:val=&quot;24&quot;/&gt;&lt;w:lang w:fareast=&quot;NL&quot; w:bidi=&quot;AR-SA&quot;/&gt;&lt;/w:rPr&gt;&lt;m:t&gt;(&lt;/m:t&gt;&lt;/m:r&gt;&lt;m:sSub&gt;&lt;m:sSubPr&gt;&lt;m:ctrlPr&gt;&lt;w:rPr&gt;&lt;w:rFonts w:ascii=&quot;Cambria Math&quot; w:h-ansi=&quot;Cambria Math&quot;/&gt;&lt;wx:font wx:val=&quot;Cambria Math&quot;/&gt;&lt;w:i/&gt;&lt;w:kern w:val=&quot;0&quot;/&gt;&lt;w:lang w:fareast=&quot;NL&quot; w:bidi=&quot;AR-SA&quot;/&gt;&lt;/w:rPr&gt;&lt;/m:ctrlPr&gt;&lt;/m:sSubPr&gt;&lt;m:e&gt;&lt;m:r&gt;&lt;w:rPr&gt;&lt;w:rFonts w:ascii=&quot;Cambria Math&quot; w:h-ansi=&quot;Cambria Math&quot;/&gt;&lt;wx:font wx:val=&quot;Cambria Math&quot;/&gt;&lt;w:i/&gt;&lt;w:kern w:val=&quot;0&quot;/&gt;&lt;w:lang w:fareast=&quot;NL&quot; w:bidi=&quot;AR-SA&quot;/&gt;&lt;/w:rPr&gt;&lt;m:t&gt;AR&lt;/m:t&gt;&lt;/m:r&gt;&lt;/m:e&gt;&lt;m:sub&gt;&lt;m:r&gt;&lt;w:rPr&gt;&lt;w:rFonts w:ascii=&quot;Cambria Math&quot; w:h-ansi=&quot;Cambria Math&quot;/&gt;&lt;wx:font wx:val=&quot;Cambria Math&quot;/&gt;&lt;w:i/&gt;&lt;w:kern w:val=&quot;0&quot;/&gt;&lt;w:lang w:fareast=&quot;NL&quot; w:bidi=&quot;AR-SA&quot;/&gt;&lt;/w:rPr&gt;&lt;m:t&gt;i&lt;/m:t&gt;&lt;/m:r&gt;&lt;m:r&gt;&lt;m:rPr&gt;&lt;m:sty m:val=&quot;p&quot;/&gt;&lt;/m:rPr&gt;&lt;w:rPr&gt;&lt;w:rFonts w:ascii=&quot;Cambria Math&quot; w:h-ansi=&quot;Cambria Math&quot;/&gt;&lt;wx:font wx:val=&quot;Cambria Math&quot;/&gt;&lt;w:kern w:val=&quot;0&quot;/&gt;&lt;w:sz-cs w:val=&quot;24&quot;/&gt;&lt;w:lang w:fareast=&quot;NL&quot; w:bidi=&quot;AR-SA&quot;/&gt;&lt;/w:rPr&gt;&lt;m:t&gt;Ï„&lt;/m:t&gt;&lt;/m:r&gt;&lt;/m:sub&gt;&lt;/m:sSub&gt;&lt;m:r&gt;&lt;w:rPr&gt;&lt;w:rFonts w:ascii=&quot;Cambria Math&quot; w:h-ansi=&quot;Cambria Math&quot;/&gt;&lt;wx:font wx:val=&quot;Cambria Math&quot;/&gt;&lt;w:i/&gt;&lt;w:kern w:val=&quot;0&quot;/&gt;&lt;w:sz-cs w:val=&quot;24&quot;/&gt;&lt;w:lang w:fareast=&quot;NL&quot; w:bidi=&quot;AR-SA&quot;/&gt;&lt;/w:rPr&gt;&lt;m:t&gt;)&lt;/m:t&gt;&lt;/m:r&gt;&lt;/m:e&gt;&lt;m:sup&gt;&lt;m:r&gt;&lt;w:rPr&gt;&lt;w:rFonts w:ascii=&quot;Cambria Math&quot; w:h-ansi=&quot;Cambria Math&quot;/&gt;&lt;wx:font wx:val=&quot;Cambria Math&quot;/&gt;&lt;w:i/&gt;&lt;w:kern w:val=&quot;0&quot;/&gt;&lt;w:sz-cs w:val=&quot;24&quot;/&gt;&lt;w:lang w:fareast=&quot;NL&quot; w:bidi=&quot;AR-SA&quot;/&gt;&lt;/w:rPr&gt;&lt;m:t&gt;2&lt;/m:t&gt;&lt;/m:r&gt;&lt;/m:sup&gt;&lt;/m:sSup&gt;&lt;/m:e&gt;&lt;/m:nary&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0" o:title="" chromakey="white"/>
          </v:shape>
        </w:pict>
      </w:r>
      <w:r w:rsidRPr="00D754FA">
        <w:rPr>
          <w:kern w:val="0"/>
          <w:szCs w:val="24"/>
          <w:lang w:eastAsia="nl-NL"/>
        </w:rPr>
        <w:fldChar w:fldCharType="end"/>
      </w:r>
    </w:p>
    <w:p w:rsidR="005217AD" w:rsidRDefault="005217AD" w:rsidP="00993F61">
      <w:pPr>
        <w:ind w:left="360" w:firstLine="0"/>
        <w:rPr>
          <w:kern w:val="0"/>
          <w:sz w:val="16"/>
          <w:szCs w:val="16"/>
          <w:lang w:eastAsia="nl-NL"/>
        </w:rPr>
      </w:pPr>
    </w:p>
    <w:p w:rsidR="005217AD" w:rsidRDefault="005217AD" w:rsidP="00993F61">
      <w:pPr>
        <w:rPr>
          <w:kern w:val="0"/>
          <w:lang w:eastAsia="nl-NL"/>
        </w:rPr>
      </w:pPr>
      <w:r>
        <w:rPr>
          <w:kern w:val="0"/>
          <w:lang w:eastAsia="nl-NL"/>
        </w:rPr>
        <w:t>Oftewel, de variantie van de abnormale rendementen</w:t>
      </w:r>
      <w:r>
        <w:rPr>
          <w:rStyle w:val="FootnoteReference"/>
          <w:kern w:val="0"/>
          <w:szCs w:val="24"/>
          <w:lang w:eastAsia="nl-NL"/>
        </w:rPr>
        <w:footnoteReference w:id="28"/>
      </w:r>
      <w:r>
        <w:rPr>
          <w:kern w:val="0"/>
          <w:lang w:eastAsia="nl-NL"/>
        </w:rPr>
        <w:t xml:space="preserve"> van dividendaankondiging i is gelijk aan de som van de kwadraten van deze rendementen. Deze som valt over het interval τ[-5;-2]. Waarna gedeeld wordt door het aantal periodes, gecorrigeerd met twee vrijheidsgraden. Met deze variantie per dividendaankondiging kan de variantie van de gemiddeld cumulatieve rendementen worden berekend door:</w:t>
      </w:r>
    </w:p>
    <w:p w:rsidR="005217AD" w:rsidRDefault="005217AD" w:rsidP="00993F61">
      <w:pPr>
        <w:rPr>
          <w:kern w:val="0"/>
          <w:sz w:val="16"/>
          <w:szCs w:val="16"/>
          <w:lang w:eastAsia="nl-NL"/>
        </w:rPr>
      </w:pPr>
    </w:p>
    <w:p w:rsidR="005217AD" w:rsidRDefault="005217AD" w:rsidP="00993F61">
      <w:pPr>
        <w:pStyle w:val="ListParagraph"/>
        <w:numPr>
          <w:ilvl w:val="0"/>
          <w:numId w:val="10"/>
        </w:numPr>
        <w:rPr>
          <w:kern w:val="0"/>
          <w:szCs w:val="24"/>
          <w:lang w:eastAsia="nl-NL"/>
        </w:rPr>
      </w:pPr>
      <w:r w:rsidRPr="00D754FA">
        <w:rPr>
          <w:kern w:val="0"/>
          <w:szCs w:val="24"/>
          <w:lang w:eastAsia="nl-NL"/>
        </w:rPr>
        <w:fldChar w:fldCharType="begin"/>
      </w:r>
      <w:r w:rsidRPr="00D754FA">
        <w:rPr>
          <w:kern w:val="0"/>
          <w:szCs w:val="24"/>
          <w:lang w:eastAsia="nl-NL"/>
        </w:rPr>
        <w:instrText xml:space="preserve"> QUOTE </w:instrText>
      </w:r>
      <w:r w:rsidRPr="00D754FA">
        <w:pict>
          <v:shape id="_x0000_i1031" type="#_x0000_t75" style="width:19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4491&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614491&quot;&gt;&lt;m:oMathPara&gt;&lt;m:oMath&gt;&lt;m:r&gt;&lt;w:rPr&gt;&lt;w:rFonts w:ascii=&quot;Cambria Math&quot; w:h-ansi=&quot;Cambria Math&quot;/&gt;&lt;wx:font wx:val=&quot;Cambria Math&quot;/&gt;&lt;w:i/&gt;&lt;w:kern w:val=&quot;0&quot;/&gt;&lt;w:sz-cs w:val=&quot;24&quot;/&gt;&lt;w:lang w:fareast=&quot;NL&quot; w:bidi=&quot;AR-SA&quot;/&gt;&lt;/w:rPr&gt;&lt;m:t&gt;VAR&lt;/m:t&gt;&lt;/m:r&gt;&lt;m:d&gt;&lt;m:dPr&gt;&lt;m:ctrlPr&gt;&lt;w:rPr&gt;&lt;w:rFonts w:ascii=&quot;Cambria Math&quot; w:h-ansi=&quot;Cambria Math&quot;/&gt;&lt;wx:font wx:val=&quot;Cambria Math&quot;/&gt;&lt;w:i/&gt;&lt;w:kern w:val=&quot;0&quot;/&gt;&lt;w:sz-cs w:val=&quot;24&quot;/&gt;&lt;w:lang w:fareast=&quot;NL&quot; w:bidi=&quot;AR-SA&quot;/&gt;&lt;/w:rPr&gt;&lt;/m:ctrlPr&gt;&lt;/m:dPr&gt;&lt;m:e&gt;&lt;m:acc&gt;&lt;m:accPr&gt;&lt;m:chr m:val=&quot;Ì…&quot;/&gt;&lt;m:ctrlPr&gt;&lt;w:rPr&gt;&lt;w:rFonts w:ascii=&quot;Cambria Math&quot; w:h-ansi=&quot;Cambria Math&quot;/&gt;&lt;wx:font wx:val=&quot;Cambria Math&quot;/&gt;&lt;w:i/&gt;&lt;w:kern w:val=&quot;0&quot;/&gt;&lt;w:sz-cs w:val=&quot;24&quot;/&gt;&lt;w:lang w:fareast=&quot;NL&quot; w:bidi=&quot;AR-SA&quot;/&gt;&lt;/w:rPr&gt;&lt;/m:ctrlPr&gt;&lt;/m:accPr&gt;&lt;m:e&gt;&lt;m:r&gt;&lt;w:rPr&gt;&lt;w:rFonts w:ascii=&quot;Cambria Math&quot; w:h-ansi=&quot;Cambria Math&quot;/&gt;&lt;wx:font wx:val=&quot;Cambria Math&quot;/&gt;&lt;w:i/&gt;&lt;w:kern w:val=&quot;0&quot;/&gt;&lt;w:sz-cs w:val=&quot;24&quot;/&gt;&lt;w:lang w:fareast=&quot;NL&quot; w:bidi=&quot;AR-SA&quot;/&gt;&lt;/w:rPr&gt;&lt;m:t&gt;CAR&lt;/m:t&gt;&lt;/m:r&gt;&lt;/m:e&gt;&lt;/m:acc&gt;&lt;m:d&gt;&lt;m:dPr&gt;&lt;m:ctrlPr&gt;&lt;w:rPr&gt;&lt;w:rFonts w:ascii=&quot;Cambria Math&quot; w:h-ansi=&quot;Cambria Math&quot;/&gt;&lt;wx:font wx:val=&quot;Cambria Math&quot;/&gt;&lt;w:i/&gt;&lt;w:kern w:val=&quot;0&quot;/&gt;&lt;w:lang w:fareast=&quot;NL&quot; w:bidi=&quot;AR-SA&quot;/&gt;&lt;/w:rPr&gt;&lt;/m:ctrlPr&gt;&lt;/m:dPr&gt;&lt;m:e&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1&lt;/m:t&gt;&lt;/m:r&gt;&lt;/m:sub&gt;&lt;/m:sSub&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e&gt;&lt;/m:d&gt;&lt;/m:e&gt;&lt;/m:d&gt;&lt;m:r&gt;&lt;w:rPr&gt;&lt;w:rFonts w:ascii=&quot;Cambria Math&quot; w:h-ansi=&quot;Cambria Math&quot;/&gt;&lt;wx:font wx:val=&quot;Cambria Math&quot;/&gt;&lt;w:i/&gt;&lt;w:kern w:val=&quot;0&quot;/&gt;&lt;w:sz-cs w:val=&quot;24&quot;/&gt;&lt;w:lang w:fareast=&quot;NL&quot; w:bidi=&quot;AR-SA&quot;/&gt;&lt;/w:rPr&gt;&lt;m:t&gt;= &lt;/m:t&gt;&lt;/m:r&gt;&lt;m:nary&gt;&lt;m:naryPr&gt;&lt;m:chr m:val=&quot;âˆ‘&quot;/&gt;&lt;m:limLoc m:val=&quot;undOvr&quot;/&gt;&lt;m:ctrlPr&gt;&lt;w:rPr&gt;&lt;w:rFonts w:ascii=&quot;Cambria Math&quot; w:h-ansi=&quot;Cambria Math&quot;/&gt;&lt;wx:font wx:val=&quot;Cambria Math&quot;/&gt;&lt;w:i/&gt;&lt;w:kern w:val=&quot;0&quot;/&gt;&lt;w:sz-cs w:val=&quot;24&quot;/&gt;&lt;w:lang w:fareast=&quot;NL&quot; w:bidi=&quot;AR-SA&quot;/&gt;&lt;/w:rPr&gt;&lt;/m:ctrlPr&gt;&lt;/m:naryPr&gt;&lt;m:sub&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1&lt;/m:t&gt;&lt;/m:r&gt;&lt;/m:sub&gt;&lt;/m:sSub&gt;&lt;/m:sub&gt;&lt;m:sup&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sup&gt;&lt;m:e&gt;&lt;m:r&gt;&lt;w:rPr&gt;&lt;w:rFonts w:ascii=&quot;Cambria Math&quot; w:h-ansi=&quot;Cambria Math&quot;/&gt;&lt;wx:font wx:val=&quot;Cambria Math&quot;/&gt;&lt;w:i/&gt;&lt;w:kern w:val=&quot;0&quot;/&gt;&lt;w:sz-cs w:val=&quot;24&quot;/&gt;&lt;w:lang w:fareast=&quot;NL&quot; w:bidi=&quot;AR-SA&quot;/&gt;&lt;/w:rPr&gt;&lt;m:t&gt;(&lt;/m:t&gt;&lt;/m:r&gt;&lt;m:f&gt;&lt;m:fPr&gt;&lt;m:ctrlPr&gt;&lt;w:rPr&gt;&lt;w:rFonts w:ascii=&quot;Cambria Math&quot; w:h-ansi=&quot;Cambria Math&quot;/&gt;&lt;wx:font wx:val=&quot;Cambria Math&quot;/&gt;&lt;w:i/&gt;&lt;w:kern w:val=&quot;0&quot;/&gt;&lt;w:sz-cs w:val=&quot;24&quot;/&gt;&lt;w:lang w:fareast=&quot;NL&quot; w:bidi=&quot;AR-SA&quot;/&gt;&lt;/w:rPr&gt;&lt;/m:ctrlPr&gt;&lt;/m:fPr&gt;&lt;m:num&gt;&lt;m:r&gt;&lt;w:rPr&gt;&lt;w:rFonts w:ascii=&quot;Cambria Math&quot; w:h-ansi=&quot;Cambria Math&quot;/&gt;&lt;wx:font wx:val=&quot;Cambria Math&quot;/&gt;&lt;w:i/&gt;&lt;w:kern w:val=&quot;0&quot;/&gt;&lt;w:sz-cs w:val=&quot;24&quot;/&gt;&lt;w:lang w:fareast=&quot;NL&quot; w:bidi=&quot;AR-SA&quot;/&gt;&lt;/w:rPr&gt;&lt;m:t&gt;1&lt;/m:t&gt;&lt;/m:r&gt;&lt;/m:num&gt;&lt;m:den&gt;&lt;m:sSup&gt;&lt;m:sSupPr&gt;&lt;m:ctrlPr&gt;&lt;w:rPr&gt;&lt;w:rFonts w:ascii=&quot;Cambria Math&quot; w:h-ansi=&quot;Cambria Math&quot;/&gt;&lt;wx:font wx:val=&quot;Cambria Math&quot;/&gt;&lt;w:i/&gt;&lt;w:kern w:val=&quot;0&quot;/&gt;&lt;w:sz-cs w:val=&quot;24&quot;/&gt;&lt;w:lang w:fareast=&quot;NL&quot; w:bidi=&quot;AR-SA&quot;/&gt;&lt;/w:rPr&gt;&lt;/m:ctrlPr&gt;&lt;/m:sSupPr&gt;&lt;m:e&gt;&lt;m:r&gt;&lt;w:rPr&gt;&lt;w:rFonts w:ascii=&quot;Cambria Math&quot; w:h-ansi=&quot;Cambria Math&quot;/&gt;&lt;wx:font wx:val=&quot;Cambria Math&quot;/&gt;&lt;w:i/&gt;&lt;w:kern w:val=&quot;0&quot;/&gt;&lt;w:sz-cs w:val=&quot;24&quot;/&gt;&lt;w:lang w:fareast=&quot;NL&quot; w:bidi=&quot;AR-SA&quot;/&gt;&lt;/w:rPr&gt;&lt;m:t&gt;N&lt;/m:t&gt;&lt;/m:r&gt;&lt;/m:e&gt;&lt;m:sup&gt;&lt;m:r&gt;&lt;w:rPr&gt;&lt;w:rFonts w:ascii=&quot;Cambria Math&quot; w:h-ansi=&quot;Cambria Math&quot;/&gt;&lt;wx:font wx:val=&quot;Cambria Math&quot;/&gt;&lt;w:i/&gt;&lt;w:kern w:val=&quot;0&quot;/&gt;&lt;w:sz-cs w:val=&quot;24&quot;/&gt;&lt;w:lang w:fareast=&quot;NL&quot; w:bidi=&quot;AR-SA&quot;/&gt;&lt;/w:rPr&gt;&lt;m:t&gt;2&lt;/m:t&gt;&lt;/m:r&gt;&lt;/m:sup&gt;&lt;/m:sSup&gt;&lt;/m:den&gt;&lt;/m:f&gt;&lt;/m:e&gt;&lt;/m:nary&gt;&lt;m:r&gt;&lt;w:rPr&gt;&lt;w:rFonts w:ascii=&quot;Cambria Math&quot; w:h-ansi=&quot;Cambria Math&quot;/&gt;&lt;wx:font wx:val=&quot;Cambria Math&quot;/&gt;&lt;w:i/&gt;&lt;w:kern w:val=&quot;0&quot;/&gt;&lt;w:sz-cs w:val=&quot;24&quot;/&gt;&lt;w:lang w:fareast=&quot;NL&quot; w:bidi=&quot;AR-SA&quot;/&gt;&lt;/w:rPr&gt;&lt;m:t&gt; &lt;/m:t&gt;&lt;/m:r&gt;&lt;m:nary&gt;&lt;m:naryPr&gt;&lt;m:chr m:val=&quot;âˆ‘&quot;/&gt;&lt;m:limLoc m:val=&quot;undOvr&quot;/&gt;&lt;m:ctrlPr&gt;&lt;w:rPr&gt;&lt;w:rFonts w:ascii=&quot;Cambria Math&quot; w:h-ansi=&quot;Cambria Math&quot;/&gt;&lt;wx:font wx:val=&quot;Cambria Math&quot;/&gt;&lt;w:i/&gt;&lt;w:kern w:val=&quot;0&quot;/&gt;&lt;w:sz-cs w:val=&quot;24&quot;/&gt;&lt;w:lang w:fareast=&quot;NL&quot; w:bidi=&quot;AR-SA&quot;/&gt;&lt;/w:rPr&gt;&lt;/m:ctrlPr&gt;&lt;/m:naryPr&gt;&lt;m:sub&gt;&lt;m:r&gt;&lt;w:rPr&gt;&lt;w:rFonts w:ascii=&quot;Cambria Math&quot; w:h-ansi=&quot;Cambria Math&quot;/&gt;&lt;wx:font wx:val=&quot;Cambria Math&quot;/&gt;&lt;w:i/&gt;&lt;w:kern w:val=&quot;0&quot;/&gt;&lt;w:sz-cs w:val=&quot;24&quot;/&gt;&lt;w:lang w:fareast=&quot;NL&quot; w:bidi=&quot;AR-SA&quot;/&gt;&lt;/w:rPr&gt;&lt;m:t&gt;i=1&lt;/m:t&gt;&lt;/m:r&gt;&lt;/m:sub&gt;&lt;m:sup&gt;&lt;m:r&gt;&lt;w:rPr&gt;&lt;w:rFonts w:ascii=&quot;Cambria Math&quot; w:h-ansi=&quot;Cambria Math&quot;/&gt;&lt;wx:font wx:val=&quot;Cambria Math&quot;/&gt;&lt;w:i/&gt;&lt;w:kern w:val=&quot;0&quot;/&gt;&lt;w:sz-cs w:val=&quot;24&quot;/&gt;&lt;w:lang w:fareast=&quot;NL&quot; w:bidi=&quot;AR-SA&quot;/&gt;&lt;/w:rPr&gt;&lt;m:t&gt;N&lt;/m:t&gt;&lt;/m:r&gt;&lt;/m:sup&gt;&lt;m:e&gt;&lt;m:sSubSup&gt;&lt;m:sSubSupPr&gt;&lt;m:ctrlPr&gt;&lt;w:rPr&gt;&lt;w:rFonts w:ascii=&quot;Cambria Math&quot; w:h-ansi=&quot;Cambria Math&quot;/&gt;&lt;wx:font wx:val=&quot;Cambria Math&quot;/&gt;&lt;w:i/&gt;&lt;w:kern w:val=&quot;0&quot;/&gt;&lt;w:sz-cs w:val=&quot;24&quot;/&gt;&lt;w:lang w:fareast=&quot;NL&quot; w:bidi=&quot;AR-SA&quot;/&gt;&lt;/w:rPr&gt;&lt;/m:ctrlPr&gt;&lt;/m:sSubSupPr&gt;&lt;m:e&gt;&lt;m:r&gt;&lt;m:rPr&gt;&lt;m:sty m:val=&quot;p&quot;/&gt;&lt;/m:rPr&gt;&lt;w:rPr&gt;&lt;w:rFonts w:ascii=&quot;Cambria Math&quot; w:h-ansi=&quot;Cambria Math&quot;/&gt;&lt;wx:font wx:val=&quot;Cambria Math&quot;/&gt;&lt;w:kern w:val=&quot;0&quot;/&gt;&lt;w:sz-cs w:val=&quot;24&quot;/&gt;&lt;w:lang w:fareast=&quot;NL&quot; w:bidi=&quot;AR-SA&quot;/&gt;&lt;/w:rPr&gt;&lt;m:t&gt;Ïƒ&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Îµi&lt;/m:t&gt;&lt;/m:r&gt;&lt;/m:sub&gt;&lt;m:sup&gt;&lt;m:r&gt;&lt;w:rPr&gt;&lt;w:rFonts w:ascii=&quot;Cambria Math&quot; w:h-ansi=&quot;Cambria Math&quot;/&gt;&lt;wx:font wx:val=&quot;Cambria Math&quot;/&gt;&lt;w:i/&gt;&lt;w:kern w:val=&quot;0&quot;/&gt;&lt;w:sz-cs w:val=&quot;24&quot;/&gt;&lt;w:lang w:fareast=&quot;NL&quot; w:bidi=&quot;AR-SA&quot;/&gt;&lt;/w:rPr&gt;&lt;m:t&gt;2&lt;/m:t&gt;&lt;/m:r&gt;&lt;/m:sup&gt;&lt;/m:sSubSup&gt;&lt;m:r&gt;&lt;w:rPr&gt;&lt;w:rFonts w:ascii=&quot;Cambria Math&quot; w:h-ansi=&quot;Cambria Math&quot;/&gt;&lt;wx:font wx:val=&quot;Cambria Math&quot;/&gt;&lt;w:i/&gt;&lt;w:kern w:val=&quot;0&quot;/&gt;&lt;w:sz-cs w:val=&quot;24&quot;/&gt;&lt;w:lang w:fareast=&quot;NL&quot; w:bidi=&quot;AR-SA&quot;/&gt;&lt;/w:rPr&gt;&lt;m:t&gt;)&lt;/m:t&gt;&lt;/m:r&gt;&lt;/m:e&gt;&lt;/m:nary&gt;&lt;m:r&gt;&lt;w:rPr&gt;&lt;w:rFonts w:ascii=&quot;Cambria Math&quot; w:h-ansi=&quot;Cambria Math&quot;/&gt;&lt;wx:font wx:val=&quot;Cambria Math&quot;/&gt;&lt;w:i/&gt;&lt;w:kern w:val=&quot;0&quot;/&gt;&lt;w:sz-cs w:val=&quot;24&quot;/&gt;&lt;w:lang w:fareast=&quot;NL&quot; w:bidi=&quot;AR-SA&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D754FA">
        <w:rPr>
          <w:kern w:val="0"/>
          <w:szCs w:val="24"/>
          <w:lang w:eastAsia="nl-NL"/>
        </w:rPr>
        <w:instrText xml:space="preserve"> </w:instrText>
      </w:r>
      <w:r w:rsidRPr="00D754FA">
        <w:rPr>
          <w:kern w:val="0"/>
          <w:szCs w:val="24"/>
          <w:lang w:eastAsia="nl-NL"/>
        </w:rPr>
        <w:fldChar w:fldCharType="separate"/>
      </w:r>
      <w:r w:rsidRPr="00D754FA">
        <w:pict>
          <v:shape id="_x0000_i1032" type="#_x0000_t75" style="width:19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4491&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614491&quot;&gt;&lt;m:oMathPara&gt;&lt;m:oMath&gt;&lt;m:r&gt;&lt;w:rPr&gt;&lt;w:rFonts w:ascii=&quot;Cambria Math&quot; w:h-ansi=&quot;Cambria Math&quot;/&gt;&lt;wx:font wx:val=&quot;Cambria Math&quot;/&gt;&lt;w:i/&gt;&lt;w:kern w:val=&quot;0&quot;/&gt;&lt;w:sz-cs w:val=&quot;24&quot;/&gt;&lt;w:lang w:fareast=&quot;NL&quot; w:bidi=&quot;AR-SA&quot;/&gt;&lt;/w:rPr&gt;&lt;m:t&gt;VAR&lt;/m:t&gt;&lt;/m:r&gt;&lt;m:d&gt;&lt;m:dPr&gt;&lt;m:ctrlPr&gt;&lt;w:rPr&gt;&lt;w:rFonts w:ascii=&quot;Cambria Math&quot; w:h-ansi=&quot;Cambria Math&quot;/&gt;&lt;wx:font wx:val=&quot;Cambria Math&quot;/&gt;&lt;w:i/&gt;&lt;w:kern w:val=&quot;0&quot;/&gt;&lt;w:sz-cs w:val=&quot;24&quot;/&gt;&lt;w:lang w:fareast=&quot;NL&quot; w:bidi=&quot;AR-SA&quot;/&gt;&lt;/w:rPr&gt;&lt;/m:ctrlPr&gt;&lt;/m:dPr&gt;&lt;m:e&gt;&lt;m:acc&gt;&lt;m:accPr&gt;&lt;m:chr m:val=&quot;Ì…&quot;/&gt;&lt;m:ctrlPr&gt;&lt;w:rPr&gt;&lt;w:rFonts w:ascii=&quot;Cambria Math&quot; w:h-ansi=&quot;Cambria Math&quot;/&gt;&lt;wx:font wx:val=&quot;Cambria Math&quot;/&gt;&lt;w:i/&gt;&lt;w:kern w:val=&quot;0&quot;/&gt;&lt;w:sz-cs w:val=&quot;24&quot;/&gt;&lt;w:lang w:fareast=&quot;NL&quot; w:bidi=&quot;AR-SA&quot;/&gt;&lt;/w:rPr&gt;&lt;/m:ctrlPr&gt;&lt;/m:accPr&gt;&lt;m:e&gt;&lt;m:r&gt;&lt;w:rPr&gt;&lt;w:rFonts w:ascii=&quot;Cambria Math&quot; w:h-ansi=&quot;Cambria Math&quot;/&gt;&lt;wx:font wx:val=&quot;Cambria Math&quot;/&gt;&lt;w:i/&gt;&lt;w:kern w:val=&quot;0&quot;/&gt;&lt;w:sz-cs w:val=&quot;24&quot;/&gt;&lt;w:lang w:fareast=&quot;NL&quot; w:bidi=&quot;AR-SA&quot;/&gt;&lt;/w:rPr&gt;&lt;m:t&gt;CAR&lt;/m:t&gt;&lt;/m:r&gt;&lt;/m:e&gt;&lt;/m:acc&gt;&lt;m:d&gt;&lt;m:dPr&gt;&lt;m:ctrlPr&gt;&lt;w:rPr&gt;&lt;w:rFonts w:ascii=&quot;Cambria Math&quot; w:h-ansi=&quot;Cambria Math&quot;/&gt;&lt;wx:font wx:val=&quot;Cambria Math&quot;/&gt;&lt;w:i/&gt;&lt;w:kern w:val=&quot;0&quot;/&gt;&lt;w:lang w:fareast=&quot;NL&quot; w:bidi=&quot;AR-SA&quot;/&gt;&lt;/w:rPr&gt;&lt;/m:ctrlPr&gt;&lt;/m:dPr&gt;&lt;m:e&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1&lt;/m:t&gt;&lt;/m:r&gt;&lt;/m:sub&gt;&lt;/m:sSub&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e&gt;&lt;/m:d&gt;&lt;/m:e&gt;&lt;/m:d&gt;&lt;m:r&gt;&lt;w:rPr&gt;&lt;w:rFonts w:ascii=&quot;Cambria Math&quot; w:h-ansi=&quot;Cambria Math&quot;/&gt;&lt;wx:font wx:val=&quot;Cambria Math&quot;/&gt;&lt;w:i/&gt;&lt;w:kern w:val=&quot;0&quot;/&gt;&lt;w:sz-cs w:val=&quot;24&quot;/&gt;&lt;w:lang w:fareast=&quot;NL&quot; w:bidi=&quot;AR-SA&quot;/&gt;&lt;/w:rPr&gt;&lt;m:t&gt;= &lt;/m:t&gt;&lt;/m:r&gt;&lt;m:nary&gt;&lt;m:naryPr&gt;&lt;m:chr m:val=&quot;âˆ‘&quot;/&gt;&lt;m:limLoc m:val=&quot;undOvr&quot;/&gt;&lt;m:ctrlPr&gt;&lt;w:rPr&gt;&lt;w:rFonts w:ascii=&quot;Cambria Math&quot; w:h-ansi=&quot;Cambria Math&quot;/&gt;&lt;wx:font wx:val=&quot;Cambria Math&quot;/&gt;&lt;w:i/&gt;&lt;w:kern w:val=&quot;0&quot;/&gt;&lt;w:sz-cs w:val=&quot;24&quot;/&gt;&lt;w:lang w:fareast=&quot;NL&quot; w:bidi=&quot;AR-SA&quot;/&gt;&lt;/w:rPr&gt;&lt;/m:ctrlPr&gt;&lt;/m:naryPr&gt;&lt;m:sub&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1&lt;/m:t&gt;&lt;/m:r&gt;&lt;/m:sub&gt;&lt;/m:sSub&gt;&lt;/m:sub&gt;&lt;m:sup&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sup&gt;&lt;m:e&gt;&lt;m:r&gt;&lt;w:rPr&gt;&lt;w:rFonts w:ascii=&quot;Cambria Math&quot; w:h-ansi=&quot;Cambria Math&quot;/&gt;&lt;wx:font wx:val=&quot;Cambria Math&quot;/&gt;&lt;w:i/&gt;&lt;w:kern w:val=&quot;0&quot;/&gt;&lt;w:sz-cs w:val=&quot;24&quot;/&gt;&lt;w:lang w:fareast=&quot;NL&quot; w:bidi=&quot;AR-SA&quot;/&gt;&lt;/w:rPr&gt;&lt;m:t&gt;(&lt;/m:t&gt;&lt;/m:r&gt;&lt;m:f&gt;&lt;m:fPr&gt;&lt;m:ctrlPr&gt;&lt;w:rPr&gt;&lt;w:rFonts w:ascii=&quot;Cambria Math&quot; w:h-ansi=&quot;Cambria Math&quot;/&gt;&lt;wx:font wx:val=&quot;Cambria Math&quot;/&gt;&lt;w:i/&gt;&lt;w:kern w:val=&quot;0&quot;/&gt;&lt;w:sz-cs w:val=&quot;24&quot;/&gt;&lt;w:lang w:fareast=&quot;NL&quot; w:bidi=&quot;AR-SA&quot;/&gt;&lt;/w:rPr&gt;&lt;/m:ctrlPr&gt;&lt;/m:fPr&gt;&lt;m:num&gt;&lt;m:r&gt;&lt;w:rPr&gt;&lt;w:rFonts w:ascii=&quot;Cambria Math&quot; w:h-ansi=&quot;Cambria Math&quot;/&gt;&lt;wx:font wx:val=&quot;Cambria Math&quot;/&gt;&lt;w:i/&gt;&lt;w:kern w:val=&quot;0&quot;/&gt;&lt;w:sz-cs w:val=&quot;24&quot;/&gt;&lt;w:lang w:fareast=&quot;NL&quot; w:bidi=&quot;AR-SA&quot;/&gt;&lt;/w:rPr&gt;&lt;m:t&gt;1&lt;/m:t&gt;&lt;/m:r&gt;&lt;/m:num&gt;&lt;m:den&gt;&lt;m:sSup&gt;&lt;m:sSupPr&gt;&lt;m:ctrlPr&gt;&lt;w:rPr&gt;&lt;w:rFonts w:ascii=&quot;Cambria Math&quot; w:h-ansi=&quot;Cambria Math&quot;/&gt;&lt;wx:font wx:val=&quot;Cambria Math&quot;/&gt;&lt;w:i/&gt;&lt;w:kern w:val=&quot;0&quot;/&gt;&lt;w:sz-cs w:val=&quot;24&quot;/&gt;&lt;w:lang w:fareast=&quot;NL&quot; w:bidi=&quot;AR-SA&quot;/&gt;&lt;/w:rPr&gt;&lt;/m:ctrlPr&gt;&lt;/m:sSupPr&gt;&lt;m:e&gt;&lt;m:r&gt;&lt;w:rPr&gt;&lt;w:rFonts w:ascii=&quot;Cambria Math&quot; w:h-ansi=&quot;Cambria Math&quot;/&gt;&lt;wx:font wx:val=&quot;Cambria Math&quot;/&gt;&lt;w:i/&gt;&lt;w:kern w:val=&quot;0&quot;/&gt;&lt;w:sz-cs w:val=&quot;24&quot;/&gt;&lt;w:lang w:fareast=&quot;NL&quot; w:bidi=&quot;AR-SA&quot;/&gt;&lt;/w:rPr&gt;&lt;m:t&gt;N&lt;/m:t&gt;&lt;/m:r&gt;&lt;/m:e&gt;&lt;m:sup&gt;&lt;m:r&gt;&lt;w:rPr&gt;&lt;w:rFonts w:ascii=&quot;Cambria Math&quot; w:h-ansi=&quot;Cambria Math&quot;/&gt;&lt;wx:font wx:val=&quot;Cambria Math&quot;/&gt;&lt;w:i/&gt;&lt;w:kern w:val=&quot;0&quot;/&gt;&lt;w:sz-cs w:val=&quot;24&quot;/&gt;&lt;w:lang w:fareast=&quot;NL&quot; w:bidi=&quot;AR-SA&quot;/&gt;&lt;/w:rPr&gt;&lt;m:t&gt;2&lt;/m:t&gt;&lt;/m:r&gt;&lt;/m:sup&gt;&lt;/m:sSup&gt;&lt;/m:den&gt;&lt;/m:f&gt;&lt;/m:e&gt;&lt;/m:nary&gt;&lt;m:r&gt;&lt;w:rPr&gt;&lt;w:rFonts w:ascii=&quot;Cambria Math&quot; w:h-ansi=&quot;Cambria Math&quot;/&gt;&lt;wx:font wx:val=&quot;Cambria Math&quot;/&gt;&lt;w:i/&gt;&lt;w:kern w:val=&quot;0&quot;/&gt;&lt;w:sz-cs w:val=&quot;24&quot;/&gt;&lt;w:lang w:fareast=&quot;NL&quot; w:bidi=&quot;AR-SA&quot;/&gt;&lt;/w:rPr&gt;&lt;m:t&gt; &lt;/m:t&gt;&lt;/m:r&gt;&lt;m:nary&gt;&lt;m:naryPr&gt;&lt;m:chr m:val=&quot;âˆ‘&quot;/&gt;&lt;m:limLoc m:val=&quot;undOvr&quot;/&gt;&lt;m:ctrlPr&gt;&lt;w:rPr&gt;&lt;w:rFonts w:ascii=&quot;Cambria Math&quot; w:h-ansi=&quot;Cambria Math&quot;/&gt;&lt;wx:font wx:val=&quot;Cambria Math&quot;/&gt;&lt;w:i/&gt;&lt;w:kern w:val=&quot;0&quot;/&gt;&lt;w:sz-cs w:val=&quot;24&quot;/&gt;&lt;w:lang w:fareast=&quot;NL&quot; w:bidi=&quot;AR-SA&quot;/&gt;&lt;/w:rPr&gt;&lt;/m:ctrlPr&gt;&lt;/m:naryPr&gt;&lt;m:sub&gt;&lt;m:r&gt;&lt;w:rPr&gt;&lt;w:rFonts w:ascii=&quot;Cambria Math&quot; w:h-ansi=&quot;Cambria Math&quot;/&gt;&lt;wx:font wx:val=&quot;Cambria Math&quot;/&gt;&lt;w:i/&gt;&lt;w:kern w:val=&quot;0&quot;/&gt;&lt;w:sz-cs w:val=&quot;24&quot;/&gt;&lt;w:lang w:fareast=&quot;NL&quot; w:bidi=&quot;AR-SA&quot;/&gt;&lt;/w:rPr&gt;&lt;m:t&gt;i=1&lt;/m:t&gt;&lt;/m:r&gt;&lt;/m:sub&gt;&lt;m:sup&gt;&lt;m:r&gt;&lt;w:rPr&gt;&lt;w:rFonts w:ascii=&quot;Cambria Math&quot; w:h-ansi=&quot;Cambria Math&quot;/&gt;&lt;wx:font wx:val=&quot;Cambria Math&quot;/&gt;&lt;w:i/&gt;&lt;w:kern w:val=&quot;0&quot;/&gt;&lt;w:sz-cs w:val=&quot;24&quot;/&gt;&lt;w:lang w:fareast=&quot;NL&quot; w:bidi=&quot;AR-SA&quot;/&gt;&lt;/w:rPr&gt;&lt;m:t&gt;N&lt;/m:t&gt;&lt;/m:r&gt;&lt;/m:sup&gt;&lt;m:e&gt;&lt;m:sSubSup&gt;&lt;m:sSubSupPr&gt;&lt;m:ctrlPr&gt;&lt;w:rPr&gt;&lt;w:rFonts w:ascii=&quot;Cambria Math&quot; w:h-ansi=&quot;Cambria Math&quot;/&gt;&lt;wx:font wx:val=&quot;Cambria Math&quot;/&gt;&lt;w:i/&gt;&lt;w:kern w:val=&quot;0&quot;/&gt;&lt;w:sz-cs w:val=&quot;24&quot;/&gt;&lt;w:lang w:fareast=&quot;NL&quot; w:bidi=&quot;AR-SA&quot;/&gt;&lt;/w:rPr&gt;&lt;/m:ctrlPr&gt;&lt;/m:sSubSupPr&gt;&lt;m:e&gt;&lt;m:r&gt;&lt;m:rPr&gt;&lt;m:sty m:val=&quot;p&quot;/&gt;&lt;/m:rPr&gt;&lt;w:rPr&gt;&lt;w:rFonts w:ascii=&quot;Cambria Math&quot; w:h-ansi=&quot;Cambria Math&quot;/&gt;&lt;wx:font wx:val=&quot;Cambria Math&quot;/&gt;&lt;w:kern w:val=&quot;0&quot;/&gt;&lt;w:sz-cs w:val=&quot;24&quot;/&gt;&lt;w:lang w:fareast=&quot;NL&quot; w:bidi=&quot;AR-SA&quot;/&gt;&lt;/w:rPr&gt;&lt;m:t&gt;Ïƒ&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Îµi&lt;/m:t&gt;&lt;/m:r&gt;&lt;/m:sub&gt;&lt;m:sup&gt;&lt;m:r&gt;&lt;w:rPr&gt;&lt;w:rFonts w:ascii=&quot;Cambria Math&quot; w:h-ansi=&quot;Cambria Math&quot;/&gt;&lt;wx:font wx:val=&quot;Cambria Math&quot;/&gt;&lt;w:i/&gt;&lt;w:kern w:val=&quot;0&quot;/&gt;&lt;w:sz-cs w:val=&quot;24&quot;/&gt;&lt;w:lang w:fareast=&quot;NL&quot; w:bidi=&quot;AR-SA&quot;/&gt;&lt;/w:rPr&gt;&lt;m:t&gt;2&lt;/m:t&gt;&lt;/m:r&gt;&lt;/m:sup&gt;&lt;/m:sSubSup&gt;&lt;m:r&gt;&lt;w:rPr&gt;&lt;w:rFonts w:ascii=&quot;Cambria Math&quot; w:h-ansi=&quot;Cambria Math&quot;/&gt;&lt;wx:font wx:val=&quot;Cambria Math&quot;/&gt;&lt;w:i/&gt;&lt;w:kern w:val=&quot;0&quot;/&gt;&lt;w:sz-cs w:val=&quot;24&quot;/&gt;&lt;w:lang w:fareast=&quot;NL&quot; w:bidi=&quot;AR-SA&quot;/&gt;&lt;/w:rPr&gt;&lt;m:t&gt;)&lt;/m:t&gt;&lt;/m:r&gt;&lt;/m:e&gt;&lt;/m:nary&gt;&lt;m:r&gt;&lt;w:rPr&gt;&lt;w:rFonts w:ascii=&quot;Cambria Math&quot; w:h-ansi=&quot;Cambria Math&quot;/&gt;&lt;wx:font wx:val=&quot;Cambria Math&quot;/&gt;&lt;w:i/&gt;&lt;w:kern w:val=&quot;0&quot;/&gt;&lt;w:sz-cs w:val=&quot;24&quot;/&gt;&lt;w:lang w:fareast=&quot;NL&quot; w:bidi=&quot;AR-SA&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D754FA">
        <w:rPr>
          <w:kern w:val="0"/>
          <w:szCs w:val="24"/>
          <w:lang w:eastAsia="nl-NL"/>
        </w:rPr>
        <w:fldChar w:fldCharType="end"/>
      </w:r>
    </w:p>
    <w:p w:rsidR="005217AD" w:rsidRDefault="005217AD" w:rsidP="00993F61">
      <w:pPr>
        <w:rPr>
          <w:kern w:val="0"/>
          <w:sz w:val="16"/>
          <w:szCs w:val="16"/>
          <w:lang w:eastAsia="nl-NL"/>
        </w:rPr>
      </w:pPr>
    </w:p>
    <w:p w:rsidR="005217AD" w:rsidRDefault="005217AD" w:rsidP="00993F61">
      <w:pPr>
        <w:rPr>
          <w:kern w:val="0"/>
          <w:szCs w:val="24"/>
          <w:lang w:eastAsia="nl-NL"/>
        </w:rPr>
      </w:pPr>
      <w:r>
        <w:rPr>
          <w:kern w:val="0"/>
          <w:szCs w:val="24"/>
          <w:lang w:eastAsia="nl-NL"/>
        </w:rPr>
        <w:t>En dus de som van de variantie van de gemiddeld abnormale rendementen per periode. Met deze variantie kunnen de gemiddeld cumulatieve abnormale rendementen worden getoetst op significantie door:</w:t>
      </w:r>
    </w:p>
    <w:p w:rsidR="005217AD" w:rsidRDefault="005217AD" w:rsidP="00993F61">
      <w:pPr>
        <w:rPr>
          <w:kern w:val="0"/>
          <w:sz w:val="16"/>
          <w:szCs w:val="16"/>
          <w:lang w:eastAsia="nl-NL"/>
        </w:rPr>
      </w:pPr>
    </w:p>
    <w:p w:rsidR="005217AD" w:rsidRPr="00D707E5" w:rsidRDefault="005217AD" w:rsidP="00993F61">
      <w:pPr>
        <w:pStyle w:val="ListParagraph"/>
        <w:numPr>
          <w:ilvl w:val="0"/>
          <w:numId w:val="10"/>
        </w:numPr>
        <w:rPr>
          <w:kern w:val="0"/>
          <w:szCs w:val="24"/>
          <w:lang w:eastAsia="nl-NL"/>
        </w:rPr>
      </w:pPr>
      <w:r w:rsidRPr="00D754FA">
        <w:rPr>
          <w:kern w:val="0"/>
          <w:szCs w:val="24"/>
          <w:lang w:eastAsia="nl-NL"/>
        </w:rPr>
        <w:fldChar w:fldCharType="begin"/>
      </w:r>
      <w:r w:rsidRPr="00D754FA">
        <w:rPr>
          <w:kern w:val="0"/>
          <w:szCs w:val="24"/>
          <w:lang w:eastAsia="nl-NL"/>
        </w:rPr>
        <w:instrText xml:space="preserve"> QUOTE </w:instrText>
      </w:r>
      <w:r w:rsidRPr="00D754FA">
        <w:pict>
          <v:shape id="_x0000_i1033" type="#_x0000_t75" style="width:90pt;height:39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02C&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92502C&quot;&gt;&lt;m:oMathPara&gt;&lt;m:oMath&gt;&lt;m:f&gt;&lt;m:fPr&gt;&lt;m:ctrlPr&gt;&lt;w:rPr&gt;&lt;w:rFonts w:ascii=&quot;Cambria Math&quot; w:h-ansi=&quot;Cambria Math&quot;/&gt;&lt;wx:font wx:val=&quot;Cambria Math&quot;/&gt;&lt;w:i/&gt;&lt;w:kern w:val=&quot;0&quot;/&gt;&lt;w:sz-cs w:val=&quot;24&quot;/&gt;&lt;w:lang w:fareast=&quot;NL&quot; w:bidi=&quot;AR-SA&quot;/&gt;&lt;/w:rPr&gt;&lt;/m:ctrlPr&gt;&lt;/m:fPr&gt;&lt;m:num&gt;&lt;m:acc&gt;&lt;m:accPr&gt;&lt;m:chr m:val=&quot;Ì…&quot;/&gt;&lt;m:ctrlPr&gt;&lt;w:rPr&gt;&lt;w:rFonts w:ascii=&quot;Cambria Math&quot; w:h-ansi=&quot;Cambria Math&quot;/&gt;&lt;wx:font wx:val=&quot;Cambria Math&quot;/&gt;&lt;w:i/&gt;&lt;w:kern w:val=&quot;0&quot;/&gt;&lt;w:lang w:fareast=&quot;NL&quot; w:bidi=&quot;AR-SA&quot;/&gt;&lt;/w:rPr&gt;&lt;/m:ctrlPr&gt;&lt;/m:accPr&gt;&lt;m:e&gt;&lt;m:r&gt;&lt;w:rPr&gt;&lt;w:rFonts w:ascii=&quot;Cambria Math&quot; w:h-ansi=&quot;Cambria Math&quot;/&gt;&lt;wx:font wx:val=&quot;Cambria Math&quot;/&gt;&lt;w:i/&gt;&lt;w:kern w:val=&quot;0&quot;/&gt;&lt;w:lang w:fareast=&quot;NL&quot; w:bidi=&quot;AR-SA&quot;/&gt;&lt;/w:rPr&gt;&lt;m:t&gt;CAR&lt;/m:t&gt;&lt;/m:r&gt;&lt;/m:e&gt;&lt;/m:acc&gt;&lt;m:d&gt;&lt;m:dPr&gt;&lt;m:ctrlPr&gt;&lt;w:rPr&gt;&lt;w:rFonts w:ascii=&quot;Cambria Math&quot; w:h-ansi=&quot;Cambria Math&quot;/&gt;&lt;wx:font wx:val=&quot;Cambria Math&quot;/&gt;&lt;w:i/&gt;&lt;w:kern w:val=&quot;0&quot;/&gt;&lt;w:lang w:fareast=&quot;NL&quot; w:bidi=&quot;AR-SA&quot;/&gt;&lt;/w:rPr&gt;&lt;/m:ctrlPr&gt;&lt;/m:dPr&gt;&lt;m:e&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1&lt;/m:t&gt;&lt;/m:r&gt;&lt;/m:sub&gt;&lt;/m:sSub&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e&gt;&lt;/m:d&gt;&lt;/m:num&gt;&lt;m:den&gt;&lt;m:sSup&gt;&lt;m:sSupPr&gt;&lt;m:ctrlPr&gt;&lt;w:rPr&gt;&lt;w:rFonts w:ascii=&quot;Cambria Math&quot; w:h-ansi=&quot;Cambria Math&quot;/&gt;&lt;wx:font wx:val=&quot;Cambria Math&quot;/&gt;&lt;w:i/&gt;&lt;w:kern w:val=&quot;0&quot;/&gt;&lt;w:sz-cs w:val=&quot;24&quot;/&gt;&lt;w:lang w:fareast=&quot;NL&quot; w:bidi=&quot;AR-SA&quot;/&gt;&lt;/w:rPr&gt;&lt;/m:ctrlPr&gt;&lt;/m:sSupPr&gt;&lt;m:e&gt;&lt;m:r&gt;&lt;w:rPr&gt;&lt;w:rFonts w:ascii=&quot;Cambria Math&quot; w:h-ansi=&quot;Cambria Math&quot;/&gt;&lt;wx:font wx:val=&quot;Cambria Math&quot;/&gt;&lt;w:i/&gt;&lt;w:kern w:val=&quot;0&quot;/&gt;&lt;w:sz-cs w:val=&quot;24&quot;/&gt;&lt;w:lang w:fareast=&quot;NL&quot; w:bidi=&quot;AR-SA&quot;/&gt;&lt;/w:rPr&gt;&lt;m:t&gt;VAR&lt;/m:t&gt;&lt;/m:r&gt;&lt;m:d&gt;&lt;m:dPr&gt;&lt;m:ctrlPr&gt;&lt;w:rPr&gt;&lt;w:rFonts w:ascii=&quot;Cambria Math&quot; w:h-ansi=&quot;Cambria Math&quot;/&gt;&lt;wx:font wx:val=&quot;Cambria Math&quot;/&gt;&lt;w:i/&gt;&lt;w:kern w:val=&quot;0&quot;/&gt;&lt;w:sz-cs w:val=&quot;24&quot;/&gt;&lt;w:lang w:fareast=&quot;NL&quot; w:bidi=&quot;AR-SA&quot;/&gt;&lt;/w:rPr&gt;&lt;/m:ctrlPr&gt;&lt;/m:dPr&gt;&lt;m:e&gt;&lt;m:acc&gt;&lt;m:accPr&gt;&lt;m:chr m:val=&quot;Ì…&quot;/&gt;&lt;m:ctrlPr&gt;&lt;w:rPr&gt;&lt;w:rFonts w:ascii=&quot;Cambria Math&quot; w:h-ansi=&quot;Cambria Math&quot;/&gt;&lt;wx:font wx:val=&quot;Cambria Math&quot;/&gt;&lt;w:i/&gt;&lt;w:kern w:val=&quot;0&quot;/&gt;&lt;w:sz-cs w:val=&quot;24&quot;/&gt;&lt;w:lang w:fareast=&quot;NL&quot; w:bidi=&quot;AR-SA&quot;/&gt;&lt;/w:rPr&gt;&lt;/m:ctrlPr&gt;&lt;/m:accPr&gt;&lt;m:e&gt;&lt;m:r&gt;&lt;w:rPr&gt;&lt;w:rFonts w:ascii=&quot;Cambria Math&quot; w:h-ansi=&quot;Cambria Math&quot;/&gt;&lt;wx:font wx:val=&quot;Cambria Math&quot;/&gt;&lt;w:i/&gt;&lt;w:kern w:val=&quot;0&quot;/&gt;&lt;w:sz-cs w:val=&quot;24&quot;/&gt;&lt;w:lang w:fareast=&quot;NL&quot; w:bidi=&quot;AR-SA&quot;/&gt;&lt;/w:rPr&gt;&lt;m:t&gt;CAR&lt;/m:t&gt;&lt;/m:r&gt;&lt;/m:e&gt;&lt;/m:acc&gt;&lt;m:d&gt;&lt;m:dPr&gt;&lt;m:ctrlPr&gt;&lt;w:rPr&gt;&lt;w:rFonts w:ascii=&quot;Cambria Math&quot; w:h-ansi=&quot;Cambria Math&quot;/&gt;&lt;wx:font wx:val=&quot;Cambria Math&quot;/&gt;&lt;w:i/&gt;&lt;w:kern w:val=&quot;0&quot;/&gt;&lt;w:lang w:fareast=&quot;NL&quot; w:bidi=&quot;AR-SA&quot;/&gt;&lt;/w:rPr&gt;&lt;/m:ctrlPr&gt;&lt;/m:dPr&gt;&lt;m:e&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1&lt;/m:t&gt;&lt;/m:r&gt;&lt;/m:sub&gt;&lt;/m:sSub&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e&gt;&lt;/m:d&gt;&lt;/m:e&gt;&lt;/m:d&gt;&lt;/m:e&gt;&lt;m:sup&gt;&lt;m:r&gt;&lt;w:rPr&gt;&lt;w:rFonts w:ascii=&quot;Cambria Math&quot; w:h-ansi=&quot;Cambria Math&quot;/&gt;&lt;wx:font wx:val=&quot;Cambria Math&quot;/&gt;&lt;w:i/&gt;&lt;w:kern w:val=&quot;0&quot;/&gt;&lt;w:sz-cs w:val=&quot;24&quot;/&gt;&lt;w:lang w:fareast=&quot;NL&quot; w:bidi=&quot;AR-SA&quot;/&gt;&lt;/w:rPr&gt;&lt;m:t&gt;1/2&lt;/m:t&gt;&lt;/m:r&gt;&lt;/m:sup&gt;&lt;/m:sSup&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r w:rsidRPr="00D754FA">
        <w:rPr>
          <w:kern w:val="0"/>
          <w:szCs w:val="24"/>
          <w:lang w:eastAsia="nl-NL"/>
        </w:rPr>
        <w:instrText xml:space="preserve"> </w:instrText>
      </w:r>
      <w:r w:rsidRPr="00D754FA">
        <w:rPr>
          <w:kern w:val="0"/>
          <w:szCs w:val="24"/>
          <w:lang w:eastAsia="nl-NL"/>
        </w:rPr>
        <w:fldChar w:fldCharType="separate"/>
      </w:r>
      <w:r w:rsidRPr="00D754FA">
        <w:pict>
          <v:shape id="_x0000_i1034" type="#_x0000_t75" style="width:90pt;height:39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02C&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92502C&quot;&gt;&lt;m:oMathPara&gt;&lt;m:oMath&gt;&lt;m:f&gt;&lt;m:fPr&gt;&lt;m:ctrlPr&gt;&lt;w:rPr&gt;&lt;w:rFonts w:ascii=&quot;Cambria Math&quot; w:h-ansi=&quot;Cambria Math&quot;/&gt;&lt;wx:font wx:val=&quot;Cambria Math&quot;/&gt;&lt;w:i/&gt;&lt;w:kern w:val=&quot;0&quot;/&gt;&lt;w:sz-cs w:val=&quot;24&quot;/&gt;&lt;w:lang w:fareast=&quot;NL&quot; w:bidi=&quot;AR-SA&quot;/&gt;&lt;/w:rPr&gt;&lt;/m:ctrlPr&gt;&lt;/m:fPr&gt;&lt;m:num&gt;&lt;m:acc&gt;&lt;m:accPr&gt;&lt;m:chr m:val=&quot;Ì…&quot;/&gt;&lt;m:ctrlPr&gt;&lt;w:rPr&gt;&lt;w:rFonts w:ascii=&quot;Cambria Math&quot; w:h-ansi=&quot;Cambria Math&quot;/&gt;&lt;wx:font wx:val=&quot;Cambria Math&quot;/&gt;&lt;w:i/&gt;&lt;w:kern w:val=&quot;0&quot;/&gt;&lt;w:lang w:fareast=&quot;NL&quot; w:bidi=&quot;AR-SA&quot;/&gt;&lt;/w:rPr&gt;&lt;/m:ctrlPr&gt;&lt;/m:accPr&gt;&lt;m:e&gt;&lt;m:r&gt;&lt;w:rPr&gt;&lt;w:rFonts w:ascii=&quot;Cambria Math&quot; w:h-ansi=&quot;Cambria Math&quot;/&gt;&lt;wx:font wx:val=&quot;Cambria Math&quot;/&gt;&lt;w:i/&gt;&lt;w:kern w:val=&quot;0&quot;/&gt;&lt;w:lang w:fareast=&quot;NL&quot; w:bidi=&quot;AR-SA&quot;/&gt;&lt;/w:rPr&gt;&lt;m:t&gt;CAR&lt;/m:t&gt;&lt;/m:r&gt;&lt;/m:e&gt;&lt;/m:acc&gt;&lt;m:d&gt;&lt;m:dPr&gt;&lt;m:ctrlPr&gt;&lt;w:rPr&gt;&lt;w:rFonts w:ascii=&quot;Cambria Math&quot; w:h-ansi=&quot;Cambria Math&quot;/&gt;&lt;wx:font wx:val=&quot;Cambria Math&quot;/&gt;&lt;w:i/&gt;&lt;w:kern w:val=&quot;0&quot;/&gt;&lt;w:lang w:fareast=&quot;NL&quot; w:bidi=&quot;AR-SA&quot;/&gt;&lt;/w:rPr&gt;&lt;/m:ctrlPr&gt;&lt;/m:dPr&gt;&lt;m:e&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1&lt;/m:t&gt;&lt;/m:r&gt;&lt;/m:sub&gt;&lt;/m:sSub&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e&gt;&lt;/m:d&gt;&lt;/m:num&gt;&lt;m:den&gt;&lt;m:sSup&gt;&lt;m:sSupPr&gt;&lt;m:ctrlPr&gt;&lt;w:rPr&gt;&lt;w:rFonts w:ascii=&quot;Cambria Math&quot; w:h-ansi=&quot;Cambria Math&quot;/&gt;&lt;wx:font wx:val=&quot;Cambria Math&quot;/&gt;&lt;w:i/&gt;&lt;w:kern w:val=&quot;0&quot;/&gt;&lt;w:sz-cs w:val=&quot;24&quot;/&gt;&lt;w:lang w:fareast=&quot;NL&quot; w:bidi=&quot;AR-SA&quot;/&gt;&lt;/w:rPr&gt;&lt;/m:ctrlPr&gt;&lt;/m:sSupPr&gt;&lt;m:e&gt;&lt;m:r&gt;&lt;w:rPr&gt;&lt;w:rFonts w:ascii=&quot;Cambria Math&quot; w:h-ansi=&quot;Cambria Math&quot;/&gt;&lt;wx:font wx:val=&quot;Cambria Math&quot;/&gt;&lt;w:i/&gt;&lt;w:kern w:val=&quot;0&quot;/&gt;&lt;w:sz-cs w:val=&quot;24&quot;/&gt;&lt;w:lang w:fareast=&quot;NL&quot; w:bidi=&quot;AR-SA&quot;/&gt;&lt;/w:rPr&gt;&lt;m:t&gt;VAR&lt;/m:t&gt;&lt;/m:r&gt;&lt;m:d&gt;&lt;m:dPr&gt;&lt;m:ctrlPr&gt;&lt;w:rPr&gt;&lt;w:rFonts w:ascii=&quot;Cambria Math&quot; w:h-ansi=&quot;Cambria Math&quot;/&gt;&lt;wx:font wx:val=&quot;Cambria Math&quot;/&gt;&lt;w:i/&gt;&lt;w:kern w:val=&quot;0&quot;/&gt;&lt;w:sz-cs w:val=&quot;24&quot;/&gt;&lt;w:lang w:fareast=&quot;NL&quot; w:bidi=&quot;AR-SA&quot;/&gt;&lt;/w:rPr&gt;&lt;/m:ctrlPr&gt;&lt;/m:dPr&gt;&lt;m:e&gt;&lt;m:acc&gt;&lt;m:accPr&gt;&lt;m:chr m:val=&quot;Ì…&quot;/&gt;&lt;m:ctrlPr&gt;&lt;w:rPr&gt;&lt;w:rFonts w:ascii=&quot;Cambria Math&quot; w:h-ansi=&quot;Cambria Math&quot;/&gt;&lt;wx:font wx:val=&quot;Cambria Math&quot;/&gt;&lt;w:i/&gt;&lt;w:kern w:val=&quot;0&quot;/&gt;&lt;w:sz-cs w:val=&quot;24&quot;/&gt;&lt;w:lang w:fareast=&quot;NL&quot; w:bidi=&quot;AR-SA&quot;/&gt;&lt;/w:rPr&gt;&lt;/m:ctrlPr&gt;&lt;/m:accPr&gt;&lt;m:e&gt;&lt;m:r&gt;&lt;w:rPr&gt;&lt;w:rFonts w:ascii=&quot;Cambria Math&quot; w:h-ansi=&quot;Cambria Math&quot;/&gt;&lt;wx:font wx:val=&quot;Cambria Math&quot;/&gt;&lt;w:i/&gt;&lt;w:kern w:val=&quot;0&quot;/&gt;&lt;w:sz-cs w:val=&quot;24&quot;/&gt;&lt;w:lang w:fareast=&quot;NL&quot; w:bidi=&quot;AR-SA&quot;/&gt;&lt;/w:rPr&gt;&lt;m:t&gt;CAR&lt;/m:t&gt;&lt;/m:r&gt;&lt;/m:e&gt;&lt;/m:acc&gt;&lt;m:d&gt;&lt;m:dPr&gt;&lt;m:ctrlPr&gt;&lt;w:rPr&gt;&lt;w:rFonts w:ascii=&quot;Cambria Math&quot; w:h-ansi=&quot;Cambria Math&quot;/&gt;&lt;wx:font wx:val=&quot;Cambria Math&quot;/&gt;&lt;w:i/&gt;&lt;w:kern w:val=&quot;0&quot;/&gt;&lt;w:lang w:fareast=&quot;NL&quot; w:bidi=&quot;AR-SA&quot;/&gt;&lt;/w:rPr&gt;&lt;/m:ctrlPr&gt;&lt;/m:dPr&gt;&lt;m:e&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1&lt;/m:t&gt;&lt;/m:r&gt;&lt;/m:sub&gt;&lt;/m:sSub&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e&gt;&lt;/m:d&gt;&lt;/m:e&gt;&lt;/m:d&gt;&lt;/m:e&gt;&lt;m:sup&gt;&lt;m:r&gt;&lt;w:rPr&gt;&lt;w:rFonts w:ascii=&quot;Cambria Math&quot; w:h-ansi=&quot;Cambria Math&quot;/&gt;&lt;wx:font wx:val=&quot;Cambria Math&quot;/&gt;&lt;w:i/&gt;&lt;w:kern w:val=&quot;0&quot;/&gt;&lt;w:sz-cs w:val=&quot;24&quot;/&gt;&lt;w:lang w:fareast=&quot;NL&quot; w:bidi=&quot;AR-SA&quot;/&gt;&lt;/w:rPr&gt;&lt;m:t&gt;1/2&lt;/m:t&gt;&lt;/m:r&gt;&lt;/m:sup&gt;&lt;/m:sSup&gt;&lt;/m:den&gt;&lt;/m:f&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r w:rsidRPr="00D754FA">
        <w:rPr>
          <w:kern w:val="0"/>
          <w:szCs w:val="24"/>
          <w:lang w:eastAsia="nl-NL"/>
        </w:rPr>
        <w:fldChar w:fldCharType="end"/>
      </w:r>
    </w:p>
    <w:p w:rsidR="005217AD" w:rsidRDefault="005217AD" w:rsidP="00993F61">
      <w:pPr>
        <w:rPr>
          <w:sz w:val="16"/>
          <w:szCs w:val="16"/>
          <w:lang w:eastAsia="nl-NL"/>
        </w:rPr>
      </w:pPr>
    </w:p>
    <w:p w:rsidR="005217AD" w:rsidRDefault="005217AD" w:rsidP="00993F61">
      <w:pPr>
        <w:rPr>
          <w:lang w:eastAsia="nl-NL"/>
        </w:rPr>
      </w:pPr>
      <w:r>
        <w:rPr>
          <w:lang w:eastAsia="nl-NL"/>
        </w:rPr>
        <w:t xml:space="preserve">De resultaten betreffende deze test zijn te vinden in </w:t>
      </w:r>
      <w:fldSimple w:instr=" REF _Ref264397175 \h  \* MERGEFORMAT ">
        <w:r>
          <w:t xml:space="preserve">Tabel </w:t>
        </w:r>
        <w:r>
          <w:rPr>
            <w:noProof/>
          </w:rPr>
          <w:t>3</w:t>
        </w:r>
      </w:fldSimple>
      <w:r>
        <w:rPr>
          <w:lang w:eastAsia="nl-NL"/>
        </w:rPr>
        <w:t>. Alle waarden per getoetste periode zijn significant verschillend van nul</w:t>
      </w:r>
      <w:r>
        <w:rPr>
          <w:rStyle w:val="FootnoteReference"/>
          <w:lang w:eastAsia="nl-NL"/>
        </w:rPr>
        <w:footnoteReference w:id="29"/>
      </w:r>
      <w:r>
        <w:rPr>
          <w:lang w:eastAsia="nl-NL"/>
        </w:rPr>
        <w:t xml:space="preserve">. Er kan dus met enige significantie gesteld worden dat er een marktreactie plaatsvindt rond de dividendaankondiging. Welke terug te zien is in de prijs van het aandeel. Een positieve marktreactie is te verwachten bij ondernemingen die aan de dividendverwachtingen voldoen, of deze overstijgen. Als dit echter niet het geval is, lijkt de markt een bestraffing toe te kennen. </w:t>
      </w:r>
    </w:p>
    <w:p w:rsidR="005217AD" w:rsidRDefault="005217AD" w:rsidP="00DF7111">
      <w:pPr>
        <w:rPr>
          <w:lang w:eastAsia="nl-NL"/>
        </w:rPr>
      </w:pPr>
      <w:r>
        <w:rPr>
          <w:lang w:eastAsia="nl-NL"/>
        </w:rPr>
        <w:t>De economische significanties van deze marktreacties zijn echter in twijfel te trekken. Vrijwel alle waarden zijn namelijk onder de +/-0,01. Wat minder dan 1 cent per aandeel inhoudt tijdens dividend aankondiging</w:t>
      </w:r>
      <w:r>
        <w:rPr>
          <w:rStyle w:val="FootnoteReference"/>
          <w:lang w:eastAsia="nl-NL"/>
        </w:rPr>
        <w:footnoteReference w:id="30"/>
      </w:r>
      <w:r>
        <w:rPr>
          <w:lang w:eastAsia="nl-NL"/>
        </w:rPr>
        <w:t xml:space="preserve">. Of deze abnormale rendementen daadwerkelijk te wijten zijn aan de abnormale dividenden is echter niet te stellen. Deze test suggereert enkel correlatie en dus een suggestie voor mogelijke causaliteit.   </w:t>
      </w:r>
    </w:p>
    <w:p w:rsidR="005217AD" w:rsidRDefault="005217AD" w:rsidP="00993F61">
      <w:pPr>
        <w:rPr>
          <w:lang w:eastAsia="nl-NL"/>
        </w:rPr>
      </w:pPr>
    </w:p>
    <w:tbl>
      <w:tblPr>
        <w:tblW w:w="8804" w:type="dxa"/>
        <w:tblInd w:w="55" w:type="dxa"/>
        <w:tblLayout w:type="fixed"/>
        <w:tblCellMar>
          <w:left w:w="70" w:type="dxa"/>
          <w:right w:w="70" w:type="dxa"/>
        </w:tblCellMar>
        <w:tblLook w:val="00A0"/>
      </w:tblPr>
      <w:tblGrid>
        <w:gridCol w:w="1760"/>
        <w:gridCol w:w="1761"/>
        <w:gridCol w:w="1761"/>
        <w:gridCol w:w="1761"/>
        <w:gridCol w:w="1761"/>
      </w:tblGrid>
      <w:tr w:rsidR="005217AD" w:rsidRPr="005F09D9" w:rsidTr="005F09D9">
        <w:trPr>
          <w:trHeight w:val="300"/>
        </w:trPr>
        <w:tc>
          <w:tcPr>
            <w:tcW w:w="1760" w:type="dxa"/>
            <w:tcBorders>
              <w:top w:val="nil"/>
              <w:left w:val="nil"/>
              <w:bottom w:val="nil"/>
              <w:right w:val="single" w:sz="4" w:space="0" w:color="auto"/>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p>
        </w:tc>
        <w:tc>
          <w:tcPr>
            <w:tcW w:w="1761" w:type="dxa"/>
            <w:tcBorders>
              <w:top w:val="single" w:sz="4" w:space="0" w:color="auto"/>
              <w:left w:val="single" w:sz="4" w:space="0" w:color="auto"/>
              <w:bottom w:val="single" w:sz="4" w:space="0" w:color="auto"/>
              <w:right w:val="single" w:sz="4" w:space="0" w:color="auto"/>
            </w:tcBorders>
            <w:noWrap/>
            <w:vAlign w:val="bottom"/>
          </w:tcPr>
          <w:p w:rsidR="005217AD" w:rsidRPr="005F09D9" w:rsidRDefault="005217AD" w:rsidP="00993F61">
            <w:pPr>
              <w:spacing w:line="240" w:lineRule="auto"/>
              <w:ind w:firstLine="0"/>
              <w:rPr>
                <w:rFonts w:ascii="Calibri" w:hAnsi="Calibri" w:cs="Calibri"/>
                <w:b/>
                <w:color w:val="000000"/>
                <w:kern w:val="0"/>
                <w:sz w:val="22"/>
                <w:lang w:eastAsia="nl-NL"/>
              </w:rPr>
            </w:pPr>
            <w:r>
              <w:rPr>
                <w:kern w:val="0"/>
                <w:lang w:eastAsia="nl-NL"/>
              </w:rPr>
              <w:t>τ</w:t>
            </w:r>
            <w:r w:rsidRPr="005F09D9">
              <w:rPr>
                <w:rFonts w:ascii="Calibri" w:hAnsi="Calibri" w:cs="Calibri"/>
                <w:b/>
                <w:color w:val="000000"/>
                <w:kern w:val="0"/>
                <w:sz w:val="22"/>
                <w:vertAlign w:val="subscript"/>
                <w:lang w:eastAsia="nl-NL"/>
              </w:rPr>
              <w:t xml:space="preserve"> 1</w:t>
            </w:r>
          </w:p>
        </w:tc>
        <w:tc>
          <w:tcPr>
            <w:tcW w:w="1761" w:type="dxa"/>
            <w:tcBorders>
              <w:top w:val="single" w:sz="4" w:space="0" w:color="auto"/>
              <w:left w:val="single" w:sz="4" w:space="0" w:color="auto"/>
              <w:bottom w:val="single" w:sz="4" w:space="0" w:color="auto"/>
              <w:right w:val="nil"/>
            </w:tcBorders>
            <w:noWrap/>
            <w:vAlign w:val="bottom"/>
          </w:tcPr>
          <w:p w:rsidR="005217AD" w:rsidRPr="005F09D9" w:rsidRDefault="005217AD" w:rsidP="00993F61">
            <w:pPr>
              <w:spacing w:line="240" w:lineRule="auto"/>
              <w:ind w:firstLine="0"/>
              <w:rPr>
                <w:rFonts w:ascii="Calibri" w:hAnsi="Calibri" w:cs="Calibri"/>
                <w:i/>
                <w:color w:val="000000"/>
                <w:kern w:val="0"/>
                <w:sz w:val="22"/>
                <w:lang w:eastAsia="nl-NL"/>
              </w:rPr>
            </w:pPr>
            <w:r w:rsidRPr="005F09D9">
              <w:rPr>
                <w:rFonts w:ascii="Calibri" w:hAnsi="Calibri" w:cs="Calibri"/>
                <w:i/>
                <w:color w:val="000000"/>
                <w:kern w:val="0"/>
                <w:sz w:val="22"/>
                <w:lang w:eastAsia="nl-NL"/>
              </w:rPr>
              <w:t>-2</w:t>
            </w:r>
          </w:p>
        </w:tc>
        <w:tc>
          <w:tcPr>
            <w:tcW w:w="1761" w:type="dxa"/>
            <w:tcBorders>
              <w:top w:val="single" w:sz="4" w:space="0" w:color="auto"/>
              <w:left w:val="nil"/>
              <w:bottom w:val="single" w:sz="4" w:space="0" w:color="auto"/>
              <w:right w:val="nil"/>
            </w:tcBorders>
            <w:noWrap/>
            <w:vAlign w:val="bottom"/>
          </w:tcPr>
          <w:p w:rsidR="005217AD" w:rsidRPr="005F09D9" w:rsidRDefault="005217AD" w:rsidP="00993F61">
            <w:pPr>
              <w:spacing w:line="240" w:lineRule="auto"/>
              <w:ind w:firstLine="0"/>
              <w:rPr>
                <w:rFonts w:ascii="Calibri" w:hAnsi="Calibri" w:cs="Calibri"/>
                <w:i/>
                <w:color w:val="000000"/>
                <w:kern w:val="0"/>
                <w:sz w:val="22"/>
                <w:lang w:eastAsia="nl-NL"/>
              </w:rPr>
            </w:pPr>
            <w:r w:rsidRPr="005F09D9">
              <w:rPr>
                <w:rFonts w:ascii="Calibri" w:hAnsi="Calibri" w:cs="Calibri"/>
                <w:i/>
                <w:color w:val="000000"/>
                <w:kern w:val="0"/>
                <w:sz w:val="22"/>
                <w:lang w:eastAsia="nl-NL"/>
              </w:rPr>
              <w:t>-1</w:t>
            </w:r>
          </w:p>
        </w:tc>
        <w:tc>
          <w:tcPr>
            <w:tcW w:w="1761" w:type="dxa"/>
            <w:tcBorders>
              <w:top w:val="single" w:sz="4" w:space="0" w:color="auto"/>
              <w:left w:val="nil"/>
              <w:bottom w:val="single" w:sz="4" w:space="0" w:color="auto"/>
              <w:right w:val="single" w:sz="4" w:space="0" w:color="auto"/>
            </w:tcBorders>
            <w:noWrap/>
            <w:vAlign w:val="bottom"/>
          </w:tcPr>
          <w:p w:rsidR="005217AD" w:rsidRPr="005F09D9" w:rsidRDefault="005217AD" w:rsidP="00993F61">
            <w:pPr>
              <w:spacing w:line="240" w:lineRule="auto"/>
              <w:ind w:firstLine="0"/>
              <w:rPr>
                <w:rFonts w:ascii="Calibri" w:hAnsi="Calibri" w:cs="Calibri"/>
                <w:i/>
                <w:color w:val="000000"/>
                <w:kern w:val="0"/>
                <w:sz w:val="22"/>
                <w:lang w:eastAsia="nl-NL"/>
              </w:rPr>
            </w:pPr>
            <w:r w:rsidRPr="005F09D9">
              <w:rPr>
                <w:rFonts w:ascii="Calibri" w:hAnsi="Calibri" w:cs="Calibri"/>
                <w:i/>
                <w:color w:val="000000"/>
                <w:kern w:val="0"/>
                <w:sz w:val="22"/>
                <w:lang w:eastAsia="nl-NL"/>
              </w:rPr>
              <w:t>0</w:t>
            </w:r>
          </w:p>
        </w:tc>
      </w:tr>
      <w:tr w:rsidR="005217AD" w:rsidRPr="005F09D9" w:rsidTr="005F09D9">
        <w:trPr>
          <w:trHeight w:val="300"/>
        </w:trPr>
        <w:tc>
          <w:tcPr>
            <w:tcW w:w="1760" w:type="dxa"/>
            <w:tcBorders>
              <w:top w:val="nil"/>
              <w:left w:val="nil"/>
              <w:bottom w:val="single" w:sz="4" w:space="0" w:color="auto"/>
              <w:right w:val="single" w:sz="4" w:space="0" w:color="auto"/>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p>
        </w:tc>
        <w:tc>
          <w:tcPr>
            <w:tcW w:w="1761" w:type="dxa"/>
            <w:tcBorders>
              <w:top w:val="single" w:sz="4" w:space="0" w:color="auto"/>
              <w:left w:val="single" w:sz="4" w:space="0" w:color="auto"/>
              <w:bottom w:val="single" w:sz="4" w:space="0" w:color="auto"/>
              <w:right w:val="single" w:sz="4" w:space="0" w:color="auto"/>
            </w:tcBorders>
            <w:noWrap/>
            <w:vAlign w:val="bottom"/>
          </w:tcPr>
          <w:p w:rsidR="005217AD" w:rsidRPr="005F09D9" w:rsidRDefault="005217AD" w:rsidP="00993F61">
            <w:pPr>
              <w:spacing w:line="240" w:lineRule="auto"/>
              <w:ind w:firstLine="0"/>
              <w:rPr>
                <w:rFonts w:ascii="Calibri" w:hAnsi="Calibri" w:cs="Calibri"/>
                <w:i/>
                <w:color w:val="000000"/>
                <w:kern w:val="0"/>
                <w:sz w:val="22"/>
                <w:lang w:eastAsia="nl-NL"/>
              </w:rPr>
            </w:pPr>
            <w:r w:rsidRPr="005F09D9">
              <w:rPr>
                <w:rFonts w:ascii="Calibri" w:hAnsi="Calibri" w:cs="Calibri"/>
                <w:i/>
                <w:color w:val="000000"/>
                <w:kern w:val="0"/>
                <w:sz w:val="22"/>
                <w:lang w:eastAsia="nl-NL"/>
              </w:rPr>
              <w:t>VAR(</w:t>
            </w:r>
            <w:r w:rsidRPr="00D754FA">
              <w:rPr>
                <w:rFonts w:ascii="Calibri" w:hAnsi="Calibri" w:cs="Calibri"/>
                <w:color w:val="000000"/>
                <w:kern w:val="0"/>
                <w:sz w:val="22"/>
                <w:lang w:eastAsia="nl-NL"/>
              </w:rPr>
              <w:fldChar w:fldCharType="begin"/>
            </w:r>
            <w:r w:rsidRPr="00D754FA">
              <w:rPr>
                <w:rFonts w:ascii="Calibri" w:hAnsi="Calibri" w:cs="Calibri"/>
                <w:color w:val="000000"/>
                <w:kern w:val="0"/>
                <w:sz w:val="22"/>
                <w:lang w:eastAsia="nl-NL"/>
              </w:rPr>
              <w:instrText xml:space="preserve"> QUOTE </w:instrText>
            </w:r>
            <w:r w:rsidRPr="00D754FA">
              <w:pict>
                <v:shape id="_x0000_i1035"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214B&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A5214B&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rFonts w:ascii="Calibri" w:hAnsi="Calibri" w:cs="Calibri"/>
                <w:color w:val="000000"/>
                <w:kern w:val="0"/>
                <w:sz w:val="22"/>
                <w:lang w:eastAsia="nl-NL"/>
              </w:rPr>
              <w:instrText xml:space="preserve"> </w:instrText>
            </w:r>
            <w:r w:rsidRPr="00D754FA">
              <w:rPr>
                <w:rFonts w:ascii="Calibri" w:hAnsi="Calibri" w:cs="Calibri"/>
                <w:color w:val="000000"/>
                <w:kern w:val="0"/>
                <w:sz w:val="22"/>
                <w:lang w:eastAsia="nl-NL"/>
              </w:rPr>
              <w:fldChar w:fldCharType="separate"/>
            </w:r>
            <w:r w:rsidRPr="00D754FA">
              <w:pict>
                <v:shape id="_x0000_i1036"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214B&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A5214B&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rFonts w:ascii="Calibri" w:hAnsi="Calibri" w:cs="Calibri"/>
                <w:color w:val="000000"/>
                <w:kern w:val="0"/>
                <w:sz w:val="22"/>
                <w:lang w:eastAsia="nl-NL"/>
              </w:rPr>
              <w:fldChar w:fldCharType="end"/>
            </w:r>
            <w:r w:rsidRPr="005F09D9">
              <w:rPr>
                <w:rFonts w:ascii="Calibri" w:hAnsi="Calibri" w:cs="Calibri"/>
                <w:i/>
                <w:color w:val="000000"/>
                <w:kern w:val="0"/>
                <w:sz w:val="22"/>
                <w:lang w:eastAsia="nl-NL"/>
              </w:rPr>
              <w:t>)</w:t>
            </w:r>
          </w:p>
        </w:tc>
        <w:tc>
          <w:tcPr>
            <w:tcW w:w="1761" w:type="dxa"/>
            <w:tcBorders>
              <w:top w:val="single" w:sz="4" w:space="0" w:color="auto"/>
              <w:left w:val="single" w:sz="4" w:space="0" w:color="auto"/>
              <w:bottom w:val="single" w:sz="4" w:space="0" w:color="auto"/>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8,39424E-07</w:t>
            </w:r>
          </w:p>
        </w:tc>
        <w:tc>
          <w:tcPr>
            <w:tcW w:w="1761" w:type="dxa"/>
            <w:tcBorders>
              <w:top w:val="single" w:sz="4" w:space="0" w:color="auto"/>
              <w:left w:val="nil"/>
              <w:bottom w:val="single" w:sz="4" w:space="0" w:color="auto"/>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5,6E-07</w:t>
            </w:r>
          </w:p>
        </w:tc>
        <w:tc>
          <w:tcPr>
            <w:tcW w:w="1761" w:type="dxa"/>
            <w:tcBorders>
              <w:top w:val="single" w:sz="4" w:space="0" w:color="auto"/>
              <w:left w:val="nil"/>
              <w:bottom w:val="single" w:sz="4" w:space="0" w:color="auto"/>
              <w:right w:val="single" w:sz="4" w:space="0" w:color="auto"/>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2,8E-07</w:t>
            </w:r>
          </w:p>
        </w:tc>
      </w:tr>
      <w:tr w:rsidR="005217AD" w:rsidRPr="005F09D9" w:rsidTr="005F09D9">
        <w:trPr>
          <w:trHeight w:val="300"/>
        </w:trPr>
        <w:tc>
          <w:tcPr>
            <w:tcW w:w="1760" w:type="dxa"/>
            <w:tcBorders>
              <w:top w:val="single" w:sz="4" w:space="0" w:color="auto"/>
              <w:left w:val="single" w:sz="4" w:space="0" w:color="auto"/>
              <w:bottom w:val="nil"/>
              <w:right w:val="single" w:sz="4" w:space="0" w:color="auto"/>
            </w:tcBorders>
            <w:noWrap/>
            <w:vAlign w:val="bottom"/>
          </w:tcPr>
          <w:p w:rsidR="005217AD" w:rsidRPr="005F09D9" w:rsidRDefault="005217AD" w:rsidP="00993F61">
            <w:pPr>
              <w:spacing w:line="240" w:lineRule="auto"/>
              <w:ind w:firstLine="0"/>
              <w:rPr>
                <w:rFonts w:ascii="Calibri" w:hAnsi="Calibri" w:cs="Calibri"/>
                <w:b/>
                <w:color w:val="000000"/>
                <w:kern w:val="0"/>
                <w:sz w:val="22"/>
                <w:lang w:eastAsia="nl-NL"/>
              </w:rPr>
            </w:pPr>
            <w:r w:rsidRPr="005F09D9">
              <w:rPr>
                <w:rFonts w:ascii="Calibri" w:hAnsi="Calibri" w:cs="Calibri"/>
                <w:b/>
                <w:color w:val="000000"/>
                <w:kern w:val="0"/>
                <w:sz w:val="22"/>
                <w:lang w:eastAsia="nl-NL"/>
              </w:rPr>
              <w:t>POSITIEF</w:t>
            </w:r>
          </w:p>
        </w:tc>
        <w:tc>
          <w:tcPr>
            <w:tcW w:w="1761" w:type="dxa"/>
            <w:tcBorders>
              <w:top w:val="single" w:sz="4" w:space="0" w:color="auto"/>
              <w:left w:val="single" w:sz="4" w:space="0" w:color="auto"/>
              <w:bottom w:val="nil"/>
              <w:right w:val="single" w:sz="4" w:space="0" w:color="auto"/>
            </w:tcBorders>
            <w:noWrap/>
            <w:vAlign w:val="bottom"/>
          </w:tcPr>
          <w:p w:rsidR="005217AD" w:rsidRPr="005F09D9" w:rsidRDefault="005217AD" w:rsidP="00993F61">
            <w:pPr>
              <w:spacing w:line="240" w:lineRule="auto"/>
              <w:ind w:firstLine="0"/>
              <w:rPr>
                <w:rFonts w:ascii="Calibri" w:hAnsi="Calibri" w:cs="Calibri"/>
                <w:i/>
                <w:color w:val="000000"/>
                <w:kern w:val="0"/>
                <w:sz w:val="22"/>
                <w:lang w:eastAsia="nl-NL"/>
              </w:rPr>
            </w:pPr>
            <w:r w:rsidRPr="00D754FA">
              <w:pict>
                <v:shape id="_x0000_i1037"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908&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F31908&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p>
        </w:tc>
        <w:tc>
          <w:tcPr>
            <w:tcW w:w="1761" w:type="dxa"/>
            <w:tcBorders>
              <w:top w:val="single" w:sz="4" w:space="0" w:color="auto"/>
              <w:left w:val="single" w:sz="4" w:space="0" w:color="auto"/>
              <w:bottom w:val="nil"/>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0,007866916</w:t>
            </w:r>
          </w:p>
        </w:tc>
        <w:tc>
          <w:tcPr>
            <w:tcW w:w="1761" w:type="dxa"/>
            <w:tcBorders>
              <w:top w:val="single" w:sz="4" w:space="0" w:color="auto"/>
              <w:left w:val="nil"/>
              <w:bottom w:val="nil"/>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0,003956</w:t>
            </w:r>
          </w:p>
        </w:tc>
        <w:tc>
          <w:tcPr>
            <w:tcW w:w="1761" w:type="dxa"/>
            <w:tcBorders>
              <w:top w:val="single" w:sz="4" w:space="0" w:color="auto"/>
              <w:left w:val="nil"/>
              <w:bottom w:val="nil"/>
              <w:right w:val="single" w:sz="4" w:space="0" w:color="auto"/>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0,0034</w:t>
            </w:r>
          </w:p>
        </w:tc>
      </w:tr>
      <w:tr w:rsidR="005217AD" w:rsidRPr="005F09D9" w:rsidTr="005F09D9">
        <w:trPr>
          <w:trHeight w:val="300"/>
        </w:trPr>
        <w:tc>
          <w:tcPr>
            <w:tcW w:w="1760" w:type="dxa"/>
            <w:tcBorders>
              <w:top w:val="nil"/>
              <w:left w:val="single" w:sz="4" w:space="0" w:color="auto"/>
              <w:bottom w:val="single" w:sz="4" w:space="0" w:color="auto"/>
              <w:right w:val="single" w:sz="4" w:space="0" w:color="auto"/>
            </w:tcBorders>
            <w:noWrap/>
            <w:vAlign w:val="bottom"/>
          </w:tcPr>
          <w:p w:rsidR="005217AD" w:rsidRPr="005F09D9" w:rsidRDefault="005217AD" w:rsidP="00993F61">
            <w:pPr>
              <w:spacing w:line="240" w:lineRule="auto"/>
              <w:ind w:firstLine="0"/>
              <w:rPr>
                <w:rFonts w:ascii="Calibri" w:hAnsi="Calibri" w:cs="Calibri"/>
                <w:b/>
                <w:color w:val="000000"/>
                <w:kern w:val="0"/>
                <w:sz w:val="22"/>
                <w:lang w:eastAsia="nl-NL"/>
              </w:rPr>
            </w:pPr>
          </w:p>
        </w:tc>
        <w:tc>
          <w:tcPr>
            <w:tcW w:w="1761" w:type="dxa"/>
            <w:tcBorders>
              <w:top w:val="nil"/>
              <w:left w:val="single" w:sz="4" w:space="0" w:color="auto"/>
              <w:bottom w:val="single" w:sz="4" w:space="0" w:color="auto"/>
              <w:right w:val="single" w:sz="4" w:space="0" w:color="auto"/>
            </w:tcBorders>
            <w:noWrap/>
            <w:vAlign w:val="bottom"/>
          </w:tcPr>
          <w:p w:rsidR="005217AD" w:rsidRPr="005F09D9" w:rsidRDefault="005217AD" w:rsidP="00993F61">
            <w:pPr>
              <w:spacing w:line="240" w:lineRule="auto"/>
              <w:ind w:firstLine="0"/>
              <w:rPr>
                <w:rFonts w:ascii="Calibri" w:hAnsi="Calibri" w:cs="Calibri"/>
                <w:i/>
                <w:color w:val="000000"/>
                <w:kern w:val="0"/>
                <w:sz w:val="22"/>
                <w:lang w:eastAsia="nl-NL"/>
              </w:rPr>
            </w:pPr>
            <w:r>
              <w:rPr>
                <w:rFonts w:ascii="Calibri" w:hAnsi="Calibri" w:cs="Calibri"/>
                <w:i/>
                <w:color w:val="000000"/>
                <w:kern w:val="0"/>
                <w:sz w:val="22"/>
                <w:lang w:eastAsia="nl-NL"/>
              </w:rPr>
              <w:t>T</w:t>
            </w:r>
            <w:r w:rsidRPr="005F09D9">
              <w:rPr>
                <w:rFonts w:ascii="Calibri" w:hAnsi="Calibri" w:cs="Calibri"/>
                <w:i/>
                <w:color w:val="000000"/>
                <w:kern w:val="0"/>
                <w:sz w:val="22"/>
                <w:lang w:eastAsia="nl-NL"/>
              </w:rPr>
              <w:t>-waarde</w:t>
            </w:r>
          </w:p>
        </w:tc>
        <w:tc>
          <w:tcPr>
            <w:tcW w:w="1761" w:type="dxa"/>
            <w:tcBorders>
              <w:top w:val="nil"/>
              <w:left w:val="single" w:sz="4" w:space="0" w:color="auto"/>
              <w:bottom w:val="single" w:sz="4" w:space="0" w:color="auto"/>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8,586453105</w:t>
            </w:r>
          </w:p>
        </w:tc>
        <w:tc>
          <w:tcPr>
            <w:tcW w:w="1761" w:type="dxa"/>
            <w:tcBorders>
              <w:top w:val="nil"/>
              <w:left w:val="nil"/>
              <w:bottom w:val="single" w:sz="4" w:space="0" w:color="auto"/>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5,288471</w:t>
            </w:r>
          </w:p>
        </w:tc>
        <w:tc>
          <w:tcPr>
            <w:tcW w:w="1761" w:type="dxa"/>
            <w:tcBorders>
              <w:top w:val="nil"/>
              <w:left w:val="nil"/>
              <w:bottom w:val="single" w:sz="4" w:space="0" w:color="auto"/>
              <w:right w:val="single" w:sz="4" w:space="0" w:color="auto"/>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6,427682</w:t>
            </w:r>
          </w:p>
        </w:tc>
      </w:tr>
      <w:tr w:rsidR="005217AD" w:rsidRPr="005F09D9" w:rsidTr="005F09D9">
        <w:trPr>
          <w:trHeight w:val="300"/>
        </w:trPr>
        <w:tc>
          <w:tcPr>
            <w:tcW w:w="1760" w:type="dxa"/>
            <w:tcBorders>
              <w:top w:val="single" w:sz="4" w:space="0" w:color="auto"/>
              <w:left w:val="single" w:sz="4" w:space="0" w:color="auto"/>
              <w:bottom w:val="nil"/>
              <w:right w:val="single" w:sz="4" w:space="0" w:color="auto"/>
            </w:tcBorders>
            <w:noWrap/>
            <w:vAlign w:val="bottom"/>
          </w:tcPr>
          <w:p w:rsidR="005217AD" w:rsidRPr="005F09D9" w:rsidRDefault="005217AD" w:rsidP="00993F61">
            <w:pPr>
              <w:spacing w:line="240" w:lineRule="auto"/>
              <w:ind w:firstLine="0"/>
              <w:rPr>
                <w:rFonts w:ascii="Calibri" w:hAnsi="Calibri" w:cs="Calibri"/>
                <w:b/>
                <w:color w:val="000000"/>
                <w:kern w:val="0"/>
                <w:sz w:val="22"/>
                <w:lang w:eastAsia="nl-NL"/>
              </w:rPr>
            </w:pPr>
            <w:r w:rsidRPr="005F09D9">
              <w:rPr>
                <w:rFonts w:ascii="Calibri" w:hAnsi="Calibri" w:cs="Calibri"/>
                <w:b/>
                <w:color w:val="000000"/>
                <w:kern w:val="0"/>
                <w:sz w:val="22"/>
                <w:lang w:eastAsia="nl-NL"/>
              </w:rPr>
              <w:t>GEEN</w:t>
            </w:r>
          </w:p>
        </w:tc>
        <w:tc>
          <w:tcPr>
            <w:tcW w:w="1761" w:type="dxa"/>
            <w:tcBorders>
              <w:top w:val="single" w:sz="4" w:space="0" w:color="auto"/>
              <w:left w:val="single" w:sz="4" w:space="0" w:color="auto"/>
              <w:bottom w:val="nil"/>
              <w:right w:val="single" w:sz="4" w:space="0" w:color="auto"/>
            </w:tcBorders>
            <w:noWrap/>
            <w:vAlign w:val="bottom"/>
          </w:tcPr>
          <w:p w:rsidR="005217AD" w:rsidRPr="005F09D9" w:rsidRDefault="005217AD" w:rsidP="00993F61">
            <w:pPr>
              <w:spacing w:line="240" w:lineRule="auto"/>
              <w:ind w:firstLine="0"/>
              <w:rPr>
                <w:rFonts w:ascii="Calibri" w:hAnsi="Calibri" w:cs="Calibri"/>
                <w:i/>
                <w:color w:val="000000"/>
                <w:kern w:val="0"/>
                <w:sz w:val="22"/>
                <w:lang w:eastAsia="nl-NL"/>
              </w:rPr>
            </w:pPr>
            <w:r w:rsidRPr="00D754FA">
              <w:pict>
                <v:shape id="_x0000_i1038"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E0D18&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BE0D18&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p>
        </w:tc>
        <w:tc>
          <w:tcPr>
            <w:tcW w:w="1761" w:type="dxa"/>
            <w:tcBorders>
              <w:top w:val="single" w:sz="4" w:space="0" w:color="auto"/>
              <w:left w:val="single" w:sz="4" w:space="0" w:color="auto"/>
              <w:bottom w:val="nil"/>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0,006300644</w:t>
            </w:r>
          </w:p>
        </w:tc>
        <w:tc>
          <w:tcPr>
            <w:tcW w:w="1761" w:type="dxa"/>
            <w:tcBorders>
              <w:top w:val="single" w:sz="4" w:space="0" w:color="auto"/>
              <w:left w:val="nil"/>
              <w:bottom w:val="nil"/>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0,004478</w:t>
            </w:r>
          </w:p>
        </w:tc>
        <w:tc>
          <w:tcPr>
            <w:tcW w:w="1761" w:type="dxa"/>
            <w:tcBorders>
              <w:top w:val="single" w:sz="4" w:space="0" w:color="auto"/>
              <w:left w:val="nil"/>
              <w:bottom w:val="nil"/>
              <w:right w:val="single" w:sz="4" w:space="0" w:color="auto"/>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0,002569</w:t>
            </w:r>
          </w:p>
        </w:tc>
      </w:tr>
      <w:tr w:rsidR="005217AD" w:rsidRPr="005F09D9" w:rsidTr="005F09D9">
        <w:trPr>
          <w:trHeight w:val="300"/>
        </w:trPr>
        <w:tc>
          <w:tcPr>
            <w:tcW w:w="1760" w:type="dxa"/>
            <w:tcBorders>
              <w:top w:val="nil"/>
              <w:left w:val="single" w:sz="4" w:space="0" w:color="auto"/>
              <w:bottom w:val="single" w:sz="4" w:space="0" w:color="auto"/>
              <w:right w:val="single" w:sz="4" w:space="0" w:color="auto"/>
            </w:tcBorders>
            <w:noWrap/>
            <w:vAlign w:val="bottom"/>
          </w:tcPr>
          <w:p w:rsidR="005217AD" w:rsidRPr="005F09D9" w:rsidRDefault="005217AD" w:rsidP="00993F61">
            <w:pPr>
              <w:spacing w:line="240" w:lineRule="auto"/>
              <w:ind w:firstLine="0"/>
              <w:rPr>
                <w:rFonts w:ascii="Calibri" w:hAnsi="Calibri" w:cs="Calibri"/>
                <w:b/>
                <w:color w:val="000000"/>
                <w:kern w:val="0"/>
                <w:sz w:val="22"/>
                <w:lang w:eastAsia="nl-NL"/>
              </w:rPr>
            </w:pPr>
          </w:p>
        </w:tc>
        <w:tc>
          <w:tcPr>
            <w:tcW w:w="1761" w:type="dxa"/>
            <w:tcBorders>
              <w:top w:val="nil"/>
              <w:left w:val="single" w:sz="4" w:space="0" w:color="auto"/>
              <w:bottom w:val="single" w:sz="4" w:space="0" w:color="auto"/>
              <w:right w:val="single" w:sz="4" w:space="0" w:color="auto"/>
            </w:tcBorders>
            <w:noWrap/>
            <w:vAlign w:val="bottom"/>
          </w:tcPr>
          <w:p w:rsidR="005217AD" w:rsidRPr="005F09D9" w:rsidRDefault="005217AD" w:rsidP="00993F61">
            <w:pPr>
              <w:spacing w:line="240" w:lineRule="auto"/>
              <w:ind w:firstLine="0"/>
              <w:rPr>
                <w:rFonts w:ascii="Calibri" w:hAnsi="Calibri" w:cs="Calibri"/>
                <w:i/>
                <w:color w:val="000000"/>
                <w:kern w:val="0"/>
                <w:sz w:val="22"/>
                <w:lang w:eastAsia="nl-NL"/>
              </w:rPr>
            </w:pPr>
            <w:r>
              <w:rPr>
                <w:rFonts w:ascii="Calibri" w:hAnsi="Calibri" w:cs="Calibri"/>
                <w:i/>
                <w:color w:val="000000"/>
                <w:kern w:val="0"/>
                <w:sz w:val="22"/>
                <w:lang w:eastAsia="nl-NL"/>
              </w:rPr>
              <w:t>T</w:t>
            </w:r>
            <w:r w:rsidRPr="005F09D9">
              <w:rPr>
                <w:rFonts w:ascii="Calibri" w:hAnsi="Calibri" w:cs="Calibri"/>
                <w:i/>
                <w:color w:val="000000"/>
                <w:kern w:val="0"/>
                <w:sz w:val="22"/>
                <w:lang w:eastAsia="nl-NL"/>
              </w:rPr>
              <w:t>-waarde</w:t>
            </w:r>
          </w:p>
        </w:tc>
        <w:tc>
          <w:tcPr>
            <w:tcW w:w="1761" w:type="dxa"/>
            <w:tcBorders>
              <w:top w:val="nil"/>
              <w:left w:val="single" w:sz="4" w:space="0" w:color="auto"/>
              <w:bottom w:val="single" w:sz="4" w:space="0" w:color="auto"/>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6,876923809</w:t>
            </w:r>
          </w:p>
        </w:tc>
        <w:tc>
          <w:tcPr>
            <w:tcW w:w="1761" w:type="dxa"/>
            <w:tcBorders>
              <w:top w:val="nil"/>
              <w:left w:val="nil"/>
              <w:bottom w:val="single" w:sz="4" w:space="0" w:color="auto"/>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5,986346</w:t>
            </w:r>
          </w:p>
        </w:tc>
        <w:tc>
          <w:tcPr>
            <w:tcW w:w="1761" w:type="dxa"/>
            <w:tcBorders>
              <w:top w:val="nil"/>
              <w:left w:val="nil"/>
              <w:bottom w:val="single" w:sz="4" w:space="0" w:color="auto"/>
              <w:right w:val="single" w:sz="4" w:space="0" w:color="auto"/>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4,857326</w:t>
            </w:r>
          </w:p>
        </w:tc>
      </w:tr>
      <w:tr w:rsidR="005217AD" w:rsidRPr="005F09D9" w:rsidTr="005F09D9">
        <w:trPr>
          <w:trHeight w:val="300"/>
        </w:trPr>
        <w:tc>
          <w:tcPr>
            <w:tcW w:w="1760" w:type="dxa"/>
            <w:tcBorders>
              <w:top w:val="single" w:sz="4" w:space="0" w:color="auto"/>
              <w:left w:val="single" w:sz="4" w:space="0" w:color="auto"/>
              <w:bottom w:val="nil"/>
              <w:right w:val="single" w:sz="4" w:space="0" w:color="auto"/>
            </w:tcBorders>
            <w:noWrap/>
            <w:vAlign w:val="bottom"/>
          </w:tcPr>
          <w:p w:rsidR="005217AD" w:rsidRPr="005F09D9" w:rsidRDefault="005217AD" w:rsidP="00993F61">
            <w:pPr>
              <w:spacing w:line="240" w:lineRule="auto"/>
              <w:ind w:firstLine="0"/>
              <w:rPr>
                <w:rFonts w:ascii="Calibri" w:hAnsi="Calibri" w:cs="Calibri"/>
                <w:b/>
                <w:color w:val="000000"/>
                <w:kern w:val="0"/>
                <w:sz w:val="22"/>
                <w:lang w:eastAsia="nl-NL"/>
              </w:rPr>
            </w:pPr>
            <w:r w:rsidRPr="005F09D9">
              <w:rPr>
                <w:rFonts w:ascii="Calibri" w:hAnsi="Calibri" w:cs="Calibri"/>
                <w:b/>
                <w:color w:val="000000"/>
                <w:kern w:val="0"/>
                <w:sz w:val="22"/>
                <w:lang w:eastAsia="nl-NL"/>
              </w:rPr>
              <w:t>NEGATIEF</w:t>
            </w:r>
          </w:p>
        </w:tc>
        <w:tc>
          <w:tcPr>
            <w:tcW w:w="1761" w:type="dxa"/>
            <w:tcBorders>
              <w:top w:val="single" w:sz="4" w:space="0" w:color="auto"/>
              <w:left w:val="single" w:sz="4" w:space="0" w:color="auto"/>
              <w:bottom w:val="nil"/>
              <w:right w:val="single" w:sz="4" w:space="0" w:color="auto"/>
            </w:tcBorders>
            <w:noWrap/>
            <w:vAlign w:val="bottom"/>
          </w:tcPr>
          <w:p w:rsidR="005217AD" w:rsidRPr="005F09D9" w:rsidRDefault="005217AD" w:rsidP="00993F61">
            <w:pPr>
              <w:spacing w:line="240" w:lineRule="auto"/>
              <w:ind w:firstLine="0"/>
              <w:rPr>
                <w:rFonts w:ascii="Calibri" w:hAnsi="Calibri" w:cs="Calibri"/>
                <w:i/>
                <w:color w:val="000000"/>
                <w:kern w:val="0"/>
                <w:sz w:val="22"/>
                <w:lang w:eastAsia="nl-NL"/>
              </w:rPr>
            </w:pPr>
            <w:r w:rsidRPr="00D754FA">
              <w:pict>
                <v:shape id="_x0000_i1039"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240E&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5E240E&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p>
        </w:tc>
        <w:tc>
          <w:tcPr>
            <w:tcW w:w="1761" w:type="dxa"/>
            <w:tcBorders>
              <w:top w:val="single" w:sz="4" w:space="0" w:color="auto"/>
              <w:left w:val="single" w:sz="4" w:space="0" w:color="auto"/>
              <w:bottom w:val="nil"/>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-0,00243739</w:t>
            </w:r>
          </w:p>
        </w:tc>
        <w:tc>
          <w:tcPr>
            <w:tcW w:w="1761" w:type="dxa"/>
            <w:tcBorders>
              <w:top w:val="single" w:sz="4" w:space="0" w:color="auto"/>
              <w:left w:val="nil"/>
              <w:bottom w:val="nil"/>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-0,00265</w:t>
            </w:r>
          </w:p>
        </w:tc>
        <w:tc>
          <w:tcPr>
            <w:tcW w:w="1761" w:type="dxa"/>
            <w:tcBorders>
              <w:top w:val="single" w:sz="4" w:space="0" w:color="auto"/>
              <w:left w:val="nil"/>
              <w:bottom w:val="nil"/>
              <w:right w:val="single" w:sz="4" w:space="0" w:color="auto"/>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-0,00729</w:t>
            </w:r>
          </w:p>
        </w:tc>
      </w:tr>
      <w:tr w:rsidR="005217AD" w:rsidRPr="005F09D9" w:rsidTr="005F09D9">
        <w:trPr>
          <w:trHeight w:val="300"/>
        </w:trPr>
        <w:tc>
          <w:tcPr>
            <w:tcW w:w="1760" w:type="dxa"/>
            <w:tcBorders>
              <w:top w:val="nil"/>
              <w:left w:val="single" w:sz="4" w:space="0" w:color="auto"/>
              <w:bottom w:val="single" w:sz="4" w:space="0" w:color="auto"/>
              <w:right w:val="single" w:sz="4" w:space="0" w:color="auto"/>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p>
        </w:tc>
        <w:tc>
          <w:tcPr>
            <w:tcW w:w="1761" w:type="dxa"/>
            <w:tcBorders>
              <w:top w:val="nil"/>
              <w:left w:val="single" w:sz="4" w:space="0" w:color="auto"/>
              <w:bottom w:val="single" w:sz="4" w:space="0" w:color="auto"/>
              <w:right w:val="single" w:sz="4" w:space="0" w:color="auto"/>
            </w:tcBorders>
            <w:noWrap/>
            <w:vAlign w:val="bottom"/>
          </w:tcPr>
          <w:p w:rsidR="005217AD" w:rsidRPr="005F09D9" w:rsidRDefault="005217AD" w:rsidP="00993F61">
            <w:pPr>
              <w:spacing w:line="240" w:lineRule="auto"/>
              <w:ind w:firstLine="0"/>
              <w:rPr>
                <w:rFonts w:ascii="Calibri" w:hAnsi="Calibri" w:cs="Calibri"/>
                <w:i/>
                <w:color w:val="000000"/>
                <w:kern w:val="0"/>
                <w:sz w:val="22"/>
                <w:lang w:eastAsia="nl-NL"/>
              </w:rPr>
            </w:pPr>
            <w:r>
              <w:rPr>
                <w:rFonts w:ascii="Calibri" w:hAnsi="Calibri" w:cs="Calibri"/>
                <w:i/>
                <w:color w:val="000000"/>
                <w:kern w:val="0"/>
                <w:sz w:val="22"/>
                <w:lang w:eastAsia="nl-NL"/>
              </w:rPr>
              <w:t>T</w:t>
            </w:r>
            <w:r w:rsidRPr="005F09D9">
              <w:rPr>
                <w:rFonts w:ascii="Calibri" w:hAnsi="Calibri" w:cs="Calibri"/>
                <w:i/>
                <w:color w:val="000000"/>
                <w:kern w:val="0"/>
                <w:sz w:val="22"/>
                <w:lang w:eastAsia="nl-NL"/>
              </w:rPr>
              <w:t>-waarde</w:t>
            </w:r>
          </w:p>
        </w:tc>
        <w:tc>
          <w:tcPr>
            <w:tcW w:w="1761" w:type="dxa"/>
            <w:tcBorders>
              <w:top w:val="nil"/>
              <w:left w:val="single" w:sz="4" w:space="0" w:color="auto"/>
              <w:bottom w:val="single" w:sz="4" w:space="0" w:color="auto"/>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-2,66031989</w:t>
            </w:r>
          </w:p>
        </w:tc>
        <w:tc>
          <w:tcPr>
            <w:tcW w:w="1761" w:type="dxa"/>
            <w:tcBorders>
              <w:top w:val="nil"/>
              <w:left w:val="nil"/>
              <w:bottom w:val="single" w:sz="4" w:space="0" w:color="auto"/>
              <w:right w:val="nil"/>
            </w:tcBorders>
            <w:noWrap/>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-3,54688</w:t>
            </w:r>
          </w:p>
        </w:tc>
        <w:tc>
          <w:tcPr>
            <w:tcW w:w="1761" w:type="dxa"/>
            <w:tcBorders>
              <w:top w:val="nil"/>
              <w:left w:val="nil"/>
              <w:bottom w:val="single" w:sz="4" w:space="0" w:color="auto"/>
              <w:right w:val="single" w:sz="4" w:space="0" w:color="auto"/>
            </w:tcBorders>
            <w:noWrap/>
            <w:vAlign w:val="bottom"/>
          </w:tcPr>
          <w:p w:rsidR="005217AD" w:rsidRPr="005F09D9" w:rsidRDefault="005217AD" w:rsidP="00993F61">
            <w:pPr>
              <w:keepNext/>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-13,782</w:t>
            </w:r>
          </w:p>
        </w:tc>
      </w:tr>
    </w:tbl>
    <w:p w:rsidR="005217AD" w:rsidRDefault="005217AD" w:rsidP="00993F61">
      <w:pPr>
        <w:pStyle w:val="Caption"/>
        <w:pBdr>
          <w:top w:val="single" w:sz="4" w:space="1" w:color="auto"/>
          <w:bottom w:val="single" w:sz="4" w:space="1" w:color="auto"/>
        </w:pBdr>
        <w:rPr>
          <w:rFonts w:ascii="Calibri" w:hAnsi="Calibri" w:cs="Calibri"/>
          <w:color w:val="000000"/>
          <w:kern w:val="0"/>
          <w:sz w:val="22"/>
          <w:szCs w:val="22"/>
          <w:lang w:eastAsia="nl-NL"/>
        </w:rPr>
      </w:pPr>
      <w:bookmarkStart w:id="63" w:name="_Ref264397175"/>
      <w:r>
        <w:t xml:space="preserve">Tabel </w:t>
      </w:r>
      <w:fldSimple w:instr=" SEQ Tabel \* ARABIC ">
        <w:r>
          <w:rPr>
            <w:noProof/>
          </w:rPr>
          <w:t>3</w:t>
        </w:r>
      </w:fldSimple>
      <w:bookmarkEnd w:id="63"/>
      <w:r>
        <w:t>. De</w:t>
      </w:r>
      <w:r w:rsidRPr="00837C04">
        <w:rPr>
          <w:szCs w:val="20"/>
        </w:rPr>
        <w:t xml:space="preserve"> </w:t>
      </w:r>
      <w:r>
        <w:rPr>
          <w:szCs w:val="20"/>
        </w:rPr>
        <w:t>T</w:t>
      </w:r>
      <w:r w:rsidRPr="00837C04">
        <w:rPr>
          <w:szCs w:val="20"/>
        </w:rPr>
        <w:t>-waarden van de gemiddeld cumulatieve abnormale rendementen per categorie. De relatieve startperiode (</w:t>
      </w:r>
      <w:r w:rsidRPr="00837C04">
        <w:rPr>
          <w:kern w:val="0"/>
          <w:szCs w:val="20"/>
          <w:lang w:eastAsia="nl-NL"/>
        </w:rPr>
        <w:t>τ</w:t>
      </w:r>
      <w:r w:rsidRPr="00837C04">
        <w:rPr>
          <w:color w:val="000000"/>
          <w:kern w:val="0"/>
          <w:szCs w:val="20"/>
          <w:vertAlign w:val="subscript"/>
          <w:lang w:eastAsia="nl-NL"/>
        </w:rPr>
        <w:t xml:space="preserve"> </w:t>
      </w:r>
      <w:r w:rsidRPr="005F09D9">
        <w:rPr>
          <w:color w:val="000000"/>
          <w:kern w:val="0"/>
          <w:szCs w:val="20"/>
          <w:vertAlign w:val="subscript"/>
          <w:lang w:eastAsia="nl-NL"/>
        </w:rPr>
        <w:t>1</w:t>
      </w:r>
      <w:r w:rsidRPr="00837C04">
        <w:rPr>
          <w:color w:val="000000"/>
          <w:kern w:val="0"/>
          <w:szCs w:val="20"/>
          <w:lang w:eastAsia="nl-NL"/>
        </w:rPr>
        <w:t xml:space="preserve">) verschilt per kolom, maar de eindperiode vast staat op </w:t>
      </w:r>
      <w:r w:rsidRPr="00837C04">
        <w:rPr>
          <w:kern w:val="0"/>
          <w:szCs w:val="20"/>
          <w:lang w:eastAsia="nl-NL"/>
        </w:rPr>
        <w:t>τ</w:t>
      </w:r>
      <w:r w:rsidRPr="00837C04">
        <w:rPr>
          <w:color w:val="000000"/>
          <w:kern w:val="0"/>
          <w:szCs w:val="20"/>
          <w:vertAlign w:val="subscript"/>
          <w:lang w:eastAsia="nl-NL"/>
        </w:rPr>
        <w:t xml:space="preserve"> 2</w:t>
      </w:r>
      <w:r w:rsidRPr="00837C04">
        <w:rPr>
          <w:color w:val="000000"/>
          <w:kern w:val="0"/>
          <w:szCs w:val="20"/>
          <w:lang w:eastAsia="nl-NL"/>
        </w:rPr>
        <w:t>=0.</w:t>
      </w:r>
      <w:r>
        <w:rPr>
          <w:rFonts w:ascii="Calibri" w:hAnsi="Calibri" w:cs="Calibri"/>
          <w:color w:val="000000"/>
          <w:kern w:val="0"/>
          <w:sz w:val="22"/>
          <w:szCs w:val="22"/>
          <w:lang w:eastAsia="nl-NL"/>
        </w:rPr>
        <w:t xml:space="preserve"> </w:t>
      </w:r>
    </w:p>
    <w:p w:rsidR="005217AD" w:rsidRDefault="005217AD" w:rsidP="00993F61">
      <w:pPr>
        <w:rPr>
          <w:lang w:eastAsia="nl-NL"/>
        </w:rPr>
      </w:pPr>
    </w:p>
    <w:p w:rsidR="005217AD" w:rsidRDefault="005217AD">
      <w:pPr>
        <w:spacing w:line="240" w:lineRule="auto"/>
        <w:ind w:firstLine="0"/>
        <w:rPr>
          <w:b/>
          <w:kern w:val="0"/>
          <w:szCs w:val="24"/>
          <w:lang w:eastAsia="nl-NL"/>
        </w:rPr>
      </w:pPr>
      <w:r>
        <w:br w:type="page"/>
      </w:r>
    </w:p>
    <w:p w:rsidR="005217AD" w:rsidRDefault="005217AD" w:rsidP="00993F61">
      <w:pPr>
        <w:pStyle w:val="Heading2"/>
        <w:numPr>
          <w:ilvl w:val="1"/>
          <w:numId w:val="5"/>
        </w:numPr>
      </w:pPr>
      <w:bookmarkStart w:id="64" w:name="_Toc267486048"/>
      <w:r>
        <w:t>Investering door marktimperfectie</w:t>
      </w:r>
      <w:bookmarkEnd w:id="64"/>
      <w:r>
        <w:t xml:space="preserve"> </w:t>
      </w:r>
    </w:p>
    <w:p w:rsidR="005217AD" w:rsidRDefault="005217AD" w:rsidP="00993F61">
      <w:pPr>
        <w:rPr>
          <w:lang w:eastAsia="nl-NL"/>
        </w:rPr>
      </w:pPr>
      <w:r>
        <w:rPr>
          <w:lang w:eastAsia="nl-NL"/>
        </w:rPr>
        <w:t xml:space="preserve">Deze laatste paragraaf van dit hoofdstuk kan worden gezien als een extensie welke teruggrijpt op hoofdstuk </w:t>
      </w:r>
      <w:fldSimple w:instr=" REF _Ref261343389 \r \h  \* MERGEFORMAT ">
        <w:r>
          <w:rPr>
            <w:lang w:eastAsia="nl-NL"/>
          </w:rPr>
          <w:t>2.4</w:t>
        </w:r>
      </w:fldSimple>
      <w:r>
        <w:rPr>
          <w:lang w:eastAsia="nl-NL"/>
        </w:rPr>
        <w:t>. Mogelijkheid bestaat namelijk, dat dividendbeleid zijn eigen type aandeelhouder aantrekt door marktimperfecties. Als aan belastingen gedacht wordt, dan zullen degenen die het relatief het minst belast worden op dividend dit ook relatief positiever waarderen. Een andere verklaring betreffende deze classificatie komt voort uit de relativiteit. Gezien de normaliter lagere  uitkering zal procentueel een afwijking in dividend veel groter zijn. Met als gevolg een groter signalerend effect en een hogere waardering door de markt.</w:t>
      </w:r>
    </w:p>
    <w:p w:rsidR="005217AD" w:rsidRDefault="005217AD" w:rsidP="00993F61">
      <w:pPr>
        <w:rPr>
          <w:lang w:eastAsia="nl-NL"/>
        </w:rPr>
      </w:pPr>
      <w:r>
        <w:rPr>
          <w:lang w:eastAsia="nl-NL"/>
        </w:rPr>
        <w:t>Hiernaast is deze onderclassificatie te verantwoorden in ogenschouw van de uitkomsten van</w:t>
      </w:r>
      <w:r>
        <w:rPr>
          <w:noProof/>
          <w:lang w:eastAsia="nl-NL"/>
        </w:rPr>
        <w:t xml:space="preserve"> Asquith en Mullins</w:t>
      </w:r>
      <w:r>
        <w:rPr>
          <w:lang w:eastAsia="nl-NL"/>
        </w:rPr>
        <w:t xml:space="preserve"> </w:t>
      </w:r>
      <w:r>
        <w:rPr>
          <w:noProof/>
          <w:lang w:eastAsia="nl-NL"/>
        </w:rPr>
        <w:t>(1983)</w:t>
      </w:r>
      <w:r>
        <w:rPr>
          <w:lang w:eastAsia="nl-NL"/>
        </w:rPr>
        <w:t xml:space="preserve">. Hun onderzoek wees op een onderscheidt in marktreacties tussen ondernemingen met hoge en lage dividendverwachtingen. </w:t>
      </w:r>
    </w:p>
    <w:p w:rsidR="005217AD" w:rsidRDefault="005217AD" w:rsidP="00993F61">
      <w:pPr>
        <w:rPr>
          <w:lang w:eastAsia="nl-NL"/>
        </w:rPr>
      </w:pPr>
      <w:r>
        <w:rPr>
          <w:lang w:eastAsia="nl-NL"/>
        </w:rPr>
        <w:t>Voor de splitsing van relatief grote en kleine dividenduitkerende onderneming is een grenswaarde van één euro gekozen. Deze grenswaarde geldt voor de verwachtingen van de markt</w:t>
      </w:r>
      <w:r>
        <w:rPr>
          <w:rStyle w:val="FootnoteReference"/>
          <w:lang w:eastAsia="nl-NL"/>
        </w:rPr>
        <w:footnoteReference w:id="31"/>
      </w:r>
      <w:r>
        <w:rPr>
          <w:lang w:eastAsia="nl-NL"/>
        </w:rPr>
        <w:t xml:space="preserve">. In overeenstemming met paragraaf </w:t>
      </w:r>
      <w:fldSimple w:instr=" REF _Ref264451724 \n \h  \* MERGEFORMAT ">
        <w:r>
          <w:rPr>
            <w:lang w:eastAsia="nl-NL"/>
          </w:rPr>
          <w:t>0</w:t>
        </w:r>
      </w:fldSimple>
      <w:r>
        <w:rPr>
          <w:lang w:eastAsia="nl-NL"/>
        </w:rPr>
        <w:t xml:space="preserve"> zijn de gemiddeld cumulatieve abnormale rendementen en de variantie van de verschillende classificaties berekend. </w:t>
      </w:r>
    </w:p>
    <w:p w:rsidR="005217AD" w:rsidRDefault="005217AD" w:rsidP="00996BFA">
      <w:pPr>
        <w:rPr>
          <w:kern w:val="0"/>
          <w:lang w:eastAsia="nl-NL"/>
        </w:rPr>
      </w:pPr>
      <w:r>
        <w:rPr>
          <w:lang w:eastAsia="nl-NL"/>
        </w:rPr>
        <w:t xml:space="preserve">De visualisatie van de </w:t>
      </w:r>
      <w:r w:rsidRPr="00D754FA">
        <w:rPr>
          <w:kern w:val="0"/>
          <w:lang w:eastAsia="nl-NL"/>
        </w:rPr>
        <w:fldChar w:fldCharType="begin"/>
      </w:r>
      <w:r w:rsidRPr="00D754FA">
        <w:rPr>
          <w:kern w:val="0"/>
          <w:lang w:eastAsia="nl-NL"/>
        </w:rPr>
        <w:instrText xml:space="preserve"> QUOTE </w:instrText>
      </w:r>
      <w:r w:rsidRPr="00D754FA">
        <w:pict>
          <v:shape id="_x0000_i1040" type="#_x0000_t75" style="width:60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5FE8&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145FE8&quot;&gt;&lt;m:oMathPara&gt;&lt;m:oMath&gt;&lt;m:acc&gt;&lt;m:accPr&gt;&lt;m:chr m:val=&quot;Ì…&quot;/&gt;&lt;m:ctrlPr&gt;&lt;w:rPr&gt;&lt;w:rFonts w:ascii=&quot;Cambria Math&quot; w:h-ansi=&quot;Cambria Math&quot;/&gt;&lt;wx:font wx:val=&quot;Cambria Math&quot;/&gt;&lt;w:i/&gt;&lt;w:kern w:val=&quot;0&quot;/&gt;&lt;w:lang w:fareast=&quot;NL&quot; w:bidi=&quot;AR-SA&quot;/&gt;&lt;/w:rPr&gt;&lt;/m:ctrlPr&gt;&lt;/m:accPr&gt;&lt;m:e&gt;&lt;m:r&gt;&lt;w:rPr&gt;&lt;w:rFonts w:ascii=&quot;Cambria Math&quot; w:h-ansi=&quot;Cambria Math&quot;/&gt;&lt;wx:font wx:val=&quot;Cambria Math&quot;/&gt;&lt;w:i/&gt;&lt;w:kern w:val=&quot;0&quot;/&gt;&lt;w:lang w:fareast=&quot;NL&quot; w:bidi=&quot;AR-SA&quot;/&gt;&lt;/w:rPr&gt;&lt;m:t&gt;CAR&lt;/m:t&gt;&lt;/m:r&gt;&lt;/m:e&gt;&lt;/m:acc&gt;&lt;m:d&gt;&lt;m:dPr&gt;&lt;m:ctrlPr&gt;&lt;w:rPr&gt;&lt;w:rFonts w:ascii=&quot;Cambria Math&quot; w:h-ansi=&quot;Cambria Math&quot;/&gt;&lt;wx:font wx:val=&quot;Cambria Math&quot;/&gt;&lt;w:i/&gt;&lt;w:kern w:val=&quot;0&quot;/&gt;&lt;w:lang w:fareast=&quot;NL&quot; w:bidi=&quot;AR-SA&quot;/&gt;&lt;/w:rPr&gt;&lt;/m:ctrlPr&gt;&lt;/m:dPr&gt;&lt;m:e&gt;&lt;m:r&gt;&lt;m:rPr&gt;&lt;m:sty m:val=&quot;p&quot;/&gt;&lt;/m:rPr&gt;&lt;w:rPr&gt;&lt;w:rFonts w:ascii=&quot;Cambria Math&quot; w:h-ansi=&quot;Cambria Math&quot;/&gt;&lt;wx:font wx:val=&quot;Cambria Math&quot;/&gt;&lt;w:kern w:val=&quot;0&quot;/&gt;&lt;w:sz-cs w:val=&quot;24&quot;/&gt;&lt;w:lang w:fareast=&quot;NL&quot; w:bidi=&quot;AR-SA&quot;/&gt;&lt;/w:rPr&gt;&lt;m:t&gt;-5,&lt;/m:t&gt;&lt;/m:r&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3" o:title="" chromakey="white"/>
          </v:shape>
        </w:pict>
      </w:r>
      <w:r w:rsidRPr="00D754FA">
        <w:rPr>
          <w:kern w:val="0"/>
          <w:lang w:eastAsia="nl-NL"/>
        </w:rPr>
        <w:instrText xml:space="preserve"> </w:instrText>
      </w:r>
      <w:r w:rsidRPr="00D754FA">
        <w:rPr>
          <w:kern w:val="0"/>
          <w:lang w:eastAsia="nl-NL"/>
        </w:rPr>
        <w:fldChar w:fldCharType="separate"/>
      </w:r>
      <w:r w:rsidRPr="00D754FA">
        <w:pict>
          <v:shape id="_x0000_i1041" type="#_x0000_t75" style="width:60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5FE8&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145FE8&quot;&gt;&lt;m:oMathPara&gt;&lt;m:oMath&gt;&lt;m:acc&gt;&lt;m:accPr&gt;&lt;m:chr m:val=&quot;Ì…&quot;/&gt;&lt;m:ctrlPr&gt;&lt;w:rPr&gt;&lt;w:rFonts w:ascii=&quot;Cambria Math&quot; w:h-ansi=&quot;Cambria Math&quot;/&gt;&lt;wx:font wx:val=&quot;Cambria Math&quot;/&gt;&lt;w:i/&gt;&lt;w:kern w:val=&quot;0&quot;/&gt;&lt;w:lang w:fareast=&quot;NL&quot; w:bidi=&quot;AR-SA&quot;/&gt;&lt;/w:rPr&gt;&lt;/m:ctrlPr&gt;&lt;/m:accPr&gt;&lt;m:e&gt;&lt;m:r&gt;&lt;w:rPr&gt;&lt;w:rFonts w:ascii=&quot;Cambria Math&quot; w:h-ansi=&quot;Cambria Math&quot;/&gt;&lt;wx:font wx:val=&quot;Cambria Math&quot;/&gt;&lt;w:i/&gt;&lt;w:kern w:val=&quot;0&quot;/&gt;&lt;w:lang w:fareast=&quot;NL&quot; w:bidi=&quot;AR-SA&quot;/&gt;&lt;/w:rPr&gt;&lt;m:t&gt;CAR&lt;/m:t&gt;&lt;/m:r&gt;&lt;/m:e&gt;&lt;/m:acc&gt;&lt;m:d&gt;&lt;m:dPr&gt;&lt;m:ctrlPr&gt;&lt;w:rPr&gt;&lt;w:rFonts w:ascii=&quot;Cambria Math&quot; w:h-ansi=&quot;Cambria Math&quot;/&gt;&lt;wx:font wx:val=&quot;Cambria Math&quot;/&gt;&lt;w:i/&gt;&lt;w:kern w:val=&quot;0&quot;/&gt;&lt;w:lang w:fareast=&quot;NL&quot; w:bidi=&quot;AR-SA&quot;/&gt;&lt;/w:rPr&gt;&lt;/m:ctrlPr&gt;&lt;/m:dPr&gt;&lt;m:e&gt;&lt;m:r&gt;&lt;m:rPr&gt;&lt;m:sty m:val=&quot;p&quot;/&gt;&lt;/m:rPr&gt;&lt;w:rPr&gt;&lt;w:rFonts w:ascii=&quot;Cambria Math&quot; w:h-ansi=&quot;Cambria Math&quot;/&gt;&lt;wx:font wx:val=&quot;Cambria Math&quot;/&gt;&lt;w:kern w:val=&quot;0&quot;/&gt;&lt;w:sz-cs w:val=&quot;24&quot;/&gt;&lt;w:lang w:fareast=&quot;NL&quot; w:bidi=&quot;AR-SA&quot;/&gt;&lt;/w:rPr&gt;&lt;m:t&gt;-5,&lt;/m:t&gt;&lt;/m:r&gt;&lt;m:sSub&gt;&lt;m:sSubPr&gt;&lt;m:ctrlPr&gt;&lt;w:rPr&gt;&lt;w:rFonts w:ascii=&quot;Cambria Math&quot; w:h-ansi=&quot;Cambria Math&quot;/&gt;&lt;wx:font wx:val=&quot;Cambria Math&quot;/&gt;&lt;w:kern w:val=&quot;0&quot;/&gt;&lt;w:sz-cs w:val=&quot;24&quot;/&gt;&lt;w:lang w:fareast=&quot;NL&quot; w:bidi=&quot;AR-SA&quot;/&gt;&lt;/w:rPr&gt;&lt;/m:ctrlPr&gt;&lt;/m:sSubPr&gt;&lt;m:e&gt;&lt;m:r&gt;&lt;m:rPr&gt;&lt;m:sty m:val=&quot;p&quot;/&gt;&lt;/m:rPr&gt;&lt;w:rPr&gt;&lt;w:rFonts w:ascii=&quot;Cambria Math&quot; w:h-ansi=&quot;Cambria Math&quot;/&gt;&lt;wx:font wx:val=&quot;Cambria Math&quot;/&gt;&lt;w:kern w:val=&quot;0&quot;/&gt;&lt;w:sz-cs w:val=&quot;24&quot;/&gt;&lt;w:lang w:fareast=&quot;NL&quot; w:bidi=&quot;AR-SA&quot;/&gt;&lt;/w:rPr&gt;&lt;m:t&gt;Ï„&lt;/m:t&gt;&lt;/m:r&gt;&lt;/m:e&gt;&lt;m:sub&gt;&lt;m:r&gt;&lt;m:rPr&gt;&lt;m:sty m:val=&quot;p&quot;/&gt;&lt;/m:rPr&gt;&lt;w:rPr&gt;&lt;w:rFonts w:ascii=&quot;Cambria Math&quot; w:h-ansi=&quot;Cambria Math&quot;/&gt;&lt;wx:font wx:val=&quot;Cambria Math&quot;/&gt;&lt;w:kern w:val=&quot;0&quot;/&gt;&lt;w:sz-cs w:val=&quot;24&quot;/&gt;&lt;w:lang w:fareast=&quot;NL&quot; w:bidi=&quot;AR-SA&quot;/&gt;&lt;/w:rPr&gt;&lt;m:t&gt;2&lt;/m:t&gt;&lt;/m:r&gt;&lt;/m:sub&gt;&lt;/m:sSub&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3" o:title="" chromakey="white"/>
          </v:shape>
        </w:pict>
      </w:r>
      <w:r w:rsidRPr="00D754FA">
        <w:rPr>
          <w:kern w:val="0"/>
          <w:lang w:eastAsia="nl-NL"/>
        </w:rPr>
        <w:fldChar w:fldCharType="end"/>
      </w:r>
      <w:r>
        <w:rPr>
          <w:kern w:val="0"/>
          <w:lang w:eastAsia="nl-NL"/>
        </w:rPr>
        <w:t xml:space="preserve">, afgezet tegenover de periode relatief ten opzichte van de dividendaankondiging, wekt enige suggesties. Zo lijken ondernemingen, die normaliter relatief weinig dividend uitkeren, een grotere marktreactie te kennen rond de tijd van dividendaankondiging. Dit wordt bevestigd door de waarden van de significante gemiddeld abnormale rendementen tussen de twee hoofdcategorieën die een grotere afwijking hebben van nul in categorie weinig. Deze zijn te vinden in </w:t>
      </w:r>
      <w:fldSimple w:instr=" REF _Ref264459007 \h  \* MERGEFORMAT ">
        <w:r>
          <w:t xml:space="preserve">Tabel </w:t>
        </w:r>
        <w:r>
          <w:rPr>
            <w:noProof/>
          </w:rPr>
          <w:t>4</w:t>
        </w:r>
      </w:fldSimple>
      <w:r>
        <w:rPr>
          <w:kern w:val="0"/>
          <w:lang w:eastAsia="nl-NL"/>
        </w:rPr>
        <w:t>. Wederom geldt dat, ondanks de enorme statistische significanties die sommige waarden hebben, de economische significantie in twijfel kan worden getrokken.</w:t>
      </w:r>
    </w:p>
    <w:p w:rsidR="005217AD" w:rsidRDefault="005217AD" w:rsidP="00996BFA">
      <w:pPr>
        <w:rPr>
          <w:kern w:val="0"/>
          <w:lang w:eastAsia="nl-NL"/>
        </w:rPr>
      </w:pPr>
      <w:r>
        <w:rPr>
          <w:kern w:val="0"/>
          <w:lang w:eastAsia="nl-NL"/>
        </w:rPr>
        <w:t xml:space="preserve">Ondanks het onderscheidt tussen de beide subcategorieën lijken de uitkomsten in  tegenspraak met de bevindingen van </w:t>
      </w:r>
      <w:r>
        <w:rPr>
          <w:noProof/>
          <w:lang w:eastAsia="nl-NL"/>
        </w:rPr>
        <w:t>Asquith en Mullins</w:t>
      </w:r>
      <w:r>
        <w:rPr>
          <w:lang w:eastAsia="nl-NL"/>
        </w:rPr>
        <w:t xml:space="preserve"> </w:t>
      </w:r>
      <w:r>
        <w:rPr>
          <w:noProof/>
          <w:lang w:eastAsia="nl-NL"/>
        </w:rPr>
        <w:t>(1983)</w:t>
      </w:r>
      <w:r>
        <w:rPr>
          <w:lang w:eastAsia="nl-NL"/>
        </w:rPr>
        <w:t xml:space="preserve">. </w:t>
      </w:r>
      <w:r>
        <w:rPr>
          <w:noProof/>
          <w:lang w:eastAsia="nl-NL"/>
        </w:rPr>
        <w:t>Asquith en Mullins vonden namelijk een</w:t>
      </w:r>
      <w:r>
        <w:rPr>
          <w:lang w:eastAsia="nl-NL"/>
        </w:rPr>
        <w:t xml:space="preserve"> positieve correlatie tussen de grootte van de initiële dividenden en de abnormale rendementen. De uitkomsten in </w:t>
      </w:r>
      <w:r>
        <w:rPr>
          <w:lang w:eastAsia="nl-NL"/>
        </w:rPr>
        <w:fldChar w:fldCharType="begin"/>
      </w:r>
      <w:r>
        <w:rPr>
          <w:lang w:eastAsia="nl-NL"/>
        </w:rPr>
        <w:instrText xml:space="preserve"> REF _Ref264459007 \h </w:instrText>
      </w:r>
      <w:r>
        <w:rPr>
          <w:lang w:eastAsia="nl-NL"/>
        </w:rPr>
      </w:r>
      <w:r>
        <w:rPr>
          <w:lang w:eastAsia="nl-NL"/>
        </w:rPr>
        <w:fldChar w:fldCharType="separate"/>
      </w:r>
      <w:r>
        <w:t xml:space="preserve">Tabel </w:t>
      </w:r>
      <w:r>
        <w:rPr>
          <w:noProof/>
        </w:rPr>
        <w:t>4</w:t>
      </w:r>
      <w:r>
        <w:rPr>
          <w:lang w:eastAsia="nl-NL"/>
        </w:rPr>
        <w:fldChar w:fldCharType="end"/>
      </w:r>
      <w:r>
        <w:rPr>
          <w:lang w:eastAsia="nl-NL"/>
        </w:rPr>
        <w:t xml:space="preserve"> geven echter de suggestie, dat de correlatie mogelijk in een tegenovergestelde en dus negatieve verhouding staat tot de abnormale rendementen.  </w:t>
      </w:r>
      <w:r>
        <w:rPr>
          <w:kern w:val="0"/>
          <w:lang w:eastAsia="nl-NL"/>
        </w:rPr>
        <w:t xml:space="preserve">   </w:t>
      </w:r>
    </w:p>
    <w:p w:rsidR="005217AD" w:rsidRDefault="005217AD" w:rsidP="00993F61">
      <w:pPr>
        <w:rPr>
          <w:lang w:eastAsia="nl-NL"/>
        </w:rPr>
      </w:pPr>
      <w:r>
        <w:rPr>
          <w:noProof/>
          <w:lang w:val="en-US"/>
        </w:rPr>
        <w:pict>
          <v:shape id="_x0000_s1028" type="#_x0000_t202" style="position:absolute;left:0;text-align:left;margin-left:0;margin-top:311.85pt;width:453.75pt;height:.05pt;z-index:251659264;mso-position-vertical-relative:margin" stroked="f">
            <v:textbox style="mso-next-textbox:#_x0000_s1028;mso-fit-shape-to-text:t" inset="0,0,0,0">
              <w:txbxContent>
                <w:p w:rsidR="005217AD" w:rsidRPr="00473697" w:rsidRDefault="005217AD" w:rsidP="00473697">
                  <w:pPr>
                    <w:pBdr>
                      <w:top w:val="single" w:sz="4" w:space="2" w:color="auto"/>
                      <w:bottom w:val="single" w:sz="4" w:space="1" w:color="auto"/>
                    </w:pBdr>
                    <w:ind w:firstLine="0"/>
                    <w:rPr>
                      <w:kern w:val="0"/>
                      <w:sz w:val="20"/>
                      <w:szCs w:val="20"/>
                      <w:lang w:eastAsia="nl-NL"/>
                    </w:rPr>
                  </w:pPr>
                  <w:r w:rsidRPr="00AB1520">
                    <w:rPr>
                      <w:sz w:val="20"/>
                      <w:szCs w:val="20"/>
                    </w:rPr>
                    <w:t xml:space="preserve">Figuur </w:t>
                  </w:r>
                  <w:r w:rsidRPr="00AB1520">
                    <w:rPr>
                      <w:sz w:val="20"/>
                      <w:szCs w:val="20"/>
                    </w:rPr>
                    <w:fldChar w:fldCharType="begin"/>
                  </w:r>
                  <w:r w:rsidRPr="00AB1520">
                    <w:rPr>
                      <w:sz w:val="20"/>
                      <w:szCs w:val="20"/>
                    </w:rPr>
                    <w:instrText xml:space="preserve"> SEQ Figuur \* ARABIC </w:instrText>
                  </w:r>
                  <w:r w:rsidRPr="00AB1520">
                    <w:rPr>
                      <w:sz w:val="20"/>
                      <w:szCs w:val="20"/>
                    </w:rPr>
                    <w:fldChar w:fldCharType="separate"/>
                  </w:r>
                  <w:r>
                    <w:rPr>
                      <w:noProof/>
                      <w:sz w:val="20"/>
                      <w:szCs w:val="20"/>
                    </w:rPr>
                    <w:t>2</w:t>
                  </w:r>
                  <w:r w:rsidRPr="00AB1520">
                    <w:rPr>
                      <w:sz w:val="20"/>
                      <w:szCs w:val="20"/>
                    </w:rPr>
                    <w:fldChar w:fldCharType="end"/>
                  </w:r>
                  <w:r w:rsidRPr="00AB1520">
                    <w:rPr>
                      <w:sz w:val="20"/>
                      <w:szCs w:val="20"/>
                    </w:rPr>
                    <w:t xml:space="preserve"> De gemiddeld cumulatieve abnormale rendementen afgezet tegenover de relatieve tijd rond dividend aankondiging. De abnormale rendementen zijn berekend op basis van het marktmodel. Moment van dividend aankondiging kenmerkt zich als </w:t>
                  </w:r>
                  <w:r w:rsidRPr="00AB1520">
                    <w:rPr>
                      <w:kern w:val="0"/>
                      <w:sz w:val="20"/>
                      <w:szCs w:val="20"/>
                      <w:lang w:eastAsia="nl-NL"/>
                    </w:rPr>
                    <w:t>τ=0. De accumulatie vindt plaats vanaf τ=-5 tot de locatie op de τ-as. Categorisatie is op basis van abnormaal dividend, waarbij categorie ‘geen’ een interval kent van [-2,5%;+2,5%], als correctie voor onzekerheid rond de voorspellingen. Daarnaast is er een splitsing tussen de relatief veel (V) en relatief weinig (W) divi</w:t>
                  </w:r>
                  <w:r>
                    <w:rPr>
                      <w:kern w:val="0"/>
                      <w:sz w:val="20"/>
                      <w:szCs w:val="20"/>
                      <w:lang w:eastAsia="nl-NL"/>
                    </w:rPr>
                    <w:t>denduitbetalende ondernemingen.</w:t>
                  </w:r>
                </w:p>
              </w:txbxContent>
            </v:textbox>
            <w10:wrap type="topAndBottom" anchory="margin"/>
          </v:shape>
        </w:pict>
      </w:r>
      <w:r>
        <w:rPr>
          <w:noProof/>
          <w:lang w:val="en-US"/>
        </w:rPr>
        <w:pict>
          <v:shape id="_x0000_s1029" type="#_x0000_t75" style="position:absolute;left:0;text-align:left;margin-left:2.9pt;margin-top:4.3pt;width:429.1pt;height:286.55pt;z-index:251658240;visibility:visible;mso-wrap-distance-left:11.88pt;mso-wrap-distance-top:4.32pt;mso-wrap-distance-right:30.75pt;mso-wrap-distance-bottom:5.37pt;mso-position-horizontal-relative:margin;mso-position-vertical-relative:margin"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" o:allowoverlap="f">
            <v:imagedata r:id="rId14" o:title=""/>
            <o:lock v:ext="edit" aspectratio="f"/>
            <w10:wrap type="topAndBottom" anchorx="margin" anchory="margin"/>
            <w10:anchorlock/>
          </v:shape>
        </w:pict>
      </w:r>
    </w:p>
    <w:tbl>
      <w:tblPr>
        <w:tblW w:w="8647" w:type="dxa"/>
        <w:tblInd w:w="212" w:type="dxa"/>
        <w:tblLayout w:type="fixed"/>
        <w:tblCellMar>
          <w:left w:w="70" w:type="dxa"/>
          <w:right w:w="70" w:type="dxa"/>
        </w:tblCellMar>
        <w:tblLook w:val="00A0"/>
      </w:tblPr>
      <w:tblGrid>
        <w:gridCol w:w="425"/>
        <w:gridCol w:w="1644"/>
        <w:gridCol w:w="1644"/>
        <w:gridCol w:w="1645"/>
        <w:gridCol w:w="1644"/>
        <w:gridCol w:w="1645"/>
      </w:tblGrid>
      <w:tr w:rsidR="005217AD" w:rsidRPr="00597E72" w:rsidTr="008109E0">
        <w:trPr>
          <w:gridBefore w:val="1"/>
          <w:wBefore w:w="425" w:type="dxa"/>
          <w:trHeight w:val="311"/>
        </w:trPr>
        <w:tc>
          <w:tcPr>
            <w:tcW w:w="1644" w:type="dxa"/>
            <w:tcBorders>
              <w:top w:val="nil"/>
              <w:left w:val="nil"/>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br w:type="page"/>
            </w:r>
            <w:r w:rsidRPr="00597E72">
              <w:rPr>
                <w:rFonts w:ascii="Calibri" w:hAnsi="Calibri" w:cs="Calibri"/>
                <w:color w:val="000000"/>
                <w:kern w:val="0"/>
                <w:sz w:val="20"/>
                <w:szCs w:val="20"/>
                <w:lang w:eastAsia="nl-NL"/>
              </w:rPr>
              <w:t> </w:t>
            </w:r>
          </w:p>
        </w:tc>
        <w:tc>
          <w:tcPr>
            <w:tcW w:w="1644" w:type="dxa"/>
            <w:tcBorders>
              <w:top w:val="single" w:sz="4" w:space="0" w:color="auto"/>
              <w:left w:val="single" w:sz="4" w:space="0" w:color="auto"/>
              <w:bottom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τ</w:t>
            </w:r>
            <w:r w:rsidRPr="00597E72">
              <w:rPr>
                <w:rFonts w:ascii="Calibri" w:hAnsi="Calibri" w:cs="Calibri"/>
                <w:b/>
                <w:bCs/>
                <w:color w:val="000000"/>
                <w:kern w:val="0"/>
                <w:sz w:val="20"/>
                <w:szCs w:val="20"/>
                <w:vertAlign w:val="subscript"/>
                <w:lang w:eastAsia="nl-NL"/>
              </w:rPr>
              <w:t xml:space="preserve"> 1</w:t>
            </w:r>
          </w:p>
        </w:tc>
        <w:tc>
          <w:tcPr>
            <w:tcW w:w="1645" w:type="dxa"/>
            <w:tcBorders>
              <w:top w:val="single" w:sz="4" w:space="0" w:color="auto"/>
              <w:left w:val="single" w:sz="4" w:space="0" w:color="auto"/>
              <w:bottom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-2</w:t>
            </w:r>
          </w:p>
        </w:tc>
        <w:tc>
          <w:tcPr>
            <w:tcW w:w="1644" w:type="dxa"/>
            <w:tcBorders>
              <w:top w:val="single" w:sz="4" w:space="0" w:color="auto"/>
              <w:bottom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-1</w:t>
            </w:r>
          </w:p>
        </w:tc>
        <w:tc>
          <w:tcPr>
            <w:tcW w:w="1645" w:type="dxa"/>
            <w:tcBorders>
              <w:top w:val="single" w:sz="4" w:space="0" w:color="auto"/>
              <w:bottom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0</w:t>
            </w:r>
          </w:p>
        </w:tc>
      </w:tr>
      <w:tr w:rsidR="005217AD" w:rsidRPr="00597E72" w:rsidTr="008109E0">
        <w:trPr>
          <w:gridBefore w:val="1"/>
          <w:wBefore w:w="425" w:type="dxa"/>
          <w:trHeight w:val="311"/>
        </w:trPr>
        <w:tc>
          <w:tcPr>
            <w:tcW w:w="1644" w:type="dxa"/>
            <w:tcBorders>
              <w:top w:val="nil"/>
              <w:left w:val="nil"/>
              <w:bottom w:val="single" w:sz="4" w:space="0" w:color="auto"/>
              <w:right w:val="single" w:sz="8" w:space="0" w:color="auto"/>
            </w:tcBorders>
            <w:vAlign w:val="center"/>
          </w:tcPr>
          <w:p w:rsidR="005217AD" w:rsidRPr="00597E72" w:rsidRDefault="005217AD" w:rsidP="00993F61">
            <w:pPr>
              <w:spacing w:line="240" w:lineRule="auto"/>
              <w:ind w:firstLine="0"/>
              <w:rPr>
                <w:rFonts w:ascii="Calibri" w:hAnsi="Calibri" w:cs="Calibri"/>
                <w:color w:val="000000"/>
                <w:kern w:val="0"/>
                <w:sz w:val="20"/>
                <w:szCs w:val="20"/>
                <w:lang w:eastAsia="nl-NL"/>
              </w:rPr>
            </w:pPr>
          </w:p>
        </w:tc>
        <w:tc>
          <w:tcPr>
            <w:tcW w:w="1644" w:type="dxa"/>
            <w:tcBorders>
              <w:top w:val="single" w:sz="4" w:space="0" w:color="auto"/>
              <w:left w:val="nil"/>
              <w:bottom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 </w:t>
            </w:r>
            <w:r w:rsidRPr="005F09D9">
              <w:rPr>
                <w:rFonts w:ascii="Calibri" w:hAnsi="Calibri" w:cs="Calibri"/>
                <w:i/>
                <w:color w:val="000000"/>
                <w:kern w:val="0"/>
                <w:sz w:val="22"/>
                <w:lang w:eastAsia="nl-NL"/>
              </w:rPr>
              <w:t>VAR(</w:t>
            </w:r>
            <w:r w:rsidRPr="00D754FA">
              <w:rPr>
                <w:rFonts w:ascii="Calibri" w:hAnsi="Calibri" w:cs="Calibri"/>
                <w:color w:val="000000"/>
                <w:kern w:val="0"/>
                <w:sz w:val="22"/>
                <w:lang w:eastAsia="nl-NL"/>
              </w:rPr>
              <w:fldChar w:fldCharType="begin"/>
            </w:r>
            <w:r w:rsidRPr="00D754FA">
              <w:rPr>
                <w:rFonts w:ascii="Calibri" w:hAnsi="Calibri" w:cs="Calibri"/>
                <w:color w:val="000000"/>
                <w:kern w:val="0"/>
                <w:sz w:val="22"/>
                <w:lang w:eastAsia="nl-NL"/>
              </w:rPr>
              <w:instrText xml:space="preserve"> QUOTE </w:instrText>
            </w:r>
            <w:r w:rsidRPr="00D754FA">
              <w:pict>
                <v:shape id="_x0000_i1042"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329&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351329&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rFonts w:ascii="Calibri" w:hAnsi="Calibri" w:cs="Calibri"/>
                <w:color w:val="000000"/>
                <w:kern w:val="0"/>
                <w:sz w:val="22"/>
                <w:lang w:eastAsia="nl-NL"/>
              </w:rPr>
              <w:instrText xml:space="preserve"> </w:instrText>
            </w:r>
            <w:r w:rsidRPr="00D754FA">
              <w:rPr>
                <w:rFonts w:ascii="Calibri" w:hAnsi="Calibri" w:cs="Calibri"/>
                <w:color w:val="000000"/>
                <w:kern w:val="0"/>
                <w:sz w:val="22"/>
                <w:lang w:eastAsia="nl-NL"/>
              </w:rPr>
              <w:fldChar w:fldCharType="separate"/>
            </w:r>
            <w:r w:rsidRPr="00D754FA">
              <w:pict>
                <v:shape id="_x0000_i1043"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329&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351329&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rFonts w:ascii="Calibri" w:hAnsi="Calibri" w:cs="Calibri"/>
                <w:color w:val="000000"/>
                <w:kern w:val="0"/>
                <w:sz w:val="22"/>
                <w:lang w:eastAsia="nl-NL"/>
              </w:rPr>
              <w:fldChar w:fldCharType="end"/>
            </w:r>
            <w:r w:rsidRPr="005F09D9">
              <w:rPr>
                <w:rFonts w:ascii="Calibri" w:hAnsi="Calibri" w:cs="Calibri"/>
                <w:i/>
                <w:color w:val="000000"/>
                <w:kern w:val="0"/>
                <w:sz w:val="22"/>
                <w:lang w:eastAsia="nl-NL"/>
              </w:rPr>
              <w:t>)</w:t>
            </w:r>
          </w:p>
        </w:tc>
        <w:tc>
          <w:tcPr>
            <w:tcW w:w="1645" w:type="dxa"/>
            <w:tcBorders>
              <w:top w:val="single" w:sz="4" w:space="0" w:color="auto"/>
              <w:left w:val="single" w:sz="4" w:space="0" w:color="auto"/>
              <w:bottom w:val="single" w:sz="4" w:space="0" w:color="auto"/>
            </w:tcBorders>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8,39424E-07</w:t>
            </w:r>
          </w:p>
        </w:tc>
        <w:tc>
          <w:tcPr>
            <w:tcW w:w="1644" w:type="dxa"/>
            <w:tcBorders>
              <w:top w:val="single" w:sz="4" w:space="0" w:color="auto"/>
              <w:bottom w:val="single" w:sz="4" w:space="0" w:color="auto"/>
            </w:tcBorders>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5,6E-07</w:t>
            </w:r>
          </w:p>
        </w:tc>
        <w:tc>
          <w:tcPr>
            <w:tcW w:w="1645" w:type="dxa"/>
            <w:tcBorders>
              <w:top w:val="single" w:sz="4" w:space="0" w:color="auto"/>
              <w:bottom w:val="single" w:sz="4" w:space="0" w:color="auto"/>
              <w:right w:val="single" w:sz="4" w:space="0" w:color="auto"/>
            </w:tcBorders>
            <w:vAlign w:val="bottom"/>
          </w:tcPr>
          <w:p w:rsidR="005217AD" w:rsidRPr="005F09D9" w:rsidRDefault="005217AD" w:rsidP="00993F61">
            <w:pPr>
              <w:spacing w:line="240" w:lineRule="auto"/>
              <w:ind w:firstLine="0"/>
              <w:rPr>
                <w:rFonts w:ascii="Calibri" w:hAnsi="Calibri" w:cs="Calibri"/>
                <w:color w:val="000000"/>
                <w:kern w:val="0"/>
                <w:sz w:val="22"/>
                <w:lang w:eastAsia="nl-NL"/>
              </w:rPr>
            </w:pPr>
            <w:r w:rsidRPr="005F09D9">
              <w:rPr>
                <w:rFonts w:ascii="Calibri" w:hAnsi="Calibri" w:cs="Calibri"/>
                <w:color w:val="000000"/>
                <w:kern w:val="0"/>
                <w:sz w:val="22"/>
                <w:lang w:eastAsia="nl-NL"/>
              </w:rPr>
              <w:t>2,8E-07</w:t>
            </w:r>
          </w:p>
        </w:tc>
      </w:tr>
      <w:tr w:rsidR="005217AD" w:rsidRPr="00597E72" w:rsidTr="008109E0">
        <w:trPr>
          <w:trHeight w:val="311"/>
        </w:trPr>
        <w:tc>
          <w:tcPr>
            <w:tcW w:w="425" w:type="dxa"/>
            <w:vMerge w:val="restart"/>
            <w:tcBorders>
              <w:top w:val="single" w:sz="4" w:space="0" w:color="auto"/>
              <w:left w:val="single" w:sz="4" w:space="0" w:color="auto"/>
            </w:tcBorders>
            <w:textDirection w:val="btLr"/>
          </w:tcPr>
          <w:p w:rsidR="005217AD" w:rsidRPr="00EE6D27" w:rsidRDefault="005217AD" w:rsidP="00993F61">
            <w:pPr>
              <w:spacing w:line="240" w:lineRule="auto"/>
              <w:ind w:left="113" w:right="113" w:firstLine="0"/>
              <w:rPr>
                <w:rFonts w:ascii="Calibri" w:hAnsi="Calibri" w:cs="Calibri"/>
                <w:b/>
                <w:bCs/>
                <w:color w:val="000000"/>
                <w:kern w:val="0"/>
                <w:sz w:val="22"/>
                <w:lang w:eastAsia="nl-NL"/>
              </w:rPr>
            </w:pPr>
            <w:r w:rsidRPr="00EE6D27">
              <w:rPr>
                <w:rFonts w:ascii="Calibri" w:hAnsi="Calibri" w:cs="Calibri"/>
                <w:b/>
                <w:bCs/>
                <w:color w:val="000000"/>
                <w:kern w:val="0"/>
                <w:sz w:val="22"/>
                <w:lang w:eastAsia="nl-NL"/>
              </w:rPr>
              <w:t>VEEL</w:t>
            </w:r>
          </w:p>
        </w:tc>
        <w:tc>
          <w:tcPr>
            <w:tcW w:w="1644" w:type="dxa"/>
            <w:tcBorders>
              <w:top w:val="single" w:sz="4" w:space="0" w:color="auto"/>
              <w:left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b/>
                <w:bCs/>
                <w:color w:val="000000"/>
                <w:kern w:val="0"/>
                <w:sz w:val="20"/>
                <w:szCs w:val="20"/>
                <w:lang w:eastAsia="nl-NL"/>
              </w:rPr>
            </w:pPr>
            <w:r w:rsidRPr="00597E72">
              <w:rPr>
                <w:rFonts w:ascii="Calibri" w:hAnsi="Calibri" w:cs="Calibri"/>
                <w:b/>
                <w:bCs/>
                <w:color w:val="000000"/>
                <w:kern w:val="0"/>
                <w:sz w:val="20"/>
                <w:szCs w:val="20"/>
                <w:lang w:eastAsia="nl-NL"/>
              </w:rPr>
              <w:t>POSITIEF</w:t>
            </w:r>
          </w:p>
        </w:tc>
        <w:tc>
          <w:tcPr>
            <w:tcW w:w="1644" w:type="dxa"/>
            <w:tcBorders>
              <w:top w:val="single" w:sz="4" w:space="0" w:color="auto"/>
              <w:left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D754FA">
              <w:pict>
                <v:shape id="_x0000_i1044"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B6CC9&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CB6CC9&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p>
        </w:tc>
        <w:tc>
          <w:tcPr>
            <w:tcW w:w="1645" w:type="dxa"/>
            <w:tcBorders>
              <w:top w:val="single" w:sz="4" w:space="0" w:color="auto"/>
              <w:left w:val="single" w:sz="4" w:space="0" w:color="auto"/>
              <w:bottom w:val="nil"/>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0,004523908</w:t>
            </w:r>
          </w:p>
        </w:tc>
        <w:tc>
          <w:tcPr>
            <w:tcW w:w="1644" w:type="dxa"/>
            <w:tcBorders>
              <w:top w:val="single" w:sz="4" w:space="0" w:color="auto"/>
              <w:bottom w:val="nil"/>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0,001536445</w:t>
            </w:r>
          </w:p>
        </w:tc>
        <w:tc>
          <w:tcPr>
            <w:tcW w:w="1645" w:type="dxa"/>
            <w:tcBorders>
              <w:top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0,002674222</w:t>
            </w:r>
          </w:p>
        </w:tc>
      </w:tr>
      <w:tr w:rsidR="005217AD" w:rsidRPr="00597E72" w:rsidTr="008109E0">
        <w:trPr>
          <w:trHeight w:val="311"/>
        </w:trPr>
        <w:tc>
          <w:tcPr>
            <w:tcW w:w="425" w:type="dxa"/>
            <w:vMerge/>
            <w:tcBorders>
              <w:left w:val="single" w:sz="4" w:space="0" w:color="auto"/>
            </w:tcBorders>
            <w:textDirection w:val="btLr"/>
          </w:tcPr>
          <w:p w:rsidR="005217AD" w:rsidRPr="00EE6D27" w:rsidRDefault="005217AD" w:rsidP="00993F61">
            <w:pPr>
              <w:spacing w:line="240" w:lineRule="auto"/>
              <w:ind w:left="113" w:right="113" w:firstLine="0"/>
              <w:rPr>
                <w:rFonts w:ascii="Calibri" w:hAnsi="Calibri" w:cs="Calibri"/>
                <w:color w:val="000000"/>
                <w:kern w:val="0"/>
                <w:sz w:val="22"/>
                <w:lang w:eastAsia="nl-NL"/>
              </w:rPr>
            </w:pPr>
          </w:p>
        </w:tc>
        <w:tc>
          <w:tcPr>
            <w:tcW w:w="1644" w:type="dxa"/>
            <w:tcBorders>
              <w:top w:val="nil"/>
              <w:left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 </w:t>
            </w:r>
          </w:p>
        </w:tc>
        <w:tc>
          <w:tcPr>
            <w:tcW w:w="1644" w:type="dxa"/>
            <w:tcBorders>
              <w:top w:val="nil"/>
              <w:left w:val="single" w:sz="4" w:space="0" w:color="auto"/>
              <w:bottom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T-waarde</w:t>
            </w:r>
          </w:p>
        </w:tc>
        <w:tc>
          <w:tcPr>
            <w:tcW w:w="1645" w:type="dxa"/>
            <w:tcBorders>
              <w:top w:val="nil"/>
              <w:left w:val="single" w:sz="4" w:space="0" w:color="auto"/>
              <w:bottom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4,937681579</w:t>
            </w:r>
          </w:p>
        </w:tc>
        <w:tc>
          <w:tcPr>
            <w:tcW w:w="1644" w:type="dxa"/>
            <w:tcBorders>
              <w:top w:val="nil"/>
              <w:bottom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2,053865681</w:t>
            </w:r>
          </w:p>
        </w:tc>
        <w:tc>
          <w:tcPr>
            <w:tcW w:w="1645" w:type="dxa"/>
            <w:tcBorders>
              <w:top w:val="nil"/>
              <w:bottom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5,055538555</w:t>
            </w:r>
          </w:p>
        </w:tc>
      </w:tr>
      <w:tr w:rsidR="005217AD" w:rsidRPr="00597E72" w:rsidTr="008109E0">
        <w:trPr>
          <w:trHeight w:val="311"/>
        </w:trPr>
        <w:tc>
          <w:tcPr>
            <w:tcW w:w="425" w:type="dxa"/>
            <w:vMerge/>
            <w:tcBorders>
              <w:left w:val="single" w:sz="4" w:space="0" w:color="auto"/>
            </w:tcBorders>
            <w:textDirection w:val="btLr"/>
          </w:tcPr>
          <w:p w:rsidR="005217AD" w:rsidRPr="00EE6D27" w:rsidRDefault="005217AD" w:rsidP="00993F61">
            <w:pPr>
              <w:spacing w:line="240" w:lineRule="auto"/>
              <w:ind w:left="113" w:right="113" w:firstLine="0"/>
              <w:rPr>
                <w:rFonts w:ascii="Calibri" w:hAnsi="Calibri" w:cs="Calibri"/>
                <w:b/>
                <w:bCs/>
                <w:color w:val="000000"/>
                <w:kern w:val="0"/>
                <w:sz w:val="22"/>
                <w:lang w:eastAsia="nl-NL"/>
              </w:rPr>
            </w:pPr>
          </w:p>
        </w:tc>
        <w:tc>
          <w:tcPr>
            <w:tcW w:w="1644" w:type="dxa"/>
            <w:tcBorders>
              <w:top w:val="nil"/>
              <w:left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b/>
                <w:bCs/>
                <w:color w:val="000000"/>
                <w:kern w:val="0"/>
                <w:sz w:val="20"/>
                <w:szCs w:val="20"/>
                <w:lang w:eastAsia="nl-NL"/>
              </w:rPr>
            </w:pPr>
            <w:r w:rsidRPr="00597E72">
              <w:rPr>
                <w:rFonts w:ascii="Calibri" w:hAnsi="Calibri" w:cs="Calibri"/>
                <w:b/>
                <w:bCs/>
                <w:color w:val="000000"/>
                <w:kern w:val="0"/>
                <w:sz w:val="20"/>
                <w:szCs w:val="20"/>
                <w:lang w:eastAsia="nl-NL"/>
              </w:rPr>
              <w:t>GEEN</w:t>
            </w:r>
          </w:p>
        </w:tc>
        <w:tc>
          <w:tcPr>
            <w:tcW w:w="1644" w:type="dxa"/>
            <w:tcBorders>
              <w:top w:val="single" w:sz="4" w:space="0" w:color="auto"/>
              <w:left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D754FA">
              <w:pict>
                <v:shape id="_x0000_i1045"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5DCA&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9B5DCA&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p>
        </w:tc>
        <w:tc>
          <w:tcPr>
            <w:tcW w:w="1645" w:type="dxa"/>
            <w:tcBorders>
              <w:top w:val="single" w:sz="4" w:space="0" w:color="auto"/>
              <w:left w:val="single" w:sz="4" w:space="0" w:color="auto"/>
              <w:bottom w:val="nil"/>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0,004267104</w:t>
            </w:r>
          </w:p>
        </w:tc>
        <w:tc>
          <w:tcPr>
            <w:tcW w:w="1644" w:type="dxa"/>
            <w:tcBorders>
              <w:top w:val="single" w:sz="4" w:space="0" w:color="auto"/>
              <w:bottom w:val="nil"/>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0,003712591</w:t>
            </w:r>
          </w:p>
        </w:tc>
        <w:tc>
          <w:tcPr>
            <w:tcW w:w="1645" w:type="dxa"/>
            <w:tcBorders>
              <w:top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0,00104891</w:t>
            </w:r>
          </w:p>
        </w:tc>
      </w:tr>
      <w:tr w:rsidR="005217AD" w:rsidRPr="00597E72" w:rsidTr="008109E0">
        <w:trPr>
          <w:trHeight w:val="311"/>
        </w:trPr>
        <w:tc>
          <w:tcPr>
            <w:tcW w:w="425" w:type="dxa"/>
            <w:vMerge/>
            <w:tcBorders>
              <w:left w:val="single" w:sz="4" w:space="0" w:color="auto"/>
            </w:tcBorders>
            <w:textDirection w:val="btLr"/>
          </w:tcPr>
          <w:p w:rsidR="005217AD" w:rsidRPr="00EE6D27" w:rsidRDefault="005217AD" w:rsidP="00993F61">
            <w:pPr>
              <w:spacing w:line="240" w:lineRule="auto"/>
              <w:ind w:left="113" w:right="113" w:firstLine="0"/>
              <w:rPr>
                <w:rFonts w:ascii="Calibri" w:hAnsi="Calibri" w:cs="Calibri"/>
                <w:color w:val="000000"/>
                <w:kern w:val="0"/>
                <w:sz w:val="22"/>
                <w:lang w:eastAsia="nl-NL"/>
              </w:rPr>
            </w:pPr>
          </w:p>
        </w:tc>
        <w:tc>
          <w:tcPr>
            <w:tcW w:w="1644" w:type="dxa"/>
            <w:tcBorders>
              <w:top w:val="nil"/>
              <w:left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 </w:t>
            </w:r>
          </w:p>
        </w:tc>
        <w:tc>
          <w:tcPr>
            <w:tcW w:w="1644" w:type="dxa"/>
            <w:tcBorders>
              <w:top w:val="nil"/>
              <w:left w:val="single" w:sz="4" w:space="0" w:color="auto"/>
              <w:bottom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T-waarde</w:t>
            </w:r>
          </w:p>
        </w:tc>
        <w:tc>
          <w:tcPr>
            <w:tcW w:w="1645" w:type="dxa"/>
            <w:tcBorders>
              <w:top w:val="nil"/>
              <w:left w:val="single" w:sz="4" w:space="0" w:color="auto"/>
              <w:bottom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4,657389239</w:t>
            </w:r>
          </w:p>
        </w:tc>
        <w:tc>
          <w:tcPr>
            <w:tcW w:w="1644" w:type="dxa"/>
            <w:tcBorders>
              <w:top w:val="nil"/>
              <w:bottom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4,962859696</w:t>
            </w:r>
          </w:p>
        </w:tc>
        <w:tc>
          <w:tcPr>
            <w:tcW w:w="1645" w:type="dxa"/>
            <w:tcBorders>
              <w:top w:val="nil"/>
              <w:bottom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1,982934135</w:t>
            </w:r>
          </w:p>
        </w:tc>
      </w:tr>
      <w:tr w:rsidR="005217AD" w:rsidRPr="00597E72" w:rsidTr="008109E0">
        <w:trPr>
          <w:trHeight w:val="311"/>
        </w:trPr>
        <w:tc>
          <w:tcPr>
            <w:tcW w:w="425" w:type="dxa"/>
            <w:vMerge/>
            <w:tcBorders>
              <w:left w:val="single" w:sz="4" w:space="0" w:color="auto"/>
            </w:tcBorders>
            <w:textDirection w:val="btLr"/>
          </w:tcPr>
          <w:p w:rsidR="005217AD" w:rsidRPr="00EE6D27" w:rsidRDefault="005217AD" w:rsidP="00993F61">
            <w:pPr>
              <w:spacing w:line="240" w:lineRule="auto"/>
              <w:ind w:left="113" w:right="113" w:firstLine="0"/>
              <w:rPr>
                <w:rFonts w:ascii="Calibri" w:hAnsi="Calibri" w:cs="Calibri"/>
                <w:b/>
                <w:bCs/>
                <w:color w:val="000000"/>
                <w:kern w:val="0"/>
                <w:sz w:val="22"/>
                <w:lang w:eastAsia="nl-NL"/>
              </w:rPr>
            </w:pPr>
          </w:p>
        </w:tc>
        <w:tc>
          <w:tcPr>
            <w:tcW w:w="1644" w:type="dxa"/>
            <w:tcBorders>
              <w:top w:val="nil"/>
              <w:left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b/>
                <w:bCs/>
                <w:color w:val="000000"/>
                <w:kern w:val="0"/>
                <w:sz w:val="20"/>
                <w:szCs w:val="20"/>
                <w:lang w:eastAsia="nl-NL"/>
              </w:rPr>
            </w:pPr>
            <w:r w:rsidRPr="00597E72">
              <w:rPr>
                <w:rFonts w:ascii="Calibri" w:hAnsi="Calibri" w:cs="Calibri"/>
                <w:b/>
                <w:bCs/>
                <w:color w:val="000000"/>
                <w:kern w:val="0"/>
                <w:sz w:val="20"/>
                <w:szCs w:val="20"/>
                <w:lang w:eastAsia="nl-NL"/>
              </w:rPr>
              <w:t>NEGATIEF</w:t>
            </w:r>
          </w:p>
        </w:tc>
        <w:tc>
          <w:tcPr>
            <w:tcW w:w="1644" w:type="dxa"/>
            <w:tcBorders>
              <w:top w:val="single" w:sz="4" w:space="0" w:color="auto"/>
              <w:left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 </w:t>
            </w:r>
            <w:r w:rsidRPr="00D754FA">
              <w:rPr>
                <w:rFonts w:ascii="Calibri" w:hAnsi="Calibri" w:cs="Calibri"/>
                <w:iCs/>
                <w:color w:val="000000"/>
                <w:kern w:val="0"/>
                <w:sz w:val="20"/>
                <w:szCs w:val="20"/>
                <w:lang w:eastAsia="nl-NL"/>
              </w:rPr>
              <w:fldChar w:fldCharType="begin"/>
            </w:r>
            <w:r w:rsidRPr="00D754FA">
              <w:rPr>
                <w:rFonts w:ascii="Calibri" w:hAnsi="Calibri" w:cs="Calibri"/>
                <w:iCs/>
                <w:color w:val="000000"/>
                <w:kern w:val="0"/>
                <w:sz w:val="20"/>
                <w:szCs w:val="20"/>
                <w:lang w:eastAsia="nl-NL"/>
              </w:rPr>
              <w:instrText xml:space="preserve"> QUOTE </w:instrText>
            </w:r>
            <w:r w:rsidRPr="00D754FA">
              <w:pict>
                <v:shape id="_x0000_i1046"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2F1C0E&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2F1C0E&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rFonts w:ascii="Calibri" w:hAnsi="Calibri" w:cs="Calibri"/>
                <w:iCs/>
                <w:color w:val="000000"/>
                <w:kern w:val="0"/>
                <w:sz w:val="20"/>
                <w:szCs w:val="20"/>
                <w:lang w:eastAsia="nl-NL"/>
              </w:rPr>
              <w:instrText xml:space="preserve"> </w:instrText>
            </w:r>
            <w:r w:rsidRPr="00D754FA">
              <w:rPr>
                <w:rFonts w:ascii="Calibri" w:hAnsi="Calibri" w:cs="Calibri"/>
                <w:iCs/>
                <w:color w:val="000000"/>
                <w:kern w:val="0"/>
                <w:sz w:val="20"/>
                <w:szCs w:val="20"/>
                <w:lang w:eastAsia="nl-NL"/>
              </w:rPr>
              <w:fldChar w:fldCharType="separate"/>
            </w:r>
            <w:r w:rsidRPr="00D754FA">
              <w:pict>
                <v:shape id="_x0000_i1047"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2F1C0E&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2F1C0E&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rFonts w:ascii="Calibri" w:hAnsi="Calibri" w:cs="Calibri"/>
                <w:iCs/>
                <w:color w:val="000000"/>
                <w:kern w:val="0"/>
                <w:sz w:val="20"/>
                <w:szCs w:val="20"/>
                <w:lang w:eastAsia="nl-NL"/>
              </w:rPr>
              <w:fldChar w:fldCharType="end"/>
            </w:r>
          </w:p>
        </w:tc>
        <w:tc>
          <w:tcPr>
            <w:tcW w:w="1645" w:type="dxa"/>
            <w:tcBorders>
              <w:top w:val="single" w:sz="4" w:space="0" w:color="auto"/>
              <w:left w:val="single" w:sz="4" w:space="0" w:color="auto"/>
              <w:bottom w:val="nil"/>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-5,68869E-05</w:t>
            </w:r>
          </w:p>
        </w:tc>
        <w:tc>
          <w:tcPr>
            <w:tcW w:w="1644" w:type="dxa"/>
            <w:tcBorders>
              <w:top w:val="single" w:sz="4" w:space="0" w:color="auto"/>
              <w:bottom w:val="nil"/>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-0,000413468</w:t>
            </w:r>
          </w:p>
        </w:tc>
        <w:tc>
          <w:tcPr>
            <w:tcW w:w="1645" w:type="dxa"/>
            <w:tcBorders>
              <w:top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-0,003927188</w:t>
            </w:r>
          </w:p>
        </w:tc>
      </w:tr>
      <w:tr w:rsidR="005217AD" w:rsidRPr="00597E72" w:rsidTr="008109E0">
        <w:trPr>
          <w:trHeight w:val="311"/>
        </w:trPr>
        <w:tc>
          <w:tcPr>
            <w:tcW w:w="425" w:type="dxa"/>
            <w:vMerge/>
            <w:tcBorders>
              <w:left w:val="single" w:sz="4" w:space="0" w:color="auto"/>
              <w:bottom w:val="single" w:sz="4" w:space="0" w:color="auto"/>
            </w:tcBorders>
            <w:textDirection w:val="btLr"/>
          </w:tcPr>
          <w:p w:rsidR="005217AD" w:rsidRPr="00EE6D27" w:rsidRDefault="005217AD" w:rsidP="00993F61">
            <w:pPr>
              <w:spacing w:line="240" w:lineRule="auto"/>
              <w:ind w:left="113" w:right="113" w:firstLine="0"/>
              <w:rPr>
                <w:rFonts w:ascii="Calibri" w:hAnsi="Calibri" w:cs="Calibri"/>
                <w:color w:val="000000"/>
                <w:kern w:val="0"/>
                <w:sz w:val="22"/>
                <w:lang w:eastAsia="nl-NL"/>
              </w:rPr>
            </w:pPr>
          </w:p>
        </w:tc>
        <w:tc>
          <w:tcPr>
            <w:tcW w:w="1644" w:type="dxa"/>
            <w:tcBorders>
              <w:top w:val="nil"/>
              <w:left w:val="single" w:sz="4" w:space="0" w:color="auto"/>
              <w:bottom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 </w:t>
            </w:r>
          </w:p>
        </w:tc>
        <w:tc>
          <w:tcPr>
            <w:tcW w:w="1644" w:type="dxa"/>
            <w:tcBorders>
              <w:top w:val="nil"/>
              <w:left w:val="single" w:sz="4" w:space="0" w:color="auto"/>
              <w:bottom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T-waarde</w:t>
            </w:r>
          </w:p>
        </w:tc>
        <w:tc>
          <w:tcPr>
            <w:tcW w:w="1645" w:type="dxa"/>
            <w:tcBorders>
              <w:top w:val="nil"/>
              <w:left w:val="single" w:sz="4" w:space="0" w:color="auto"/>
              <w:bottom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-0,062089952</w:t>
            </w:r>
          </w:p>
        </w:tc>
        <w:tc>
          <w:tcPr>
            <w:tcW w:w="1644" w:type="dxa"/>
            <w:tcBorders>
              <w:top w:val="nil"/>
              <w:bottom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-0,552708917</w:t>
            </w:r>
          </w:p>
        </w:tc>
        <w:tc>
          <w:tcPr>
            <w:tcW w:w="1645" w:type="dxa"/>
            <w:tcBorders>
              <w:top w:val="nil"/>
              <w:bottom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-7,424233135</w:t>
            </w:r>
          </w:p>
        </w:tc>
      </w:tr>
      <w:tr w:rsidR="005217AD" w:rsidRPr="00597E72" w:rsidTr="008109E0">
        <w:trPr>
          <w:trHeight w:val="311"/>
        </w:trPr>
        <w:tc>
          <w:tcPr>
            <w:tcW w:w="425" w:type="dxa"/>
            <w:vMerge w:val="restart"/>
            <w:tcBorders>
              <w:top w:val="single" w:sz="4" w:space="0" w:color="auto"/>
              <w:left w:val="single" w:sz="4" w:space="0" w:color="auto"/>
            </w:tcBorders>
            <w:textDirection w:val="btLr"/>
          </w:tcPr>
          <w:p w:rsidR="005217AD" w:rsidRPr="00EE6D27" w:rsidRDefault="005217AD" w:rsidP="00993F61">
            <w:pPr>
              <w:spacing w:line="240" w:lineRule="auto"/>
              <w:ind w:left="113" w:right="113" w:firstLine="0"/>
              <w:rPr>
                <w:rFonts w:ascii="Calibri" w:hAnsi="Calibri" w:cs="Calibri"/>
                <w:b/>
                <w:bCs/>
                <w:color w:val="000000"/>
                <w:kern w:val="0"/>
                <w:sz w:val="22"/>
                <w:lang w:eastAsia="nl-NL"/>
              </w:rPr>
            </w:pPr>
            <w:r w:rsidRPr="00EE6D27">
              <w:rPr>
                <w:rFonts w:ascii="Calibri" w:hAnsi="Calibri" w:cs="Calibri"/>
                <w:b/>
                <w:bCs/>
                <w:color w:val="000000"/>
                <w:kern w:val="0"/>
                <w:sz w:val="22"/>
                <w:lang w:eastAsia="nl-NL"/>
              </w:rPr>
              <w:t>WEINIG</w:t>
            </w:r>
          </w:p>
        </w:tc>
        <w:tc>
          <w:tcPr>
            <w:tcW w:w="1644" w:type="dxa"/>
            <w:tcBorders>
              <w:top w:val="single" w:sz="4" w:space="0" w:color="auto"/>
              <w:left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b/>
                <w:bCs/>
                <w:color w:val="000000"/>
                <w:kern w:val="0"/>
                <w:sz w:val="20"/>
                <w:szCs w:val="20"/>
                <w:lang w:eastAsia="nl-NL"/>
              </w:rPr>
            </w:pPr>
            <w:r w:rsidRPr="00597E72">
              <w:rPr>
                <w:rFonts w:ascii="Calibri" w:hAnsi="Calibri" w:cs="Calibri"/>
                <w:b/>
                <w:bCs/>
                <w:color w:val="000000"/>
                <w:kern w:val="0"/>
                <w:sz w:val="20"/>
                <w:szCs w:val="20"/>
                <w:lang w:eastAsia="nl-NL"/>
              </w:rPr>
              <w:t>POSITIEF</w:t>
            </w:r>
          </w:p>
        </w:tc>
        <w:tc>
          <w:tcPr>
            <w:tcW w:w="1644" w:type="dxa"/>
            <w:tcBorders>
              <w:top w:val="nil"/>
              <w:left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 </w:t>
            </w:r>
            <w:r w:rsidRPr="00D754FA">
              <w:rPr>
                <w:rFonts w:ascii="Calibri" w:hAnsi="Calibri" w:cs="Calibri"/>
                <w:iCs/>
                <w:color w:val="000000"/>
                <w:kern w:val="0"/>
                <w:sz w:val="20"/>
                <w:szCs w:val="20"/>
                <w:lang w:eastAsia="nl-NL"/>
              </w:rPr>
              <w:fldChar w:fldCharType="begin"/>
            </w:r>
            <w:r w:rsidRPr="00D754FA">
              <w:rPr>
                <w:rFonts w:ascii="Calibri" w:hAnsi="Calibri" w:cs="Calibri"/>
                <w:iCs/>
                <w:color w:val="000000"/>
                <w:kern w:val="0"/>
                <w:sz w:val="20"/>
                <w:szCs w:val="20"/>
                <w:lang w:eastAsia="nl-NL"/>
              </w:rPr>
              <w:instrText xml:space="preserve"> QUOTE </w:instrText>
            </w:r>
            <w:r w:rsidRPr="00D754FA">
              <w:pict>
                <v:shape id="_x0000_i1048"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1E92&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031E92&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rFonts w:ascii="Calibri" w:hAnsi="Calibri" w:cs="Calibri"/>
                <w:iCs/>
                <w:color w:val="000000"/>
                <w:kern w:val="0"/>
                <w:sz w:val="20"/>
                <w:szCs w:val="20"/>
                <w:lang w:eastAsia="nl-NL"/>
              </w:rPr>
              <w:instrText xml:space="preserve"> </w:instrText>
            </w:r>
            <w:r w:rsidRPr="00D754FA">
              <w:rPr>
                <w:rFonts w:ascii="Calibri" w:hAnsi="Calibri" w:cs="Calibri"/>
                <w:iCs/>
                <w:color w:val="000000"/>
                <w:kern w:val="0"/>
                <w:sz w:val="20"/>
                <w:szCs w:val="20"/>
                <w:lang w:eastAsia="nl-NL"/>
              </w:rPr>
              <w:fldChar w:fldCharType="separate"/>
            </w:r>
            <w:r w:rsidRPr="00D754FA">
              <w:pict>
                <v:shape id="_x0000_i1049"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1E92&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031E92&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rFonts w:ascii="Calibri" w:hAnsi="Calibri" w:cs="Calibri"/>
                <w:iCs/>
                <w:color w:val="000000"/>
                <w:kern w:val="0"/>
                <w:sz w:val="20"/>
                <w:szCs w:val="20"/>
                <w:lang w:eastAsia="nl-NL"/>
              </w:rPr>
              <w:fldChar w:fldCharType="end"/>
            </w:r>
          </w:p>
        </w:tc>
        <w:tc>
          <w:tcPr>
            <w:tcW w:w="1645" w:type="dxa"/>
            <w:tcBorders>
              <w:top w:val="single" w:sz="4" w:space="0" w:color="auto"/>
              <w:left w:val="single" w:sz="4" w:space="0" w:color="auto"/>
              <w:bottom w:val="nil"/>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0,010623698</w:t>
            </w:r>
          </w:p>
        </w:tc>
        <w:tc>
          <w:tcPr>
            <w:tcW w:w="1644" w:type="dxa"/>
            <w:tcBorders>
              <w:top w:val="single" w:sz="4" w:space="0" w:color="auto"/>
              <w:bottom w:val="nil"/>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0,005951578</w:t>
            </w:r>
          </w:p>
        </w:tc>
        <w:tc>
          <w:tcPr>
            <w:tcW w:w="1645" w:type="dxa"/>
            <w:tcBorders>
              <w:top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0,003998585</w:t>
            </w:r>
          </w:p>
        </w:tc>
      </w:tr>
      <w:tr w:rsidR="005217AD" w:rsidRPr="00597E72" w:rsidTr="008109E0">
        <w:trPr>
          <w:trHeight w:val="311"/>
        </w:trPr>
        <w:tc>
          <w:tcPr>
            <w:tcW w:w="425" w:type="dxa"/>
            <w:vMerge/>
            <w:tcBorders>
              <w:left w:val="single" w:sz="4" w:space="0" w:color="auto"/>
            </w:tcBorders>
          </w:tcPr>
          <w:p w:rsidR="005217AD" w:rsidRPr="00597E72" w:rsidRDefault="005217AD" w:rsidP="00993F61">
            <w:pPr>
              <w:spacing w:line="240" w:lineRule="auto"/>
              <w:ind w:firstLine="0"/>
              <w:rPr>
                <w:rFonts w:ascii="Calibri" w:hAnsi="Calibri" w:cs="Calibri"/>
                <w:color w:val="000000"/>
                <w:kern w:val="0"/>
                <w:sz w:val="20"/>
                <w:szCs w:val="20"/>
                <w:lang w:eastAsia="nl-NL"/>
              </w:rPr>
            </w:pPr>
          </w:p>
        </w:tc>
        <w:tc>
          <w:tcPr>
            <w:tcW w:w="1644" w:type="dxa"/>
            <w:tcBorders>
              <w:top w:val="nil"/>
              <w:left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 </w:t>
            </w:r>
          </w:p>
        </w:tc>
        <w:tc>
          <w:tcPr>
            <w:tcW w:w="1644" w:type="dxa"/>
            <w:tcBorders>
              <w:top w:val="nil"/>
              <w:left w:val="single" w:sz="4" w:space="0" w:color="auto"/>
              <w:bottom w:val="single" w:sz="8"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T-waarde</w:t>
            </w:r>
          </w:p>
        </w:tc>
        <w:tc>
          <w:tcPr>
            <w:tcW w:w="1645" w:type="dxa"/>
            <w:tcBorders>
              <w:top w:val="nil"/>
              <w:left w:val="single" w:sz="4" w:space="0" w:color="auto"/>
              <w:bottom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11,59537959</w:t>
            </w:r>
          </w:p>
        </w:tc>
        <w:tc>
          <w:tcPr>
            <w:tcW w:w="1644" w:type="dxa"/>
            <w:tcBorders>
              <w:top w:val="nil"/>
              <w:bottom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7,955858243</w:t>
            </w:r>
          </w:p>
        </w:tc>
        <w:tc>
          <w:tcPr>
            <w:tcW w:w="1645" w:type="dxa"/>
            <w:tcBorders>
              <w:top w:val="nil"/>
              <w:bottom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7,559206799</w:t>
            </w:r>
          </w:p>
        </w:tc>
      </w:tr>
      <w:tr w:rsidR="005217AD" w:rsidRPr="00597E72" w:rsidTr="008109E0">
        <w:trPr>
          <w:trHeight w:val="311"/>
        </w:trPr>
        <w:tc>
          <w:tcPr>
            <w:tcW w:w="425" w:type="dxa"/>
            <w:vMerge/>
            <w:tcBorders>
              <w:left w:val="single" w:sz="4" w:space="0" w:color="auto"/>
            </w:tcBorders>
          </w:tcPr>
          <w:p w:rsidR="005217AD" w:rsidRPr="00597E72" w:rsidRDefault="005217AD" w:rsidP="00993F61">
            <w:pPr>
              <w:spacing w:line="240" w:lineRule="auto"/>
              <w:ind w:firstLine="0"/>
              <w:rPr>
                <w:rFonts w:ascii="Calibri" w:hAnsi="Calibri" w:cs="Calibri"/>
                <w:b/>
                <w:bCs/>
                <w:color w:val="000000"/>
                <w:kern w:val="0"/>
                <w:sz w:val="20"/>
                <w:szCs w:val="20"/>
                <w:lang w:eastAsia="nl-NL"/>
              </w:rPr>
            </w:pPr>
          </w:p>
        </w:tc>
        <w:tc>
          <w:tcPr>
            <w:tcW w:w="1644" w:type="dxa"/>
            <w:tcBorders>
              <w:top w:val="nil"/>
              <w:left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b/>
                <w:bCs/>
                <w:color w:val="000000"/>
                <w:kern w:val="0"/>
                <w:sz w:val="20"/>
                <w:szCs w:val="20"/>
                <w:lang w:eastAsia="nl-NL"/>
              </w:rPr>
            </w:pPr>
            <w:r w:rsidRPr="00597E72">
              <w:rPr>
                <w:rFonts w:ascii="Calibri" w:hAnsi="Calibri" w:cs="Calibri"/>
                <w:b/>
                <w:bCs/>
                <w:color w:val="000000"/>
                <w:kern w:val="0"/>
                <w:sz w:val="20"/>
                <w:szCs w:val="20"/>
                <w:lang w:eastAsia="nl-NL"/>
              </w:rPr>
              <w:t>GEEN</w:t>
            </w:r>
          </w:p>
        </w:tc>
        <w:tc>
          <w:tcPr>
            <w:tcW w:w="1644" w:type="dxa"/>
            <w:tcBorders>
              <w:top w:val="nil"/>
              <w:left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 </w:t>
            </w:r>
            <w:r w:rsidRPr="00D754FA">
              <w:rPr>
                <w:rFonts w:ascii="Calibri" w:hAnsi="Calibri" w:cs="Calibri"/>
                <w:iCs/>
                <w:color w:val="000000"/>
                <w:kern w:val="0"/>
                <w:sz w:val="20"/>
                <w:szCs w:val="20"/>
                <w:lang w:eastAsia="nl-NL"/>
              </w:rPr>
              <w:fldChar w:fldCharType="begin"/>
            </w:r>
            <w:r w:rsidRPr="00D754FA">
              <w:rPr>
                <w:rFonts w:ascii="Calibri" w:hAnsi="Calibri" w:cs="Calibri"/>
                <w:iCs/>
                <w:color w:val="000000"/>
                <w:kern w:val="0"/>
                <w:sz w:val="20"/>
                <w:szCs w:val="20"/>
                <w:lang w:eastAsia="nl-NL"/>
              </w:rPr>
              <w:instrText xml:space="preserve"> QUOTE </w:instrText>
            </w:r>
            <w:r w:rsidRPr="00D754FA">
              <w:pict>
                <v:shape id="_x0000_i1050"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D3F&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555D3F&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rFonts w:ascii="Calibri" w:hAnsi="Calibri" w:cs="Calibri"/>
                <w:iCs/>
                <w:color w:val="000000"/>
                <w:kern w:val="0"/>
                <w:sz w:val="20"/>
                <w:szCs w:val="20"/>
                <w:lang w:eastAsia="nl-NL"/>
              </w:rPr>
              <w:instrText xml:space="preserve"> </w:instrText>
            </w:r>
            <w:r w:rsidRPr="00D754FA">
              <w:rPr>
                <w:rFonts w:ascii="Calibri" w:hAnsi="Calibri" w:cs="Calibri"/>
                <w:iCs/>
                <w:color w:val="000000"/>
                <w:kern w:val="0"/>
                <w:sz w:val="20"/>
                <w:szCs w:val="20"/>
                <w:lang w:eastAsia="nl-NL"/>
              </w:rPr>
              <w:fldChar w:fldCharType="separate"/>
            </w:r>
            <w:r w:rsidRPr="00D754FA">
              <w:pict>
                <v:shape id="_x0000_i1051"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D3F&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555D3F&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rFonts w:ascii="Calibri" w:hAnsi="Calibri" w:cs="Calibri"/>
                <w:iCs/>
                <w:color w:val="000000"/>
                <w:kern w:val="0"/>
                <w:sz w:val="20"/>
                <w:szCs w:val="20"/>
                <w:lang w:eastAsia="nl-NL"/>
              </w:rPr>
              <w:fldChar w:fldCharType="end"/>
            </w:r>
          </w:p>
        </w:tc>
        <w:tc>
          <w:tcPr>
            <w:tcW w:w="1645" w:type="dxa"/>
            <w:tcBorders>
              <w:top w:val="single" w:sz="4" w:space="0" w:color="auto"/>
              <w:left w:val="single" w:sz="4" w:space="0" w:color="auto"/>
              <w:bottom w:val="nil"/>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0,009383752</w:t>
            </w:r>
          </w:p>
        </w:tc>
        <w:tc>
          <w:tcPr>
            <w:tcW w:w="1644" w:type="dxa"/>
            <w:tcBorders>
              <w:top w:val="single" w:sz="4" w:space="0" w:color="auto"/>
              <w:bottom w:val="nil"/>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0,005639052</w:t>
            </w:r>
          </w:p>
        </w:tc>
        <w:tc>
          <w:tcPr>
            <w:tcW w:w="1645" w:type="dxa"/>
            <w:tcBorders>
              <w:top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0,004874593</w:t>
            </w:r>
          </w:p>
        </w:tc>
      </w:tr>
      <w:tr w:rsidR="005217AD" w:rsidRPr="00597E72" w:rsidTr="008109E0">
        <w:trPr>
          <w:trHeight w:val="311"/>
        </w:trPr>
        <w:tc>
          <w:tcPr>
            <w:tcW w:w="425" w:type="dxa"/>
            <w:vMerge/>
            <w:tcBorders>
              <w:left w:val="single" w:sz="4" w:space="0" w:color="auto"/>
            </w:tcBorders>
          </w:tcPr>
          <w:p w:rsidR="005217AD" w:rsidRPr="00597E72" w:rsidRDefault="005217AD" w:rsidP="00993F61">
            <w:pPr>
              <w:spacing w:line="240" w:lineRule="auto"/>
              <w:ind w:firstLine="0"/>
              <w:rPr>
                <w:rFonts w:ascii="Calibri" w:hAnsi="Calibri" w:cs="Calibri"/>
                <w:color w:val="000000"/>
                <w:kern w:val="0"/>
                <w:sz w:val="20"/>
                <w:szCs w:val="20"/>
                <w:lang w:eastAsia="nl-NL"/>
              </w:rPr>
            </w:pPr>
          </w:p>
        </w:tc>
        <w:tc>
          <w:tcPr>
            <w:tcW w:w="1644" w:type="dxa"/>
            <w:tcBorders>
              <w:top w:val="nil"/>
              <w:left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 </w:t>
            </w:r>
          </w:p>
        </w:tc>
        <w:tc>
          <w:tcPr>
            <w:tcW w:w="1644" w:type="dxa"/>
            <w:tcBorders>
              <w:top w:val="nil"/>
              <w:left w:val="single" w:sz="4" w:space="0" w:color="auto"/>
              <w:bottom w:val="single" w:sz="8"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T-waarde</w:t>
            </w:r>
          </w:p>
        </w:tc>
        <w:tc>
          <w:tcPr>
            <w:tcW w:w="1645" w:type="dxa"/>
            <w:tcBorders>
              <w:top w:val="nil"/>
              <w:left w:val="single" w:sz="4" w:space="0" w:color="auto"/>
              <w:bottom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10,24202461</w:t>
            </w:r>
          </w:p>
        </w:tc>
        <w:tc>
          <w:tcPr>
            <w:tcW w:w="1644" w:type="dxa"/>
            <w:tcBorders>
              <w:top w:val="nil"/>
              <w:bottom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7,538084404</w:t>
            </w:r>
          </w:p>
        </w:tc>
        <w:tc>
          <w:tcPr>
            <w:tcW w:w="1645" w:type="dxa"/>
            <w:tcBorders>
              <w:top w:val="nil"/>
              <w:bottom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9,215274982</w:t>
            </w:r>
          </w:p>
        </w:tc>
      </w:tr>
      <w:tr w:rsidR="005217AD" w:rsidRPr="00597E72" w:rsidTr="008109E0">
        <w:trPr>
          <w:trHeight w:val="311"/>
        </w:trPr>
        <w:tc>
          <w:tcPr>
            <w:tcW w:w="425" w:type="dxa"/>
            <w:vMerge/>
            <w:tcBorders>
              <w:left w:val="single" w:sz="4" w:space="0" w:color="auto"/>
            </w:tcBorders>
          </w:tcPr>
          <w:p w:rsidR="005217AD" w:rsidRPr="00597E72" w:rsidRDefault="005217AD" w:rsidP="00993F61">
            <w:pPr>
              <w:spacing w:line="240" w:lineRule="auto"/>
              <w:ind w:firstLine="0"/>
              <w:rPr>
                <w:rFonts w:ascii="Calibri" w:hAnsi="Calibri" w:cs="Calibri"/>
                <w:b/>
                <w:bCs/>
                <w:color w:val="000000"/>
                <w:kern w:val="0"/>
                <w:sz w:val="20"/>
                <w:szCs w:val="20"/>
                <w:lang w:eastAsia="nl-NL"/>
              </w:rPr>
            </w:pPr>
          </w:p>
        </w:tc>
        <w:tc>
          <w:tcPr>
            <w:tcW w:w="1644" w:type="dxa"/>
            <w:tcBorders>
              <w:top w:val="nil"/>
              <w:left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b/>
                <w:bCs/>
                <w:color w:val="000000"/>
                <w:kern w:val="0"/>
                <w:sz w:val="20"/>
                <w:szCs w:val="20"/>
                <w:lang w:eastAsia="nl-NL"/>
              </w:rPr>
            </w:pPr>
            <w:r w:rsidRPr="00597E72">
              <w:rPr>
                <w:rFonts w:ascii="Calibri" w:hAnsi="Calibri" w:cs="Calibri"/>
                <w:b/>
                <w:bCs/>
                <w:color w:val="000000"/>
                <w:kern w:val="0"/>
                <w:sz w:val="20"/>
                <w:szCs w:val="20"/>
                <w:lang w:eastAsia="nl-NL"/>
              </w:rPr>
              <w:t>NEGATIEF</w:t>
            </w:r>
          </w:p>
        </w:tc>
        <w:tc>
          <w:tcPr>
            <w:tcW w:w="1644" w:type="dxa"/>
            <w:tcBorders>
              <w:top w:val="nil"/>
              <w:left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 </w:t>
            </w:r>
            <w:r w:rsidRPr="00D754FA">
              <w:rPr>
                <w:rFonts w:ascii="Calibri" w:hAnsi="Calibri" w:cs="Calibri"/>
                <w:iCs/>
                <w:color w:val="000000"/>
                <w:kern w:val="0"/>
                <w:sz w:val="20"/>
                <w:szCs w:val="20"/>
                <w:lang w:eastAsia="nl-NL"/>
              </w:rPr>
              <w:fldChar w:fldCharType="begin"/>
            </w:r>
            <w:r w:rsidRPr="00D754FA">
              <w:rPr>
                <w:rFonts w:ascii="Calibri" w:hAnsi="Calibri" w:cs="Calibri"/>
                <w:iCs/>
                <w:color w:val="000000"/>
                <w:kern w:val="0"/>
                <w:sz w:val="20"/>
                <w:szCs w:val="20"/>
                <w:lang w:eastAsia="nl-NL"/>
              </w:rPr>
              <w:instrText xml:space="preserve"> QUOTE </w:instrText>
            </w:r>
            <w:r w:rsidRPr="00D754FA">
              <w:pict>
                <v:shape id="_x0000_i1052"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0A6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AB0A64&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rFonts w:ascii="Calibri" w:hAnsi="Calibri" w:cs="Calibri"/>
                <w:iCs/>
                <w:color w:val="000000"/>
                <w:kern w:val="0"/>
                <w:sz w:val="20"/>
                <w:szCs w:val="20"/>
                <w:lang w:eastAsia="nl-NL"/>
              </w:rPr>
              <w:instrText xml:space="preserve"> </w:instrText>
            </w:r>
            <w:r w:rsidRPr="00D754FA">
              <w:rPr>
                <w:rFonts w:ascii="Calibri" w:hAnsi="Calibri" w:cs="Calibri"/>
                <w:iCs/>
                <w:color w:val="000000"/>
                <w:kern w:val="0"/>
                <w:sz w:val="20"/>
                <w:szCs w:val="20"/>
                <w:lang w:eastAsia="nl-NL"/>
              </w:rPr>
              <w:fldChar w:fldCharType="separate"/>
            </w:r>
            <w:r w:rsidRPr="00D754FA">
              <w:pict>
                <v:shape id="_x0000_i1053" type="#_x0000_t75" style="width:23.2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0A6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AB0A64&quot;&gt;&lt;m:oMathPara&gt;&lt;m:oMath&gt;&lt;m:acc&gt;&lt;m:accPr&gt;&lt;m:chr m:val=&quot;Ì…&quot;/&gt;&lt;m:ctrlPr&gt;&lt;w:rPr&gt;&lt;w:rFonts w:ascii=&quot;Cambria Math&quot; w:h-ansi=&quot;Calibri&quot; w:cs=&quot;Calibri&quot;/&gt;&lt;wx:font wx:val=&quot;Cambria Math&quot;/&gt;&lt;w:i/&gt;&lt;w:color w:val=&quot;000000&quot;/&gt;&lt;w:kern w:val=&quot;0&quot;/&gt;&lt;w:sz w:val=&quot;22&quot;/&gt;&lt;w:lang w:fareast=&quot;NL&quot; w:bidi=&quot;AR-SA&quot;/&gt;&lt;/w:rPr&gt;&lt;/m:ctrlPr&gt;&lt;/m:accPr&gt;&lt;m:e&gt;&lt;m:r&gt;&lt;w:rPr&gt;&lt;w:rFonts w:ascii=&quot;Cambria Math&quot; w:h-ansi=&quot;Cambria Math&quot; w:cs=&quot;Calibri&quot;/&gt;&lt;wx:font wx:val=&quot;Cambria Math&quot;/&gt;&lt;w:i/&gt;&lt;w:color w:val=&quot;000000&quot;/&gt;&lt;w:kern w:val=&quot;0&quot;/&gt;&lt;w:sz w:val=&quot;22&quot;/&gt;&lt;w:lang w:fareast=&quot;NL&quot; w:bidi=&quot;AR-SA&quot;/&gt;&lt;/w:rPr&gt;&lt;m:t&gt;CAR&lt;/m:t&gt;&lt;/m:r&gt;&lt;/m:e&gt;&lt;/m:acc&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D754FA">
              <w:rPr>
                <w:rFonts w:ascii="Calibri" w:hAnsi="Calibri" w:cs="Calibri"/>
                <w:iCs/>
                <w:color w:val="000000"/>
                <w:kern w:val="0"/>
                <w:sz w:val="20"/>
                <w:szCs w:val="20"/>
                <w:lang w:eastAsia="nl-NL"/>
              </w:rPr>
              <w:fldChar w:fldCharType="end"/>
            </w:r>
          </w:p>
        </w:tc>
        <w:tc>
          <w:tcPr>
            <w:tcW w:w="1645" w:type="dxa"/>
            <w:tcBorders>
              <w:top w:val="single" w:sz="4" w:space="0" w:color="auto"/>
              <w:left w:val="single" w:sz="4" w:space="0" w:color="auto"/>
              <w:bottom w:val="nil"/>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-0,004792153</w:t>
            </w:r>
          </w:p>
        </w:tc>
        <w:tc>
          <w:tcPr>
            <w:tcW w:w="1644" w:type="dxa"/>
            <w:tcBorders>
              <w:top w:val="single" w:sz="4" w:space="0" w:color="auto"/>
              <w:bottom w:val="nil"/>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-0,004868988</w:t>
            </w:r>
          </w:p>
        </w:tc>
        <w:tc>
          <w:tcPr>
            <w:tcW w:w="1645" w:type="dxa"/>
            <w:tcBorders>
              <w:top w:val="single" w:sz="4" w:space="0" w:color="auto"/>
              <w:bottom w:val="nil"/>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-0,010616911</w:t>
            </w:r>
          </w:p>
        </w:tc>
      </w:tr>
      <w:tr w:rsidR="005217AD" w:rsidRPr="00597E72" w:rsidTr="008109E0">
        <w:trPr>
          <w:trHeight w:val="311"/>
        </w:trPr>
        <w:tc>
          <w:tcPr>
            <w:tcW w:w="425" w:type="dxa"/>
            <w:vMerge/>
            <w:tcBorders>
              <w:left w:val="single" w:sz="4" w:space="0" w:color="auto"/>
              <w:bottom w:val="single" w:sz="4" w:space="0" w:color="auto"/>
            </w:tcBorders>
          </w:tcPr>
          <w:p w:rsidR="005217AD" w:rsidRPr="00597E72" w:rsidRDefault="005217AD" w:rsidP="00993F61">
            <w:pPr>
              <w:spacing w:line="240" w:lineRule="auto"/>
              <w:ind w:firstLine="0"/>
              <w:rPr>
                <w:rFonts w:ascii="Calibri" w:hAnsi="Calibri" w:cs="Calibri"/>
                <w:color w:val="000000"/>
                <w:kern w:val="0"/>
                <w:sz w:val="20"/>
                <w:szCs w:val="20"/>
                <w:lang w:eastAsia="nl-NL"/>
              </w:rPr>
            </w:pPr>
          </w:p>
        </w:tc>
        <w:tc>
          <w:tcPr>
            <w:tcW w:w="1644" w:type="dxa"/>
            <w:tcBorders>
              <w:top w:val="nil"/>
              <w:left w:val="single" w:sz="4" w:space="0" w:color="auto"/>
              <w:bottom w:val="single" w:sz="4"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 </w:t>
            </w:r>
          </w:p>
        </w:tc>
        <w:tc>
          <w:tcPr>
            <w:tcW w:w="1644" w:type="dxa"/>
            <w:tcBorders>
              <w:top w:val="nil"/>
              <w:left w:val="single" w:sz="4" w:space="0" w:color="auto"/>
              <w:bottom w:val="single" w:sz="8" w:space="0" w:color="auto"/>
              <w:right w:val="single" w:sz="4" w:space="0" w:color="auto"/>
            </w:tcBorders>
            <w:noWrap/>
            <w:vAlign w:val="bottom"/>
          </w:tcPr>
          <w:p w:rsidR="005217AD" w:rsidRPr="00597E72" w:rsidRDefault="005217AD" w:rsidP="00993F61">
            <w:pPr>
              <w:spacing w:line="240" w:lineRule="auto"/>
              <w:ind w:firstLine="0"/>
              <w:rPr>
                <w:rFonts w:ascii="Calibri" w:hAnsi="Calibri" w:cs="Calibri"/>
                <w:i/>
                <w:iCs/>
                <w:color w:val="000000"/>
                <w:kern w:val="0"/>
                <w:sz w:val="20"/>
                <w:szCs w:val="20"/>
                <w:lang w:eastAsia="nl-NL"/>
              </w:rPr>
            </w:pPr>
            <w:r w:rsidRPr="00597E72">
              <w:rPr>
                <w:rFonts w:ascii="Calibri" w:hAnsi="Calibri" w:cs="Calibri"/>
                <w:i/>
                <w:iCs/>
                <w:color w:val="000000"/>
                <w:kern w:val="0"/>
                <w:sz w:val="20"/>
                <w:szCs w:val="20"/>
                <w:lang w:eastAsia="nl-NL"/>
              </w:rPr>
              <w:t>T-waarde</w:t>
            </w:r>
          </w:p>
        </w:tc>
        <w:tc>
          <w:tcPr>
            <w:tcW w:w="1645" w:type="dxa"/>
            <w:tcBorders>
              <w:top w:val="nil"/>
              <w:left w:val="single" w:sz="4" w:space="0" w:color="auto"/>
              <w:bottom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-5,23046085</w:t>
            </w:r>
          </w:p>
        </w:tc>
        <w:tc>
          <w:tcPr>
            <w:tcW w:w="1644" w:type="dxa"/>
            <w:tcBorders>
              <w:top w:val="nil"/>
              <w:bottom w:val="single" w:sz="4" w:space="0" w:color="auto"/>
            </w:tcBorders>
            <w:noWrap/>
            <w:vAlign w:val="bottom"/>
          </w:tcPr>
          <w:p w:rsidR="005217AD" w:rsidRPr="00597E72" w:rsidRDefault="005217AD" w:rsidP="00993F61">
            <w:pPr>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-6,508689772</w:t>
            </w:r>
          </w:p>
        </w:tc>
        <w:tc>
          <w:tcPr>
            <w:tcW w:w="1645" w:type="dxa"/>
            <w:tcBorders>
              <w:top w:val="nil"/>
              <w:bottom w:val="single" w:sz="4" w:space="0" w:color="auto"/>
              <w:right w:val="single" w:sz="4" w:space="0" w:color="auto"/>
            </w:tcBorders>
            <w:noWrap/>
            <w:vAlign w:val="bottom"/>
          </w:tcPr>
          <w:p w:rsidR="005217AD" w:rsidRPr="00597E72" w:rsidRDefault="005217AD" w:rsidP="00993F61">
            <w:pPr>
              <w:keepNext/>
              <w:spacing w:line="240" w:lineRule="auto"/>
              <w:ind w:firstLine="0"/>
              <w:rPr>
                <w:rFonts w:ascii="Calibri" w:hAnsi="Calibri" w:cs="Calibri"/>
                <w:color w:val="000000"/>
                <w:kern w:val="0"/>
                <w:sz w:val="20"/>
                <w:szCs w:val="20"/>
                <w:lang w:eastAsia="nl-NL"/>
              </w:rPr>
            </w:pPr>
            <w:r w:rsidRPr="00597E72">
              <w:rPr>
                <w:rFonts w:ascii="Calibri" w:hAnsi="Calibri" w:cs="Calibri"/>
                <w:color w:val="000000"/>
                <w:kern w:val="0"/>
                <w:sz w:val="20"/>
                <w:szCs w:val="20"/>
                <w:lang w:eastAsia="nl-NL"/>
              </w:rPr>
              <w:t>-20,07095739</w:t>
            </w:r>
          </w:p>
        </w:tc>
      </w:tr>
    </w:tbl>
    <w:p w:rsidR="005217AD" w:rsidRPr="00AB1520" w:rsidRDefault="005217AD" w:rsidP="00993F61">
      <w:pPr>
        <w:pStyle w:val="Caption"/>
        <w:pBdr>
          <w:top w:val="single" w:sz="4" w:space="1" w:color="auto"/>
          <w:bottom w:val="single" w:sz="4" w:space="1" w:color="auto"/>
        </w:pBdr>
        <w:rPr>
          <w:kern w:val="0"/>
          <w:szCs w:val="24"/>
          <w:lang w:eastAsia="nl-NL"/>
        </w:rPr>
      </w:pPr>
      <w:bookmarkStart w:id="65" w:name="_Ref264459007"/>
      <w:bookmarkStart w:id="66" w:name="_Ref264458997"/>
      <w:r>
        <w:t xml:space="preserve">Tabel </w:t>
      </w:r>
      <w:fldSimple w:instr=" SEQ Tabel \* ARABIC ">
        <w:r>
          <w:rPr>
            <w:noProof/>
          </w:rPr>
          <w:t>4</w:t>
        </w:r>
      </w:fldSimple>
      <w:bookmarkEnd w:id="65"/>
      <w:r>
        <w:t>. De</w:t>
      </w:r>
      <w:r w:rsidRPr="00837C04">
        <w:rPr>
          <w:szCs w:val="20"/>
        </w:rPr>
        <w:t xml:space="preserve"> </w:t>
      </w:r>
      <w:r>
        <w:rPr>
          <w:szCs w:val="20"/>
        </w:rPr>
        <w:t>T</w:t>
      </w:r>
      <w:r w:rsidRPr="00837C04">
        <w:rPr>
          <w:szCs w:val="20"/>
        </w:rPr>
        <w:t>-waarden van de gemiddeld cumulatieve abnormale rendementen per categorie. De relatieve startperiode (</w:t>
      </w:r>
      <w:r w:rsidRPr="00837C04">
        <w:rPr>
          <w:kern w:val="0"/>
          <w:szCs w:val="20"/>
          <w:lang w:eastAsia="nl-NL"/>
        </w:rPr>
        <w:t>τ</w:t>
      </w:r>
      <w:r w:rsidRPr="00837C04">
        <w:rPr>
          <w:color w:val="000000"/>
          <w:kern w:val="0"/>
          <w:szCs w:val="20"/>
          <w:vertAlign w:val="subscript"/>
          <w:lang w:eastAsia="nl-NL"/>
        </w:rPr>
        <w:t xml:space="preserve"> </w:t>
      </w:r>
      <w:r w:rsidRPr="005F09D9">
        <w:rPr>
          <w:color w:val="000000"/>
          <w:kern w:val="0"/>
          <w:szCs w:val="20"/>
          <w:vertAlign w:val="subscript"/>
          <w:lang w:eastAsia="nl-NL"/>
        </w:rPr>
        <w:t>1</w:t>
      </w:r>
      <w:r w:rsidRPr="00837C04">
        <w:rPr>
          <w:color w:val="000000"/>
          <w:kern w:val="0"/>
          <w:szCs w:val="20"/>
          <w:lang w:eastAsia="nl-NL"/>
        </w:rPr>
        <w:t xml:space="preserve">) verschilt per kolom, maar de eindperiode vast staat op </w:t>
      </w:r>
      <w:r w:rsidRPr="00837C04">
        <w:rPr>
          <w:kern w:val="0"/>
          <w:szCs w:val="20"/>
          <w:lang w:eastAsia="nl-NL"/>
        </w:rPr>
        <w:t>τ</w:t>
      </w:r>
      <w:r w:rsidRPr="00837C04">
        <w:rPr>
          <w:color w:val="000000"/>
          <w:kern w:val="0"/>
          <w:szCs w:val="20"/>
          <w:vertAlign w:val="subscript"/>
          <w:lang w:eastAsia="nl-NL"/>
        </w:rPr>
        <w:t xml:space="preserve"> 2</w:t>
      </w:r>
      <w:r w:rsidRPr="00837C04">
        <w:rPr>
          <w:color w:val="000000"/>
          <w:kern w:val="0"/>
          <w:szCs w:val="20"/>
          <w:lang w:eastAsia="nl-NL"/>
        </w:rPr>
        <w:t>=0.</w:t>
      </w:r>
      <w:bookmarkEnd w:id="66"/>
    </w:p>
    <w:p w:rsidR="005217AD" w:rsidRDefault="005217AD" w:rsidP="00B835E7">
      <w:pPr>
        <w:pStyle w:val="Heading1"/>
        <w:numPr>
          <w:ilvl w:val="0"/>
          <w:numId w:val="5"/>
        </w:numPr>
        <w:rPr>
          <w:kern w:val="0"/>
        </w:rPr>
      </w:pPr>
      <w:bookmarkStart w:id="67" w:name="_Toc267486049"/>
      <w:bookmarkStart w:id="68" w:name="_Ref264539356"/>
      <w:r>
        <w:rPr>
          <w:kern w:val="0"/>
        </w:rPr>
        <w:t>Wat is de mogelijk economische significantie?</w:t>
      </w:r>
      <w:bookmarkEnd w:id="67"/>
    </w:p>
    <w:p w:rsidR="005217AD" w:rsidRDefault="005217AD" w:rsidP="00B835E7">
      <w:pPr>
        <w:rPr>
          <w:lang w:eastAsia="nl-NL"/>
        </w:rPr>
      </w:pPr>
      <w:r>
        <w:rPr>
          <w:lang w:eastAsia="nl-NL"/>
        </w:rPr>
        <w:t>Ter extensie van het voorgaande hoofdstuk zal getracht worden om een beeld te vormen van enig economische significantie met betrekking tot het mogelijk causale verband. Er zal worden getoetst of, in geval van een oorzaak gevolg relatie tussen abnormaal dividend en rendement, de uitkomsten van een dergelijke economisch betekenisvolle waarde zouden zijn</w:t>
      </w:r>
      <w:r>
        <w:rPr>
          <w:rStyle w:val="FootnoteReference"/>
          <w:lang w:eastAsia="nl-NL"/>
        </w:rPr>
        <w:footnoteReference w:id="32"/>
      </w:r>
      <w:r>
        <w:rPr>
          <w:lang w:eastAsia="nl-NL"/>
        </w:rPr>
        <w:t>. De vorm van deze toetsing zal zich kennen in een regressie. Dit in navolging van voorgaande studies, als die van Jin</w:t>
      </w:r>
      <w:r w:rsidRPr="00901D1D">
        <w:rPr>
          <w:noProof/>
          <w:lang w:eastAsia="nl-NL"/>
        </w:rPr>
        <w:t>(2000)</w:t>
      </w:r>
      <w:r>
        <w:rPr>
          <w:lang w:eastAsia="nl-NL"/>
        </w:rPr>
        <w:t xml:space="preserve">. Hoewel deze studies in het algemeen verscheidene variabelen omvatten, zal in deze scriptie slechts sprake zijn van één onafhankelijke variabele, namelijk het abnormale dividend. De keuze hiervoor laat zich leiden door de hoofdvraag. Door de zijn algemene aard zou specifieke toetsing geen waarde toevoegen ter be-antwoording van deze vraag. </w:t>
      </w:r>
    </w:p>
    <w:p w:rsidR="005217AD" w:rsidRDefault="005217AD" w:rsidP="00695CD8">
      <w:pPr>
        <w:pStyle w:val="Heading2"/>
        <w:numPr>
          <w:ilvl w:val="1"/>
          <w:numId w:val="5"/>
        </w:numPr>
      </w:pPr>
      <w:bookmarkStart w:id="69" w:name="_Toc267486050"/>
      <w:r>
        <w:t>Regressie</w:t>
      </w:r>
      <w:bookmarkEnd w:id="69"/>
    </w:p>
    <w:p w:rsidR="005217AD" w:rsidRDefault="005217AD" w:rsidP="003E6F01">
      <w:r>
        <w:t xml:space="preserve">Ter toetsing van de economische significantie is gekozen voor een regressie in de cross sectie. De tijd dimensie is uit de panel data gefilterd, vanwege de keuze voor de onafhankelijke variabele. Deze verschilt tussen de dividendaankondigingen, maar niet in de relatieve tijd ten opzichte van deze aankondigingen. Op basis van de vermoedens, die zijn gevormd in hoofdstuk  </w:t>
      </w:r>
      <w:r>
        <w:fldChar w:fldCharType="begin"/>
      </w:r>
      <w:r>
        <w:instrText xml:space="preserve"> REF _Ref263335116 \n \h </w:instrText>
      </w:r>
      <w:r>
        <w:fldChar w:fldCharType="separate"/>
      </w:r>
      <w:r>
        <w:t>4</w:t>
      </w:r>
      <w:r>
        <w:fldChar w:fldCharType="end"/>
      </w:r>
      <w:r>
        <w:t xml:space="preserve">, is geaccumuleerd binnen het interval </w:t>
      </w:r>
      <w:r w:rsidRPr="00D531EC">
        <w:t>τ [-2,</w:t>
      </w:r>
      <w:r>
        <w:t>0</w:t>
      </w:r>
      <w:r w:rsidRPr="00D531EC">
        <w:t>]</w:t>
      </w:r>
      <w:r>
        <w:t xml:space="preserve"> met de formule:</w:t>
      </w:r>
    </w:p>
    <w:p w:rsidR="005217AD" w:rsidRPr="00D531EC" w:rsidRDefault="005217AD" w:rsidP="003E6F01">
      <w:pPr>
        <w:rPr>
          <w:sz w:val="16"/>
          <w:szCs w:val="16"/>
        </w:rPr>
      </w:pPr>
    </w:p>
    <w:p w:rsidR="005217AD" w:rsidRPr="00D531EC" w:rsidRDefault="005217AD" w:rsidP="00D531EC">
      <w:pPr>
        <w:pStyle w:val="ListParagraph"/>
        <w:numPr>
          <w:ilvl w:val="0"/>
          <w:numId w:val="10"/>
        </w:numPr>
      </w:pPr>
      <w:r>
        <w:t>CAR</w:t>
      </w:r>
      <w:r>
        <w:rPr>
          <w:vertAlign w:val="subscript"/>
        </w:rPr>
        <w:t>i</w:t>
      </w:r>
      <w:r>
        <w:t xml:space="preserve">(-2,0) = </w:t>
      </w:r>
      <w:r w:rsidRPr="00D754FA">
        <w:fldChar w:fldCharType="begin"/>
      </w:r>
      <w:r w:rsidRPr="00D754FA">
        <w:instrText xml:space="preserve"> QUOTE </w:instrText>
      </w:r>
      <w:r w:rsidRPr="00D754FA">
        <w:pict>
          <v:shape id="_x0000_i1054" type="#_x0000_t75" style="width:47.25pt;height:33.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A1810&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1A1810&quot;&gt;&lt;m:oMathPara&gt;&lt;m:oMath&gt;&lt;m:nary&gt;&lt;m:naryPr&gt;&lt;m:chr m:val=&quot;âˆ‘&quot;/&gt;&lt;m:limLoc m:val=&quot;undOvr&quot;/&gt;&lt;m:ctrlPr&gt;&lt;w:rPr&gt;&lt;w:rFonts w:ascii=&quot;Cambria Math&quot; w:h-ansi=&quot;Cambria Math&quot;/&gt;&lt;wx:font wx:val=&quot;Cambria Math&quot;/&gt;&lt;w:i/&gt;&lt;w:kern w:val=&quot;0&quot;/&gt;&lt;w:lang w:fareast=&quot;NL&quot; w:bidi=&quot;AR-SA&quot;/&gt;&lt;/w:rPr&gt;&lt;/m:ctrlPr&gt;&lt;/m:naryPr&gt;&lt;m:sub&gt;&lt;m:r&gt;&lt;m:rPr&gt;&lt;m:sty m:val=&quot;p&quot;/&gt;&lt;/m:rPr&gt;&lt;w:rPr&gt;&lt;w:rFonts w:ascii=&quot;Cambria Math&quot; w:h-ansi=&quot;Cambria Math&quot;/&gt;&lt;wx:font wx:val=&quot;Cambria Math&quot;/&gt;&lt;w:kern w:val=&quot;0&quot;/&gt;&lt;w:sz-cs w:val=&quot;24&quot;/&gt;&lt;w:lang w:fareast=&quot;NL&quot; w:bidi=&quot;AR-SA&quot;/&gt;&lt;/w:rPr&gt;&lt;m:t&gt;Ï„=-2&lt;/m:t&gt;&lt;/m:r&gt;&lt;/m:sub&gt;&lt;m:sup&gt;&lt;m:r&gt;&lt;m:rPr&gt;&lt;m:sty m:val=&quot;p&quot;/&gt;&lt;/m:rPr&gt;&lt;w:rPr&gt;&lt;w:rFonts w:ascii=&quot;Cambria Math&quot; w:h-ansi=&quot;Cambria Math&quot;/&gt;&lt;wx:font wx:val=&quot;Cambria Math&quot;/&gt;&lt;w:kern w:val=&quot;0&quot;/&gt;&lt;w:sz-cs w:val=&quot;24&quot;/&gt;&lt;w:lang w:fareast=&quot;NL&quot; w:bidi=&quot;AR-SA&quot;/&gt;&lt;/w:rPr&gt;&lt;m:t&gt;0&lt;/m:t&gt;&lt;/m:r&gt;&lt;/m:sup&gt;&lt;m:e&gt;&lt;m:sSub&gt;&lt;m:sSubPr&gt;&lt;m:ctrlPr&gt;&lt;w:rPr&gt;&lt;w:rFonts w:ascii=&quot;Cambria Math&quot; w:h-ansi=&quot;Cambria Math&quot;/&gt;&lt;wx:font wx:val=&quot;Cambria Math&quot;/&gt;&lt;w:i/&gt;&lt;w:kern w:val=&quot;0&quot;/&gt;&lt;w:lang w:fareast=&quot;NL&quot; w:bidi=&quot;AR-SA&quot;/&gt;&lt;/w:rPr&gt;&lt;/m:ctrlPr&gt;&lt;/m:sSubPr&gt;&lt;m:e&gt;&lt;m:r&gt;&lt;w:rPr&gt;&lt;w:rFonts w:ascii=&quot;Cambria Math&quot; w:h-ansi=&quot;Cambria Math&quot;/&gt;&lt;wx:font wx:val=&quot;Cambria Math&quot;/&gt;&lt;w:i/&gt;&lt;w:kern w:val=&quot;0&quot;/&gt;&lt;w:lang w:fareast=&quot;NL&quot; w:bidi=&quot;AR-SA&quot;/&gt;&lt;/w:rPr&gt;&lt;m:t&gt;AR&lt;/m:t&gt;&lt;/m:r&gt;&lt;/m:e&gt;&lt;m:sub&gt;&lt;m:r&gt;&lt;w:rPr&gt;&lt;w:rFonts w:ascii=&quot;Cambria Math&quot; w:h-ansi=&quot;Cambria Math&quot;/&gt;&lt;wx:font wx:val=&quot;Cambria Math&quot;/&gt;&lt;w:i/&gt;&lt;w:kern w:val=&quot;0&quot;/&gt;&lt;w:lang w:fareast=&quot;NL&quot; w:bidi=&quot;AR-SA&quot;/&gt;&lt;/w:rPr&gt;&lt;m:t&gt;i&lt;/m:t&gt;&lt;/m:r&gt;&lt;m:r&gt;&lt;m:rPr&gt;&lt;m:sty m:val=&quot;p&quot;/&gt;&lt;/m:rPr&gt;&lt;w:rPr&gt;&lt;w:rFonts w:ascii=&quot;Cambria Math&quot; w:h-ansi=&quot;Cambria Math&quot;/&gt;&lt;wx:font wx:val=&quot;Cambria Math&quot;/&gt;&lt;w:kern w:val=&quot;0&quot;/&gt;&lt;w:sz-cs w:val=&quot;24&quot;/&gt;&lt;w:lang w:fareast=&quot;NL&quot; w:bidi=&quot;AR-SA&quot;/&gt;&lt;/w:rPr&gt;&lt;m:t&gt;Ï„&lt;/m:t&gt;&lt;/m:r&gt;&lt;/m:sub&gt;&lt;/m:sSub&gt;&lt;/m:e&gt;&lt;/m:nary&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D754FA">
        <w:instrText xml:space="preserve"> </w:instrText>
      </w:r>
      <w:r w:rsidRPr="00D754FA">
        <w:fldChar w:fldCharType="separate"/>
      </w:r>
      <w:r w:rsidRPr="00D754FA">
        <w:pict>
          <v:shape id="_x0000_i1055" type="#_x0000_t75" style="width:47.25pt;height:33.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A1810&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1A1810&quot;&gt;&lt;m:oMathPara&gt;&lt;m:oMath&gt;&lt;m:nary&gt;&lt;m:naryPr&gt;&lt;m:chr m:val=&quot;âˆ‘&quot;/&gt;&lt;m:limLoc m:val=&quot;undOvr&quot;/&gt;&lt;m:ctrlPr&gt;&lt;w:rPr&gt;&lt;w:rFonts w:ascii=&quot;Cambria Math&quot; w:h-ansi=&quot;Cambria Math&quot;/&gt;&lt;wx:font wx:val=&quot;Cambria Math&quot;/&gt;&lt;w:i/&gt;&lt;w:kern w:val=&quot;0&quot;/&gt;&lt;w:lang w:fareast=&quot;NL&quot; w:bidi=&quot;AR-SA&quot;/&gt;&lt;/w:rPr&gt;&lt;/m:ctrlPr&gt;&lt;/m:naryPr&gt;&lt;m:sub&gt;&lt;m:r&gt;&lt;m:rPr&gt;&lt;m:sty m:val=&quot;p&quot;/&gt;&lt;/m:rPr&gt;&lt;w:rPr&gt;&lt;w:rFonts w:ascii=&quot;Cambria Math&quot; w:h-ansi=&quot;Cambria Math&quot;/&gt;&lt;wx:font wx:val=&quot;Cambria Math&quot;/&gt;&lt;w:kern w:val=&quot;0&quot;/&gt;&lt;w:sz-cs w:val=&quot;24&quot;/&gt;&lt;w:lang w:fareast=&quot;NL&quot; w:bidi=&quot;AR-SA&quot;/&gt;&lt;/w:rPr&gt;&lt;m:t&gt;Ï„=-2&lt;/m:t&gt;&lt;/m:r&gt;&lt;/m:sub&gt;&lt;m:sup&gt;&lt;m:r&gt;&lt;m:rPr&gt;&lt;m:sty m:val=&quot;p&quot;/&gt;&lt;/m:rPr&gt;&lt;w:rPr&gt;&lt;w:rFonts w:ascii=&quot;Cambria Math&quot; w:h-ansi=&quot;Cambria Math&quot;/&gt;&lt;wx:font wx:val=&quot;Cambria Math&quot;/&gt;&lt;w:kern w:val=&quot;0&quot;/&gt;&lt;w:sz-cs w:val=&quot;24&quot;/&gt;&lt;w:lang w:fareast=&quot;NL&quot; w:bidi=&quot;AR-SA&quot;/&gt;&lt;/w:rPr&gt;&lt;m:t&gt;0&lt;/m:t&gt;&lt;/m:r&gt;&lt;/m:sup&gt;&lt;m:e&gt;&lt;m:sSub&gt;&lt;m:sSubPr&gt;&lt;m:ctrlPr&gt;&lt;w:rPr&gt;&lt;w:rFonts w:ascii=&quot;Cambria Math&quot; w:h-ansi=&quot;Cambria Math&quot;/&gt;&lt;wx:font wx:val=&quot;Cambria Math&quot;/&gt;&lt;w:i/&gt;&lt;w:kern w:val=&quot;0&quot;/&gt;&lt;w:lang w:fareast=&quot;NL&quot; w:bidi=&quot;AR-SA&quot;/&gt;&lt;/w:rPr&gt;&lt;/m:ctrlPr&gt;&lt;/m:sSubPr&gt;&lt;m:e&gt;&lt;m:r&gt;&lt;w:rPr&gt;&lt;w:rFonts w:ascii=&quot;Cambria Math&quot; w:h-ansi=&quot;Cambria Math&quot;/&gt;&lt;wx:font wx:val=&quot;Cambria Math&quot;/&gt;&lt;w:i/&gt;&lt;w:kern w:val=&quot;0&quot;/&gt;&lt;w:lang w:fareast=&quot;NL&quot; w:bidi=&quot;AR-SA&quot;/&gt;&lt;/w:rPr&gt;&lt;m:t&gt;AR&lt;/m:t&gt;&lt;/m:r&gt;&lt;/m:e&gt;&lt;m:sub&gt;&lt;m:r&gt;&lt;w:rPr&gt;&lt;w:rFonts w:ascii=&quot;Cambria Math&quot; w:h-ansi=&quot;Cambria Math&quot;/&gt;&lt;wx:font wx:val=&quot;Cambria Math&quot;/&gt;&lt;w:i/&gt;&lt;w:kern w:val=&quot;0&quot;/&gt;&lt;w:lang w:fareast=&quot;NL&quot; w:bidi=&quot;AR-SA&quot;/&gt;&lt;/w:rPr&gt;&lt;m:t&gt;i&lt;/m:t&gt;&lt;/m:r&gt;&lt;m:r&gt;&lt;m:rPr&gt;&lt;m:sty m:val=&quot;p&quot;/&gt;&lt;/m:rPr&gt;&lt;w:rPr&gt;&lt;w:rFonts w:ascii=&quot;Cambria Math&quot; w:h-ansi=&quot;Cambria Math&quot;/&gt;&lt;wx:font wx:val=&quot;Cambria Math&quot;/&gt;&lt;w:kern w:val=&quot;0&quot;/&gt;&lt;w:sz-cs w:val=&quot;24&quot;/&gt;&lt;w:lang w:fareast=&quot;NL&quot; w:bidi=&quot;AR-SA&quot;/&gt;&lt;/w:rPr&gt;&lt;m:t&gt;Ï„&lt;/m:t&gt;&lt;/m:r&gt;&lt;/m:sub&gt;&lt;/m:sSub&gt;&lt;/m:e&gt;&lt;/m:nary&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D754FA">
        <w:fldChar w:fldCharType="end"/>
      </w:r>
    </w:p>
    <w:p w:rsidR="005217AD" w:rsidRDefault="005217AD" w:rsidP="00D531EC">
      <w:pPr>
        <w:rPr>
          <w:sz w:val="16"/>
          <w:szCs w:val="16"/>
        </w:rPr>
      </w:pPr>
    </w:p>
    <w:p w:rsidR="005217AD" w:rsidRDefault="005217AD" w:rsidP="00D531EC">
      <w:r>
        <w:t xml:space="preserve">Gekozen is om deze cumulatieve abnormale rendementen over het interval </w:t>
      </w:r>
      <w:r w:rsidRPr="00D531EC">
        <w:t>τ [-2,</w:t>
      </w:r>
      <w:r>
        <w:t>0</w:t>
      </w:r>
      <w:r w:rsidRPr="00D531EC">
        <w:t>]</w:t>
      </w:r>
      <w:r>
        <w:t xml:space="preserve"> te nemen als onafhankelijke variabele. Getracht zal worden om deze te verklaren aan de hand van de abnormale dividenden tijdens de dividendaankondigingen. Vanwege de mogelijk afwijkende reactie voor ondernemingen, die onder de categorie ‘negatief’ abnormaal dividend vielen in paragraaf </w:t>
      </w:r>
      <w:r>
        <w:fldChar w:fldCharType="begin"/>
      </w:r>
      <w:r>
        <w:instrText xml:space="preserve"> REF _Ref267480792 \n \h </w:instrText>
      </w:r>
      <w:r>
        <w:fldChar w:fldCharType="separate"/>
      </w:r>
      <w:r>
        <w:t>4.3</w:t>
      </w:r>
      <w:r>
        <w:fldChar w:fldCharType="end"/>
      </w:r>
      <w:r>
        <w:t>, is gekozen om een dummy variabele toe te voegen. Deze dummy variabele neemt de waarde 1 aan, als hij binnen de classificatie negatief valt, en in de overige situaties de waarde 0. Om te zorgen dat de error term in de regressie een gemiddelde heeft van nul(E(u</w:t>
      </w:r>
      <w:r>
        <w:rPr>
          <w:vertAlign w:val="subscript"/>
        </w:rPr>
        <w:t>i</w:t>
      </w:r>
      <w:r>
        <w:t>) = 0) is ook een constante toegevoegd. De uiteindelijke regressie kent de vorm:</w:t>
      </w:r>
    </w:p>
    <w:p w:rsidR="005217AD" w:rsidRDefault="005217AD" w:rsidP="00D531EC">
      <w:pPr>
        <w:rPr>
          <w:sz w:val="16"/>
          <w:szCs w:val="16"/>
        </w:rPr>
      </w:pPr>
    </w:p>
    <w:p w:rsidR="005217AD" w:rsidRPr="004A6E4F" w:rsidRDefault="005217AD" w:rsidP="004A6E4F">
      <w:pPr>
        <w:pStyle w:val="ListParagraph"/>
        <w:numPr>
          <w:ilvl w:val="0"/>
          <w:numId w:val="10"/>
        </w:numPr>
        <w:rPr>
          <w:szCs w:val="24"/>
        </w:rPr>
      </w:pPr>
      <w:bookmarkStart w:id="70" w:name="_Ref267482869"/>
      <w:r>
        <w:rPr>
          <w:szCs w:val="24"/>
        </w:rPr>
        <w:t>CAR</w:t>
      </w:r>
      <w:r>
        <w:rPr>
          <w:szCs w:val="24"/>
          <w:vertAlign w:val="subscript"/>
        </w:rPr>
        <w:t>i</w:t>
      </w:r>
      <w:r>
        <w:rPr>
          <w:szCs w:val="24"/>
        </w:rPr>
        <w:t xml:space="preserve">(-2,0) </w:t>
      </w:r>
      <w:r w:rsidRPr="004A6E4F">
        <w:t>=</w:t>
      </w:r>
      <w:r>
        <w:t xml:space="preserve"> </w:t>
      </w:r>
      <w:r w:rsidRPr="00D754FA">
        <w:rPr>
          <w:szCs w:val="24"/>
        </w:rPr>
        <w:fldChar w:fldCharType="begin"/>
      </w:r>
      <w:r w:rsidRPr="00D754FA">
        <w:rPr>
          <w:szCs w:val="24"/>
        </w:rPr>
        <w:instrText xml:space="preserve"> QUOTE </w:instrText>
      </w:r>
      <w:r w:rsidRPr="00D754FA">
        <w:pict>
          <v:shape id="_x0000_i1056" type="#_x0000_t75" style="width:188.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B6CEC&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FB6CEC&quot;&gt;&lt;m:oMathPara&gt;&lt;m:oMath&gt;&lt;m:sSub&gt;&lt;m:sSubPr&gt;&lt;m:ctrlPr&gt;&lt;w:rPr&gt;&lt;w:rFonts w:ascii=&quot;Cambria Math&quot; w:fareast=&quot;Times New Roman&quot; w:h-ansi=&quot;Cambria Math&quot;/&gt;&lt;wx:font wx:val=&quot;Cambria Math&quot;/&gt;&lt;w:i/&gt;&lt;/w:rPr&gt;&lt;/m:ctrlPr&gt;&lt;/m:sSubPr&gt;&lt;m:e&gt;&lt;m:r&gt;&lt;w:rPr&gt;&lt;w:rFonts w:ascii=&quot;Cambria Math&quot; w:fareast=&quot;Times New Roman&quot; w:h-ansi=&quot;Cambria Math&quot;/&gt;&lt;wx:font wx:val=&quot;Cambria Math&quot;/&gt;&lt;w:i/&gt;&lt;/w:rPr&gt;&lt;m:t&gt;Î²&lt;/m:t&gt;&lt;/m:r&gt;&lt;/m:e&gt;&lt;m:sub&gt;&lt;m:r&gt;&lt;w:rPr&gt;&lt;w:rFonts w:ascii=&quot;Cambria Math&quot; w:fareast=&quot;Times New Roman&quot; w:h-ansi=&quot;Cambria Math&quot;/&gt;&lt;wx:font wx:val=&quot;Cambria Math&quot;/&gt;&lt;w:i/&gt;&lt;/w:rPr&gt;&lt;m:t&gt;1&lt;/m:t&gt;&lt;/m:r&gt;&lt;/m:sub&gt;&lt;/m:sSub&gt;&lt;m:r&gt;&lt;w:rPr&gt;&lt;w:rFonts w:ascii=&quot;Cambria Math&quot; w:fareast=&quot;Times New Roman&quot; w:h-ansi=&quot;Cambria Math&quot;/&gt;&lt;wx:font wx:val=&quot;Cambria Math&quot;/&gt;&lt;w:i/&gt;&lt;/w:rPr&gt;&lt;m:t&gt;+&lt;/m:t&gt;&lt;/m:r&gt;&lt;m:sSub&gt;&lt;m:sSubPr&gt;&lt;m:ctrlPr&gt;&lt;w:rPr&gt;&lt;w:rFonts w:ascii=&quot;Cambria Math&quot; w:fareast=&quot;Times New Roman&quot; w:h-ansi=&quot;Cambria Math&quot;/&gt;&lt;wx:font wx:val=&quot;Cambria Math&quot;/&gt;&lt;w:i/&gt;&lt;/w:rPr&gt;&lt;/m:ctrlPr&gt;&lt;/m:sSubPr&gt;&lt;m:e&gt;&lt;m:r&gt;&lt;w:rPr&gt;&lt;w:rFonts w:ascii=&quot;Cambria Math&quot; w:fareast=&quot;Times New Roman&quot; w:h-ansi=&quot;Cambria Math&quot;/&gt;&lt;wx:font wx:val=&quot;Cambria Math&quot;/&gt;&lt;w:i/&gt;&lt;/w:rPr&gt;&lt;m:t&gt;Î²&lt;/m:t&gt;&lt;/m:r&gt;&lt;/m:e&gt;&lt;m:sub&gt;&lt;m:r&gt;&lt;w:rPr&gt;&lt;w:rFonts w:ascii=&quot;Cambria Math&quot; w:fareast=&quot;Times New Roman&quot; w:h-ansi=&quot;Cambria Math&quot;/&gt;&lt;wx:font wx:val=&quot;Cambria Math&quot;/&gt;&lt;w:i/&gt;&lt;/w:rPr&gt;&lt;m:t&gt;2&lt;/m:t&gt;&lt;/m:r&gt;&lt;/m:sub&gt;&lt;/m:sSub&gt;&lt;m:r&gt;&lt;w:rPr&gt;&lt;w:rFonts w:ascii=&quot;Cambria Math&quot; w:fareast=&quot;Times New Roman&quot; w:h-ansi=&quot;Cambria Math&quot;/&gt;&lt;wx:font wx:val=&quot;Cambria Math&quot;/&gt;&lt;w:i/&gt;&lt;/w:rPr&gt;&lt;m:t&gt;*&lt;/m:t&gt;&lt;/m:r&gt;&lt;m:sSub&gt;&lt;m:sSubPr&gt;&lt;m:ctrlPr&gt;&lt;w:rPr&gt;&lt;w:rFonts w:ascii=&quot;Cambria Math&quot; w:fareast=&quot;Times New Roman&quot; w:h-ansi=&quot;Cambria Math&quot;/&gt;&lt;wx:font wx:val=&quot;Cambria Math&quot;/&gt;&lt;w:i/&gt;&lt;/w:rPr&gt;&lt;/m:ctrlPr&gt;&lt;/m:sSubPr&gt;&lt;m:e&gt;&lt;m:r&gt;&lt;w:rPr&gt;&lt;w:rFonts w:ascii=&quot;Cambria Math&quot; w:fareast=&quot;Times New Roman&quot; w:h-ansi=&quot;Cambria Math&quot;/&gt;&lt;wx:font wx:val=&quot;Cambria Math&quot;/&gt;&lt;w:i/&gt;&lt;/w:rPr&gt;&lt;m:t&gt;ADIV&lt;/m:t&gt;&lt;/m:r&gt;&lt;/m:e&gt;&lt;m:sub&gt;&lt;m:r&gt;&lt;w:rPr&gt;&lt;w:rFonts w:ascii=&quot;Cambria Math&quot; w:fareast=&quot;Times New Roman&quot; w:h-ansi=&quot;Cambria Math&quot;/&gt;&lt;wx:font wx:val=&quot;Cambria Math&quot;/&gt;&lt;w:i/&gt;&lt;/w:rPr&gt;&lt;m:t&gt;i&lt;/m:t&gt;&lt;/m:r&gt;&lt;/m:sub&gt;&lt;/m:sSub&gt;&lt;m:r&gt;&lt;w:rPr&gt;&lt;w:rFonts w:ascii=&quot;Cambria Math&quot; w:fareast=&quot;Times New Roman&quot; w:h-ansi=&quot;Cambria Math&quot;/&gt;&lt;wx:font wx:val=&quot;Cambria Math&quot;/&gt;&lt;w:i/&gt;&lt;/w:rPr&gt;&lt;m:t&gt;+&lt;/m:t&gt;&lt;/m:r&gt;&lt;m:sSub&gt;&lt;m:sSubPr&gt;&lt;m:ctrlPr&gt;&lt;w:rPr&gt;&lt;w:rFonts w:ascii=&quot;Cambria Math&quot; w:fareast=&quot;Times New Roman&quot; w:h-ansi=&quot;Cambria Math&quot;/&gt;&lt;wx:font wx:val=&quot;Cambria Math&quot;/&gt;&lt;w:i/&gt;&lt;/w:rPr&gt;&lt;/m:ctrlPr&gt;&lt;/m:sSubPr&gt;&lt;m:e&gt;&lt;m:r&gt;&lt;w:rPr&gt;&lt;w:rFonts w:ascii=&quot;Cambria Math&quot; w:fareast=&quot;Times New Roman&quot; w:h-ansi=&quot;Cambria Math&quot;/&gt;&lt;wx:font wx:val=&quot;Cambria Math&quot;/&gt;&lt;w:i/&gt;&lt;/w:rPr&gt;&lt;m:t&gt;Î²&lt;/m:t&gt;&lt;/m:r&gt;&lt;/m:e&gt;&lt;m:sub&gt;&lt;m:r&gt;&lt;w:rPr&gt;&lt;w:rFonts w:ascii=&quot;Cambria Math&quot; w:fareast=&quot;Times New Roman&quot; w:h-ansi=&quot;Cambria Math&quot;/&gt;&lt;wx:font wx:val=&quot;Cambria Math&quot;/&gt;&lt;w:i/&gt;&lt;/w:rPr&gt;&lt;m:t&gt;3&lt;/m:t&gt;&lt;/m:r&gt;&lt;/m:sub&gt;&lt;/m:sSub&gt;&lt;m:r&gt;&lt;w:rPr&gt;&lt;w:rFonts w:ascii=&quot;Cambria Math&quot; w:fareast=&quot;Times New Roman&quot; w:h-ansi=&quot;Cambria Math&quot;/&gt;&lt;wx:font wx:val=&quot;Cambria Math&quot;/&gt;&lt;w:i/&gt;&lt;/w:rPr&gt;&lt;m:t&gt;*DUMMY*&lt;/m:t&gt;&lt;/m:r&gt;&lt;m:sSub&gt;&lt;m:sSubPr&gt;&lt;m:ctrlPr&gt;&lt;w:rPr&gt;&lt;w:rFonts w:ascii=&quot;Cambria Math&quot; w:fareast=&quot;Times New Roman&quot; w:h-ansi=&quot;Cambria Math&quot;/&gt;&lt;wx:font wx:val=&quot;Cambria Math&quot;/&gt;&lt;w:i/&gt;&lt;/w:rPr&gt;&lt;/m:ctrlPr&gt;&lt;/m:sSubPr&gt;&lt;m:e&gt;&lt;m:r&gt;&lt;w:rPr&gt;&lt;w:rFonts w:ascii=&quot;Cambria Math&quot; w:fareast=&quot;Times New Roman&quot; w:h-ansi=&quot;Cambria Math&quot;/&gt;&lt;wx:font wx:val=&quot;Cambria Math&quot;/&gt;&lt;w:i/&gt;&lt;/w:rPr&gt;&lt;m:t&gt;ADIV&lt;/m:t&gt;&lt;/m:r&gt;&lt;/m:e&gt;&lt;m:sub&gt;&lt;m:r&gt;&lt;w:rPr&gt;&lt;w:rFonts w:ascii=&quot;Cambria Math&quot; w:fareast=&quot;Times New Roman&quot; w:h-ansi=&quot;Cambria Math&quot;/&gt;&lt;wx:font wx:val=&quot;Cambria Math&quot;/&gt;&lt;w:i/&gt;&lt;/w:rPr&gt;&lt;m:t&gt;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6" o:title="" chromakey="white"/>
          </v:shape>
        </w:pict>
      </w:r>
      <w:bookmarkEnd w:id="70"/>
      <w:r w:rsidRPr="00D754FA">
        <w:rPr>
          <w:szCs w:val="24"/>
        </w:rPr>
        <w:instrText xml:space="preserve"> </w:instrText>
      </w:r>
      <w:r w:rsidRPr="00D754FA">
        <w:rPr>
          <w:szCs w:val="24"/>
        </w:rPr>
        <w:fldChar w:fldCharType="separate"/>
      </w:r>
      <w:r w:rsidRPr="00D754FA">
        <w:pict>
          <v:shape id="_x0000_i1057" type="#_x0000_t75" style="width:188.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drawingGridHorizontalSpacing w:val=&quot;12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03592&quot;/&gt;&lt;wsp:rsid wsp:val=&quot;00013564&quot;/&gt;&lt;wsp:rsid wsp:val=&quot;00014FC8&quot;/&gt;&lt;wsp:rsid wsp:val=&quot;00016FF8&quot;/&gt;&lt;wsp:rsid wsp:val=&quot;00020658&quot;/&gt;&lt;wsp:rsid wsp:val=&quot;00020937&quot;/&gt;&lt;wsp:rsid wsp:val=&quot;00021510&quot;/&gt;&lt;wsp:rsid wsp:val=&quot;000216E6&quot;/&gt;&lt;wsp:rsid wsp:val=&quot;000243EF&quot;/&gt;&lt;wsp:rsid wsp:val=&quot;0003103A&quot;/&gt;&lt;wsp:rsid wsp:val=&quot;00037F68&quot;/&gt;&lt;wsp:rsid wsp:val=&quot;000416E3&quot;/&gt;&lt;wsp:rsid wsp:val=&quot;00042B46&quot;/&gt;&lt;wsp:rsid wsp:val=&quot;00043A31&quot;/&gt;&lt;wsp:rsid wsp:val=&quot;00045D78&quot;/&gt;&lt;wsp:rsid wsp:val=&quot;00063587&quot;/&gt;&lt;wsp:rsid wsp:val=&quot;0006570F&quot;/&gt;&lt;wsp:rsid wsp:val=&quot;00067237&quot;/&gt;&lt;wsp:rsid wsp:val=&quot;0008225C&quot;/&gt;&lt;wsp:rsid wsp:val=&quot;000853F0&quot;/&gt;&lt;wsp:rsid wsp:val=&quot;0008622B&quot;/&gt;&lt;wsp:rsid wsp:val=&quot;000876F5&quot;/&gt;&lt;wsp:rsid wsp:val=&quot;000A1D02&quot;/&gt;&lt;wsp:rsid wsp:val=&quot;000A2981&quot;/&gt;&lt;wsp:rsid wsp:val=&quot;000A5AA9&quot;/&gt;&lt;wsp:rsid wsp:val=&quot;000D3A2C&quot;/&gt;&lt;wsp:rsid wsp:val=&quot;000D5D07&quot;/&gt;&lt;wsp:rsid wsp:val=&quot;000D7F6C&quot;/&gt;&lt;wsp:rsid wsp:val=&quot;000F6A5F&quot;/&gt;&lt;wsp:rsid wsp:val=&quot;00106DD8&quot;/&gt;&lt;wsp:rsid wsp:val=&quot;001212B7&quot;/&gt;&lt;wsp:rsid wsp:val=&quot;00121EFC&quot;/&gt;&lt;wsp:rsid wsp:val=&quot;0012368A&quot;/&gt;&lt;wsp:rsid wsp:val=&quot;00130182&quot;/&gt;&lt;wsp:rsid wsp:val=&quot;00132E24&quot;/&gt;&lt;wsp:rsid wsp:val=&quot;001339F9&quot;/&gt;&lt;wsp:rsid wsp:val=&quot;00135336&quot;/&gt;&lt;wsp:rsid wsp:val=&quot;001416F9&quot;/&gt;&lt;wsp:rsid wsp:val=&quot;001446B2&quot;/&gt;&lt;wsp:rsid wsp:val=&quot;00146BF4&quot;/&gt;&lt;wsp:rsid wsp:val=&quot;0015119D&quot;/&gt;&lt;wsp:rsid wsp:val=&quot;0015497C&quot;/&gt;&lt;wsp:rsid wsp:val=&quot;00157330&quot;/&gt;&lt;wsp:rsid wsp:val=&quot;00163062&quot;/&gt;&lt;wsp:rsid wsp:val=&quot;0018408E&quot;/&gt;&lt;wsp:rsid wsp:val=&quot;001870CE&quot;/&gt;&lt;wsp:rsid wsp:val=&quot;001914D8&quot;/&gt;&lt;wsp:rsid wsp:val=&quot;00192623&quot;/&gt;&lt;wsp:rsid wsp:val=&quot;00196259&quot;/&gt;&lt;wsp:rsid wsp:val=&quot;001B106A&quot;/&gt;&lt;wsp:rsid wsp:val=&quot;001B35CA&quot;/&gt;&lt;wsp:rsid wsp:val=&quot;001B7AC6&quot;/&gt;&lt;wsp:rsid wsp:val=&quot;001C3B70&quot;/&gt;&lt;wsp:rsid wsp:val=&quot;001D42A9&quot;/&gt;&lt;wsp:rsid wsp:val=&quot;001D493A&quot;/&gt;&lt;wsp:rsid wsp:val=&quot;001D65AF&quot;/&gt;&lt;wsp:rsid wsp:val=&quot;001E08D5&quot;/&gt;&lt;wsp:rsid wsp:val=&quot;001E35F9&quot;/&gt;&lt;wsp:rsid wsp:val=&quot;001E3716&quot;/&gt;&lt;wsp:rsid wsp:val=&quot;001E6EEC&quot;/&gt;&lt;wsp:rsid wsp:val=&quot;001E750E&quot;/&gt;&lt;wsp:rsid wsp:val=&quot;001E7E35&quot;/&gt;&lt;wsp:rsid wsp:val=&quot;001F4C4C&quot;/&gt;&lt;wsp:rsid wsp:val=&quot;001F7A79&quot;/&gt;&lt;wsp:rsid wsp:val=&quot;001F7BFE&quot;/&gt;&lt;wsp:rsid wsp:val=&quot;0020169D&quot;/&gt;&lt;wsp:rsid wsp:val=&quot;0020368F&quot;/&gt;&lt;wsp:rsid wsp:val=&quot;0021048C&quot;/&gt;&lt;wsp:rsid wsp:val=&quot;002108C6&quot;/&gt;&lt;wsp:rsid wsp:val=&quot;00223728&quot;/&gt;&lt;wsp:rsid wsp:val=&quot;00226E76&quot;/&gt;&lt;wsp:rsid wsp:val=&quot;00226F68&quot;/&gt;&lt;wsp:rsid wsp:val=&quot;002305A5&quot;/&gt;&lt;wsp:rsid wsp:val=&quot;00235BE6&quot;/&gt;&lt;wsp:rsid wsp:val=&quot;00237756&quot;/&gt;&lt;wsp:rsid wsp:val=&quot;00240C4B&quot;/&gt;&lt;wsp:rsid wsp:val=&quot;002415D3&quot;/&gt;&lt;wsp:rsid wsp:val=&quot;0024383F&quot;/&gt;&lt;wsp:rsid wsp:val=&quot;00244758&quot;/&gt;&lt;wsp:rsid wsp:val=&quot;0024569F&quot;/&gt;&lt;wsp:rsid wsp:val=&quot;00250E31&quot;/&gt;&lt;wsp:rsid wsp:val=&quot;00253321&quot;/&gt;&lt;wsp:rsid wsp:val=&quot;002615E0&quot;/&gt;&lt;wsp:rsid wsp:val=&quot;00266903&quot;/&gt;&lt;wsp:rsid wsp:val=&quot;00266904&quot;/&gt;&lt;wsp:rsid wsp:val=&quot;00271C74&quot;/&gt;&lt;wsp:rsid wsp:val=&quot;00272E9B&quot;/&gt;&lt;wsp:rsid wsp:val=&quot;0028003E&quot;/&gt;&lt;wsp:rsid wsp:val=&quot;00280C51&quot;/&gt;&lt;wsp:rsid wsp:val=&quot;002824BB&quot;/&gt;&lt;wsp:rsid wsp:val=&quot;00283A86&quot;/&gt;&lt;wsp:rsid wsp:val=&quot;002856D2&quot;/&gt;&lt;wsp:rsid wsp:val=&quot;0028775E&quot;/&gt;&lt;wsp:rsid wsp:val=&quot;0029216B&quot;/&gt;&lt;wsp:rsid wsp:val=&quot;002965B6&quot;/&gt;&lt;wsp:rsid wsp:val=&quot;002969F3&quot;/&gt;&lt;wsp:rsid wsp:val=&quot;002A05F8&quot;/&gt;&lt;wsp:rsid wsp:val=&quot;002A1456&quot;/&gt;&lt;wsp:rsid wsp:val=&quot;002B10E0&quot;/&gt;&lt;wsp:rsid wsp:val=&quot;002B6F60&quot;/&gt;&lt;wsp:rsid wsp:val=&quot;002C3202&quot;/&gt;&lt;wsp:rsid wsp:val=&quot;002C400B&quot;/&gt;&lt;wsp:rsid wsp:val=&quot;002C4101&quot;/&gt;&lt;wsp:rsid wsp:val=&quot;002C46F1&quot;/&gt;&lt;wsp:rsid wsp:val=&quot;002C4F66&quot;/&gt;&lt;wsp:rsid wsp:val=&quot;002C51D4&quot;/&gt;&lt;wsp:rsid wsp:val=&quot;002C715A&quot;/&gt;&lt;wsp:rsid wsp:val=&quot;002D0469&quot;/&gt;&lt;wsp:rsid wsp:val=&quot;002D0AC6&quot;/&gt;&lt;wsp:rsid wsp:val=&quot;002D3878&quot;/&gt;&lt;wsp:rsid wsp:val=&quot;002D4444&quot;/&gt;&lt;wsp:rsid wsp:val=&quot;002E0ACD&quot;/&gt;&lt;wsp:rsid wsp:val=&quot;002E3EDD&quot;/&gt;&lt;wsp:rsid wsp:val=&quot;002E723D&quot;/&gt;&lt;wsp:rsid wsp:val=&quot;0030117C&quot;/&gt;&lt;wsp:rsid wsp:val=&quot;0030705E&quot;/&gt;&lt;wsp:rsid wsp:val=&quot;003071A8&quot;/&gt;&lt;wsp:rsid wsp:val=&quot;003128DC&quot;/&gt;&lt;wsp:rsid wsp:val=&quot;00316A4D&quot;/&gt;&lt;wsp:rsid wsp:val=&quot;00320E75&quot;/&gt;&lt;wsp:rsid wsp:val=&quot;00324BEA&quot;/&gt;&lt;wsp:rsid wsp:val=&quot;0032607C&quot;/&gt;&lt;wsp:rsid wsp:val=&quot;0033258F&quot;/&gt;&lt;wsp:rsid wsp:val=&quot;00343447&quot;/&gt;&lt;wsp:rsid wsp:val=&quot;00343984&quot;/&gt;&lt;wsp:rsid wsp:val=&quot;00347D80&quot;/&gt;&lt;wsp:rsid wsp:val=&quot;003517DB&quot;/&gt;&lt;wsp:rsid wsp:val=&quot;00353205&quot;/&gt;&lt;wsp:rsid wsp:val=&quot;00360042&quot;/&gt;&lt;wsp:rsid wsp:val=&quot;0036434F&quot;/&gt;&lt;wsp:rsid wsp:val=&quot;00364EAE&quot;/&gt;&lt;wsp:rsid wsp:val=&quot;00371133&quot;/&gt;&lt;wsp:rsid wsp:val=&quot;00381D3D&quot;/&gt;&lt;wsp:rsid wsp:val=&quot;00383154&quot;/&gt;&lt;wsp:rsid wsp:val=&quot;00383F12&quot;/&gt;&lt;wsp:rsid wsp:val=&quot;00391A0D&quot;/&gt;&lt;wsp:rsid wsp:val=&quot;00391DC1&quot;/&gt;&lt;wsp:rsid wsp:val=&quot;00393505&quot;/&gt;&lt;wsp:rsid wsp:val=&quot;00394B38&quot;/&gt;&lt;wsp:rsid wsp:val=&quot;0039593B&quot;/&gt;&lt;wsp:rsid wsp:val=&quot;003A09FA&quot;/&gt;&lt;wsp:rsid wsp:val=&quot;003A1524&quot;/&gt;&lt;wsp:rsid wsp:val=&quot;003A35C0&quot;/&gt;&lt;wsp:rsid wsp:val=&quot;003B60A8&quot;/&gt;&lt;wsp:rsid wsp:val=&quot;003C288C&quot;/&gt;&lt;wsp:rsid wsp:val=&quot;003C600A&quot;/&gt;&lt;wsp:rsid wsp:val=&quot;003C6C01&quot;/&gt;&lt;wsp:rsid wsp:val=&quot;003E5590&quot;/&gt;&lt;wsp:rsid wsp:val=&quot;003E6F01&quot;/&gt;&lt;wsp:rsid wsp:val=&quot;003E746E&quot;/&gt;&lt;wsp:rsid wsp:val=&quot;003F0D39&quot;/&gt;&lt;wsp:rsid wsp:val=&quot;003F4370&quot;/&gt;&lt;wsp:rsid wsp:val=&quot;003F7345&quot;/&gt;&lt;wsp:rsid wsp:val=&quot;003F76E5&quot;/&gt;&lt;wsp:rsid wsp:val=&quot;003F7B6C&quot;/&gt;&lt;wsp:rsid wsp:val=&quot;00402877&quot;/&gt;&lt;wsp:rsid wsp:val=&quot;00412926&quot;/&gt;&lt;wsp:rsid wsp:val=&quot;0041465C&quot;/&gt;&lt;wsp:rsid wsp:val=&quot;00426845&quot;/&gt;&lt;wsp:rsid wsp:val=&quot;00426BD6&quot;/&gt;&lt;wsp:rsid wsp:val=&quot;004274A6&quot;/&gt;&lt;wsp:rsid wsp:val=&quot;00433594&quot;/&gt;&lt;wsp:rsid wsp:val=&quot;004342F0&quot;/&gt;&lt;wsp:rsid wsp:val=&quot;00434F9D&quot;/&gt;&lt;wsp:rsid wsp:val=&quot;00437338&quot;/&gt;&lt;wsp:rsid wsp:val=&quot;00437715&quot;/&gt;&lt;wsp:rsid wsp:val=&quot;00437E62&quot;/&gt;&lt;wsp:rsid wsp:val=&quot;00440A43&quot;/&gt;&lt;wsp:rsid wsp:val=&quot;00442068&quot;/&gt;&lt;wsp:rsid wsp:val=&quot;004447E5&quot;/&gt;&lt;wsp:rsid wsp:val=&quot;004475F2&quot;/&gt;&lt;wsp:rsid wsp:val=&quot;00451D95&quot;/&gt;&lt;wsp:rsid wsp:val=&quot;00453227&quot;/&gt;&lt;wsp:rsid wsp:val=&quot;00454D2E&quot;/&gt;&lt;wsp:rsid wsp:val=&quot;00462854&quot;/&gt;&lt;wsp:rsid wsp:val=&quot;004663C8&quot;/&gt;&lt;wsp:rsid wsp:val=&quot;00467B78&quot;/&gt;&lt;wsp:rsid wsp:val=&quot;00473697&quot;/&gt;&lt;wsp:rsid wsp:val=&quot;004804D2&quot;/&gt;&lt;wsp:rsid wsp:val=&quot;004933A2&quot;/&gt;&lt;wsp:rsid wsp:val=&quot;00496C58&quot;/&gt;&lt;wsp:rsid wsp:val=&quot;00497362&quot;/&gt;&lt;wsp:rsid wsp:val=&quot;00497F2A&quot;/&gt;&lt;wsp:rsid wsp:val=&quot;004A09FE&quot;/&gt;&lt;wsp:rsid wsp:val=&quot;004A6E4F&quot;/&gt;&lt;wsp:rsid wsp:val=&quot;004A7FB8&quot;/&gt;&lt;wsp:rsid wsp:val=&quot;004B4DD2&quot;/&gt;&lt;wsp:rsid wsp:val=&quot;004C3115&quot;/&gt;&lt;wsp:rsid wsp:val=&quot;004C3700&quot;/&gt;&lt;wsp:rsid wsp:val=&quot;004D29E0&quot;/&gt;&lt;wsp:rsid wsp:val=&quot;004E5C0B&quot;/&gt;&lt;wsp:rsid wsp:val=&quot;004E5EC2&quot;/&gt;&lt;wsp:rsid wsp:val=&quot;004E61DB&quot;/&gt;&lt;wsp:rsid wsp:val=&quot;004F244B&quot;/&gt;&lt;wsp:rsid wsp:val=&quot;004F6AA2&quot;/&gt;&lt;wsp:rsid wsp:val=&quot;005037DD&quot;/&gt;&lt;wsp:rsid wsp:val=&quot;00512260&quot;/&gt;&lt;wsp:rsid wsp:val=&quot;0051282D&quot;/&gt;&lt;wsp:rsid wsp:val=&quot;00512EB0&quot;/&gt;&lt;wsp:rsid wsp:val=&quot;00512FD2&quot;/&gt;&lt;wsp:rsid wsp:val=&quot;00516B48&quot;/&gt;&lt;wsp:rsid wsp:val=&quot;00530F4A&quot;/&gt;&lt;wsp:rsid wsp:val=&quot;0055008E&quot;/&gt;&lt;wsp:rsid wsp:val=&quot;00550E42&quot;/&gt;&lt;wsp:rsid wsp:val=&quot;0055404E&quot;/&gt;&lt;wsp:rsid wsp:val=&quot;00555F44&quot;/&gt;&lt;wsp:rsid wsp:val=&quot;005617DE&quot;/&gt;&lt;wsp:rsid wsp:val=&quot;00562048&quot;/&gt;&lt;wsp:rsid wsp:val=&quot;00566BDB&quot;/&gt;&lt;wsp:rsid wsp:val=&quot;00573293&quot;/&gt;&lt;wsp:rsid wsp:val=&quot;0057489C&quot;/&gt;&lt;wsp:rsid wsp:val=&quot;005814FA&quot;/&gt;&lt;wsp:rsid wsp:val=&quot;00581997&quot;/&gt;&lt;wsp:rsid wsp:val=&quot;00583A06&quot;/&gt;&lt;wsp:rsid wsp:val=&quot;00585BA2&quot;/&gt;&lt;wsp:rsid wsp:val=&quot;00587D8F&quot;/&gt;&lt;wsp:rsid wsp:val=&quot;00591CD3&quot;/&gt;&lt;wsp:rsid wsp:val=&quot;00594276&quot;/&gt;&lt;wsp:rsid wsp:val=&quot;00597E72&quot;/&gt;&lt;wsp:rsid wsp:val=&quot;005A16CD&quot;/&gt;&lt;wsp:rsid wsp:val=&quot;005A1CDF&quot;/&gt;&lt;wsp:rsid wsp:val=&quot;005A3856&quot;/&gt;&lt;wsp:rsid wsp:val=&quot;005A402B&quot;/&gt;&lt;wsp:rsid wsp:val=&quot;005A6F6A&quot;/&gt;&lt;wsp:rsid wsp:val=&quot;005B00F2&quot;/&gt;&lt;wsp:rsid wsp:val=&quot;005B3703&quot;/&gt;&lt;wsp:rsid wsp:val=&quot;005C0367&quot;/&gt;&lt;wsp:rsid wsp:val=&quot;005C1CAA&quot;/&gt;&lt;wsp:rsid wsp:val=&quot;005C5F24&quot;/&gt;&lt;wsp:rsid wsp:val=&quot;005C6505&quot;/&gt;&lt;wsp:rsid wsp:val=&quot;005D13A9&quot;/&gt;&lt;wsp:rsid wsp:val=&quot;005E7945&quot;/&gt;&lt;wsp:rsid wsp:val=&quot;005E7B85&quot;/&gt;&lt;wsp:rsid wsp:val=&quot;005F09D9&quot;/&gt;&lt;wsp:rsid wsp:val=&quot;005F0F26&quot;/&gt;&lt;wsp:rsid wsp:val=&quot;005F690B&quot;/&gt;&lt;wsp:rsid wsp:val=&quot;0060218F&quot;/&gt;&lt;wsp:rsid wsp:val=&quot;006066F0&quot;/&gt;&lt;wsp:rsid wsp:val=&quot;006072A6&quot;/&gt;&lt;wsp:rsid wsp:val=&quot;0061265D&quot;/&gt;&lt;wsp:rsid wsp:val=&quot;006171D4&quot;/&gt;&lt;wsp:rsid wsp:val=&quot;00617519&quot;/&gt;&lt;wsp:rsid wsp:val=&quot;00621502&quot;/&gt;&lt;wsp:rsid wsp:val=&quot;00623022&quot;/&gt;&lt;wsp:rsid wsp:val=&quot;00631F06&quot;/&gt;&lt;wsp:rsid wsp:val=&quot;006417F5&quot;/&gt;&lt;wsp:rsid wsp:val=&quot;00644DEB&quot;/&gt;&lt;wsp:rsid wsp:val=&quot;00645B7A&quot;/&gt;&lt;wsp:rsid wsp:val=&quot;0064669B&quot;/&gt;&lt;wsp:rsid wsp:val=&quot;00654F45&quot;/&gt;&lt;wsp:rsid wsp:val=&quot;00676793&quot;/&gt;&lt;wsp:rsid wsp:val=&quot;0069013D&quot;/&gt;&lt;wsp:rsid wsp:val=&quot;0069194C&quot;/&gt;&lt;wsp:rsid wsp:val=&quot;00692348&quot;/&gt;&lt;wsp:rsid wsp:val=&quot;006927D9&quot;/&gt;&lt;wsp:rsid wsp:val=&quot;00693D53&quot;/&gt;&lt;wsp:rsid wsp:val=&quot;00695CD8&quot;/&gt;&lt;wsp:rsid wsp:val=&quot;006A1F5B&quot;/&gt;&lt;wsp:rsid wsp:val=&quot;006B2013&quot;/&gt;&lt;wsp:rsid wsp:val=&quot;006B4C54&quot;/&gt;&lt;wsp:rsid wsp:val=&quot;006B7960&quot;/&gt;&lt;wsp:rsid wsp:val=&quot;006C1AA2&quot;/&gt;&lt;wsp:rsid wsp:val=&quot;006C4794&quot;/&gt;&lt;wsp:rsid wsp:val=&quot;006C7287&quot;/&gt;&lt;wsp:rsid wsp:val=&quot;006D195D&quot;/&gt;&lt;wsp:rsid wsp:val=&quot;006D7BCC&quot;/&gt;&lt;wsp:rsid wsp:val=&quot;006E0EF6&quot;/&gt;&lt;wsp:rsid wsp:val=&quot;006E4E44&quot;/&gt;&lt;wsp:rsid wsp:val=&quot;006F0F66&quot;/&gt;&lt;wsp:rsid wsp:val=&quot;006F48CA&quot;/&gt;&lt;wsp:rsid wsp:val=&quot;00701911&quot;/&gt;&lt;wsp:rsid wsp:val=&quot;00703736&quot;/&gt;&lt;wsp:rsid wsp:val=&quot;00705007&quot;/&gt;&lt;wsp:rsid wsp:val=&quot;007160A8&quot;/&gt;&lt;wsp:rsid wsp:val=&quot;00720DCE&quot;/&gt;&lt;wsp:rsid wsp:val=&quot;0072659D&quot;/&gt;&lt;wsp:rsid wsp:val=&quot;00732273&quot;/&gt;&lt;wsp:rsid wsp:val=&quot;00735808&quot;/&gt;&lt;wsp:rsid wsp:val=&quot;00740325&quot;/&gt;&lt;wsp:rsid wsp:val=&quot;00745A16&quot;/&gt;&lt;wsp:rsid wsp:val=&quot;0074774B&quot;/&gt;&lt;wsp:rsid wsp:val=&quot;0075540B&quot;/&gt;&lt;wsp:rsid wsp:val=&quot;00762C74&quot;/&gt;&lt;wsp:rsid wsp:val=&quot;007643AE&quot;/&gt;&lt;wsp:rsid wsp:val=&quot;007644D6&quot;/&gt;&lt;wsp:rsid wsp:val=&quot;00765C45&quot;/&gt;&lt;wsp:rsid wsp:val=&quot;00766B34&quot;/&gt;&lt;wsp:rsid wsp:val=&quot;00767D0C&quot;/&gt;&lt;wsp:rsid wsp:val=&quot;00776BDE&quot;/&gt;&lt;wsp:rsid wsp:val=&quot;0078240B&quot;/&gt;&lt;wsp:rsid wsp:val=&quot;0078545C&quot;/&gt;&lt;wsp:rsid wsp:val=&quot;007942B3&quot;/&gt;&lt;wsp:rsid wsp:val=&quot;007969AE&quot;/&gt;&lt;wsp:rsid wsp:val=&quot;007A18A4&quot;/&gt;&lt;wsp:rsid wsp:val=&quot;007B0FDB&quot;/&gt;&lt;wsp:rsid wsp:val=&quot;007B35F7&quot;/&gt;&lt;wsp:rsid wsp:val=&quot;007B4820&quot;/&gt;&lt;wsp:rsid wsp:val=&quot;007D2A69&quot;/&gt;&lt;wsp:rsid wsp:val=&quot;007E50DC&quot;/&gt;&lt;wsp:rsid wsp:val=&quot;007E7FDE&quot;/&gt;&lt;wsp:rsid wsp:val=&quot;007F5A5B&quot;/&gt;&lt;wsp:rsid wsp:val=&quot;007F6621&quot;/&gt;&lt;wsp:rsid wsp:val=&quot;0080351D&quot;/&gt;&lt;wsp:rsid wsp:val=&quot;00803B8B&quot;/&gt;&lt;wsp:rsid wsp:val=&quot;00805342&quot;/&gt;&lt;wsp:rsid wsp:val=&quot;00805450&quot;/&gt;&lt;wsp:rsid wsp:val=&quot;008109E0&quot;/&gt;&lt;wsp:rsid wsp:val=&quot;008126FD&quot;/&gt;&lt;wsp:rsid wsp:val=&quot;0082625F&quot;/&gt;&lt;wsp:rsid wsp:val=&quot;008270B4&quot;/&gt;&lt;wsp:rsid wsp:val=&quot;008278BF&quot;/&gt;&lt;wsp:rsid wsp:val=&quot;0083224B&quot;/&gt;&lt;wsp:rsid wsp:val=&quot;00834008&quot;/&gt;&lt;wsp:rsid wsp:val=&quot;00837C04&quot;/&gt;&lt;wsp:rsid wsp:val=&quot;00837CFF&quot;/&gt;&lt;wsp:rsid wsp:val=&quot;00845CD1&quot;/&gt;&lt;wsp:rsid wsp:val=&quot;00850965&quot;/&gt;&lt;wsp:rsid wsp:val=&quot;008521AC&quot;/&gt;&lt;wsp:rsid wsp:val=&quot;00854954&quot;/&gt;&lt;wsp:rsid wsp:val=&quot;00855436&quot;/&gt;&lt;wsp:rsid wsp:val=&quot;00863B3A&quot;/&gt;&lt;wsp:rsid wsp:val=&quot;00871D73&quot;/&gt;&lt;wsp:rsid wsp:val=&quot;00880BBB&quot;/&gt;&lt;wsp:rsid wsp:val=&quot;00882F07&quot;/&gt;&lt;wsp:rsid wsp:val=&quot;00883B8A&quot;/&gt;&lt;wsp:rsid wsp:val=&quot;008846D8&quot;/&gt;&lt;wsp:rsid wsp:val=&quot;008849AF&quot;/&gt;&lt;wsp:rsid wsp:val=&quot;008921E4&quot;/&gt;&lt;wsp:rsid wsp:val=&quot;00893DF0&quot;/&gt;&lt;wsp:rsid wsp:val=&quot;008A30EA&quot;/&gt;&lt;wsp:rsid wsp:val=&quot;008C30A8&quot;/&gt;&lt;wsp:rsid wsp:val=&quot;008C325D&quot;/&gt;&lt;wsp:rsid wsp:val=&quot;008C3D1B&quot;/&gt;&lt;wsp:rsid wsp:val=&quot;008C4326&quot;/&gt;&lt;wsp:rsid wsp:val=&quot;008C6D40&quot;/&gt;&lt;wsp:rsid wsp:val=&quot;008C7986&quot;/&gt;&lt;wsp:rsid wsp:val=&quot;008E2AC5&quot;/&gt;&lt;wsp:rsid wsp:val=&quot;008F1848&quot;/&gt;&lt;wsp:rsid wsp:val=&quot;00901D1D&quot;/&gt;&lt;wsp:rsid wsp:val=&quot;00904F72&quot;/&gt;&lt;wsp:rsid wsp:val=&quot;00920921&quot;/&gt;&lt;wsp:rsid wsp:val=&quot;0092562B&quot;/&gt;&lt;wsp:rsid wsp:val=&quot;00927616&quot;/&gt;&lt;wsp:rsid wsp:val=&quot;00930217&quot;/&gt;&lt;wsp:rsid wsp:val=&quot;009336E4&quot;/&gt;&lt;wsp:rsid wsp:val=&quot;00936BF6&quot;/&gt;&lt;wsp:rsid wsp:val=&quot;00940969&quot;/&gt;&lt;wsp:rsid wsp:val=&quot;00942E34&quot;/&gt;&lt;wsp:rsid wsp:val=&quot;00943E77&quot;/&gt;&lt;wsp:rsid wsp:val=&quot;00944626&quot;/&gt;&lt;wsp:rsid wsp:val=&quot;00950B00&quot;/&gt;&lt;wsp:rsid wsp:val=&quot;00956189&quot;/&gt;&lt;wsp:rsid wsp:val=&quot;00972C69&quot;/&gt;&lt;wsp:rsid wsp:val=&quot;00972D7A&quot;/&gt;&lt;wsp:rsid wsp:val=&quot;0097613F&quot;/&gt;&lt;wsp:rsid wsp:val=&quot;00981442&quot;/&gt;&lt;wsp:rsid wsp:val=&quot;00993F61&quot;/&gt;&lt;wsp:rsid wsp:val=&quot;00995C5A&quot;/&gt;&lt;wsp:rsid wsp:val=&quot;00996BFA&quot;/&gt;&lt;wsp:rsid wsp:val=&quot;009A252F&quot;/&gt;&lt;wsp:rsid wsp:val=&quot;009A4DB4&quot;/&gt;&lt;wsp:rsid wsp:val=&quot;009A5F52&quot;/&gt;&lt;wsp:rsid wsp:val=&quot;009B225F&quot;/&gt;&lt;wsp:rsid wsp:val=&quot;009B40B7&quot;/&gt;&lt;wsp:rsid wsp:val=&quot;009B433B&quot;/&gt;&lt;wsp:rsid wsp:val=&quot;009B6306&quot;/&gt;&lt;wsp:rsid wsp:val=&quot;009C4C36&quot;/&gt;&lt;wsp:rsid wsp:val=&quot;009C5286&quot;/&gt;&lt;wsp:rsid wsp:val=&quot;009C6C8E&quot;/&gt;&lt;wsp:rsid wsp:val=&quot;009D0591&quot;/&gt;&lt;wsp:rsid wsp:val=&quot;009D2616&quot;/&gt;&lt;wsp:rsid wsp:val=&quot;009D56C8&quot;/&gt;&lt;wsp:rsid wsp:val=&quot;009E0E17&quot;/&gt;&lt;wsp:rsid wsp:val=&quot;009E31B1&quot;/&gt;&lt;wsp:rsid wsp:val=&quot;009E3EE1&quot;/&gt;&lt;wsp:rsid wsp:val=&quot;009E4954&quot;/&gt;&lt;wsp:rsid wsp:val=&quot;00A05010&quot;/&gt;&lt;wsp:rsid wsp:val=&quot;00A0513F&quot;/&gt;&lt;wsp:rsid wsp:val=&quot;00A051E9&quot;/&gt;&lt;wsp:rsid wsp:val=&quot;00A06E0C&quot;/&gt;&lt;wsp:rsid wsp:val=&quot;00A1159E&quot;/&gt;&lt;wsp:rsid wsp:val=&quot;00A17222&quot;/&gt;&lt;wsp:rsid wsp:val=&quot;00A2292D&quot;/&gt;&lt;wsp:rsid wsp:val=&quot;00A2573E&quot;/&gt;&lt;wsp:rsid wsp:val=&quot;00A27030&quot;/&gt;&lt;wsp:rsid wsp:val=&quot;00A30EC9&quot;/&gt;&lt;wsp:rsid wsp:val=&quot;00A42CC7&quot;/&gt;&lt;wsp:rsid wsp:val=&quot;00A43132&quot;/&gt;&lt;wsp:rsid wsp:val=&quot;00A46EA0&quot;/&gt;&lt;wsp:rsid wsp:val=&quot;00A475AB&quot;/&gt;&lt;wsp:rsid wsp:val=&quot;00A47B19&quot;/&gt;&lt;wsp:rsid wsp:val=&quot;00A54C72&quot;/&gt;&lt;wsp:rsid wsp:val=&quot;00A57056&quot;/&gt;&lt;wsp:rsid wsp:val=&quot;00A60FD0&quot;/&gt;&lt;wsp:rsid wsp:val=&quot;00A6254B&quot;/&gt;&lt;wsp:rsid wsp:val=&quot;00A70CA0&quot;/&gt;&lt;wsp:rsid wsp:val=&quot;00A74F96&quot;/&gt;&lt;wsp:rsid wsp:val=&quot;00A83460&quot;/&gt;&lt;wsp:rsid wsp:val=&quot;00A83505&quot;/&gt;&lt;wsp:rsid wsp:val=&quot;00A83EBC&quot;/&gt;&lt;wsp:rsid wsp:val=&quot;00A84635&quot;/&gt;&lt;wsp:rsid wsp:val=&quot;00A942A6&quot;/&gt;&lt;wsp:rsid wsp:val=&quot;00A95ADA&quot;/&gt;&lt;wsp:rsid wsp:val=&quot;00AB04C4&quot;/&gt;&lt;wsp:rsid wsp:val=&quot;00AB1520&quot;/&gt;&lt;wsp:rsid wsp:val=&quot;00AC5334&quot;/&gt;&lt;wsp:rsid wsp:val=&quot;00AF0A74&quot;/&gt;&lt;wsp:rsid wsp:val=&quot;00AF1720&quot;/&gt;&lt;wsp:rsid wsp:val=&quot;00AF3567&quot;/&gt;&lt;wsp:rsid wsp:val=&quot;00AF6A51&quot;/&gt;&lt;wsp:rsid wsp:val=&quot;00B00AFF&quot;/&gt;&lt;wsp:rsid wsp:val=&quot;00B01374&quot;/&gt;&lt;wsp:rsid wsp:val=&quot;00B01F2A&quot;/&gt;&lt;wsp:rsid wsp:val=&quot;00B01F6B&quot;/&gt;&lt;wsp:rsid wsp:val=&quot;00B065AA&quot;/&gt;&lt;wsp:rsid wsp:val=&quot;00B077E9&quot;/&gt;&lt;wsp:rsid wsp:val=&quot;00B23CC5&quot;/&gt;&lt;wsp:rsid wsp:val=&quot;00B25BEF&quot;/&gt;&lt;wsp:rsid wsp:val=&quot;00B30CEA&quot;/&gt;&lt;wsp:rsid wsp:val=&quot;00B349E4&quot;/&gt;&lt;wsp:rsid wsp:val=&quot;00B413B1&quot;/&gt;&lt;wsp:rsid wsp:val=&quot;00B42687&quot;/&gt;&lt;wsp:rsid wsp:val=&quot;00B469A1&quot;/&gt;&lt;wsp:rsid wsp:val=&quot;00B50116&quot;/&gt;&lt;wsp:rsid wsp:val=&quot;00B53056&quot;/&gt;&lt;wsp:rsid wsp:val=&quot;00B53CF2&quot;/&gt;&lt;wsp:rsid wsp:val=&quot;00B63237&quot;/&gt;&lt;wsp:rsid wsp:val=&quot;00B74C6C&quot;/&gt;&lt;wsp:rsid wsp:val=&quot;00B758AF&quot;/&gt;&lt;wsp:rsid wsp:val=&quot;00B835E7&quot;/&gt;&lt;wsp:rsid wsp:val=&quot;00B83C3B&quot;/&gt;&lt;wsp:rsid wsp:val=&quot;00B83D98&quot;/&gt;&lt;wsp:rsid wsp:val=&quot;00BA2D7F&quot;/&gt;&lt;wsp:rsid wsp:val=&quot;00BA7AFA&quot;/&gt;&lt;wsp:rsid wsp:val=&quot;00BB0917&quot;/&gt;&lt;wsp:rsid wsp:val=&quot;00BB6176&quot;/&gt;&lt;wsp:rsid wsp:val=&quot;00BC4397&quot;/&gt;&lt;wsp:rsid wsp:val=&quot;00BD26BF&quot;/&gt;&lt;wsp:rsid wsp:val=&quot;00BD688B&quot;/&gt;&lt;wsp:rsid wsp:val=&quot;00BF3BC8&quot;/&gt;&lt;wsp:rsid wsp:val=&quot;00BF44D3&quot;/&gt;&lt;wsp:rsid wsp:val=&quot;00BF5AC6&quot;/&gt;&lt;wsp:rsid wsp:val=&quot;00BF6E36&quot;/&gt;&lt;wsp:rsid wsp:val=&quot;00C009D4&quot;/&gt;&lt;wsp:rsid wsp:val=&quot;00C02C5B&quot;/&gt;&lt;wsp:rsid wsp:val=&quot;00C03592&quot;/&gt;&lt;wsp:rsid wsp:val=&quot;00C040BB&quot;/&gt;&lt;wsp:rsid wsp:val=&quot;00C0425C&quot;/&gt;&lt;wsp:rsid wsp:val=&quot;00C05A9E&quot;/&gt;&lt;wsp:rsid wsp:val=&quot;00C173C9&quot;/&gt;&lt;wsp:rsid wsp:val=&quot;00C24264&quot;/&gt;&lt;wsp:rsid wsp:val=&quot;00C25295&quot;/&gt;&lt;wsp:rsid wsp:val=&quot;00C34B57&quot;/&gt;&lt;wsp:rsid wsp:val=&quot;00C37CFC&quot;/&gt;&lt;wsp:rsid wsp:val=&quot;00C37E4E&quot;/&gt;&lt;wsp:rsid wsp:val=&quot;00C44192&quot;/&gt;&lt;wsp:rsid wsp:val=&quot;00C44680&quot;/&gt;&lt;wsp:rsid wsp:val=&quot;00C44DBA&quot;/&gt;&lt;wsp:rsid wsp:val=&quot;00C4559A&quot;/&gt;&lt;wsp:rsid wsp:val=&quot;00C537FD&quot;/&gt;&lt;wsp:rsid wsp:val=&quot;00C56936&quot;/&gt;&lt;wsp:rsid wsp:val=&quot;00C57A2D&quot;/&gt;&lt;wsp:rsid wsp:val=&quot;00C62152&quot;/&gt;&lt;wsp:rsid wsp:val=&quot;00C72382&quot;/&gt;&lt;wsp:rsid wsp:val=&quot;00C7537A&quot;/&gt;&lt;wsp:rsid wsp:val=&quot;00C76E12&quot;/&gt;&lt;wsp:rsid wsp:val=&quot;00C86924&quot;/&gt;&lt;wsp:rsid wsp:val=&quot;00C86B08&quot;/&gt;&lt;wsp:rsid wsp:val=&quot;00C93B7D&quot;/&gt;&lt;wsp:rsid wsp:val=&quot;00CA229F&quot;/&gt;&lt;wsp:rsid wsp:val=&quot;00CA2DC5&quot;/&gt;&lt;wsp:rsid wsp:val=&quot;00CA5CC2&quot;/&gt;&lt;wsp:rsid wsp:val=&quot;00CA7FD7&quot;/&gt;&lt;wsp:rsid wsp:val=&quot;00CC1F14&quot;/&gt;&lt;wsp:rsid wsp:val=&quot;00CC21A7&quot;/&gt;&lt;wsp:rsid wsp:val=&quot;00CC53E4&quot;/&gt;&lt;wsp:rsid wsp:val=&quot;00CC66A4&quot;/&gt;&lt;wsp:rsid wsp:val=&quot;00CE2A85&quot;/&gt;&lt;wsp:rsid wsp:val=&quot;00CE3C33&quot;/&gt;&lt;wsp:rsid wsp:val=&quot;00CF13D6&quot;/&gt;&lt;wsp:rsid wsp:val=&quot;00CF2C1A&quot;/&gt;&lt;wsp:rsid wsp:val=&quot;00CF2E6A&quot;/&gt;&lt;wsp:rsid wsp:val=&quot;00CF4D8C&quot;/&gt;&lt;wsp:rsid wsp:val=&quot;00D072E2&quot;/&gt;&lt;wsp:rsid wsp:val=&quot;00D102C2&quot;/&gt;&lt;wsp:rsid wsp:val=&quot;00D2049C&quot;/&gt;&lt;wsp:rsid wsp:val=&quot;00D31790&quot;/&gt;&lt;wsp:rsid wsp:val=&quot;00D33E84&quot;/&gt;&lt;wsp:rsid wsp:val=&quot;00D35F57&quot;/&gt;&lt;wsp:rsid wsp:val=&quot;00D4241A&quot;/&gt;&lt;wsp:rsid wsp:val=&quot;00D46F14&quot;/&gt;&lt;wsp:rsid wsp:val=&quot;00D531EC&quot;/&gt;&lt;wsp:rsid wsp:val=&quot;00D56E68&quot;/&gt;&lt;wsp:rsid wsp:val=&quot;00D57627&quot;/&gt;&lt;wsp:rsid wsp:val=&quot;00D605A7&quot;/&gt;&lt;wsp:rsid wsp:val=&quot;00D60C19&quot;/&gt;&lt;wsp:rsid wsp:val=&quot;00D62961&quot;/&gt;&lt;wsp:rsid wsp:val=&quot;00D6336C&quot;/&gt;&lt;wsp:rsid wsp:val=&quot;00D6429F&quot;/&gt;&lt;wsp:rsid wsp:val=&quot;00D65C44&quot;/&gt;&lt;wsp:rsid wsp:val=&quot;00D707E5&quot;/&gt;&lt;wsp:rsid wsp:val=&quot;00D74B62&quot;/&gt;&lt;wsp:rsid wsp:val=&quot;00D754FA&quot;/&gt;&lt;wsp:rsid wsp:val=&quot;00D86D1E&quot;/&gt;&lt;wsp:rsid wsp:val=&quot;00D90224&quot;/&gt;&lt;wsp:rsid wsp:val=&quot;00D91EB4&quot;/&gt;&lt;wsp:rsid wsp:val=&quot;00D92060&quot;/&gt;&lt;wsp:rsid wsp:val=&quot;00D94CAB&quot;/&gt;&lt;wsp:rsid wsp:val=&quot;00D959A2&quot;/&gt;&lt;wsp:rsid wsp:val=&quot;00D96B53&quot;/&gt;&lt;wsp:rsid wsp:val=&quot;00DA2D03&quot;/&gt;&lt;wsp:rsid wsp:val=&quot;00DC1322&quot;/&gt;&lt;wsp:rsid wsp:val=&quot;00DC36D4&quot;/&gt;&lt;wsp:rsid wsp:val=&quot;00DC4774&quot;/&gt;&lt;wsp:rsid wsp:val=&quot;00DD23BF&quot;/&gt;&lt;wsp:rsid wsp:val=&quot;00DD2CE2&quot;/&gt;&lt;wsp:rsid wsp:val=&quot;00DE6A07&quot;/&gt;&lt;wsp:rsid wsp:val=&quot;00DF7111&quot;/&gt;&lt;wsp:rsid wsp:val=&quot;00E05187&quot;/&gt;&lt;wsp:rsid wsp:val=&quot;00E06151&quot;/&gt;&lt;wsp:rsid wsp:val=&quot;00E0655C&quot;/&gt;&lt;wsp:rsid wsp:val=&quot;00E1278A&quot;/&gt;&lt;wsp:rsid wsp:val=&quot;00E24F12&quot;/&gt;&lt;wsp:rsid wsp:val=&quot;00E304BB&quot;/&gt;&lt;wsp:rsid wsp:val=&quot;00E36F6C&quot;/&gt;&lt;wsp:rsid wsp:val=&quot;00E41E38&quot;/&gt;&lt;wsp:rsid wsp:val=&quot;00E42C9C&quot;/&gt;&lt;wsp:rsid wsp:val=&quot;00E535E3&quot;/&gt;&lt;wsp:rsid wsp:val=&quot;00E637FD&quot;/&gt;&lt;wsp:rsid wsp:val=&quot;00E6598C&quot;/&gt;&lt;wsp:rsid wsp:val=&quot;00E70538&quot;/&gt;&lt;wsp:rsid wsp:val=&quot;00E70E03&quot;/&gt;&lt;wsp:rsid wsp:val=&quot;00E73D20&quot;/&gt;&lt;wsp:rsid wsp:val=&quot;00E74DF4&quot;/&gt;&lt;wsp:rsid wsp:val=&quot;00E753A4&quot;/&gt;&lt;wsp:rsid wsp:val=&quot;00E75C28&quot;/&gt;&lt;wsp:rsid wsp:val=&quot;00E7783C&quot;/&gt;&lt;wsp:rsid wsp:val=&quot;00E90DB8&quot;/&gt;&lt;wsp:rsid wsp:val=&quot;00E91BF8&quot;/&gt;&lt;wsp:rsid wsp:val=&quot;00E924D2&quot;/&gt;&lt;wsp:rsid wsp:val=&quot;00E92AF6&quot;/&gt;&lt;wsp:rsid wsp:val=&quot;00E96E40&quot;/&gt;&lt;wsp:rsid wsp:val=&quot;00EB417E&quot;/&gt;&lt;wsp:rsid wsp:val=&quot;00EC45E4&quot;/&gt;&lt;wsp:rsid wsp:val=&quot;00ED08C9&quot;/&gt;&lt;wsp:rsid wsp:val=&quot;00ED12A4&quot;/&gt;&lt;wsp:rsid wsp:val=&quot;00ED1BDD&quot;/&gt;&lt;wsp:rsid wsp:val=&quot;00ED2F2B&quot;/&gt;&lt;wsp:rsid wsp:val=&quot;00ED3A61&quot;/&gt;&lt;wsp:rsid wsp:val=&quot;00ED6A90&quot;/&gt;&lt;wsp:rsid wsp:val=&quot;00EE6D27&quot;/&gt;&lt;wsp:rsid wsp:val=&quot;00EF01FC&quot;/&gt;&lt;wsp:rsid wsp:val=&quot;00EF0C65&quot;/&gt;&lt;wsp:rsid wsp:val=&quot;00EF27DB&quot;/&gt;&lt;wsp:rsid wsp:val=&quot;00EF2BE2&quot;/&gt;&lt;wsp:rsid wsp:val=&quot;00F0126A&quot;/&gt;&lt;wsp:rsid wsp:val=&quot;00F053A9&quot;/&gt;&lt;wsp:rsid wsp:val=&quot;00F069DB&quot;/&gt;&lt;wsp:rsid wsp:val=&quot;00F07F17&quot;/&gt;&lt;wsp:rsid wsp:val=&quot;00F12B71&quot;/&gt;&lt;wsp:rsid wsp:val=&quot;00F12D75&quot;/&gt;&lt;wsp:rsid wsp:val=&quot;00F204F6&quot;/&gt;&lt;wsp:rsid wsp:val=&quot;00F2331C&quot;/&gt;&lt;wsp:rsid wsp:val=&quot;00F253B3&quot;/&gt;&lt;wsp:rsid wsp:val=&quot;00F30298&quot;/&gt;&lt;wsp:rsid wsp:val=&quot;00F30764&quot;/&gt;&lt;wsp:rsid wsp:val=&quot;00F31D34&quot;/&gt;&lt;wsp:rsid wsp:val=&quot;00F42439&quot;/&gt;&lt;wsp:rsid wsp:val=&quot;00F45E13&quot;/&gt;&lt;wsp:rsid wsp:val=&quot;00F55747&quot;/&gt;&lt;wsp:rsid wsp:val=&quot;00F64379&quot;/&gt;&lt;wsp:rsid wsp:val=&quot;00F80FB9&quot;/&gt;&lt;wsp:rsid wsp:val=&quot;00F81F3E&quot;/&gt;&lt;wsp:rsid wsp:val=&quot;00F84D81&quot;/&gt;&lt;wsp:rsid wsp:val=&quot;00F97D62&quot;/&gt;&lt;wsp:rsid wsp:val=&quot;00F97F62&quot;/&gt;&lt;wsp:rsid wsp:val=&quot;00FA1651&quot;/&gt;&lt;wsp:rsid wsp:val=&quot;00FA4A00&quot;/&gt;&lt;wsp:rsid wsp:val=&quot;00FA7036&quot;/&gt;&lt;wsp:rsid wsp:val=&quot;00FB1C24&quot;/&gt;&lt;wsp:rsid wsp:val=&quot;00FB66B3&quot;/&gt;&lt;wsp:rsid wsp:val=&quot;00FB6CEC&quot;/&gt;&lt;wsp:rsid wsp:val=&quot;00FC0C3D&quot;/&gt;&lt;wsp:rsid wsp:val=&quot;00FC18B0&quot;/&gt;&lt;wsp:rsid wsp:val=&quot;00FC2D9B&quot;/&gt;&lt;wsp:rsid wsp:val=&quot;00FC7A57&quot;/&gt;&lt;wsp:rsid wsp:val=&quot;00FD201F&quot;/&gt;&lt;wsp:rsid wsp:val=&quot;00FD59B6&quot;/&gt;&lt;wsp:rsid wsp:val=&quot;00FE2C09&quot;/&gt;&lt;wsp:rsid wsp:val=&quot;00FE434F&quot;/&gt;&lt;wsp:rsid wsp:val=&quot;00FE77CB&quot;/&gt;&lt;wsp:rsid wsp:val=&quot;00FF16B2&quot;/&gt;&lt;wsp:rsid wsp:val=&quot;00FF49C8&quot;/&gt;&lt;/wsp:rsids&gt;&lt;/w:docPr&gt;&lt;w:body&gt;&lt;w:p wsp:rsidR=&quot;00000000&quot; wsp:rsidRDefault=&quot;00FB6CEC&quot;&gt;&lt;m:oMathPara&gt;&lt;m:oMath&gt;&lt;m:sSub&gt;&lt;m:sSubPr&gt;&lt;m:ctrlPr&gt;&lt;w:rPr&gt;&lt;w:rFonts w:ascii=&quot;Cambria Math&quot; w:fareast=&quot;Times New Roman&quot; w:h-ansi=&quot;Cambria Math&quot;/&gt;&lt;wx:font wx:val=&quot;Cambria Math&quot;/&gt;&lt;w:i/&gt;&lt;/w:rPr&gt;&lt;/m:ctrlPr&gt;&lt;/m:sSubPr&gt;&lt;m:e&gt;&lt;m:r&gt;&lt;w:rPr&gt;&lt;w:rFonts w:ascii=&quot;Cambria Math&quot; w:fareast=&quot;Times New Roman&quot; w:h-ansi=&quot;Cambria Math&quot;/&gt;&lt;wx:font wx:val=&quot;Cambria Math&quot;/&gt;&lt;w:i/&gt;&lt;/w:rPr&gt;&lt;m:t&gt;Î²&lt;/m:t&gt;&lt;/m:r&gt;&lt;/m:e&gt;&lt;m:sub&gt;&lt;m:r&gt;&lt;w:rPr&gt;&lt;w:rFonts w:ascii=&quot;Cambria Math&quot; w:fareast=&quot;Times New Roman&quot; w:h-ansi=&quot;Cambria Math&quot;/&gt;&lt;wx:font wx:val=&quot;Cambria Math&quot;/&gt;&lt;w:i/&gt;&lt;/w:rPr&gt;&lt;m:t&gt;1&lt;/m:t&gt;&lt;/m:r&gt;&lt;/m:sub&gt;&lt;/m:sSub&gt;&lt;m:r&gt;&lt;w:rPr&gt;&lt;w:rFonts w:ascii=&quot;Cambria Math&quot; w:fareast=&quot;Times New Roman&quot; w:h-ansi=&quot;Cambria Math&quot;/&gt;&lt;wx:font wx:val=&quot;Cambria Math&quot;/&gt;&lt;w:i/&gt;&lt;/w:rPr&gt;&lt;m:t&gt;+&lt;/m:t&gt;&lt;/m:r&gt;&lt;m:sSub&gt;&lt;m:sSubPr&gt;&lt;m:ctrlPr&gt;&lt;w:rPr&gt;&lt;w:rFonts w:ascii=&quot;Cambria Math&quot; w:fareast=&quot;Times New Roman&quot; w:h-ansi=&quot;Cambria Math&quot;/&gt;&lt;wx:font wx:val=&quot;Cambria Math&quot;/&gt;&lt;w:i/&gt;&lt;/w:rPr&gt;&lt;/m:ctrlPr&gt;&lt;/m:sSubPr&gt;&lt;m:e&gt;&lt;m:r&gt;&lt;w:rPr&gt;&lt;w:rFonts w:ascii=&quot;Cambria Math&quot; w:fareast=&quot;Times New Roman&quot; w:h-ansi=&quot;Cambria Math&quot;/&gt;&lt;wx:font wx:val=&quot;Cambria Math&quot;/&gt;&lt;w:i/&gt;&lt;/w:rPr&gt;&lt;m:t&gt;Î²&lt;/m:t&gt;&lt;/m:r&gt;&lt;/m:e&gt;&lt;m:sub&gt;&lt;m:r&gt;&lt;w:rPr&gt;&lt;w:rFonts w:ascii=&quot;Cambria Math&quot; w:fareast=&quot;Times New Roman&quot; w:h-ansi=&quot;Cambria Math&quot;/&gt;&lt;wx:font wx:val=&quot;Cambria Math&quot;/&gt;&lt;w:i/&gt;&lt;/w:rPr&gt;&lt;m:t&gt;2&lt;/m:t&gt;&lt;/m:r&gt;&lt;/m:sub&gt;&lt;/m:sSub&gt;&lt;m:r&gt;&lt;w:rPr&gt;&lt;w:rFonts w:ascii=&quot;Cambria Math&quot; w:fareast=&quot;Times New Roman&quot; w:h-ansi=&quot;Cambria Math&quot;/&gt;&lt;wx:font wx:val=&quot;Cambria Math&quot;/&gt;&lt;w:i/&gt;&lt;/w:rPr&gt;&lt;m:t&gt;*&lt;/m:t&gt;&lt;/m:r&gt;&lt;m:sSub&gt;&lt;m:sSubPr&gt;&lt;m:ctrlPr&gt;&lt;w:rPr&gt;&lt;w:rFonts w:ascii=&quot;Cambria Math&quot; w:fareast=&quot;Times New Roman&quot; w:h-ansi=&quot;Cambria Math&quot;/&gt;&lt;wx:font wx:val=&quot;Cambria Math&quot;/&gt;&lt;w:i/&gt;&lt;/w:rPr&gt;&lt;/m:ctrlPr&gt;&lt;/m:sSubPr&gt;&lt;m:e&gt;&lt;m:r&gt;&lt;w:rPr&gt;&lt;w:rFonts w:ascii=&quot;Cambria Math&quot; w:fareast=&quot;Times New Roman&quot; w:h-ansi=&quot;Cambria Math&quot;/&gt;&lt;wx:font wx:val=&quot;Cambria Math&quot;/&gt;&lt;w:i/&gt;&lt;/w:rPr&gt;&lt;m:t&gt;ADIV&lt;/m:t&gt;&lt;/m:r&gt;&lt;/m:e&gt;&lt;m:sub&gt;&lt;m:r&gt;&lt;w:rPr&gt;&lt;w:rFonts w:ascii=&quot;Cambria Math&quot; w:fareast=&quot;Times New Roman&quot; w:h-ansi=&quot;Cambria Math&quot;/&gt;&lt;wx:font wx:val=&quot;Cambria Math&quot;/&gt;&lt;w:i/&gt;&lt;/w:rPr&gt;&lt;m:t&gt;i&lt;/m:t&gt;&lt;/m:r&gt;&lt;/m:sub&gt;&lt;/m:sSub&gt;&lt;m:r&gt;&lt;w:rPr&gt;&lt;w:rFonts w:ascii=&quot;Cambria Math&quot; w:fareast=&quot;Times New Roman&quot; w:h-ansi=&quot;Cambria Math&quot;/&gt;&lt;wx:font wx:val=&quot;Cambria Math&quot;/&gt;&lt;w:i/&gt;&lt;/w:rPr&gt;&lt;m:t&gt;+&lt;/m:t&gt;&lt;/m:r&gt;&lt;m:sSub&gt;&lt;m:sSubPr&gt;&lt;m:ctrlPr&gt;&lt;w:rPr&gt;&lt;w:rFonts w:ascii=&quot;Cambria Math&quot; w:fareast=&quot;Times New Roman&quot; w:h-ansi=&quot;Cambria Math&quot;/&gt;&lt;wx:font wx:val=&quot;Cambria Math&quot;/&gt;&lt;w:i/&gt;&lt;/w:rPr&gt;&lt;/m:ctrlPr&gt;&lt;/m:sSubPr&gt;&lt;m:e&gt;&lt;m:r&gt;&lt;w:rPr&gt;&lt;w:rFonts w:ascii=&quot;Cambria Math&quot; w:fareast=&quot;Times New Roman&quot; w:h-ansi=&quot;Cambria Math&quot;/&gt;&lt;wx:font wx:val=&quot;Cambria Math&quot;/&gt;&lt;w:i/&gt;&lt;/w:rPr&gt;&lt;m:t&gt;Î²&lt;/m:t&gt;&lt;/m:r&gt;&lt;/m:e&gt;&lt;m:sub&gt;&lt;m:r&gt;&lt;w:rPr&gt;&lt;w:rFonts w:ascii=&quot;Cambria Math&quot; w:fareast=&quot;Times New Roman&quot; w:h-ansi=&quot;Cambria Math&quot;/&gt;&lt;wx:font wx:val=&quot;Cambria Math&quot;/&gt;&lt;w:i/&gt;&lt;/w:rPr&gt;&lt;m:t&gt;3&lt;/m:t&gt;&lt;/m:r&gt;&lt;/m:sub&gt;&lt;/m:sSub&gt;&lt;m:r&gt;&lt;w:rPr&gt;&lt;w:rFonts w:ascii=&quot;Cambria Math&quot; w:fareast=&quot;Times New Roman&quot; w:h-ansi=&quot;Cambria Math&quot;/&gt;&lt;wx:font wx:val=&quot;Cambria Math&quot;/&gt;&lt;w:i/&gt;&lt;/w:rPr&gt;&lt;m:t&gt;*DUMMY*&lt;/m:t&gt;&lt;/m:r&gt;&lt;m:sSub&gt;&lt;m:sSubPr&gt;&lt;m:ctrlPr&gt;&lt;w:rPr&gt;&lt;w:rFonts w:ascii=&quot;Cambria Math&quot; w:fareast=&quot;Times New Roman&quot; w:h-ansi=&quot;Cambria Math&quot;/&gt;&lt;wx:font wx:val=&quot;Cambria Math&quot;/&gt;&lt;w:i/&gt;&lt;/w:rPr&gt;&lt;/m:ctrlPr&gt;&lt;/m:sSubPr&gt;&lt;m:e&gt;&lt;m:r&gt;&lt;w:rPr&gt;&lt;w:rFonts w:ascii=&quot;Cambria Math&quot; w:fareast=&quot;Times New Roman&quot; w:h-ansi=&quot;Cambria Math&quot;/&gt;&lt;wx:font wx:val=&quot;Cambria Math&quot;/&gt;&lt;w:i/&gt;&lt;/w:rPr&gt;&lt;m:t&gt;ADIV&lt;/m:t&gt;&lt;/m:r&gt;&lt;/m:e&gt;&lt;m:sub&gt;&lt;m:r&gt;&lt;w:rPr&gt;&lt;w:rFonts w:ascii=&quot;Cambria Math&quot; w:fareast=&quot;Times New Roman&quot; w:h-ansi=&quot;Cambria Math&quot;/&gt;&lt;wx:font wx:val=&quot;Cambria Math&quot;/&gt;&lt;w:i/&gt;&lt;/w:rPr&gt;&lt;m:t&gt;i&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6" o:title="" chromakey="white"/>
          </v:shape>
        </w:pict>
      </w:r>
      <w:r w:rsidRPr="00D754FA">
        <w:rPr>
          <w:szCs w:val="24"/>
        </w:rPr>
        <w:fldChar w:fldCharType="end"/>
      </w:r>
      <w:r>
        <w:rPr>
          <w:szCs w:val="24"/>
        </w:rPr>
        <w:t xml:space="preserve"> </w:t>
      </w:r>
    </w:p>
    <w:p w:rsidR="005217AD" w:rsidRDefault="005217AD" w:rsidP="004A6E4F">
      <w:pPr>
        <w:pStyle w:val="Heading2"/>
        <w:numPr>
          <w:ilvl w:val="1"/>
          <w:numId w:val="5"/>
        </w:numPr>
      </w:pPr>
      <w:r>
        <w:br w:type="page"/>
      </w:r>
      <w:bookmarkStart w:id="71" w:name="_Toc267486051"/>
      <w:r>
        <w:t>De uitkomsten</w:t>
      </w:r>
      <w:bookmarkEnd w:id="71"/>
    </w:p>
    <w:p w:rsidR="005217AD" w:rsidRDefault="005217AD" w:rsidP="00496C58">
      <w:pPr>
        <w:rPr>
          <w:kern w:val="0"/>
        </w:rPr>
      </w:pPr>
      <w:r>
        <w:rPr>
          <w:kern w:val="0"/>
        </w:rPr>
        <w:t xml:space="preserve">Voorgaande regressie is berekend in het statistiek programma EVIEWS. De output van deze regressie is te vinden in </w:t>
      </w:r>
      <w:r>
        <w:rPr>
          <w:kern w:val="0"/>
        </w:rPr>
        <w:fldChar w:fldCharType="begin"/>
      </w:r>
      <w:r>
        <w:rPr>
          <w:kern w:val="0"/>
        </w:rPr>
        <w:instrText xml:space="preserve"> REF _Ref267484366 \h </w:instrText>
      </w:r>
      <w:r w:rsidRPr="00240333">
        <w:rPr>
          <w:kern w:val="0"/>
        </w:rPr>
      </w:r>
      <w:r>
        <w:rPr>
          <w:kern w:val="0"/>
        </w:rPr>
        <w:fldChar w:fldCharType="separate"/>
      </w:r>
      <w:r w:rsidRPr="00E92AF6">
        <w:t xml:space="preserve">Tabel </w:t>
      </w:r>
      <w:r>
        <w:rPr>
          <w:noProof/>
        </w:rPr>
        <w:t>5</w:t>
      </w:r>
      <w:r>
        <w:rPr>
          <w:kern w:val="0"/>
        </w:rPr>
        <w:fldChar w:fldCharType="end"/>
      </w:r>
      <w:r>
        <w:rPr>
          <w:kern w:val="0"/>
        </w:rPr>
        <w:t xml:space="preserve">. Alle coëfficiënten binnen de regressie zijn significant, zowel bij een verwerpingcriteria van 5 als 1 procent. Een F-Test op de significantie van de dummy variabele (te vinden in de </w:t>
      </w:r>
      <w:r>
        <w:rPr>
          <w:kern w:val="0"/>
        </w:rPr>
        <w:fldChar w:fldCharType="begin"/>
      </w:r>
      <w:r>
        <w:rPr>
          <w:kern w:val="0"/>
        </w:rPr>
        <w:instrText xml:space="preserve"> REF _Ref267484412 \h </w:instrText>
      </w:r>
      <w:r w:rsidRPr="00240333">
        <w:rPr>
          <w:kern w:val="0"/>
        </w:rPr>
      </w:r>
      <w:r>
        <w:rPr>
          <w:kern w:val="0"/>
        </w:rPr>
        <w:fldChar w:fldCharType="separate"/>
      </w:r>
      <w:r>
        <w:t xml:space="preserve">Tabel </w:t>
      </w:r>
      <w:r>
        <w:rPr>
          <w:noProof/>
        </w:rPr>
        <w:t>6</w:t>
      </w:r>
      <w:r>
        <w:rPr>
          <w:kern w:val="0"/>
        </w:rPr>
        <w:fldChar w:fldCharType="end"/>
      </w:r>
      <w:r>
        <w:rPr>
          <w:kern w:val="0"/>
        </w:rPr>
        <w:t>) blijkt ook significant. Wat inhoudt dat de ondernemingen, die voldoen aan de classificatie negatief, significant afwijkende abnormale rendementen hebben ten opzichte van de overige ondernemingen.</w:t>
      </w:r>
    </w:p>
    <w:p w:rsidR="005217AD" w:rsidRDefault="005217AD" w:rsidP="00496C58">
      <w:pPr>
        <w:rPr>
          <w:kern w:val="0"/>
        </w:rPr>
      </w:pPr>
      <w:r>
        <w:rPr>
          <w:kern w:val="0"/>
        </w:rPr>
        <w:t xml:space="preserve">De economische significantie is wederom in twijfel te trekken. De absolute waarde van de coëfficiënten is laag te noemen. Dit is zeker het geval, als in ogenschouw wordt genomen dat de waarden betrekking hebben op de geaccumuleerde abnormale rendementen over een periode van drie dagen rond de dividendaankondiging. </w:t>
      </w:r>
    </w:p>
    <w:p w:rsidR="005217AD" w:rsidRDefault="005217AD" w:rsidP="00496C58">
      <w:pPr>
        <w:rPr>
          <w:kern w:val="0"/>
        </w:rPr>
      </w:pPr>
    </w:p>
    <w:tbl>
      <w:tblPr>
        <w:tblW w:w="0" w:type="auto"/>
        <w:tblInd w:w="60" w:type="dxa"/>
        <w:tblLayout w:type="fixed"/>
        <w:tblCellMar>
          <w:left w:w="30" w:type="dxa"/>
          <w:right w:w="30" w:type="dxa"/>
        </w:tblCellMar>
        <w:tblLook w:val="0000"/>
      </w:tblPr>
      <w:tblGrid>
        <w:gridCol w:w="2165"/>
        <w:gridCol w:w="640"/>
        <w:gridCol w:w="567"/>
        <w:gridCol w:w="1103"/>
        <w:gridCol w:w="1270"/>
        <w:gridCol w:w="1040"/>
      </w:tblGrid>
      <w:tr w:rsidR="005217AD" w:rsidRPr="0029216B" w:rsidTr="009C4C36">
        <w:trPr>
          <w:trHeight w:val="272"/>
        </w:trPr>
        <w:tc>
          <w:tcPr>
            <w:tcW w:w="2805" w:type="dxa"/>
            <w:gridSpan w:val="2"/>
            <w:tcBorders>
              <w:top w:val="nil"/>
              <w:left w:val="nil"/>
              <w:bottom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 xml:space="preserve">Dependent Variable: </w:t>
            </w:r>
          </w:p>
        </w:tc>
        <w:tc>
          <w:tcPr>
            <w:tcW w:w="3980" w:type="dxa"/>
            <w:gridSpan w:val="4"/>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firstLine="0"/>
              <w:jc w:val="left"/>
              <w:rPr>
                <w:rFonts w:ascii="Calibri" w:hAnsi="Calibri" w:cs="Calibri"/>
                <w:color w:val="000000"/>
                <w:kern w:val="0"/>
                <w:sz w:val="22"/>
                <w:lang w:eastAsia="nl-NL"/>
              </w:rPr>
            </w:pPr>
            <w:r w:rsidRPr="00E92AF6">
              <w:rPr>
                <w:rFonts w:ascii="Calibri" w:hAnsi="Calibri" w:cs="Calibri"/>
                <w:color w:val="000000"/>
                <w:kern w:val="0"/>
                <w:sz w:val="22"/>
                <w:lang w:eastAsia="nl-NL"/>
              </w:rPr>
              <w:t>CAR</w:t>
            </w:r>
          </w:p>
        </w:tc>
      </w:tr>
      <w:tr w:rsidR="005217AD" w:rsidRPr="0029216B" w:rsidTr="009C4C36">
        <w:trPr>
          <w:trHeight w:val="272"/>
        </w:trPr>
        <w:tc>
          <w:tcPr>
            <w:tcW w:w="2805" w:type="dxa"/>
            <w:gridSpan w:val="2"/>
            <w:tcBorders>
              <w:top w:val="nil"/>
              <w:left w:val="nil"/>
              <w:bottom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Method: Squares</w:t>
            </w:r>
          </w:p>
        </w:tc>
        <w:tc>
          <w:tcPr>
            <w:tcW w:w="3980" w:type="dxa"/>
            <w:gridSpan w:val="4"/>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firstLine="0"/>
              <w:jc w:val="left"/>
              <w:rPr>
                <w:rFonts w:ascii="Calibri" w:hAnsi="Calibri" w:cs="Calibri"/>
                <w:color w:val="000000"/>
                <w:kern w:val="0"/>
                <w:sz w:val="22"/>
                <w:lang w:eastAsia="nl-NL"/>
              </w:rPr>
            </w:pPr>
            <w:r w:rsidRPr="00E92AF6">
              <w:rPr>
                <w:rFonts w:ascii="Calibri" w:hAnsi="Calibri" w:cs="Calibri"/>
                <w:color w:val="000000"/>
                <w:kern w:val="0"/>
                <w:sz w:val="22"/>
                <w:lang w:eastAsia="nl-NL"/>
              </w:rPr>
              <w:t>Least</w:t>
            </w:r>
          </w:p>
        </w:tc>
      </w:tr>
      <w:tr w:rsidR="005217AD" w:rsidRPr="0029216B" w:rsidTr="009C4C36">
        <w:trPr>
          <w:trHeight w:val="272"/>
        </w:trPr>
        <w:tc>
          <w:tcPr>
            <w:tcW w:w="2805" w:type="dxa"/>
            <w:gridSpan w:val="2"/>
            <w:tcBorders>
              <w:top w:val="nil"/>
              <w:left w:val="nil"/>
              <w:bottom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 xml:space="preserve">Sample: </w:t>
            </w:r>
          </w:p>
        </w:tc>
        <w:tc>
          <w:tcPr>
            <w:tcW w:w="3980" w:type="dxa"/>
            <w:gridSpan w:val="4"/>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firstLine="0"/>
              <w:jc w:val="left"/>
              <w:rPr>
                <w:rFonts w:ascii="Calibri" w:hAnsi="Calibri" w:cs="Calibri"/>
                <w:color w:val="000000"/>
                <w:kern w:val="0"/>
                <w:sz w:val="22"/>
                <w:lang w:eastAsia="nl-NL"/>
              </w:rPr>
            </w:pPr>
            <w:r w:rsidRPr="00E92AF6">
              <w:rPr>
                <w:rFonts w:ascii="Calibri" w:hAnsi="Calibri" w:cs="Calibri"/>
                <w:color w:val="000000"/>
                <w:kern w:val="0"/>
                <w:sz w:val="22"/>
                <w:lang w:eastAsia="nl-NL"/>
              </w:rPr>
              <w:t>5658</w:t>
            </w:r>
          </w:p>
        </w:tc>
      </w:tr>
      <w:tr w:rsidR="005217AD" w:rsidRPr="0029216B" w:rsidTr="009C4C36">
        <w:trPr>
          <w:trHeight w:val="272"/>
        </w:trPr>
        <w:tc>
          <w:tcPr>
            <w:tcW w:w="2805" w:type="dxa"/>
            <w:gridSpan w:val="2"/>
            <w:tcBorders>
              <w:top w:val="nil"/>
              <w:left w:val="nil"/>
              <w:bottom w:val="nil"/>
            </w:tcBorders>
            <w:vAlign w:val="bottom"/>
          </w:tcPr>
          <w:p w:rsidR="005217AD" w:rsidRPr="009C4C36" w:rsidRDefault="005217AD" w:rsidP="009C4C36">
            <w:pPr>
              <w:autoSpaceDE w:val="0"/>
              <w:autoSpaceDN w:val="0"/>
              <w:adjustRightInd w:val="0"/>
              <w:spacing w:line="240" w:lineRule="auto"/>
              <w:ind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Included observations:</w:t>
            </w:r>
          </w:p>
        </w:tc>
        <w:tc>
          <w:tcPr>
            <w:tcW w:w="3980" w:type="dxa"/>
            <w:gridSpan w:val="4"/>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firstLine="0"/>
              <w:jc w:val="left"/>
              <w:rPr>
                <w:rFonts w:ascii="Calibri" w:hAnsi="Calibri" w:cs="Calibri"/>
                <w:color w:val="000000"/>
                <w:kern w:val="0"/>
                <w:sz w:val="22"/>
                <w:lang w:eastAsia="nl-NL"/>
              </w:rPr>
            </w:pPr>
            <w:r w:rsidRPr="00E92AF6">
              <w:rPr>
                <w:rFonts w:ascii="Calibri" w:hAnsi="Calibri" w:cs="Calibri"/>
                <w:color w:val="000000"/>
                <w:kern w:val="0"/>
                <w:sz w:val="22"/>
                <w:lang w:eastAsia="nl-NL"/>
              </w:rPr>
              <w:t>5658</w:t>
            </w:r>
          </w:p>
        </w:tc>
      </w:tr>
      <w:tr w:rsidR="005217AD" w:rsidRPr="0029216B" w:rsidTr="0029216B">
        <w:trPr>
          <w:trHeight w:val="272"/>
        </w:trPr>
        <w:tc>
          <w:tcPr>
            <w:tcW w:w="6785" w:type="dxa"/>
            <w:gridSpan w:val="6"/>
            <w:tcBorders>
              <w:top w:val="nil"/>
              <w:left w:val="nil"/>
              <w:bottom w:val="single" w:sz="4" w:space="0" w:color="auto"/>
              <w:right w:val="nil"/>
            </w:tcBorders>
            <w:vAlign w:val="bottom"/>
          </w:tcPr>
          <w:p w:rsidR="005217AD" w:rsidRPr="00E92AF6" w:rsidRDefault="005217AD" w:rsidP="0029216B">
            <w:pPr>
              <w:autoSpaceDE w:val="0"/>
              <w:autoSpaceDN w:val="0"/>
              <w:adjustRightInd w:val="0"/>
              <w:spacing w:line="240" w:lineRule="auto"/>
              <w:ind w:firstLine="0"/>
              <w:jc w:val="left"/>
              <w:rPr>
                <w:rFonts w:ascii="Calibri" w:hAnsi="Calibri" w:cs="Calibri"/>
                <w:color w:val="000000"/>
                <w:kern w:val="0"/>
                <w:sz w:val="22"/>
                <w:lang w:val="en-US" w:eastAsia="nl-NL"/>
              </w:rPr>
            </w:pPr>
            <w:r w:rsidRPr="00E92AF6">
              <w:rPr>
                <w:rFonts w:ascii="Calibri" w:hAnsi="Calibri" w:cs="Calibri"/>
                <w:color w:val="000000"/>
                <w:kern w:val="0"/>
                <w:sz w:val="22"/>
                <w:lang w:val="en-US" w:eastAsia="nl-NL"/>
              </w:rPr>
              <w:t>CAR=C(1)+C(2)*ADIV+C(3)*ADIV*NEGDUM</w:t>
            </w:r>
          </w:p>
        </w:tc>
      </w:tr>
      <w:tr w:rsidR="005217AD" w:rsidRPr="009C4C36" w:rsidTr="009C4C36">
        <w:trPr>
          <w:trHeight w:val="272"/>
        </w:trPr>
        <w:tc>
          <w:tcPr>
            <w:tcW w:w="2165" w:type="dxa"/>
            <w:tcBorders>
              <w:top w:val="single" w:sz="4" w:space="0" w:color="auto"/>
              <w:left w:val="single" w:sz="4" w:space="0" w:color="auto"/>
              <w:bottom w:val="single" w:sz="4" w:space="0" w:color="auto"/>
              <w:right w:val="nil"/>
            </w:tcBorders>
            <w:vAlign w:val="bottom"/>
          </w:tcPr>
          <w:p w:rsidR="005217AD" w:rsidRPr="009C4C36" w:rsidRDefault="005217AD" w:rsidP="0029216B">
            <w:pPr>
              <w:autoSpaceDE w:val="0"/>
              <w:autoSpaceDN w:val="0"/>
              <w:adjustRightInd w:val="0"/>
              <w:spacing w:line="240" w:lineRule="auto"/>
              <w:ind w:firstLine="0"/>
              <w:jc w:val="center"/>
              <w:rPr>
                <w:rFonts w:ascii="Calibri" w:hAnsi="Calibri" w:cs="Calibri"/>
                <w:b/>
                <w:color w:val="000000"/>
                <w:kern w:val="0"/>
                <w:sz w:val="22"/>
                <w:lang w:val="en-US" w:eastAsia="nl-NL"/>
              </w:rPr>
            </w:pPr>
          </w:p>
        </w:tc>
        <w:tc>
          <w:tcPr>
            <w:tcW w:w="1207" w:type="dxa"/>
            <w:gridSpan w:val="2"/>
            <w:tcBorders>
              <w:top w:val="single" w:sz="4" w:space="0" w:color="auto"/>
              <w:left w:val="nil"/>
              <w:bottom w:val="single" w:sz="4" w:space="0" w:color="auto"/>
              <w:right w:val="nil"/>
            </w:tcBorders>
            <w:vAlign w:val="bottom"/>
          </w:tcPr>
          <w:p w:rsidR="005217AD" w:rsidRPr="009C4C36" w:rsidRDefault="005217AD" w:rsidP="0029216B">
            <w:pPr>
              <w:autoSpaceDE w:val="0"/>
              <w:autoSpaceDN w:val="0"/>
              <w:adjustRightInd w:val="0"/>
              <w:spacing w:line="240" w:lineRule="auto"/>
              <w:ind w:right="10" w:firstLine="0"/>
              <w:jc w:val="right"/>
              <w:rPr>
                <w:rFonts w:ascii="Calibri" w:hAnsi="Calibri" w:cs="Calibri"/>
                <w:b/>
                <w:color w:val="000000"/>
                <w:kern w:val="0"/>
                <w:sz w:val="22"/>
                <w:lang w:eastAsia="nl-NL"/>
              </w:rPr>
            </w:pPr>
            <w:r w:rsidRPr="009C4C36">
              <w:rPr>
                <w:rFonts w:ascii="Calibri" w:hAnsi="Calibri" w:cs="Calibri"/>
                <w:b/>
                <w:color w:val="000000"/>
                <w:kern w:val="0"/>
                <w:sz w:val="22"/>
                <w:lang w:eastAsia="nl-NL"/>
              </w:rPr>
              <w:t>Coefficient</w:t>
            </w:r>
          </w:p>
        </w:tc>
        <w:tc>
          <w:tcPr>
            <w:tcW w:w="1103" w:type="dxa"/>
            <w:tcBorders>
              <w:top w:val="single" w:sz="4" w:space="0" w:color="auto"/>
              <w:left w:val="nil"/>
              <w:bottom w:val="single" w:sz="4" w:space="0" w:color="auto"/>
              <w:right w:val="nil"/>
            </w:tcBorders>
            <w:vAlign w:val="bottom"/>
          </w:tcPr>
          <w:p w:rsidR="005217AD" w:rsidRPr="009C4C36" w:rsidRDefault="005217AD" w:rsidP="0029216B">
            <w:pPr>
              <w:autoSpaceDE w:val="0"/>
              <w:autoSpaceDN w:val="0"/>
              <w:adjustRightInd w:val="0"/>
              <w:spacing w:line="240" w:lineRule="auto"/>
              <w:ind w:right="10" w:firstLine="0"/>
              <w:jc w:val="right"/>
              <w:rPr>
                <w:rFonts w:ascii="Calibri" w:hAnsi="Calibri" w:cs="Calibri"/>
                <w:b/>
                <w:color w:val="000000"/>
                <w:kern w:val="0"/>
                <w:sz w:val="22"/>
                <w:lang w:eastAsia="nl-NL"/>
              </w:rPr>
            </w:pPr>
            <w:r w:rsidRPr="009C4C36">
              <w:rPr>
                <w:rFonts w:ascii="Calibri" w:hAnsi="Calibri" w:cs="Calibri"/>
                <w:b/>
                <w:color w:val="000000"/>
                <w:kern w:val="0"/>
                <w:sz w:val="22"/>
                <w:lang w:eastAsia="nl-NL"/>
              </w:rPr>
              <w:t>Std. Error</w:t>
            </w:r>
          </w:p>
        </w:tc>
        <w:tc>
          <w:tcPr>
            <w:tcW w:w="1270" w:type="dxa"/>
            <w:tcBorders>
              <w:top w:val="single" w:sz="4" w:space="0" w:color="auto"/>
              <w:left w:val="nil"/>
              <w:bottom w:val="single" w:sz="4" w:space="0" w:color="auto"/>
              <w:right w:val="nil"/>
            </w:tcBorders>
            <w:vAlign w:val="bottom"/>
          </w:tcPr>
          <w:p w:rsidR="005217AD" w:rsidRPr="009C4C36" w:rsidRDefault="005217AD" w:rsidP="0029216B">
            <w:pPr>
              <w:autoSpaceDE w:val="0"/>
              <w:autoSpaceDN w:val="0"/>
              <w:adjustRightInd w:val="0"/>
              <w:spacing w:line="240" w:lineRule="auto"/>
              <w:ind w:right="10" w:firstLine="0"/>
              <w:jc w:val="right"/>
              <w:rPr>
                <w:rFonts w:ascii="Calibri" w:hAnsi="Calibri" w:cs="Calibri"/>
                <w:b/>
                <w:color w:val="000000"/>
                <w:kern w:val="0"/>
                <w:sz w:val="22"/>
                <w:lang w:eastAsia="nl-NL"/>
              </w:rPr>
            </w:pPr>
            <w:r w:rsidRPr="009C4C36">
              <w:rPr>
                <w:rFonts w:ascii="Calibri" w:hAnsi="Calibri" w:cs="Calibri"/>
                <w:b/>
                <w:color w:val="000000"/>
                <w:kern w:val="0"/>
                <w:sz w:val="22"/>
                <w:lang w:eastAsia="nl-NL"/>
              </w:rPr>
              <w:t>t-Statistic</w:t>
            </w:r>
          </w:p>
        </w:tc>
        <w:tc>
          <w:tcPr>
            <w:tcW w:w="1040" w:type="dxa"/>
            <w:tcBorders>
              <w:top w:val="single" w:sz="4" w:space="0" w:color="auto"/>
              <w:left w:val="nil"/>
              <w:bottom w:val="single" w:sz="4" w:space="0" w:color="auto"/>
              <w:right w:val="single" w:sz="4" w:space="0" w:color="auto"/>
            </w:tcBorders>
            <w:vAlign w:val="bottom"/>
          </w:tcPr>
          <w:p w:rsidR="005217AD" w:rsidRPr="009C4C36" w:rsidRDefault="005217AD" w:rsidP="0029216B">
            <w:pPr>
              <w:autoSpaceDE w:val="0"/>
              <w:autoSpaceDN w:val="0"/>
              <w:adjustRightInd w:val="0"/>
              <w:spacing w:line="240" w:lineRule="auto"/>
              <w:ind w:right="10" w:firstLine="0"/>
              <w:jc w:val="right"/>
              <w:rPr>
                <w:rFonts w:ascii="Calibri" w:hAnsi="Calibri" w:cs="Calibri"/>
                <w:b/>
                <w:color w:val="000000"/>
                <w:kern w:val="0"/>
                <w:sz w:val="22"/>
                <w:lang w:eastAsia="nl-NL"/>
              </w:rPr>
            </w:pPr>
            <w:r w:rsidRPr="009C4C36">
              <w:rPr>
                <w:rFonts w:ascii="Calibri" w:hAnsi="Calibri" w:cs="Calibri"/>
                <w:b/>
                <w:color w:val="000000"/>
                <w:kern w:val="0"/>
                <w:sz w:val="22"/>
                <w:lang w:eastAsia="nl-NL"/>
              </w:rPr>
              <w:t>Prob.  </w:t>
            </w:r>
          </w:p>
        </w:tc>
      </w:tr>
      <w:tr w:rsidR="005217AD" w:rsidRPr="00E92AF6" w:rsidTr="009C4C36">
        <w:trPr>
          <w:trHeight w:val="272"/>
        </w:trPr>
        <w:tc>
          <w:tcPr>
            <w:tcW w:w="2165" w:type="dxa"/>
            <w:tcBorders>
              <w:top w:val="single" w:sz="4" w:space="0" w:color="auto"/>
              <w:left w:val="single" w:sz="4" w:space="0" w:color="auto"/>
              <w:bottom w:val="nil"/>
              <w:right w:val="nil"/>
            </w:tcBorders>
            <w:vAlign w:val="bottom"/>
          </w:tcPr>
          <w:p w:rsidR="005217AD" w:rsidRPr="009C4C36" w:rsidRDefault="005217AD" w:rsidP="0029216B">
            <w:pPr>
              <w:autoSpaceDE w:val="0"/>
              <w:autoSpaceDN w:val="0"/>
              <w:adjustRightInd w:val="0"/>
              <w:spacing w:line="240" w:lineRule="auto"/>
              <w:ind w:firstLine="0"/>
              <w:jc w:val="center"/>
              <w:rPr>
                <w:rFonts w:ascii="Calibri" w:hAnsi="Calibri" w:cs="Calibri"/>
                <w:b/>
                <w:color w:val="000000"/>
                <w:kern w:val="0"/>
                <w:sz w:val="22"/>
                <w:lang w:eastAsia="nl-NL"/>
              </w:rPr>
            </w:pPr>
            <w:r w:rsidRPr="009C4C36">
              <w:rPr>
                <w:rFonts w:ascii="Calibri" w:hAnsi="Calibri" w:cs="Calibri"/>
                <w:b/>
                <w:color w:val="000000"/>
                <w:kern w:val="0"/>
                <w:sz w:val="22"/>
                <w:lang w:eastAsia="nl-NL"/>
              </w:rPr>
              <w:t>C(1)</w:t>
            </w:r>
          </w:p>
        </w:tc>
        <w:tc>
          <w:tcPr>
            <w:tcW w:w="1207" w:type="dxa"/>
            <w:gridSpan w:val="2"/>
            <w:tcBorders>
              <w:top w:val="single" w:sz="4" w:space="0" w:color="auto"/>
              <w:left w:val="nil"/>
              <w:bottom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0.003408</w:t>
            </w:r>
          </w:p>
        </w:tc>
        <w:tc>
          <w:tcPr>
            <w:tcW w:w="1103" w:type="dxa"/>
            <w:tcBorders>
              <w:top w:val="single" w:sz="4" w:space="0" w:color="auto"/>
              <w:left w:val="nil"/>
              <w:bottom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0.000760</w:t>
            </w:r>
          </w:p>
        </w:tc>
        <w:tc>
          <w:tcPr>
            <w:tcW w:w="1270" w:type="dxa"/>
            <w:tcBorders>
              <w:top w:val="single" w:sz="4" w:space="0" w:color="auto"/>
              <w:left w:val="nil"/>
              <w:bottom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4.481410</w:t>
            </w:r>
          </w:p>
        </w:tc>
        <w:tc>
          <w:tcPr>
            <w:tcW w:w="1040" w:type="dxa"/>
            <w:tcBorders>
              <w:top w:val="single" w:sz="4" w:space="0" w:color="auto"/>
              <w:left w:val="nil"/>
              <w:bottom w:val="nil"/>
              <w:right w:val="single" w:sz="4" w:space="0" w:color="auto"/>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0.0000</w:t>
            </w:r>
          </w:p>
        </w:tc>
      </w:tr>
      <w:tr w:rsidR="005217AD" w:rsidRPr="00E92AF6" w:rsidTr="009C4C36">
        <w:trPr>
          <w:trHeight w:val="272"/>
        </w:trPr>
        <w:tc>
          <w:tcPr>
            <w:tcW w:w="2165" w:type="dxa"/>
            <w:tcBorders>
              <w:top w:val="nil"/>
              <w:left w:val="single" w:sz="4" w:space="0" w:color="auto"/>
              <w:bottom w:val="nil"/>
              <w:right w:val="nil"/>
            </w:tcBorders>
            <w:vAlign w:val="bottom"/>
          </w:tcPr>
          <w:p w:rsidR="005217AD" w:rsidRPr="009C4C36" w:rsidRDefault="005217AD" w:rsidP="0029216B">
            <w:pPr>
              <w:autoSpaceDE w:val="0"/>
              <w:autoSpaceDN w:val="0"/>
              <w:adjustRightInd w:val="0"/>
              <w:spacing w:line="240" w:lineRule="auto"/>
              <w:ind w:firstLine="0"/>
              <w:jc w:val="center"/>
              <w:rPr>
                <w:rFonts w:ascii="Calibri" w:hAnsi="Calibri" w:cs="Calibri"/>
                <w:b/>
                <w:color w:val="000000"/>
                <w:kern w:val="0"/>
                <w:sz w:val="22"/>
                <w:lang w:eastAsia="nl-NL"/>
              </w:rPr>
            </w:pPr>
            <w:r w:rsidRPr="009C4C36">
              <w:rPr>
                <w:rFonts w:ascii="Calibri" w:hAnsi="Calibri" w:cs="Calibri"/>
                <w:b/>
                <w:color w:val="000000"/>
                <w:kern w:val="0"/>
                <w:sz w:val="22"/>
                <w:lang w:eastAsia="nl-NL"/>
              </w:rPr>
              <w:t>C(2)</w:t>
            </w:r>
          </w:p>
        </w:tc>
        <w:tc>
          <w:tcPr>
            <w:tcW w:w="1207" w:type="dxa"/>
            <w:gridSpan w:val="2"/>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0.001647</w:t>
            </w:r>
          </w:p>
        </w:tc>
        <w:tc>
          <w:tcPr>
            <w:tcW w:w="1103" w:type="dxa"/>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0.000400</w:t>
            </w:r>
          </w:p>
        </w:tc>
        <w:tc>
          <w:tcPr>
            <w:tcW w:w="1270" w:type="dxa"/>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4.117013</w:t>
            </w:r>
          </w:p>
        </w:tc>
        <w:tc>
          <w:tcPr>
            <w:tcW w:w="1040" w:type="dxa"/>
            <w:tcBorders>
              <w:top w:val="nil"/>
              <w:left w:val="nil"/>
              <w:bottom w:val="nil"/>
              <w:right w:val="single" w:sz="4" w:space="0" w:color="auto"/>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0.0000</w:t>
            </w:r>
          </w:p>
        </w:tc>
      </w:tr>
      <w:tr w:rsidR="005217AD" w:rsidRPr="00E92AF6" w:rsidTr="009C4C36">
        <w:trPr>
          <w:trHeight w:val="272"/>
        </w:trPr>
        <w:tc>
          <w:tcPr>
            <w:tcW w:w="2165" w:type="dxa"/>
            <w:tcBorders>
              <w:top w:val="nil"/>
              <w:left w:val="single" w:sz="4" w:space="0" w:color="auto"/>
              <w:bottom w:val="nil"/>
              <w:right w:val="nil"/>
            </w:tcBorders>
            <w:vAlign w:val="bottom"/>
          </w:tcPr>
          <w:p w:rsidR="005217AD" w:rsidRPr="009C4C36" w:rsidRDefault="005217AD" w:rsidP="0029216B">
            <w:pPr>
              <w:autoSpaceDE w:val="0"/>
              <w:autoSpaceDN w:val="0"/>
              <w:adjustRightInd w:val="0"/>
              <w:spacing w:line="240" w:lineRule="auto"/>
              <w:ind w:firstLine="0"/>
              <w:jc w:val="center"/>
              <w:rPr>
                <w:rFonts w:ascii="Calibri" w:hAnsi="Calibri" w:cs="Calibri"/>
                <w:b/>
                <w:color w:val="000000"/>
                <w:kern w:val="0"/>
                <w:sz w:val="22"/>
                <w:lang w:eastAsia="nl-NL"/>
              </w:rPr>
            </w:pPr>
            <w:r w:rsidRPr="009C4C36">
              <w:rPr>
                <w:rFonts w:ascii="Calibri" w:hAnsi="Calibri" w:cs="Calibri"/>
                <w:b/>
                <w:color w:val="000000"/>
                <w:kern w:val="0"/>
                <w:sz w:val="22"/>
                <w:lang w:eastAsia="nl-NL"/>
              </w:rPr>
              <w:t>C(3)</w:t>
            </w:r>
          </w:p>
        </w:tc>
        <w:tc>
          <w:tcPr>
            <w:tcW w:w="1207" w:type="dxa"/>
            <w:gridSpan w:val="2"/>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-0.002237</w:t>
            </w:r>
          </w:p>
        </w:tc>
        <w:tc>
          <w:tcPr>
            <w:tcW w:w="1103" w:type="dxa"/>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0.000553</w:t>
            </w:r>
          </w:p>
        </w:tc>
        <w:tc>
          <w:tcPr>
            <w:tcW w:w="1270" w:type="dxa"/>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-4.046972</w:t>
            </w:r>
          </w:p>
        </w:tc>
        <w:tc>
          <w:tcPr>
            <w:tcW w:w="1040" w:type="dxa"/>
            <w:tcBorders>
              <w:top w:val="nil"/>
              <w:left w:val="nil"/>
              <w:bottom w:val="nil"/>
              <w:right w:val="single" w:sz="4" w:space="0" w:color="auto"/>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0.0001</w:t>
            </w:r>
          </w:p>
        </w:tc>
      </w:tr>
      <w:tr w:rsidR="005217AD" w:rsidRPr="00E92AF6" w:rsidTr="009C4C36">
        <w:trPr>
          <w:trHeight w:hRule="exact" w:val="153"/>
        </w:trPr>
        <w:tc>
          <w:tcPr>
            <w:tcW w:w="2165" w:type="dxa"/>
            <w:tcBorders>
              <w:top w:val="nil"/>
              <w:left w:val="single" w:sz="4" w:space="0" w:color="auto"/>
              <w:bottom w:val="single" w:sz="4" w:space="0" w:color="auto"/>
              <w:right w:val="nil"/>
            </w:tcBorders>
            <w:vAlign w:val="bottom"/>
          </w:tcPr>
          <w:p w:rsidR="005217AD" w:rsidRPr="00E92AF6" w:rsidRDefault="005217AD" w:rsidP="0029216B">
            <w:pPr>
              <w:autoSpaceDE w:val="0"/>
              <w:autoSpaceDN w:val="0"/>
              <w:adjustRightInd w:val="0"/>
              <w:spacing w:line="240" w:lineRule="auto"/>
              <w:ind w:firstLine="0"/>
              <w:jc w:val="center"/>
              <w:rPr>
                <w:rFonts w:ascii="Calibri" w:hAnsi="Calibri" w:cs="Calibri"/>
                <w:color w:val="000000"/>
                <w:kern w:val="0"/>
                <w:sz w:val="22"/>
                <w:lang w:eastAsia="nl-NL"/>
              </w:rPr>
            </w:pPr>
          </w:p>
        </w:tc>
        <w:tc>
          <w:tcPr>
            <w:tcW w:w="1207" w:type="dxa"/>
            <w:gridSpan w:val="2"/>
            <w:tcBorders>
              <w:top w:val="nil"/>
              <w:left w:val="nil"/>
              <w:bottom w:val="single" w:sz="4" w:space="0" w:color="auto"/>
              <w:right w:val="nil"/>
            </w:tcBorders>
            <w:vAlign w:val="bottom"/>
          </w:tcPr>
          <w:p w:rsidR="005217AD" w:rsidRPr="00E92AF6" w:rsidRDefault="005217AD" w:rsidP="0029216B">
            <w:pPr>
              <w:autoSpaceDE w:val="0"/>
              <w:autoSpaceDN w:val="0"/>
              <w:adjustRightInd w:val="0"/>
              <w:spacing w:line="240" w:lineRule="auto"/>
              <w:ind w:firstLine="0"/>
              <w:jc w:val="center"/>
              <w:rPr>
                <w:rFonts w:ascii="Calibri" w:hAnsi="Calibri" w:cs="Calibri"/>
                <w:color w:val="000000"/>
                <w:kern w:val="0"/>
                <w:sz w:val="22"/>
                <w:lang w:eastAsia="nl-NL"/>
              </w:rPr>
            </w:pPr>
          </w:p>
        </w:tc>
        <w:tc>
          <w:tcPr>
            <w:tcW w:w="1103" w:type="dxa"/>
            <w:tcBorders>
              <w:top w:val="nil"/>
              <w:left w:val="nil"/>
              <w:bottom w:val="single" w:sz="4" w:space="0" w:color="auto"/>
              <w:right w:val="nil"/>
            </w:tcBorders>
            <w:vAlign w:val="bottom"/>
          </w:tcPr>
          <w:p w:rsidR="005217AD" w:rsidRPr="00E92AF6" w:rsidRDefault="005217AD" w:rsidP="0029216B">
            <w:pPr>
              <w:autoSpaceDE w:val="0"/>
              <w:autoSpaceDN w:val="0"/>
              <w:adjustRightInd w:val="0"/>
              <w:spacing w:line="240" w:lineRule="auto"/>
              <w:ind w:firstLine="0"/>
              <w:jc w:val="center"/>
              <w:rPr>
                <w:rFonts w:ascii="Calibri" w:hAnsi="Calibri" w:cs="Calibri"/>
                <w:color w:val="000000"/>
                <w:kern w:val="0"/>
                <w:sz w:val="22"/>
                <w:lang w:eastAsia="nl-NL"/>
              </w:rPr>
            </w:pPr>
          </w:p>
        </w:tc>
        <w:tc>
          <w:tcPr>
            <w:tcW w:w="1270" w:type="dxa"/>
            <w:tcBorders>
              <w:top w:val="nil"/>
              <w:left w:val="nil"/>
              <w:bottom w:val="single" w:sz="4" w:space="0" w:color="auto"/>
              <w:right w:val="nil"/>
            </w:tcBorders>
            <w:vAlign w:val="bottom"/>
          </w:tcPr>
          <w:p w:rsidR="005217AD" w:rsidRPr="00E92AF6" w:rsidRDefault="005217AD" w:rsidP="0029216B">
            <w:pPr>
              <w:autoSpaceDE w:val="0"/>
              <w:autoSpaceDN w:val="0"/>
              <w:adjustRightInd w:val="0"/>
              <w:spacing w:line="240" w:lineRule="auto"/>
              <w:ind w:firstLine="0"/>
              <w:jc w:val="center"/>
              <w:rPr>
                <w:rFonts w:ascii="Calibri" w:hAnsi="Calibri" w:cs="Calibri"/>
                <w:color w:val="000000"/>
                <w:kern w:val="0"/>
                <w:sz w:val="22"/>
                <w:lang w:eastAsia="nl-NL"/>
              </w:rPr>
            </w:pPr>
          </w:p>
        </w:tc>
        <w:tc>
          <w:tcPr>
            <w:tcW w:w="1040" w:type="dxa"/>
            <w:tcBorders>
              <w:top w:val="nil"/>
              <w:left w:val="nil"/>
              <w:bottom w:val="single" w:sz="4" w:space="0" w:color="auto"/>
              <w:right w:val="single" w:sz="4" w:space="0" w:color="auto"/>
            </w:tcBorders>
            <w:vAlign w:val="bottom"/>
          </w:tcPr>
          <w:p w:rsidR="005217AD" w:rsidRPr="00E92AF6" w:rsidRDefault="005217AD" w:rsidP="0029216B">
            <w:pPr>
              <w:autoSpaceDE w:val="0"/>
              <w:autoSpaceDN w:val="0"/>
              <w:adjustRightInd w:val="0"/>
              <w:spacing w:line="240" w:lineRule="auto"/>
              <w:ind w:firstLine="0"/>
              <w:jc w:val="center"/>
              <w:rPr>
                <w:rFonts w:ascii="Calibri" w:hAnsi="Calibri" w:cs="Calibri"/>
                <w:color w:val="000000"/>
                <w:kern w:val="0"/>
                <w:sz w:val="22"/>
                <w:lang w:eastAsia="nl-NL"/>
              </w:rPr>
            </w:pPr>
          </w:p>
        </w:tc>
      </w:tr>
      <w:tr w:rsidR="005217AD" w:rsidRPr="0029216B" w:rsidTr="009C4C36">
        <w:trPr>
          <w:trHeight w:val="272"/>
        </w:trPr>
        <w:tc>
          <w:tcPr>
            <w:tcW w:w="2165" w:type="dxa"/>
            <w:tcBorders>
              <w:top w:val="single" w:sz="4" w:space="0" w:color="auto"/>
              <w:left w:val="single" w:sz="4" w:space="0" w:color="auto"/>
              <w:bottom w:val="nil"/>
              <w:right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R-squared</w:t>
            </w:r>
          </w:p>
        </w:tc>
        <w:tc>
          <w:tcPr>
            <w:tcW w:w="1207" w:type="dxa"/>
            <w:gridSpan w:val="2"/>
            <w:tcBorders>
              <w:top w:val="single" w:sz="4" w:space="0" w:color="auto"/>
              <w:left w:val="nil"/>
              <w:bottom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0.003373</w:t>
            </w:r>
          </w:p>
        </w:tc>
        <w:tc>
          <w:tcPr>
            <w:tcW w:w="2373" w:type="dxa"/>
            <w:gridSpan w:val="2"/>
            <w:tcBorders>
              <w:top w:val="single" w:sz="4" w:space="0" w:color="auto"/>
              <w:left w:val="nil"/>
              <w:bottom w:val="nil"/>
              <w:right w:val="nil"/>
            </w:tcBorders>
            <w:vAlign w:val="bottom"/>
          </w:tcPr>
          <w:p w:rsidR="005217AD" w:rsidRPr="009C4C36" w:rsidRDefault="005217AD" w:rsidP="0029216B">
            <w:pPr>
              <w:autoSpaceDE w:val="0"/>
              <w:autoSpaceDN w:val="0"/>
              <w:adjustRightInd w:val="0"/>
              <w:spacing w:line="240" w:lineRule="auto"/>
              <w:ind w:right="10"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    Mean dependent var</w:t>
            </w:r>
          </w:p>
        </w:tc>
        <w:tc>
          <w:tcPr>
            <w:tcW w:w="1040" w:type="dxa"/>
            <w:tcBorders>
              <w:top w:val="single" w:sz="4" w:space="0" w:color="auto"/>
              <w:left w:val="nil"/>
              <w:bottom w:val="nil"/>
              <w:right w:val="single" w:sz="4" w:space="0" w:color="auto"/>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0.004127</w:t>
            </w:r>
          </w:p>
        </w:tc>
      </w:tr>
      <w:tr w:rsidR="005217AD" w:rsidRPr="0029216B" w:rsidTr="009C4C36">
        <w:trPr>
          <w:trHeight w:val="272"/>
        </w:trPr>
        <w:tc>
          <w:tcPr>
            <w:tcW w:w="2165" w:type="dxa"/>
            <w:tcBorders>
              <w:top w:val="nil"/>
              <w:left w:val="single" w:sz="4" w:space="0" w:color="auto"/>
              <w:bottom w:val="nil"/>
              <w:right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Adjusted R-squared</w:t>
            </w:r>
          </w:p>
        </w:tc>
        <w:tc>
          <w:tcPr>
            <w:tcW w:w="1207" w:type="dxa"/>
            <w:gridSpan w:val="2"/>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0.003020</w:t>
            </w:r>
          </w:p>
        </w:tc>
        <w:tc>
          <w:tcPr>
            <w:tcW w:w="2373" w:type="dxa"/>
            <w:gridSpan w:val="2"/>
            <w:tcBorders>
              <w:top w:val="nil"/>
              <w:left w:val="nil"/>
              <w:bottom w:val="nil"/>
              <w:right w:val="nil"/>
            </w:tcBorders>
            <w:vAlign w:val="bottom"/>
          </w:tcPr>
          <w:p w:rsidR="005217AD" w:rsidRPr="009C4C36" w:rsidRDefault="005217AD" w:rsidP="0029216B">
            <w:pPr>
              <w:autoSpaceDE w:val="0"/>
              <w:autoSpaceDN w:val="0"/>
              <w:adjustRightInd w:val="0"/>
              <w:spacing w:line="240" w:lineRule="auto"/>
              <w:ind w:right="10"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    S.D. dependent var</w:t>
            </w:r>
          </w:p>
        </w:tc>
        <w:tc>
          <w:tcPr>
            <w:tcW w:w="1040" w:type="dxa"/>
            <w:tcBorders>
              <w:top w:val="nil"/>
              <w:left w:val="nil"/>
              <w:bottom w:val="nil"/>
              <w:right w:val="single" w:sz="4" w:space="0" w:color="auto"/>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0.055704</w:t>
            </w:r>
          </w:p>
        </w:tc>
      </w:tr>
      <w:tr w:rsidR="005217AD" w:rsidRPr="0029216B" w:rsidTr="009C4C36">
        <w:trPr>
          <w:trHeight w:val="272"/>
        </w:trPr>
        <w:tc>
          <w:tcPr>
            <w:tcW w:w="2165" w:type="dxa"/>
            <w:tcBorders>
              <w:top w:val="nil"/>
              <w:left w:val="single" w:sz="4" w:space="0" w:color="auto"/>
              <w:bottom w:val="nil"/>
              <w:right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S.E. of regression</w:t>
            </w:r>
          </w:p>
        </w:tc>
        <w:tc>
          <w:tcPr>
            <w:tcW w:w="1207" w:type="dxa"/>
            <w:gridSpan w:val="2"/>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0.055620</w:t>
            </w:r>
          </w:p>
        </w:tc>
        <w:tc>
          <w:tcPr>
            <w:tcW w:w="2373" w:type="dxa"/>
            <w:gridSpan w:val="2"/>
            <w:tcBorders>
              <w:top w:val="nil"/>
              <w:left w:val="nil"/>
              <w:bottom w:val="nil"/>
              <w:right w:val="nil"/>
            </w:tcBorders>
            <w:vAlign w:val="bottom"/>
          </w:tcPr>
          <w:p w:rsidR="005217AD" w:rsidRPr="009C4C36" w:rsidRDefault="005217AD" w:rsidP="0029216B">
            <w:pPr>
              <w:autoSpaceDE w:val="0"/>
              <w:autoSpaceDN w:val="0"/>
              <w:adjustRightInd w:val="0"/>
              <w:spacing w:line="240" w:lineRule="auto"/>
              <w:ind w:right="10"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    Akaike info criterion</w:t>
            </w:r>
          </w:p>
        </w:tc>
        <w:tc>
          <w:tcPr>
            <w:tcW w:w="1040" w:type="dxa"/>
            <w:tcBorders>
              <w:top w:val="nil"/>
              <w:left w:val="nil"/>
              <w:bottom w:val="nil"/>
              <w:right w:val="single" w:sz="4" w:space="0" w:color="auto"/>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-2.940009</w:t>
            </w:r>
          </w:p>
        </w:tc>
      </w:tr>
      <w:tr w:rsidR="005217AD" w:rsidRPr="0029216B" w:rsidTr="009C4C36">
        <w:trPr>
          <w:trHeight w:val="272"/>
        </w:trPr>
        <w:tc>
          <w:tcPr>
            <w:tcW w:w="2165" w:type="dxa"/>
            <w:tcBorders>
              <w:top w:val="nil"/>
              <w:left w:val="single" w:sz="4" w:space="0" w:color="auto"/>
              <w:bottom w:val="nil"/>
              <w:right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Sum squared resid</w:t>
            </w:r>
          </w:p>
        </w:tc>
        <w:tc>
          <w:tcPr>
            <w:tcW w:w="1207" w:type="dxa"/>
            <w:gridSpan w:val="2"/>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17.49437</w:t>
            </w:r>
          </w:p>
        </w:tc>
        <w:tc>
          <w:tcPr>
            <w:tcW w:w="2373" w:type="dxa"/>
            <w:gridSpan w:val="2"/>
            <w:tcBorders>
              <w:top w:val="nil"/>
              <w:left w:val="nil"/>
              <w:bottom w:val="nil"/>
              <w:right w:val="nil"/>
            </w:tcBorders>
            <w:vAlign w:val="bottom"/>
          </w:tcPr>
          <w:p w:rsidR="005217AD" w:rsidRPr="009C4C36" w:rsidRDefault="005217AD" w:rsidP="0029216B">
            <w:pPr>
              <w:autoSpaceDE w:val="0"/>
              <w:autoSpaceDN w:val="0"/>
              <w:adjustRightInd w:val="0"/>
              <w:spacing w:line="240" w:lineRule="auto"/>
              <w:ind w:right="10"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    Schwarz criterion</w:t>
            </w:r>
          </w:p>
        </w:tc>
        <w:tc>
          <w:tcPr>
            <w:tcW w:w="1040" w:type="dxa"/>
            <w:tcBorders>
              <w:top w:val="nil"/>
              <w:left w:val="nil"/>
              <w:bottom w:val="nil"/>
              <w:right w:val="single" w:sz="4" w:space="0" w:color="auto"/>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-2.936488</w:t>
            </w:r>
          </w:p>
        </w:tc>
      </w:tr>
      <w:tr w:rsidR="005217AD" w:rsidRPr="0029216B" w:rsidTr="009C4C36">
        <w:trPr>
          <w:trHeight w:val="272"/>
        </w:trPr>
        <w:tc>
          <w:tcPr>
            <w:tcW w:w="2165" w:type="dxa"/>
            <w:tcBorders>
              <w:top w:val="nil"/>
              <w:left w:val="single" w:sz="4" w:space="0" w:color="auto"/>
              <w:bottom w:val="single" w:sz="4" w:space="0" w:color="auto"/>
              <w:right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Log likelihood</w:t>
            </w:r>
          </w:p>
        </w:tc>
        <w:tc>
          <w:tcPr>
            <w:tcW w:w="1207" w:type="dxa"/>
            <w:gridSpan w:val="2"/>
            <w:tcBorders>
              <w:top w:val="nil"/>
              <w:left w:val="nil"/>
              <w:bottom w:val="single" w:sz="4" w:space="0" w:color="auto"/>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8320.285</w:t>
            </w:r>
          </w:p>
        </w:tc>
        <w:tc>
          <w:tcPr>
            <w:tcW w:w="2373" w:type="dxa"/>
            <w:gridSpan w:val="2"/>
            <w:tcBorders>
              <w:top w:val="nil"/>
              <w:left w:val="nil"/>
              <w:bottom w:val="single" w:sz="4" w:space="0" w:color="auto"/>
              <w:right w:val="nil"/>
            </w:tcBorders>
            <w:vAlign w:val="bottom"/>
          </w:tcPr>
          <w:p w:rsidR="005217AD" w:rsidRPr="009C4C36" w:rsidRDefault="005217AD" w:rsidP="0029216B">
            <w:pPr>
              <w:autoSpaceDE w:val="0"/>
              <w:autoSpaceDN w:val="0"/>
              <w:adjustRightInd w:val="0"/>
              <w:spacing w:line="240" w:lineRule="auto"/>
              <w:ind w:right="10"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    Durbin-Watson stat</w:t>
            </w:r>
          </w:p>
        </w:tc>
        <w:tc>
          <w:tcPr>
            <w:tcW w:w="1040" w:type="dxa"/>
            <w:tcBorders>
              <w:top w:val="nil"/>
              <w:left w:val="nil"/>
              <w:bottom w:val="single" w:sz="4" w:space="0" w:color="auto"/>
              <w:right w:val="single" w:sz="4" w:space="0" w:color="auto"/>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1.387108</w:t>
            </w:r>
          </w:p>
        </w:tc>
      </w:tr>
    </w:tbl>
    <w:p w:rsidR="005217AD" w:rsidRPr="00E92AF6" w:rsidRDefault="005217AD" w:rsidP="0029216B">
      <w:pPr>
        <w:pStyle w:val="Caption"/>
      </w:pPr>
      <w:bookmarkStart w:id="72" w:name="_Ref267484366"/>
      <w:bookmarkStart w:id="73" w:name="_Ref267484358"/>
      <w:r w:rsidRPr="00E92AF6">
        <w:t xml:space="preserve">Tabel </w:t>
      </w:r>
      <w:fldSimple w:instr=" SEQ Tabel \* ARABIC ">
        <w:r>
          <w:rPr>
            <w:noProof/>
          </w:rPr>
          <w:t>5</w:t>
        </w:r>
      </w:fldSimple>
      <w:bookmarkEnd w:id="72"/>
      <w:r w:rsidRPr="00E92AF6">
        <w:t xml:space="preserve"> Output van EVIEWS </w:t>
      </w:r>
      <w:r>
        <w:t>met betrekking tot</w:t>
      </w:r>
      <w:r w:rsidRPr="00E92AF6">
        <w:t xml:space="preserve"> de regressie </w:t>
      </w:r>
      <w:r w:rsidRPr="00E92AF6">
        <w:fldChar w:fldCharType="begin"/>
      </w:r>
      <w:r w:rsidRPr="00E92AF6">
        <w:instrText xml:space="preserve"> REF _Ref267482869 \n \h </w:instrText>
      </w:r>
      <w:r w:rsidRPr="00E92AF6">
        <w:fldChar w:fldCharType="separate"/>
      </w:r>
      <w:r>
        <w:t>(11)</w:t>
      </w:r>
      <w:r w:rsidRPr="00E92AF6">
        <w:fldChar w:fldCharType="end"/>
      </w:r>
      <w:r w:rsidRPr="00E92AF6">
        <w:t>.</w:t>
      </w:r>
      <w:bookmarkEnd w:id="73"/>
    </w:p>
    <w:p w:rsidR="005217AD" w:rsidRPr="00E92AF6" w:rsidRDefault="005217AD" w:rsidP="0029216B">
      <w:pPr>
        <w:rPr>
          <w:rFonts w:ascii="Arial" w:hAnsi="Arial" w:cs="Arial"/>
          <w:kern w:val="0"/>
          <w:sz w:val="20"/>
          <w:szCs w:val="20"/>
          <w:lang w:eastAsia="nl-NL"/>
        </w:rPr>
      </w:pPr>
    </w:p>
    <w:tbl>
      <w:tblPr>
        <w:tblW w:w="0" w:type="auto"/>
        <w:tblInd w:w="60" w:type="dxa"/>
        <w:tblLayout w:type="fixed"/>
        <w:tblCellMar>
          <w:left w:w="30" w:type="dxa"/>
          <w:right w:w="30" w:type="dxa"/>
        </w:tblCellMar>
        <w:tblLook w:val="0000"/>
      </w:tblPr>
      <w:tblGrid>
        <w:gridCol w:w="1703"/>
        <w:gridCol w:w="1270"/>
        <w:gridCol w:w="1386"/>
        <w:gridCol w:w="1155"/>
      </w:tblGrid>
      <w:tr w:rsidR="005217AD" w:rsidRPr="0029216B" w:rsidTr="0029216B">
        <w:trPr>
          <w:trHeight w:val="272"/>
        </w:trPr>
        <w:tc>
          <w:tcPr>
            <w:tcW w:w="2973" w:type="dxa"/>
            <w:gridSpan w:val="2"/>
            <w:tcBorders>
              <w:top w:val="nil"/>
              <w:left w:val="nil"/>
              <w:bottom w:val="nil"/>
              <w:right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val="en-US" w:eastAsia="nl-NL"/>
              </w:rPr>
            </w:pPr>
            <w:r w:rsidRPr="009C4C36">
              <w:rPr>
                <w:rFonts w:ascii="Calibri" w:hAnsi="Calibri" w:cs="Calibri"/>
                <w:b/>
                <w:color w:val="000000"/>
                <w:kern w:val="0"/>
                <w:sz w:val="22"/>
                <w:lang w:val="en-US" w:eastAsia="nl-NL"/>
              </w:rPr>
              <w:t>Wald Test:</w:t>
            </w:r>
          </w:p>
        </w:tc>
        <w:tc>
          <w:tcPr>
            <w:tcW w:w="1386" w:type="dxa"/>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firstLine="0"/>
              <w:jc w:val="center"/>
              <w:rPr>
                <w:rFonts w:ascii="Calibri" w:hAnsi="Calibri" w:cs="Calibri"/>
                <w:color w:val="000000"/>
                <w:kern w:val="0"/>
                <w:sz w:val="22"/>
                <w:lang w:val="en-US" w:eastAsia="nl-NL"/>
              </w:rPr>
            </w:pPr>
          </w:p>
        </w:tc>
        <w:tc>
          <w:tcPr>
            <w:tcW w:w="1155" w:type="dxa"/>
            <w:tcBorders>
              <w:top w:val="nil"/>
              <w:left w:val="nil"/>
              <w:bottom w:val="nil"/>
              <w:right w:val="nil"/>
            </w:tcBorders>
            <w:vAlign w:val="bottom"/>
          </w:tcPr>
          <w:p w:rsidR="005217AD" w:rsidRPr="00E92AF6" w:rsidRDefault="005217AD" w:rsidP="0029216B">
            <w:pPr>
              <w:autoSpaceDE w:val="0"/>
              <w:autoSpaceDN w:val="0"/>
              <w:adjustRightInd w:val="0"/>
              <w:spacing w:line="240" w:lineRule="auto"/>
              <w:ind w:firstLine="0"/>
              <w:jc w:val="center"/>
              <w:rPr>
                <w:rFonts w:ascii="Calibri" w:hAnsi="Calibri" w:cs="Calibri"/>
                <w:color w:val="000000"/>
                <w:kern w:val="0"/>
                <w:sz w:val="22"/>
                <w:lang w:val="en-US" w:eastAsia="nl-NL"/>
              </w:rPr>
            </w:pPr>
          </w:p>
        </w:tc>
      </w:tr>
      <w:tr w:rsidR="005217AD" w:rsidRPr="009C4C36" w:rsidTr="0029216B">
        <w:trPr>
          <w:trHeight w:val="272"/>
        </w:trPr>
        <w:tc>
          <w:tcPr>
            <w:tcW w:w="1703" w:type="dxa"/>
            <w:tcBorders>
              <w:top w:val="single" w:sz="4" w:space="0" w:color="auto"/>
              <w:left w:val="single" w:sz="4" w:space="0" w:color="auto"/>
              <w:bottom w:val="single" w:sz="4" w:space="0" w:color="auto"/>
              <w:right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val="en-US" w:eastAsia="nl-NL"/>
              </w:rPr>
            </w:pPr>
            <w:r w:rsidRPr="009C4C36">
              <w:rPr>
                <w:rFonts w:ascii="Calibri" w:hAnsi="Calibri" w:cs="Calibri"/>
                <w:b/>
                <w:color w:val="000000"/>
                <w:kern w:val="0"/>
                <w:sz w:val="22"/>
                <w:lang w:val="en-US" w:eastAsia="nl-NL"/>
              </w:rPr>
              <w:t>Test Statistic</w:t>
            </w:r>
          </w:p>
        </w:tc>
        <w:tc>
          <w:tcPr>
            <w:tcW w:w="1270" w:type="dxa"/>
            <w:tcBorders>
              <w:top w:val="single" w:sz="4" w:space="0" w:color="auto"/>
              <w:left w:val="nil"/>
              <w:bottom w:val="single" w:sz="4" w:space="0" w:color="auto"/>
              <w:right w:val="nil"/>
            </w:tcBorders>
            <w:vAlign w:val="bottom"/>
          </w:tcPr>
          <w:p w:rsidR="005217AD" w:rsidRPr="009C4C36" w:rsidRDefault="005217AD" w:rsidP="0029216B">
            <w:pPr>
              <w:autoSpaceDE w:val="0"/>
              <w:autoSpaceDN w:val="0"/>
              <w:adjustRightInd w:val="0"/>
              <w:spacing w:line="240" w:lineRule="auto"/>
              <w:ind w:right="10" w:firstLine="0"/>
              <w:jc w:val="right"/>
              <w:rPr>
                <w:rFonts w:ascii="Calibri" w:hAnsi="Calibri" w:cs="Calibri"/>
                <w:b/>
                <w:color w:val="000000"/>
                <w:kern w:val="0"/>
                <w:sz w:val="22"/>
                <w:lang w:val="en-US" w:eastAsia="nl-NL"/>
              </w:rPr>
            </w:pPr>
            <w:r w:rsidRPr="009C4C36">
              <w:rPr>
                <w:rFonts w:ascii="Calibri" w:hAnsi="Calibri" w:cs="Calibri"/>
                <w:b/>
                <w:color w:val="000000"/>
                <w:kern w:val="0"/>
                <w:sz w:val="22"/>
                <w:lang w:val="en-US" w:eastAsia="nl-NL"/>
              </w:rPr>
              <w:t>Value  </w:t>
            </w:r>
          </w:p>
        </w:tc>
        <w:tc>
          <w:tcPr>
            <w:tcW w:w="1386" w:type="dxa"/>
            <w:tcBorders>
              <w:top w:val="single" w:sz="4" w:space="0" w:color="auto"/>
              <w:left w:val="nil"/>
              <w:bottom w:val="single" w:sz="4" w:space="0" w:color="auto"/>
              <w:right w:val="nil"/>
            </w:tcBorders>
            <w:vAlign w:val="bottom"/>
          </w:tcPr>
          <w:p w:rsidR="005217AD" w:rsidRPr="009C4C36" w:rsidRDefault="005217AD" w:rsidP="0029216B">
            <w:pPr>
              <w:autoSpaceDE w:val="0"/>
              <w:autoSpaceDN w:val="0"/>
              <w:adjustRightInd w:val="0"/>
              <w:spacing w:line="240" w:lineRule="auto"/>
              <w:ind w:right="10" w:firstLine="0"/>
              <w:jc w:val="right"/>
              <w:rPr>
                <w:rFonts w:ascii="Calibri" w:hAnsi="Calibri" w:cs="Calibri"/>
                <w:b/>
                <w:color w:val="000000"/>
                <w:kern w:val="0"/>
                <w:sz w:val="22"/>
                <w:lang w:val="en-US" w:eastAsia="nl-NL"/>
              </w:rPr>
            </w:pPr>
            <w:r w:rsidRPr="009C4C36">
              <w:rPr>
                <w:rFonts w:ascii="Calibri" w:hAnsi="Calibri" w:cs="Calibri"/>
                <w:b/>
                <w:color w:val="000000"/>
                <w:kern w:val="0"/>
                <w:sz w:val="22"/>
                <w:lang w:val="en-US" w:eastAsia="nl-NL"/>
              </w:rPr>
              <w:t>df    </w:t>
            </w:r>
          </w:p>
        </w:tc>
        <w:tc>
          <w:tcPr>
            <w:tcW w:w="1155" w:type="dxa"/>
            <w:tcBorders>
              <w:top w:val="single" w:sz="4" w:space="0" w:color="auto"/>
              <w:left w:val="nil"/>
              <w:bottom w:val="single" w:sz="4" w:space="0" w:color="auto"/>
              <w:right w:val="single" w:sz="4" w:space="0" w:color="auto"/>
            </w:tcBorders>
            <w:vAlign w:val="bottom"/>
          </w:tcPr>
          <w:p w:rsidR="005217AD" w:rsidRPr="009C4C36" w:rsidRDefault="005217AD" w:rsidP="0029216B">
            <w:pPr>
              <w:autoSpaceDE w:val="0"/>
              <w:autoSpaceDN w:val="0"/>
              <w:adjustRightInd w:val="0"/>
              <w:spacing w:line="240" w:lineRule="auto"/>
              <w:ind w:right="10" w:firstLine="0"/>
              <w:jc w:val="right"/>
              <w:rPr>
                <w:rFonts w:ascii="Calibri" w:hAnsi="Calibri" w:cs="Calibri"/>
                <w:b/>
                <w:color w:val="000000"/>
                <w:kern w:val="0"/>
                <w:sz w:val="22"/>
                <w:lang w:val="en-US" w:eastAsia="nl-NL"/>
              </w:rPr>
            </w:pPr>
            <w:r w:rsidRPr="009C4C36">
              <w:rPr>
                <w:rFonts w:ascii="Calibri" w:hAnsi="Calibri" w:cs="Calibri"/>
                <w:b/>
                <w:color w:val="000000"/>
                <w:kern w:val="0"/>
                <w:sz w:val="22"/>
                <w:lang w:val="en-US" w:eastAsia="nl-NL"/>
              </w:rPr>
              <w:t>Probability</w:t>
            </w:r>
          </w:p>
        </w:tc>
      </w:tr>
      <w:tr w:rsidR="005217AD" w:rsidRPr="00E92AF6" w:rsidTr="0029216B">
        <w:trPr>
          <w:trHeight w:val="272"/>
        </w:trPr>
        <w:tc>
          <w:tcPr>
            <w:tcW w:w="1703" w:type="dxa"/>
            <w:tcBorders>
              <w:top w:val="single" w:sz="4" w:space="0" w:color="auto"/>
              <w:left w:val="single" w:sz="4" w:space="0" w:color="auto"/>
              <w:right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val="en-US" w:eastAsia="nl-NL"/>
              </w:rPr>
            </w:pPr>
            <w:r w:rsidRPr="009C4C36">
              <w:rPr>
                <w:rFonts w:ascii="Calibri" w:hAnsi="Calibri" w:cs="Calibri"/>
                <w:b/>
                <w:color w:val="000000"/>
                <w:kern w:val="0"/>
                <w:sz w:val="22"/>
                <w:lang w:val="en-US" w:eastAsia="nl-NL"/>
              </w:rPr>
              <w:t>F-statistic</w:t>
            </w:r>
          </w:p>
        </w:tc>
        <w:tc>
          <w:tcPr>
            <w:tcW w:w="1270" w:type="dxa"/>
            <w:tcBorders>
              <w:top w:val="single" w:sz="4" w:space="0" w:color="auto"/>
              <w:left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val="en-US" w:eastAsia="nl-NL"/>
              </w:rPr>
            </w:pPr>
            <w:r w:rsidRPr="00E92AF6">
              <w:rPr>
                <w:rFonts w:ascii="Calibri" w:hAnsi="Calibri" w:cs="Calibri"/>
                <w:color w:val="000000"/>
                <w:kern w:val="0"/>
                <w:sz w:val="22"/>
                <w:lang w:val="en-US" w:eastAsia="nl-NL"/>
              </w:rPr>
              <w:t>16.37799</w:t>
            </w:r>
          </w:p>
        </w:tc>
        <w:tc>
          <w:tcPr>
            <w:tcW w:w="1386" w:type="dxa"/>
            <w:tcBorders>
              <w:top w:val="single" w:sz="4" w:space="0" w:color="auto"/>
              <w:left w:val="nil"/>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val="en-US" w:eastAsia="nl-NL"/>
              </w:rPr>
              <w:t xml:space="preserve">(1, </w:t>
            </w:r>
            <w:r w:rsidRPr="00E92AF6">
              <w:rPr>
                <w:rFonts w:ascii="Calibri" w:hAnsi="Calibri" w:cs="Calibri"/>
                <w:color w:val="000000"/>
                <w:kern w:val="0"/>
                <w:sz w:val="22"/>
                <w:lang w:eastAsia="nl-NL"/>
              </w:rPr>
              <w:t>5655)  </w:t>
            </w:r>
          </w:p>
        </w:tc>
        <w:tc>
          <w:tcPr>
            <w:tcW w:w="1155" w:type="dxa"/>
            <w:tcBorders>
              <w:top w:val="single" w:sz="4" w:space="0" w:color="auto"/>
              <w:left w:val="nil"/>
              <w:right w:val="single" w:sz="4" w:space="0" w:color="auto"/>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0.0001</w:t>
            </w:r>
          </w:p>
        </w:tc>
      </w:tr>
      <w:tr w:rsidR="005217AD" w:rsidRPr="00E92AF6" w:rsidTr="0029216B">
        <w:trPr>
          <w:trHeight w:val="272"/>
        </w:trPr>
        <w:tc>
          <w:tcPr>
            <w:tcW w:w="1703" w:type="dxa"/>
            <w:tcBorders>
              <w:top w:val="nil"/>
              <w:left w:val="single" w:sz="4" w:space="0" w:color="auto"/>
              <w:bottom w:val="single" w:sz="4" w:space="0" w:color="auto"/>
              <w:right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Chi-square</w:t>
            </w:r>
          </w:p>
        </w:tc>
        <w:tc>
          <w:tcPr>
            <w:tcW w:w="1270" w:type="dxa"/>
            <w:tcBorders>
              <w:top w:val="nil"/>
              <w:left w:val="nil"/>
              <w:bottom w:val="single" w:sz="4" w:space="0" w:color="auto"/>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16.37799</w:t>
            </w:r>
          </w:p>
        </w:tc>
        <w:tc>
          <w:tcPr>
            <w:tcW w:w="1386" w:type="dxa"/>
            <w:tcBorders>
              <w:top w:val="nil"/>
              <w:left w:val="nil"/>
              <w:bottom w:val="single" w:sz="4" w:space="0" w:color="auto"/>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1  </w:t>
            </w:r>
          </w:p>
        </w:tc>
        <w:tc>
          <w:tcPr>
            <w:tcW w:w="1155" w:type="dxa"/>
            <w:tcBorders>
              <w:top w:val="nil"/>
              <w:left w:val="nil"/>
              <w:bottom w:val="single" w:sz="4" w:space="0" w:color="auto"/>
              <w:right w:val="single" w:sz="4" w:space="0" w:color="auto"/>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0.0001</w:t>
            </w:r>
          </w:p>
        </w:tc>
      </w:tr>
      <w:tr w:rsidR="005217AD" w:rsidRPr="00E92AF6" w:rsidTr="0029216B">
        <w:trPr>
          <w:trHeight w:val="272"/>
        </w:trPr>
        <w:tc>
          <w:tcPr>
            <w:tcW w:w="1703" w:type="dxa"/>
            <w:tcBorders>
              <w:top w:val="single" w:sz="4" w:space="0" w:color="auto"/>
              <w:left w:val="single" w:sz="4" w:space="0" w:color="auto"/>
              <w:bottom w:val="nil"/>
              <w:right w:val="nil"/>
            </w:tcBorders>
            <w:vAlign w:val="bottom"/>
          </w:tcPr>
          <w:p w:rsidR="005217AD" w:rsidRPr="00E92AF6" w:rsidRDefault="005217AD" w:rsidP="0029216B">
            <w:pPr>
              <w:autoSpaceDE w:val="0"/>
              <w:autoSpaceDN w:val="0"/>
              <w:adjustRightInd w:val="0"/>
              <w:spacing w:line="240" w:lineRule="auto"/>
              <w:ind w:firstLine="0"/>
              <w:jc w:val="center"/>
              <w:rPr>
                <w:rFonts w:ascii="Calibri" w:hAnsi="Calibri" w:cs="Calibri"/>
                <w:color w:val="000000"/>
                <w:kern w:val="0"/>
                <w:sz w:val="22"/>
                <w:lang w:eastAsia="nl-NL"/>
              </w:rPr>
            </w:pPr>
          </w:p>
        </w:tc>
        <w:tc>
          <w:tcPr>
            <w:tcW w:w="1270" w:type="dxa"/>
            <w:tcBorders>
              <w:top w:val="single" w:sz="4" w:space="0" w:color="auto"/>
              <w:left w:val="nil"/>
              <w:bottom w:val="nil"/>
              <w:right w:val="nil"/>
            </w:tcBorders>
            <w:vAlign w:val="bottom"/>
          </w:tcPr>
          <w:p w:rsidR="005217AD" w:rsidRPr="00E92AF6" w:rsidRDefault="005217AD" w:rsidP="0029216B">
            <w:pPr>
              <w:autoSpaceDE w:val="0"/>
              <w:autoSpaceDN w:val="0"/>
              <w:adjustRightInd w:val="0"/>
              <w:spacing w:line="240" w:lineRule="auto"/>
              <w:ind w:firstLine="0"/>
              <w:jc w:val="center"/>
              <w:rPr>
                <w:rFonts w:ascii="Calibri" w:hAnsi="Calibri" w:cs="Calibri"/>
                <w:color w:val="000000"/>
                <w:kern w:val="0"/>
                <w:sz w:val="22"/>
                <w:lang w:eastAsia="nl-NL"/>
              </w:rPr>
            </w:pPr>
          </w:p>
        </w:tc>
        <w:tc>
          <w:tcPr>
            <w:tcW w:w="1386" w:type="dxa"/>
            <w:tcBorders>
              <w:top w:val="single" w:sz="4" w:space="0" w:color="auto"/>
              <w:left w:val="nil"/>
              <w:bottom w:val="nil"/>
              <w:right w:val="nil"/>
            </w:tcBorders>
            <w:vAlign w:val="bottom"/>
          </w:tcPr>
          <w:p w:rsidR="005217AD" w:rsidRPr="00E92AF6" w:rsidRDefault="005217AD" w:rsidP="0029216B">
            <w:pPr>
              <w:autoSpaceDE w:val="0"/>
              <w:autoSpaceDN w:val="0"/>
              <w:adjustRightInd w:val="0"/>
              <w:spacing w:line="240" w:lineRule="auto"/>
              <w:ind w:firstLine="0"/>
              <w:jc w:val="center"/>
              <w:rPr>
                <w:rFonts w:ascii="Calibri" w:hAnsi="Calibri" w:cs="Calibri"/>
                <w:color w:val="000000"/>
                <w:kern w:val="0"/>
                <w:sz w:val="22"/>
                <w:lang w:eastAsia="nl-NL"/>
              </w:rPr>
            </w:pPr>
          </w:p>
        </w:tc>
        <w:tc>
          <w:tcPr>
            <w:tcW w:w="1155" w:type="dxa"/>
            <w:tcBorders>
              <w:top w:val="single" w:sz="4" w:space="0" w:color="auto"/>
              <w:left w:val="nil"/>
              <w:bottom w:val="nil"/>
              <w:right w:val="single" w:sz="4" w:space="0" w:color="auto"/>
            </w:tcBorders>
            <w:vAlign w:val="bottom"/>
          </w:tcPr>
          <w:p w:rsidR="005217AD" w:rsidRPr="00E92AF6" w:rsidRDefault="005217AD" w:rsidP="0029216B">
            <w:pPr>
              <w:autoSpaceDE w:val="0"/>
              <w:autoSpaceDN w:val="0"/>
              <w:adjustRightInd w:val="0"/>
              <w:spacing w:line="240" w:lineRule="auto"/>
              <w:ind w:firstLine="0"/>
              <w:jc w:val="center"/>
              <w:rPr>
                <w:rFonts w:ascii="Calibri" w:hAnsi="Calibri" w:cs="Calibri"/>
                <w:color w:val="000000"/>
                <w:kern w:val="0"/>
                <w:sz w:val="22"/>
                <w:lang w:eastAsia="nl-NL"/>
              </w:rPr>
            </w:pPr>
          </w:p>
        </w:tc>
      </w:tr>
      <w:tr w:rsidR="005217AD" w:rsidRPr="0029216B" w:rsidTr="0029216B">
        <w:trPr>
          <w:trHeight w:val="272"/>
        </w:trPr>
        <w:tc>
          <w:tcPr>
            <w:tcW w:w="4359" w:type="dxa"/>
            <w:gridSpan w:val="3"/>
            <w:tcBorders>
              <w:top w:val="nil"/>
              <w:left w:val="single" w:sz="4" w:space="0" w:color="auto"/>
              <w:bottom w:val="single" w:sz="4" w:space="0" w:color="auto"/>
              <w:right w:val="nil"/>
            </w:tcBorders>
            <w:vAlign w:val="bottom"/>
          </w:tcPr>
          <w:p w:rsidR="005217AD" w:rsidRPr="00E92AF6" w:rsidRDefault="005217AD" w:rsidP="0029216B">
            <w:pPr>
              <w:autoSpaceDE w:val="0"/>
              <w:autoSpaceDN w:val="0"/>
              <w:adjustRightInd w:val="0"/>
              <w:spacing w:line="240" w:lineRule="auto"/>
              <w:ind w:firstLine="0"/>
              <w:jc w:val="left"/>
              <w:rPr>
                <w:rFonts w:ascii="Calibri" w:hAnsi="Calibri" w:cs="Calibri"/>
                <w:color w:val="000000"/>
                <w:kern w:val="0"/>
                <w:sz w:val="22"/>
                <w:lang w:eastAsia="nl-NL"/>
              </w:rPr>
            </w:pPr>
            <w:r w:rsidRPr="00E92AF6">
              <w:rPr>
                <w:rFonts w:ascii="Calibri" w:hAnsi="Calibri" w:cs="Calibri"/>
                <w:color w:val="000000"/>
                <w:kern w:val="0"/>
                <w:sz w:val="22"/>
                <w:lang w:eastAsia="nl-NL"/>
              </w:rPr>
              <w:t>Null Hypothesis Summary:</w:t>
            </w:r>
          </w:p>
        </w:tc>
        <w:tc>
          <w:tcPr>
            <w:tcW w:w="1155" w:type="dxa"/>
            <w:tcBorders>
              <w:top w:val="nil"/>
              <w:left w:val="nil"/>
              <w:bottom w:val="single" w:sz="4" w:space="0" w:color="auto"/>
              <w:right w:val="single" w:sz="4" w:space="0" w:color="auto"/>
            </w:tcBorders>
            <w:vAlign w:val="bottom"/>
          </w:tcPr>
          <w:p w:rsidR="005217AD" w:rsidRPr="00E92AF6" w:rsidRDefault="005217AD" w:rsidP="0029216B">
            <w:pPr>
              <w:autoSpaceDE w:val="0"/>
              <w:autoSpaceDN w:val="0"/>
              <w:adjustRightInd w:val="0"/>
              <w:spacing w:line="240" w:lineRule="auto"/>
              <w:ind w:firstLine="0"/>
              <w:jc w:val="center"/>
              <w:rPr>
                <w:rFonts w:ascii="Calibri" w:hAnsi="Calibri" w:cs="Calibri"/>
                <w:color w:val="000000"/>
                <w:kern w:val="0"/>
                <w:sz w:val="22"/>
                <w:lang w:eastAsia="nl-NL"/>
              </w:rPr>
            </w:pPr>
          </w:p>
        </w:tc>
      </w:tr>
      <w:tr w:rsidR="005217AD" w:rsidRPr="009C4C36" w:rsidTr="0029216B">
        <w:trPr>
          <w:trHeight w:val="272"/>
        </w:trPr>
        <w:tc>
          <w:tcPr>
            <w:tcW w:w="2973" w:type="dxa"/>
            <w:gridSpan w:val="2"/>
            <w:tcBorders>
              <w:top w:val="single" w:sz="4" w:space="0" w:color="auto"/>
              <w:left w:val="single" w:sz="4" w:space="0" w:color="auto"/>
              <w:bottom w:val="single" w:sz="4" w:space="0" w:color="auto"/>
              <w:right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Normalized Restriction (= 0)</w:t>
            </w:r>
          </w:p>
        </w:tc>
        <w:tc>
          <w:tcPr>
            <w:tcW w:w="1386" w:type="dxa"/>
            <w:tcBorders>
              <w:top w:val="single" w:sz="4" w:space="0" w:color="auto"/>
              <w:left w:val="nil"/>
              <w:bottom w:val="single" w:sz="4" w:space="0" w:color="auto"/>
              <w:right w:val="nil"/>
            </w:tcBorders>
            <w:vAlign w:val="bottom"/>
          </w:tcPr>
          <w:p w:rsidR="005217AD" w:rsidRPr="009C4C36" w:rsidRDefault="005217AD" w:rsidP="0029216B">
            <w:pPr>
              <w:autoSpaceDE w:val="0"/>
              <w:autoSpaceDN w:val="0"/>
              <w:adjustRightInd w:val="0"/>
              <w:spacing w:line="240" w:lineRule="auto"/>
              <w:ind w:right="10" w:firstLine="0"/>
              <w:jc w:val="right"/>
              <w:rPr>
                <w:rFonts w:ascii="Calibri" w:hAnsi="Calibri" w:cs="Calibri"/>
                <w:b/>
                <w:color w:val="000000"/>
                <w:kern w:val="0"/>
                <w:sz w:val="22"/>
                <w:lang w:eastAsia="nl-NL"/>
              </w:rPr>
            </w:pPr>
            <w:r w:rsidRPr="009C4C36">
              <w:rPr>
                <w:rFonts w:ascii="Calibri" w:hAnsi="Calibri" w:cs="Calibri"/>
                <w:b/>
                <w:color w:val="000000"/>
                <w:kern w:val="0"/>
                <w:sz w:val="22"/>
                <w:lang w:eastAsia="nl-NL"/>
              </w:rPr>
              <w:t>Value  </w:t>
            </w:r>
          </w:p>
        </w:tc>
        <w:tc>
          <w:tcPr>
            <w:tcW w:w="1155" w:type="dxa"/>
            <w:tcBorders>
              <w:top w:val="single" w:sz="4" w:space="0" w:color="auto"/>
              <w:left w:val="nil"/>
              <w:bottom w:val="single" w:sz="4" w:space="0" w:color="auto"/>
              <w:right w:val="single" w:sz="4" w:space="0" w:color="auto"/>
            </w:tcBorders>
            <w:vAlign w:val="bottom"/>
          </w:tcPr>
          <w:p w:rsidR="005217AD" w:rsidRPr="009C4C36" w:rsidRDefault="005217AD" w:rsidP="0029216B">
            <w:pPr>
              <w:autoSpaceDE w:val="0"/>
              <w:autoSpaceDN w:val="0"/>
              <w:adjustRightInd w:val="0"/>
              <w:spacing w:line="240" w:lineRule="auto"/>
              <w:ind w:right="10" w:firstLine="0"/>
              <w:jc w:val="right"/>
              <w:rPr>
                <w:rFonts w:ascii="Calibri" w:hAnsi="Calibri" w:cs="Calibri"/>
                <w:b/>
                <w:color w:val="000000"/>
                <w:kern w:val="0"/>
                <w:sz w:val="22"/>
                <w:lang w:eastAsia="nl-NL"/>
              </w:rPr>
            </w:pPr>
            <w:r w:rsidRPr="009C4C36">
              <w:rPr>
                <w:rFonts w:ascii="Calibri" w:hAnsi="Calibri" w:cs="Calibri"/>
                <w:b/>
                <w:color w:val="000000"/>
                <w:kern w:val="0"/>
                <w:sz w:val="22"/>
                <w:lang w:eastAsia="nl-NL"/>
              </w:rPr>
              <w:t>Std. Err.</w:t>
            </w:r>
          </w:p>
        </w:tc>
      </w:tr>
      <w:tr w:rsidR="005217AD" w:rsidRPr="0029216B" w:rsidTr="0029216B">
        <w:trPr>
          <w:trHeight w:val="272"/>
        </w:trPr>
        <w:tc>
          <w:tcPr>
            <w:tcW w:w="2973" w:type="dxa"/>
            <w:gridSpan w:val="2"/>
            <w:tcBorders>
              <w:top w:val="single" w:sz="4" w:space="0" w:color="auto"/>
              <w:left w:val="single" w:sz="4" w:space="0" w:color="auto"/>
              <w:bottom w:val="single" w:sz="4" w:space="0" w:color="auto"/>
              <w:right w:val="nil"/>
            </w:tcBorders>
            <w:vAlign w:val="bottom"/>
          </w:tcPr>
          <w:p w:rsidR="005217AD" w:rsidRPr="009C4C36" w:rsidRDefault="005217AD" w:rsidP="0029216B">
            <w:pPr>
              <w:autoSpaceDE w:val="0"/>
              <w:autoSpaceDN w:val="0"/>
              <w:adjustRightInd w:val="0"/>
              <w:spacing w:line="240" w:lineRule="auto"/>
              <w:ind w:firstLine="0"/>
              <w:jc w:val="left"/>
              <w:rPr>
                <w:rFonts w:ascii="Calibri" w:hAnsi="Calibri" w:cs="Calibri"/>
                <w:b/>
                <w:color w:val="000000"/>
                <w:kern w:val="0"/>
                <w:sz w:val="22"/>
                <w:lang w:eastAsia="nl-NL"/>
              </w:rPr>
            </w:pPr>
            <w:r w:rsidRPr="009C4C36">
              <w:rPr>
                <w:rFonts w:ascii="Calibri" w:hAnsi="Calibri" w:cs="Calibri"/>
                <w:b/>
                <w:color w:val="000000"/>
                <w:kern w:val="0"/>
                <w:sz w:val="22"/>
                <w:lang w:eastAsia="nl-NL"/>
              </w:rPr>
              <w:t>C(3)</w:t>
            </w:r>
          </w:p>
        </w:tc>
        <w:tc>
          <w:tcPr>
            <w:tcW w:w="1386" w:type="dxa"/>
            <w:tcBorders>
              <w:top w:val="single" w:sz="4" w:space="0" w:color="auto"/>
              <w:left w:val="nil"/>
              <w:bottom w:val="single" w:sz="4" w:space="0" w:color="auto"/>
              <w:right w:val="nil"/>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-0.002237</w:t>
            </w:r>
          </w:p>
        </w:tc>
        <w:tc>
          <w:tcPr>
            <w:tcW w:w="1155" w:type="dxa"/>
            <w:tcBorders>
              <w:top w:val="single" w:sz="4" w:space="0" w:color="auto"/>
              <w:left w:val="nil"/>
              <w:bottom w:val="single" w:sz="4" w:space="0" w:color="auto"/>
              <w:right w:val="single" w:sz="4" w:space="0" w:color="auto"/>
            </w:tcBorders>
            <w:vAlign w:val="bottom"/>
          </w:tcPr>
          <w:p w:rsidR="005217AD" w:rsidRPr="00E92AF6" w:rsidRDefault="005217AD" w:rsidP="0029216B">
            <w:pPr>
              <w:autoSpaceDE w:val="0"/>
              <w:autoSpaceDN w:val="0"/>
              <w:adjustRightInd w:val="0"/>
              <w:spacing w:line="240" w:lineRule="auto"/>
              <w:ind w:right="10" w:firstLine="0"/>
              <w:jc w:val="right"/>
              <w:rPr>
                <w:rFonts w:ascii="Calibri" w:hAnsi="Calibri" w:cs="Calibri"/>
                <w:color w:val="000000"/>
                <w:kern w:val="0"/>
                <w:sz w:val="22"/>
                <w:lang w:eastAsia="nl-NL"/>
              </w:rPr>
            </w:pPr>
            <w:r w:rsidRPr="00E92AF6">
              <w:rPr>
                <w:rFonts w:ascii="Calibri" w:hAnsi="Calibri" w:cs="Calibri"/>
                <w:color w:val="000000"/>
                <w:kern w:val="0"/>
                <w:sz w:val="22"/>
                <w:lang w:eastAsia="nl-NL"/>
              </w:rPr>
              <w:t>0.000553</w:t>
            </w:r>
          </w:p>
        </w:tc>
      </w:tr>
      <w:tr w:rsidR="005217AD" w:rsidRPr="0029216B" w:rsidTr="0029216B">
        <w:trPr>
          <w:trHeight w:val="272"/>
        </w:trPr>
        <w:tc>
          <w:tcPr>
            <w:tcW w:w="5514" w:type="dxa"/>
            <w:gridSpan w:val="4"/>
            <w:tcBorders>
              <w:top w:val="single" w:sz="4" w:space="0" w:color="auto"/>
              <w:left w:val="single" w:sz="4" w:space="0" w:color="auto"/>
              <w:bottom w:val="single" w:sz="4" w:space="0" w:color="auto"/>
              <w:right w:val="single" w:sz="4" w:space="0" w:color="auto"/>
            </w:tcBorders>
            <w:vAlign w:val="bottom"/>
          </w:tcPr>
          <w:p w:rsidR="005217AD" w:rsidRPr="00E92AF6" w:rsidRDefault="005217AD" w:rsidP="0029216B">
            <w:pPr>
              <w:keepNext/>
              <w:autoSpaceDE w:val="0"/>
              <w:autoSpaceDN w:val="0"/>
              <w:adjustRightInd w:val="0"/>
              <w:spacing w:line="240" w:lineRule="auto"/>
              <w:ind w:firstLine="0"/>
              <w:jc w:val="left"/>
              <w:rPr>
                <w:rFonts w:ascii="Calibri" w:hAnsi="Calibri" w:cs="Calibri"/>
                <w:color w:val="000000"/>
                <w:kern w:val="0"/>
                <w:sz w:val="22"/>
                <w:lang w:val="en-US" w:eastAsia="nl-NL"/>
              </w:rPr>
            </w:pPr>
            <w:r w:rsidRPr="00E92AF6">
              <w:rPr>
                <w:rFonts w:ascii="Calibri" w:hAnsi="Calibri" w:cs="Calibri"/>
                <w:color w:val="000000"/>
                <w:kern w:val="0"/>
                <w:sz w:val="22"/>
                <w:lang w:val="en-US" w:eastAsia="nl-NL"/>
              </w:rPr>
              <w:t>Restrictions are linear in coefficients.</w:t>
            </w:r>
          </w:p>
        </w:tc>
      </w:tr>
    </w:tbl>
    <w:p w:rsidR="005217AD" w:rsidRDefault="005217AD" w:rsidP="0029216B">
      <w:pPr>
        <w:pStyle w:val="Caption"/>
      </w:pPr>
      <w:bookmarkStart w:id="74" w:name="_Ref267484412"/>
      <w:r>
        <w:t xml:space="preserve">Tabel </w:t>
      </w:r>
      <w:fldSimple w:instr=" SEQ Tabel \* ARABIC ">
        <w:r>
          <w:rPr>
            <w:noProof/>
          </w:rPr>
          <w:t>6</w:t>
        </w:r>
      </w:fldSimple>
      <w:bookmarkEnd w:id="74"/>
      <w:r>
        <w:t xml:space="preserve"> Output van EVIEWS van een F-Test op de significantie van de dummy variabele. </w:t>
      </w:r>
    </w:p>
    <w:p w:rsidR="005217AD" w:rsidRDefault="005217AD">
      <w:pPr>
        <w:spacing w:line="240" w:lineRule="auto"/>
        <w:ind w:firstLine="0"/>
        <w:rPr>
          <w:b/>
          <w:bCs/>
          <w:kern w:val="0"/>
          <w:sz w:val="28"/>
          <w:szCs w:val="24"/>
          <w:lang w:eastAsia="nl-NL"/>
        </w:rPr>
      </w:pPr>
    </w:p>
    <w:p w:rsidR="005217AD" w:rsidRDefault="005217AD">
      <w:pPr>
        <w:spacing w:line="240" w:lineRule="auto"/>
        <w:ind w:firstLine="0"/>
        <w:jc w:val="left"/>
        <w:rPr>
          <w:b/>
          <w:bCs/>
          <w:kern w:val="0"/>
          <w:sz w:val="28"/>
          <w:szCs w:val="24"/>
          <w:lang w:eastAsia="nl-NL"/>
        </w:rPr>
      </w:pPr>
      <w:r>
        <w:rPr>
          <w:kern w:val="0"/>
        </w:rPr>
        <w:br w:type="page"/>
      </w:r>
    </w:p>
    <w:p w:rsidR="005217AD" w:rsidRDefault="005217AD" w:rsidP="00993F61">
      <w:pPr>
        <w:pStyle w:val="Heading1"/>
        <w:numPr>
          <w:ilvl w:val="0"/>
          <w:numId w:val="5"/>
        </w:numPr>
        <w:rPr>
          <w:kern w:val="0"/>
        </w:rPr>
      </w:pPr>
      <w:bookmarkStart w:id="75" w:name="_Toc267486052"/>
      <w:r>
        <w:rPr>
          <w:kern w:val="0"/>
        </w:rPr>
        <w:t>Conclusie en discussie</w:t>
      </w:r>
      <w:bookmarkEnd w:id="68"/>
      <w:bookmarkEnd w:id="75"/>
      <w:r>
        <w:rPr>
          <w:kern w:val="0"/>
        </w:rPr>
        <w:t xml:space="preserve"> </w:t>
      </w:r>
    </w:p>
    <w:p w:rsidR="005217AD" w:rsidRDefault="005217AD" w:rsidP="00993F61">
      <w:pPr>
        <w:rPr>
          <w:kern w:val="0"/>
          <w:lang w:eastAsia="nl-NL"/>
        </w:rPr>
      </w:pPr>
      <w:r>
        <w:rPr>
          <w:lang w:eastAsia="nl-NL"/>
        </w:rPr>
        <w:t xml:space="preserve">Op statistisch gebied kan met enige significantie gesteld worden, dat de Nederlandse markt mogelijk een boodschap ziet in dividendbeleid. Ondernemingen met verschillende abnormale dividenden hebben significant verschillende waarderingen rond het moment van dividendaankondiging. Deze mutatie in waardering is waar te nemen in de abnormale rendementen op dergelijke aandelen, als de waardering geschat wordt op basis van het marktmodel. Hierbij kent de Nederlandse markt een positieve waardering toe aan ondernemingen die voldoen aan de verwachtingen, of deze overstijgen. Een negatieve waardering wordt gegeven aan ondernemingen die aan deze verwachtingen tekortdoen. </w:t>
      </w:r>
      <w:r>
        <w:rPr>
          <w:kern w:val="0"/>
          <w:lang w:eastAsia="nl-NL"/>
        </w:rPr>
        <w:t xml:space="preserve">De relatieve kloof tussen de verwachtingen en realisatie lijkt hierbij mogelijk van belang te zijn. De gedachte dat ondernemingen niet snel een negatieve correctie maken in hun dividendbeleid, is hier hoogstwaarschijnlijk de oorzaak van. De uitkomsten zijn in overeenstemming met vergelijkbare studies. De correlatie tussen abnormaal dividend en rendement is positief en er is een onderscheid in ondernemingen met negatief abnormaal dividend en de overige ondernemingen.  </w:t>
      </w:r>
    </w:p>
    <w:p w:rsidR="005217AD" w:rsidRPr="00D2049C" w:rsidRDefault="005217AD" w:rsidP="00993F61">
      <w:pPr>
        <w:rPr>
          <w:kern w:val="0"/>
          <w:lang w:eastAsia="nl-NL"/>
        </w:rPr>
      </w:pPr>
      <w:r>
        <w:rPr>
          <w:kern w:val="0"/>
          <w:lang w:eastAsia="nl-NL"/>
        </w:rPr>
        <w:t xml:space="preserve">Vanuit een economisch oogpunt zijn de abnormale rendementen rond de dividendaankondiging echter te betwijfelen. De statistisch significante waarden zijn namelijk niet erg groot. Oorzaak van deze uitkomsten ligt mogelijk in de periode waarover de steekproef is genomen. </w:t>
      </w:r>
      <w:r w:rsidRPr="00D2049C">
        <w:rPr>
          <w:kern w:val="0"/>
          <w:lang w:eastAsia="nl-NL"/>
        </w:rPr>
        <w:t xml:space="preserve">De </w:t>
      </w:r>
      <w:r>
        <w:rPr>
          <w:kern w:val="0"/>
          <w:lang w:eastAsia="nl-NL"/>
        </w:rPr>
        <w:t xml:space="preserve">jaren </w:t>
      </w:r>
      <w:r w:rsidRPr="00D2049C">
        <w:rPr>
          <w:kern w:val="0"/>
          <w:lang w:eastAsia="nl-NL"/>
        </w:rPr>
        <w:t>2005</w:t>
      </w:r>
      <w:r>
        <w:rPr>
          <w:kern w:val="0"/>
          <w:lang w:eastAsia="nl-NL"/>
        </w:rPr>
        <w:t xml:space="preserve"> tot </w:t>
      </w:r>
      <w:r w:rsidRPr="00D2049C">
        <w:rPr>
          <w:kern w:val="0"/>
          <w:lang w:eastAsia="nl-NL"/>
        </w:rPr>
        <w:t>2010 ken</w:t>
      </w:r>
      <w:r>
        <w:rPr>
          <w:kern w:val="0"/>
          <w:lang w:eastAsia="nl-NL"/>
        </w:rPr>
        <w:t>nen</w:t>
      </w:r>
      <w:r w:rsidRPr="00D2049C">
        <w:rPr>
          <w:kern w:val="0"/>
          <w:lang w:eastAsia="nl-NL"/>
        </w:rPr>
        <w:t xml:space="preserve"> namelijk een crisis. De aandelen zullen </w:t>
      </w:r>
      <w:r>
        <w:rPr>
          <w:kern w:val="0"/>
          <w:lang w:eastAsia="nl-NL"/>
        </w:rPr>
        <w:t>waarschijnlijk</w:t>
      </w:r>
      <w:r w:rsidRPr="00D2049C">
        <w:rPr>
          <w:kern w:val="0"/>
          <w:lang w:eastAsia="nl-NL"/>
        </w:rPr>
        <w:t xml:space="preserve"> </w:t>
      </w:r>
      <w:r>
        <w:rPr>
          <w:kern w:val="0"/>
          <w:lang w:eastAsia="nl-NL"/>
        </w:rPr>
        <w:t>al tegen een hoger risico zijn gewaardeerd. Het mogelijk negatieve signaal zal voor een deel gewaardeerd zijn in de onzekerheid over dividendaankondiging. Wat mogelijk een deel van de reactie afzwakt. Positieve en geen abnormale dividenden zijn in deze context positief. Ondernemingen kunnen in ieder geval voorzien in de verwachtingen, op het gebied van dividend, in de economisch moeilijke periode.  Daarnaast zullen de aandeelprijzen relatief lager zijn dan in een andere periode rond de periode van de steekproef. Wat de waarderingsreacties op abnormaal dividend absoluut kleiner maakt, maar hoogstwaarschijnlijk minder op relatieve basis. Of de abnormale dividenden de oorzaak zijn van deze waarderingsmutaties is echter niet te stellen.</w:t>
      </w:r>
    </w:p>
    <w:p w:rsidR="005217AD" w:rsidRPr="00D2049C" w:rsidRDefault="005217AD" w:rsidP="00993F61">
      <w:pPr>
        <w:rPr>
          <w:lang w:eastAsia="nl-NL"/>
        </w:rPr>
      </w:pPr>
      <w:r w:rsidRPr="00D2049C">
        <w:rPr>
          <w:lang w:eastAsia="nl-NL"/>
        </w:rPr>
        <w:br w:type="page"/>
      </w:r>
    </w:p>
    <w:p w:rsidR="005217AD" w:rsidRPr="001D493A" w:rsidRDefault="005217AD" w:rsidP="00993F61">
      <w:pPr>
        <w:pStyle w:val="Heading1"/>
        <w:rPr>
          <w:lang w:val="en-US"/>
        </w:rPr>
      </w:pPr>
      <w:bookmarkStart w:id="76" w:name="_Toc267486053"/>
      <w:r w:rsidRPr="001D493A">
        <w:rPr>
          <w:lang w:val="en-US"/>
        </w:rPr>
        <w:t>Bibliografie</w:t>
      </w:r>
      <w:bookmarkEnd w:id="76"/>
    </w:p>
    <w:p w:rsidR="005217AD" w:rsidRDefault="005217AD" w:rsidP="00901D1D">
      <w:pPr>
        <w:pStyle w:val="Bibliography"/>
        <w:rPr>
          <w:noProof/>
          <w:lang w:val="en-US"/>
        </w:rPr>
      </w:pPr>
      <w:r>
        <w:rPr>
          <w:noProof/>
          <w:lang w:val="en-US"/>
        </w:rPr>
        <w:t xml:space="preserve">Aharony, Jospeh, and Itzhak Swary. "Quarterly Dividend and Earnings Announcements and Stockholders' Returns: An Empirical Analysis." </w:t>
      </w:r>
      <w:r>
        <w:rPr>
          <w:i/>
          <w:iCs/>
          <w:noProof/>
          <w:lang w:val="en-US"/>
        </w:rPr>
        <w:t>The Journal of Finance</w:t>
      </w:r>
      <w:r>
        <w:rPr>
          <w:noProof/>
          <w:lang w:val="en-US"/>
        </w:rPr>
        <w:t>, 1980: pp. 1-12.</w:t>
      </w:r>
    </w:p>
    <w:p w:rsidR="005217AD" w:rsidRDefault="005217AD" w:rsidP="00901D1D">
      <w:pPr>
        <w:pStyle w:val="Bibliography"/>
        <w:rPr>
          <w:noProof/>
          <w:lang w:val="en-US"/>
        </w:rPr>
      </w:pPr>
      <w:r>
        <w:rPr>
          <w:noProof/>
          <w:lang w:val="en-US"/>
        </w:rPr>
        <w:t xml:space="preserve">Asquith, Paul, and David W. Mullins. "The Impact of Initiating Dividend Payments on Shareholders' Wealth." </w:t>
      </w:r>
      <w:r>
        <w:rPr>
          <w:i/>
          <w:iCs/>
          <w:noProof/>
          <w:lang w:val="en-US"/>
        </w:rPr>
        <w:t>The Journal of Business</w:t>
      </w:r>
      <w:r>
        <w:rPr>
          <w:noProof/>
          <w:lang w:val="en-US"/>
        </w:rPr>
        <w:t>, 1983: pp. 77-96.</w:t>
      </w:r>
    </w:p>
    <w:p w:rsidR="005217AD" w:rsidRDefault="005217AD" w:rsidP="00901D1D">
      <w:pPr>
        <w:pStyle w:val="Bibliography"/>
        <w:rPr>
          <w:noProof/>
          <w:lang w:val="en-US"/>
        </w:rPr>
      </w:pPr>
      <w:r>
        <w:rPr>
          <w:noProof/>
          <w:lang w:val="en-US"/>
        </w:rPr>
        <w:t xml:space="preserve">Bhattacharya, Sudipto. "Imperfect Information, Dividend Policy, and "The Bird in the Hand" Fallacy." </w:t>
      </w:r>
      <w:r>
        <w:rPr>
          <w:i/>
          <w:iCs/>
          <w:noProof/>
          <w:lang w:val="en-US"/>
        </w:rPr>
        <w:t>The Bell Journal of Economics 10</w:t>
      </w:r>
      <w:r>
        <w:rPr>
          <w:noProof/>
          <w:lang w:val="en-US"/>
        </w:rPr>
        <w:t>, Spring 1979: pp. 259-270.</w:t>
      </w:r>
    </w:p>
    <w:p w:rsidR="005217AD" w:rsidRDefault="005217AD" w:rsidP="00901D1D">
      <w:pPr>
        <w:pStyle w:val="Bibliography"/>
        <w:rPr>
          <w:noProof/>
          <w:lang w:val="en-US"/>
        </w:rPr>
      </w:pPr>
      <w:r>
        <w:rPr>
          <w:noProof/>
          <w:lang w:val="en-US"/>
        </w:rPr>
        <w:t xml:space="preserve">Brav, Alon, John R. Graham, Campbell R. Harvey, and Roni Michaely. "Payout policy in the 21st century." </w:t>
      </w:r>
      <w:r>
        <w:rPr>
          <w:i/>
          <w:iCs/>
          <w:noProof/>
          <w:lang w:val="en-US"/>
        </w:rPr>
        <w:t>Journal of Financial Economics 77</w:t>
      </w:r>
      <w:r>
        <w:rPr>
          <w:noProof/>
          <w:lang w:val="en-US"/>
        </w:rPr>
        <w:t>, 2005: pp. 483-527.</w:t>
      </w:r>
    </w:p>
    <w:p w:rsidR="005217AD" w:rsidRDefault="005217AD" w:rsidP="00901D1D">
      <w:pPr>
        <w:pStyle w:val="Bibliography"/>
        <w:rPr>
          <w:noProof/>
          <w:lang w:val="en-US"/>
        </w:rPr>
      </w:pPr>
      <w:r>
        <w:rPr>
          <w:noProof/>
          <w:lang w:val="en-US"/>
        </w:rPr>
        <w:t xml:space="preserve">Brooks, C. </w:t>
      </w:r>
      <w:r>
        <w:rPr>
          <w:i/>
          <w:iCs/>
          <w:noProof/>
          <w:lang w:val="en-US"/>
        </w:rPr>
        <w:t>Introductory econometrics for finance.</w:t>
      </w:r>
      <w:r>
        <w:rPr>
          <w:noProof/>
          <w:lang w:val="en-US"/>
        </w:rPr>
        <w:t xml:space="preserve"> Cambridge: Cambridge University Press, 2008.</w:t>
      </w:r>
    </w:p>
    <w:p w:rsidR="005217AD" w:rsidRDefault="005217AD" w:rsidP="00901D1D">
      <w:pPr>
        <w:pStyle w:val="Bibliography"/>
        <w:rPr>
          <w:noProof/>
          <w:lang w:val="en-US"/>
        </w:rPr>
      </w:pPr>
      <w:r>
        <w:rPr>
          <w:noProof/>
          <w:lang w:val="en-US"/>
        </w:rPr>
        <w:t xml:space="preserve">Fama, Eugene F., and Kenneth R. French. "Testing Trade-Off and Pecking Order Predictions about Dividends and Debt." </w:t>
      </w:r>
      <w:r>
        <w:rPr>
          <w:i/>
          <w:iCs/>
          <w:noProof/>
          <w:lang w:val="en-US"/>
        </w:rPr>
        <w:t>The Review of Financial Studies 15</w:t>
      </w:r>
      <w:r>
        <w:rPr>
          <w:noProof/>
          <w:lang w:val="en-US"/>
        </w:rPr>
        <w:t>, Spring 2002: pp. 1-33.</w:t>
      </w:r>
    </w:p>
    <w:p w:rsidR="005217AD" w:rsidRDefault="005217AD" w:rsidP="00901D1D">
      <w:pPr>
        <w:pStyle w:val="Bibliography"/>
        <w:rPr>
          <w:noProof/>
          <w:lang w:val="en-US"/>
        </w:rPr>
      </w:pPr>
      <w:r>
        <w:rPr>
          <w:noProof/>
          <w:lang w:val="en-US"/>
        </w:rPr>
        <w:t xml:space="preserve">Jensen, Michael C. "Agency Costs of Free Cash Flow, Corporate Finance, and Takeovers." </w:t>
      </w:r>
      <w:r>
        <w:rPr>
          <w:i/>
          <w:iCs/>
          <w:noProof/>
          <w:lang w:val="en-US"/>
        </w:rPr>
        <w:t>The American Economic Review 76</w:t>
      </w:r>
      <w:r>
        <w:rPr>
          <w:noProof/>
          <w:lang w:val="en-US"/>
        </w:rPr>
        <w:t>, May 1986: pp. 323-329.</w:t>
      </w:r>
    </w:p>
    <w:p w:rsidR="005217AD" w:rsidRDefault="005217AD" w:rsidP="00901D1D">
      <w:pPr>
        <w:pStyle w:val="Bibliography"/>
        <w:rPr>
          <w:noProof/>
          <w:lang w:val="en-US"/>
        </w:rPr>
      </w:pPr>
      <w:r>
        <w:rPr>
          <w:noProof/>
          <w:lang w:val="en-US"/>
        </w:rPr>
        <w:t xml:space="preserve">Jin, Zhenhu. "On the differential market reaction to dividend initiations." </w:t>
      </w:r>
      <w:r>
        <w:rPr>
          <w:i/>
          <w:iCs/>
          <w:noProof/>
          <w:lang w:val="en-US"/>
        </w:rPr>
        <w:t>The Quarterly Review of Economics and Finance</w:t>
      </w:r>
      <w:r>
        <w:rPr>
          <w:noProof/>
          <w:lang w:val="en-US"/>
        </w:rPr>
        <w:t>, 2000: pp. 263-277.</w:t>
      </w:r>
    </w:p>
    <w:p w:rsidR="005217AD" w:rsidRDefault="005217AD" w:rsidP="00901D1D">
      <w:pPr>
        <w:pStyle w:val="Bibliography"/>
        <w:rPr>
          <w:noProof/>
          <w:lang w:val="en-US"/>
        </w:rPr>
      </w:pPr>
      <w:r>
        <w:rPr>
          <w:noProof/>
          <w:lang w:val="en-US"/>
        </w:rPr>
        <w:t xml:space="preserve">John, Kose, and Joseph Williams. "Dividends, Dilution, and Taxes: A Signalling Equilibrium." </w:t>
      </w:r>
      <w:r>
        <w:rPr>
          <w:i/>
          <w:iCs/>
          <w:noProof/>
          <w:lang w:val="en-US"/>
        </w:rPr>
        <w:t>The Journal of Finance 40</w:t>
      </w:r>
      <w:r>
        <w:rPr>
          <w:noProof/>
          <w:lang w:val="en-US"/>
        </w:rPr>
        <w:t>, September 1985: pp. 1053-1070.</w:t>
      </w:r>
    </w:p>
    <w:p w:rsidR="005217AD" w:rsidRDefault="005217AD" w:rsidP="00901D1D">
      <w:pPr>
        <w:pStyle w:val="Bibliography"/>
        <w:rPr>
          <w:noProof/>
          <w:lang w:val="en-US"/>
        </w:rPr>
      </w:pPr>
      <w:r>
        <w:rPr>
          <w:noProof/>
          <w:lang w:val="en-US"/>
        </w:rPr>
        <w:t xml:space="preserve">Lintner, John. "Distribution of Incomes of Corporations Among Dividends, Retained Earnings, and Taxes." </w:t>
      </w:r>
      <w:r>
        <w:rPr>
          <w:i/>
          <w:iCs/>
          <w:noProof/>
          <w:lang w:val="en-US"/>
        </w:rPr>
        <w:t>The American Economic Review 46</w:t>
      </w:r>
      <w:r>
        <w:rPr>
          <w:noProof/>
          <w:lang w:val="en-US"/>
        </w:rPr>
        <w:t>, May 1956: pp. 97-113.</w:t>
      </w:r>
    </w:p>
    <w:p w:rsidR="005217AD" w:rsidRDefault="005217AD" w:rsidP="00901D1D">
      <w:pPr>
        <w:pStyle w:val="Bibliography"/>
        <w:rPr>
          <w:noProof/>
          <w:lang w:val="en-US"/>
        </w:rPr>
      </w:pPr>
      <w:r>
        <w:rPr>
          <w:noProof/>
          <w:lang w:val="en-US"/>
        </w:rPr>
        <w:t xml:space="preserve">MacKinlay, Archie Craig. "Event Studies in Economics and Finance." </w:t>
      </w:r>
      <w:r>
        <w:rPr>
          <w:i/>
          <w:iCs/>
          <w:noProof/>
          <w:lang w:val="en-US"/>
        </w:rPr>
        <w:t>Journal of Economic Literature 35</w:t>
      </w:r>
      <w:r>
        <w:rPr>
          <w:noProof/>
          <w:lang w:val="en-US"/>
        </w:rPr>
        <w:t>, 1997: pp. 13-39.</w:t>
      </w:r>
    </w:p>
    <w:p w:rsidR="005217AD" w:rsidRDefault="005217AD" w:rsidP="00901D1D">
      <w:pPr>
        <w:pStyle w:val="Bibliography"/>
        <w:rPr>
          <w:noProof/>
          <w:lang w:val="en-US"/>
        </w:rPr>
      </w:pPr>
      <w:r>
        <w:rPr>
          <w:noProof/>
          <w:lang w:val="en-US"/>
        </w:rPr>
        <w:t xml:space="preserve">Michaely, Roni, Richard H. Thaler, and Kent L. Womack. "Price Reactions to Dividend Initiations and Omissions: Overreaction or Drift?" </w:t>
      </w:r>
      <w:r>
        <w:rPr>
          <w:i/>
          <w:iCs/>
          <w:noProof/>
          <w:lang w:val="en-US"/>
        </w:rPr>
        <w:t>The Journal of Finance</w:t>
      </w:r>
      <w:r>
        <w:rPr>
          <w:noProof/>
          <w:lang w:val="en-US"/>
        </w:rPr>
        <w:t>, 1995: pp. 573-608.</w:t>
      </w:r>
    </w:p>
    <w:p w:rsidR="005217AD" w:rsidRDefault="005217AD" w:rsidP="00901D1D">
      <w:pPr>
        <w:pStyle w:val="Bibliography"/>
        <w:rPr>
          <w:noProof/>
          <w:lang w:val="en-US"/>
        </w:rPr>
      </w:pPr>
      <w:r>
        <w:rPr>
          <w:noProof/>
          <w:lang w:val="en-US"/>
        </w:rPr>
        <w:t xml:space="preserve">Miller, Merton H., and Franco Modigliani. "Dividend Policy, Growth, and the Valuation of Shares." </w:t>
      </w:r>
      <w:r>
        <w:rPr>
          <w:i/>
          <w:iCs/>
          <w:noProof/>
          <w:lang w:val="en-US"/>
        </w:rPr>
        <w:t>The Journal of Business 34</w:t>
      </w:r>
      <w:r>
        <w:rPr>
          <w:noProof/>
          <w:lang w:val="en-US"/>
        </w:rPr>
        <w:t>, October 1961: pp. 411-433.</w:t>
      </w:r>
    </w:p>
    <w:p w:rsidR="005217AD" w:rsidRDefault="005217AD" w:rsidP="00901D1D">
      <w:pPr>
        <w:pStyle w:val="Bibliography"/>
        <w:rPr>
          <w:noProof/>
          <w:lang w:val="en-US"/>
        </w:rPr>
      </w:pPr>
      <w:r>
        <w:rPr>
          <w:noProof/>
          <w:lang w:val="en-US"/>
        </w:rPr>
        <w:t xml:space="preserve">Miller, Merton H., and Kevin Rock. "Dividend Policy under Asymmetric Information." </w:t>
      </w:r>
      <w:r>
        <w:rPr>
          <w:i/>
          <w:iCs/>
          <w:noProof/>
          <w:lang w:val="en-US"/>
        </w:rPr>
        <w:t>The Journal of Finance 40</w:t>
      </w:r>
      <w:r>
        <w:rPr>
          <w:noProof/>
          <w:lang w:val="en-US"/>
        </w:rPr>
        <w:t>, September 1985: pp. 1031-1052.</w:t>
      </w:r>
    </w:p>
    <w:p w:rsidR="005217AD" w:rsidRDefault="005217AD" w:rsidP="00901D1D">
      <w:pPr>
        <w:pStyle w:val="Bibliography"/>
        <w:rPr>
          <w:noProof/>
          <w:lang w:val="en-US"/>
        </w:rPr>
      </w:pPr>
      <w:r>
        <w:rPr>
          <w:noProof/>
          <w:lang w:val="en-US"/>
        </w:rPr>
        <w:t xml:space="preserve">Myers, Stewart C. "The Capital Structure Puzzle." </w:t>
      </w:r>
      <w:r>
        <w:rPr>
          <w:i/>
          <w:iCs/>
          <w:noProof/>
          <w:lang w:val="en-US"/>
        </w:rPr>
        <w:t>The Journal of Finance 39</w:t>
      </w:r>
      <w:r>
        <w:rPr>
          <w:noProof/>
          <w:lang w:val="en-US"/>
        </w:rPr>
        <w:t>, 1984: pp. 575-592.</w:t>
      </w:r>
    </w:p>
    <w:p w:rsidR="005217AD" w:rsidRDefault="005217AD" w:rsidP="00901D1D">
      <w:pPr>
        <w:pStyle w:val="Bibliography"/>
        <w:rPr>
          <w:noProof/>
          <w:lang w:val="en-US"/>
        </w:rPr>
      </w:pPr>
      <w:r w:rsidRPr="00901D1D">
        <w:rPr>
          <w:noProof/>
        </w:rPr>
        <w:t xml:space="preserve">Schauten, Marc B.J. "Drie disconteringsmethoden voor het waarderfen van projecten en het geëiste rendement van het eigen vermogen(lecture notes I)." </w:t>
      </w:r>
      <w:r>
        <w:rPr>
          <w:i/>
          <w:iCs/>
          <w:noProof/>
          <w:lang w:val="en-US"/>
        </w:rPr>
        <w:t>Erasmus Universiteit Rotterdam</w:t>
      </w:r>
      <w:r>
        <w:rPr>
          <w:noProof/>
          <w:lang w:val="en-US"/>
        </w:rPr>
        <w:t>, 2005.</w:t>
      </w:r>
    </w:p>
    <w:p w:rsidR="005217AD" w:rsidRDefault="005217AD" w:rsidP="00901D1D">
      <w:pPr>
        <w:pStyle w:val="Bibliography"/>
        <w:rPr>
          <w:noProof/>
          <w:lang w:val="en-US"/>
        </w:rPr>
      </w:pPr>
      <w:r>
        <w:rPr>
          <w:noProof/>
          <w:lang w:val="en-US"/>
        </w:rPr>
        <w:t xml:space="preserve">Sharpe, William F. "Capital Asset Prices - A Theory of Market Equilibrium Under Conditions of Risk." </w:t>
      </w:r>
      <w:r>
        <w:rPr>
          <w:i/>
          <w:iCs/>
          <w:noProof/>
          <w:lang w:val="en-US"/>
        </w:rPr>
        <w:t>Journal of Finance 19</w:t>
      </w:r>
      <w:r>
        <w:rPr>
          <w:noProof/>
          <w:lang w:val="en-US"/>
        </w:rPr>
        <w:t>, 1964: pp. 425-442.</w:t>
      </w:r>
    </w:p>
    <w:p w:rsidR="005217AD" w:rsidRDefault="005217AD" w:rsidP="00901D1D">
      <w:pPr>
        <w:pStyle w:val="Bibliography"/>
        <w:rPr>
          <w:noProof/>
          <w:lang w:val="en-US"/>
        </w:rPr>
      </w:pPr>
      <w:r>
        <w:rPr>
          <w:noProof/>
          <w:lang w:val="en-US"/>
        </w:rPr>
        <w:t xml:space="preserve">Shefrin, Hersh M. "Behavioral Corporate Finance." </w:t>
      </w:r>
      <w:r>
        <w:rPr>
          <w:i/>
          <w:iCs/>
          <w:noProof/>
          <w:lang w:val="en-US"/>
        </w:rPr>
        <w:t>Journal of Applied Corporate Finance 14</w:t>
      </w:r>
      <w:r>
        <w:rPr>
          <w:noProof/>
          <w:lang w:val="en-US"/>
        </w:rPr>
        <w:t>, Fall 2001: pp. 113-124.</w:t>
      </w:r>
    </w:p>
    <w:p w:rsidR="005217AD" w:rsidRDefault="005217AD" w:rsidP="00901D1D">
      <w:pPr>
        <w:pStyle w:val="Bibliography"/>
        <w:rPr>
          <w:noProof/>
          <w:lang w:val="en-US"/>
        </w:rPr>
      </w:pPr>
      <w:r>
        <w:rPr>
          <w:noProof/>
          <w:lang w:val="en-US"/>
        </w:rPr>
        <w:t xml:space="preserve">Yoon, Pyung Sig, and Laura T. Starks. "Signaling, Investment Opportunities, and Dividend Announcements." </w:t>
      </w:r>
      <w:r>
        <w:rPr>
          <w:i/>
          <w:iCs/>
          <w:noProof/>
          <w:lang w:val="en-US"/>
        </w:rPr>
        <w:t>The Review of Financial Studies</w:t>
      </w:r>
      <w:r>
        <w:rPr>
          <w:noProof/>
          <w:lang w:val="en-US"/>
        </w:rPr>
        <w:t>, 1995: pp. 995-1018.</w:t>
      </w:r>
    </w:p>
    <w:p w:rsidR="005217AD" w:rsidRDefault="005217AD" w:rsidP="00901D1D"/>
    <w:p w:rsidR="005217AD" w:rsidRDefault="005217AD" w:rsidP="009C4C36">
      <w:pPr>
        <w:pStyle w:val="Heading1"/>
      </w:pPr>
    </w:p>
    <w:sectPr w:rsidR="005217AD" w:rsidSect="00C4559A">
      <w:footerReference w:type="default" r:id="rId17"/>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17AD" w:rsidRDefault="005217AD" w:rsidP="00250E31">
      <w:pPr>
        <w:spacing w:line="240" w:lineRule="auto"/>
      </w:pPr>
      <w:r>
        <w:separator/>
      </w:r>
    </w:p>
  </w:endnote>
  <w:endnote w:type="continuationSeparator" w:id="1">
    <w:p w:rsidR="005217AD" w:rsidRDefault="005217AD" w:rsidP="00250E3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Gill Sans MT">
    <w:panose1 w:val="020B0502020104020203"/>
    <w:charset w:val="00"/>
    <w:family w:val="swiss"/>
    <w:pitch w:val="variable"/>
    <w:sig w:usb0="00000007" w:usb1="00000000" w:usb2="00000000" w:usb3="00000000" w:csb0="00000003"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7AD" w:rsidRDefault="005217AD">
    <w:pPr>
      <w:pStyle w:val="Footer"/>
      <w:jc w:val="center"/>
    </w:pPr>
    <w:fldSimple w:instr=" PAGE   \* MERGEFORMAT ">
      <w:r>
        <w:rPr>
          <w:noProof/>
        </w:rPr>
        <w:t>1</w:t>
      </w:r>
    </w:fldSimple>
  </w:p>
  <w:p w:rsidR="005217AD" w:rsidRDefault="005217A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17AD" w:rsidRDefault="005217AD" w:rsidP="00250E31">
      <w:pPr>
        <w:spacing w:line="240" w:lineRule="auto"/>
      </w:pPr>
      <w:r>
        <w:separator/>
      </w:r>
    </w:p>
  </w:footnote>
  <w:footnote w:type="continuationSeparator" w:id="1">
    <w:p w:rsidR="005217AD" w:rsidRDefault="005217AD" w:rsidP="00250E31">
      <w:pPr>
        <w:spacing w:line="240" w:lineRule="auto"/>
      </w:pPr>
      <w:r>
        <w:continuationSeparator/>
      </w:r>
    </w:p>
  </w:footnote>
  <w:footnote w:id="2">
    <w:p w:rsidR="005217AD" w:rsidRDefault="005217AD">
      <w:pPr>
        <w:pStyle w:val="FootnoteText"/>
      </w:pPr>
      <w:r>
        <w:rPr>
          <w:rStyle w:val="FootnoteReference"/>
        </w:rPr>
        <w:footnoteRef/>
      </w:r>
      <w:r>
        <w:t xml:space="preserve"> In het vervolg omschreven als de Nederlandse markt.</w:t>
      </w:r>
    </w:p>
  </w:footnote>
  <w:footnote w:id="3">
    <w:p w:rsidR="005217AD" w:rsidRDefault="005217AD" w:rsidP="00A60FD0">
      <w:pPr>
        <w:pStyle w:val="FootnoteText"/>
      </w:pPr>
      <w:r>
        <w:rPr>
          <w:rStyle w:val="FootnoteReference"/>
        </w:rPr>
        <w:footnoteRef/>
      </w:r>
      <w:r>
        <w:t xml:space="preserve"> Benadrukt moet worden dat het hier gaat om uitgaven. Kosten met betrekking tot waardevermindering van activa, zoals afschrijving, hebben geen invloed op deze uitgaven. Deze worden gevangen in de investeringen die wel invloed hebben op de omvang van de vrije kasstromen. Waardevermindering van de activa heeft echter wel invloed op de belasting. De verwerking van de financieringsvorm bij waardebepaling op basis van verdisconteerde kasstromen is afhankelijk van de gekozen methode </w:t>
      </w:r>
      <w:r>
        <w:rPr>
          <w:noProof/>
        </w:rPr>
        <w:t>(Schauten 2005)</w:t>
      </w:r>
      <w:r>
        <w:t>.</w:t>
      </w:r>
    </w:p>
    <w:p w:rsidR="005217AD" w:rsidRDefault="005217AD" w:rsidP="00A60FD0">
      <w:pPr>
        <w:pStyle w:val="FootnoteText"/>
      </w:pPr>
    </w:p>
  </w:footnote>
  <w:footnote w:id="4">
    <w:p w:rsidR="005217AD" w:rsidRDefault="005217AD">
      <w:pPr>
        <w:pStyle w:val="FootnoteText"/>
      </w:pPr>
      <w:r>
        <w:rPr>
          <w:rStyle w:val="FootnoteReference"/>
        </w:rPr>
        <w:footnoteRef/>
      </w:r>
      <w:r>
        <w:t xml:space="preserve"> Deze kasreserves worden aangehouden tot in de toekomst. Ook al zou de onderneming nooit uitkeren, toch zullen de kasstromen ooit vrijkomen. Hetzij vanuit de investeerder, door verkoop van aandelen, hetzij door beëindiging van deze onderneming.</w:t>
      </w:r>
    </w:p>
    <w:p w:rsidR="005217AD" w:rsidRDefault="005217AD">
      <w:pPr>
        <w:pStyle w:val="FootnoteText"/>
      </w:pPr>
    </w:p>
  </w:footnote>
  <w:footnote w:id="5">
    <w:p w:rsidR="005217AD" w:rsidRDefault="005217AD">
      <w:pPr>
        <w:pStyle w:val="FootnoteText"/>
      </w:pPr>
      <w:r>
        <w:rPr>
          <w:rStyle w:val="FootnoteReference"/>
        </w:rPr>
        <w:footnoteRef/>
      </w:r>
      <w:r>
        <w:t xml:space="preserve"> Hier wordt gesproken over vermogensverschaffers, doordat er de mogelijkheid is om deze uit te keren aan de eigen vermogensverschaffers, of aan de vreemd vermogensverschaffers. Deze laatstgenoemde mogelijkheid in de vorm van afbetaling van de lening, of vergoeding in de vorm van interest. De afbetaling zal echter niet besproken worden aangezien deze niet het oogpunt van dit verslag omvat. Opgemerkt moet wel worden dat de vergoeding, in de vorm van interest, over het algemeen geen vrij karakter heeft.</w:t>
      </w:r>
    </w:p>
    <w:p w:rsidR="005217AD" w:rsidRDefault="005217AD">
      <w:pPr>
        <w:pStyle w:val="FootnoteText"/>
      </w:pPr>
      <w:r>
        <w:t xml:space="preserve"> </w:t>
      </w:r>
    </w:p>
  </w:footnote>
  <w:footnote w:id="6">
    <w:p w:rsidR="005217AD" w:rsidRDefault="005217AD" w:rsidP="00E24F12">
      <w:pPr>
        <w:pStyle w:val="FootnoteText"/>
      </w:pPr>
      <w:r>
        <w:rPr>
          <w:rStyle w:val="FootnoteReference"/>
        </w:rPr>
        <w:footnoteRef/>
      </w:r>
      <w:r>
        <w:t xml:space="preserve"> Het moment van realisatie van vrije kasstromen vormt bij uitkering geen begrenzing. Zo kan in de vorm van externe financiering tijd worden overbrugd om toekomstige kasstromen naar het heden te halen en worden uitbetaald aan de eigen vermogensverschaffers. </w:t>
      </w:r>
    </w:p>
  </w:footnote>
  <w:footnote w:id="7">
    <w:p w:rsidR="005217AD" w:rsidRDefault="005217AD">
      <w:pPr>
        <w:pStyle w:val="FootnoteText"/>
      </w:pPr>
      <w:r>
        <w:rPr>
          <w:rStyle w:val="FootnoteReference"/>
        </w:rPr>
        <w:footnoteRef/>
      </w:r>
      <w:r>
        <w:t xml:space="preserve"> Een belegger kan, in het geval van dividenduitkering, het dividend wederom beleggen in aandelen. Dit geldt ook andersom; als geld wordt aangehouden, of er vindt een aandelen terugkoop plaats, dan kan er een percentage aan aandelen verkocht worden. De opbrengst van deze verkochte aandelen is dan een zelf gecreëerd dividend. </w:t>
      </w:r>
    </w:p>
    <w:p w:rsidR="005217AD" w:rsidRDefault="005217AD">
      <w:pPr>
        <w:pStyle w:val="FootnoteText"/>
      </w:pPr>
    </w:p>
  </w:footnote>
  <w:footnote w:id="8">
    <w:p w:rsidR="005217AD" w:rsidRDefault="005217AD">
      <w:pPr>
        <w:pStyle w:val="FootnoteText"/>
      </w:pPr>
      <w:r>
        <w:rPr>
          <w:rStyle w:val="FootnoteReference"/>
        </w:rPr>
        <w:footnoteRef/>
      </w:r>
      <w:r>
        <w:t xml:space="preserve"> Bij verdiscontering wordt een prijs voor een investering bepaald aan de hand van het risico, dat wordt gelopen bij deze investering. Een onderneming is opgebouwd aan de hand van deze investeringen. Hierbij is ook het, vrijwel risicoloos, aanhouden van geld op de bank opgenomen. Uitbetaling van kasgeld en/</w:t>
      </w:r>
      <w:r w:rsidRPr="0018408E">
        <w:t>of aantrekken</w:t>
      </w:r>
      <w:r>
        <w:t xml:space="preserve"> vreemd vermogen verschuift slechts het risico. Toekomstige kasstromen blijven gelijk en zijn in de ogen van de belegger ook niet meer waard geworden. Ze zijn al verdisconteerd naar het heden.</w:t>
      </w:r>
    </w:p>
  </w:footnote>
  <w:footnote w:id="9">
    <w:p w:rsidR="005217AD" w:rsidRDefault="005217AD" w:rsidP="00CC1F14">
      <w:pPr>
        <w:pStyle w:val="FootnoteText"/>
      </w:pPr>
      <w:r>
        <w:rPr>
          <w:rStyle w:val="FootnoteReference"/>
        </w:rPr>
        <w:footnoteRef/>
      </w:r>
      <w:r>
        <w:t xml:space="preserve"> Eigen vermogen wordt verschaft door aandeelhouders en wordt door de markt gewaardeerd. Een aanspraak maken op nieuw eigen vermogen kan mogelijk niet goed worden opgevangen worden door de markt. Hoewel dit niet zo hoeft te zijn, zijn andere vormen van financiering een veiligere keuze. Dit vanuit de gedachte dat het oordeel over het management en de hiermee gepaarde beloning geveld wordt door de aandeelhouders. </w:t>
      </w:r>
    </w:p>
    <w:p w:rsidR="005217AD" w:rsidRDefault="005217AD" w:rsidP="00CC1F14">
      <w:pPr>
        <w:pStyle w:val="FootnoteText"/>
      </w:pPr>
    </w:p>
  </w:footnote>
  <w:footnote w:id="10">
    <w:p w:rsidR="005217AD" w:rsidRDefault="005217AD" w:rsidP="00CC1F14">
      <w:pPr>
        <w:pStyle w:val="FootnoteText"/>
      </w:pPr>
      <w:r>
        <w:rPr>
          <w:rStyle w:val="FootnoteReference"/>
        </w:rPr>
        <w:footnoteRef/>
      </w:r>
      <w:r>
        <w:t xml:space="preserve"> Zo kan het management beloond worden op basis van de omzet. Een hogere omzet hoeft echter niet te betekenen dat er meer aandeelhouderswaarde wordt gecreëerd. Daarnaast is de tijdshorizon waarover het management de waarde van de onderneming maximaliseert van invloed. Verscheidene beloningssystemen belonen op basis van realisatie en niet op basis van waardemaximalisatie</w:t>
      </w:r>
      <w:r>
        <w:rPr>
          <w:noProof/>
        </w:rPr>
        <w:t xml:space="preserve"> (Shefrin 2001)</w:t>
      </w:r>
      <w:r>
        <w:t>.</w:t>
      </w:r>
    </w:p>
    <w:p w:rsidR="005217AD" w:rsidRDefault="005217AD" w:rsidP="00CC1F14">
      <w:pPr>
        <w:pStyle w:val="FootnoteText"/>
      </w:pPr>
    </w:p>
  </w:footnote>
  <w:footnote w:id="11">
    <w:p w:rsidR="005217AD" w:rsidRDefault="005217AD" w:rsidP="00324BEA">
      <w:pPr>
        <w:pStyle w:val="FootnoteText"/>
      </w:pPr>
      <w:r>
        <w:rPr>
          <w:rStyle w:val="FootnoteReference"/>
        </w:rPr>
        <w:footnoteRef/>
      </w:r>
      <w:r>
        <w:t xml:space="preserve"> De pecking-order theorie stelt dat financiering, op basis van aangehouden kasgeld, de relatief goedkoopste vorm is van financieren. Het is minder afhankelijk van de waardering van de markt en kent weinig risico in vergelijking met het aantrekken van extern vermogen. Het is niet verstandig om interne financiering te bemoeilijken door uitkering van kasgeld. Er zou dan relatief meer extern vermogen moeten worden aangetrokken.</w:t>
      </w:r>
    </w:p>
  </w:footnote>
  <w:footnote w:id="12">
    <w:p w:rsidR="005217AD" w:rsidRPr="0075540B" w:rsidRDefault="005217AD">
      <w:pPr>
        <w:pStyle w:val="FootnoteText"/>
        <w:rPr>
          <w:lang w:val="en-US"/>
        </w:rPr>
      </w:pPr>
      <w:r>
        <w:rPr>
          <w:rStyle w:val="FootnoteReference"/>
        </w:rPr>
        <w:footnoteRef/>
      </w:r>
      <w:r w:rsidRPr="0075540B">
        <w:rPr>
          <w:lang w:val="en-US"/>
        </w:rPr>
        <w:t xml:space="preserve"> </w:t>
      </w:r>
      <w:r w:rsidRPr="0075540B">
        <w:rPr>
          <w:lang w:val="en-US"/>
        </w:rPr>
        <w:tab/>
      </w:r>
      <w:r w:rsidRPr="00391DC1">
        <w:rPr>
          <w:lang w:eastAsia="nl-NL"/>
        </w:rPr>
        <w:t>β</w:t>
      </w:r>
      <w:r w:rsidRPr="0075540B">
        <w:rPr>
          <w:vertAlign w:val="subscript"/>
          <w:lang w:val="en-US"/>
        </w:rPr>
        <w:t xml:space="preserve">Activa </w:t>
      </w:r>
      <w:r w:rsidRPr="0075540B">
        <w:rPr>
          <w:lang w:val="en-US"/>
        </w:rPr>
        <w:t xml:space="preserve">= </w:t>
      </w:r>
      <w:r w:rsidRPr="00391DC1">
        <w:rPr>
          <w:lang w:eastAsia="nl-NL"/>
        </w:rPr>
        <w:t>β</w:t>
      </w:r>
      <w:r w:rsidRPr="0075540B">
        <w:rPr>
          <w:vertAlign w:val="subscript"/>
          <w:lang w:val="en-US"/>
        </w:rPr>
        <w:t xml:space="preserve"> EV </w:t>
      </w:r>
      <w:r w:rsidRPr="0075540B">
        <w:rPr>
          <w:lang w:val="en-US"/>
        </w:rPr>
        <w:t>= (500/1000)*1,6 + (400/1000)*2,5 + (100/1000)*0 = 1,8</w:t>
      </w:r>
    </w:p>
    <w:p w:rsidR="005217AD" w:rsidRDefault="005217AD">
      <w:pPr>
        <w:pStyle w:val="FootnoteText"/>
      </w:pPr>
      <w:r w:rsidRPr="0075540B">
        <w:rPr>
          <w:lang w:val="en-US"/>
        </w:rPr>
        <w:tab/>
        <w:t>R</w:t>
      </w:r>
      <w:r w:rsidRPr="0075540B">
        <w:rPr>
          <w:vertAlign w:val="subscript"/>
          <w:lang w:val="en-US"/>
        </w:rPr>
        <w:t>EV</w:t>
      </w:r>
      <w:r w:rsidRPr="0075540B">
        <w:rPr>
          <w:lang w:val="en-US"/>
        </w:rPr>
        <w:t xml:space="preserve"> = 5% + 1,8*(8%-5%) = 10,4%</w:t>
      </w:r>
    </w:p>
  </w:footnote>
  <w:footnote w:id="13">
    <w:p w:rsidR="005217AD" w:rsidRPr="0075540B" w:rsidRDefault="005217AD" w:rsidP="00021510">
      <w:pPr>
        <w:pStyle w:val="FootnoteText"/>
        <w:rPr>
          <w:lang w:val="en-US"/>
        </w:rPr>
      </w:pPr>
      <w:r>
        <w:rPr>
          <w:rStyle w:val="FootnoteReference"/>
        </w:rPr>
        <w:footnoteRef/>
      </w:r>
      <w:r w:rsidRPr="0075540B">
        <w:rPr>
          <w:lang w:val="en-US"/>
        </w:rPr>
        <w:t xml:space="preserve"> </w:t>
      </w:r>
      <w:r w:rsidRPr="0075540B">
        <w:rPr>
          <w:lang w:val="en-US"/>
        </w:rPr>
        <w:tab/>
      </w:r>
      <w:r w:rsidRPr="00391DC1">
        <w:rPr>
          <w:lang w:eastAsia="nl-NL"/>
        </w:rPr>
        <w:t>β</w:t>
      </w:r>
      <w:r w:rsidRPr="0075540B">
        <w:rPr>
          <w:vertAlign w:val="subscript"/>
          <w:lang w:val="en-US"/>
        </w:rPr>
        <w:t xml:space="preserve">Activa </w:t>
      </w:r>
      <w:r w:rsidRPr="0075540B">
        <w:rPr>
          <w:lang w:val="en-US"/>
        </w:rPr>
        <w:t xml:space="preserve">= </w:t>
      </w:r>
      <w:r w:rsidRPr="00391DC1">
        <w:rPr>
          <w:lang w:eastAsia="nl-NL"/>
        </w:rPr>
        <w:t>β</w:t>
      </w:r>
      <w:r w:rsidRPr="0075540B">
        <w:rPr>
          <w:vertAlign w:val="subscript"/>
          <w:lang w:val="en-US"/>
        </w:rPr>
        <w:t xml:space="preserve"> EV </w:t>
      </w:r>
      <w:r w:rsidRPr="0075540B">
        <w:rPr>
          <w:lang w:val="en-US"/>
        </w:rPr>
        <w:t>= (500/1000)*1,6 + (400/1000)*2,5   = 2</w:t>
      </w:r>
    </w:p>
    <w:p w:rsidR="005217AD" w:rsidRDefault="005217AD" w:rsidP="00021510">
      <w:pPr>
        <w:pStyle w:val="FootnoteText"/>
      </w:pPr>
      <w:r w:rsidRPr="0075540B">
        <w:rPr>
          <w:lang w:val="en-US"/>
        </w:rPr>
        <w:tab/>
      </w:r>
      <w:r>
        <w:t>R</w:t>
      </w:r>
      <w:r>
        <w:rPr>
          <w:vertAlign w:val="subscript"/>
        </w:rPr>
        <w:t>EV</w:t>
      </w:r>
      <w:r>
        <w:t xml:space="preserve"> = 5% + 2*(8%-5%) = 11%</w:t>
      </w:r>
    </w:p>
  </w:footnote>
  <w:footnote w:id="14">
    <w:p w:rsidR="005217AD" w:rsidRDefault="005217AD">
      <w:pPr>
        <w:pStyle w:val="FootnoteText"/>
      </w:pPr>
      <w:r>
        <w:rPr>
          <w:rStyle w:val="FootnoteReference"/>
        </w:rPr>
        <w:footnoteRef/>
      </w:r>
      <w:r>
        <w:t xml:space="preserve"> Het gaat hier om de periode 1 januari 2005 tot en met begin 2010. Het onderzoek is gericht op de recente marktreactie. Informatie hoeft echter niet per onderneming beschikbaar te zijn over deze periode. De marktreactie bij de gebeurtenis is van belang. Hiervoor is het hiervoor genoemde geen vereiste.</w:t>
      </w:r>
    </w:p>
    <w:p w:rsidR="005217AD" w:rsidRDefault="005217AD">
      <w:pPr>
        <w:pStyle w:val="FootnoteText"/>
      </w:pPr>
    </w:p>
  </w:footnote>
  <w:footnote w:id="15">
    <w:p w:rsidR="005217AD" w:rsidRDefault="005217AD">
      <w:pPr>
        <w:pStyle w:val="FootnoteText"/>
      </w:pPr>
      <w:r>
        <w:rPr>
          <w:rStyle w:val="FootnoteReference"/>
        </w:rPr>
        <w:footnoteRef/>
      </w:r>
      <w:r>
        <w:t xml:space="preserve"> De aanname, dat analisten een goed beeld geven van de daadwerkelijk verwachte uitkering, valt te beredeneren vanuit hun ervaring in deze voorspellingen. Zo kan worden aangenomen, dat deze voorspellingen redelijk overeenkomen met de verwachtingen van investeerders, die zelf schattingen maken, en/of investeerders die zich laten leiden door deze voorspellingen bij het waarderen van een onderneming. Een kanttekening moet worden geplaatst bij de soorten ondernemingen die de interesse hebben van analisten. Zo zullen dit vooral grote, of sterk groeiende ondernemingen zijn. Deze beperking wordt ook al enigszins opgelegd door de begrenzing van het beursgenoteerd zijn. Dit zullen bedrijven zijn met dezelfde karakteristieken. </w:t>
      </w:r>
    </w:p>
    <w:p w:rsidR="005217AD" w:rsidRDefault="005217AD">
      <w:pPr>
        <w:pStyle w:val="FootnoteText"/>
      </w:pPr>
    </w:p>
  </w:footnote>
  <w:footnote w:id="16">
    <w:p w:rsidR="005217AD" w:rsidRDefault="005217AD">
      <w:pPr>
        <w:pStyle w:val="FootnoteText"/>
      </w:pPr>
      <w:r>
        <w:rPr>
          <w:rStyle w:val="FootnoteReference"/>
        </w:rPr>
        <w:footnoteRef/>
      </w:r>
      <w:r w:rsidRPr="004933A2">
        <w:t xml:space="preserve"> </w:t>
      </w:r>
      <w:r>
        <w:t xml:space="preserve">De </w:t>
      </w:r>
      <w:r w:rsidRPr="004933A2">
        <w:t>I/B/E/S dataset is gecreëerd al</w:t>
      </w:r>
      <w:r>
        <w:t xml:space="preserve">s een academisch onderzoeksprogramma. Het omvat voorspellingen van analisten met betrekking tot verscheidene financiële gegevens van ondernemingen, waaronder dividenduitkering. De geleverde data vanuit dit programma kan als betrouwbaar worden verondersteld vanwege de acceptatie van de wetenschappelijke wereld. Zo zijn er vele publicaties in verscheidene, hoog aangeschreven bladen, als de Journal of Finance, de Journal of Accounting Research, etc., die van deze dataset gebruik hebben gemaakt. </w:t>
      </w:r>
    </w:p>
    <w:p w:rsidR="005217AD" w:rsidRDefault="005217AD">
      <w:pPr>
        <w:pStyle w:val="FootnoteText"/>
      </w:pPr>
    </w:p>
  </w:footnote>
  <w:footnote w:id="17">
    <w:p w:rsidR="005217AD" w:rsidRDefault="005217AD">
      <w:pPr>
        <w:pStyle w:val="FootnoteText"/>
      </w:pPr>
      <w:r>
        <w:rPr>
          <w:rStyle w:val="FootnoteReference"/>
        </w:rPr>
        <w:footnoteRef/>
      </w:r>
      <w:r>
        <w:t xml:space="preserve">Het gaat hier om de datum van aankondiging vanwege het feit, dat de markt een bedrijf waardeert naar de verwachting van de waarde van deze onderneming. Deze verwachting is gebaseerd op de beschikbare informatie binnen de markt. Aangenomen wordt dat de definitieve informatie vrijkomt bij aankondiging en de markt deze informatie gelijk verwerkt in de prijs van de aandelen. Dit door een mogelijke mutatie in vraag en aanbod.  </w:t>
      </w:r>
    </w:p>
  </w:footnote>
  <w:footnote w:id="18">
    <w:p w:rsidR="005217AD" w:rsidRDefault="005217AD" w:rsidP="00ED12A4">
      <w:pPr>
        <w:pStyle w:val="FootnoteText"/>
      </w:pPr>
      <w:r>
        <w:rPr>
          <w:rStyle w:val="FootnoteReference"/>
        </w:rPr>
        <w:footnoteRef/>
      </w:r>
      <w:r>
        <w:t xml:space="preserve"> Abnormaal in de zin van onverwacht. Het gaat hier om mutaties in de prijs van activa, veelal aandelen, die buiten de verwachtingen vallen van wat rationeel de waardering zou moeten zijn op een bepaald tijdsinterval. </w:t>
      </w:r>
    </w:p>
    <w:p w:rsidR="005217AD" w:rsidRDefault="005217AD" w:rsidP="00ED12A4">
      <w:pPr>
        <w:pStyle w:val="FootnoteText"/>
      </w:pPr>
    </w:p>
  </w:footnote>
  <w:footnote w:id="19">
    <w:p w:rsidR="005217AD" w:rsidRDefault="005217AD">
      <w:pPr>
        <w:pStyle w:val="FootnoteText"/>
      </w:pPr>
      <w:r>
        <w:rPr>
          <w:rStyle w:val="FootnoteReference"/>
        </w:rPr>
        <w:footnoteRef/>
      </w:r>
      <w:r>
        <w:t xml:space="preserve"> Dit vanwege enige inaccuratie die kan spelen tussen verwachtingen van analisten en de markt. Opgemerkt moet worden dat de benaming positief, geen en negatief slaan op de afwijking van de verwachting. Het is geenszins een suggestie voor de marktreactie. </w:t>
      </w:r>
    </w:p>
  </w:footnote>
  <w:footnote w:id="20">
    <w:p w:rsidR="005217AD" w:rsidRDefault="005217AD">
      <w:pPr>
        <w:pStyle w:val="FootnoteText"/>
      </w:pPr>
      <w:r>
        <w:rPr>
          <w:rStyle w:val="FootnoteReference"/>
        </w:rPr>
        <w:footnoteRef/>
      </w:r>
      <w:r>
        <w:t xml:space="preserve">  Verwacht wordt dat positief abnormaal dividend een andere reactie voortbrengt binnen de markt, dan negatief abnormaal dividend. </w:t>
      </w:r>
    </w:p>
  </w:footnote>
  <w:footnote w:id="21">
    <w:p w:rsidR="005217AD" w:rsidRDefault="005217AD">
      <w:pPr>
        <w:pStyle w:val="FootnoteText"/>
      </w:pPr>
      <w:r>
        <w:rPr>
          <w:rStyle w:val="FootnoteReference"/>
        </w:rPr>
        <w:footnoteRef/>
      </w:r>
      <w:r>
        <w:t xml:space="preserve"> Het kapitaal activa prijs model (CAPM) kan gebruikt worden om de waarde van activa te schatten. De mogelijkheid dient zich ook aan om een portfolio van activa te waarderen. Een voorbeeld van zo’n portfolio is een onderneming die, vanuit de markt gezien, enkel waarde heeft door zijn activiteiten en de daarvoor benodigde (im)materiële activa. Voor meer informatie betreffende het CAPM zie Sharpe </w:t>
      </w:r>
      <w:r>
        <w:rPr>
          <w:noProof/>
        </w:rPr>
        <w:t>(1964)</w:t>
      </w:r>
      <w:r>
        <w:t xml:space="preserve"> . De variatie ligt in het gebruik van de risicovrije voet bij het CAPM-model en de impliciete assumptie dat deze gevangen wordt in </w:t>
      </w:r>
      <w:r w:rsidRPr="00FD201F">
        <w:rPr>
          <w:kern w:val="0"/>
          <w:szCs w:val="24"/>
          <w:lang w:eastAsia="nl-NL"/>
        </w:rPr>
        <w:t>α</w:t>
      </w:r>
      <w:r>
        <w:rPr>
          <w:kern w:val="0"/>
          <w:szCs w:val="24"/>
          <w:lang w:eastAsia="nl-NL"/>
        </w:rPr>
        <w:t xml:space="preserve"> in het gebruikte model. Deze variant staat ook wel bekend als het marktmodel.</w:t>
      </w:r>
    </w:p>
    <w:p w:rsidR="005217AD" w:rsidRDefault="005217AD">
      <w:pPr>
        <w:pStyle w:val="FootnoteText"/>
      </w:pPr>
    </w:p>
  </w:footnote>
  <w:footnote w:id="22">
    <w:p w:rsidR="005217AD" w:rsidRDefault="005217AD">
      <w:pPr>
        <w:pStyle w:val="FootnoteText"/>
      </w:pPr>
      <w:r>
        <w:rPr>
          <w:rStyle w:val="FootnoteReference"/>
        </w:rPr>
        <w:footnoteRef/>
      </w:r>
      <w:r>
        <w:t xml:space="preserve"> Een willekeurige onderneming binnen de steekproef kent meerdere dividendaankondigingen, ook wel gebeurtenissen.</w:t>
      </w:r>
    </w:p>
    <w:p w:rsidR="005217AD" w:rsidRDefault="005217AD">
      <w:pPr>
        <w:pStyle w:val="FootnoteText"/>
      </w:pPr>
    </w:p>
  </w:footnote>
  <w:footnote w:id="23">
    <w:p w:rsidR="005217AD" w:rsidRDefault="005217AD" w:rsidP="00ED2F2B">
      <w:pPr>
        <w:pStyle w:val="FootnoteText"/>
      </w:pPr>
      <w:r>
        <w:rPr>
          <w:rStyle w:val="FootnoteReference"/>
        </w:rPr>
        <w:footnoteRef/>
      </w:r>
      <w:r>
        <w:t xml:space="preserve"> Naar de theorie van het CAPM-model kenmerkt het risico, dat wordt gelopen bij investering in een onderneming, zich in een systematisch en individueel deel. Blootstelling aan individueel risico is diversifieerbaar bij portfoliovorming. Systematisch risico kent dit echter niet en wordt dientengevolge geprijsd. De waardering van dit risico wordt gevangen door het rendement op de marktportfolio (Rm), die theoretisch alle aandelen omvat en waaruit al het individueel risico is weg gediversifieerd, op moment </w:t>
      </w:r>
      <w:r>
        <w:rPr>
          <w:kern w:val="0"/>
          <w:szCs w:val="24"/>
          <w:lang w:eastAsia="nl-NL"/>
        </w:rPr>
        <w:t>t</w:t>
      </w:r>
      <w:r>
        <w:t>.</w:t>
      </w:r>
    </w:p>
    <w:p w:rsidR="005217AD" w:rsidRDefault="005217AD" w:rsidP="00ED2F2B">
      <w:pPr>
        <w:pStyle w:val="FootnoteText"/>
      </w:pPr>
    </w:p>
  </w:footnote>
  <w:footnote w:id="24">
    <w:p w:rsidR="005217AD" w:rsidRDefault="005217AD" w:rsidP="00A475AB">
      <w:pPr>
        <w:pStyle w:val="FootnoteText"/>
      </w:pPr>
      <w:r>
        <w:rPr>
          <w:rStyle w:val="FootnoteReference"/>
        </w:rPr>
        <w:footnoteRef/>
      </w:r>
      <w:r>
        <w:t xml:space="preserve"> Het interval is recent, twee maanden voor de gebeurtenis. Het beslaat een periode die noch te kort, noch te lang is. Een korte periode kent een hoge gevoeligheid voor uitzonderingen. Lange periodes gaan voorbij aan veranderingen in bedrijfsveranderingen en mutaties in de risicoportfolio van een onderneming.</w:t>
      </w:r>
    </w:p>
    <w:p w:rsidR="005217AD" w:rsidRDefault="005217AD" w:rsidP="00A475AB">
      <w:pPr>
        <w:pStyle w:val="FootnoteText"/>
      </w:pPr>
    </w:p>
  </w:footnote>
  <w:footnote w:id="25">
    <w:p w:rsidR="005217AD" w:rsidRDefault="005217AD">
      <w:pPr>
        <w:pStyle w:val="FootnoteText"/>
        <w:rPr>
          <w:kern w:val="0"/>
          <w:lang w:eastAsia="nl-NL"/>
        </w:rPr>
      </w:pPr>
      <w:r>
        <w:rPr>
          <w:rStyle w:val="FootnoteReference"/>
        </w:rPr>
        <w:footnoteRef/>
      </w:r>
      <w:r>
        <w:t xml:space="preserve"> Normaal verwacht, als geschat door de regressie </w:t>
      </w:r>
      <w:r>
        <w:fldChar w:fldCharType="begin"/>
      </w:r>
      <w:r>
        <w:instrText xml:space="preserve"> REF _Ref264289790 \n \h </w:instrText>
      </w:r>
      <w:r>
        <w:fldChar w:fldCharType="separate"/>
      </w:r>
      <w:r>
        <w:t>(2)</w:t>
      </w:r>
      <w:r>
        <w:fldChar w:fldCharType="end"/>
      </w:r>
      <w:r>
        <w:t xml:space="preserve">. Deze wordt gerepresenteerd in de vorm van </w:t>
      </w:r>
      <w:r>
        <w:rPr>
          <w:kern w:val="0"/>
          <w:lang w:eastAsia="nl-NL"/>
        </w:rPr>
        <w:t>E(R</w:t>
      </w:r>
      <w:r w:rsidRPr="00020658">
        <w:rPr>
          <w:kern w:val="0"/>
          <w:vertAlign w:val="subscript"/>
          <w:lang w:eastAsia="nl-NL"/>
        </w:rPr>
        <w:t>it</w:t>
      </w:r>
      <w:r>
        <w:rPr>
          <w:kern w:val="0"/>
          <w:lang w:eastAsia="nl-NL"/>
        </w:rPr>
        <w:t>).</w:t>
      </w:r>
    </w:p>
    <w:p w:rsidR="005217AD" w:rsidRDefault="005217AD">
      <w:pPr>
        <w:pStyle w:val="FootnoteText"/>
      </w:pPr>
    </w:p>
  </w:footnote>
  <w:footnote w:id="26">
    <w:p w:rsidR="005217AD" w:rsidRDefault="005217AD" w:rsidP="00D605A7">
      <w:pPr>
        <w:pStyle w:val="FootnoteText"/>
      </w:pPr>
      <w:r>
        <w:rPr>
          <w:rStyle w:val="FootnoteReference"/>
        </w:rPr>
        <w:footnoteRef/>
      </w:r>
      <w:r>
        <w:t xml:space="preserve"> Met dank aan het Erasmus Service Data Team (ESDT).  </w:t>
      </w:r>
    </w:p>
    <w:p w:rsidR="005217AD" w:rsidRDefault="005217AD" w:rsidP="00D605A7">
      <w:pPr>
        <w:pStyle w:val="FootnoteText"/>
      </w:pPr>
    </w:p>
  </w:footnote>
  <w:footnote w:id="27">
    <w:p w:rsidR="005217AD" w:rsidRDefault="005217AD">
      <w:pPr>
        <w:pStyle w:val="FootnoteText"/>
      </w:pPr>
      <w:r>
        <w:rPr>
          <w:rStyle w:val="FootnoteReference"/>
        </w:rPr>
        <w:footnoteRef/>
      </w:r>
      <w:r>
        <w:t xml:space="preserve"> Deze valt in de pre aankondigingperiode, die onderzocht gaat worden. De keuze is naar deze periode gegaan vanwege een mogelijke bias bij overlapping.  </w:t>
      </w:r>
    </w:p>
    <w:p w:rsidR="005217AD" w:rsidRDefault="005217AD">
      <w:pPr>
        <w:pStyle w:val="FootnoteText"/>
      </w:pPr>
    </w:p>
  </w:footnote>
  <w:footnote w:id="28">
    <w:p w:rsidR="005217AD" w:rsidRDefault="005217AD">
      <w:pPr>
        <w:pStyle w:val="FootnoteText"/>
      </w:pPr>
      <w:r>
        <w:rPr>
          <w:rStyle w:val="FootnoteReference"/>
        </w:rPr>
        <w:footnoteRef/>
      </w:r>
      <w:r>
        <w:t xml:space="preserve">Zoals in voorgaande paragrafen uitgelegd kenmerken de abnormale rendementen zich als de residuen uit de regressie, met als onafhankelijke variabele het normale rendement. </w:t>
      </w:r>
    </w:p>
    <w:p w:rsidR="005217AD" w:rsidRDefault="005217AD">
      <w:pPr>
        <w:pStyle w:val="FootnoteText"/>
      </w:pPr>
    </w:p>
  </w:footnote>
  <w:footnote w:id="29">
    <w:p w:rsidR="005217AD" w:rsidRDefault="005217AD">
      <w:pPr>
        <w:pStyle w:val="FootnoteText"/>
      </w:pPr>
      <w:r>
        <w:rPr>
          <w:rStyle w:val="FootnoteReference"/>
        </w:rPr>
        <w:footnoteRef/>
      </w:r>
      <w:r>
        <w:t xml:space="preserve"> Met T-waarden ver boven de 2. Wat grofweg de grens is voor een significantie onder de 5%.</w:t>
      </w:r>
    </w:p>
    <w:p w:rsidR="005217AD" w:rsidRDefault="005217AD">
      <w:pPr>
        <w:pStyle w:val="FootnoteText"/>
      </w:pPr>
    </w:p>
  </w:footnote>
  <w:footnote w:id="30">
    <w:p w:rsidR="005217AD" w:rsidRDefault="005217AD">
      <w:pPr>
        <w:pStyle w:val="FootnoteText"/>
      </w:pPr>
      <w:r>
        <w:rPr>
          <w:rStyle w:val="FootnoteReference"/>
        </w:rPr>
        <w:footnoteRef/>
      </w:r>
      <w:r>
        <w:t xml:space="preserve"> Positief voor ondernemingen die geen tot positief abnormaal dividend uitkeren en voor ondernemingen die negatief voor negatief dividend.</w:t>
      </w:r>
    </w:p>
    <w:p w:rsidR="005217AD" w:rsidRDefault="005217AD">
      <w:pPr>
        <w:pStyle w:val="FootnoteText"/>
      </w:pPr>
    </w:p>
  </w:footnote>
  <w:footnote w:id="31">
    <w:p w:rsidR="005217AD" w:rsidRDefault="005217AD">
      <w:pPr>
        <w:pStyle w:val="FootnoteText"/>
      </w:pPr>
      <w:r>
        <w:rPr>
          <w:rStyle w:val="FootnoteReference"/>
        </w:rPr>
        <w:footnoteRef/>
      </w:r>
      <w:r>
        <w:t xml:space="preserve">Een onderneming die normaliter relatief weinig dividend uitkeert, zal ook deze verwachting scheppen. De afwijking in realiteit is hiervoor geen perfecte substituut. Vandaar de keuze voor verwachtingen van analisten, als representatief voor de markt.  </w:t>
      </w:r>
    </w:p>
  </w:footnote>
  <w:footnote w:id="32">
    <w:p w:rsidR="005217AD" w:rsidRDefault="005217AD">
      <w:pPr>
        <w:pStyle w:val="FootnoteText"/>
      </w:pPr>
      <w:r>
        <w:rPr>
          <w:rStyle w:val="FootnoteReference"/>
        </w:rPr>
        <w:footnoteRef/>
      </w:r>
      <w:r>
        <w:t xml:space="preserve"> Als er sprake is van statistische significantie. Dan zal deze van weinig betekenis zijn, als er weinig invloed wordt uitgeoefend. Economische significantie is een subjectieve maatstaf, die uitspraak doet over de mate van invloed.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46F90"/>
    <w:multiLevelType w:val="hybridMultilevel"/>
    <w:tmpl w:val="6E1C9AEA"/>
    <w:lvl w:ilvl="0" w:tplc="0413000F">
      <w:start w:val="1"/>
      <w:numFmt w:val="decimal"/>
      <w:lvlText w:val="%1."/>
      <w:lvlJc w:val="left"/>
      <w:pPr>
        <w:ind w:left="36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153B2469"/>
    <w:multiLevelType w:val="hybridMultilevel"/>
    <w:tmpl w:val="0B1A3C4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
    <w:nsid w:val="164A3B4F"/>
    <w:multiLevelType w:val="hybridMultilevel"/>
    <w:tmpl w:val="EE24983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
    <w:nsid w:val="19737EE6"/>
    <w:multiLevelType w:val="hybridMultilevel"/>
    <w:tmpl w:val="3C4CACA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
    <w:nsid w:val="1C0524E0"/>
    <w:multiLevelType w:val="hybridMultilevel"/>
    <w:tmpl w:val="E2743DF4"/>
    <w:lvl w:ilvl="0" w:tplc="0413000F">
      <w:start w:val="1"/>
      <w:numFmt w:val="decimal"/>
      <w:lvlText w:val="%1."/>
      <w:lvlJc w:val="left"/>
      <w:pPr>
        <w:ind w:left="1080" w:hanging="360"/>
      </w:pPr>
      <w:rPr>
        <w:rFonts w:cs="Times New Roman"/>
      </w:rPr>
    </w:lvl>
    <w:lvl w:ilvl="1" w:tplc="04130019" w:tentative="1">
      <w:start w:val="1"/>
      <w:numFmt w:val="lowerLetter"/>
      <w:lvlText w:val="%2."/>
      <w:lvlJc w:val="left"/>
      <w:pPr>
        <w:ind w:left="1800" w:hanging="360"/>
      </w:pPr>
      <w:rPr>
        <w:rFonts w:cs="Times New Roman"/>
      </w:rPr>
    </w:lvl>
    <w:lvl w:ilvl="2" w:tplc="0413001B" w:tentative="1">
      <w:start w:val="1"/>
      <w:numFmt w:val="lowerRoman"/>
      <w:lvlText w:val="%3."/>
      <w:lvlJc w:val="right"/>
      <w:pPr>
        <w:ind w:left="2520" w:hanging="180"/>
      </w:pPr>
      <w:rPr>
        <w:rFonts w:cs="Times New Roman"/>
      </w:rPr>
    </w:lvl>
    <w:lvl w:ilvl="3" w:tplc="0413000F" w:tentative="1">
      <w:start w:val="1"/>
      <w:numFmt w:val="decimal"/>
      <w:lvlText w:val="%4."/>
      <w:lvlJc w:val="left"/>
      <w:pPr>
        <w:ind w:left="3240" w:hanging="360"/>
      </w:pPr>
      <w:rPr>
        <w:rFonts w:cs="Times New Roman"/>
      </w:rPr>
    </w:lvl>
    <w:lvl w:ilvl="4" w:tplc="04130019" w:tentative="1">
      <w:start w:val="1"/>
      <w:numFmt w:val="lowerLetter"/>
      <w:lvlText w:val="%5."/>
      <w:lvlJc w:val="left"/>
      <w:pPr>
        <w:ind w:left="3960" w:hanging="360"/>
      </w:pPr>
      <w:rPr>
        <w:rFonts w:cs="Times New Roman"/>
      </w:rPr>
    </w:lvl>
    <w:lvl w:ilvl="5" w:tplc="0413001B" w:tentative="1">
      <w:start w:val="1"/>
      <w:numFmt w:val="lowerRoman"/>
      <w:lvlText w:val="%6."/>
      <w:lvlJc w:val="right"/>
      <w:pPr>
        <w:ind w:left="4680" w:hanging="180"/>
      </w:pPr>
      <w:rPr>
        <w:rFonts w:cs="Times New Roman"/>
      </w:rPr>
    </w:lvl>
    <w:lvl w:ilvl="6" w:tplc="0413000F" w:tentative="1">
      <w:start w:val="1"/>
      <w:numFmt w:val="decimal"/>
      <w:lvlText w:val="%7."/>
      <w:lvlJc w:val="left"/>
      <w:pPr>
        <w:ind w:left="5400" w:hanging="360"/>
      </w:pPr>
      <w:rPr>
        <w:rFonts w:cs="Times New Roman"/>
      </w:rPr>
    </w:lvl>
    <w:lvl w:ilvl="7" w:tplc="04130019" w:tentative="1">
      <w:start w:val="1"/>
      <w:numFmt w:val="lowerLetter"/>
      <w:lvlText w:val="%8."/>
      <w:lvlJc w:val="left"/>
      <w:pPr>
        <w:ind w:left="6120" w:hanging="360"/>
      </w:pPr>
      <w:rPr>
        <w:rFonts w:cs="Times New Roman"/>
      </w:rPr>
    </w:lvl>
    <w:lvl w:ilvl="8" w:tplc="0413001B" w:tentative="1">
      <w:start w:val="1"/>
      <w:numFmt w:val="lowerRoman"/>
      <w:lvlText w:val="%9."/>
      <w:lvlJc w:val="right"/>
      <w:pPr>
        <w:ind w:left="6840" w:hanging="180"/>
      </w:pPr>
      <w:rPr>
        <w:rFonts w:cs="Times New Roman"/>
      </w:rPr>
    </w:lvl>
  </w:abstractNum>
  <w:abstractNum w:abstractNumId="5">
    <w:nsid w:val="206202C3"/>
    <w:multiLevelType w:val="hybridMultilevel"/>
    <w:tmpl w:val="39F625BE"/>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22472962"/>
    <w:multiLevelType w:val="hybridMultilevel"/>
    <w:tmpl w:val="9E70D448"/>
    <w:lvl w:ilvl="0" w:tplc="D81EAE54">
      <w:start w:val="1"/>
      <w:numFmt w:val="decimal"/>
      <w:lvlText w:val="(%1)"/>
      <w:lvlJc w:val="left"/>
      <w:pPr>
        <w:ind w:left="720" w:hanging="360"/>
      </w:pPr>
      <w:rPr>
        <w:rFonts w:ascii="Times New Roman" w:hAnsi="Times New Roman" w:cs="Times New Roman" w:hint="default"/>
        <w:sz w:val="24"/>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7">
    <w:nsid w:val="25531FC1"/>
    <w:multiLevelType w:val="hybridMultilevel"/>
    <w:tmpl w:val="B03C59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8">
    <w:nsid w:val="26152133"/>
    <w:multiLevelType w:val="hybridMultilevel"/>
    <w:tmpl w:val="0AE2C3E4"/>
    <w:lvl w:ilvl="0" w:tplc="D81EAE54">
      <w:start w:val="1"/>
      <w:numFmt w:val="decimal"/>
      <w:lvlText w:val="(%1)"/>
      <w:lvlJc w:val="left"/>
      <w:pPr>
        <w:ind w:left="1260" w:hanging="360"/>
      </w:pPr>
      <w:rPr>
        <w:rFonts w:ascii="Times New Roman" w:hAnsi="Times New Roman" w:cs="Times New Roman" w:hint="default"/>
        <w:sz w:val="24"/>
      </w:rPr>
    </w:lvl>
    <w:lvl w:ilvl="1" w:tplc="04130019" w:tentative="1">
      <w:start w:val="1"/>
      <w:numFmt w:val="lowerLetter"/>
      <w:lvlText w:val="%2."/>
      <w:lvlJc w:val="left"/>
      <w:pPr>
        <w:ind w:left="1980" w:hanging="360"/>
      </w:pPr>
      <w:rPr>
        <w:rFonts w:cs="Times New Roman"/>
      </w:rPr>
    </w:lvl>
    <w:lvl w:ilvl="2" w:tplc="0413001B" w:tentative="1">
      <w:start w:val="1"/>
      <w:numFmt w:val="lowerRoman"/>
      <w:lvlText w:val="%3."/>
      <w:lvlJc w:val="right"/>
      <w:pPr>
        <w:ind w:left="2700" w:hanging="180"/>
      </w:pPr>
      <w:rPr>
        <w:rFonts w:cs="Times New Roman"/>
      </w:rPr>
    </w:lvl>
    <w:lvl w:ilvl="3" w:tplc="0413000F" w:tentative="1">
      <w:start w:val="1"/>
      <w:numFmt w:val="decimal"/>
      <w:lvlText w:val="%4."/>
      <w:lvlJc w:val="left"/>
      <w:pPr>
        <w:ind w:left="3420" w:hanging="360"/>
      </w:pPr>
      <w:rPr>
        <w:rFonts w:cs="Times New Roman"/>
      </w:rPr>
    </w:lvl>
    <w:lvl w:ilvl="4" w:tplc="04130019" w:tentative="1">
      <w:start w:val="1"/>
      <w:numFmt w:val="lowerLetter"/>
      <w:lvlText w:val="%5."/>
      <w:lvlJc w:val="left"/>
      <w:pPr>
        <w:ind w:left="4140" w:hanging="360"/>
      </w:pPr>
      <w:rPr>
        <w:rFonts w:cs="Times New Roman"/>
      </w:rPr>
    </w:lvl>
    <w:lvl w:ilvl="5" w:tplc="0413001B" w:tentative="1">
      <w:start w:val="1"/>
      <w:numFmt w:val="lowerRoman"/>
      <w:lvlText w:val="%6."/>
      <w:lvlJc w:val="right"/>
      <w:pPr>
        <w:ind w:left="4860" w:hanging="180"/>
      </w:pPr>
      <w:rPr>
        <w:rFonts w:cs="Times New Roman"/>
      </w:rPr>
    </w:lvl>
    <w:lvl w:ilvl="6" w:tplc="0413000F" w:tentative="1">
      <w:start w:val="1"/>
      <w:numFmt w:val="decimal"/>
      <w:lvlText w:val="%7."/>
      <w:lvlJc w:val="left"/>
      <w:pPr>
        <w:ind w:left="5580" w:hanging="360"/>
      </w:pPr>
      <w:rPr>
        <w:rFonts w:cs="Times New Roman"/>
      </w:rPr>
    </w:lvl>
    <w:lvl w:ilvl="7" w:tplc="04130019" w:tentative="1">
      <w:start w:val="1"/>
      <w:numFmt w:val="lowerLetter"/>
      <w:lvlText w:val="%8."/>
      <w:lvlJc w:val="left"/>
      <w:pPr>
        <w:ind w:left="6300" w:hanging="360"/>
      </w:pPr>
      <w:rPr>
        <w:rFonts w:cs="Times New Roman"/>
      </w:rPr>
    </w:lvl>
    <w:lvl w:ilvl="8" w:tplc="0413001B" w:tentative="1">
      <w:start w:val="1"/>
      <w:numFmt w:val="lowerRoman"/>
      <w:lvlText w:val="%9."/>
      <w:lvlJc w:val="right"/>
      <w:pPr>
        <w:ind w:left="7020" w:hanging="180"/>
      </w:pPr>
      <w:rPr>
        <w:rFonts w:cs="Times New Roman"/>
      </w:rPr>
    </w:lvl>
  </w:abstractNum>
  <w:abstractNum w:abstractNumId="9">
    <w:nsid w:val="2DB1276A"/>
    <w:multiLevelType w:val="hybridMultilevel"/>
    <w:tmpl w:val="0BE4A210"/>
    <w:lvl w:ilvl="0" w:tplc="0413000F">
      <w:start w:val="5"/>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0">
    <w:nsid w:val="2EF064C6"/>
    <w:multiLevelType w:val="hybridMultilevel"/>
    <w:tmpl w:val="B6A8D35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1">
    <w:nsid w:val="33A61EBF"/>
    <w:multiLevelType w:val="hybridMultilevel"/>
    <w:tmpl w:val="873C7822"/>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2">
    <w:nsid w:val="36837AF9"/>
    <w:multiLevelType w:val="hybridMultilevel"/>
    <w:tmpl w:val="41421468"/>
    <w:lvl w:ilvl="0" w:tplc="D81EAE54">
      <w:start w:val="1"/>
      <w:numFmt w:val="decimal"/>
      <w:lvlText w:val="(%1)"/>
      <w:lvlJc w:val="left"/>
      <w:pPr>
        <w:ind w:left="720" w:hanging="360"/>
      </w:pPr>
      <w:rPr>
        <w:rFonts w:ascii="Times New Roman" w:hAnsi="Times New Roman" w:cs="Times New Roman" w:hint="default"/>
        <w:sz w:val="24"/>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3">
    <w:nsid w:val="3797653B"/>
    <w:multiLevelType w:val="hybridMultilevel"/>
    <w:tmpl w:val="AEC8C0B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4">
    <w:nsid w:val="3B2B2453"/>
    <w:multiLevelType w:val="multilevel"/>
    <w:tmpl w:val="7A847C58"/>
    <w:lvl w:ilvl="0">
      <w:start w:val="2"/>
      <w:numFmt w:val="decimal"/>
      <w:lvlText w:val="%1"/>
      <w:lvlJc w:val="left"/>
      <w:pPr>
        <w:ind w:left="360" w:hanging="36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5">
    <w:nsid w:val="3C93223C"/>
    <w:multiLevelType w:val="hybridMultilevel"/>
    <w:tmpl w:val="83026C90"/>
    <w:lvl w:ilvl="0" w:tplc="0413000F">
      <w:start w:val="1"/>
      <w:numFmt w:val="decimal"/>
      <w:lvlText w:val="%1."/>
      <w:lvlJc w:val="left"/>
      <w:pPr>
        <w:ind w:left="1068" w:hanging="360"/>
      </w:pPr>
      <w:rPr>
        <w:rFonts w:cs="Times New Roman"/>
      </w:rPr>
    </w:lvl>
    <w:lvl w:ilvl="1" w:tplc="04130019" w:tentative="1">
      <w:start w:val="1"/>
      <w:numFmt w:val="lowerLetter"/>
      <w:lvlText w:val="%2."/>
      <w:lvlJc w:val="left"/>
      <w:pPr>
        <w:ind w:left="1788" w:hanging="360"/>
      </w:pPr>
      <w:rPr>
        <w:rFonts w:cs="Times New Roman"/>
      </w:rPr>
    </w:lvl>
    <w:lvl w:ilvl="2" w:tplc="0413001B" w:tentative="1">
      <w:start w:val="1"/>
      <w:numFmt w:val="lowerRoman"/>
      <w:lvlText w:val="%3."/>
      <w:lvlJc w:val="right"/>
      <w:pPr>
        <w:ind w:left="2508" w:hanging="180"/>
      </w:pPr>
      <w:rPr>
        <w:rFonts w:cs="Times New Roman"/>
      </w:rPr>
    </w:lvl>
    <w:lvl w:ilvl="3" w:tplc="0413000F" w:tentative="1">
      <w:start w:val="1"/>
      <w:numFmt w:val="decimal"/>
      <w:lvlText w:val="%4."/>
      <w:lvlJc w:val="left"/>
      <w:pPr>
        <w:ind w:left="3228" w:hanging="360"/>
      </w:pPr>
      <w:rPr>
        <w:rFonts w:cs="Times New Roman"/>
      </w:rPr>
    </w:lvl>
    <w:lvl w:ilvl="4" w:tplc="04130019" w:tentative="1">
      <w:start w:val="1"/>
      <w:numFmt w:val="lowerLetter"/>
      <w:lvlText w:val="%5."/>
      <w:lvlJc w:val="left"/>
      <w:pPr>
        <w:ind w:left="3948" w:hanging="360"/>
      </w:pPr>
      <w:rPr>
        <w:rFonts w:cs="Times New Roman"/>
      </w:rPr>
    </w:lvl>
    <w:lvl w:ilvl="5" w:tplc="0413001B" w:tentative="1">
      <w:start w:val="1"/>
      <w:numFmt w:val="lowerRoman"/>
      <w:lvlText w:val="%6."/>
      <w:lvlJc w:val="right"/>
      <w:pPr>
        <w:ind w:left="4668" w:hanging="180"/>
      </w:pPr>
      <w:rPr>
        <w:rFonts w:cs="Times New Roman"/>
      </w:rPr>
    </w:lvl>
    <w:lvl w:ilvl="6" w:tplc="0413000F" w:tentative="1">
      <w:start w:val="1"/>
      <w:numFmt w:val="decimal"/>
      <w:lvlText w:val="%7."/>
      <w:lvlJc w:val="left"/>
      <w:pPr>
        <w:ind w:left="5388" w:hanging="360"/>
      </w:pPr>
      <w:rPr>
        <w:rFonts w:cs="Times New Roman"/>
      </w:rPr>
    </w:lvl>
    <w:lvl w:ilvl="7" w:tplc="04130019" w:tentative="1">
      <w:start w:val="1"/>
      <w:numFmt w:val="lowerLetter"/>
      <w:lvlText w:val="%8."/>
      <w:lvlJc w:val="left"/>
      <w:pPr>
        <w:ind w:left="6108" w:hanging="360"/>
      </w:pPr>
      <w:rPr>
        <w:rFonts w:cs="Times New Roman"/>
      </w:rPr>
    </w:lvl>
    <w:lvl w:ilvl="8" w:tplc="0413001B" w:tentative="1">
      <w:start w:val="1"/>
      <w:numFmt w:val="lowerRoman"/>
      <w:lvlText w:val="%9."/>
      <w:lvlJc w:val="right"/>
      <w:pPr>
        <w:ind w:left="6828" w:hanging="180"/>
      </w:pPr>
      <w:rPr>
        <w:rFonts w:cs="Times New Roman"/>
      </w:rPr>
    </w:lvl>
  </w:abstractNum>
  <w:abstractNum w:abstractNumId="16">
    <w:nsid w:val="479D2454"/>
    <w:multiLevelType w:val="hybridMultilevel"/>
    <w:tmpl w:val="B67A04E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7">
    <w:nsid w:val="49A627EC"/>
    <w:multiLevelType w:val="hybridMultilevel"/>
    <w:tmpl w:val="6F70BA12"/>
    <w:lvl w:ilvl="0" w:tplc="0413000F">
      <w:start w:val="1"/>
      <w:numFmt w:val="decimal"/>
      <w:lvlText w:val="%1."/>
      <w:lvlJc w:val="left"/>
      <w:pPr>
        <w:ind w:left="360" w:hanging="360"/>
      </w:pPr>
      <w:rPr>
        <w:rFonts w:cs="Times New Roman"/>
      </w:rPr>
    </w:lvl>
    <w:lvl w:ilvl="1" w:tplc="04130019" w:tentative="1">
      <w:start w:val="1"/>
      <w:numFmt w:val="lowerLetter"/>
      <w:lvlText w:val="%2."/>
      <w:lvlJc w:val="left"/>
      <w:pPr>
        <w:ind w:left="1080" w:hanging="360"/>
      </w:pPr>
      <w:rPr>
        <w:rFonts w:cs="Times New Roman"/>
      </w:rPr>
    </w:lvl>
    <w:lvl w:ilvl="2" w:tplc="0413001B" w:tentative="1">
      <w:start w:val="1"/>
      <w:numFmt w:val="lowerRoman"/>
      <w:lvlText w:val="%3."/>
      <w:lvlJc w:val="right"/>
      <w:pPr>
        <w:ind w:left="1800" w:hanging="180"/>
      </w:pPr>
      <w:rPr>
        <w:rFonts w:cs="Times New Roman"/>
      </w:rPr>
    </w:lvl>
    <w:lvl w:ilvl="3" w:tplc="0413000F" w:tentative="1">
      <w:start w:val="1"/>
      <w:numFmt w:val="decimal"/>
      <w:lvlText w:val="%4."/>
      <w:lvlJc w:val="left"/>
      <w:pPr>
        <w:ind w:left="2520" w:hanging="360"/>
      </w:pPr>
      <w:rPr>
        <w:rFonts w:cs="Times New Roman"/>
      </w:rPr>
    </w:lvl>
    <w:lvl w:ilvl="4" w:tplc="04130019" w:tentative="1">
      <w:start w:val="1"/>
      <w:numFmt w:val="lowerLetter"/>
      <w:lvlText w:val="%5."/>
      <w:lvlJc w:val="left"/>
      <w:pPr>
        <w:ind w:left="3240" w:hanging="360"/>
      </w:pPr>
      <w:rPr>
        <w:rFonts w:cs="Times New Roman"/>
      </w:rPr>
    </w:lvl>
    <w:lvl w:ilvl="5" w:tplc="0413001B" w:tentative="1">
      <w:start w:val="1"/>
      <w:numFmt w:val="lowerRoman"/>
      <w:lvlText w:val="%6."/>
      <w:lvlJc w:val="right"/>
      <w:pPr>
        <w:ind w:left="3960" w:hanging="180"/>
      </w:pPr>
      <w:rPr>
        <w:rFonts w:cs="Times New Roman"/>
      </w:rPr>
    </w:lvl>
    <w:lvl w:ilvl="6" w:tplc="0413000F" w:tentative="1">
      <w:start w:val="1"/>
      <w:numFmt w:val="decimal"/>
      <w:lvlText w:val="%7."/>
      <w:lvlJc w:val="left"/>
      <w:pPr>
        <w:ind w:left="4680" w:hanging="360"/>
      </w:pPr>
      <w:rPr>
        <w:rFonts w:cs="Times New Roman"/>
      </w:rPr>
    </w:lvl>
    <w:lvl w:ilvl="7" w:tplc="04130019" w:tentative="1">
      <w:start w:val="1"/>
      <w:numFmt w:val="lowerLetter"/>
      <w:lvlText w:val="%8."/>
      <w:lvlJc w:val="left"/>
      <w:pPr>
        <w:ind w:left="5400" w:hanging="360"/>
      </w:pPr>
      <w:rPr>
        <w:rFonts w:cs="Times New Roman"/>
      </w:rPr>
    </w:lvl>
    <w:lvl w:ilvl="8" w:tplc="0413001B" w:tentative="1">
      <w:start w:val="1"/>
      <w:numFmt w:val="lowerRoman"/>
      <w:lvlText w:val="%9."/>
      <w:lvlJc w:val="right"/>
      <w:pPr>
        <w:ind w:left="6120" w:hanging="180"/>
      </w:pPr>
      <w:rPr>
        <w:rFonts w:cs="Times New Roman"/>
      </w:rPr>
    </w:lvl>
  </w:abstractNum>
  <w:abstractNum w:abstractNumId="18">
    <w:nsid w:val="52EF594B"/>
    <w:multiLevelType w:val="hybridMultilevel"/>
    <w:tmpl w:val="F85EC912"/>
    <w:lvl w:ilvl="0" w:tplc="0413000F">
      <w:start w:val="5"/>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9">
    <w:nsid w:val="638D6FBB"/>
    <w:multiLevelType w:val="hybridMultilevel"/>
    <w:tmpl w:val="682862D4"/>
    <w:lvl w:ilvl="0" w:tplc="D81EAE54">
      <w:start w:val="1"/>
      <w:numFmt w:val="decimal"/>
      <w:lvlText w:val="(%1)"/>
      <w:lvlJc w:val="left"/>
      <w:pPr>
        <w:ind w:left="720" w:hanging="360"/>
      </w:pPr>
      <w:rPr>
        <w:rFonts w:ascii="Times New Roman" w:hAnsi="Times New Roman" w:cs="Times New Roman" w:hint="default"/>
        <w:sz w:val="24"/>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0">
    <w:nsid w:val="666E5AD3"/>
    <w:multiLevelType w:val="multilevel"/>
    <w:tmpl w:val="4C68AE68"/>
    <w:lvl w:ilvl="0">
      <w:start w:val="2"/>
      <w:numFmt w:val="decimal"/>
      <w:lvlText w:val="%1"/>
      <w:lvlJc w:val="left"/>
      <w:pPr>
        <w:ind w:left="360" w:hanging="36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1">
    <w:nsid w:val="707A4518"/>
    <w:multiLevelType w:val="hybridMultilevel"/>
    <w:tmpl w:val="C2B4F6C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2">
    <w:nsid w:val="722E1B20"/>
    <w:multiLevelType w:val="hybridMultilevel"/>
    <w:tmpl w:val="AA7283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3">
    <w:nsid w:val="729505D0"/>
    <w:multiLevelType w:val="hybridMultilevel"/>
    <w:tmpl w:val="67E2AE7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nsid w:val="7E376851"/>
    <w:multiLevelType w:val="multilevel"/>
    <w:tmpl w:val="EFBC9156"/>
    <w:lvl w:ilvl="0">
      <w:start w:val="1"/>
      <w:numFmt w:val="decimal"/>
      <w:lvlText w:val="%1"/>
      <w:lvlJc w:val="left"/>
      <w:pPr>
        <w:ind w:left="360" w:hanging="36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5">
    <w:nsid w:val="7F33207E"/>
    <w:multiLevelType w:val="hybridMultilevel"/>
    <w:tmpl w:val="1318E8A4"/>
    <w:lvl w:ilvl="0" w:tplc="0413000F">
      <w:start w:val="5"/>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17"/>
  </w:num>
  <w:num w:numId="2">
    <w:abstractNumId w:val="0"/>
  </w:num>
  <w:num w:numId="3">
    <w:abstractNumId w:val="14"/>
  </w:num>
  <w:num w:numId="4">
    <w:abstractNumId w:val="20"/>
  </w:num>
  <w:num w:numId="5">
    <w:abstractNumId w:val="24"/>
  </w:num>
  <w:num w:numId="6">
    <w:abstractNumId w:val="2"/>
  </w:num>
  <w:num w:numId="7">
    <w:abstractNumId w:val="16"/>
  </w:num>
  <w:num w:numId="8">
    <w:abstractNumId w:val="12"/>
  </w:num>
  <w:num w:numId="9">
    <w:abstractNumId w:val="6"/>
  </w:num>
  <w:num w:numId="10">
    <w:abstractNumId w:val="19"/>
  </w:num>
  <w:num w:numId="11">
    <w:abstractNumId w:val="4"/>
  </w:num>
  <w:num w:numId="12">
    <w:abstractNumId w:val="21"/>
  </w:num>
  <w:num w:numId="13">
    <w:abstractNumId w:val="23"/>
  </w:num>
  <w:num w:numId="14">
    <w:abstractNumId w:val="11"/>
  </w:num>
  <w:num w:numId="15">
    <w:abstractNumId w:val="1"/>
  </w:num>
  <w:num w:numId="16">
    <w:abstractNumId w:val="13"/>
  </w:num>
  <w:num w:numId="17">
    <w:abstractNumId w:val="22"/>
  </w:num>
  <w:num w:numId="18">
    <w:abstractNumId w:val="25"/>
  </w:num>
  <w:num w:numId="19">
    <w:abstractNumId w:val="10"/>
  </w:num>
  <w:num w:numId="20">
    <w:abstractNumId w:val="5"/>
  </w:num>
  <w:num w:numId="21">
    <w:abstractNumId w:val="3"/>
  </w:num>
  <w:num w:numId="22">
    <w:abstractNumId w:val="7"/>
  </w:num>
  <w:num w:numId="23">
    <w:abstractNumId w:val="18"/>
  </w:num>
  <w:num w:numId="24">
    <w:abstractNumId w:val="9"/>
  </w:num>
  <w:num w:numId="25">
    <w:abstractNumId w:val="15"/>
  </w:num>
  <w:num w:numId="2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rawingGridHorizontalSpacing w:val="12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03592"/>
    <w:rsid w:val="00013564"/>
    <w:rsid w:val="00014FC8"/>
    <w:rsid w:val="00016FF8"/>
    <w:rsid w:val="00020658"/>
    <w:rsid w:val="00020937"/>
    <w:rsid w:val="00021510"/>
    <w:rsid w:val="000216E6"/>
    <w:rsid w:val="000243EF"/>
    <w:rsid w:val="0003103A"/>
    <w:rsid w:val="00037F68"/>
    <w:rsid w:val="000416E3"/>
    <w:rsid w:val="00042B46"/>
    <w:rsid w:val="00043A31"/>
    <w:rsid w:val="00045D78"/>
    <w:rsid w:val="00063587"/>
    <w:rsid w:val="0006570F"/>
    <w:rsid w:val="00067237"/>
    <w:rsid w:val="0008225C"/>
    <w:rsid w:val="000853F0"/>
    <w:rsid w:val="0008622B"/>
    <w:rsid w:val="000876F5"/>
    <w:rsid w:val="000A1D02"/>
    <w:rsid w:val="000A2981"/>
    <w:rsid w:val="000A5AA9"/>
    <w:rsid w:val="000D3A2C"/>
    <w:rsid w:val="000D5D07"/>
    <w:rsid w:val="000D7F6C"/>
    <w:rsid w:val="000F6A5F"/>
    <w:rsid w:val="00106DD8"/>
    <w:rsid w:val="001212B7"/>
    <w:rsid w:val="00121EFC"/>
    <w:rsid w:val="0012368A"/>
    <w:rsid w:val="00130182"/>
    <w:rsid w:val="00132E24"/>
    <w:rsid w:val="001339F9"/>
    <w:rsid w:val="00135336"/>
    <w:rsid w:val="001416F9"/>
    <w:rsid w:val="001446B2"/>
    <w:rsid w:val="00146BF4"/>
    <w:rsid w:val="0015119D"/>
    <w:rsid w:val="0015497C"/>
    <w:rsid w:val="00157330"/>
    <w:rsid w:val="00163062"/>
    <w:rsid w:val="0018408E"/>
    <w:rsid w:val="001870CE"/>
    <w:rsid w:val="001914D8"/>
    <w:rsid w:val="00192623"/>
    <w:rsid w:val="00196259"/>
    <w:rsid w:val="001B106A"/>
    <w:rsid w:val="001B35CA"/>
    <w:rsid w:val="001B7AC6"/>
    <w:rsid w:val="001C3B70"/>
    <w:rsid w:val="001D42A9"/>
    <w:rsid w:val="001D493A"/>
    <w:rsid w:val="001D65AF"/>
    <w:rsid w:val="001E08D5"/>
    <w:rsid w:val="001E35F9"/>
    <w:rsid w:val="001E3716"/>
    <w:rsid w:val="001E6EEC"/>
    <w:rsid w:val="001E750E"/>
    <w:rsid w:val="001E7E35"/>
    <w:rsid w:val="001F4C4C"/>
    <w:rsid w:val="001F7A79"/>
    <w:rsid w:val="001F7BFE"/>
    <w:rsid w:val="0020169D"/>
    <w:rsid w:val="0020368F"/>
    <w:rsid w:val="0021048C"/>
    <w:rsid w:val="002108C6"/>
    <w:rsid w:val="00223728"/>
    <w:rsid w:val="00226E76"/>
    <w:rsid w:val="00226F68"/>
    <w:rsid w:val="002305A5"/>
    <w:rsid w:val="00235BE6"/>
    <w:rsid w:val="00237756"/>
    <w:rsid w:val="00240333"/>
    <w:rsid w:val="00240C4B"/>
    <w:rsid w:val="002415D3"/>
    <w:rsid w:val="0024383F"/>
    <w:rsid w:val="00244758"/>
    <w:rsid w:val="0024569F"/>
    <w:rsid w:val="00250E31"/>
    <w:rsid w:val="00253321"/>
    <w:rsid w:val="002615E0"/>
    <w:rsid w:val="00266903"/>
    <w:rsid w:val="00266904"/>
    <w:rsid w:val="00271C74"/>
    <w:rsid w:val="00272E9B"/>
    <w:rsid w:val="0028003E"/>
    <w:rsid w:val="00280C51"/>
    <w:rsid w:val="002824BB"/>
    <w:rsid w:val="00283A86"/>
    <w:rsid w:val="002856D2"/>
    <w:rsid w:val="0028775E"/>
    <w:rsid w:val="0029216B"/>
    <w:rsid w:val="002965B6"/>
    <w:rsid w:val="002969F3"/>
    <w:rsid w:val="002A05F8"/>
    <w:rsid w:val="002A1456"/>
    <w:rsid w:val="002B10E0"/>
    <w:rsid w:val="002B6F60"/>
    <w:rsid w:val="002C3202"/>
    <w:rsid w:val="002C400B"/>
    <w:rsid w:val="002C4101"/>
    <w:rsid w:val="002C46F1"/>
    <w:rsid w:val="002C4F66"/>
    <w:rsid w:val="002C51D4"/>
    <w:rsid w:val="002C715A"/>
    <w:rsid w:val="002D0469"/>
    <w:rsid w:val="002D0AC6"/>
    <w:rsid w:val="002D3878"/>
    <w:rsid w:val="002D4444"/>
    <w:rsid w:val="002E0ACD"/>
    <w:rsid w:val="002E3EDD"/>
    <w:rsid w:val="002E723D"/>
    <w:rsid w:val="0030117C"/>
    <w:rsid w:val="0030705E"/>
    <w:rsid w:val="003071A8"/>
    <w:rsid w:val="003128DC"/>
    <w:rsid w:val="00316A4D"/>
    <w:rsid w:val="00320E75"/>
    <w:rsid w:val="00324BEA"/>
    <w:rsid w:val="0032607C"/>
    <w:rsid w:val="0033258F"/>
    <w:rsid w:val="00343447"/>
    <w:rsid w:val="00343984"/>
    <w:rsid w:val="00347D80"/>
    <w:rsid w:val="003517DB"/>
    <w:rsid w:val="00353205"/>
    <w:rsid w:val="00360042"/>
    <w:rsid w:val="0036434F"/>
    <w:rsid w:val="00364EAE"/>
    <w:rsid w:val="00371133"/>
    <w:rsid w:val="00381D3D"/>
    <w:rsid w:val="00383154"/>
    <w:rsid w:val="00383F12"/>
    <w:rsid w:val="00391A0D"/>
    <w:rsid w:val="00391DC1"/>
    <w:rsid w:val="00393505"/>
    <w:rsid w:val="00394B38"/>
    <w:rsid w:val="0039593B"/>
    <w:rsid w:val="003A09FA"/>
    <w:rsid w:val="003A1524"/>
    <w:rsid w:val="003A35C0"/>
    <w:rsid w:val="003B60A8"/>
    <w:rsid w:val="003C288C"/>
    <w:rsid w:val="003C600A"/>
    <w:rsid w:val="003C6C01"/>
    <w:rsid w:val="003E5590"/>
    <w:rsid w:val="003E6F01"/>
    <w:rsid w:val="003E746E"/>
    <w:rsid w:val="003F0D39"/>
    <w:rsid w:val="003F4370"/>
    <w:rsid w:val="003F7345"/>
    <w:rsid w:val="003F76E5"/>
    <w:rsid w:val="003F7B6C"/>
    <w:rsid w:val="00402877"/>
    <w:rsid w:val="00412926"/>
    <w:rsid w:val="0041465C"/>
    <w:rsid w:val="00426845"/>
    <w:rsid w:val="00426BD6"/>
    <w:rsid w:val="004274A6"/>
    <w:rsid w:val="00433594"/>
    <w:rsid w:val="004342F0"/>
    <w:rsid w:val="00434F9D"/>
    <w:rsid w:val="00437338"/>
    <w:rsid w:val="00437715"/>
    <w:rsid w:val="00437E62"/>
    <w:rsid w:val="00440A43"/>
    <w:rsid w:val="00442068"/>
    <w:rsid w:val="004447E5"/>
    <w:rsid w:val="004475F2"/>
    <w:rsid w:val="00451D95"/>
    <w:rsid w:val="00453227"/>
    <w:rsid w:val="00454D2E"/>
    <w:rsid w:val="00462854"/>
    <w:rsid w:val="004663C8"/>
    <w:rsid w:val="00467B78"/>
    <w:rsid w:val="00473697"/>
    <w:rsid w:val="004804D2"/>
    <w:rsid w:val="004933A2"/>
    <w:rsid w:val="00496C58"/>
    <w:rsid w:val="00497362"/>
    <w:rsid w:val="00497F2A"/>
    <w:rsid w:val="004A09FE"/>
    <w:rsid w:val="004A6E4F"/>
    <w:rsid w:val="004A7FB8"/>
    <w:rsid w:val="004B4DD2"/>
    <w:rsid w:val="004C3115"/>
    <w:rsid w:val="004C3700"/>
    <w:rsid w:val="004D29E0"/>
    <w:rsid w:val="004E5C0B"/>
    <w:rsid w:val="004E5EC2"/>
    <w:rsid w:val="004E61DB"/>
    <w:rsid w:val="004F244B"/>
    <w:rsid w:val="004F6AA2"/>
    <w:rsid w:val="005037DD"/>
    <w:rsid w:val="00512260"/>
    <w:rsid w:val="0051282D"/>
    <w:rsid w:val="00512EB0"/>
    <w:rsid w:val="00512FD2"/>
    <w:rsid w:val="00516B48"/>
    <w:rsid w:val="005217AD"/>
    <w:rsid w:val="00530F4A"/>
    <w:rsid w:val="0055008E"/>
    <w:rsid w:val="00550E42"/>
    <w:rsid w:val="0055404E"/>
    <w:rsid w:val="00555F44"/>
    <w:rsid w:val="005617DE"/>
    <w:rsid w:val="00562048"/>
    <w:rsid w:val="00566BDB"/>
    <w:rsid w:val="00573293"/>
    <w:rsid w:val="0057489C"/>
    <w:rsid w:val="005814FA"/>
    <w:rsid w:val="00581997"/>
    <w:rsid w:val="00583A06"/>
    <w:rsid w:val="00585BA2"/>
    <w:rsid w:val="00587D8F"/>
    <w:rsid w:val="00591CD3"/>
    <w:rsid w:val="00594276"/>
    <w:rsid w:val="00597E72"/>
    <w:rsid w:val="005A16CD"/>
    <w:rsid w:val="005A1CDF"/>
    <w:rsid w:val="005A3856"/>
    <w:rsid w:val="005A402B"/>
    <w:rsid w:val="005A6F6A"/>
    <w:rsid w:val="005B00F2"/>
    <w:rsid w:val="005B3703"/>
    <w:rsid w:val="005C0367"/>
    <w:rsid w:val="005C1CAA"/>
    <w:rsid w:val="005C5F24"/>
    <w:rsid w:val="005C6505"/>
    <w:rsid w:val="005D13A9"/>
    <w:rsid w:val="005E7945"/>
    <w:rsid w:val="005E7B85"/>
    <w:rsid w:val="005F09D9"/>
    <w:rsid w:val="005F0F26"/>
    <w:rsid w:val="005F690B"/>
    <w:rsid w:val="0060218F"/>
    <w:rsid w:val="006066F0"/>
    <w:rsid w:val="006072A6"/>
    <w:rsid w:val="0061265D"/>
    <w:rsid w:val="006171D4"/>
    <w:rsid w:val="00617519"/>
    <w:rsid w:val="00621502"/>
    <w:rsid w:val="00623022"/>
    <w:rsid w:val="00631F06"/>
    <w:rsid w:val="006417F5"/>
    <w:rsid w:val="00644DEB"/>
    <w:rsid w:val="00645B7A"/>
    <w:rsid w:val="0064669B"/>
    <w:rsid w:val="00654F45"/>
    <w:rsid w:val="00676793"/>
    <w:rsid w:val="0069013D"/>
    <w:rsid w:val="0069194C"/>
    <w:rsid w:val="00692348"/>
    <w:rsid w:val="006927D9"/>
    <w:rsid w:val="00693D53"/>
    <w:rsid w:val="00695CD8"/>
    <w:rsid w:val="006A1F5B"/>
    <w:rsid w:val="006B2013"/>
    <w:rsid w:val="006B4C54"/>
    <w:rsid w:val="006B7960"/>
    <w:rsid w:val="006C1AA2"/>
    <w:rsid w:val="006C4794"/>
    <w:rsid w:val="006C7287"/>
    <w:rsid w:val="006D195D"/>
    <w:rsid w:val="006D7BCC"/>
    <w:rsid w:val="006E0EF6"/>
    <w:rsid w:val="006E4E44"/>
    <w:rsid w:val="006F0F66"/>
    <w:rsid w:val="006F48CA"/>
    <w:rsid w:val="00701911"/>
    <w:rsid w:val="00703736"/>
    <w:rsid w:val="00705007"/>
    <w:rsid w:val="007160A8"/>
    <w:rsid w:val="00720DCE"/>
    <w:rsid w:val="0072659D"/>
    <w:rsid w:val="00732273"/>
    <w:rsid w:val="00735808"/>
    <w:rsid w:val="00740325"/>
    <w:rsid w:val="00745A16"/>
    <w:rsid w:val="0074774B"/>
    <w:rsid w:val="0075540B"/>
    <w:rsid w:val="00762C74"/>
    <w:rsid w:val="007643AE"/>
    <w:rsid w:val="007644D6"/>
    <w:rsid w:val="00765C45"/>
    <w:rsid w:val="00766B34"/>
    <w:rsid w:val="00767D0C"/>
    <w:rsid w:val="00776BDE"/>
    <w:rsid w:val="0078240B"/>
    <w:rsid w:val="0078545C"/>
    <w:rsid w:val="007942B3"/>
    <w:rsid w:val="007969AE"/>
    <w:rsid w:val="007A18A4"/>
    <w:rsid w:val="007B0FDB"/>
    <w:rsid w:val="007B35F7"/>
    <w:rsid w:val="007B4820"/>
    <w:rsid w:val="007D2A69"/>
    <w:rsid w:val="007E50DC"/>
    <w:rsid w:val="007E7FDE"/>
    <w:rsid w:val="007F5A5B"/>
    <w:rsid w:val="007F6621"/>
    <w:rsid w:val="0080351D"/>
    <w:rsid w:val="00803B8B"/>
    <w:rsid w:val="00805342"/>
    <w:rsid w:val="00805450"/>
    <w:rsid w:val="008109E0"/>
    <w:rsid w:val="008126FD"/>
    <w:rsid w:val="0082625F"/>
    <w:rsid w:val="008270B4"/>
    <w:rsid w:val="008278BF"/>
    <w:rsid w:val="0083224B"/>
    <w:rsid w:val="00834008"/>
    <w:rsid w:val="00837C04"/>
    <w:rsid w:val="00837CFF"/>
    <w:rsid w:val="00845CD1"/>
    <w:rsid w:val="00850965"/>
    <w:rsid w:val="008521AC"/>
    <w:rsid w:val="00854954"/>
    <w:rsid w:val="00855436"/>
    <w:rsid w:val="00863B3A"/>
    <w:rsid w:val="00871D73"/>
    <w:rsid w:val="00880BBB"/>
    <w:rsid w:val="00882F07"/>
    <w:rsid w:val="00883B8A"/>
    <w:rsid w:val="008846D8"/>
    <w:rsid w:val="008849AF"/>
    <w:rsid w:val="008921E4"/>
    <w:rsid w:val="00893DF0"/>
    <w:rsid w:val="008A30EA"/>
    <w:rsid w:val="008C30A8"/>
    <w:rsid w:val="008C325D"/>
    <w:rsid w:val="008C3D1B"/>
    <w:rsid w:val="008C4326"/>
    <w:rsid w:val="008C6D40"/>
    <w:rsid w:val="008C7986"/>
    <w:rsid w:val="008E2AC5"/>
    <w:rsid w:val="008F1848"/>
    <w:rsid w:val="00901D1D"/>
    <w:rsid w:val="00904F72"/>
    <w:rsid w:val="00920921"/>
    <w:rsid w:val="0092562B"/>
    <w:rsid w:val="00927616"/>
    <w:rsid w:val="00930217"/>
    <w:rsid w:val="009336E4"/>
    <w:rsid w:val="00936BF6"/>
    <w:rsid w:val="00940969"/>
    <w:rsid w:val="00942E34"/>
    <w:rsid w:val="00943E77"/>
    <w:rsid w:val="00944626"/>
    <w:rsid w:val="00950B00"/>
    <w:rsid w:val="00956189"/>
    <w:rsid w:val="00972C69"/>
    <w:rsid w:val="00972D7A"/>
    <w:rsid w:val="0097613F"/>
    <w:rsid w:val="00981442"/>
    <w:rsid w:val="00993F61"/>
    <w:rsid w:val="00995C5A"/>
    <w:rsid w:val="00996BFA"/>
    <w:rsid w:val="009A252F"/>
    <w:rsid w:val="009A4DB4"/>
    <w:rsid w:val="009A5F52"/>
    <w:rsid w:val="009B225F"/>
    <w:rsid w:val="009B40B7"/>
    <w:rsid w:val="009B433B"/>
    <w:rsid w:val="009B6306"/>
    <w:rsid w:val="009C4C36"/>
    <w:rsid w:val="009C5286"/>
    <w:rsid w:val="009C6C8E"/>
    <w:rsid w:val="009D0591"/>
    <w:rsid w:val="009D2616"/>
    <w:rsid w:val="009D56C8"/>
    <w:rsid w:val="009E0E17"/>
    <w:rsid w:val="009E31B1"/>
    <w:rsid w:val="009E3EE1"/>
    <w:rsid w:val="009E4954"/>
    <w:rsid w:val="00A05010"/>
    <w:rsid w:val="00A0513F"/>
    <w:rsid w:val="00A051E9"/>
    <w:rsid w:val="00A06E0C"/>
    <w:rsid w:val="00A1159E"/>
    <w:rsid w:val="00A17222"/>
    <w:rsid w:val="00A2292D"/>
    <w:rsid w:val="00A2573E"/>
    <w:rsid w:val="00A27030"/>
    <w:rsid w:val="00A30EC9"/>
    <w:rsid w:val="00A42CC7"/>
    <w:rsid w:val="00A43132"/>
    <w:rsid w:val="00A46EA0"/>
    <w:rsid w:val="00A475AB"/>
    <w:rsid w:val="00A47B19"/>
    <w:rsid w:val="00A54C72"/>
    <w:rsid w:val="00A57056"/>
    <w:rsid w:val="00A60FD0"/>
    <w:rsid w:val="00A6254B"/>
    <w:rsid w:val="00A70CA0"/>
    <w:rsid w:val="00A74F96"/>
    <w:rsid w:val="00A83460"/>
    <w:rsid w:val="00A83505"/>
    <w:rsid w:val="00A83EBC"/>
    <w:rsid w:val="00A84635"/>
    <w:rsid w:val="00A942A6"/>
    <w:rsid w:val="00A95ADA"/>
    <w:rsid w:val="00AB04C4"/>
    <w:rsid w:val="00AB1520"/>
    <w:rsid w:val="00AC5334"/>
    <w:rsid w:val="00AF0A74"/>
    <w:rsid w:val="00AF1720"/>
    <w:rsid w:val="00AF3567"/>
    <w:rsid w:val="00AF6A51"/>
    <w:rsid w:val="00B00AFF"/>
    <w:rsid w:val="00B01374"/>
    <w:rsid w:val="00B01F2A"/>
    <w:rsid w:val="00B01F6B"/>
    <w:rsid w:val="00B065AA"/>
    <w:rsid w:val="00B077E9"/>
    <w:rsid w:val="00B23CC5"/>
    <w:rsid w:val="00B25BEF"/>
    <w:rsid w:val="00B30CEA"/>
    <w:rsid w:val="00B349E4"/>
    <w:rsid w:val="00B413B1"/>
    <w:rsid w:val="00B42687"/>
    <w:rsid w:val="00B469A1"/>
    <w:rsid w:val="00B50116"/>
    <w:rsid w:val="00B53056"/>
    <w:rsid w:val="00B53CF2"/>
    <w:rsid w:val="00B63237"/>
    <w:rsid w:val="00B74C6C"/>
    <w:rsid w:val="00B758AF"/>
    <w:rsid w:val="00B835E7"/>
    <w:rsid w:val="00B83C3B"/>
    <w:rsid w:val="00B83D98"/>
    <w:rsid w:val="00BA2D7F"/>
    <w:rsid w:val="00BA7AFA"/>
    <w:rsid w:val="00BB0917"/>
    <w:rsid w:val="00BB6176"/>
    <w:rsid w:val="00BC4397"/>
    <w:rsid w:val="00BD26BF"/>
    <w:rsid w:val="00BD688B"/>
    <w:rsid w:val="00BF3BC8"/>
    <w:rsid w:val="00BF44D3"/>
    <w:rsid w:val="00BF5AC6"/>
    <w:rsid w:val="00BF6E36"/>
    <w:rsid w:val="00C009D4"/>
    <w:rsid w:val="00C02C5B"/>
    <w:rsid w:val="00C03592"/>
    <w:rsid w:val="00C040BB"/>
    <w:rsid w:val="00C0425C"/>
    <w:rsid w:val="00C05A9E"/>
    <w:rsid w:val="00C173C9"/>
    <w:rsid w:val="00C24264"/>
    <w:rsid w:val="00C25295"/>
    <w:rsid w:val="00C34B57"/>
    <w:rsid w:val="00C37CFC"/>
    <w:rsid w:val="00C37E4E"/>
    <w:rsid w:val="00C44192"/>
    <w:rsid w:val="00C44680"/>
    <w:rsid w:val="00C44DBA"/>
    <w:rsid w:val="00C4559A"/>
    <w:rsid w:val="00C537FD"/>
    <w:rsid w:val="00C56936"/>
    <w:rsid w:val="00C57A2D"/>
    <w:rsid w:val="00C62152"/>
    <w:rsid w:val="00C72382"/>
    <w:rsid w:val="00C7537A"/>
    <w:rsid w:val="00C76E12"/>
    <w:rsid w:val="00C86924"/>
    <w:rsid w:val="00C86B08"/>
    <w:rsid w:val="00C93B7D"/>
    <w:rsid w:val="00CA229F"/>
    <w:rsid w:val="00CA2DC5"/>
    <w:rsid w:val="00CA5CC2"/>
    <w:rsid w:val="00CA7FD7"/>
    <w:rsid w:val="00CC1F14"/>
    <w:rsid w:val="00CC21A7"/>
    <w:rsid w:val="00CC53E4"/>
    <w:rsid w:val="00CC66A4"/>
    <w:rsid w:val="00CE2A85"/>
    <w:rsid w:val="00CE3C33"/>
    <w:rsid w:val="00CF13D6"/>
    <w:rsid w:val="00CF2C1A"/>
    <w:rsid w:val="00CF2E6A"/>
    <w:rsid w:val="00CF4D8C"/>
    <w:rsid w:val="00D072E2"/>
    <w:rsid w:val="00D102C2"/>
    <w:rsid w:val="00D2049C"/>
    <w:rsid w:val="00D31790"/>
    <w:rsid w:val="00D33E84"/>
    <w:rsid w:val="00D35F57"/>
    <w:rsid w:val="00D4241A"/>
    <w:rsid w:val="00D46F14"/>
    <w:rsid w:val="00D52E5D"/>
    <w:rsid w:val="00D531EC"/>
    <w:rsid w:val="00D56E68"/>
    <w:rsid w:val="00D57627"/>
    <w:rsid w:val="00D605A7"/>
    <w:rsid w:val="00D60C19"/>
    <w:rsid w:val="00D62961"/>
    <w:rsid w:val="00D6336C"/>
    <w:rsid w:val="00D6429F"/>
    <w:rsid w:val="00D65C44"/>
    <w:rsid w:val="00D707E5"/>
    <w:rsid w:val="00D74B62"/>
    <w:rsid w:val="00D754FA"/>
    <w:rsid w:val="00D86D1E"/>
    <w:rsid w:val="00D90224"/>
    <w:rsid w:val="00D91EB4"/>
    <w:rsid w:val="00D92060"/>
    <w:rsid w:val="00D94CAB"/>
    <w:rsid w:val="00D959A2"/>
    <w:rsid w:val="00D96B53"/>
    <w:rsid w:val="00DA2D03"/>
    <w:rsid w:val="00DC1322"/>
    <w:rsid w:val="00DC36D4"/>
    <w:rsid w:val="00DC4774"/>
    <w:rsid w:val="00DD23BF"/>
    <w:rsid w:val="00DD2CE2"/>
    <w:rsid w:val="00DE6A07"/>
    <w:rsid w:val="00DF7111"/>
    <w:rsid w:val="00E05187"/>
    <w:rsid w:val="00E06151"/>
    <w:rsid w:val="00E0655C"/>
    <w:rsid w:val="00E1278A"/>
    <w:rsid w:val="00E24F12"/>
    <w:rsid w:val="00E304BB"/>
    <w:rsid w:val="00E36F6C"/>
    <w:rsid w:val="00E41E38"/>
    <w:rsid w:val="00E42C9C"/>
    <w:rsid w:val="00E535E3"/>
    <w:rsid w:val="00E637FD"/>
    <w:rsid w:val="00E6598C"/>
    <w:rsid w:val="00E70538"/>
    <w:rsid w:val="00E70E03"/>
    <w:rsid w:val="00E73D20"/>
    <w:rsid w:val="00E74DF4"/>
    <w:rsid w:val="00E753A4"/>
    <w:rsid w:val="00E75C28"/>
    <w:rsid w:val="00E7783C"/>
    <w:rsid w:val="00E90DB8"/>
    <w:rsid w:val="00E90F7D"/>
    <w:rsid w:val="00E91BF8"/>
    <w:rsid w:val="00E924D2"/>
    <w:rsid w:val="00E92AF6"/>
    <w:rsid w:val="00E96E40"/>
    <w:rsid w:val="00EB417E"/>
    <w:rsid w:val="00EC45E4"/>
    <w:rsid w:val="00ED08C9"/>
    <w:rsid w:val="00ED12A4"/>
    <w:rsid w:val="00ED1BDD"/>
    <w:rsid w:val="00ED2F2B"/>
    <w:rsid w:val="00ED3A61"/>
    <w:rsid w:val="00ED6A90"/>
    <w:rsid w:val="00EE6D27"/>
    <w:rsid w:val="00EF01FC"/>
    <w:rsid w:val="00EF0C65"/>
    <w:rsid w:val="00EF27DB"/>
    <w:rsid w:val="00EF2BE2"/>
    <w:rsid w:val="00F0126A"/>
    <w:rsid w:val="00F053A9"/>
    <w:rsid w:val="00F069DB"/>
    <w:rsid w:val="00F07F17"/>
    <w:rsid w:val="00F12B71"/>
    <w:rsid w:val="00F12D75"/>
    <w:rsid w:val="00F152AE"/>
    <w:rsid w:val="00F204F6"/>
    <w:rsid w:val="00F2331C"/>
    <w:rsid w:val="00F253B3"/>
    <w:rsid w:val="00F30298"/>
    <w:rsid w:val="00F30764"/>
    <w:rsid w:val="00F31D34"/>
    <w:rsid w:val="00F42439"/>
    <w:rsid w:val="00F45E13"/>
    <w:rsid w:val="00F55747"/>
    <w:rsid w:val="00F64379"/>
    <w:rsid w:val="00F80FB9"/>
    <w:rsid w:val="00F81F3E"/>
    <w:rsid w:val="00F84D81"/>
    <w:rsid w:val="00F97D62"/>
    <w:rsid w:val="00F97F62"/>
    <w:rsid w:val="00FA1651"/>
    <w:rsid w:val="00FA4A00"/>
    <w:rsid w:val="00FA7036"/>
    <w:rsid w:val="00FB1C24"/>
    <w:rsid w:val="00FB66B3"/>
    <w:rsid w:val="00FC0C3D"/>
    <w:rsid w:val="00FC18B0"/>
    <w:rsid w:val="00FC2D9B"/>
    <w:rsid w:val="00FC7A57"/>
    <w:rsid w:val="00FD201F"/>
    <w:rsid w:val="00FD59B6"/>
    <w:rsid w:val="00FE2C09"/>
    <w:rsid w:val="00FE434F"/>
    <w:rsid w:val="00FE77CB"/>
    <w:rsid w:val="00FF16B2"/>
    <w:rsid w:val="00FF49C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3E6F01"/>
    <w:pPr>
      <w:spacing w:line="360" w:lineRule="auto"/>
      <w:ind w:firstLine="360"/>
      <w:jc w:val="both"/>
    </w:pPr>
    <w:rPr>
      <w:rFonts w:ascii="Times New Roman" w:hAnsi="Times New Roman"/>
      <w:kern w:val="24"/>
      <w:sz w:val="24"/>
      <w:lang w:val="nl-NL"/>
    </w:rPr>
  </w:style>
  <w:style w:type="paragraph" w:styleId="Heading1">
    <w:name w:val="heading 1"/>
    <w:basedOn w:val="Normal"/>
    <w:next w:val="Normal"/>
    <w:link w:val="Heading1Char"/>
    <w:uiPriority w:val="99"/>
    <w:qFormat/>
    <w:rsid w:val="00FA4A00"/>
    <w:pPr>
      <w:spacing w:before="600" w:after="80"/>
      <w:ind w:firstLine="0"/>
      <w:outlineLvl w:val="0"/>
    </w:pPr>
    <w:rPr>
      <w:b/>
      <w:bCs/>
      <w:sz w:val="28"/>
      <w:szCs w:val="24"/>
      <w:lang w:eastAsia="nl-NL"/>
    </w:rPr>
  </w:style>
  <w:style w:type="paragraph" w:styleId="Heading2">
    <w:name w:val="heading 2"/>
    <w:basedOn w:val="Normal"/>
    <w:next w:val="Normal"/>
    <w:link w:val="Heading2Char"/>
    <w:uiPriority w:val="99"/>
    <w:qFormat/>
    <w:rsid w:val="00FA4A00"/>
    <w:pPr>
      <w:spacing w:before="200" w:after="80" w:line="240" w:lineRule="auto"/>
      <w:ind w:firstLine="0"/>
      <w:outlineLvl w:val="1"/>
    </w:pPr>
    <w:rPr>
      <w:b/>
      <w:kern w:val="0"/>
      <w:szCs w:val="24"/>
      <w:lang w:eastAsia="nl-NL"/>
    </w:rPr>
  </w:style>
  <w:style w:type="paragraph" w:styleId="Heading3">
    <w:name w:val="heading 3"/>
    <w:basedOn w:val="Normal"/>
    <w:next w:val="Normal"/>
    <w:link w:val="Heading3Char"/>
    <w:uiPriority w:val="99"/>
    <w:qFormat/>
    <w:rsid w:val="00FA4A00"/>
    <w:pPr>
      <w:pBdr>
        <w:bottom w:val="single" w:sz="4" w:space="1" w:color="95B3D7"/>
      </w:pBdr>
      <w:spacing w:before="200" w:after="80"/>
      <w:ind w:firstLine="0"/>
      <w:outlineLvl w:val="2"/>
    </w:pPr>
    <w:rPr>
      <w:rFonts w:ascii="Cambria" w:hAnsi="Cambria"/>
      <w:color w:val="3366FF"/>
      <w:kern w:val="0"/>
      <w:szCs w:val="24"/>
      <w:lang w:eastAsia="nl-NL"/>
    </w:rPr>
  </w:style>
  <w:style w:type="paragraph" w:styleId="Heading4">
    <w:name w:val="heading 4"/>
    <w:basedOn w:val="Normal"/>
    <w:next w:val="Normal"/>
    <w:link w:val="Heading4Char"/>
    <w:uiPriority w:val="99"/>
    <w:qFormat/>
    <w:rsid w:val="00FA4A00"/>
    <w:pPr>
      <w:pBdr>
        <w:bottom w:val="single" w:sz="4" w:space="2" w:color="B8CCE4"/>
      </w:pBdr>
      <w:spacing w:before="200" w:after="80"/>
      <w:ind w:firstLine="0"/>
      <w:outlineLvl w:val="3"/>
    </w:pPr>
    <w:rPr>
      <w:rFonts w:ascii="Cambria" w:hAnsi="Cambria"/>
      <w:i/>
      <w:iCs/>
      <w:color w:val="4F81BD"/>
      <w:kern w:val="0"/>
      <w:szCs w:val="24"/>
      <w:lang w:eastAsia="nl-NL"/>
    </w:rPr>
  </w:style>
  <w:style w:type="paragraph" w:styleId="Heading5">
    <w:name w:val="heading 5"/>
    <w:basedOn w:val="Normal"/>
    <w:next w:val="Normal"/>
    <w:link w:val="Heading5Char"/>
    <w:uiPriority w:val="99"/>
    <w:qFormat/>
    <w:rsid w:val="00FA4A00"/>
    <w:pPr>
      <w:spacing w:before="200" w:after="80"/>
      <w:ind w:firstLine="0"/>
      <w:outlineLvl w:val="4"/>
    </w:pPr>
    <w:rPr>
      <w:rFonts w:ascii="Cambria" w:hAnsi="Cambria"/>
      <w:color w:val="4F81BD"/>
      <w:kern w:val="0"/>
      <w:sz w:val="20"/>
      <w:szCs w:val="20"/>
      <w:lang w:eastAsia="nl-NL"/>
    </w:rPr>
  </w:style>
  <w:style w:type="paragraph" w:styleId="Heading6">
    <w:name w:val="heading 6"/>
    <w:basedOn w:val="Normal"/>
    <w:next w:val="Normal"/>
    <w:link w:val="Heading6Char"/>
    <w:uiPriority w:val="99"/>
    <w:qFormat/>
    <w:rsid w:val="00FA4A00"/>
    <w:pPr>
      <w:spacing w:before="280" w:after="100"/>
      <w:ind w:firstLine="0"/>
      <w:outlineLvl w:val="5"/>
    </w:pPr>
    <w:rPr>
      <w:rFonts w:ascii="Cambria" w:hAnsi="Cambria"/>
      <w:i/>
      <w:iCs/>
      <w:color w:val="4F81BD"/>
      <w:kern w:val="0"/>
      <w:sz w:val="20"/>
      <w:szCs w:val="20"/>
      <w:lang w:eastAsia="nl-NL"/>
    </w:rPr>
  </w:style>
  <w:style w:type="paragraph" w:styleId="Heading7">
    <w:name w:val="heading 7"/>
    <w:basedOn w:val="Normal"/>
    <w:next w:val="Normal"/>
    <w:link w:val="Heading7Char"/>
    <w:uiPriority w:val="99"/>
    <w:qFormat/>
    <w:rsid w:val="00FA4A00"/>
    <w:pPr>
      <w:spacing w:before="320" w:after="100"/>
      <w:ind w:firstLine="0"/>
      <w:outlineLvl w:val="6"/>
    </w:pPr>
    <w:rPr>
      <w:rFonts w:ascii="Cambria" w:hAnsi="Cambria"/>
      <w:b/>
      <w:bCs/>
      <w:color w:val="9BBB59"/>
      <w:kern w:val="0"/>
      <w:sz w:val="20"/>
      <w:szCs w:val="20"/>
      <w:lang w:eastAsia="nl-NL"/>
    </w:rPr>
  </w:style>
  <w:style w:type="paragraph" w:styleId="Heading8">
    <w:name w:val="heading 8"/>
    <w:basedOn w:val="Normal"/>
    <w:next w:val="Normal"/>
    <w:link w:val="Heading8Char"/>
    <w:uiPriority w:val="99"/>
    <w:qFormat/>
    <w:rsid w:val="00FA4A00"/>
    <w:pPr>
      <w:spacing w:before="320" w:after="100"/>
      <w:ind w:firstLine="0"/>
      <w:outlineLvl w:val="7"/>
    </w:pPr>
    <w:rPr>
      <w:rFonts w:ascii="Cambria" w:hAnsi="Cambria"/>
      <w:b/>
      <w:bCs/>
      <w:i/>
      <w:iCs/>
      <w:color w:val="9BBB59"/>
      <w:kern w:val="0"/>
      <w:sz w:val="20"/>
      <w:szCs w:val="20"/>
      <w:lang w:eastAsia="nl-NL"/>
    </w:rPr>
  </w:style>
  <w:style w:type="paragraph" w:styleId="Heading9">
    <w:name w:val="heading 9"/>
    <w:basedOn w:val="Normal"/>
    <w:next w:val="Normal"/>
    <w:link w:val="Heading9Char"/>
    <w:uiPriority w:val="99"/>
    <w:qFormat/>
    <w:rsid w:val="00FA4A00"/>
    <w:pPr>
      <w:spacing w:before="320" w:after="100"/>
      <w:ind w:firstLine="0"/>
      <w:outlineLvl w:val="8"/>
    </w:pPr>
    <w:rPr>
      <w:rFonts w:ascii="Cambria" w:hAnsi="Cambria"/>
      <w:i/>
      <w:iCs/>
      <w:color w:val="9BBB59"/>
      <w:kern w:val="0"/>
      <w:sz w:val="20"/>
      <w:szCs w:val="20"/>
      <w:lang w:eastAsia="nl-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A4A00"/>
    <w:rPr>
      <w:rFonts w:ascii="Times New Roman" w:hAnsi="Times New Roman" w:cs="Times New Roman"/>
      <w:b/>
      <w:bCs/>
      <w:kern w:val="24"/>
      <w:sz w:val="24"/>
      <w:szCs w:val="24"/>
    </w:rPr>
  </w:style>
  <w:style w:type="character" w:customStyle="1" w:styleId="Heading2Char">
    <w:name w:val="Heading 2 Char"/>
    <w:basedOn w:val="DefaultParagraphFont"/>
    <w:link w:val="Heading2"/>
    <w:uiPriority w:val="99"/>
    <w:locked/>
    <w:rsid w:val="00FA4A00"/>
    <w:rPr>
      <w:rFonts w:ascii="Times New Roman" w:hAnsi="Times New Roman" w:cs="Times New Roman"/>
      <w:b/>
      <w:sz w:val="24"/>
      <w:szCs w:val="24"/>
    </w:rPr>
  </w:style>
  <w:style w:type="character" w:customStyle="1" w:styleId="Heading3Char">
    <w:name w:val="Heading 3 Char"/>
    <w:basedOn w:val="DefaultParagraphFont"/>
    <w:link w:val="Heading3"/>
    <w:uiPriority w:val="99"/>
    <w:locked/>
    <w:rsid w:val="00FA4A00"/>
    <w:rPr>
      <w:rFonts w:ascii="Cambria" w:hAnsi="Cambria" w:cs="Times New Roman"/>
      <w:color w:val="3366FF"/>
      <w:sz w:val="24"/>
      <w:szCs w:val="24"/>
    </w:rPr>
  </w:style>
  <w:style w:type="character" w:customStyle="1" w:styleId="Heading4Char">
    <w:name w:val="Heading 4 Char"/>
    <w:basedOn w:val="DefaultParagraphFont"/>
    <w:link w:val="Heading4"/>
    <w:uiPriority w:val="99"/>
    <w:locked/>
    <w:rsid w:val="00FA4A00"/>
    <w:rPr>
      <w:rFonts w:ascii="Cambria" w:hAnsi="Cambria" w:cs="Times New Roman"/>
      <w:i/>
      <w:iCs/>
      <w:color w:val="4F81BD"/>
      <w:sz w:val="24"/>
      <w:szCs w:val="24"/>
    </w:rPr>
  </w:style>
  <w:style w:type="character" w:customStyle="1" w:styleId="Heading5Char">
    <w:name w:val="Heading 5 Char"/>
    <w:basedOn w:val="DefaultParagraphFont"/>
    <w:link w:val="Heading5"/>
    <w:uiPriority w:val="99"/>
    <w:semiHidden/>
    <w:locked/>
    <w:rsid w:val="00FA4A00"/>
    <w:rPr>
      <w:rFonts w:ascii="Cambria" w:hAnsi="Cambria" w:cs="Times New Roman"/>
      <w:color w:val="4F81BD"/>
    </w:rPr>
  </w:style>
  <w:style w:type="character" w:customStyle="1" w:styleId="Heading6Char">
    <w:name w:val="Heading 6 Char"/>
    <w:basedOn w:val="DefaultParagraphFont"/>
    <w:link w:val="Heading6"/>
    <w:uiPriority w:val="99"/>
    <w:semiHidden/>
    <w:locked/>
    <w:rsid w:val="00FA4A00"/>
    <w:rPr>
      <w:rFonts w:ascii="Cambria" w:hAnsi="Cambria" w:cs="Times New Roman"/>
      <w:i/>
      <w:iCs/>
      <w:color w:val="4F81BD"/>
    </w:rPr>
  </w:style>
  <w:style w:type="character" w:customStyle="1" w:styleId="Heading7Char">
    <w:name w:val="Heading 7 Char"/>
    <w:basedOn w:val="DefaultParagraphFont"/>
    <w:link w:val="Heading7"/>
    <w:uiPriority w:val="99"/>
    <w:semiHidden/>
    <w:locked/>
    <w:rsid w:val="00FA4A00"/>
    <w:rPr>
      <w:rFonts w:ascii="Cambria" w:hAnsi="Cambria" w:cs="Times New Roman"/>
      <w:b/>
      <w:bCs/>
      <w:color w:val="9BBB59"/>
      <w:sz w:val="20"/>
      <w:szCs w:val="20"/>
    </w:rPr>
  </w:style>
  <w:style w:type="character" w:customStyle="1" w:styleId="Heading8Char">
    <w:name w:val="Heading 8 Char"/>
    <w:basedOn w:val="DefaultParagraphFont"/>
    <w:link w:val="Heading8"/>
    <w:uiPriority w:val="99"/>
    <w:semiHidden/>
    <w:locked/>
    <w:rsid w:val="00FA4A00"/>
    <w:rPr>
      <w:rFonts w:ascii="Cambria" w:hAnsi="Cambria" w:cs="Times New Roman"/>
      <w:b/>
      <w:bCs/>
      <w:i/>
      <w:iCs/>
      <w:color w:val="9BBB59"/>
      <w:sz w:val="20"/>
      <w:szCs w:val="20"/>
    </w:rPr>
  </w:style>
  <w:style w:type="character" w:customStyle="1" w:styleId="Heading9Char">
    <w:name w:val="Heading 9 Char"/>
    <w:basedOn w:val="DefaultParagraphFont"/>
    <w:link w:val="Heading9"/>
    <w:uiPriority w:val="99"/>
    <w:semiHidden/>
    <w:locked/>
    <w:rsid w:val="00FA4A00"/>
    <w:rPr>
      <w:rFonts w:ascii="Cambria" w:hAnsi="Cambria" w:cs="Times New Roman"/>
      <w:i/>
      <w:iCs/>
      <w:color w:val="9BBB59"/>
      <w:sz w:val="20"/>
      <w:szCs w:val="20"/>
    </w:rPr>
  </w:style>
  <w:style w:type="paragraph" w:styleId="FootnoteText">
    <w:name w:val="footnote text"/>
    <w:basedOn w:val="Normal"/>
    <w:link w:val="FootnoteTextChar"/>
    <w:uiPriority w:val="99"/>
    <w:rsid w:val="00F84D81"/>
    <w:pPr>
      <w:spacing w:line="240" w:lineRule="auto"/>
    </w:pPr>
    <w:rPr>
      <w:sz w:val="20"/>
      <w:szCs w:val="20"/>
    </w:rPr>
  </w:style>
  <w:style w:type="character" w:customStyle="1" w:styleId="FootnoteTextChar">
    <w:name w:val="Footnote Text Char"/>
    <w:basedOn w:val="DefaultParagraphFont"/>
    <w:link w:val="FootnoteText"/>
    <w:uiPriority w:val="99"/>
    <w:locked/>
    <w:rsid w:val="00F84D81"/>
    <w:rPr>
      <w:rFonts w:ascii="Times New Roman" w:hAnsi="Times New Roman" w:cs="Times New Roman"/>
      <w:kern w:val="24"/>
      <w:lang w:eastAsia="en-US"/>
    </w:rPr>
  </w:style>
  <w:style w:type="character" w:styleId="FootnoteReference">
    <w:name w:val="footnote reference"/>
    <w:basedOn w:val="DefaultParagraphFont"/>
    <w:uiPriority w:val="99"/>
    <w:semiHidden/>
    <w:rsid w:val="00250E31"/>
    <w:rPr>
      <w:rFonts w:cs="Times New Roman"/>
      <w:vertAlign w:val="superscript"/>
    </w:rPr>
  </w:style>
  <w:style w:type="paragraph" w:styleId="ListParagraph">
    <w:name w:val="List Paragraph"/>
    <w:basedOn w:val="Normal"/>
    <w:uiPriority w:val="99"/>
    <w:qFormat/>
    <w:rsid w:val="00FA4A00"/>
    <w:pPr>
      <w:ind w:left="720"/>
      <w:contextualSpacing/>
    </w:pPr>
  </w:style>
  <w:style w:type="paragraph" w:styleId="TOCHeading">
    <w:name w:val="TOC Heading"/>
    <w:basedOn w:val="Heading1"/>
    <w:next w:val="Normal"/>
    <w:uiPriority w:val="99"/>
    <w:qFormat/>
    <w:rsid w:val="00FA4A00"/>
    <w:pPr>
      <w:outlineLvl w:val="9"/>
    </w:pPr>
    <w:rPr>
      <w:lang w:eastAsia="en-US"/>
    </w:rPr>
  </w:style>
  <w:style w:type="paragraph" w:styleId="TOC1">
    <w:name w:val="toc 1"/>
    <w:basedOn w:val="Normal"/>
    <w:next w:val="Normal"/>
    <w:autoRedefine/>
    <w:uiPriority w:val="99"/>
    <w:rsid w:val="003C6C01"/>
    <w:pPr>
      <w:spacing w:after="100"/>
    </w:pPr>
    <w:rPr>
      <w:b/>
    </w:rPr>
  </w:style>
  <w:style w:type="paragraph" w:styleId="TOC2">
    <w:name w:val="toc 2"/>
    <w:basedOn w:val="Normal"/>
    <w:next w:val="Normal"/>
    <w:autoRedefine/>
    <w:uiPriority w:val="99"/>
    <w:rsid w:val="003C6C01"/>
    <w:pPr>
      <w:spacing w:after="100" w:line="240" w:lineRule="auto"/>
      <w:ind w:left="220"/>
    </w:pPr>
  </w:style>
  <w:style w:type="character" w:styleId="Hyperlink">
    <w:name w:val="Hyperlink"/>
    <w:basedOn w:val="DefaultParagraphFont"/>
    <w:uiPriority w:val="99"/>
    <w:rsid w:val="00CE2A85"/>
    <w:rPr>
      <w:rFonts w:cs="Times New Roman"/>
      <w:color w:val="0000FF"/>
      <w:u w:val="single"/>
    </w:rPr>
  </w:style>
  <w:style w:type="paragraph" w:styleId="BalloonText">
    <w:name w:val="Balloon Text"/>
    <w:basedOn w:val="Normal"/>
    <w:link w:val="BalloonTextChar"/>
    <w:uiPriority w:val="99"/>
    <w:semiHidden/>
    <w:rsid w:val="00CE2A8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E2A85"/>
    <w:rPr>
      <w:rFonts w:ascii="Tahoma" w:hAnsi="Tahoma" w:cs="Tahoma"/>
      <w:sz w:val="16"/>
      <w:szCs w:val="16"/>
    </w:rPr>
  </w:style>
  <w:style w:type="paragraph" w:styleId="TOC3">
    <w:name w:val="toc 3"/>
    <w:basedOn w:val="Normal"/>
    <w:next w:val="Normal"/>
    <w:autoRedefine/>
    <w:uiPriority w:val="99"/>
    <w:semiHidden/>
    <w:rsid w:val="00CE2A85"/>
    <w:pPr>
      <w:spacing w:after="100"/>
      <w:ind w:left="440"/>
    </w:pPr>
  </w:style>
  <w:style w:type="character" w:styleId="PlaceholderText">
    <w:name w:val="Placeholder Text"/>
    <w:basedOn w:val="DefaultParagraphFont"/>
    <w:uiPriority w:val="99"/>
    <w:semiHidden/>
    <w:rsid w:val="00067237"/>
    <w:rPr>
      <w:rFonts w:cs="Times New Roman"/>
      <w:color w:val="808080"/>
    </w:rPr>
  </w:style>
  <w:style w:type="paragraph" w:styleId="Caption">
    <w:name w:val="caption"/>
    <w:basedOn w:val="Normal"/>
    <w:next w:val="Normal"/>
    <w:uiPriority w:val="99"/>
    <w:qFormat/>
    <w:rsid w:val="0028003E"/>
    <w:rPr>
      <w:bCs/>
      <w:sz w:val="20"/>
      <w:szCs w:val="18"/>
    </w:rPr>
  </w:style>
  <w:style w:type="paragraph" w:styleId="Title">
    <w:name w:val="Title"/>
    <w:basedOn w:val="Normal"/>
    <w:next w:val="Normal"/>
    <w:link w:val="TitleChar"/>
    <w:uiPriority w:val="99"/>
    <w:qFormat/>
    <w:rsid w:val="00FA4A00"/>
    <w:pPr>
      <w:pBdr>
        <w:top w:val="single" w:sz="8" w:space="10" w:color="A7BFDE"/>
        <w:bottom w:val="single" w:sz="24" w:space="15" w:color="9BBB59"/>
      </w:pBdr>
      <w:ind w:firstLine="0"/>
      <w:jc w:val="center"/>
    </w:pPr>
    <w:rPr>
      <w:rFonts w:ascii="Cambria" w:hAnsi="Cambria"/>
      <w:i/>
      <w:iCs/>
      <w:color w:val="0B5ED7"/>
      <w:kern w:val="0"/>
      <w:sz w:val="48"/>
      <w:szCs w:val="60"/>
      <w:lang w:eastAsia="nl-NL"/>
    </w:rPr>
  </w:style>
  <w:style w:type="character" w:customStyle="1" w:styleId="TitleChar">
    <w:name w:val="Title Char"/>
    <w:basedOn w:val="DefaultParagraphFont"/>
    <w:link w:val="Title"/>
    <w:uiPriority w:val="99"/>
    <w:locked/>
    <w:rsid w:val="00FA4A00"/>
    <w:rPr>
      <w:rFonts w:ascii="Cambria" w:hAnsi="Cambria" w:cs="Times New Roman"/>
      <w:i/>
      <w:iCs/>
      <w:color w:val="0B5ED7"/>
      <w:sz w:val="60"/>
      <w:szCs w:val="60"/>
    </w:rPr>
  </w:style>
  <w:style w:type="paragraph" w:styleId="Subtitle">
    <w:name w:val="Subtitle"/>
    <w:basedOn w:val="Normal"/>
    <w:next w:val="Normal"/>
    <w:link w:val="SubtitleChar"/>
    <w:uiPriority w:val="99"/>
    <w:qFormat/>
    <w:rsid w:val="00FA4A00"/>
    <w:pPr>
      <w:spacing w:before="200" w:after="900"/>
      <w:ind w:firstLine="0"/>
      <w:jc w:val="right"/>
    </w:pPr>
    <w:rPr>
      <w:rFonts w:ascii="Calibri" w:hAnsi="Calibri"/>
      <w:i/>
      <w:iCs/>
      <w:kern w:val="0"/>
      <w:szCs w:val="24"/>
      <w:lang w:eastAsia="nl-NL"/>
    </w:rPr>
  </w:style>
  <w:style w:type="character" w:customStyle="1" w:styleId="SubtitleChar">
    <w:name w:val="Subtitle Char"/>
    <w:basedOn w:val="DefaultParagraphFont"/>
    <w:link w:val="Subtitle"/>
    <w:uiPriority w:val="99"/>
    <w:locked/>
    <w:rsid w:val="00FA4A00"/>
    <w:rPr>
      <w:rFonts w:ascii="Calibri" w:cs="Times New Roman"/>
      <w:i/>
      <w:iCs/>
      <w:sz w:val="24"/>
      <w:szCs w:val="24"/>
    </w:rPr>
  </w:style>
  <w:style w:type="character" w:styleId="Strong">
    <w:name w:val="Strong"/>
    <w:basedOn w:val="DefaultParagraphFont"/>
    <w:uiPriority w:val="99"/>
    <w:qFormat/>
    <w:rsid w:val="00FA4A00"/>
    <w:rPr>
      <w:rFonts w:cs="Times New Roman"/>
      <w:b/>
      <w:bCs/>
      <w:spacing w:val="0"/>
    </w:rPr>
  </w:style>
  <w:style w:type="character" w:styleId="Emphasis">
    <w:name w:val="Emphasis"/>
    <w:basedOn w:val="DefaultParagraphFont"/>
    <w:uiPriority w:val="99"/>
    <w:qFormat/>
    <w:rsid w:val="00FA4A00"/>
    <w:rPr>
      <w:rFonts w:ascii="Cambria" w:hAnsi="Cambria" w:cs="Times New Roman"/>
      <w:color w:val="3366FF"/>
      <w:sz w:val="24"/>
    </w:rPr>
  </w:style>
  <w:style w:type="paragraph" w:styleId="NoSpacing">
    <w:name w:val="No Spacing"/>
    <w:basedOn w:val="Normal"/>
    <w:link w:val="NoSpacingChar"/>
    <w:uiPriority w:val="99"/>
    <w:qFormat/>
    <w:rsid w:val="00FA4A00"/>
    <w:pPr>
      <w:ind w:firstLine="0"/>
    </w:pPr>
    <w:rPr>
      <w:rFonts w:ascii="Calibri" w:hAnsi="Calibri"/>
      <w:szCs w:val="20"/>
      <w:lang w:eastAsia="nl-NL"/>
    </w:rPr>
  </w:style>
  <w:style w:type="character" w:customStyle="1" w:styleId="NoSpacingChar">
    <w:name w:val="No Spacing Char"/>
    <w:basedOn w:val="DefaultParagraphFont"/>
    <w:link w:val="NoSpacing"/>
    <w:uiPriority w:val="99"/>
    <w:locked/>
    <w:rsid w:val="00FA4A00"/>
    <w:rPr>
      <w:rFonts w:cs="Times New Roman"/>
      <w:kern w:val="24"/>
      <w:sz w:val="24"/>
    </w:rPr>
  </w:style>
  <w:style w:type="paragraph" w:styleId="Quote">
    <w:name w:val="Quote"/>
    <w:basedOn w:val="Normal"/>
    <w:next w:val="Normal"/>
    <w:link w:val="QuoteChar"/>
    <w:uiPriority w:val="99"/>
    <w:qFormat/>
    <w:rsid w:val="00FA4A00"/>
    <w:rPr>
      <w:rFonts w:ascii="Cambria" w:hAnsi="Cambria"/>
      <w:i/>
      <w:iCs/>
      <w:color w:val="5A5A5A"/>
      <w:kern w:val="0"/>
      <w:sz w:val="20"/>
      <w:szCs w:val="20"/>
      <w:lang w:eastAsia="nl-NL"/>
    </w:rPr>
  </w:style>
  <w:style w:type="character" w:customStyle="1" w:styleId="QuoteChar">
    <w:name w:val="Quote Char"/>
    <w:basedOn w:val="DefaultParagraphFont"/>
    <w:link w:val="Quote"/>
    <w:uiPriority w:val="99"/>
    <w:locked/>
    <w:rsid w:val="00FA4A00"/>
    <w:rPr>
      <w:rFonts w:ascii="Cambria" w:hAnsi="Cambria" w:cs="Times New Roman"/>
      <w:i/>
      <w:iCs/>
      <w:color w:val="5A5A5A"/>
    </w:rPr>
  </w:style>
  <w:style w:type="paragraph" w:styleId="IntenseQuote">
    <w:name w:val="Intense Quote"/>
    <w:basedOn w:val="Normal"/>
    <w:next w:val="Normal"/>
    <w:link w:val="IntenseQuoteChar"/>
    <w:uiPriority w:val="99"/>
    <w:qFormat/>
    <w:rsid w:val="00FA4A00"/>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kern w:val="0"/>
      <w:szCs w:val="24"/>
      <w:lang w:eastAsia="nl-NL"/>
    </w:rPr>
  </w:style>
  <w:style w:type="character" w:customStyle="1" w:styleId="IntenseQuoteChar">
    <w:name w:val="Intense Quote Char"/>
    <w:basedOn w:val="DefaultParagraphFont"/>
    <w:link w:val="IntenseQuote"/>
    <w:uiPriority w:val="99"/>
    <w:locked/>
    <w:rsid w:val="00FA4A00"/>
    <w:rPr>
      <w:rFonts w:ascii="Cambria" w:hAnsi="Cambria" w:cs="Times New Roman"/>
      <w:i/>
      <w:iCs/>
      <w:color w:val="FFFFFF"/>
      <w:sz w:val="24"/>
      <w:szCs w:val="24"/>
      <w:shd w:val="clear" w:color="auto" w:fill="4F81BD"/>
    </w:rPr>
  </w:style>
  <w:style w:type="character" w:styleId="SubtleEmphasis">
    <w:name w:val="Subtle Emphasis"/>
    <w:basedOn w:val="DefaultParagraphFont"/>
    <w:uiPriority w:val="99"/>
    <w:qFormat/>
    <w:rsid w:val="00FA4A00"/>
    <w:rPr>
      <w:rFonts w:ascii="Gill Sans MT" w:hAnsi="Gill Sans MT"/>
      <w:color w:val="3366FF"/>
      <w:sz w:val="24"/>
      <w:shd w:val="clear" w:color="auto" w:fill="auto"/>
    </w:rPr>
  </w:style>
  <w:style w:type="character" w:styleId="IntenseEmphasis">
    <w:name w:val="Intense Emphasis"/>
    <w:basedOn w:val="DefaultParagraphFont"/>
    <w:uiPriority w:val="99"/>
    <w:qFormat/>
    <w:rsid w:val="00FA4A00"/>
    <w:rPr>
      <w:b/>
      <w:i/>
      <w:color w:val="4F81BD"/>
      <w:sz w:val="22"/>
    </w:rPr>
  </w:style>
  <w:style w:type="character" w:styleId="SubtleReference">
    <w:name w:val="Subtle Reference"/>
    <w:basedOn w:val="DefaultParagraphFont"/>
    <w:uiPriority w:val="99"/>
    <w:qFormat/>
    <w:rsid w:val="00FA4A00"/>
    <w:rPr>
      <w:color w:val="auto"/>
      <w:u w:val="single" w:color="9BBB59"/>
    </w:rPr>
  </w:style>
  <w:style w:type="character" w:styleId="IntenseReference">
    <w:name w:val="Intense Reference"/>
    <w:basedOn w:val="DefaultParagraphFont"/>
    <w:uiPriority w:val="99"/>
    <w:qFormat/>
    <w:rsid w:val="00FA4A00"/>
    <w:rPr>
      <w:rFonts w:cs="Times New Roman"/>
      <w:b/>
      <w:bCs/>
      <w:color w:val="76923C"/>
      <w:u w:val="single" w:color="9BBB59"/>
    </w:rPr>
  </w:style>
  <w:style w:type="character" w:styleId="BookTitle">
    <w:name w:val="Book Title"/>
    <w:basedOn w:val="DefaultParagraphFont"/>
    <w:uiPriority w:val="99"/>
    <w:qFormat/>
    <w:rsid w:val="00FA4A00"/>
    <w:rPr>
      <w:rFonts w:ascii="Cambria" w:hAnsi="Cambria" w:cs="Times New Roman"/>
      <w:b/>
      <w:bCs/>
      <w:i/>
      <w:iCs/>
      <w:color w:val="auto"/>
    </w:rPr>
  </w:style>
  <w:style w:type="paragraph" w:styleId="Bibliography">
    <w:name w:val="Bibliography"/>
    <w:basedOn w:val="Normal"/>
    <w:next w:val="Normal"/>
    <w:uiPriority w:val="99"/>
    <w:rsid w:val="006171D4"/>
  </w:style>
  <w:style w:type="paragraph" w:styleId="Header">
    <w:name w:val="header"/>
    <w:basedOn w:val="Normal"/>
    <w:link w:val="HeaderChar"/>
    <w:uiPriority w:val="99"/>
    <w:semiHidden/>
    <w:rsid w:val="00CC21A7"/>
    <w:pPr>
      <w:tabs>
        <w:tab w:val="center" w:pos="4536"/>
        <w:tab w:val="right" w:pos="9072"/>
      </w:tabs>
      <w:spacing w:line="240" w:lineRule="auto"/>
    </w:pPr>
  </w:style>
  <w:style w:type="character" w:customStyle="1" w:styleId="HeaderChar">
    <w:name w:val="Header Char"/>
    <w:basedOn w:val="DefaultParagraphFont"/>
    <w:link w:val="Header"/>
    <w:uiPriority w:val="99"/>
    <w:semiHidden/>
    <w:locked/>
    <w:rsid w:val="00CC21A7"/>
    <w:rPr>
      <w:rFonts w:ascii="Times New Roman" w:hAnsi="Times New Roman" w:cs="Times New Roman"/>
      <w:kern w:val="24"/>
      <w:sz w:val="22"/>
      <w:szCs w:val="22"/>
      <w:lang w:eastAsia="en-US"/>
    </w:rPr>
  </w:style>
  <w:style w:type="paragraph" w:styleId="Footer">
    <w:name w:val="footer"/>
    <w:basedOn w:val="Normal"/>
    <w:link w:val="FooterChar"/>
    <w:uiPriority w:val="99"/>
    <w:rsid w:val="00CC21A7"/>
    <w:pPr>
      <w:tabs>
        <w:tab w:val="center" w:pos="4536"/>
        <w:tab w:val="right" w:pos="9072"/>
      </w:tabs>
      <w:spacing w:line="240" w:lineRule="auto"/>
    </w:pPr>
  </w:style>
  <w:style w:type="character" w:customStyle="1" w:styleId="FooterChar">
    <w:name w:val="Footer Char"/>
    <w:basedOn w:val="DefaultParagraphFont"/>
    <w:link w:val="Footer"/>
    <w:uiPriority w:val="99"/>
    <w:locked/>
    <w:rsid w:val="00CC21A7"/>
    <w:rPr>
      <w:rFonts w:ascii="Times New Roman" w:hAnsi="Times New Roman" w:cs="Times New Roman"/>
      <w:kern w:val="24"/>
      <w:sz w:val="22"/>
      <w:szCs w:val="22"/>
      <w:lang w:eastAsia="en-US"/>
    </w:rPr>
  </w:style>
  <w:style w:type="paragraph" w:styleId="TableofFigures">
    <w:name w:val="table of figures"/>
    <w:basedOn w:val="Normal"/>
    <w:next w:val="Normal"/>
    <w:uiPriority w:val="99"/>
    <w:rsid w:val="00CA2DC5"/>
  </w:style>
  <w:style w:type="table" w:styleId="TableGrid">
    <w:name w:val="Table Grid"/>
    <w:basedOn w:val="TableNormal"/>
    <w:uiPriority w:val="99"/>
    <w:rsid w:val="00467B78"/>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56591566">
      <w:marLeft w:val="0"/>
      <w:marRight w:val="0"/>
      <w:marTop w:val="0"/>
      <w:marBottom w:val="0"/>
      <w:divBdr>
        <w:top w:val="none" w:sz="0" w:space="0" w:color="auto"/>
        <w:left w:val="none" w:sz="0" w:space="0" w:color="auto"/>
        <w:bottom w:val="none" w:sz="0" w:space="0" w:color="auto"/>
        <w:right w:val="none" w:sz="0" w:space="0" w:color="auto"/>
      </w:divBdr>
    </w:div>
    <w:div w:id="1056591567">
      <w:marLeft w:val="0"/>
      <w:marRight w:val="0"/>
      <w:marTop w:val="0"/>
      <w:marBottom w:val="0"/>
      <w:divBdr>
        <w:top w:val="none" w:sz="0" w:space="0" w:color="auto"/>
        <w:left w:val="none" w:sz="0" w:space="0" w:color="auto"/>
        <w:bottom w:val="none" w:sz="0" w:space="0" w:color="auto"/>
        <w:right w:val="none" w:sz="0" w:space="0" w:color="auto"/>
      </w:divBdr>
    </w:div>
    <w:div w:id="1056591568">
      <w:marLeft w:val="0"/>
      <w:marRight w:val="0"/>
      <w:marTop w:val="0"/>
      <w:marBottom w:val="0"/>
      <w:divBdr>
        <w:top w:val="none" w:sz="0" w:space="0" w:color="auto"/>
        <w:left w:val="none" w:sz="0" w:space="0" w:color="auto"/>
        <w:bottom w:val="none" w:sz="0" w:space="0" w:color="auto"/>
        <w:right w:val="none" w:sz="0" w:space="0" w:color="auto"/>
      </w:divBdr>
    </w:div>
    <w:div w:id="1056591569">
      <w:marLeft w:val="0"/>
      <w:marRight w:val="0"/>
      <w:marTop w:val="0"/>
      <w:marBottom w:val="0"/>
      <w:divBdr>
        <w:top w:val="none" w:sz="0" w:space="0" w:color="auto"/>
        <w:left w:val="none" w:sz="0" w:space="0" w:color="auto"/>
        <w:bottom w:val="none" w:sz="0" w:space="0" w:color="auto"/>
        <w:right w:val="none" w:sz="0" w:space="0" w:color="auto"/>
      </w:divBdr>
    </w:div>
    <w:div w:id="1056591570">
      <w:marLeft w:val="0"/>
      <w:marRight w:val="0"/>
      <w:marTop w:val="0"/>
      <w:marBottom w:val="0"/>
      <w:divBdr>
        <w:top w:val="none" w:sz="0" w:space="0" w:color="auto"/>
        <w:left w:val="none" w:sz="0" w:space="0" w:color="auto"/>
        <w:bottom w:val="none" w:sz="0" w:space="0" w:color="auto"/>
        <w:right w:val="none" w:sz="0" w:space="0" w:color="auto"/>
      </w:divBdr>
    </w:div>
    <w:div w:id="1056591571">
      <w:marLeft w:val="0"/>
      <w:marRight w:val="0"/>
      <w:marTop w:val="0"/>
      <w:marBottom w:val="0"/>
      <w:divBdr>
        <w:top w:val="none" w:sz="0" w:space="0" w:color="auto"/>
        <w:left w:val="none" w:sz="0" w:space="0" w:color="auto"/>
        <w:bottom w:val="none" w:sz="0" w:space="0" w:color="auto"/>
        <w:right w:val="none" w:sz="0" w:space="0" w:color="auto"/>
      </w:divBdr>
    </w:div>
    <w:div w:id="1056591572">
      <w:marLeft w:val="0"/>
      <w:marRight w:val="0"/>
      <w:marTop w:val="0"/>
      <w:marBottom w:val="0"/>
      <w:divBdr>
        <w:top w:val="none" w:sz="0" w:space="0" w:color="auto"/>
        <w:left w:val="none" w:sz="0" w:space="0" w:color="auto"/>
        <w:bottom w:val="none" w:sz="0" w:space="0" w:color="auto"/>
        <w:right w:val="none" w:sz="0" w:space="0" w:color="auto"/>
      </w:divBdr>
    </w:div>
    <w:div w:id="1056591573">
      <w:marLeft w:val="0"/>
      <w:marRight w:val="0"/>
      <w:marTop w:val="0"/>
      <w:marBottom w:val="0"/>
      <w:divBdr>
        <w:top w:val="none" w:sz="0" w:space="0" w:color="auto"/>
        <w:left w:val="none" w:sz="0" w:space="0" w:color="auto"/>
        <w:bottom w:val="none" w:sz="0" w:space="0" w:color="auto"/>
        <w:right w:val="none" w:sz="0" w:space="0" w:color="auto"/>
      </w:divBdr>
    </w:div>
    <w:div w:id="1056591574">
      <w:marLeft w:val="0"/>
      <w:marRight w:val="0"/>
      <w:marTop w:val="0"/>
      <w:marBottom w:val="0"/>
      <w:divBdr>
        <w:top w:val="none" w:sz="0" w:space="0" w:color="auto"/>
        <w:left w:val="none" w:sz="0" w:space="0" w:color="auto"/>
        <w:bottom w:val="none" w:sz="0" w:space="0" w:color="auto"/>
        <w:right w:val="none" w:sz="0" w:space="0" w:color="auto"/>
      </w:divBdr>
    </w:div>
    <w:div w:id="1056591575">
      <w:marLeft w:val="0"/>
      <w:marRight w:val="0"/>
      <w:marTop w:val="0"/>
      <w:marBottom w:val="0"/>
      <w:divBdr>
        <w:top w:val="none" w:sz="0" w:space="0" w:color="auto"/>
        <w:left w:val="none" w:sz="0" w:space="0" w:color="auto"/>
        <w:bottom w:val="none" w:sz="0" w:space="0" w:color="auto"/>
        <w:right w:val="none" w:sz="0" w:space="0" w:color="auto"/>
      </w:divBdr>
    </w:div>
    <w:div w:id="1056591576">
      <w:marLeft w:val="0"/>
      <w:marRight w:val="0"/>
      <w:marTop w:val="0"/>
      <w:marBottom w:val="0"/>
      <w:divBdr>
        <w:top w:val="none" w:sz="0" w:space="0" w:color="auto"/>
        <w:left w:val="none" w:sz="0" w:space="0" w:color="auto"/>
        <w:bottom w:val="none" w:sz="0" w:space="0" w:color="auto"/>
        <w:right w:val="none" w:sz="0" w:space="0" w:color="auto"/>
      </w:divBdr>
    </w:div>
    <w:div w:id="1056591577">
      <w:marLeft w:val="0"/>
      <w:marRight w:val="0"/>
      <w:marTop w:val="0"/>
      <w:marBottom w:val="0"/>
      <w:divBdr>
        <w:top w:val="none" w:sz="0" w:space="0" w:color="auto"/>
        <w:left w:val="none" w:sz="0" w:space="0" w:color="auto"/>
        <w:bottom w:val="none" w:sz="0" w:space="0" w:color="auto"/>
        <w:right w:val="none" w:sz="0" w:space="0" w:color="auto"/>
      </w:divBdr>
    </w:div>
    <w:div w:id="1056591578">
      <w:marLeft w:val="0"/>
      <w:marRight w:val="0"/>
      <w:marTop w:val="0"/>
      <w:marBottom w:val="0"/>
      <w:divBdr>
        <w:top w:val="none" w:sz="0" w:space="0" w:color="auto"/>
        <w:left w:val="none" w:sz="0" w:space="0" w:color="auto"/>
        <w:bottom w:val="none" w:sz="0" w:space="0" w:color="auto"/>
        <w:right w:val="none" w:sz="0" w:space="0" w:color="auto"/>
      </w:divBdr>
    </w:div>
    <w:div w:id="105659157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41</Pages>
  <Words>6824</Words>
  <Characters>-32766</Characters>
  <Application>Microsoft Office Outlook</Application>
  <DocSecurity>0</DocSecurity>
  <Lines>0</Lines>
  <Paragraphs>0</Paragraphs>
  <ScaleCrop>false</ScaleCrop>
  <Company>Erasmus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Dividend, een informatief beleid</dc:title>
  <dc:subject/>
  <dc:creator>Jack de Groot</dc:creator>
  <cp:keywords>Bachelor Scriptie</cp:keywords>
  <dc:description/>
  <cp:lastModifiedBy>S van Bogaert</cp:lastModifiedBy>
  <cp:revision>2</cp:revision>
  <cp:lastPrinted>2010-07-21T12:32:00Z</cp:lastPrinted>
  <dcterms:created xsi:type="dcterms:W3CDTF">2010-07-22T07:15:00Z</dcterms:created>
  <dcterms:modified xsi:type="dcterms:W3CDTF">2010-07-22T07:15:00Z</dcterms:modified>
  <cp:category>Erasmus Universiteit Rotterdam</cp:category>
</cp:coreProperties>
</file>