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Pr>
        <w:id w:val="22492786"/>
        <w:docPartObj>
          <w:docPartGallery w:val="Cover Pages"/>
          <w:docPartUnique/>
        </w:docPartObj>
      </w:sdtPr>
      <w:sdtEndPr>
        <w:rPr>
          <w:rFonts w:asciiTheme="minorHAnsi" w:eastAsiaTheme="minorHAnsi" w:hAnsiTheme="minorHAnsi" w:cstheme="minorBidi"/>
          <w:i/>
          <w:sz w:val="26"/>
          <w:szCs w:val="26"/>
        </w:rPr>
      </w:sdtEndPr>
      <w:sdtContent>
        <w:p w:rsidR="00E137F5" w:rsidRDefault="00E137F5">
          <w:pPr>
            <w:pStyle w:val="Geenafstand"/>
            <w:rPr>
              <w:rFonts w:asciiTheme="majorHAnsi" w:eastAsiaTheme="majorEastAsia" w:hAnsiTheme="majorHAnsi" w:cstheme="majorBidi"/>
              <w:sz w:val="72"/>
              <w:szCs w:val="72"/>
            </w:rPr>
          </w:pPr>
        </w:p>
        <w:p w:rsidR="00566752" w:rsidRDefault="00C65841">
          <w:pPr>
            <w:pStyle w:val="Geenafstand"/>
            <w:rPr>
              <w:rFonts w:asciiTheme="majorHAnsi" w:eastAsiaTheme="majorEastAsia" w:hAnsiTheme="majorHAnsi" w:cstheme="majorBidi"/>
              <w:sz w:val="72"/>
              <w:szCs w:val="72"/>
            </w:rPr>
          </w:pPr>
          <w:r w:rsidRPr="00C65841">
            <w:rPr>
              <w:rFonts w:eastAsiaTheme="majorEastAsia" w:cstheme="majorBidi"/>
              <w:noProof/>
            </w:rPr>
            <w:pict>
              <v:rect id="_x0000_s1027" style="position:absolute;margin-left:0;margin-top:0;width:624.25pt;height:63pt;z-index:251682816;mso-width-percent:1050;mso-height-percent:900;mso-position-horizontal:center;mso-position-horizontal-relative:page;mso-position-vertical:bottom;mso-position-vertical-relative:page;mso-width-percent:1050;mso-height-percent:900;mso-height-relative:top-margin-area" o:allowincell="f" fillcolor="#4f81bd [3204]" strokecolor="#f2f2f2 [3041]" strokeweight="3pt">
                <v:shadow on="t" type="perspective" color="#243f60 [1604]" opacity=".5" offset="1pt" offset2="-1pt"/>
                <w10:wrap anchorx="page" anchory="page"/>
              </v:rect>
            </w:pict>
          </w:r>
          <w:r w:rsidRPr="00C65841">
            <w:rPr>
              <w:rFonts w:eastAsiaTheme="majorEastAsia" w:cstheme="majorBidi"/>
              <w:noProof/>
            </w:rPr>
            <w:pict>
              <v:rect id="_x0000_s1030" style="position:absolute;margin-left:0;margin-top:0;width:7.15pt;height:883.2pt;z-index:251685888;mso-height-percent:1050;mso-position-horizontal:center;mso-position-horizontal-relative:left-margin-area;mso-position-vertical:center;mso-position-vertical-relative:page;mso-height-percent:1050" o:allowincell="f" fillcolor="#4f81bd [3204]" strokecolor="#f2f2f2 [3041]" strokeweight="3pt">
                <v:shadow on="t" type="perspective" color="#243f60 [1604]" opacity=".5" offset="1pt" offset2="-1pt"/>
                <w10:wrap anchorx="margin" anchory="page"/>
              </v:rect>
            </w:pict>
          </w:r>
          <w:r w:rsidRPr="00C65841">
            <w:rPr>
              <w:rFonts w:eastAsiaTheme="majorEastAsia" w:cstheme="majorBidi"/>
              <w:noProof/>
            </w:rPr>
            <w:pict>
              <v:rect id="_x0000_s1029" style="position:absolute;margin-left:0;margin-top:0;width:7.15pt;height:883.2pt;z-index:251684864;mso-height-percent:1050;mso-position-horizontal:center;mso-position-horizontal-relative:right-margin-area;mso-position-vertical:center;mso-position-vertical-relative:page;mso-height-percent:1050" o:allowincell="f" fillcolor="#4f81bd [3204]" strokecolor="#f2f2f2 [3041]" strokeweight="3pt">
                <v:shadow on="t" type="perspective" color="#243f60 [1604]" opacity=".5" offset="1pt" offset2="-1pt"/>
                <w10:wrap anchorx="page" anchory="page"/>
              </v:rect>
            </w:pict>
          </w:r>
          <w:r w:rsidRPr="00C65841">
            <w:rPr>
              <w:rFonts w:eastAsiaTheme="majorEastAsia" w:cstheme="majorBidi"/>
              <w:noProof/>
            </w:rPr>
            <w:pict>
              <v:rect id="_x0000_s1028" style="position:absolute;margin-left:0;margin-top:0;width:624.25pt;height:63pt;z-index:251683840;mso-width-percent:1050;mso-height-percent:900;mso-position-horizontal:center;mso-position-horizontal-relative:page;mso-position-vertical:top;mso-position-vertical-relative:top-margin-area;mso-width-percent:1050;mso-height-percent:900;mso-height-relative:top-margin-area" o:allowincell="f" fillcolor="#4f81bd [3204]" strokecolor="#f2f2f2 [3041]" strokeweight="3pt">
                <v:shadow on="t" type="perspective" color="#243f60 [1604]" opacity=".5" offset="1pt" offset2="-1pt"/>
                <w10:wrap anchorx="page" anchory="margin"/>
              </v:rect>
            </w:pict>
          </w:r>
        </w:p>
        <w:sdt>
          <w:sdtPr>
            <w:rPr>
              <w:rFonts w:eastAsiaTheme="majorEastAsia" w:cstheme="majorBidi"/>
              <w:sz w:val="72"/>
              <w:szCs w:val="72"/>
            </w:rPr>
            <w:alias w:val="Titel"/>
            <w:id w:val="14700071"/>
            <w:dataBinding w:prefixMappings="xmlns:ns0='http://schemas.openxmlformats.org/package/2006/metadata/core-properties' xmlns:ns1='http://purl.org/dc/elements/1.1/'" w:xpath="/ns0:coreProperties[1]/ns1:title[1]" w:storeItemID="{6C3C8BC8-F283-45AE-878A-BAB7291924A1}"/>
            <w:text/>
          </w:sdtPr>
          <w:sdtContent>
            <w:p w:rsidR="00566752" w:rsidRPr="00C725C5" w:rsidRDefault="00E137F5">
              <w:pPr>
                <w:pStyle w:val="Geenafstand"/>
                <w:rPr>
                  <w:rFonts w:eastAsiaTheme="majorEastAsia" w:cstheme="majorBidi"/>
                  <w:sz w:val="72"/>
                  <w:szCs w:val="72"/>
                </w:rPr>
              </w:pPr>
              <w:r>
                <w:rPr>
                  <w:rFonts w:eastAsiaTheme="majorEastAsia" w:cstheme="majorBidi"/>
                  <w:sz w:val="72"/>
                  <w:szCs w:val="72"/>
                </w:rPr>
                <w:t>Hypotheekrenteaftrek stimuleert hypotheekbezit</w:t>
              </w:r>
            </w:p>
          </w:sdtContent>
        </w:sdt>
        <w:sdt>
          <w:sdtPr>
            <w:rPr>
              <w:rFonts w:eastAsiaTheme="majorEastAsia" w:cstheme="majorBidi"/>
              <w:sz w:val="36"/>
              <w:szCs w:val="36"/>
            </w:rPr>
            <w:alias w:val="Ondertitel"/>
            <w:id w:val="14700077"/>
            <w:dataBinding w:prefixMappings="xmlns:ns0='http://schemas.openxmlformats.org/package/2006/metadata/core-properties' xmlns:ns1='http://purl.org/dc/elements/1.1/'" w:xpath="/ns0:coreProperties[1]/ns1:subject[1]" w:storeItemID="{6C3C8BC8-F283-45AE-878A-BAB7291924A1}"/>
            <w:text/>
          </w:sdtPr>
          <w:sdtContent>
            <w:p w:rsidR="00566752" w:rsidRPr="00C725C5" w:rsidRDefault="004D0ED2">
              <w:pPr>
                <w:pStyle w:val="Geenafstand"/>
                <w:rPr>
                  <w:rFonts w:eastAsiaTheme="majorEastAsia" w:cstheme="majorBidi"/>
                  <w:sz w:val="36"/>
                  <w:szCs w:val="36"/>
                </w:rPr>
              </w:pPr>
              <w:r>
                <w:rPr>
                  <w:rFonts w:eastAsiaTheme="majorEastAsia" w:cstheme="majorBidi"/>
                  <w:sz w:val="36"/>
                  <w:szCs w:val="36"/>
                </w:rPr>
                <w:t xml:space="preserve">Een algehele </w:t>
              </w:r>
              <w:r w:rsidR="00630103">
                <w:rPr>
                  <w:rFonts w:eastAsiaTheme="majorEastAsia" w:cstheme="majorBidi"/>
                  <w:sz w:val="36"/>
                  <w:szCs w:val="36"/>
                </w:rPr>
                <w:t>hervorming</w:t>
              </w:r>
              <w:r>
                <w:rPr>
                  <w:rFonts w:eastAsiaTheme="majorEastAsia" w:cstheme="majorBidi"/>
                  <w:sz w:val="36"/>
                  <w:szCs w:val="36"/>
                </w:rPr>
                <w:t xml:space="preserve"> van de Nederlandse woningmarkt</w:t>
              </w:r>
            </w:p>
          </w:sdtContent>
        </w:sdt>
        <w:p w:rsidR="00566752" w:rsidRDefault="00566752">
          <w:pPr>
            <w:pStyle w:val="Geenafstand"/>
            <w:rPr>
              <w:rFonts w:asciiTheme="majorHAnsi" w:eastAsiaTheme="majorEastAsia" w:hAnsiTheme="majorHAnsi" w:cstheme="majorBidi"/>
              <w:sz w:val="36"/>
              <w:szCs w:val="36"/>
            </w:rPr>
          </w:pPr>
        </w:p>
        <w:p w:rsidR="00C725C5" w:rsidRDefault="00C725C5">
          <w:pPr>
            <w:pStyle w:val="Geenafstand"/>
            <w:rPr>
              <w:rFonts w:asciiTheme="majorHAnsi" w:eastAsiaTheme="majorEastAsia" w:hAnsiTheme="majorHAnsi" w:cstheme="majorBidi"/>
              <w:sz w:val="36"/>
              <w:szCs w:val="36"/>
            </w:rPr>
          </w:pPr>
        </w:p>
        <w:p w:rsidR="00C725C5" w:rsidRDefault="00C725C5" w:rsidP="00C725C5">
          <w:pPr>
            <w:pStyle w:val="Geenafstand"/>
          </w:pPr>
        </w:p>
        <w:p w:rsidR="006C39F8" w:rsidRDefault="006C39F8" w:rsidP="00EA5468">
          <w:pPr>
            <w:pStyle w:val="Geenafstand"/>
            <w:spacing w:line="360" w:lineRule="auto"/>
            <w:rPr>
              <w:rFonts w:asciiTheme="majorHAnsi" w:eastAsiaTheme="majorEastAsia" w:hAnsiTheme="majorHAnsi" w:cstheme="majorBidi"/>
              <w:sz w:val="30"/>
              <w:szCs w:val="30"/>
            </w:rPr>
          </w:pPr>
        </w:p>
        <w:p w:rsidR="006C39F8" w:rsidRDefault="006C39F8" w:rsidP="00EA5468">
          <w:pPr>
            <w:pStyle w:val="Geenafstand"/>
            <w:spacing w:line="360" w:lineRule="auto"/>
            <w:rPr>
              <w:rFonts w:asciiTheme="majorHAnsi" w:eastAsiaTheme="majorEastAsia" w:hAnsiTheme="majorHAnsi" w:cstheme="majorBidi"/>
              <w:sz w:val="30"/>
              <w:szCs w:val="30"/>
            </w:rPr>
          </w:pPr>
        </w:p>
        <w:p w:rsidR="006C39F8" w:rsidRDefault="006C39F8" w:rsidP="00EA5468">
          <w:pPr>
            <w:pStyle w:val="Geenafstand"/>
            <w:spacing w:line="360" w:lineRule="auto"/>
            <w:rPr>
              <w:rFonts w:asciiTheme="majorHAnsi" w:eastAsiaTheme="majorEastAsia" w:hAnsiTheme="majorHAnsi" w:cstheme="majorBidi"/>
              <w:sz w:val="30"/>
              <w:szCs w:val="30"/>
            </w:rPr>
          </w:pPr>
        </w:p>
        <w:p w:rsidR="006C39F8" w:rsidRDefault="006C39F8" w:rsidP="00EA5468">
          <w:pPr>
            <w:pStyle w:val="Geenafstand"/>
            <w:spacing w:line="360" w:lineRule="auto"/>
            <w:rPr>
              <w:rFonts w:asciiTheme="majorHAnsi" w:eastAsiaTheme="majorEastAsia" w:hAnsiTheme="majorHAnsi" w:cstheme="majorBidi"/>
              <w:sz w:val="30"/>
              <w:szCs w:val="30"/>
            </w:rPr>
          </w:pPr>
        </w:p>
        <w:p w:rsidR="006C39F8" w:rsidRDefault="006C39F8" w:rsidP="00EA5468">
          <w:pPr>
            <w:pStyle w:val="Geenafstand"/>
            <w:spacing w:line="360" w:lineRule="auto"/>
            <w:rPr>
              <w:rFonts w:asciiTheme="majorHAnsi" w:eastAsiaTheme="majorEastAsia" w:hAnsiTheme="majorHAnsi" w:cstheme="majorBidi"/>
              <w:sz w:val="30"/>
              <w:szCs w:val="30"/>
            </w:rPr>
          </w:pPr>
        </w:p>
        <w:p w:rsidR="006C39F8" w:rsidRDefault="006C39F8" w:rsidP="00EA5468">
          <w:pPr>
            <w:pStyle w:val="Geenafstand"/>
            <w:spacing w:line="360" w:lineRule="auto"/>
            <w:rPr>
              <w:rFonts w:asciiTheme="majorHAnsi" w:eastAsiaTheme="majorEastAsia" w:hAnsiTheme="majorHAnsi" w:cstheme="majorBidi"/>
              <w:sz w:val="30"/>
              <w:szCs w:val="30"/>
            </w:rPr>
          </w:pPr>
        </w:p>
        <w:p w:rsidR="006C39F8" w:rsidRDefault="006C39F8" w:rsidP="00EA5468">
          <w:pPr>
            <w:pStyle w:val="Geenafstand"/>
            <w:spacing w:line="360" w:lineRule="auto"/>
            <w:rPr>
              <w:rFonts w:asciiTheme="majorHAnsi" w:eastAsiaTheme="majorEastAsia" w:hAnsiTheme="majorHAnsi" w:cstheme="majorBidi"/>
              <w:sz w:val="30"/>
              <w:szCs w:val="30"/>
            </w:rPr>
          </w:pPr>
        </w:p>
        <w:p w:rsidR="006C39F8" w:rsidRDefault="006C39F8" w:rsidP="00EA5468">
          <w:pPr>
            <w:pStyle w:val="Geenafstand"/>
            <w:spacing w:line="360" w:lineRule="auto"/>
            <w:rPr>
              <w:rFonts w:asciiTheme="majorHAnsi" w:eastAsiaTheme="majorEastAsia" w:hAnsiTheme="majorHAnsi" w:cstheme="majorBidi"/>
              <w:sz w:val="30"/>
              <w:szCs w:val="30"/>
            </w:rPr>
          </w:pPr>
        </w:p>
        <w:p w:rsidR="006C39F8" w:rsidRDefault="006C39F8" w:rsidP="00EA5468">
          <w:pPr>
            <w:pStyle w:val="Geenafstand"/>
            <w:spacing w:line="360" w:lineRule="auto"/>
            <w:rPr>
              <w:rFonts w:asciiTheme="majorHAnsi" w:eastAsiaTheme="majorEastAsia" w:hAnsiTheme="majorHAnsi" w:cstheme="majorBidi"/>
              <w:sz w:val="30"/>
              <w:szCs w:val="30"/>
            </w:rPr>
          </w:pPr>
        </w:p>
        <w:p w:rsidR="006C39F8" w:rsidRDefault="006C39F8" w:rsidP="00EA5468">
          <w:pPr>
            <w:pStyle w:val="Geenafstand"/>
            <w:spacing w:line="360" w:lineRule="auto"/>
            <w:rPr>
              <w:rFonts w:asciiTheme="majorHAnsi" w:eastAsiaTheme="majorEastAsia" w:hAnsiTheme="majorHAnsi" w:cstheme="majorBidi"/>
              <w:sz w:val="30"/>
              <w:szCs w:val="30"/>
            </w:rPr>
          </w:pPr>
        </w:p>
        <w:p w:rsidR="00566752" w:rsidRPr="004D0ED2" w:rsidRDefault="00C725C5" w:rsidP="006C39F8">
          <w:pPr>
            <w:pStyle w:val="Geenafstand"/>
            <w:spacing w:line="360" w:lineRule="auto"/>
            <w:jc w:val="right"/>
            <w:rPr>
              <w:rFonts w:eastAsiaTheme="majorEastAsia" w:cstheme="majorBidi"/>
              <w:sz w:val="28"/>
              <w:szCs w:val="28"/>
            </w:rPr>
          </w:pPr>
          <w:r w:rsidRPr="004D0ED2">
            <w:rPr>
              <w:rFonts w:eastAsiaTheme="majorEastAsia" w:cstheme="majorBidi"/>
              <w:sz w:val="28"/>
              <w:szCs w:val="28"/>
            </w:rPr>
            <w:t>Bachelorscriptie Willemien van der Windt 313457</w:t>
          </w:r>
        </w:p>
        <w:p w:rsidR="00C725C5" w:rsidRPr="004D0ED2" w:rsidRDefault="00C725C5" w:rsidP="006C39F8">
          <w:pPr>
            <w:pStyle w:val="Geenafstand"/>
            <w:spacing w:line="360" w:lineRule="auto"/>
            <w:jc w:val="right"/>
            <w:rPr>
              <w:rFonts w:eastAsiaTheme="majorEastAsia" w:cstheme="majorBidi"/>
              <w:sz w:val="28"/>
              <w:szCs w:val="28"/>
            </w:rPr>
          </w:pPr>
          <w:r w:rsidRPr="004D0ED2">
            <w:rPr>
              <w:rFonts w:eastAsiaTheme="majorEastAsia" w:cstheme="majorBidi"/>
              <w:sz w:val="28"/>
              <w:szCs w:val="28"/>
            </w:rPr>
            <w:t>Erasmus Universiteit Rotterdam</w:t>
          </w:r>
        </w:p>
        <w:p w:rsidR="00C725C5" w:rsidRPr="004D0ED2" w:rsidRDefault="00C725C5" w:rsidP="006C39F8">
          <w:pPr>
            <w:pStyle w:val="Geenafstand"/>
            <w:spacing w:line="360" w:lineRule="auto"/>
            <w:jc w:val="right"/>
            <w:rPr>
              <w:rFonts w:eastAsiaTheme="majorEastAsia" w:cstheme="majorBidi"/>
              <w:sz w:val="28"/>
              <w:szCs w:val="28"/>
            </w:rPr>
          </w:pPr>
          <w:r w:rsidRPr="004D0ED2">
            <w:rPr>
              <w:rFonts w:eastAsiaTheme="majorEastAsia" w:cstheme="majorBidi"/>
              <w:sz w:val="28"/>
              <w:szCs w:val="28"/>
            </w:rPr>
            <w:t>Algemene Economie juli 2010</w:t>
          </w:r>
        </w:p>
        <w:p w:rsidR="006C39F8" w:rsidRPr="004D0ED2" w:rsidRDefault="006C39F8" w:rsidP="006C39F8">
          <w:pPr>
            <w:pStyle w:val="Geenafstand"/>
            <w:spacing w:line="360" w:lineRule="auto"/>
            <w:jc w:val="right"/>
            <w:rPr>
              <w:rFonts w:eastAsiaTheme="majorEastAsia" w:cstheme="majorBidi"/>
              <w:sz w:val="28"/>
              <w:szCs w:val="28"/>
            </w:rPr>
          </w:pPr>
          <w:r w:rsidRPr="004D0ED2">
            <w:rPr>
              <w:rFonts w:eastAsiaTheme="majorEastAsia" w:cstheme="majorBidi"/>
              <w:sz w:val="28"/>
              <w:szCs w:val="28"/>
            </w:rPr>
            <w:t>Scriptiebegeleider: Prof. dr. J. van Sinderen</w:t>
          </w:r>
        </w:p>
        <w:p w:rsidR="00566752" w:rsidRDefault="00566752" w:rsidP="00EA5468">
          <w:pPr>
            <w:pStyle w:val="Geenafstand"/>
            <w:spacing w:line="360" w:lineRule="auto"/>
          </w:pPr>
        </w:p>
        <w:p w:rsidR="00566752" w:rsidRDefault="00566752">
          <w:pPr>
            <w:pStyle w:val="Geenafstand"/>
          </w:pPr>
        </w:p>
        <w:p w:rsidR="00566752" w:rsidRDefault="00566752"/>
        <w:p w:rsidR="00566752" w:rsidRDefault="00566752">
          <w:pPr>
            <w:rPr>
              <w:i/>
              <w:sz w:val="26"/>
              <w:szCs w:val="26"/>
            </w:rPr>
          </w:pPr>
          <w:r>
            <w:rPr>
              <w:i/>
              <w:sz w:val="26"/>
              <w:szCs w:val="26"/>
            </w:rPr>
            <w:br w:type="page"/>
          </w:r>
        </w:p>
      </w:sdtContent>
    </w:sdt>
    <w:p w:rsidR="00A10074" w:rsidRDefault="00EC09C6" w:rsidP="00566752">
      <w:pPr>
        <w:spacing w:line="360" w:lineRule="auto"/>
        <w:rPr>
          <w:i/>
          <w:sz w:val="26"/>
          <w:szCs w:val="26"/>
        </w:rPr>
      </w:pPr>
      <w:r>
        <w:rPr>
          <w:i/>
          <w:sz w:val="26"/>
          <w:szCs w:val="26"/>
        </w:rPr>
        <w:lastRenderedPageBreak/>
        <w:t xml:space="preserve">Inhoud </w:t>
      </w:r>
    </w:p>
    <w:p w:rsidR="00A10074" w:rsidRDefault="00A10074" w:rsidP="00566752">
      <w:pPr>
        <w:spacing w:line="360" w:lineRule="auto"/>
      </w:pPr>
      <w:r>
        <w:t xml:space="preserve">1 </w:t>
      </w:r>
      <w:r>
        <w:tab/>
        <w:t>Inleiding</w:t>
      </w:r>
      <w:r w:rsidR="00F739AF">
        <w:tab/>
      </w:r>
      <w:r w:rsidR="00F739AF">
        <w:tab/>
      </w:r>
      <w:r w:rsidR="00F739AF">
        <w:tab/>
      </w:r>
      <w:r w:rsidR="00F739AF">
        <w:tab/>
      </w:r>
      <w:r w:rsidR="00F739AF">
        <w:tab/>
      </w:r>
      <w:r w:rsidR="00F739AF">
        <w:tab/>
      </w:r>
      <w:r w:rsidR="006F3952">
        <w:tab/>
      </w:r>
      <w:r w:rsidR="00F739AF">
        <w:t>4</w:t>
      </w:r>
    </w:p>
    <w:p w:rsidR="00566752" w:rsidRDefault="00566752" w:rsidP="00566752">
      <w:pPr>
        <w:spacing w:line="360" w:lineRule="auto"/>
      </w:pPr>
      <w:r>
        <w:t xml:space="preserve">2  </w:t>
      </w:r>
      <w:r>
        <w:tab/>
        <w:t>Koopsector</w:t>
      </w:r>
      <w:r w:rsidR="00F739AF">
        <w:tab/>
      </w:r>
      <w:r w:rsidR="00F739AF">
        <w:tab/>
      </w:r>
      <w:r w:rsidR="00F739AF">
        <w:tab/>
      </w:r>
      <w:r w:rsidR="00F739AF">
        <w:tab/>
      </w:r>
      <w:r w:rsidR="00F739AF">
        <w:tab/>
      </w:r>
      <w:r w:rsidR="00F739AF">
        <w:tab/>
      </w:r>
      <w:r w:rsidR="006F3952">
        <w:tab/>
      </w:r>
      <w:r w:rsidR="00F739AF">
        <w:t>5</w:t>
      </w:r>
    </w:p>
    <w:p w:rsidR="00566752" w:rsidRDefault="00566752" w:rsidP="00566752">
      <w:pPr>
        <w:spacing w:line="360" w:lineRule="auto"/>
      </w:pPr>
      <w:r>
        <w:t xml:space="preserve">2.1 </w:t>
      </w:r>
      <w:r>
        <w:tab/>
        <w:t>Eigenwoningforfait</w:t>
      </w:r>
      <w:r w:rsidR="00F739AF">
        <w:tab/>
      </w:r>
      <w:r w:rsidR="00F739AF">
        <w:tab/>
      </w:r>
      <w:r w:rsidR="00F739AF">
        <w:tab/>
      </w:r>
      <w:r w:rsidR="00F739AF">
        <w:tab/>
      </w:r>
      <w:r w:rsidR="00F739AF">
        <w:tab/>
      </w:r>
      <w:r w:rsidR="006F3952">
        <w:tab/>
      </w:r>
      <w:r w:rsidR="00F739AF">
        <w:t>5</w:t>
      </w:r>
      <w:r>
        <w:br/>
        <w:t>2.2</w:t>
      </w:r>
      <w:r>
        <w:tab/>
        <w:t>Impliciete subsidie</w:t>
      </w:r>
      <w:r w:rsidR="00F739AF">
        <w:tab/>
      </w:r>
      <w:r w:rsidR="00F739AF">
        <w:tab/>
      </w:r>
      <w:r w:rsidR="00F739AF">
        <w:tab/>
      </w:r>
      <w:r w:rsidR="00F739AF">
        <w:tab/>
      </w:r>
      <w:r w:rsidR="00F739AF">
        <w:tab/>
      </w:r>
      <w:r w:rsidR="006F3952">
        <w:tab/>
      </w:r>
      <w:r w:rsidR="00F739AF">
        <w:t>6</w:t>
      </w:r>
      <w:r>
        <w:br/>
        <w:t>2.3</w:t>
      </w:r>
      <w:r>
        <w:tab/>
        <w:t>Expliciete subsidie</w:t>
      </w:r>
      <w:r w:rsidR="00F739AF">
        <w:tab/>
      </w:r>
      <w:r w:rsidR="00F739AF">
        <w:tab/>
      </w:r>
      <w:r w:rsidR="00F739AF">
        <w:tab/>
      </w:r>
      <w:r w:rsidR="00F739AF">
        <w:tab/>
      </w:r>
      <w:r w:rsidR="00F739AF">
        <w:tab/>
      </w:r>
      <w:r w:rsidR="006F3952">
        <w:tab/>
      </w:r>
      <w:r w:rsidR="00F739AF">
        <w:t>7</w:t>
      </w:r>
      <w:r>
        <w:br/>
        <w:t>2.4</w:t>
      </w:r>
      <w:r>
        <w:tab/>
        <w:t>Andere heffingen op de eigen woning</w:t>
      </w:r>
      <w:r w:rsidR="00F739AF">
        <w:tab/>
      </w:r>
      <w:r w:rsidR="00F739AF">
        <w:tab/>
      </w:r>
      <w:r w:rsidR="00F739AF">
        <w:tab/>
      </w:r>
      <w:r w:rsidR="006F3952">
        <w:tab/>
      </w:r>
      <w:r w:rsidR="009D0435">
        <w:t>8</w:t>
      </w:r>
      <w:r>
        <w:br/>
        <w:t xml:space="preserve">2.5 </w:t>
      </w:r>
      <w:r>
        <w:tab/>
        <w:t>Motief voor subsidiëring eigen woning</w:t>
      </w:r>
      <w:r w:rsidR="00F739AF">
        <w:tab/>
      </w:r>
      <w:r w:rsidR="00F739AF">
        <w:tab/>
      </w:r>
      <w:r w:rsidR="00F739AF">
        <w:tab/>
      </w:r>
      <w:r w:rsidR="006F3952">
        <w:tab/>
      </w:r>
      <w:r w:rsidR="00F739AF">
        <w:t>8</w:t>
      </w:r>
    </w:p>
    <w:p w:rsidR="00566752" w:rsidRDefault="00566752" w:rsidP="00566752">
      <w:pPr>
        <w:spacing w:line="360" w:lineRule="auto"/>
      </w:pPr>
      <w:r>
        <w:t>3</w:t>
      </w:r>
      <w:r>
        <w:tab/>
        <w:t>Huursector</w:t>
      </w:r>
      <w:r w:rsidR="00F739AF">
        <w:tab/>
      </w:r>
      <w:r w:rsidR="00F739AF">
        <w:tab/>
      </w:r>
      <w:r w:rsidR="00F739AF">
        <w:tab/>
      </w:r>
      <w:r w:rsidR="00F739AF">
        <w:tab/>
      </w:r>
      <w:r w:rsidR="00F739AF">
        <w:tab/>
      </w:r>
      <w:r w:rsidR="00F739AF">
        <w:tab/>
      </w:r>
      <w:r w:rsidR="006F3952">
        <w:tab/>
      </w:r>
      <w:r w:rsidR="00F61C3A">
        <w:t>10</w:t>
      </w:r>
    </w:p>
    <w:p w:rsidR="00566752" w:rsidRDefault="00566752" w:rsidP="00566752">
      <w:pPr>
        <w:spacing w:line="360" w:lineRule="auto"/>
      </w:pPr>
      <w:r>
        <w:t>3.1</w:t>
      </w:r>
      <w:r>
        <w:tab/>
        <w:t>Huurprijsregulering</w:t>
      </w:r>
      <w:r w:rsidR="00F739AF">
        <w:tab/>
      </w:r>
      <w:r w:rsidR="00F739AF">
        <w:tab/>
      </w:r>
      <w:r w:rsidR="00F739AF">
        <w:tab/>
      </w:r>
      <w:r w:rsidR="00F739AF">
        <w:tab/>
      </w:r>
      <w:r w:rsidR="00F739AF">
        <w:tab/>
      </w:r>
      <w:r w:rsidR="006F3952">
        <w:tab/>
      </w:r>
      <w:r w:rsidR="00F61C3A">
        <w:t>10</w:t>
      </w:r>
      <w:r>
        <w:br/>
        <w:t>3.2</w:t>
      </w:r>
      <w:r>
        <w:tab/>
        <w:t>Woningbouwcorporaties</w:t>
      </w:r>
      <w:r w:rsidR="00F739AF">
        <w:tab/>
      </w:r>
      <w:r w:rsidR="00F739AF">
        <w:tab/>
      </w:r>
      <w:r w:rsidR="00F739AF">
        <w:tab/>
      </w:r>
      <w:r w:rsidR="00F739AF">
        <w:tab/>
      </w:r>
      <w:r w:rsidR="006F3952">
        <w:tab/>
      </w:r>
      <w:r w:rsidR="00F61C3A">
        <w:t>10</w:t>
      </w:r>
      <w:r>
        <w:br/>
        <w:t>3.3</w:t>
      </w:r>
      <w:r>
        <w:tab/>
        <w:t>Huurtoeslag</w:t>
      </w:r>
      <w:r w:rsidR="00F739AF">
        <w:tab/>
      </w:r>
      <w:r w:rsidR="00F739AF">
        <w:tab/>
      </w:r>
      <w:r w:rsidR="00F739AF">
        <w:tab/>
      </w:r>
      <w:r w:rsidR="00F739AF">
        <w:tab/>
      </w:r>
      <w:r w:rsidR="00F739AF">
        <w:tab/>
      </w:r>
      <w:r w:rsidR="00F739AF">
        <w:tab/>
      </w:r>
      <w:r w:rsidR="006F3952">
        <w:tab/>
      </w:r>
      <w:r w:rsidR="00F61C3A">
        <w:t>11</w:t>
      </w:r>
    </w:p>
    <w:p w:rsidR="00566752" w:rsidRDefault="00566752" w:rsidP="00566752">
      <w:pPr>
        <w:spacing w:line="360" w:lineRule="auto"/>
      </w:pPr>
      <w:r>
        <w:t>4</w:t>
      </w:r>
      <w:r>
        <w:tab/>
        <w:t>Ondoelmatigheden woningmarkt</w:t>
      </w:r>
      <w:r w:rsidR="00F739AF">
        <w:tab/>
      </w:r>
      <w:r w:rsidR="00F739AF">
        <w:tab/>
      </w:r>
      <w:r w:rsidR="00F739AF">
        <w:tab/>
      </w:r>
      <w:r w:rsidR="006F3952">
        <w:tab/>
      </w:r>
      <w:r w:rsidR="00F739AF">
        <w:t>12</w:t>
      </w:r>
    </w:p>
    <w:p w:rsidR="00566752" w:rsidRDefault="00566752" w:rsidP="00566752">
      <w:pPr>
        <w:spacing w:line="360" w:lineRule="auto"/>
      </w:pPr>
      <w:r>
        <w:t>4.1</w:t>
      </w:r>
      <w:r>
        <w:tab/>
        <w:t>Gestegen woningprijzen</w:t>
      </w:r>
      <w:r w:rsidR="00F739AF">
        <w:tab/>
      </w:r>
      <w:r w:rsidR="00F739AF">
        <w:tab/>
      </w:r>
      <w:r w:rsidR="00F739AF">
        <w:tab/>
      </w:r>
      <w:r w:rsidR="006F3952">
        <w:tab/>
      </w:r>
      <w:r w:rsidR="00F739AF">
        <w:tab/>
        <w:t>12</w:t>
      </w:r>
      <w:r>
        <w:br/>
        <w:t>4.2</w:t>
      </w:r>
      <w:r>
        <w:tab/>
        <w:t>Beslag op de overheidsfinanciën</w:t>
      </w:r>
      <w:r w:rsidR="00F739AF">
        <w:tab/>
      </w:r>
      <w:r w:rsidR="00F739AF">
        <w:tab/>
      </w:r>
      <w:r w:rsidR="006F3952">
        <w:tab/>
      </w:r>
      <w:r w:rsidR="00F739AF">
        <w:tab/>
        <w:t>14</w:t>
      </w:r>
      <w:r>
        <w:br/>
        <w:t xml:space="preserve">4.3 </w:t>
      </w:r>
      <w:r>
        <w:tab/>
        <w:t>Subsidiëring eigen woning</w:t>
      </w:r>
      <w:r w:rsidR="00F739AF">
        <w:tab/>
      </w:r>
      <w:r w:rsidR="00F739AF">
        <w:tab/>
      </w:r>
      <w:r w:rsidR="00F739AF">
        <w:tab/>
      </w:r>
      <w:r w:rsidR="006F3952">
        <w:tab/>
      </w:r>
      <w:r w:rsidR="00F739AF">
        <w:tab/>
        <w:t>15</w:t>
      </w:r>
      <w:r>
        <w:br/>
        <w:t>4.4</w:t>
      </w:r>
      <w:r>
        <w:tab/>
        <w:t>Overdrachtsbelasting</w:t>
      </w:r>
      <w:r w:rsidR="00F739AF">
        <w:tab/>
      </w:r>
      <w:r w:rsidR="00F739AF">
        <w:tab/>
      </w:r>
      <w:r w:rsidR="00F739AF">
        <w:tab/>
      </w:r>
      <w:r w:rsidR="00F739AF">
        <w:tab/>
      </w:r>
      <w:r w:rsidR="006F3952">
        <w:tab/>
      </w:r>
      <w:r w:rsidR="00F739AF">
        <w:tab/>
        <w:t>16</w:t>
      </w:r>
      <w:r>
        <w:br/>
        <w:t>4.5</w:t>
      </w:r>
      <w:r>
        <w:tab/>
        <w:t>Huurprijsregulering</w:t>
      </w:r>
      <w:r w:rsidR="00F739AF">
        <w:tab/>
      </w:r>
      <w:r w:rsidR="00F739AF">
        <w:tab/>
      </w:r>
      <w:r w:rsidR="00F739AF">
        <w:tab/>
      </w:r>
      <w:r w:rsidR="00F739AF">
        <w:tab/>
      </w:r>
      <w:r w:rsidR="006F3952">
        <w:tab/>
      </w:r>
      <w:r w:rsidR="00F739AF">
        <w:tab/>
        <w:t>17</w:t>
      </w:r>
      <w:r>
        <w:br/>
        <w:t>4.6</w:t>
      </w:r>
      <w:r>
        <w:tab/>
        <w:t>Huurtoeslag</w:t>
      </w:r>
      <w:r w:rsidR="00F739AF">
        <w:tab/>
      </w:r>
      <w:r w:rsidR="00F739AF">
        <w:tab/>
      </w:r>
      <w:r w:rsidR="00F739AF">
        <w:tab/>
      </w:r>
      <w:r w:rsidR="00F739AF">
        <w:tab/>
      </w:r>
      <w:r w:rsidR="00F739AF">
        <w:tab/>
      </w:r>
      <w:r w:rsidR="006F3952">
        <w:tab/>
      </w:r>
      <w:r w:rsidR="00F739AF">
        <w:tab/>
        <w:t>18</w:t>
      </w:r>
      <w:r>
        <w:br/>
        <w:t>4.7</w:t>
      </w:r>
      <w:r>
        <w:tab/>
        <w:t>Rondpompen van geld</w:t>
      </w:r>
      <w:r w:rsidR="00F739AF">
        <w:tab/>
      </w:r>
      <w:r w:rsidR="00F739AF">
        <w:tab/>
      </w:r>
      <w:r w:rsidR="00F739AF">
        <w:tab/>
      </w:r>
      <w:r w:rsidR="00F739AF">
        <w:tab/>
      </w:r>
      <w:r w:rsidR="006F3952">
        <w:tab/>
      </w:r>
      <w:r w:rsidR="00F739AF">
        <w:tab/>
        <w:t>18</w:t>
      </w:r>
      <w:r>
        <w:br/>
        <w:t>4.8</w:t>
      </w:r>
      <w:r>
        <w:tab/>
        <w:t>Kloof tussen huur- en koopsector</w:t>
      </w:r>
      <w:r w:rsidR="00F739AF">
        <w:tab/>
      </w:r>
      <w:r w:rsidR="00F739AF">
        <w:tab/>
      </w:r>
      <w:r w:rsidR="006F3952">
        <w:tab/>
      </w:r>
      <w:r w:rsidR="00F739AF">
        <w:tab/>
        <w:t>18</w:t>
      </w:r>
    </w:p>
    <w:p w:rsidR="00566752" w:rsidRDefault="00566752" w:rsidP="00566752">
      <w:pPr>
        <w:spacing w:line="360" w:lineRule="auto"/>
      </w:pPr>
      <w:r>
        <w:t>5</w:t>
      </w:r>
      <w:r>
        <w:tab/>
        <w:t>Subsidiëring eigenwoningbezit</w:t>
      </w:r>
      <w:r w:rsidR="00F739AF">
        <w:tab/>
      </w:r>
      <w:r w:rsidR="00F739AF">
        <w:tab/>
      </w:r>
      <w:r w:rsidR="00F739AF">
        <w:tab/>
      </w:r>
      <w:r w:rsidR="006F3952">
        <w:tab/>
      </w:r>
      <w:r w:rsidR="00F739AF">
        <w:tab/>
        <w:t>19</w:t>
      </w:r>
    </w:p>
    <w:p w:rsidR="00566752" w:rsidRDefault="00566752" w:rsidP="00566752">
      <w:pPr>
        <w:spacing w:line="360" w:lineRule="auto"/>
      </w:pPr>
      <w:r>
        <w:t xml:space="preserve">5.1 </w:t>
      </w:r>
      <w:r>
        <w:tab/>
        <w:t>Betekenis van een eigen woning</w:t>
      </w:r>
      <w:r w:rsidR="0097743E">
        <w:tab/>
      </w:r>
      <w:r w:rsidR="0097743E">
        <w:tab/>
      </w:r>
      <w:r w:rsidR="006F3952">
        <w:tab/>
      </w:r>
      <w:r w:rsidR="0097743E">
        <w:tab/>
        <w:t>19</w:t>
      </w:r>
      <w:r>
        <w:br/>
        <w:t>5.2</w:t>
      </w:r>
      <w:r>
        <w:tab/>
        <w:t>Maatschappelijke voor- en nadelen</w:t>
      </w:r>
      <w:r w:rsidR="0097743E">
        <w:tab/>
      </w:r>
      <w:r w:rsidR="0097743E">
        <w:tab/>
      </w:r>
      <w:r w:rsidR="006F3952">
        <w:tab/>
      </w:r>
      <w:r w:rsidR="0097743E">
        <w:tab/>
        <w:t>20</w:t>
      </w:r>
    </w:p>
    <w:p w:rsidR="00D1609A" w:rsidRDefault="00EB189F" w:rsidP="00566752">
      <w:pPr>
        <w:spacing w:line="360" w:lineRule="auto"/>
      </w:pPr>
      <w:r>
        <w:t>6</w:t>
      </w:r>
      <w:r w:rsidR="00D1609A">
        <w:tab/>
        <w:t>Risico´s op de hypotheekmarkt</w:t>
      </w:r>
      <w:r w:rsidR="0097743E">
        <w:tab/>
      </w:r>
      <w:r w:rsidR="0097743E">
        <w:tab/>
      </w:r>
      <w:r w:rsidR="0097743E">
        <w:tab/>
      </w:r>
      <w:r w:rsidR="006F3952">
        <w:tab/>
      </w:r>
      <w:r w:rsidR="0097743E">
        <w:tab/>
      </w:r>
      <w:r>
        <w:t>2</w:t>
      </w:r>
      <w:r w:rsidR="00F61C3A">
        <w:t>2</w:t>
      </w:r>
    </w:p>
    <w:p w:rsidR="00D1609A" w:rsidRDefault="00EB189F" w:rsidP="00566752">
      <w:pPr>
        <w:spacing w:line="360" w:lineRule="auto"/>
      </w:pPr>
      <w:r>
        <w:t>6</w:t>
      </w:r>
      <w:r w:rsidR="00D1609A">
        <w:t>.1</w:t>
      </w:r>
      <w:r w:rsidR="00D1609A">
        <w:tab/>
        <w:t>Betalingsrisico</w:t>
      </w:r>
      <w:r w:rsidR="0097743E">
        <w:tab/>
      </w:r>
      <w:r w:rsidR="0097743E">
        <w:tab/>
      </w:r>
      <w:r w:rsidR="0097743E">
        <w:tab/>
      </w:r>
      <w:r w:rsidR="0097743E">
        <w:tab/>
      </w:r>
      <w:r w:rsidR="0097743E">
        <w:tab/>
      </w:r>
      <w:r w:rsidR="006F3952">
        <w:tab/>
      </w:r>
      <w:r w:rsidR="006F3952">
        <w:tab/>
      </w:r>
      <w:r w:rsidR="00F61C3A">
        <w:t>22</w:t>
      </w:r>
      <w:r>
        <w:br/>
        <w:t>6</w:t>
      </w:r>
      <w:r w:rsidR="00D1609A">
        <w:t>.2</w:t>
      </w:r>
      <w:r w:rsidR="00D1609A">
        <w:tab/>
        <w:t>Vermogensrisico</w:t>
      </w:r>
      <w:r w:rsidR="0097743E">
        <w:tab/>
      </w:r>
      <w:r w:rsidR="0097743E">
        <w:tab/>
      </w:r>
      <w:r w:rsidR="0097743E">
        <w:tab/>
      </w:r>
      <w:r w:rsidR="0097743E">
        <w:tab/>
      </w:r>
      <w:r w:rsidR="006F3952">
        <w:tab/>
      </w:r>
      <w:r w:rsidR="00F61C3A">
        <w:tab/>
        <w:t>23</w:t>
      </w:r>
      <w:r>
        <w:br/>
        <w:t>6</w:t>
      </w:r>
      <w:r w:rsidR="00D1609A">
        <w:t>.3</w:t>
      </w:r>
      <w:r w:rsidR="00D1609A">
        <w:tab/>
        <w:t>Kredietrisico</w:t>
      </w:r>
      <w:r w:rsidR="0097743E">
        <w:tab/>
      </w:r>
      <w:r w:rsidR="0097743E">
        <w:tab/>
      </w:r>
      <w:r w:rsidR="0097743E">
        <w:tab/>
      </w:r>
      <w:r w:rsidR="0097743E">
        <w:tab/>
      </w:r>
      <w:r w:rsidR="0097743E">
        <w:tab/>
      </w:r>
      <w:r w:rsidR="006F3952">
        <w:tab/>
      </w:r>
      <w:r w:rsidR="0097743E">
        <w:tab/>
      </w:r>
      <w:r w:rsidR="00F61C3A">
        <w:t>24</w:t>
      </w:r>
    </w:p>
    <w:p w:rsidR="00EB189F" w:rsidRDefault="00EB189F" w:rsidP="00EB189F">
      <w:pPr>
        <w:spacing w:line="360" w:lineRule="auto"/>
      </w:pPr>
      <w:r>
        <w:lastRenderedPageBreak/>
        <w:t xml:space="preserve">7 </w:t>
      </w:r>
      <w:r>
        <w:tab/>
        <w:t>Herv</w:t>
      </w:r>
      <w:r w:rsidR="00F61C3A">
        <w:t>ormingen in het buitenland</w:t>
      </w:r>
      <w:r w:rsidR="00F61C3A">
        <w:tab/>
      </w:r>
      <w:r w:rsidR="00F61C3A">
        <w:tab/>
      </w:r>
      <w:r w:rsidR="00F61C3A">
        <w:tab/>
      </w:r>
      <w:r w:rsidR="00F61C3A">
        <w:tab/>
        <w:t>26</w:t>
      </w:r>
    </w:p>
    <w:p w:rsidR="00D1609A" w:rsidRDefault="00D1609A" w:rsidP="00566752">
      <w:pPr>
        <w:spacing w:line="360" w:lineRule="auto"/>
      </w:pPr>
      <w:r>
        <w:t>8</w:t>
      </w:r>
      <w:r>
        <w:tab/>
        <w:t>Beleidsscenario´s voor de woningmarkt</w:t>
      </w:r>
      <w:r w:rsidR="0097743E">
        <w:tab/>
      </w:r>
      <w:r w:rsidR="0097743E">
        <w:tab/>
      </w:r>
      <w:r w:rsidR="006F3952">
        <w:tab/>
      </w:r>
      <w:r w:rsidR="00F61C3A">
        <w:tab/>
        <w:t>29</w:t>
      </w:r>
    </w:p>
    <w:p w:rsidR="0097743E" w:rsidRDefault="00D1609A" w:rsidP="00566752">
      <w:pPr>
        <w:spacing w:line="360" w:lineRule="auto"/>
      </w:pPr>
      <w:r>
        <w:t>8.1</w:t>
      </w:r>
      <w:r>
        <w:tab/>
        <w:t>Uitgangspunten</w:t>
      </w:r>
      <w:r w:rsidR="0097743E">
        <w:tab/>
      </w:r>
      <w:r w:rsidR="0097743E">
        <w:tab/>
      </w:r>
      <w:r w:rsidR="0097743E">
        <w:tab/>
      </w:r>
      <w:r w:rsidR="0097743E">
        <w:tab/>
      </w:r>
      <w:r w:rsidR="0097743E">
        <w:tab/>
      </w:r>
      <w:r w:rsidR="006F3952">
        <w:tab/>
      </w:r>
      <w:r w:rsidR="00F61C3A">
        <w:t>29</w:t>
      </w:r>
      <w:r w:rsidR="0097743E">
        <w:tab/>
      </w:r>
      <w:r>
        <w:br/>
        <w:t>8.2</w:t>
      </w:r>
      <w:r>
        <w:tab/>
        <w:t>Drie beleidsscenario´s</w:t>
      </w:r>
      <w:r w:rsidR="0097743E">
        <w:tab/>
      </w:r>
      <w:r w:rsidR="0097743E">
        <w:tab/>
      </w:r>
      <w:r w:rsidR="0097743E">
        <w:tab/>
      </w:r>
      <w:r w:rsidR="0097743E">
        <w:tab/>
      </w:r>
      <w:r w:rsidR="006F3952">
        <w:tab/>
      </w:r>
      <w:r w:rsidR="00F61C3A">
        <w:tab/>
        <w:t>31</w:t>
      </w:r>
      <w:r>
        <w:br/>
        <w:t>8.3</w:t>
      </w:r>
      <w:r>
        <w:tab/>
        <w:t>Woningmarkteffecten</w:t>
      </w:r>
      <w:r w:rsidR="0097743E">
        <w:tab/>
      </w:r>
      <w:r w:rsidR="0097743E">
        <w:tab/>
      </w:r>
      <w:r w:rsidR="0097743E">
        <w:tab/>
      </w:r>
      <w:r w:rsidR="0097743E">
        <w:tab/>
      </w:r>
      <w:r w:rsidR="0097743E">
        <w:tab/>
      </w:r>
      <w:r w:rsidR="006F3952">
        <w:tab/>
      </w:r>
      <w:r w:rsidR="00F61C3A">
        <w:t>32</w:t>
      </w:r>
      <w:r>
        <w:br/>
        <w:t>8.4</w:t>
      </w:r>
      <w:r>
        <w:tab/>
        <w:t>Koopkrachteffecten</w:t>
      </w:r>
      <w:r w:rsidR="0097743E">
        <w:tab/>
      </w:r>
      <w:r w:rsidR="0097743E">
        <w:tab/>
      </w:r>
      <w:r w:rsidR="0097743E">
        <w:tab/>
      </w:r>
      <w:r w:rsidR="0097743E">
        <w:tab/>
      </w:r>
      <w:r w:rsidR="0097743E">
        <w:tab/>
      </w:r>
      <w:r w:rsidR="006F3952">
        <w:tab/>
      </w:r>
      <w:r w:rsidR="00F61C3A">
        <w:t>34</w:t>
      </w:r>
    </w:p>
    <w:p w:rsidR="0097743E" w:rsidRDefault="0097743E" w:rsidP="00566752">
      <w:pPr>
        <w:spacing w:line="360" w:lineRule="auto"/>
      </w:pPr>
      <w:r>
        <w:t xml:space="preserve">9 </w:t>
      </w:r>
      <w:r>
        <w:tab/>
        <w:t>Conclusie</w:t>
      </w:r>
      <w:r>
        <w:tab/>
      </w:r>
      <w:r>
        <w:tab/>
      </w:r>
      <w:r>
        <w:tab/>
      </w:r>
      <w:r>
        <w:tab/>
      </w:r>
      <w:r>
        <w:tab/>
      </w:r>
      <w:r w:rsidR="006F3952">
        <w:tab/>
      </w:r>
      <w:r w:rsidR="00F61C3A">
        <w:tab/>
        <w:t>38</w:t>
      </w:r>
    </w:p>
    <w:p w:rsidR="00566752" w:rsidRDefault="0097743E" w:rsidP="00566752">
      <w:pPr>
        <w:spacing w:line="360" w:lineRule="auto"/>
      </w:pPr>
      <w:r>
        <w:t xml:space="preserve">10 </w:t>
      </w:r>
      <w:r>
        <w:tab/>
        <w:t>Referenties</w:t>
      </w:r>
      <w:r>
        <w:tab/>
      </w:r>
      <w:r>
        <w:tab/>
      </w:r>
      <w:r>
        <w:tab/>
      </w:r>
      <w:r>
        <w:tab/>
      </w:r>
      <w:r>
        <w:tab/>
      </w:r>
      <w:r w:rsidR="006F3952">
        <w:tab/>
      </w:r>
      <w:r w:rsidR="0032512B">
        <w:tab/>
        <w:t>4</w:t>
      </w:r>
      <w:r w:rsidR="00F61C3A">
        <w:t>0</w:t>
      </w:r>
      <w:r w:rsidR="00D1609A">
        <w:br/>
      </w:r>
    </w:p>
    <w:p w:rsidR="00EC09C6" w:rsidRDefault="00EC09C6">
      <w:pPr>
        <w:rPr>
          <w:i/>
          <w:sz w:val="26"/>
          <w:szCs w:val="26"/>
        </w:rPr>
      </w:pPr>
      <w:r>
        <w:rPr>
          <w:i/>
          <w:sz w:val="26"/>
          <w:szCs w:val="26"/>
        </w:rPr>
        <w:br w:type="page"/>
      </w:r>
    </w:p>
    <w:p w:rsidR="005F2A68" w:rsidRDefault="00A10074" w:rsidP="00CC364A">
      <w:pPr>
        <w:outlineLvl w:val="0"/>
        <w:rPr>
          <w:i/>
          <w:sz w:val="26"/>
          <w:szCs w:val="26"/>
        </w:rPr>
      </w:pPr>
      <w:r>
        <w:rPr>
          <w:i/>
          <w:sz w:val="26"/>
          <w:szCs w:val="26"/>
        </w:rPr>
        <w:lastRenderedPageBreak/>
        <w:t xml:space="preserve">1 </w:t>
      </w:r>
      <w:r w:rsidR="00EC09C6">
        <w:rPr>
          <w:i/>
          <w:sz w:val="26"/>
          <w:szCs w:val="26"/>
        </w:rPr>
        <w:t xml:space="preserve">Inleiding </w:t>
      </w:r>
    </w:p>
    <w:p w:rsidR="00740C0F" w:rsidRDefault="005F2A68" w:rsidP="005F2A68">
      <w:pPr>
        <w:spacing w:line="360" w:lineRule="auto"/>
        <w:outlineLvl w:val="0"/>
      </w:pPr>
      <w:r>
        <w:t>De Nederlandse ove</w:t>
      </w:r>
      <w:r w:rsidR="00DD6E09">
        <w:t>rheid ziet de</w:t>
      </w:r>
      <w:r>
        <w:t xml:space="preserve"> woningmarkt als een publiek belang. De belangrijkste doelstelling</w:t>
      </w:r>
      <w:r w:rsidR="00740C0F">
        <w:t>en</w:t>
      </w:r>
      <w:r>
        <w:t xml:space="preserve"> van het woningmarktbeleid die de overheid nastreeft</w:t>
      </w:r>
      <w:r w:rsidR="00DD6E09">
        <w:t>, zijn</w:t>
      </w:r>
      <w:r>
        <w:t xml:space="preserve"> de beschikbaarheid, de betaalbaarheid en de kwaliteit van woningen te vergroten</w:t>
      </w:r>
      <w:r w:rsidR="00BE4040">
        <w:t>.</w:t>
      </w:r>
      <w:r w:rsidR="00DD6E09">
        <w:rPr>
          <w:rStyle w:val="Voetnootmarkering"/>
        </w:rPr>
        <w:footnoteReference w:id="1"/>
      </w:r>
      <w:r w:rsidR="00BE4040">
        <w:t xml:space="preserve"> </w:t>
      </w:r>
      <w:r w:rsidR="00DD6E09">
        <w:t>D</w:t>
      </w:r>
      <w:r w:rsidR="00BE4040">
        <w:t xml:space="preserve">e overheid </w:t>
      </w:r>
      <w:r w:rsidR="00DD6E09">
        <w:t xml:space="preserve">intervenieert </w:t>
      </w:r>
      <w:r w:rsidR="00BE4040">
        <w:t xml:space="preserve">op veel terreinen van de woningmarkt om zo deze doelstellingen te beogen. De laatste jaren ziet men steeds </w:t>
      </w:r>
      <w:r w:rsidR="009A3B52">
        <w:t>meer</w:t>
      </w:r>
      <w:r w:rsidR="00BE4040">
        <w:t xml:space="preserve"> in, dat de woningmarkt niet doelmatig functioneert.</w:t>
      </w:r>
      <w:r w:rsidR="009A3B52">
        <w:t xml:space="preserve"> </w:t>
      </w:r>
      <w:r w:rsidR="005D7A33">
        <w:t xml:space="preserve">Zo is de </w:t>
      </w:r>
      <w:r w:rsidR="009A3B52">
        <w:t xml:space="preserve">hypotheekrenteaftrek </w:t>
      </w:r>
      <w:r w:rsidR="005D7A33">
        <w:t>ingevoerd om het eigenwoningbezit te stimuleren. In feit</w:t>
      </w:r>
      <w:r w:rsidR="005A16EE">
        <w:t>e</w:t>
      </w:r>
      <w:r w:rsidR="005D7A33">
        <w:t xml:space="preserve"> stimuleert deze </w:t>
      </w:r>
      <w:r w:rsidR="009A3B52">
        <w:t xml:space="preserve">fiscale regeling </w:t>
      </w:r>
      <w:r w:rsidR="005D7A33">
        <w:t xml:space="preserve">alleen het bezit op </w:t>
      </w:r>
      <w:r w:rsidR="005F0887">
        <w:t xml:space="preserve">een </w:t>
      </w:r>
      <w:r w:rsidR="005D7A33">
        <w:t>hypothe</w:t>
      </w:r>
      <w:r w:rsidR="005F0887">
        <w:t>ekschuld.</w:t>
      </w:r>
      <w:r w:rsidR="009A3B52">
        <w:t xml:space="preserve"> </w:t>
      </w:r>
      <w:r w:rsidR="005F0887">
        <w:t>De hypotheekrenteaftrek</w:t>
      </w:r>
      <w:r w:rsidR="00740C0F">
        <w:t xml:space="preserve"> werd lange tijd gerechtvaardigd doordat de huizenprijzen bleven stijgen. Door de wereldwijde economische crisis stortte de huizenmarkt in 2008</w:t>
      </w:r>
      <w:r w:rsidR="0089173F">
        <w:t xml:space="preserve"> </w:t>
      </w:r>
      <w:r w:rsidR="00740C0F">
        <w:t>in.</w:t>
      </w:r>
      <w:r w:rsidR="0089173F">
        <w:t xml:space="preserve"> </w:t>
      </w:r>
      <w:r w:rsidR="005F0887">
        <w:t>H</w:t>
      </w:r>
      <w:r w:rsidR="0089173F">
        <w:t xml:space="preserve">et taboe op de hypotheekrenteaftrek </w:t>
      </w:r>
      <w:r w:rsidR="005F0887">
        <w:t xml:space="preserve">is zo langzamerhand </w:t>
      </w:r>
      <w:r w:rsidR="0089173F">
        <w:t>verdwenen</w:t>
      </w:r>
      <w:r w:rsidR="005F0887">
        <w:t xml:space="preserve">. Ook de huurmarkt brengt een aantal </w:t>
      </w:r>
      <w:r w:rsidR="00730588">
        <w:t>on</w:t>
      </w:r>
      <w:r w:rsidR="005F0887">
        <w:t xml:space="preserve">doelmatigheden met zich mee. </w:t>
      </w:r>
      <w:r w:rsidR="0089173F">
        <w:t>Deze bachelorscriptie probeert een inzicht te geven in de manier wa</w:t>
      </w:r>
      <w:r w:rsidR="003E2D56">
        <w:t>arop de woningmarkt hervormd kan</w:t>
      </w:r>
      <w:r w:rsidR="0089173F">
        <w:t xml:space="preserve"> worden, zodat de ondoelmatigheden worden geminimaliseerd. Een </w:t>
      </w:r>
      <w:r w:rsidR="003E2D56">
        <w:t>belangrijk bijeffect van</w:t>
      </w:r>
      <w:r w:rsidR="00630103">
        <w:t xml:space="preserve"> de hervormingen</w:t>
      </w:r>
      <w:r w:rsidR="00CE1B99">
        <w:t xml:space="preserve"> waarbij rekening moet worden gehouden</w:t>
      </w:r>
      <w:r w:rsidR="00393792">
        <w:t>,</w:t>
      </w:r>
      <w:r w:rsidR="00CE1B99">
        <w:t xml:space="preserve"> zijn de koopkrachteffecten voor zowel eigenwoningbezitters als </w:t>
      </w:r>
      <w:r w:rsidR="00393792">
        <w:t xml:space="preserve">huurders. </w:t>
      </w:r>
    </w:p>
    <w:p w:rsidR="00F4519B" w:rsidRDefault="00303B66" w:rsidP="005F2A68">
      <w:pPr>
        <w:spacing w:line="360" w:lineRule="auto"/>
        <w:outlineLvl w:val="0"/>
      </w:pPr>
      <w:r>
        <w:t xml:space="preserve">Allereerst zal de huidige overheidsbemoeienis op de markt voor koopwoningen aan bod komen. De combinatie van aftrekbaarheid van hypotheekrentekosten en een bescheiden bijtelling van het eigenwoningforfait betekent een impliciete subsidie voor eigenwoningbezitters. </w:t>
      </w:r>
      <w:r w:rsidR="003E2D56">
        <w:t xml:space="preserve">Daarnaast kijk ik ook naar </w:t>
      </w:r>
      <w:r w:rsidR="00CC64EA">
        <w:t xml:space="preserve">de </w:t>
      </w:r>
      <w:r w:rsidR="003E2D56">
        <w:t xml:space="preserve">huursector, omdat </w:t>
      </w:r>
      <w:r w:rsidR="00CC64EA">
        <w:t>ook in deze markt subsidies plaatsvinden</w:t>
      </w:r>
      <w:r w:rsidR="00730588">
        <w:t>. Dit gebeurt</w:t>
      </w:r>
      <w:r w:rsidR="00CC64EA">
        <w:t xml:space="preserve"> via de huurprijsregulering en de huurtoeslag. </w:t>
      </w:r>
      <w:r w:rsidR="00730588">
        <w:t xml:space="preserve">Kennis </w:t>
      </w:r>
      <w:r>
        <w:t>over de overheidsbemoeienis op de koop- en huurmarkt is n</w:t>
      </w:r>
      <w:r w:rsidR="009A3B52">
        <w:t>odig om een inzicht te kunnen geven in de ondoelmatigheden van het hui</w:t>
      </w:r>
      <w:r>
        <w:t xml:space="preserve">dige woningmarktbeleid wat in hoofdstuk vier aan de orde komt. In hoofdstuk vijf </w:t>
      </w:r>
      <w:r w:rsidR="00CC64EA">
        <w:t>wordt</w:t>
      </w:r>
      <w:r>
        <w:t xml:space="preserve"> toegelicht waarom het eigenwoningbezit in Nederland </w:t>
      </w:r>
      <w:r w:rsidR="00730588">
        <w:t xml:space="preserve">eigenlijk </w:t>
      </w:r>
      <w:r>
        <w:t>zo belangr</w:t>
      </w:r>
      <w:r w:rsidR="00CC64EA">
        <w:t>ijk wordt gevonden. Door de stimulering van het eigenwoningbezit heeft Nederland een erg hoge hypotheekschuld opgebouwd. De risico</w:t>
      </w:r>
      <w:r w:rsidR="00F4519B">
        <w:t>’</w:t>
      </w:r>
      <w:r w:rsidR="00CC64EA">
        <w:t>s</w:t>
      </w:r>
      <w:r w:rsidR="00F4519B">
        <w:t xml:space="preserve"> voor </w:t>
      </w:r>
      <w:r w:rsidR="00430579">
        <w:t>zowel hypotheekverstrekkers als eigenwoningbezitters</w:t>
      </w:r>
      <w:r w:rsidR="00F4519B">
        <w:t xml:space="preserve"> die hiermee gepaard gaan worden in hoofdstuk zes beschreven. </w:t>
      </w:r>
    </w:p>
    <w:p w:rsidR="00EC09C6" w:rsidRPr="00303B66" w:rsidRDefault="00840845" w:rsidP="005F2A68">
      <w:pPr>
        <w:spacing w:line="360" w:lineRule="auto"/>
        <w:outlineLvl w:val="0"/>
      </w:pPr>
      <w:r>
        <w:t>Het wordt duidelijk dat de woningmarkt rijp is voor hervorming. Hoofdstuk zeven beschrijft hervormingen van de woningmarkt in West-Europese landen. Hier kunnen wellicht enkele lessen uit worden getrokken. Ten slotte komen er in het laatste hoofdstuk drie beleidsscenario</w:t>
      </w:r>
      <w:r w:rsidR="00630103">
        <w:t xml:space="preserve">’s aan bod die de woningmarkt hervormen. </w:t>
      </w:r>
      <w:r w:rsidR="00430579">
        <w:t>De effecten voor de woningmarkt</w:t>
      </w:r>
      <w:r w:rsidR="00730588">
        <w:t xml:space="preserve"> en voor de koopkracht van woningconsumenten bepalen uiteindelijk de keuze voor de meest geschikte hervorming van de woningmarkt. </w:t>
      </w:r>
      <w:r w:rsidR="00EC09C6">
        <w:rPr>
          <w:i/>
          <w:sz w:val="26"/>
          <w:szCs w:val="26"/>
        </w:rPr>
        <w:br w:type="page"/>
      </w:r>
    </w:p>
    <w:p w:rsidR="00F84955" w:rsidRPr="00AC769B" w:rsidRDefault="00A10074" w:rsidP="00F84955">
      <w:pPr>
        <w:spacing w:line="360" w:lineRule="auto"/>
        <w:rPr>
          <w:i/>
          <w:sz w:val="26"/>
          <w:szCs w:val="26"/>
        </w:rPr>
      </w:pPr>
      <w:r>
        <w:rPr>
          <w:i/>
          <w:sz w:val="26"/>
          <w:szCs w:val="26"/>
        </w:rPr>
        <w:lastRenderedPageBreak/>
        <w:t>2</w:t>
      </w:r>
      <w:r w:rsidR="00F84955">
        <w:rPr>
          <w:i/>
          <w:sz w:val="26"/>
          <w:szCs w:val="26"/>
        </w:rPr>
        <w:t xml:space="preserve">  Koopsector</w:t>
      </w:r>
    </w:p>
    <w:p w:rsidR="00F84955" w:rsidRPr="008F231C" w:rsidRDefault="00F84955" w:rsidP="00F84955">
      <w:pPr>
        <w:spacing w:line="360" w:lineRule="auto"/>
      </w:pPr>
      <w:r>
        <w:t xml:space="preserve">De overheid intervenieert op de eigenwoningmarkt om het kopen van een eigen woning aantrekkelijker te maken. De overheid </w:t>
      </w:r>
      <w:r w:rsidR="007C64EA">
        <w:t xml:space="preserve">probeert dit te bewerkstelligen </w:t>
      </w:r>
      <w:r>
        <w:t xml:space="preserve">doordat de fiscale behandeling van de eigen woning zo is ingericht dat eigenwoningbezitters </w:t>
      </w:r>
      <w:r w:rsidR="007C64EA">
        <w:t xml:space="preserve">impliciet </w:t>
      </w:r>
      <w:r>
        <w:t>gesubsidieerd worden.</w:t>
      </w:r>
      <w:r w:rsidR="007C64EA">
        <w:t xml:space="preserve"> Starters hebben daarnaast recht op een expliciete subsidie, zodat het ook voor hen aantrekkelijk wordt om een eigen woning aan te schaffen. </w:t>
      </w:r>
    </w:p>
    <w:p w:rsidR="001065BB" w:rsidRDefault="00A10074" w:rsidP="00F84955">
      <w:pPr>
        <w:spacing w:line="360" w:lineRule="auto"/>
      </w:pPr>
      <w:r>
        <w:rPr>
          <w:i/>
        </w:rPr>
        <w:t>2</w:t>
      </w:r>
      <w:r w:rsidR="00F84955" w:rsidRPr="00AC769B">
        <w:rPr>
          <w:i/>
        </w:rPr>
        <w:t>.1 Eigenwoningforfait</w:t>
      </w:r>
      <w:r w:rsidR="00F84955">
        <w:rPr>
          <w:i/>
        </w:rPr>
        <w:br/>
      </w:r>
      <w:r w:rsidR="00F84955">
        <w:t>In box 1 van ons belastingstelsel wordt het inkomen uit werk en woning belast. De fiscus kent een waarde toe aan het woongenot van eigenwoningbezitters en dit wordt het eigenwoningforfait genoemd. Onder een eigen woning wordt een gebouw dat als hoofdverblijf dient voor particulier gebruik verstaan. Het woongenot wordt fiscaal als inkomen in natura gezien waarover je belasting moet betalen. Het eigenwoningforfait is gekoppeld aan de WOZ-waarde van je huis. Deze wet Waardering Onroerende Zaken zorgt ervoor dat gemeenten elk jaar hun onroerende goederen taxeren, waaronder dus woningen. De gemeenten doen dit aan de hand van gegevens van het Kadaster. Huiseigenaren ontvangen aan het begin van ieder jaar een waardebeschikking waarin de WOZ-waarde is vermeld. Deze fictieve waar</w:t>
      </w:r>
      <w:r w:rsidR="007C64EA">
        <w:t>de is de prijs</w:t>
      </w:r>
      <w:r w:rsidR="0083165A">
        <w:t>, naar mening van de gemeente,</w:t>
      </w:r>
      <w:r w:rsidR="007C64EA">
        <w:t xml:space="preserve"> die de eigenaar</w:t>
      </w:r>
      <w:r w:rsidR="0083165A">
        <w:t xml:space="preserve"> </w:t>
      </w:r>
      <w:r w:rsidR="007C64EA">
        <w:t xml:space="preserve">zou </w:t>
      </w:r>
      <w:r w:rsidR="00F84955">
        <w:t xml:space="preserve">kunnen krijgen bij verkoop op de waardepeildatum. Deze datum ligt één jaar voor de ingang van het belastingjaar waarvoor de WOZ-waarde wordt vastgesteld. Bij de waardering van huizen wordt er vanuit gegaan dat er geen enkel recht op is gevestigd, ze op eigen grond staan en niet zijn verhuurd. Het is de waarde in het economische verkeer alsof de eigendom van de woning ‘vrij en onbezwaard’ kan worden overgedragen. </w:t>
      </w:r>
      <w:r w:rsidR="0083165A">
        <w:t>In de werkelijkheid is</w:t>
      </w:r>
      <w:r w:rsidR="008839E4">
        <w:t xml:space="preserve"> dit lang niet altijd het geval. </w:t>
      </w:r>
    </w:p>
    <w:p w:rsidR="00F84955" w:rsidRDefault="00A96B22" w:rsidP="001065BB">
      <w:pPr>
        <w:spacing w:line="360" w:lineRule="auto"/>
      </w:pPr>
      <w:r>
        <w:t>H</w:t>
      </w:r>
      <w:r w:rsidR="00F84955" w:rsidRPr="001C53DE">
        <w:t>et eigenwoningforfait wordt berekend door een bepaald p</w:t>
      </w:r>
      <w:r w:rsidR="008839E4">
        <w:t>ercentage van de WOZ-waarde van de eigen woning</w:t>
      </w:r>
      <w:r w:rsidR="00A10074">
        <w:t xml:space="preserve"> te nemen. In tabel 2</w:t>
      </w:r>
      <w:r w:rsidR="008839E4">
        <w:t>.1</w:t>
      </w:r>
      <w:r w:rsidR="001065BB">
        <w:t>,</w:t>
      </w:r>
      <w:r w:rsidR="00F84955">
        <w:t xml:space="preserve"> </w:t>
      </w:r>
      <w:r w:rsidR="001065BB">
        <w:t xml:space="preserve">op de volgende pagina, </w:t>
      </w:r>
      <w:r w:rsidR="00F84955">
        <w:t xml:space="preserve">staan de percentages van 2010 die horen bij verschillende WOZ-waarden. </w:t>
      </w:r>
      <w:r w:rsidR="00F84955">
        <w:br w:type="page"/>
      </w:r>
    </w:p>
    <w:p w:rsidR="00F84955" w:rsidRPr="0046165A" w:rsidRDefault="00393792" w:rsidP="00CC364A">
      <w:pPr>
        <w:outlineLvl w:val="0"/>
        <w:rPr>
          <w:i/>
        </w:rPr>
      </w:pPr>
      <w:r>
        <w:rPr>
          <w:i/>
        </w:rPr>
        <w:lastRenderedPageBreak/>
        <w:t xml:space="preserve">Tabel </w:t>
      </w:r>
      <w:r w:rsidR="00A10074">
        <w:rPr>
          <w:i/>
        </w:rPr>
        <w:t>2</w:t>
      </w:r>
      <w:r w:rsidR="00F84955">
        <w:rPr>
          <w:i/>
        </w:rPr>
        <w:t>.1</w:t>
      </w:r>
      <w:r w:rsidR="00F84955" w:rsidRPr="0046165A">
        <w:rPr>
          <w:i/>
        </w:rPr>
        <w:t>: Eigenwoningforfai</w:t>
      </w:r>
      <w:r w:rsidR="00A651B3">
        <w:rPr>
          <w:i/>
        </w:rPr>
        <w:t>t</w:t>
      </w:r>
      <w:r w:rsidR="00A651B3" w:rsidRPr="001C53DE">
        <w:rPr>
          <w:rStyle w:val="Voetnootmarkering"/>
        </w:rPr>
        <w:t xml:space="preserve"> </w:t>
      </w:r>
      <w:r w:rsidR="00A651B3">
        <w:rPr>
          <w:rStyle w:val="Voetnootmarkering"/>
        </w:rPr>
        <w:footnoteReference w:id="2"/>
      </w:r>
    </w:p>
    <w:tbl>
      <w:tblPr>
        <w:tblStyle w:val="Lichtearcering-accent11"/>
        <w:tblW w:w="0" w:type="auto"/>
        <w:tblLook w:val="04A0"/>
      </w:tblPr>
      <w:tblGrid>
        <w:gridCol w:w="4606"/>
        <w:gridCol w:w="4606"/>
      </w:tblGrid>
      <w:tr w:rsidR="005D2C8C" w:rsidTr="005D2C8C">
        <w:trPr>
          <w:cnfStyle w:val="100000000000"/>
        </w:trPr>
        <w:tc>
          <w:tcPr>
            <w:cnfStyle w:val="001000000000"/>
            <w:tcW w:w="4606" w:type="dxa"/>
          </w:tcPr>
          <w:p w:rsidR="005D2C8C" w:rsidRDefault="005D2C8C" w:rsidP="002F75C1">
            <w:pPr>
              <w:jc w:val="center"/>
            </w:pPr>
            <w:r>
              <w:t>WOZ-waarde</w:t>
            </w:r>
          </w:p>
        </w:tc>
        <w:tc>
          <w:tcPr>
            <w:tcW w:w="4606" w:type="dxa"/>
          </w:tcPr>
          <w:p w:rsidR="005D2C8C" w:rsidRDefault="005D2C8C" w:rsidP="002F75C1">
            <w:pPr>
              <w:jc w:val="center"/>
              <w:cnfStyle w:val="100000000000"/>
            </w:pPr>
            <w:r>
              <w:t>Eigenwoningforfait = WOZ-waarde x onderstaand percentage</w:t>
            </w:r>
          </w:p>
        </w:tc>
      </w:tr>
      <w:tr w:rsidR="005D2C8C" w:rsidTr="005D2C8C">
        <w:trPr>
          <w:cnfStyle w:val="000000100000"/>
        </w:trPr>
        <w:tc>
          <w:tcPr>
            <w:cnfStyle w:val="001000000000"/>
            <w:tcW w:w="4606" w:type="dxa"/>
          </w:tcPr>
          <w:p w:rsidR="005D2C8C" w:rsidRPr="005D2C8C" w:rsidRDefault="005D2C8C" w:rsidP="002F75C1">
            <w:pPr>
              <w:spacing w:after="240"/>
              <w:jc w:val="center"/>
              <w:rPr>
                <w:rFonts w:eastAsia="Times New Roman" w:cs="Arial"/>
                <w:b w:val="0"/>
                <w:lang w:eastAsia="nl-NL"/>
              </w:rPr>
            </w:pPr>
            <w:r w:rsidRPr="005D2C8C">
              <w:rPr>
                <w:rFonts w:eastAsia="Times New Roman" w:cs="Arial"/>
                <w:b w:val="0"/>
                <w:lang w:eastAsia="nl-NL"/>
              </w:rPr>
              <w:t>€ 0,- tot € 12.500,-</w:t>
            </w:r>
          </w:p>
        </w:tc>
        <w:tc>
          <w:tcPr>
            <w:tcW w:w="4606" w:type="dxa"/>
          </w:tcPr>
          <w:p w:rsidR="005D2C8C" w:rsidRPr="005D2C8C" w:rsidRDefault="005D2C8C" w:rsidP="002F75C1">
            <w:pPr>
              <w:spacing w:after="240"/>
              <w:jc w:val="center"/>
              <w:cnfStyle w:val="000000100000"/>
              <w:rPr>
                <w:rFonts w:eastAsia="Times New Roman" w:cs="Arial"/>
                <w:lang w:eastAsia="nl-NL"/>
              </w:rPr>
            </w:pPr>
            <w:r w:rsidRPr="005D2C8C">
              <w:rPr>
                <w:rFonts w:eastAsia="Times New Roman" w:cs="Arial"/>
                <w:lang w:eastAsia="nl-NL"/>
              </w:rPr>
              <w:t xml:space="preserve">0,00% </w:t>
            </w:r>
          </w:p>
        </w:tc>
      </w:tr>
      <w:tr w:rsidR="005D2C8C" w:rsidTr="005D2C8C">
        <w:tc>
          <w:tcPr>
            <w:cnfStyle w:val="001000000000"/>
            <w:tcW w:w="4606" w:type="dxa"/>
          </w:tcPr>
          <w:p w:rsidR="005D2C8C" w:rsidRPr="005D2C8C" w:rsidRDefault="005D2C8C" w:rsidP="002F75C1">
            <w:pPr>
              <w:spacing w:after="240"/>
              <w:jc w:val="center"/>
              <w:rPr>
                <w:rFonts w:eastAsia="Times New Roman" w:cs="Arial"/>
                <w:b w:val="0"/>
                <w:lang w:eastAsia="nl-NL"/>
              </w:rPr>
            </w:pPr>
            <w:r w:rsidRPr="005D2C8C">
              <w:rPr>
                <w:rFonts w:eastAsia="Times New Roman" w:cs="Arial"/>
                <w:b w:val="0"/>
                <w:lang w:eastAsia="nl-NL"/>
              </w:rPr>
              <w:t>€ 12.500,- tot € 25.000,-</w:t>
            </w:r>
          </w:p>
        </w:tc>
        <w:tc>
          <w:tcPr>
            <w:tcW w:w="4606" w:type="dxa"/>
          </w:tcPr>
          <w:p w:rsidR="005D2C8C" w:rsidRPr="005D2C8C" w:rsidRDefault="005D2C8C" w:rsidP="002F75C1">
            <w:pPr>
              <w:spacing w:after="240"/>
              <w:jc w:val="center"/>
              <w:cnfStyle w:val="000000000000"/>
              <w:rPr>
                <w:rFonts w:eastAsia="Times New Roman" w:cs="Arial"/>
                <w:lang w:eastAsia="nl-NL"/>
              </w:rPr>
            </w:pPr>
            <w:r w:rsidRPr="005D2C8C">
              <w:rPr>
                <w:rFonts w:eastAsia="Times New Roman" w:cs="Arial"/>
                <w:lang w:eastAsia="nl-NL"/>
              </w:rPr>
              <w:t>0,20%</w:t>
            </w:r>
          </w:p>
        </w:tc>
      </w:tr>
      <w:tr w:rsidR="005D2C8C" w:rsidTr="005D2C8C">
        <w:trPr>
          <w:cnfStyle w:val="000000100000"/>
        </w:trPr>
        <w:tc>
          <w:tcPr>
            <w:cnfStyle w:val="001000000000"/>
            <w:tcW w:w="4606" w:type="dxa"/>
          </w:tcPr>
          <w:p w:rsidR="005D2C8C" w:rsidRPr="005D2C8C" w:rsidRDefault="005D2C8C" w:rsidP="002F75C1">
            <w:pPr>
              <w:spacing w:after="240"/>
              <w:jc w:val="center"/>
              <w:rPr>
                <w:rFonts w:eastAsia="Times New Roman" w:cs="Arial"/>
                <w:b w:val="0"/>
                <w:lang w:eastAsia="nl-NL"/>
              </w:rPr>
            </w:pPr>
            <w:r w:rsidRPr="005D2C8C">
              <w:rPr>
                <w:rFonts w:eastAsia="Times New Roman" w:cs="Arial"/>
                <w:b w:val="0"/>
                <w:lang w:eastAsia="nl-NL"/>
              </w:rPr>
              <w:t>€ 25.000,- tot € 50.000,-</w:t>
            </w:r>
          </w:p>
        </w:tc>
        <w:tc>
          <w:tcPr>
            <w:tcW w:w="4606" w:type="dxa"/>
          </w:tcPr>
          <w:p w:rsidR="005D2C8C" w:rsidRPr="005D2C8C" w:rsidRDefault="005D2C8C" w:rsidP="002F75C1">
            <w:pPr>
              <w:spacing w:after="240"/>
              <w:jc w:val="center"/>
              <w:cnfStyle w:val="000000100000"/>
              <w:rPr>
                <w:rFonts w:eastAsia="Times New Roman" w:cs="Arial"/>
                <w:lang w:eastAsia="nl-NL"/>
              </w:rPr>
            </w:pPr>
            <w:r w:rsidRPr="005D2C8C">
              <w:rPr>
                <w:rFonts w:eastAsia="Times New Roman" w:cs="Arial"/>
                <w:lang w:eastAsia="nl-NL"/>
              </w:rPr>
              <w:t>0,30%</w:t>
            </w:r>
          </w:p>
        </w:tc>
      </w:tr>
      <w:tr w:rsidR="005D2C8C" w:rsidTr="005D2C8C">
        <w:tc>
          <w:tcPr>
            <w:cnfStyle w:val="001000000000"/>
            <w:tcW w:w="4606" w:type="dxa"/>
          </w:tcPr>
          <w:p w:rsidR="005D2C8C" w:rsidRPr="005D2C8C" w:rsidRDefault="005D2C8C" w:rsidP="002F75C1">
            <w:pPr>
              <w:spacing w:after="240"/>
              <w:jc w:val="center"/>
              <w:rPr>
                <w:rFonts w:eastAsia="Times New Roman" w:cs="Arial"/>
                <w:b w:val="0"/>
                <w:lang w:eastAsia="nl-NL"/>
              </w:rPr>
            </w:pPr>
            <w:r w:rsidRPr="005D2C8C">
              <w:rPr>
                <w:rFonts w:eastAsia="Times New Roman" w:cs="Arial"/>
                <w:b w:val="0"/>
                <w:lang w:eastAsia="nl-NL"/>
              </w:rPr>
              <w:t>€ 50.000,- tot € 75.000,-</w:t>
            </w:r>
          </w:p>
        </w:tc>
        <w:tc>
          <w:tcPr>
            <w:tcW w:w="4606" w:type="dxa"/>
          </w:tcPr>
          <w:p w:rsidR="005D2C8C" w:rsidRPr="005D2C8C" w:rsidRDefault="005D2C8C" w:rsidP="002F75C1">
            <w:pPr>
              <w:spacing w:after="240"/>
              <w:jc w:val="center"/>
              <w:cnfStyle w:val="000000000000"/>
              <w:rPr>
                <w:rFonts w:eastAsia="Times New Roman" w:cs="Arial"/>
                <w:lang w:eastAsia="nl-NL"/>
              </w:rPr>
            </w:pPr>
            <w:r w:rsidRPr="005D2C8C">
              <w:rPr>
                <w:rFonts w:eastAsia="Times New Roman" w:cs="Arial"/>
                <w:lang w:eastAsia="nl-NL"/>
              </w:rPr>
              <w:t>0,40%</w:t>
            </w:r>
          </w:p>
        </w:tc>
      </w:tr>
      <w:tr w:rsidR="005D2C8C" w:rsidTr="005D2C8C">
        <w:trPr>
          <w:cnfStyle w:val="000000100000"/>
        </w:trPr>
        <w:tc>
          <w:tcPr>
            <w:cnfStyle w:val="001000000000"/>
            <w:tcW w:w="4606" w:type="dxa"/>
          </w:tcPr>
          <w:p w:rsidR="005D2C8C" w:rsidRPr="005D2C8C" w:rsidRDefault="005D2C8C" w:rsidP="002F75C1">
            <w:pPr>
              <w:spacing w:after="240"/>
              <w:jc w:val="center"/>
              <w:rPr>
                <w:rFonts w:eastAsia="Times New Roman" w:cs="Arial"/>
                <w:b w:val="0"/>
                <w:lang w:eastAsia="nl-NL"/>
              </w:rPr>
            </w:pPr>
            <w:r w:rsidRPr="005D2C8C">
              <w:rPr>
                <w:rFonts w:eastAsia="Times New Roman" w:cs="Arial"/>
                <w:b w:val="0"/>
                <w:lang w:eastAsia="nl-NL"/>
              </w:rPr>
              <w:t xml:space="preserve">€ 75.000,- tot € 1.010.000,- </w:t>
            </w:r>
          </w:p>
        </w:tc>
        <w:tc>
          <w:tcPr>
            <w:tcW w:w="4606" w:type="dxa"/>
          </w:tcPr>
          <w:p w:rsidR="005D2C8C" w:rsidRPr="005D2C8C" w:rsidRDefault="005D2C8C" w:rsidP="002F75C1">
            <w:pPr>
              <w:spacing w:after="240"/>
              <w:jc w:val="center"/>
              <w:cnfStyle w:val="000000100000"/>
              <w:rPr>
                <w:rFonts w:eastAsia="Times New Roman" w:cs="Arial"/>
                <w:lang w:eastAsia="nl-NL"/>
              </w:rPr>
            </w:pPr>
            <w:r w:rsidRPr="005D2C8C">
              <w:rPr>
                <w:rFonts w:eastAsia="Times New Roman" w:cs="Arial"/>
                <w:lang w:eastAsia="nl-NL"/>
              </w:rPr>
              <w:t>0,55%</w:t>
            </w:r>
          </w:p>
        </w:tc>
      </w:tr>
      <w:tr w:rsidR="005D2C8C" w:rsidTr="005D2C8C">
        <w:tc>
          <w:tcPr>
            <w:cnfStyle w:val="001000000000"/>
            <w:tcW w:w="4606" w:type="dxa"/>
          </w:tcPr>
          <w:p w:rsidR="005D2C8C" w:rsidRPr="005D2C8C" w:rsidRDefault="005D2C8C" w:rsidP="002F75C1">
            <w:pPr>
              <w:spacing w:after="240"/>
              <w:jc w:val="center"/>
              <w:rPr>
                <w:rFonts w:eastAsia="Times New Roman" w:cs="Arial"/>
                <w:b w:val="0"/>
                <w:lang w:eastAsia="nl-NL"/>
              </w:rPr>
            </w:pPr>
            <w:r w:rsidRPr="005D2C8C">
              <w:rPr>
                <w:rFonts w:eastAsia="Times New Roman" w:cs="Arial"/>
                <w:b w:val="0"/>
                <w:lang w:eastAsia="nl-NL"/>
              </w:rPr>
              <w:t xml:space="preserve">meer dan € 1.010.000,- </w:t>
            </w:r>
          </w:p>
        </w:tc>
        <w:tc>
          <w:tcPr>
            <w:tcW w:w="4606" w:type="dxa"/>
          </w:tcPr>
          <w:p w:rsidR="005D2C8C" w:rsidRPr="005D2C8C" w:rsidRDefault="005D2C8C" w:rsidP="002F75C1">
            <w:pPr>
              <w:spacing w:after="240"/>
              <w:jc w:val="center"/>
              <w:cnfStyle w:val="000000000000"/>
              <w:rPr>
                <w:rFonts w:eastAsia="Times New Roman" w:cs="Arial"/>
                <w:lang w:eastAsia="nl-NL"/>
              </w:rPr>
            </w:pPr>
            <w:r w:rsidRPr="005D2C8C">
              <w:rPr>
                <w:rFonts w:eastAsia="Times New Roman" w:cs="Arial"/>
                <w:lang w:eastAsia="nl-NL"/>
              </w:rPr>
              <w:t>€ 5.555,- + 0,8% meer dan € 1.010.000,-</w:t>
            </w:r>
          </w:p>
        </w:tc>
      </w:tr>
    </w:tbl>
    <w:p w:rsidR="005D2C8C" w:rsidRDefault="005D2C8C" w:rsidP="00F84955">
      <w:pPr>
        <w:spacing w:line="360" w:lineRule="auto"/>
      </w:pPr>
    </w:p>
    <w:p w:rsidR="00F84955" w:rsidRDefault="00F84955" w:rsidP="00F84955">
      <w:pPr>
        <w:spacing w:line="360" w:lineRule="auto"/>
      </w:pPr>
      <w:r>
        <w:t>Het eigenwoningforfait wordt opgeteld bij het belastbare inkomen uit werk en geheven volgens het tarievensysteem van box 1. In 2009 is het maximum van 1,6 miljoen WOZ-waarde waarover het eigenwoningforfait wordt berekend afgeschaft. In de periode 2010-2016 wordt het percentage bijtelling bij een WOZ-waarde van meer dan € 1.010.000 in zeven stappen verhoogd tot 2,35%. De inkomens die in de hoogste belastingschijf vallen, betalen na 2016 een belastingpercentage dat gelijk is aan het belastingpercentage in box 3.</w:t>
      </w:r>
      <w:r>
        <w:rPr>
          <w:rStyle w:val="Voetnootmarkering"/>
        </w:rPr>
        <w:footnoteReference w:id="3"/>
      </w:r>
      <w:r>
        <w:t xml:space="preserve"> </w:t>
      </w:r>
    </w:p>
    <w:p w:rsidR="00F84955" w:rsidRDefault="00A10074" w:rsidP="00F84955">
      <w:pPr>
        <w:spacing w:line="360" w:lineRule="auto"/>
      </w:pPr>
      <w:r>
        <w:rPr>
          <w:i/>
        </w:rPr>
        <w:t>2</w:t>
      </w:r>
      <w:r w:rsidR="00F84955" w:rsidRPr="00AC769B">
        <w:rPr>
          <w:i/>
        </w:rPr>
        <w:t xml:space="preserve">.2 </w:t>
      </w:r>
      <w:r w:rsidR="00F84955">
        <w:rPr>
          <w:i/>
        </w:rPr>
        <w:t>Impliciete subsidie</w:t>
      </w:r>
      <w:r w:rsidR="00F84955">
        <w:rPr>
          <w:i/>
        </w:rPr>
        <w:br/>
      </w:r>
      <w:r w:rsidR="00F84955">
        <w:t xml:space="preserve">Het kopen van een eigen woning brengt de nodige kosten met zich mee. Kosten die gemaakt zijn ten behoeve van de financiering van de eigen woning zijn fiscaal aftrekbaar. Zo kunnen onder andere de afsluitkosten, taxatiekosten en de rentekosten op een hypotheek van het belastbare inkomen uit box 1 worden afgetrokken. Over deze aftrekposten is men geen belasting verschuldigd. De hypotheekrenteaftrek is in 1893 ingevoerd om het eigenwoningbezit te stimuleren. Het stimuleert eigenwoningbezitters uiteindelijk om hun woning (blijvend) te financieren met vreemd vermogen, aangezien de kosten die bij deze vorm van financieren gemaakt worden, fiscaal aftrekbaar zijn. Eigenwoningbezitters krijgen via deze maatregel een impliciete subsidie van de overheid. </w:t>
      </w:r>
    </w:p>
    <w:p w:rsidR="00F84955" w:rsidRDefault="00F84955" w:rsidP="00F84955">
      <w:pPr>
        <w:spacing w:line="360" w:lineRule="auto"/>
      </w:pPr>
      <w:r>
        <w:t xml:space="preserve">De hypotheekrenteaftrek heeft ruim een eeuw na zijn invoering een aantal beperkingen ondergaan. De fiscale aftrekbaarheid van hypotheekrentekosten is sinds 1997 beperkt tot geleend vermogen dat ook daadwerkelijk in de eigen woning is gestoken. Sinds 2001 is de aftrekbaarheid van hypotheekrente beperkt tot een periode van 30 jaar na afsluiting van de hypotheek en mogen de </w:t>
      </w:r>
      <w:r>
        <w:lastRenderedPageBreak/>
        <w:t xml:space="preserve">rentelasten behorende bij een tweede huis niet meer afgetrokken worden. Een andere beperking is de bijleenregeling, die sinds 2004 van kracht is. Deze regeling kan van toepassing zijn bij verhuizing van de ene koopwoning naar de andere koopwoning. Bij verkoop van de oude woning is de opbrengst meestal hoger dan de schuld. Deze overwaarde zal moeten worden geïnvesteerd in de aankoopprijs van de nieuwe woning, anders wordt de bijleenregeling toegepast. Deze regeling houdt in dat de lening waarover rente mag worden afgetrokken niet groter mag zijn dan de aankoopprijs van de nieuwe woning minus de overwaarde van de oude woning. Vanaf 1 januari 2010 geldt de bijleenregeling ook wanneer er wordt verhuisd naar een goedkopere </w:t>
      </w:r>
      <w:r w:rsidR="00393792">
        <w:t>woning.</w:t>
      </w:r>
      <w:r w:rsidR="003C0FC7">
        <w:rPr>
          <w:rStyle w:val="Voetnootmarkering"/>
        </w:rPr>
        <w:footnoteReference w:id="4"/>
      </w:r>
      <w:r w:rsidR="00393792">
        <w:t xml:space="preserve"> </w:t>
      </w:r>
    </w:p>
    <w:p w:rsidR="00F84955" w:rsidRDefault="00F84955" w:rsidP="00F84955">
      <w:pPr>
        <w:spacing w:line="360" w:lineRule="auto"/>
      </w:pPr>
      <w:r>
        <w:t xml:space="preserve">Waar de hypotheekrenteaftrek eigenwoningbezitters stimuleert om de woning met vreemd vermogen te blijven betalen, stimuleert de kapitaalverzekering eigen woning, spaar- of beleggingsrekening eigen woning, huizenbezitters om te sparen voor aflossing van de eigenwoningschuld. De rente over het gespaarde bedrag wordt dan vrijgesteld van belastingheffing. Deze vrijstelling mag niet hoger zijn dan de eigenwoningschuld en ook niet hoger dan € 150.500 (in 2010). Ook de sinds 2005 ingevoerde wet Hillen bevordert de financiering van de eigen woning met eigen middelen. Volgens deze wet kunnen eigenwoningbezitters een aftrekpost krijgen als de eigenwoningschuld (bijna) helemaal is afgelost. De aftrek geldt als de aftrekbare hypotheekrente lager is dan het eigenwoningforfait en bedraagt dan het verschil hiertussen. Deze wet Hillen stimuleert eigenlijk niet om de eigenwoningschuld af te </w:t>
      </w:r>
      <w:r w:rsidR="00393792">
        <w:t xml:space="preserve">lossen. </w:t>
      </w:r>
      <w:r>
        <w:t xml:space="preserve">Maar wanneer bezitters van een eigen woning eenmaal zijn begonnen met aflossen worden zij door deze wet in ieder geval niet ontmoedigd. </w:t>
      </w:r>
    </w:p>
    <w:p w:rsidR="00A10074" w:rsidRDefault="00A10074" w:rsidP="00F84955">
      <w:pPr>
        <w:spacing w:line="360" w:lineRule="auto"/>
        <w:rPr>
          <w:i/>
        </w:rPr>
      </w:pPr>
      <w:r>
        <w:rPr>
          <w:i/>
        </w:rPr>
        <w:t>2</w:t>
      </w:r>
      <w:r w:rsidR="00F84955">
        <w:rPr>
          <w:i/>
        </w:rPr>
        <w:t>.3 Expliciete subsidie</w:t>
      </w:r>
      <w:r w:rsidR="00F84955">
        <w:rPr>
          <w:i/>
        </w:rPr>
        <w:br/>
      </w:r>
      <w:r w:rsidR="00F84955">
        <w:t xml:space="preserve">De impliciete subsidie van hypotheekrenteaftrek geldt voor iedere eigenwoningbezitter. Mensen met een laag inkomen, de starters op de koopmarkt, kunnen nog een financiële ondersteuning krijgen in de vorm van een koopsubsidie of een starterslening. Een koopsubsidie is een maandelijkse bijdrage in de hypotheeklasten. De hoogte van de subsidie hangt af van het inkomen (en eventueel het inkomen van de partner) en van de hoogte van de lening. In een aantal gemeenten in Nederland kun je in aanmerking komen voor een starterslening. Deze aanvullende lening overbrugt het verschil tussen de totale koopsom van de woning en het maximale bedrag dat op basis van het inkomen geleend kan worden volgens de normen van de Nationale Hypotheek Garantie. De hoogte van de starterslening hangt af van het inkomen, eigen vermogen en de voorwaarden van de desbetreffende gemeente. De koopsubsidie en de starterslening kunnen niet met elkaar gecombineerd worden. </w:t>
      </w:r>
    </w:p>
    <w:p w:rsidR="00F84955" w:rsidRDefault="00A10074" w:rsidP="00F84955">
      <w:pPr>
        <w:spacing w:line="360" w:lineRule="auto"/>
      </w:pPr>
      <w:r>
        <w:rPr>
          <w:i/>
        </w:rPr>
        <w:lastRenderedPageBreak/>
        <w:t>2</w:t>
      </w:r>
      <w:r w:rsidR="00F84955" w:rsidRPr="00AC769B">
        <w:rPr>
          <w:i/>
        </w:rPr>
        <w:t>.</w:t>
      </w:r>
      <w:r w:rsidR="00F84955">
        <w:rPr>
          <w:i/>
        </w:rPr>
        <w:t>4</w:t>
      </w:r>
      <w:r w:rsidR="00F84955" w:rsidRPr="00AC769B">
        <w:rPr>
          <w:i/>
        </w:rPr>
        <w:t xml:space="preserve"> Andere heffingen op de eigen woning</w:t>
      </w:r>
      <w:r w:rsidR="00F84955">
        <w:rPr>
          <w:i/>
        </w:rPr>
        <w:br/>
      </w:r>
      <w:r w:rsidR="00F84955">
        <w:t xml:space="preserve">In het bezit zijn van een eigenwoning brengt nog twee andere heffingen met zich mee. Ten eerste zal men onroerendezaakbelasting (OZB) en andere lokale heffingen moeten betalen aan gemeenten en waterschappen. De OZB wordt ook vastgesteld op basis van de WOZ-waarde van de woning. Ten tweede is er nog de overdrachtsbelasting. Deze belasting zal moeten worden betaald wanneer </w:t>
      </w:r>
      <w:r w:rsidR="00F85BF1">
        <w:t>men</w:t>
      </w:r>
      <w:r w:rsidR="00F84955">
        <w:t xml:space="preserve"> eigenaar wordt van een eigen woning en bedraagt 6 procent van de koopsom. Bij de aankoop van een nieuwbouwwoning wordt geen overdrachtsbelasting geheven, maar zal er een btw van 19 procent geheven worden. </w:t>
      </w:r>
    </w:p>
    <w:p w:rsidR="001065BB" w:rsidRDefault="00A10074" w:rsidP="00F84955">
      <w:pPr>
        <w:spacing w:line="360" w:lineRule="auto"/>
      </w:pPr>
      <w:r>
        <w:rPr>
          <w:i/>
        </w:rPr>
        <w:t>2</w:t>
      </w:r>
      <w:r w:rsidR="00F84955">
        <w:rPr>
          <w:i/>
        </w:rPr>
        <w:t>.5</w:t>
      </w:r>
      <w:r w:rsidR="00F84955" w:rsidRPr="009606A5">
        <w:rPr>
          <w:i/>
        </w:rPr>
        <w:t xml:space="preserve"> Motief voor subsidiëring eigen woning</w:t>
      </w:r>
      <w:r w:rsidR="00F84955">
        <w:rPr>
          <w:i/>
        </w:rPr>
        <w:br/>
      </w:r>
      <w:r w:rsidR="00B74FF1">
        <w:t>De netto subsidie voor de koopsector bedraagt in 2010 circa 15 miljard euro</w:t>
      </w:r>
      <w:r w:rsidR="00C37004">
        <w:t xml:space="preserve"> (figuur 2.1)</w:t>
      </w:r>
      <w:r w:rsidR="00B74FF1">
        <w:t xml:space="preserve">. </w:t>
      </w:r>
      <w:r w:rsidR="00F84955">
        <w:t xml:space="preserve">Er zijn twee motieven voor de huidige fiscale behandeling van de eigen woning. Allereerst internaliseert het subsidiëren van eigenwoningbezitters eventueel aanwezige positieve externe effecten. Volgens de theorie leidt het internaliseren van externe effecten tot een betere allocatie en dus tot een verbetering van de welvaart. Het onderhoud van koopwoningen kan worden aangemerkt als een positief extern effect. We gaan er hierbij vanuit dat kopers hun woning beter zullen onderhouden dan huurders. Een goed onderhoud van een eigen woning heeft niet alleen baten voor de eigenaar, maar ook voor de hele buurt. Een tweede motief voor het subsidiëren van de eigen woning is dat de overheid een eigen woning als merit good ziet. Dit zijn goederen waarvan de overheid vindt dat de consumptie ervan gestimuleerd moet worden. De overheid </w:t>
      </w:r>
      <w:r w:rsidR="00F85BF1">
        <w:t xml:space="preserve">doet dit dan </w:t>
      </w:r>
      <w:r w:rsidR="00F84955">
        <w:t xml:space="preserve">vanuit een paternalistisch perspectief. </w:t>
      </w:r>
      <w:r w:rsidR="00F85BF1">
        <w:t xml:space="preserve">In hoofdstuk 4 komt aan bod of de eigen woning daadwerkelijk als merit good gezien kan worden door de maatschappelijke voor- en nadelen </w:t>
      </w:r>
      <w:r w:rsidR="00C37004">
        <w:t xml:space="preserve">van eigenwoningbezit </w:t>
      </w:r>
      <w:r w:rsidR="00F85BF1">
        <w:t xml:space="preserve">tegen </w:t>
      </w:r>
      <w:r w:rsidR="00021165">
        <w:t>elkaar af te wegen.</w:t>
      </w:r>
    </w:p>
    <w:p w:rsidR="005A39D9" w:rsidRDefault="005A39D9" w:rsidP="00F84955">
      <w:pPr>
        <w:spacing w:line="360" w:lineRule="auto"/>
      </w:pPr>
      <w:r>
        <w:rPr>
          <w:i/>
        </w:rPr>
        <w:t xml:space="preserve">Figuur </w:t>
      </w:r>
      <w:r w:rsidR="00A10074">
        <w:rPr>
          <w:i/>
        </w:rPr>
        <w:t>2</w:t>
      </w:r>
      <w:r>
        <w:rPr>
          <w:i/>
        </w:rPr>
        <w:t>.1: De subsidiëring in de koopsector in 2010, in miljarden euro’s</w:t>
      </w:r>
      <w:r w:rsidR="00B74FF1">
        <w:rPr>
          <w:rStyle w:val="Voetnootmarkering"/>
          <w:i/>
        </w:rPr>
        <w:footnoteReference w:id="5"/>
      </w:r>
      <w:r>
        <w:rPr>
          <w:i/>
        </w:rPr>
        <w:t xml:space="preserve"> </w:t>
      </w:r>
    </w:p>
    <w:p w:rsidR="005A39D9" w:rsidRDefault="00C65841" w:rsidP="00F84955">
      <w:pPr>
        <w:spacing w:line="360" w:lineRule="auto"/>
      </w:pPr>
      <w:r>
        <w:rPr>
          <w:noProof/>
          <w:lang w:eastAsia="nl-NL"/>
        </w:rPr>
        <w:pict>
          <v:shapetype id="_x0000_t32" coordsize="21600,21600" o:spt="32" o:oned="t" path="m,l21600,21600e" filled="f">
            <v:path arrowok="t" fillok="f" o:connecttype="none"/>
            <o:lock v:ext="edit" shapetype="t"/>
          </v:shapetype>
          <v:shape id="_x0000_s1026" type="#_x0000_t32" style="position:absolute;margin-left:235.15pt;margin-top:96.85pt;width:41.25pt;height:0;z-index:251677696" o:connectortype="straight"/>
        </w:pict>
      </w:r>
      <w:r w:rsidR="005A39D9">
        <w:t>Aftrek hypotheekrente</w:t>
      </w:r>
      <w:r w:rsidR="005A39D9">
        <w:tab/>
      </w:r>
      <w:r w:rsidR="005A39D9">
        <w:tab/>
      </w:r>
      <w:r w:rsidR="005A39D9">
        <w:tab/>
      </w:r>
      <w:r w:rsidR="005A39D9">
        <w:tab/>
      </w:r>
      <w:r w:rsidR="005A39D9">
        <w:tab/>
        <w:t>11,4</w:t>
      </w:r>
      <w:r w:rsidR="005A39D9">
        <w:br/>
        <w:t>Gederfde vermogensrendementsheffing</w:t>
      </w:r>
      <w:r w:rsidR="005A39D9">
        <w:tab/>
      </w:r>
      <w:r w:rsidR="005A39D9">
        <w:tab/>
        <w:t>7,7</w:t>
      </w:r>
      <w:r w:rsidR="005A39D9">
        <w:br/>
        <w:t>Vrijstelling kapitaalverzekeringen</w:t>
      </w:r>
      <w:r w:rsidR="005A39D9">
        <w:tab/>
      </w:r>
      <w:r w:rsidR="005A39D9">
        <w:tab/>
      </w:r>
      <w:r w:rsidR="005A39D9">
        <w:tab/>
        <w:t>0,7</w:t>
      </w:r>
      <w:r w:rsidR="005A39D9">
        <w:br/>
        <w:t>Opbrengst eigenwoningforfait</w:t>
      </w:r>
      <w:r w:rsidR="005A39D9">
        <w:tab/>
      </w:r>
      <w:r w:rsidR="005A39D9">
        <w:tab/>
      </w:r>
      <w:r w:rsidR="005A39D9">
        <w:tab/>
      </w:r>
      <w:r w:rsidR="005A39D9">
        <w:tab/>
        <w:t>- 2,2</w:t>
      </w:r>
      <w:r w:rsidR="005A39D9">
        <w:br/>
        <w:t>Overdrachtsbelasting</w:t>
      </w:r>
      <w:r w:rsidR="005A39D9">
        <w:tab/>
      </w:r>
      <w:r w:rsidR="005A39D9">
        <w:tab/>
      </w:r>
      <w:r w:rsidR="005A39D9">
        <w:tab/>
      </w:r>
      <w:r w:rsidR="005A39D9">
        <w:tab/>
      </w:r>
      <w:r w:rsidR="005A39D9">
        <w:tab/>
        <w:t>- 2,4</w:t>
      </w:r>
      <w:r w:rsidR="005A39D9">
        <w:br/>
        <w:t>Netto subsidiëring</w:t>
      </w:r>
      <w:r w:rsidR="005A39D9">
        <w:tab/>
      </w:r>
      <w:r w:rsidR="005A39D9">
        <w:tab/>
      </w:r>
      <w:r w:rsidR="005A39D9">
        <w:tab/>
      </w:r>
      <w:r w:rsidR="005A39D9">
        <w:tab/>
      </w:r>
      <w:r w:rsidR="005A39D9">
        <w:tab/>
        <w:t>15,2</w:t>
      </w:r>
    </w:p>
    <w:p w:rsidR="00D32B54" w:rsidRDefault="00D32B54">
      <w:r>
        <w:br w:type="page"/>
      </w:r>
    </w:p>
    <w:p w:rsidR="00D32B54" w:rsidRDefault="00D32B54" w:rsidP="00D32B54">
      <w:pPr>
        <w:spacing w:line="360" w:lineRule="auto"/>
      </w:pPr>
      <w:r>
        <w:lastRenderedPageBreak/>
        <w:t>Ondanks de grote impliciete subsidies op de koopmarkt, beslaat Nederland in vergelijking met andere Europese landen geen heel hoog percentage eigenwoningbezitters</w:t>
      </w:r>
      <w:r w:rsidR="00DD44C3">
        <w:t>,</w:t>
      </w:r>
      <w:r>
        <w:t xml:space="preserve"> blijkt uit een onderzoek van Scanlon en Whitehead. Hun resultaten van de verdeling van de woningvoorraad in Europa staan in de onderstaande tabel. De Nederlandse huursector is daarentegen relatief groot en bestaat voor meer dan driekwart uit sociale huurwoningen. Nederland heeft hiermee het grootste percentage sociale huurwoningen. Hieruit kan geconcludeerd worden dat de Nederlandse huursector verhoudi</w:t>
      </w:r>
      <w:r w:rsidR="00DD44C3">
        <w:t>ngsgewijs sterk is gereguleerd. Dit komt in het volgende hoofdstuk aan bod.</w:t>
      </w:r>
      <w:r>
        <w:t xml:space="preserve"> </w:t>
      </w:r>
    </w:p>
    <w:p w:rsidR="00D32B54" w:rsidRPr="0046165A" w:rsidRDefault="00D32B54" w:rsidP="00D32B54">
      <w:pPr>
        <w:spacing w:line="360" w:lineRule="auto"/>
        <w:rPr>
          <w:i/>
        </w:rPr>
      </w:pPr>
      <w:r w:rsidRPr="0046165A">
        <w:rPr>
          <w:i/>
        </w:rPr>
        <w:t xml:space="preserve">Tabel </w:t>
      </w:r>
      <w:r w:rsidR="004D0F9D">
        <w:rPr>
          <w:i/>
        </w:rPr>
        <w:t>2.2</w:t>
      </w:r>
      <w:r w:rsidRPr="0046165A">
        <w:rPr>
          <w:i/>
        </w:rPr>
        <w:t>: Internationale vergelijking verdeling woningvoorraad</w:t>
      </w:r>
      <w:r w:rsidRPr="0046165A">
        <w:rPr>
          <w:rStyle w:val="Voetnootmarkering"/>
          <w:i/>
        </w:rPr>
        <w:footnoteReference w:id="6"/>
      </w:r>
    </w:p>
    <w:tbl>
      <w:tblPr>
        <w:tblStyle w:val="Lichtearcering-accent11"/>
        <w:tblW w:w="9322" w:type="dxa"/>
        <w:tblLook w:val="04A0"/>
      </w:tblPr>
      <w:tblGrid>
        <w:gridCol w:w="1526"/>
        <w:gridCol w:w="1921"/>
        <w:gridCol w:w="1922"/>
        <w:gridCol w:w="1921"/>
        <w:gridCol w:w="2032"/>
      </w:tblGrid>
      <w:tr w:rsidR="00D32B54" w:rsidTr="00D32B54">
        <w:trPr>
          <w:cnfStyle w:val="100000000000"/>
        </w:trPr>
        <w:tc>
          <w:tcPr>
            <w:cnfStyle w:val="001000000000"/>
            <w:tcW w:w="1526" w:type="dxa"/>
          </w:tcPr>
          <w:p w:rsidR="00D32B54" w:rsidRDefault="00D32B54" w:rsidP="00D32B54">
            <w:pPr>
              <w:spacing w:line="360" w:lineRule="auto"/>
            </w:pPr>
          </w:p>
        </w:tc>
        <w:tc>
          <w:tcPr>
            <w:tcW w:w="1921" w:type="dxa"/>
          </w:tcPr>
          <w:p w:rsidR="00D32B54" w:rsidRDefault="00D32B54" w:rsidP="00D32B54">
            <w:pPr>
              <w:spacing w:line="360" w:lineRule="auto"/>
              <w:cnfStyle w:val="100000000000"/>
            </w:pPr>
            <w:r>
              <w:t>Eigenaar-bewoner (%)</w:t>
            </w:r>
          </w:p>
        </w:tc>
        <w:tc>
          <w:tcPr>
            <w:tcW w:w="1922" w:type="dxa"/>
          </w:tcPr>
          <w:p w:rsidR="00D32B54" w:rsidRDefault="00D32B54" w:rsidP="00D32B54">
            <w:pPr>
              <w:spacing w:line="360" w:lineRule="auto"/>
              <w:cnfStyle w:val="100000000000"/>
            </w:pPr>
            <w:r>
              <w:t>Commerciële huur (%)</w:t>
            </w:r>
          </w:p>
        </w:tc>
        <w:tc>
          <w:tcPr>
            <w:tcW w:w="1921" w:type="dxa"/>
          </w:tcPr>
          <w:p w:rsidR="00D32B54" w:rsidRDefault="00D32B54" w:rsidP="00D32B54">
            <w:pPr>
              <w:spacing w:line="360" w:lineRule="auto"/>
              <w:cnfStyle w:val="100000000000"/>
            </w:pPr>
            <w:r>
              <w:t>Sociale huur (%)</w:t>
            </w:r>
          </w:p>
        </w:tc>
        <w:tc>
          <w:tcPr>
            <w:tcW w:w="2032" w:type="dxa"/>
          </w:tcPr>
          <w:p w:rsidR="00D32B54" w:rsidRDefault="00D32B54" w:rsidP="00D32B54">
            <w:pPr>
              <w:spacing w:line="360" w:lineRule="auto"/>
              <w:cnfStyle w:val="100000000000"/>
            </w:pPr>
            <w:r>
              <w:t xml:space="preserve">Aantal sociale huurwoningen </w:t>
            </w:r>
          </w:p>
          <w:p w:rsidR="00D32B54" w:rsidRDefault="00D32B54" w:rsidP="00D32B54">
            <w:pPr>
              <w:spacing w:line="360" w:lineRule="auto"/>
              <w:cnfStyle w:val="100000000000"/>
            </w:pPr>
            <w:r>
              <w:t>(x 1.000)</w:t>
            </w:r>
          </w:p>
        </w:tc>
      </w:tr>
      <w:tr w:rsidR="00D32B54" w:rsidTr="00D32B54">
        <w:trPr>
          <w:cnfStyle w:val="000000100000"/>
        </w:trPr>
        <w:tc>
          <w:tcPr>
            <w:cnfStyle w:val="001000000000"/>
            <w:tcW w:w="1526" w:type="dxa"/>
          </w:tcPr>
          <w:p w:rsidR="00D32B54" w:rsidRDefault="00D32B54" w:rsidP="00D32B54">
            <w:pPr>
              <w:spacing w:line="360" w:lineRule="auto"/>
            </w:pPr>
            <w:r>
              <w:t>Nederland</w:t>
            </w:r>
          </w:p>
        </w:tc>
        <w:tc>
          <w:tcPr>
            <w:tcW w:w="1921" w:type="dxa"/>
          </w:tcPr>
          <w:p w:rsidR="00D32B54" w:rsidRDefault="00D32B54" w:rsidP="00D32B54">
            <w:pPr>
              <w:spacing w:line="360" w:lineRule="auto"/>
              <w:cnfStyle w:val="000000100000"/>
            </w:pPr>
            <w:r>
              <w:t>54</w:t>
            </w:r>
          </w:p>
        </w:tc>
        <w:tc>
          <w:tcPr>
            <w:tcW w:w="1922" w:type="dxa"/>
          </w:tcPr>
          <w:p w:rsidR="00D32B54" w:rsidRDefault="00D32B54" w:rsidP="00D32B54">
            <w:pPr>
              <w:spacing w:line="360" w:lineRule="auto"/>
              <w:cnfStyle w:val="000000100000"/>
            </w:pPr>
            <w:r>
              <w:t>11</w:t>
            </w:r>
          </w:p>
        </w:tc>
        <w:tc>
          <w:tcPr>
            <w:tcW w:w="1921" w:type="dxa"/>
          </w:tcPr>
          <w:p w:rsidR="00D32B54" w:rsidRDefault="00D32B54" w:rsidP="00D32B54">
            <w:pPr>
              <w:spacing w:line="360" w:lineRule="auto"/>
              <w:cnfStyle w:val="000000100000"/>
            </w:pPr>
            <w:r>
              <w:t>35</w:t>
            </w:r>
          </w:p>
        </w:tc>
        <w:tc>
          <w:tcPr>
            <w:tcW w:w="2032" w:type="dxa"/>
          </w:tcPr>
          <w:p w:rsidR="00D32B54" w:rsidRDefault="00D32B54" w:rsidP="00D32B54">
            <w:pPr>
              <w:spacing w:line="360" w:lineRule="auto"/>
              <w:cnfStyle w:val="000000100000"/>
            </w:pPr>
            <w:r>
              <w:t>2.400</w:t>
            </w:r>
          </w:p>
        </w:tc>
      </w:tr>
      <w:tr w:rsidR="00D32B54" w:rsidTr="00D32B54">
        <w:tc>
          <w:tcPr>
            <w:cnfStyle w:val="001000000000"/>
            <w:tcW w:w="1526" w:type="dxa"/>
          </w:tcPr>
          <w:p w:rsidR="00D32B54" w:rsidRDefault="00D32B54" w:rsidP="00D32B54">
            <w:pPr>
              <w:spacing w:line="360" w:lineRule="auto"/>
            </w:pPr>
            <w:r>
              <w:t>Oostenrijk</w:t>
            </w:r>
          </w:p>
        </w:tc>
        <w:tc>
          <w:tcPr>
            <w:tcW w:w="1921" w:type="dxa"/>
          </w:tcPr>
          <w:p w:rsidR="00D32B54" w:rsidRDefault="00D32B54" w:rsidP="00D32B54">
            <w:pPr>
              <w:spacing w:line="360" w:lineRule="auto"/>
              <w:cnfStyle w:val="000000000000"/>
            </w:pPr>
            <w:r>
              <w:t>55</w:t>
            </w:r>
          </w:p>
        </w:tc>
        <w:tc>
          <w:tcPr>
            <w:tcW w:w="1922" w:type="dxa"/>
          </w:tcPr>
          <w:p w:rsidR="00D32B54" w:rsidRDefault="00D32B54" w:rsidP="00D32B54">
            <w:pPr>
              <w:spacing w:line="360" w:lineRule="auto"/>
              <w:cnfStyle w:val="000000000000"/>
            </w:pPr>
            <w:r>
              <w:t>20</w:t>
            </w:r>
          </w:p>
        </w:tc>
        <w:tc>
          <w:tcPr>
            <w:tcW w:w="1921" w:type="dxa"/>
          </w:tcPr>
          <w:p w:rsidR="00D32B54" w:rsidRDefault="00D32B54" w:rsidP="00D32B54">
            <w:pPr>
              <w:spacing w:line="360" w:lineRule="auto"/>
              <w:cnfStyle w:val="000000000000"/>
            </w:pPr>
            <w:r>
              <w:t>25</w:t>
            </w:r>
          </w:p>
        </w:tc>
        <w:tc>
          <w:tcPr>
            <w:tcW w:w="2032" w:type="dxa"/>
          </w:tcPr>
          <w:p w:rsidR="00D32B54" w:rsidRDefault="00D32B54" w:rsidP="00D32B54">
            <w:pPr>
              <w:spacing w:line="360" w:lineRule="auto"/>
              <w:cnfStyle w:val="000000000000"/>
            </w:pPr>
            <w:r>
              <w:t>800</w:t>
            </w:r>
          </w:p>
        </w:tc>
      </w:tr>
      <w:tr w:rsidR="00D32B54" w:rsidTr="00D32B54">
        <w:trPr>
          <w:cnfStyle w:val="000000100000"/>
        </w:trPr>
        <w:tc>
          <w:tcPr>
            <w:cnfStyle w:val="001000000000"/>
            <w:tcW w:w="1526" w:type="dxa"/>
          </w:tcPr>
          <w:p w:rsidR="00D32B54" w:rsidRDefault="00D32B54" w:rsidP="00D32B54">
            <w:pPr>
              <w:spacing w:line="360" w:lineRule="auto"/>
            </w:pPr>
            <w:r>
              <w:t>Denemarken</w:t>
            </w:r>
          </w:p>
        </w:tc>
        <w:tc>
          <w:tcPr>
            <w:tcW w:w="1921" w:type="dxa"/>
          </w:tcPr>
          <w:p w:rsidR="00D32B54" w:rsidRDefault="00D32B54" w:rsidP="00D32B54">
            <w:pPr>
              <w:spacing w:line="360" w:lineRule="auto"/>
              <w:cnfStyle w:val="000000100000"/>
            </w:pPr>
            <w:r>
              <w:t>52</w:t>
            </w:r>
          </w:p>
        </w:tc>
        <w:tc>
          <w:tcPr>
            <w:tcW w:w="1922" w:type="dxa"/>
          </w:tcPr>
          <w:p w:rsidR="00D32B54" w:rsidRDefault="00D32B54" w:rsidP="00D32B54">
            <w:pPr>
              <w:spacing w:line="360" w:lineRule="auto"/>
              <w:cnfStyle w:val="000000100000"/>
            </w:pPr>
            <w:r>
              <w:t>17</w:t>
            </w:r>
          </w:p>
        </w:tc>
        <w:tc>
          <w:tcPr>
            <w:tcW w:w="1921" w:type="dxa"/>
          </w:tcPr>
          <w:p w:rsidR="00D32B54" w:rsidRDefault="00D32B54" w:rsidP="00D32B54">
            <w:pPr>
              <w:spacing w:line="360" w:lineRule="auto"/>
              <w:cnfStyle w:val="000000100000"/>
            </w:pPr>
            <w:r>
              <w:t>21</w:t>
            </w:r>
          </w:p>
        </w:tc>
        <w:tc>
          <w:tcPr>
            <w:tcW w:w="2032" w:type="dxa"/>
          </w:tcPr>
          <w:p w:rsidR="00D32B54" w:rsidRDefault="00D32B54" w:rsidP="00D32B54">
            <w:pPr>
              <w:spacing w:line="360" w:lineRule="auto"/>
              <w:cnfStyle w:val="000000100000"/>
            </w:pPr>
            <w:r>
              <w:t>530</w:t>
            </w:r>
          </w:p>
        </w:tc>
      </w:tr>
      <w:tr w:rsidR="00D32B54" w:rsidTr="00D32B54">
        <w:tc>
          <w:tcPr>
            <w:cnfStyle w:val="001000000000"/>
            <w:tcW w:w="1526" w:type="dxa"/>
          </w:tcPr>
          <w:p w:rsidR="00D32B54" w:rsidRDefault="00D32B54" w:rsidP="00D32B54">
            <w:pPr>
              <w:spacing w:line="360" w:lineRule="auto"/>
            </w:pPr>
            <w:r>
              <w:t>Zweden</w:t>
            </w:r>
          </w:p>
        </w:tc>
        <w:tc>
          <w:tcPr>
            <w:tcW w:w="1921" w:type="dxa"/>
          </w:tcPr>
          <w:p w:rsidR="00D32B54" w:rsidRDefault="00D32B54" w:rsidP="00D32B54">
            <w:pPr>
              <w:spacing w:line="360" w:lineRule="auto"/>
              <w:cnfStyle w:val="000000000000"/>
            </w:pPr>
            <w:r>
              <w:t>59*</w:t>
            </w:r>
          </w:p>
        </w:tc>
        <w:tc>
          <w:tcPr>
            <w:tcW w:w="1922" w:type="dxa"/>
          </w:tcPr>
          <w:p w:rsidR="00D32B54" w:rsidRDefault="00D32B54" w:rsidP="00D32B54">
            <w:pPr>
              <w:spacing w:line="360" w:lineRule="auto"/>
              <w:cnfStyle w:val="000000000000"/>
            </w:pPr>
            <w:r>
              <w:t>21</w:t>
            </w:r>
          </w:p>
        </w:tc>
        <w:tc>
          <w:tcPr>
            <w:tcW w:w="1921" w:type="dxa"/>
          </w:tcPr>
          <w:p w:rsidR="00D32B54" w:rsidRDefault="00D32B54" w:rsidP="00D32B54">
            <w:pPr>
              <w:spacing w:line="360" w:lineRule="auto"/>
              <w:cnfStyle w:val="000000000000"/>
            </w:pPr>
            <w:r>
              <w:t>20</w:t>
            </w:r>
          </w:p>
        </w:tc>
        <w:tc>
          <w:tcPr>
            <w:tcW w:w="2032" w:type="dxa"/>
          </w:tcPr>
          <w:p w:rsidR="00D32B54" w:rsidRDefault="00D32B54" w:rsidP="00D32B54">
            <w:pPr>
              <w:spacing w:line="360" w:lineRule="auto"/>
              <w:cnfStyle w:val="000000000000"/>
            </w:pPr>
            <w:r>
              <w:t>780</w:t>
            </w:r>
          </w:p>
        </w:tc>
      </w:tr>
      <w:tr w:rsidR="00D32B54" w:rsidTr="00D32B54">
        <w:trPr>
          <w:cnfStyle w:val="000000100000"/>
        </w:trPr>
        <w:tc>
          <w:tcPr>
            <w:cnfStyle w:val="001000000000"/>
            <w:tcW w:w="1526" w:type="dxa"/>
          </w:tcPr>
          <w:p w:rsidR="00D32B54" w:rsidRDefault="00D32B54" w:rsidP="00D32B54">
            <w:pPr>
              <w:spacing w:line="360" w:lineRule="auto"/>
            </w:pPr>
            <w:r>
              <w:t>Engeland</w:t>
            </w:r>
          </w:p>
        </w:tc>
        <w:tc>
          <w:tcPr>
            <w:tcW w:w="1921" w:type="dxa"/>
          </w:tcPr>
          <w:p w:rsidR="00D32B54" w:rsidRDefault="00D32B54" w:rsidP="00D32B54">
            <w:pPr>
              <w:spacing w:line="360" w:lineRule="auto"/>
              <w:cnfStyle w:val="000000100000"/>
            </w:pPr>
            <w:r>
              <w:t>70</w:t>
            </w:r>
          </w:p>
        </w:tc>
        <w:tc>
          <w:tcPr>
            <w:tcW w:w="1922" w:type="dxa"/>
          </w:tcPr>
          <w:p w:rsidR="00D32B54" w:rsidRDefault="00D32B54" w:rsidP="00D32B54">
            <w:pPr>
              <w:spacing w:line="360" w:lineRule="auto"/>
              <w:cnfStyle w:val="000000100000"/>
            </w:pPr>
            <w:r>
              <w:t>11</w:t>
            </w:r>
          </w:p>
        </w:tc>
        <w:tc>
          <w:tcPr>
            <w:tcW w:w="1921" w:type="dxa"/>
          </w:tcPr>
          <w:p w:rsidR="00D32B54" w:rsidRDefault="00D32B54" w:rsidP="00D32B54">
            <w:pPr>
              <w:spacing w:line="360" w:lineRule="auto"/>
              <w:cnfStyle w:val="000000100000"/>
            </w:pPr>
            <w:r>
              <w:t>18</w:t>
            </w:r>
          </w:p>
        </w:tc>
        <w:tc>
          <w:tcPr>
            <w:tcW w:w="2032" w:type="dxa"/>
          </w:tcPr>
          <w:p w:rsidR="00D32B54" w:rsidRDefault="00D32B54" w:rsidP="00D32B54">
            <w:pPr>
              <w:spacing w:line="360" w:lineRule="auto"/>
              <w:cnfStyle w:val="000000100000"/>
            </w:pPr>
            <w:r>
              <w:t>3.983</w:t>
            </w:r>
          </w:p>
        </w:tc>
      </w:tr>
      <w:tr w:rsidR="00D32B54" w:rsidTr="00D32B54">
        <w:tc>
          <w:tcPr>
            <w:cnfStyle w:val="001000000000"/>
            <w:tcW w:w="1526" w:type="dxa"/>
          </w:tcPr>
          <w:p w:rsidR="00D32B54" w:rsidRDefault="00D32B54" w:rsidP="00D32B54">
            <w:pPr>
              <w:spacing w:line="360" w:lineRule="auto"/>
            </w:pPr>
            <w:r>
              <w:t>Frankrijk**</w:t>
            </w:r>
          </w:p>
        </w:tc>
        <w:tc>
          <w:tcPr>
            <w:tcW w:w="1921" w:type="dxa"/>
          </w:tcPr>
          <w:p w:rsidR="00D32B54" w:rsidRDefault="00D32B54" w:rsidP="00D32B54">
            <w:pPr>
              <w:spacing w:line="360" w:lineRule="auto"/>
              <w:cnfStyle w:val="000000000000"/>
            </w:pPr>
            <w:r>
              <w:t>56</w:t>
            </w:r>
          </w:p>
        </w:tc>
        <w:tc>
          <w:tcPr>
            <w:tcW w:w="1922" w:type="dxa"/>
          </w:tcPr>
          <w:p w:rsidR="00D32B54" w:rsidRDefault="00D32B54" w:rsidP="00D32B54">
            <w:pPr>
              <w:spacing w:line="360" w:lineRule="auto"/>
              <w:cnfStyle w:val="000000000000"/>
            </w:pPr>
            <w:r>
              <w:t>20</w:t>
            </w:r>
          </w:p>
        </w:tc>
        <w:tc>
          <w:tcPr>
            <w:tcW w:w="1921" w:type="dxa"/>
          </w:tcPr>
          <w:p w:rsidR="00D32B54" w:rsidRDefault="00D32B54" w:rsidP="00D32B54">
            <w:pPr>
              <w:spacing w:line="360" w:lineRule="auto"/>
              <w:cnfStyle w:val="000000000000"/>
            </w:pPr>
            <w:r>
              <w:t>17</w:t>
            </w:r>
          </w:p>
        </w:tc>
        <w:tc>
          <w:tcPr>
            <w:tcW w:w="2032" w:type="dxa"/>
          </w:tcPr>
          <w:p w:rsidR="00D32B54" w:rsidRDefault="00D32B54" w:rsidP="00D32B54">
            <w:pPr>
              <w:spacing w:line="360" w:lineRule="auto"/>
              <w:cnfStyle w:val="000000000000"/>
            </w:pPr>
            <w:r>
              <w:t>4.230</w:t>
            </w:r>
          </w:p>
        </w:tc>
      </w:tr>
      <w:tr w:rsidR="00D32B54" w:rsidTr="00D32B54">
        <w:trPr>
          <w:cnfStyle w:val="000000100000"/>
        </w:trPr>
        <w:tc>
          <w:tcPr>
            <w:cnfStyle w:val="001000000000"/>
            <w:tcW w:w="1526" w:type="dxa"/>
          </w:tcPr>
          <w:p w:rsidR="00D32B54" w:rsidRDefault="00D32B54" w:rsidP="00D32B54">
            <w:pPr>
              <w:spacing w:line="360" w:lineRule="auto"/>
            </w:pPr>
            <w:r>
              <w:t>Ierland</w:t>
            </w:r>
          </w:p>
        </w:tc>
        <w:tc>
          <w:tcPr>
            <w:tcW w:w="1921" w:type="dxa"/>
          </w:tcPr>
          <w:p w:rsidR="00D32B54" w:rsidRDefault="00D32B54" w:rsidP="00D32B54">
            <w:pPr>
              <w:spacing w:line="360" w:lineRule="auto"/>
              <w:cnfStyle w:val="000000100000"/>
            </w:pPr>
            <w:r>
              <w:t>80</w:t>
            </w:r>
          </w:p>
        </w:tc>
        <w:tc>
          <w:tcPr>
            <w:tcW w:w="1922" w:type="dxa"/>
          </w:tcPr>
          <w:p w:rsidR="00D32B54" w:rsidRDefault="00D32B54" w:rsidP="00D32B54">
            <w:pPr>
              <w:spacing w:line="360" w:lineRule="auto"/>
              <w:cnfStyle w:val="000000100000"/>
            </w:pPr>
            <w:r>
              <w:t>11</w:t>
            </w:r>
          </w:p>
        </w:tc>
        <w:tc>
          <w:tcPr>
            <w:tcW w:w="1921" w:type="dxa"/>
          </w:tcPr>
          <w:p w:rsidR="00D32B54" w:rsidRDefault="00D32B54" w:rsidP="00D32B54">
            <w:pPr>
              <w:spacing w:line="360" w:lineRule="auto"/>
              <w:cnfStyle w:val="000000100000"/>
            </w:pPr>
            <w:r>
              <w:t>8</w:t>
            </w:r>
          </w:p>
        </w:tc>
        <w:tc>
          <w:tcPr>
            <w:tcW w:w="2032" w:type="dxa"/>
          </w:tcPr>
          <w:p w:rsidR="00D32B54" w:rsidRDefault="00D32B54" w:rsidP="00D32B54">
            <w:pPr>
              <w:spacing w:line="360" w:lineRule="auto"/>
              <w:cnfStyle w:val="000000100000"/>
            </w:pPr>
            <w:r>
              <w:t>124</w:t>
            </w:r>
          </w:p>
        </w:tc>
      </w:tr>
      <w:tr w:rsidR="00D32B54" w:rsidTr="00D32B54">
        <w:tc>
          <w:tcPr>
            <w:cnfStyle w:val="001000000000"/>
            <w:tcW w:w="1526" w:type="dxa"/>
          </w:tcPr>
          <w:p w:rsidR="00D32B54" w:rsidRDefault="00D32B54" w:rsidP="00D32B54">
            <w:pPr>
              <w:spacing w:line="360" w:lineRule="auto"/>
            </w:pPr>
            <w:r>
              <w:t>Duitsland</w:t>
            </w:r>
          </w:p>
        </w:tc>
        <w:tc>
          <w:tcPr>
            <w:tcW w:w="1921" w:type="dxa"/>
          </w:tcPr>
          <w:p w:rsidR="00D32B54" w:rsidRDefault="00D32B54" w:rsidP="00D32B54">
            <w:pPr>
              <w:spacing w:line="360" w:lineRule="auto"/>
              <w:cnfStyle w:val="000000000000"/>
            </w:pPr>
            <w:r>
              <w:t>46***</w:t>
            </w:r>
          </w:p>
        </w:tc>
        <w:tc>
          <w:tcPr>
            <w:tcW w:w="1922" w:type="dxa"/>
          </w:tcPr>
          <w:p w:rsidR="00D32B54" w:rsidRDefault="00D32B54" w:rsidP="00D32B54">
            <w:pPr>
              <w:spacing w:line="360" w:lineRule="auto"/>
              <w:cnfStyle w:val="000000000000"/>
            </w:pPr>
            <w:r>
              <w:t>49</w:t>
            </w:r>
          </w:p>
        </w:tc>
        <w:tc>
          <w:tcPr>
            <w:tcW w:w="1921" w:type="dxa"/>
          </w:tcPr>
          <w:p w:rsidR="00D32B54" w:rsidRDefault="00D32B54" w:rsidP="00D32B54">
            <w:pPr>
              <w:spacing w:line="360" w:lineRule="auto"/>
              <w:cnfStyle w:val="000000000000"/>
            </w:pPr>
            <w:r>
              <w:t>6</w:t>
            </w:r>
          </w:p>
        </w:tc>
        <w:tc>
          <w:tcPr>
            <w:tcW w:w="2032" w:type="dxa"/>
          </w:tcPr>
          <w:p w:rsidR="00D32B54" w:rsidRDefault="00D32B54" w:rsidP="00D32B54">
            <w:pPr>
              <w:spacing w:line="360" w:lineRule="auto"/>
              <w:cnfStyle w:val="000000000000"/>
            </w:pPr>
            <w:r>
              <w:t>1.800</w:t>
            </w:r>
          </w:p>
        </w:tc>
      </w:tr>
      <w:tr w:rsidR="00D32B54" w:rsidTr="00D32B54">
        <w:trPr>
          <w:cnfStyle w:val="000000100000"/>
        </w:trPr>
        <w:tc>
          <w:tcPr>
            <w:cnfStyle w:val="001000000000"/>
            <w:tcW w:w="1526" w:type="dxa"/>
          </w:tcPr>
          <w:p w:rsidR="00D32B54" w:rsidRDefault="00D32B54" w:rsidP="00D32B54">
            <w:pPr>
              <w:spacing w:line="360" w:lineRule="auto"/>
            </w:pPr>
            <w:r>
              <w:t xml:space="preserve">Hongarije </w:t>
            </w:r>
          </w:p>
        </w:tc>
        <w:tc>
          <w:tcPr>
            <w:tcW w:w="1921" w:type="dxa"/>
          </w:tcPr>
          <w:p w:rsidR="00D32B54" w:rsidRDefault="00D32B54" w:rsidP="00D32B54">
            <w:pPr>
              <w:spacing w:line="360" w:lineRule="auto"/>
              <w:cnfStyle w:val="000000100000"/>
            </w:pPr>
            <w:r>
              <w:t>92</w:t>
            </w:r>
          </w:p>
        </w:tc>
        <w:tc>
          <w:tcPr>
            <w:tcW w:w="1922" w:type="dxa"/>
          </w:tcPr>
          <w:p w:rsidR="00D32B54" w:rsidRDefault="00D32B54" w:rsidP="00D32B54">
            <w:pPr>
              <w:spacing w:line="360" w:lineRule="auto"/>
              <w:cnfStyle w:val="000000100000"/>
            </w:pPr>
            <w:r>
              <w:t>4</w:t>
            </w:r>
          </w:p>
        </w:tc>
        <w:tc>
          <w:tcPr>
            <w:tcW w:w="1921" w:type="dxa"/>
          </w:tcPr>
          <w:p w:rsidR="00D32B54" w:rsidRDefault="00D32B54" w:rsidP="00D32B54">
            <w:pPr>
              <w:spacing w:line="360" w:lineRule="auto"/>
              <w:cnfStyle w:val="000000100000"/>
            </w:pPr>
            <w:r>
              <w:t>4</w:t>
            </w:r>
          </w:p>
        </w:tc>
        <w:tc>
          <w:tcPr>
            <w:tcW w:w="2032" w:type="dxa"/>
          </w:tcPr>
          <w:p w:rsidR="00D32B54" w:rsidRDefault="00D32B54" w:rsidP="00D32B54">
            <w:pPr>
              <w:spacing w:line="360" w:lineRule="auto"/>
              <w:cnfStyle w:val="000000100000"/>
            </w:pPr>
            <w:r>
              <w:t>167</w:t>
            </w:r>
          </w:p>
        </w:tc>
      </w:tr>
    </w:tbl>
    <w:p w:rsidR="00D32B54" w:rsidRDefault="00D32B54" w:rsidP="00D32B54">
      <w:pPr>
        <w:spacing w:line="240" w:lineRule="auto"/>
      </w:pPr>
      <w:r>
        <w:t>*Zweden: inclusief coöperaties</w:t>
      </w:r>
      <w:r>
        <w:br/>
        <w:t>**Frankrijk: 6,1 % anders niet inbegrepen</w:t>
      </w:r>
      <w:r>
        <w:br/>
        <w:t>*** Duitsland: inclusief gedeeld eigendom/equity</w:t>
      </w:r>
    </w:p>
    <w:p w:rsidR="00D32B54" w:rsidRDefault="00D32B54" w:rsidP="00D32B54">
      <w:pPr>
        <w:rPr>
          <w:i/>
          <w:sz w:val="26"/>
          <w:szCs w:val="26"/>
        </w:rPr>
      </w:pPr>
      <w:r>
        <w:rPr>
          <w:i/>
          <w:sz w:val="26"/>
          <w:szCs w:val="26"/>
        </w:rPr>
        <w:br w:type="page"/>
      </w:r>
    </w:p>
    <w:p w:rsidR="00F84955" w:rsidRPr="00AC769B" w:rsidRDefault="00A10074" w:rsidP="00F84955">
      <w:pPr>
        <w:spacing w:line="360" w:lineRule="auto"/>
        <w:rPr>
          <w:i/>
          <w:sz w:val="26"/>
          <w:szCs w:val="26"/>
        </w:rPr>
      </w:pPr>
      <w:r>
        <w:rPr>
          <w:i/>
          <w:sz w:val="26"/>
          <w:szCs w:val="26"/>
        </w:rPr>
        <w:lastRenderedPageBreak/>
        <w:t>3</w:t>
      </w:r>
      <w:r w:rsidR="00F84955" w:rsidRPr="00AC769B">
        <w:rPr>
          <w:i/>
          <w:sz w:val="26"/>
          <w:szCs w:val="26"/>
        </w:rPr>
        <w:t xml:space="preserve"> </w:t>
      </w:r>
      <w:r w:rsidR="00F84955">
        <w:rPr>
          <w:i/>
          <w:sz w:val="26"/>
          <w:szCs w:val="26"/>
        </w:rPr>
        <w:t xml:space="preserve"> </w:t>
      </w:r>
      <w:r w:rsidR="00F84955" w:rsidRPr="00AC769B">
        <w:rPr>
          <w:i/>
          <w:sz w:val="26"/>
          <w:szCs w:val="26"/>
        </w:rPr>
        <w:t>Huursector</w:t>
      </w:r>
    </w:p>
    <w:p w:rsidR="00F84955" w:rsidRPr="00A50BA8" w:rsidRDefault="00F84955" w:rsidP="00F84955">
      <w:pPr>
        <w:spacing w:line="360" w:lineRule="auto"/>
      </w:pPr>
      <w:r>
        <w:t xml:space="preserve">Ook de huursector is in Nederland sterk gereguleerd. De overheid stimuleert de vraag naar huurwoningen via de huurprijsregulering, huurtoeslag en woningcorporaties die de huren kunstmatig laag houden. </w:t>
      </w:r>
    </w:p>
    <w:p w:rsidR="00A651B3" w:rsidRDefault="00A10074" w:rsidP="00A651B3">
      <w:pPr>
        <w:spacing w:line="360" w:lineRule="auto"/>
      </w:pPr>
      <w:r>
        <w:rPr>
          <w:i/>
        </w:rPr>
        <w:t>3</w:t>
      </w:r>
      <w:r w:rsidR="00F84955" w:rsidRPr="007B1886">
        <w:rPr>
          <w:i/>
        </w:rPr>
        <w:t>.1 Huurprijsregulering</w:t>
      </w:r>
      <w:r w:rsidR="00F84955">
        <w:rPr>
          <w:i/>
        </w:rPr>
        <w:br/>
      </w:r>
      <w:r w:rsidR="00F84955">
        <w:t>Op het merendeel van de huurwoningen in Nederland (94 procent</w:t>
      </w:r>
      <w:r w:rsidR="00F84955">
        <w:rPr>
          <w:rStyle w:val="Voetnootmarkering"/>
        </w:rPr>
        <w:footnoteReference w:id="7"/>
      </w:r>
      <w:r w:rsidR="00F84955">
        <w:t xml:space="preserve">) is de huurprijsregulering van toepassing. Zowel de hoogte van de huur als de jaarlijkse huurstijging worden door deze maatregel gereguleerd. Dit is het belangrijkste instrument dat de overheid inzet om kwalitatief goede woningen toegankelijk te houden voor huishoudens met een laag inkomen. Ook worden huurders mede door deze regulering </w:t>
      </w:r>
      <w:r w:rsidR="00393792">
        <w:t>beschermd</w:t>
      </w:r>
      <w:r w:rsidR="00F84955">
        <w:t xml:space="preserve"> tegen de marktmacht van verhuurders. De maximale gereguleerde huur wordt bepaald door het woningwaarderingsstelsel. Een administratief systeem waarbij punten worden toegekend voor kenmerken van de woning en haar omgeving. De huur van een ongereguleerde woning wordt bepaald door vraag en aanbod. De gereguleerde huur is in gewilde gebieden doorgaans een stuk lager dan wanneer de huur tot stand zou zijn gekomen door </w:t>
      </w:r>
      <w:r w:rsidR="00021165">
        <w:t xml:space="preserve">het mechanisme van </w:t>
      </w:r>
      <w:r w:rsidR="00F84955">
        <w:t>vraag en aanbod. Feitelijk betekent dit dat huurders impliciet worden gesubsidieerd door de overheid. In 2008 ging dit om een bedrag van 7,7 miljard, circa 38 procent van de gecorrigeerde marktconforme huur.</w:t>
      </w:r>
      <w:r w:rsidR="00F84955">
        <w:rPr>
          <w:rStyle w:val="Voetnootmarkering"/>
        </w:rPr>
        <w:footnoteReference w:id="8"/>
      </w:r>
      <w:r w:rsidR="00F84955">
        <w:t xml:space="preserve"> </w:t>
      </w:r>
    </w:p>
    <w:p w:rsidR="00FE799F" w:rsidRDefault="00A10074" w:rsidP="00FF556B">
      <w:pPr>
        <w:spacing w:line="360" w:lineRule="auto"/>
      </w:pPr>
      <w:r>
        <w:rPr>
          <w:i/>
        </w:rPr>
        <w:t>3</w:t>
      </w:r>
      <w:r w:rsidR="00F84955" w:rsidRPr="007B1886">
        <w:rPr>
          <w:i/>
        </w:rPr>
        <w:t>.</w:t>
      </w:r>
      <w:r w:rsidR="00F84955">
        <w:rPr>
          <w:i/>
        </w:rPr>
        <w:t>2</w:t>
      </w:r>
      <w:r w:rsidR="00F84955" w:rsidRPr="007B1886">
        <w:rPr>
          <w:i/>
        </w:rPr>
        <w:t xml:space="preserve"> Woningbouwcorporaties</w:t>
      </w:r>
      <w:r w:rsidR="00F84955">
        <w:rPr>
          <w:i/>
        </w:rPr>
        <w:br/>
      </w:r>
      <w:r w:rsidR="00F84955">
        <w:t xml:space="preserve">De meeste huurwoningen in ons land zijn in eigendom van woningbouwcorporaties. </w:t>
      </w:r>
      <w:r w:rsidR="00DB0A1E">
        <w:t>In 2009 waren er 430 corporati</w:t>
      </w:r>
      <w:r w:rsidR="00F84955">
        <w:t>es in Nederland.</w:t>
      </w:r>
      <w:r w:rsidR="00F84955">
        <w:rPr>
          <w:rStyle w:val="Voetnootmarkering"/>
        </w:rPr>
        <w:footnoteReference w:id="9"/>
      </w:r>
      <w:r w:rsidR="00F84955">
        <w:t xml:space="preserve"> De overheid heeft de woningbouwcorporaties een wettelijke taak opgelegd met betrekking tot de betaalbaarheid en de kwaliteit van wonen voor huishoudens met een laag inkomen. De overheid heeft hiermee invloed op de woninghuren. De overheidssteun stelt de corporaties in staat om huren te vragen die nog onder het maximum van de huurprijsregulering liggen. Dit draagt bij aan de impliciete subsidies die huurders in sociale woningen ontvangen. De woningcorporaties mogen uitsluitend actief zijn op het gebied van volkshuisvesting. Hun taken zijn het (laten) bouwen of aankopen van woningen en vervolgens deze woningen beheren, verkopen of verhuren. Daarnaast zijn zij ook verantwoordelijk voor het onderhoud van de woningen en de directe woonomgeving. Ook het zorgen voor huisvesting van ouderen, gehandicapten of anderen die begeleiding nodig hebben, behoort tot hun kerntaken. </w:t>
      </w:r>
      <w:r w:rsidR="00DB0A1E">
        <w:t xml:space="preserve">Het Centraal Fonds Volkshuisvesting houdt financieel toezicht op de woningbouwcorporaties in Nederland. Het CFV concludeert </w:t>
      </w:r>
      <w:r w:rsidR="00FF556B">
        <w:t xml:space="preserve">dat </w:t>
      </w:r>
      <w:r w:rsidR="00DB0A1E">
        <w:lastRenderedPageBreak/>
        <w:t xml:space="preserve">woningbouwcorporaties meer koopwoningen en minder huurwoningen willen bouwen, ondanks de stijgende vraag naar huurwoningen. De woningcorporaties lijken zo verder weg te drijven van hun belangrijkste taak, namelijk het aanbieden van sociale huurwoningen. </w:t>
      </w:r>
      <w:r w:rsidR="00655D74">
        <w:t>Ook constateerde het CFV dat de corporaties een verslechterde financiële positie hebben, doordat de huurinkomsten achter</w:t>
      </w:r>
      <w:r w:rsidR="00FE799F">
        <w:t>blijven bij de oplopende kosten. Dit is het gevolg geweest van investeringen die de corporaties in andere projecten dan woonprojecten hebben gedaan. Zo heeft woningbouwcorporatie Woonbron miljoenen verlies geleden door te investeren in het stoomschip “De Rotterdam”.</w:t>
      </w:r>
      <w:r w:rsidR="000D2A44" w:rsidRPr="000D2A44">
        <w:rPr>
          <w:rStyle w:val="Voetnootmarkering"/>
        </w:rPr>
        <w:t xml:space="preserve"> </w:t>
      </w:r>
      <w:r w:rsidR="00FE799F">
        <w:t xml:space="preserve">De woningbouwcorporaties zijn gaan investeren in deze andere projecten, omdat zij tot voor kort excessieve winsten behaalden. </w:t>
      </w:r>
      <w:r w:rsidR="000D2A44">
        <w:t>Blijkbaar hebben de corporaties met deze investeringen zoveel risico genomen dat hun financiële positie is verslechterd.</w:t>
      </w:r>
      <w:r w:rsidR="000D2A44" w:rsidRPr="000D2A44">
        <w:rPr>
          <w:rStyle w:val="Voetnootmarkering"/>
        </w:rPr>
        <w:t xml:space="preserve"> </w:t>
      </w:r>
      <w:r w:rsidR="000D2A44">
        <w:rPr>
          <w:rStyle w:val="Voetnootmarkering"/>
        </w:rPr>
        <w:footnoteReference w:id="10"/>
      </w:r>
      <w:r w:rsidR="000D2A44">
        <w:t xml:space="preserve"> </w:t>
      </w:r>
    </w:p>
    <w:p w:rsidR="00F84955" w:rsidRDefault="00A10074" w:rsidP="00F84955">
      <w:pPr>
        <w:spacing w:line="360" w:lineRule="auto"/>
      </w:pPr>
      <w:r>
        <w:rPr>
          <w:i/>
        </w:rPr>
        <w:t>3</w:t>
      </w:r>
      <w:r w:rsidR="00F84955" w:rsidRPr="007B1886">
        <w:rPr>
          <w:i/>
        </w:rPr>
        <w:t>.</w:t>
      </w:r>
      <w:r w:rsidR="00F84955">
        <w:rPr>
          <w:i/>
        </w:rPr>
        <w:t>3</w:t>
      </w:r>
      <w:r w:rsidR="00F84955" w:rsidRPr="007B1886">
        <w:rPr>
          <w:i/>
        </w:rPr>
        <w:t xml:space="preserve"> Huurtoeslag</w:t>
      </w:r>
      <w:r w:rsidR="00F84955">
        <w:rPr>
          <w:i/>
        </w:rPr>
        <w:br/>
      </w:r>
      <w:r w:rsidR="00F84955">
        <w:t>Huurders waarvoor de gereguleerde huur, ondanks de impliciete subsidies, nog te hoog is in verhouding met hun inkomen kunnen een tegemoetkoming in de huurkosten krijgen. Via het systeem van de huurtoeslag worden deze huurders ook nog expliciet gesubsidieerd. Deze toeslag is afhankelijk van het inkomen, vermogen en de samenstelling van het huishouden aan de ene kant en de huurprijs aan de andere kant. In totaal gaat dit om een bedrag van circa 1,9 miljard in 2008.</w:t>
      </w:r>
      <w:r w:rsidR="00F84955">
        <w:rPr>
          <w:rStyle w:val="Voetnootmarkering"/>
        </w:rPr>
        <w:footnoteReference w:id="11"/>
      </w:r>
    </w:p>
    <w:p w:rsidR="008E4845" w:rsidRPr="008C0F82" w:rsidRDefault="008E4845" w:rsidP="008C0F82">
      <w:pPr>
        <w:spacing w:line="360" w:lineRule="auto"/>
      </w:pPr>
      <w:r>
        <w:rPr>
          <w:i/>
        </w:rPr>
        <w:br w:type="page"/>
      </w:r>
    </w:p>
    <w:p w:rsidR="00F84955" w:rsidRPr="007B1886" w:rsidRDefault="00A10074" w:rsidP="00CC364A">
      <w:pPr>
        <w:spacing w:line="360" w:lineRule="auto"/>
        <w:outlineLvl w:val="0"/>
        <w:rPr>
          <w:i/>
          <w:sz w:val="26"/>
          <w:szCs w:val="26"/>
        </w:rPr>
      </w:pPr>
      <w:r>
        <w:rPr>
          <w:i/>
          <w:sz w:val="26"/>
          <w:szCs w:val="26"/>
        </w:rPr>
        <w:lastRenderedPageBreak/>
        <w:t>4</w:t>
      </w:r>
      <w:r w:rsidR="00F84955">
        <w:rPr>
          <w:i/>
          <w:sz w:val="26"/>
          <w:szCs w:val="26"/>
        </w:rPr>
        <w:t xml:space="preserve">  </w:t>
      </w:r>
      <w:r w:rsidR="00F84955" w:rsidRPr="007B1886">
        <w:rPr>
          <w:i/>
          <w:sz w:val="26"/>
          <w:szCs w:val="26"/>
        </w:rPr>
        <w:t>Ondoelmatigheden woningmarkt</w:t>
      </w:r>
    </w:p>
    <w:p w:rsidR="00F84955" w:rsidRDefault="00F84955" w:rsidP="00F84955">
      <w:pPr>
        <w:spacing w:line="360" w:lineRule="auto"/>
      </w:pPr>
      <w:r>
        <w:t xml:space="preserve">Instrumenten van de overheid, bijvoorbeeld de huurprijsregulering en hypotheekrenteaftrek, zijn ingezet om het falen van de markt tegen te gaan. Vooral de laatste decennia wordt er steeds meer kritiek geuit over het huidige woningmarktbeleid van de overheid. De woningmarkt zou niet meer doelmatig en efficiënt functioneren. De rol van de overheid op de woningmarkt is niet meer alleen een deel van de oplossing, maar ook meer en meer een deel van het probleem op de woningmarkt geworden. De sterke verslechtering van de overheidsfinanciën waartoe de kredietcrisis heeft geleid en de daardoor veroorzaakte economische neergang hebben de discussie over het huidige woningmarktbeleid </w:t>
      </w:r>
      <w:r w:rsidR="00393792">
        <w:t xml:space="preserve">versterkt. </w:t>
      </w:r>
      <w:r>
        <w:t>Veel instrumenten van de overheid halen niet hun beoogde doel.</w:t>
      </w:r>
    </w:p>
    <w:p w:rsidR="0035300C" w:rsidRDefault="00A10074" w:rsidP="0035300C">
      <w:pPr>
        <w:spacing w:line="360" w:lineRule="auto"/>
      </w:pPr>
      <w:r>
        <w:rPr>
          <w:i/>
        </w:rPr>
        <w:t>4</w:t>
      </w:r>
      <w:r w:rsidR="00F84955" w:rsidRPr="007B1886">
        <w:rPr>
          <w:i/>
        </w:rPr>
        <w:t>.1</w:t>
      </w:r>
      <w:r w:rsidR="00F84955">
        <w:rPr>
          <w:i/>
        </w:rPr>
        <w:t xml:space="preserve"> Gestegen woning</w:t>
      </w:r>
      <w:r w:rsidR="00F84955" w:rsidRPr="007B1886">
        <w:rPr>
          <w:i/>
        </w:rPr>
        <w:t>prijzen</w:t>
      </w:r>
      <w:r w:rsidR="00F84955">
        <w:rPr>
          <w:i/>
        </w:rPr>
        <w:br/>
      </w:r>
      <w:r w:rsidR="00F84955">
        <w:t>Het aanbod van woningen reageert in Nederland onvoldoende op de vraag. De gestegen vraag naar woningen van de afgelopen jaren kan verklaard worden door immigratie en uit het feit dat het aantal eenpersoonshuishoudens is gegroeid. Een stijgende vraag op de koopmarkt kan ook verklaard worden doordat kopers steeds meer financiële middelen tot hun beschikking hebben. De dalende hypotheekrente, financiële innovaties zoals de kapitaalverzekering eigen woning en een ve</w:t>
      </w:r>
      <w:r w:rsidR="00393792">
        <w:t xml:space="preserve">rgroting van de leencapaciteit </w:t>
      </w:r>
      <w:r w:rsidR="00F84955">
        <w:t>hebben hierbij een rol gespeeld. De hypotheekrenteaftrek zorgt er immers voor dat eigenwoningbezitters goedkoop en daardoor meer kunnen lenen. De lage aanbodelasticiteit (0,65 procent) van koopwoningen heeft bij de stijgende vraag nauwelijks tot een verruiming van het aantal woningen geleid, maar alleen tot stijgende koopprijzen.</w:t>
      </w:r>
      <w:r w:rsidR="00F84955">
        <w:rPr>
          <w:rStyle w:val="Voetnootmarkering"/>
        </w:rPr>
        <w:footnoteReference w:id="12"/>
      </w:r>
      <w:r w:rsidR="00937A30">
        <w:t xml:space="preserve"> </w:t>
      </w:r>
      <w:r w:rsidR="002D5E92">
        <w:t>Uit</w:t>
      </w:r>
      <w:r w:rsidR="00F84955">
        <w:t xml:space="preserve"> figuur </w:t>
      </w:r>
      <w:r>
        <w:t>4</w:t>
      </w:r>
      <w:r w:rsidR="00DD78A5">
        <w:t xml:space="preserve">.1 </w:t>
      </w:r>
      <w:r w:rsidR="00F84955">
        <w:t>kan men opmerken dat de huizenprijzen sinds 1996 bijna zijn verdrievoudigd.</w:t>
      </w:r>
      <w:r w:rsidR="00F84955" w:rsidRPr="00F037AD">
        <w:rPr>
          <w:rStyle w:val="Voetnootmarkering"/>
        </w:rPr>
        <w:t xml:space="preserve"> </w:t>
      </w:r>
      <w:r w:rsidR="002D5E92">
        <w:t>Een eengezinswoning kostte in 1996 gemiddeld een ton. Bij verkoop 10 jaar later is de woning gemiddeld 2,5 ton waard geworden. Met deze forse winst van 1,5 ton zijn alle rentelasten terugverdiend, zelfs als er tussentijds niet is afgelost op de hypothecaire lening. Een kanttekening bij deze eenvoudige berekening is dat er hier geen rekening is gehouden met de inflatie gedurende deze 10 jaar. Zelfs wanneer we veronderstellen dat de inflatie i</w:t>
      </w:r>
      <w:r w:rsidR="000D2A44">
        <w:t>eder jaar 2 procent heeft bedra</w:t>
      </w:r>
      <w:r w:rsidR="002D5E92">
        <w:t>g</w:t>
      </w:r>
      <w:r w:rsidR="000D2A44">
        <w:t>en</w:t>
      </w:r>
      <w:r w:rsidR="002D5E92">
        <w:t>, dan zal de winst nog steeds boven de 1 ton uitkomen.</w:t>
      </w:r>
      <w:r w:rsidR="00F26564">
        <w:rPr>
          <w:rStyle w:val="Voetnootmarkering"/>
        </w:rPr>
        <w:footnoteReference w:id="13"/>
      </w:r>
      <w:r w:rsidR="002D5E92">
        <w:t xml:space="preserve"> </w:t>
      </w:r>
      <w:r w:rsidR="00DD78A5">
        <w:t>Men moet natuurlijk niet vergeten dat het aanschaffen van een nieuwe eigen woning ook flink duurder is geworden. De verworven overwaarde zal d</w:t>
      </w:r>
      <w:r w:rsidR="00F26564">
        <w:t>an</w:t>
      </w:r>
      <w:r w:rsidR="00DD78A5">
        <w:t xml:space="preserve"> hard nodig zijn</w:t>
      </w:r>
      <w:r w:rsidR="00F26564">
        <w:t>.</w:t>
      </w:r>
      <w:r w:rsidR="0035300C">
        <w:t xml:space="preserve"> </w:t>
      </w:r>
    </w:p>
    <w:p w:rsidR="00F84955" w:rsidRDefault="00F84955" w:rsidP="00F84955">
      <w:pPr>
        <w:spacing w:line="360" w:lineRule="auto"/>
      </w:pPr>
    </w:p>
    <w:p w:rsidR="00F84955" w:rsidRDefault="00F84955" w:rsidP="00F84955">
      <w:pPr>
        <w:spacing w:line="360" w:lineRule="auto"/>
      </w:pPr>
    </w:p>
    <w:p w:rsidR="00F84955" w:rsidRPr="00A10074" w:rsidRDefault="00DD78A5" w:rsidP="00CC364A">
      <w:pPr>
        <w:spacing w:line="360" w:lineRule="auto"/>
        <w:outlineLvl w:val="0"/>
        <w:rPr>
          <w:i/>
        </w:rPr>
      </w:pPr>
      <w:r>
        <w:rPr>
          <w:noProof/>
          <w:lang w:eastAsia="nl-NL"/>
        </w:rPr>
        <w:lastRenderedPageBreak/>
        <w:drawing>
          <wp:anchor distT="0" distB="0" distL="114300" distR="114300" simplePos="0" relativeHeight="251660288" behindDoc="1" locked="0" layoutInCell="1" allowOverlap="1">
            <wp:simplePos x="0" y="0"/>
            <wp:positionH relativeFrom="column">
              <wp:posOffset>1186180</wp:posOffset>
            </wp:positionH>
            <wp:positionV relativeFrom="paragraph">
              <wp:posOffset>-33020</wp:posOffset>
            </wp:positionV>
            <wp:extent cx="3867150" cy="2695575"/>
            <wp:effectExtent l="19050" t="0" r="0" b="0"/>
            <wp:wrapTight wrapText="bothSides">
              <wp:wrapPolygon edited="0">
                <wp:start x="-106" y="0"/>
                <wp:lineTo x="-106" y="21524"/>
                <wp:lineTo x="21600" y="21524"/>
                <wp:lineTo x="21600" y="0"/>
                <wp:lineTo x="-106" y="0"/>
              </wp:wrapPolygon>
            </wp:wrapTight>
            <wp:docPr id="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3867150" cy="2695575"/>
                    </a:xfrm>
                    <a:prstGeom prst="rect">
                      <a:avLst/>
                    </a:prstGeom>
                    <a:noFill/>
                    <a:ln w="9525">
                      <a:noFill/>
                      <a:miter lim="800000"/>
                      <a:headEnd/>
                      <a:tailEnd/>
                    </a:ln>
                  </pic:spPr>
                </pic:pic>
              </a:graphicData>
            </a:graphic>
          </wp:anchor>
        </w:drawing>
      </w:r>
      <w:r w:rsidR="00A10074">
        <w:rPr>
          <w:i/>
          <w:noProof/>
          <w:lang w:eastAsia="nl-NL"/>
        </w:rPr>
        <w:t>Figuur 4.1</w:t>
      </w:r>
      <w:r w:rsidR="0035300C">
        <w:rPr>
          <w:rStyle w:val="Voetnootmarkering"/>
        </w:rPr>
        <w:footnoteReference w:id="14"/>
      </w:r>
    </w:p>
    <w:p w:rsidR="00F84955" w:rsidRDefault="00F84955" w:rsidP="00F84955">
      <w:pPr>
        <w:spacing w:line="360" w:lineRule="auto"/>
      </w:pPr>
    </w:p>
    <w:p w:rsidR="00F84955" w:rsidRDefault="00F84955" w:rsidP="00F84955">
      <w:pPr>
        <w:spacing w:line="360" w:lineRule="auto"/>
      </w:pPr>
    </w:p>
    <w:p w:rsidR="00F84955" w:rsidRDefault="00F84955" w:rsidP="00F84955">
      <w:pPr>
        <w:spacing w:line="360" w:lineRule="auto"/>
      </w:pPr>
    </w:p>
    <w:p w:rsidR="00DD78A5" w:rsidRDefault="00DD78A5" w:rsidP="00F84955">
      <w:pPr>
        <w:spacing w:line="360" w:lineRule="auto"/>
      </w:pPr>
    </w:p>
    <w:p w:rsidR="00DD78A5" w:rsidRDefault="00DD78A5" w:rsidP="00F84955">
      <w:pPr>
        <w:spacing w:line="360" w:lineRule="auto"/>
      </w:pPr>
    </w:p>
    <w:p w:rsidR="00DD78A5" w:rsidRDefault="00DD78A5" w:rsidP="00F84955">
      <w:pPr>
        <w:spacing w:line="360" w:lineRule="auto"/>
      </w:pPr>
    </w:p>
    <w:p w:rsidR="00F84955" w:rsidRDefault="00F84955" w:rsidP="00F84955">
      <w:pPr>
        <w:spacing w:line="360" w:lineRule="auto"/>
      </w:pPr>
      <w:r>
        <w:t>Het gevolg van de lage aanbodelasticiteit van koopwoningen is dat er een woningtekort is ontstaan. Het woningtekort zal bij een ongewijzigd beleid 2,3 procent in 2010 gaan bedragen.</w:t>
      </w:r>
      <w:r>
        <w:rPr>
          <w:rStyle w:val="Voetnootmarkering"/>
        </w:rPr>
        <w:footnoteReference w:id="15"/>
      </w:r>
      <w:r>
        <w:t xml:space="preserve"> De prijzen van </w:t>
      </w:r>
      <w:r w:rsidR="000D2A44">
        <w:t>ongereguleerde huurwoningen zijn hierdoor</w:t>
      </w:r>
      <w:r>
        <w:t xml:space="preserve"> ook gestegen. Het huurniveau zal namelijk mee moeten stijgen om een marktconform rendement te behalen. </w:t>
      </w:r>
    </w:p>
    <w:p w:rsidR="00F84955" w:rsidRDefault="00F26564" w:rsidP="00F84955">
      <w:pPr>
        <w:spacing w:line="360" w:lineRule="auto"/>
      </w:pPr>
      <w:r>
        <w:rPr>
          <w:noProof/>
          <w:lang w:eastAsia="nl-NL"/>
        </w:rPr>
        <w:drawing>
          <wp:anchor distT="0" distB="0" distL="114300" distR="114300" simplePos="0" relativeHeight="251661312" behindDoc="1" locked="0" layoutInCell="1" allowOverlap="1">
            <wp:simplePos x="0" y="0"/>
            <wp:positionH relativeFrom="column">
              <wp:posOffset>-33020</wp:posOffset>
            </wp:positionH>
            <wp:positionV relativeFrom="paragraph">
              <wp:posOffset>726440</wp:posOffset>
            </wp:positionV>
            <wp:extent cx="5591175" cy="3771900"/>
            <wp:effectExtent l="19050" t="0" r="9525"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591175" cy="3771900"/>
                    </a:xfrm>
                    <a:prstGeom prst="rect">
                      <a:avLst/>
                    </a:prstGeom>
                    <a:noFill/>
                    <a:ln w="9525">
                      <a:noFill/>
                      <a:miter lim="800000"/>
                      <a:headEnd/>
                      <a:tailEnd/>
                    </a:ln>
                  </pic:spPr>
                </pic:pic>
              </a:graphicData>
            </a:graphic>
          </wp:anchor>
        </w:drawing>
      </w:r>
      <w:r w:rsidR="00F84955">
        <w:t xml:space="preserve"> De gestegen gemiddelde huizenprijzen zullen moeten worden gecorrigeerd voor inflatie, wil je daar echt een uitspraak over kunnen doen. </w:t>
      </w:r>
      <w:r w:rsidR="000D2A44">
        <w:t xml:space="preserve">Uit de </w:t>
      </w:r>
      <w:r w:rsidR="00F84955">
        <w:t xml:space="preserve">onderstaande figuur </w:t>
      </w:r>
      <w:r w:rsidR="000D2A44">
        <w:t xml:space="preserve">blijkt dat </w:t>
      </w:r>
      <w:r w:rsidR="00F84955">
        <w:t>de reële prijs van koopwoningen tussen 1985 en 2007</w:t>
      </w:r>
      <w:r w:rsidR="002E5942">
        <w:t xml:space="preserve"> </w:t>
      </w:r>
      <w:r w:rsidR="00F84955">
        <w:t xml:space="preserve">voortdurend </w:t>
      </w:r>
      <w:r w:rsidR="002E5942">
        <w:t xml:space="preserve">is </w:t>
      </w:r>
      <w:r w:rsidR="00F84955">
        <w:t>gestegen.</w:t>
      </w:r>
      <w:r w:rsidR="00F84955" w:rsidRPr="00F037AD">
        <w:rPr>
          <w:rStyle w:val="Voetnootmarkering"/>
        </w:rPr>
        <w:t xml:space="preserve"> </w:t>
      </w:r>
      <w:r w:rsidR="00F84955">
        <w:rPr>
          <w:rStyle w:val="Voetnootmarkering"/>
        </w:rPr>
        <w:footnoteReference w:id="16"/>
      </w:r>
      <w:r w:rsidR="00F84955" w:rsidRPr="0046165A">
        <w:t xml:space="preserve"> </w:t>
      </w:r>
    </w:p>
    <w:p w:rsidR="00F26564" w:rsidRDefault="00A10074" w:rsidP="00F84955">
      <w:pPr>
        <w:spacing w:line="360" w:lineRule="auto"/>
        <w:rPr>
          <w:i/>
        </w:rPr>
      </w:pPr>
      <w:r>
        <w:rPr>
          <w:i/>
        </w:rPr>
        <w:t>Figuur 4.2</w:t>
      </w:r>
      <w:r w:rsidR="00F84955">
        <w:rPr>
          <w:i/>
        </w:rPr>
        <w:br/>
      </w:r>
    </w:p>
    <w:p w:rsidR="00F26564" w:rsidRDefault="00F26564">
      <w:pPr>
        <w:rPr>
          <w:i/>
        </w:rPr>
      </w:pPr>
      <w:r>
        <w:rPr>
          <w:i/>
        </w:rPr>
        <w:br w:type="page"/>
      </w:r>
    </w:p>
    <w:p w:rsidR="00F84955" w:rsidRDefault="00A10074" w:rsidP="00F84955">
      <w:pPr>
        <w:spacing w:line="360" w:lineRule="auto"/>
      </w:pPr>
      <w:r>
        <w:rPr>
          <w:i/>
        </w:rPr>
        <w:lastRenderedPageBreak/>
        <w:t>4</w:t>
      </w:r>
      <w:r w:rsidR="00F84955">
        <w:rPr>
          <w:i/>
        </w:rPr>
        <w:t>.2</w:t>
      </w:r>
      <w:r w:rsidR="00F84955" w:rsidRPr="0056302B">
        <w:rPr>
          <w:i/>
        </w:rPr>
        <w:t xml:space="preserve"> Beslag op de overheidsfinanciën</w:t>
      </w:r>
      <w:r w:rsidR="00F84955">
        <w:rPr>
          <w:i/>
        </w:rPr>
        <w:br/>
      </w:r>
      <w:r w:rsidR="00F84955">
        <w:t xml:space="preserve">Het woningmarktbeleid legt een groot beslag op de overheidsfinanciën door middel van expliciete en impliciete subsidies. De kosten voor de overheid van de hypotheekrenteaftrek zijn in de periode 1995-2005 voortdurend gestegen zoals blijkt uit figuur </w:t>
      </w:r>
      <w:r>
        <w:t>4</w:t>
      </w:r>
      <w:r w:rsidR="00F84955">
        <w:t>.</w:t>
      </w:r>
      <w:r w:rsidR="00B74FF1">
        <w:t>3.</w:t>
      </w:r>
      <w:r w:rsidR="00F84955">
        <w:rPr>
          <w:rStyle w:val="Voetnootmarkering"/>
        </w:rPr>
        <w:footnoteReference w:id="17"/>
      </w:r>
      <w:r w:rsidR="00F84955">
        <w:t xml:space="preserve">  De ontwikk</w:t>
      </w:r>
      <w:r w:rsidR="00B74FF1">
        <w:t xml:space="preserve">eling van het eigenwoningforfait, wat een opbrengst voor de overheid betekent, </w:t>
      </w:r>
      <w:r w:rsidR="00F84955">
        <w:t xml:space="preserve">blijft in deze periode duidelijk achter. </w:t>
      </w:r>
    </w:p>
    <w:p w:rsidR="00CC364A" w:rsidRPr="005D18C2" w:rsidRDefault="00CC364A" w:rsidP="00F84955">
      <w:pPr>
        <w:spacing w:line="360" w:lineRule="auto"/>
      </w:pPr>
      <w:r>
        <w:rPr>
          <w:noProof/>
          <w:lang w:eastAsia="nl-NL"/>
        </w:rPr>
        <w:drawing>
          <wp:anchor distT="0" distB="0" distL="114300" distR="114300" simplePos="0" relativeHeight="251678720" behindDoc="0" locked="0" layoutInCell="1" allowOverlap="1">
            <wp:simplePos x="0" y="0"/>
            <wp:positionH relativeFrom="column">
              <wp:posOffset>90805</wp:posOffset>
            </wp:positionH>
            <wp:positionV relativeFrom="paragraph">
              <wp:posOffset>2067560</wp:posOffset>
            </wp:positionV>
            <wp:extent cx="771525" cy="266700"/>
            <wp:effectExtent l="19050" t="0" r="9525" b="0"/>
            <wp:wrapNone/>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771525" cy="266700"/>
                    </a:xfrm>
                    <a:prstGeom prst="rect">
                      <a:avLst/>
                    </a:prstGeom>
                    <a:noFill/>
                    <a:ln w="9525">
                      <a:noFill/>
                      <a:miter lim="800000"/>
                      <a:headEnd/>
                      <a:tailEnd/>
                    </a:ln>
                  </pic:spPr>
                </pic:pic>
              </a:graphicData>
            </a:graphic>
          </wp:anchor>
        </w:drawing>
      </w:r>
      <w:r w:rsidR="00B74FF1">
        <w:rPr>
          <w:noProof/>
          <w:lang w:eastAsia="nl-NL"/>
        </w:rPr>
        <w:drawing>
          <wp:anchor distT="0" distB="0" distL="114300" distR="114300" simplePos="0" relativeHeight="251662336" behindDoc="1" locked="0" layoutInCell="1" allowOverlap="1">
            <wp:simplePos x="0" y="0"/>
            <wp:positionH relativeFrom="column">
              <wp:posOffset>-90170</wp:posOffset>
            </wp:positionH>
            <wp:positionV relativeFrom="paragraph">
              <wp:posOffset>1896110</wp:posOffset>
            </wp:positionV>
            <wp:extent cx="6105525" cy="4638675"/>
            <wp:effectExtent l="19050" t="0" r="9525" b="0"/>
            <wp:wrapTopAndBottom/>
            <wp:docPr id="1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6105525" cy="4638675"/>
                    </a:xfrm>
                    <a:prstGeom prst="rect">
                      <a:avLst/>
                    </a:prstGeom>
                    <a:noFill/>
                    <a:ln w="9525">
                      <a:noFill/>
                      <a:miter lim="800000"/>
                      <a:headEnd/>
                      <a:tailEnd/>
                    </a:ln>
                  </pic:spPr>
                </pic:pic>
              </a:graphicData>
            </a:graphic>
          </wp:anchor>
        </w:drawing>
      </w:r>
      <w:r w:rsidR="00F84955">
        <w:t>De fiscale behandeling van de eigen woning leidt tot een versmalling van de belastingbasis. Het beslag op de schatkist zal bij ongewijzigd beleid alleen maar groter worden, aangezien het aantal koopwoningen de komende jaren zal toenemen. Met het oog op de vergrijzing en het door de crisis sterk opgelopen begrotings</w:t>
      </w:r>
      <w:r w:rsidR="00B74FF1">
        <w:t>tekort is deze toename vooral on</w:t>
      </w:r>
      <w:r w:rsidR="00F84955">
        <w:t>gewenst. Ook loopt dit beslag op de overheidsfinanciën een groot risico, omdat deze afhankelijk is van macro-economische factoren als de hypotheekrente en de huizenprijzen</w:t>
      </w:r>
      <w:r>
        <w:t>.</w:t>
      </w:r>
      <w:r w:rsidR="009343FD">
        <w:t xml:space="preserve"> </w:t>
      </w:r>
    </w:p>
    <w:p w:rsidR="009169A5" w:rsidRDefault="00CC364A" w:rsidP="00F84955">
      <w:pPr>
        <w:spacing w:line="360" w:lineRule="auto"/>
      </w:pPr>
      <w:r>
        <w:rPr>
          <w:i/>
        </w:rPr>
        <w:lastRenderedPageBreak/>
        <w:t>4</w:t>
      </w:r>
      <w:r w:rsidR="00F84955">
        <w:rPr>
          <w:i/>
        </w:rPr>
        <w:t>.3 Subsidiëring eigen woning</w:t>
      </w:r>
      <w:r w:rsidR="00F84955">
        <w:rPr>
          <w:i/>
        </w:rPr>
        <w:br/>
      </w:r>
      <w:r w:rsidR="00F84955">
        <w:t>De fiscale behandeling van de eigen woning stimuleert woningeigenaren om hun woning (blijvend) met vreemd geld te betalen. Dit heeft als gevolg dat de gezamenlijke hypotheekschuld in Nederland ongeveer even hoog is geworden als ons bruto binnenlands product. De huidige fiscale behandeling van de eigen woning stimuleert dus eigenlijk niet het huizenbezit, maar het hypotheekbezit. Huishoudens nemen hiermee onn</w:t>
      </w:r>
      <w:r w:rsidR="006E2E81">
        <w:t xml:space="preserve">odig grote financiële risico’s, waar in een later hoofdstuk uitgebreid op terug wordt gekomen. </w:t>
      </w:r>
      <w:r w:rsidR="009169A5">
        <w:t>Huishoudens kunnen naast een hypotheekschuld ook een aanzienlijk bedrag aan eigen vermogen hebben. Het is voor hen niet voordelig om dit eigen vermogen te gebruiken voor aflossing van de hypotheek.</w:t>
      </w:r>
      <w:r w:rsidR="00F84955">
        <w:t xml:space="preserve"> De vermogensrendementsheffing van 1,2 procent over het vermogen in box 3 is in het algemeen </w:t>
      </w:r>
      <w:r w:rsidR="009169A5">
        <w:t xml:space="preserve">namelijk </w:t>
      </w:r>
      <w:r w:rsidR="00F84955">
        <w:t>kleiner dan het belastingvoordeel wat behaald kan worden via de hypotheekrenteaftrek. De hypotheek aflossen met het vermogen in box 3 is dus niet aantrekkelijk. Zonder fiscale prikkels is het aanhouden van eigen vermogen naast een schul</w:t>
      </w:r>
      <w:r w:rsidR="005B60C0">
        <w:t>d financieel nooit</w:t>
      </w:r>
      <w:r w:rsidR="009169A5">
        <w:t xml:space="preserve"> aantrekkelijk, aangezien d</w:t>
      </w:r>
      <w:r w:rsidR="00F84955">
        <w:t>e te betalen doorgaans hog</w:t>
      </w:r>
      <w:r w:rsidR="009169A5">
        <w:t>er is dan de te ontvangen rente.</w:t>
      </w:r>
      <w:r w:rsidR="00F84955">
        <w:t xml:space="preserve"> </w:t>
      </w:r>
      <w:r w:rsidR="009169A5">
        <w:t xml:space="preserve">De eigenwoning wordt fiscaal gezien minder belast, dan het forfaitaire rendement op vermogen in box 3. </w:t>
      </w:r>
      <w:r w:rsidR="005B60C0">
        <w:t xml:space="preserve">Deze fiscale arbitrage tussen de boxen verstoort de financiële markt en leidt nauwelijks tot aflossing van de hypothecaire lening. </w:t>
      </w:r>
    </w:p>
    <w:p w:rsidR="002E5942" w:rsidRDefault="00F84955" w:rsidP="00F84955">
      <w:pPr>
        <w:spacing w:line="360" w:lineRule="auto"/>
      </w:pPr>
      <w:r>
        <w:t>De fiscale behandeling van de eigen woning maakt het aantrekkelijk om in het bez</w:t>
      </w:r>
      <w:r w:rsidR="002E5942">
        <w:t>it te zijn van een eigen woning met een hypothecaire lening.</w:t>
      </w:r>
      <w:r>
        <w:t xml:space="preserve"> </w:t>
      </w:r>
      <w:r w:rsidR="002E5942">
        <w:t>Dit brengt</w:t>
      </w:r>
      <w:r>
        <w:t xml:space="preserve"> een aantal verstorende effecten voor de woningmarkt met zich mee. Doordat eigenwoningbezitters een impliciete subsidie via de hypotheekrenteaftrek krijgen, wordt het wonen in een koopwoning voor hen goedkoper gemaakt. Het gevolg hiervan is dat men duurder kan gaan wonen, dan oor</w:t>
      </w:r>
      <w:r w:rsidR="009627A7">
        <w:t xml:space="preserve">spronkelijk het geval zou zijn. </w:t>
      </w:r>
      <w:r w:rsidR="00E11D77">
        <w:t>Vanuit een individueel perspect</w:t>
      </w:r>
      <w:r w:rsidR="002E5942">
        <w:t xml:space="preserve">ief wordt er meer </w:t>
      </w:r>
      <w:r w:rsidR="003A7869">
        <w:t xml:space="preserve">geconsumeerd </w:t>
      </w:r>
      <w:r w:rsidR="00E11D77">
        <w:t xml:space="preserve">aan </w:t>
      </w:r>
      <w:r w:rsidR="003A7869">
        <w:t>´wonen´</w:t>
      </w:r>
      <w:r w:rsidR="00E11D77">
        <w:t xml:space="preserve"> </w:t>
      </w:r>
      <w:r w:rsidR="003A7869">
        <w:t xml:space="preserve">dan zonder impliciete subsidie het geval zou zijn. </w:t>
      </w:r>
      <w:r>
        <w:t xml:space="preserve">De subsidie op eigenwoningbezit kan leiden tot een inefficiënte allocatie, als de kosten voor woningeigenaren onder de maatschappelijke kosten liggen. In dit geval zullen de positieve externe effecten van eigenwoningbezit niet voldoende zijn. Overigens moet niet vergeten worden dat de hypotheekrenteaftrek een bijdrage levert aan de opstuwing van de huizenprijzen in Nederland. Bij afschaffing van de hypotheekrenteaftrek kunnen eigenwoningbezitters niet meer zo goedkoop lenen, maar er wordt tevens verwacht dat de huizenprijzen zullen gaan dalen. Per saldo </w:t>
      </w:r>
      <w:r w:rsidR="009627A7">
        <w:t>kunnen</w:t>
      </w:r>
      <w:r>
        <w:t xml:space="preserve"> </w:t>
      </w:r>
      <w:r w:rsidR="009627A7">
        <w:t>e</w:t>
      </w:r>
      <w:r>
        <w:t xml:space="preserve">igenwoningbezitters </w:t>
      </w:r>
      <w:r w:rsidR="009627A7">
        <w:t xml:space="preserve">bij afschaffing van de hypotheekrenteaftrek misschien wel eenzelfde huis kopen dan ervoor. </w:t>
      </w:r>
    </w:p>
    <w:p w:rsidR="00B364ED" w:rsidRDefault="00F84955" w:rsidP="00F84955">
      <w:pPr>
        <w:spacing w:line="360" w:lineRule="auto"/>
      </w:pPr>
      <w:r>
        <w:t xml:space="preserve">In 2008 hadden 4 miljoen huishoudens een eigen woning, waarvan ruim 3,5 miljoen deze woning financierde met een hypotheek. Er werden 28 miljard euro hypotheekkosten gemaakt, waarvan ruim 10 miljard euro werd terugontvangen via de hypotheekrenteaftrek. </w:t>
      </w:r>
      <w:r w:rsidR="003A7869">
        <w:t>Van deze impliciete subsidie k</w:t>
      </w:r>
      <w:r>
        <w:t xml:space="preserve">wam ongeveer 5 miljard euro terecht bij de 20 procent huishoudens met de hoogste inkomens. Het </w:t>
      </w:r>
      <w:r>
        <w:lastRenderedPageBreak/>
        <w:t>fiscale voordeel van eigenwoningbezitters, uitgedrukt in euro’s, nee</w:t>
      </w:r>
      <w:r w:rsidR="00CC364A">
        <w:t>mt toe met het inkomen (figuur 4</w:t>
      </w:r>
      <w:r>
        <w:t>.4). Dit past niet in het progressieve belastingsysteem van Nederland. De hypotheekrenteaftrek is zelfs degressief. We gaan er hierbij wel vanuit dat huishoudens met een hoger inkomen ook in een duurder huis wonen met een hogere hypotheekschuld. Zij zullen zo meer hypotheekkosten kunnen aftrekken tegen een hoger percentage van hun belastbare inkomen uit box 1. Doordat ze een hoger inkomen hebben, vallen ze in een schijf van de inkomstenbelasting met een hoger belastingpercentage.</w:t>
      </w:r>
      <w:r w:rsidR="00B364ED">
        <w:rPr>
          <w:rStyle w:val="Voetnootmarkering"/>
        </w:rPr>
        <w:footnoteReference w:id="18"/>
      </w:r>
      <w:r>
        <w:t xml:space="preserve"> </w:t>
      </w:r>
      <w:r w:rsidR="00B364ED">
        <w:br/>
      </w:r>
      <w:r w:rsidR="00CC364A">
        <w:rPr>
          <w:noProof/>
          <w:lang w:eastAsia="nl-NL"/>
        </w:rPr>
        <w:drawing>
          <wp:anchor distT="0" distB="0" distL="114300" distR="114300" simplePos="0" relativeHeight="251672576" behindDoc="1" locked="0" layoutInCell="1" allowOverlap="1">
            <wp:simplePos x="0" y="0"/>
            <wp:positionH relativeFrom="column">
              <wp:posOffset>728980</wp:posOffset>
            </wp:positionH>
            <wp:positionV relativeFrom="paragraph">
              <wp:posOffset>2052955</wp:posOffset>
            </wp:positionV>
            <wp:extent cx="5305425" cy="3419475"/>
            <wp:effectExtent l="19050" t="0" r="9525" b="0"/>
            <wp:wrapTight wrapText="bothSides">
              <wp:wrapPolygon edited="0">
                <wp:start x="-78" y="0"/>
                <wp:lineTo x="-78" y="21540"/>
                <wp:lineTo x="21639" y="21540"/>
                <wp:lineTo x="21639" y="0"/>
                <wp:lineTo x="-78" y="0"/>
              </wp:wrapPolygon>
            </wp:wrapTight>
            <wp:docPr id="52"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 cstate="print"/>
                    <a:srcRect/>
                    <a:stretch>
                      <a:fillRect/>
                    </a:stretch>
                  </pic:blipFill>
                  <pic:spPr bwMode="auto">
                    <a:xfrm>
                      <a:off x="0" y="0"/>
                      <a:ext cx="5305425" cy="3419475"/>
                    </a:xfrm>
                    <a:prstGeom prst="rect">
                      <a:avLst/>
                    </a:prstGeom>
                    <a:noFill/>
                    <a:ln w="9525">
                      <a:noFill/>
                      <a:miter lim="800000"/>
                      <a:headEnd/>
                      <a:tailEnd/>
                    </a:ln>
                  </pic:spPr>
                </pic:pic>
              </a:graphicData>
            </a:graphic>
          </wp:anchor>
        </w:drawing>
      </w:r>
    </w:p>
    <w:p w:rsidR="00F84955" w:rsidRDefault="00CC364A" w:rsidP="00F84955">
      <w:pPr>
        <w:spacing w:line="360" w:lineRule="auto"/>
        <w:rPr>
          <w:i/>
        </w:rPr>
      </w:pPr>
      <w:r>
        <w:rPr>
          <w:i/>
          <w:noProof/>
          <w:lang w:eastAsia="nl-NL"/>
        </w:rPr>
        <w:t>Figuur 4.4</w:t>
      </w: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Pr="0099752E" w:rsidRDefault="00CC364A" w:rsidP="00F84955">
      <w:pPr>
        <w:spacing w:line="360" w:lineRule="auto"/>
      </w:pPr>
      <w:r>
        <w:rPr>
          <w:i/>
        </w:rPr>
        <w:t>4</w:t>
      </w:r>
      <w:r w:rsidR="00F84955">
        <w:rPr>
          <w:i/>
        </w:rPr>
        <w:t>.4</w:t>
      </w:r>
      <w:r w:rsidR="00F84955" w:rsidRPr="0099752E">
        <w:rPr>
          <w:i/>
        </w:rPr>
        <w:t xml:space="preserve"> Overdrachtsbelasting</w:t>
      </w:r>
      <w:r w:rsidR="00F84955">
        <w:rPr>
          <w:i/>
        </w:rPr>
        <w:br/>
      </w:r>
      <w:r w:rsidR="00F84955">
        <w:t xml:space="preserve">De overdrachtsbelasting is als een soort boete van de staat die je wordt opgelegd zodra je een huis koopt en kan gezien worden als een belasting op verhuizen. Voor de overheid is het daarentegen een grote inkomstenpost. De overdrachtsbelasting zorgt voor hoge transactiekosten op de woningmarkt en dit heeft een negatieve invloed op de arbeidsmarkt. Eigenwoningbezitters zullen minder snel verhuizen voor een baan aan de andere kant van het land, aangezien de overdrachtsbelasting ook mee zal worden gewogen in hun beslissing om te gaan verhuizen. De baanmobiliteit neemt hierdoor af. Wanneer eigenwoningbezitters de baan aan de andere kant van het land wel accepteren, maar er niet voor gaan verhuizen, dan kan dit leiden tot verkeerscongestie. De woon-werk afstand zal namelijk groter zijn geworden. Dit kan weer milieuproblemen tot gevolg hebben. </w:t>
      </w:r>
    </w:p>
    <w:p w:rsidR="00F84955" w:rsidRDefault="00CC364A" w:rsidP="00F84955">
      <w:pPr>
        <w:spacing w:line="360" w:lineRule="auto"/>
      </w:pPr>
      <w:r>
        <w:rPr>
          <w:i/>
        </w:rPr>
        <w:lastRenderedPageBreak/>
        <w:t>4</w:t>
      </w:r>
      <w:r w:rsidR="00F84955" w:rsidRPr="00DF6199">
        <w:rPr>
          <w:i/>
        </w:rPr>
        <w:t>.</w:t>
      </w:r>
      <w:r w:rsidR="00F84955">
        <w:rPr>
          <w:i/>
        </w:rPr>
        <w:t>5</w:t>
      </w:r>
      <w:r w:rsidR="00F84955" w:rsidRPr="00DF6199">
        <w:rPr>
          <w:i/>
        </w:rPr>
        <w:t xml:space="preserve"> Huurprijsregulering</w:t>
      </w:r>
      <w:r w:rsidR="00F84955">
        <w:rPr>
          <w:i/>
        </w:rPr>
        <w:br/>
      </w:r>
      <w:r w:rsidR="00F84955">
        <w:t xml:space="preserve">Ook in de huursector laat de beschikbaarheid van woningen nog wat te wensen over. De huursector gaat gepaard met lange wachtlijsten. Een veroorzaker hiervan is de huurprijsregulering. Een </w:t>
      </w:r>
      <w:r w:rsidR="00B364ED">
        <w:t>g</w:t>
      </w:r>
      <w:r w:rsidR="00F84955">
        <w:t xml:space="preserve">ereguleerde huur die lager is dan het marktevenwicht vergroot de vraag naar en verkleint het aanbod van huurwoningen. Dit geldt vooral voor gewilde wijken, zoals de centra in de Randstad. </w:t>
      </w:r>
    </w:p>
    <w:p w:rsidR="00C209AC" w:rsidRDefault="00F84955" w:rsidP="00F84955">
      <w:pPr>
        <w:spacing w:line="360" w:lineRule="auto"/>
      </w:pPr>
      <w:r>
        <w:t>Bij de huurprijsregulering, die bepaald wordt door het woningwaarderingsstelsel, wordt nauwelijks rekening gehouden met de gewildheid van de woning. Het gevolg hiervan is dat de huur van een woning in hartje Amsterdam even hoog kan zijn als van een woning in Alkmaar. Terwijl een woning in hartje Amsterdam misschien wel twee keer zo gewild is. De overheidsinterventie op de huurmarkt heeft ervoor gezorgd dat de prijs van huurwoningen niet meer de marktwerking van vraag en aanbod reflecteert. Toch is enige bemoeienis van de overheid wel</w:t>
      </w:r>
      <w:r w:rsidR="00C209AC">
        <w:t xml:space="preserve"> op zijn plaatst. Allereerst om machtsmisbruik van verhuurders in te perken. Daarnaast om segregatie tegen te gaan. W</w:t>
      </w:r>
      <w:r>
        <w:t xml:space="preserve">anneer de prijs van huurwoningen alleen wordt bepaald door vraag en aanbod, dan zullen hogere inkomens alleen in de aantrekkelijke, gewilde wijken kunnen huren. Lage inkomens zullen </w:t>
      </w:r>
      <w:r w:rsidR="00C209AC">
        <w:t xml:space="preserve">zo </w:t>
      </w:r>
      <w:r>
        <w:t xml:space="preserve">alleen kunnen huren in de achterstandswijken. </w:t>
      </w:r>
    </w:p>
    <w:p w:rsidR="00F84955" w:rsidRDefault="00F84955" w:rsidP="00F84955">
      <w:pPr>
        <w:spacing w:line="360" w:lineRule="auto"/>
      </w:pPr>
      <w:r>
        <w:t>De ambtelijke werkgroep Wonen heeft in april 2010 zijn rapport over brede heroverwegingen in de woningmarkt gepubliceerd. Hierin staat onder andere een tabel met de verdeling van de impliciete subsidies en huurtoeslag bij gereguleerde huurwoningen over de huurders in 2008.</w:t>
      </w:r>
      <w:r>
        <w:rPr>
          <w:rStyle w:val="Voetnootmarkering"/>
        </w:rPr>
        <w:footnoteReference w:id="19"/>
      </w:r>
      <w:r>
        <w:t xml:space="preserve"> De huurders zijn hierbij verdeeld in decielen op basis van hun bruto huishoudinkomen. Uit het onderzoek van de werkgroep blijkt dat circa 75 procent van alle subsidies in de gereguleerde sector ten goede komt aan de huurders die in de onderste vier inkomensdecielen vallen. De Europese Commissie heeft in december 2009 besloten dat minimaal 90 procent van de gereguleerde huurwoningen moeten worden toegewezen aan huishoudens met een belastbaar inkomen lager dan € 33.000.</w:t>
      </w:r>
      <w:r>
        <w:rPr>
          <w:rStyle w:val="Voetnootmarkering"/>
        </w:rPr>
        <w:footnoteReference w:id="20"/>
      </w:r>
      <w:r w:rsidRPr="00D82D4C">
        <w:t xml:space="preserve"> </w:t>
      </w:r>
      <w:r>
        <w:t xml:space="preserve">De bovengrens van het vierde inkomensdeciel is € 33.288. Dit betekent dat zelfs minder dan 75 procent van de gereguleerde huurwoningen worden toegewezen aan huishoudens onder die inkomensgrens. Volgens hun berekeningen komt dit overeen met 688.000 huurders die onrechtmatig een impliciete subsidie krijgen van de overheid. De oorzaak van deze ondoelmatigheid is gelegen in het feit dat er alleen wordt gecontroleerd naar het inkomen wanneer de huurder een woning voor het eerst krijgt toegewezen. Eventuele inkomensgroei daarna wordt niet in ogenschouw genomen. De huurders die in Nederland dus goedkoop kunnen huren in verhouding tot hun inkomen worden bestempeld met de term ‘goedkoop scheefwonen’. Op grond van hun huidige inkomen zouden deze huishoudens niet meer in aanmerking zijn gekomen voor een sociale huurwoning. Ze kunnen verhuizen naar een veel </w:t>
      </w:r>
      <w:r>
        <w:lastRenderedPageBreak/>
        <w:t>duurdere woning, maar omdat de overheid de huur kunstmatig laag houdt, zitten deze huishoudens als het ware opgesloten in een ‘gouden kooi’. Dit betekent ook dat 688.000 sociale huurwoningen niet beschikbaar zijn voor huurders die er wel recht op hebben. Zij moeten jarenlang op een wachtlijst staan. Overigens moet niet vergeten worden dat scheefwonen kan bijdragen aan diversiteit, integratie en sociale cohesie in aandachtswijken.</w:t>
      </w:r>
    </w:p>
    <w:p w:rsidR="00F84955" w:rsidRDefault="00CC364A" w:rsidP="00F84955">
      <w:pPr>
        <w:spacing w:line="360" w:lineRule="auto"/>
      </w:pPr>
      <w:r>
        <w:rPr>
          <w:i/>
        </w:rPr>
        <w:t>4</w:t>
      </w:r>
      <w:r w:rsidR="00F84955">
        <w:rPr>
          <w:i/>
        </w:rPr>
        <w:t>.6</w:t>
      </w:r>
      <w:r w:rsidR="00F84955" w:rsidRPr="00DF6199">
        <w:rPr>
          <w:i/>
        </w:rPr>
        <w:t xml:space="preserve"> Huurtoeslag</w:t>
      </w:r>
      <w:r w:rsidR="00F84955">
        <w:br/>
        <w:t>Ook de huurtoeslag brengt de nodige ongewenste gevolgen met zich mee. Het geeft huurders met een laag inkomen een stimulans om in relatief dure huurwoningen te gaan wonen. Ze weten dat wanneer ze iets duurder gaan huren, dat 75 procent van de extra huur gecompenseerd zal worden door de overheid. De 25 procent extra kosten die de huurders zelf moeten maken wegen niet op tegen de</w:t>
      </w:r>
      <w:r w:rsidR="00A801D5">
        <w:t xml:space="preserve"> voordelen van een</w:t>
      </w:r>
      <w:r w:rsidR="003C2F6D">
        <w:t xml:space="preserve"> duurdere</w:t>
      </w:r>
      <w:r w:rsidR="00F84955">
        <w:t xml:space="preserve"> woning.</w:t>
      </w:r>
      <w:r w:rsidR="003C2F6D">
        <w:t xml:space="preserve"> Men kan bij deze voordelen denken aan meer m</w:t>
      </w:r>
      <w:r w:rsidR="003C2F6D">
        <w:rPr>
          <w:vertAlign w:val="superscript"/>
        </w:rPr>
        <w:t>2</w:t>
      </w:r>
      <w:r w:rsidR="003C2F6D">
        <w:t xml:space="preserve">, meer kamers, beter onderhoud, etc. </w:t>
      </w:r>
      <w:r w:rsidR="00F84955">
        <w:t>De huurtoeslag heeft ook zijn effect op de arbeidsmarkt. Wanneer een huurder met zijn inkomen nog net recht heeft op huurtoeslag, zal echt niet meer gaan werken als daar de mogelijkheid toe was. Vaak wordt een inkomensverbetering voor een significant deel teniet gedaan door een verlies aan huurtoeslag.</w:t>
      </w:r>
      <w:r w:rsidR="00F84955" w:rsidRPr="00671F4F">
        <w:t xml:space="preserve"> </w:t>
      </w:r>
    </w:p>
    <w:p w:rsidR="002F58FD" w:rsidRDefault="00CC364A" w:rsidP="00F84955">
      <w:pPr>
        <w:spacing w:line="360" w:lineRule="auto"/>
      </w:pPr>
      <w:r>
        <w:rPr>
          <w:i/>
        </w:rPr>
        <w:t>4</w:t>
      </w:r>
      <w:r w:rsidR="00F84955" w:rsidRPr="009606A5">
        <w:rPr>
          <w:i/>
        </w:rPr>
        <w:t>.</w:t>
      </w:r>
      <w:r w:rsidR="00F84955">
        <w:rPr>
          <w:i/>
        </w:rPr>
        <w:t>7</w:t>
      </w:r>
      <w:r w:rsidR="00F84955" w:rsidRPr="009606A5">
        <w:rPr>
          <w:i/>
        </w:rPr>
        <w:t xml:space="preserve"> </w:t>
      </w:r>
      <w:r w:rsidR="002F58FD">
        <w:rPr>
          <w:i/>
        </w:rPr>
        <w:t>Rondpompen van geld</w:t>
      </w:r>
      <w:r w:rsidR="002F58FD">
        <w:rPr>
          <w:i/>
        </w:rPr>
        <w:br/>
      </w:r>
      <w:r w:rsidR="002F58FD">
        <w:t xml:space="preserve">Herverdeling is altijd een belangrijk motief voor de Nederlandse overheid. De woonsubsidies, zowel voor eigenwoningbezitters als huurders, zouden dan alleen moeten worden toegekend aan huishoudens met lage inkomens. Al eerder is beschreven dat deze subsidies in Nederland echter in hoge mate aan alle inkomensgroepen ten goede komen. Er is op zekere hoogte sprake van rondpompen van geld, aangezien de meeste burgers profiteren van de woonsubsidies en zelf via de belasting bijdragen aan de financiering ervan. Een afschaffing van de woonsubsidies zou dan gepaard moeten gaan met een verlaging van de belastingtarieven, zodat de netto inkomens van huishoudens per saldo ongewijzigd blijven. </w:t>
      </w:r>
    </w:p>
    <w:p w:rsidR="00F84955" w:rsidRDefault="00CC364A" w:rsidP="00F84955">
      <w:pPr>
        <w:spacing w:line="360" w:lineRule="auto"/>
      </w:pPr>
      <w:r>
        <w:rPr>
          <w:i/>
        </w:rPr>
        <w:t>4</w:t>
      </w:r>
      <w:r w:rsidR="002F58FD">
        <w:rPr>
          <w:i/>
        </w:rPr>
        <w:t xml:space="preserve">.8 </w:t>
      </w:r>
      <w:r w:rsidR="00F84955" w:rsidRPr="009606A5">
        <w:rPr>
          <w:i/>
        </w:rPr>
        <w:t>Kloof tussen huur- en koopsector</w:t>
      </w:r>
      <w:r w:rsidR="00F84955">
        <w:rPr>
          <w:i/>
        </w:rPr>
        <w:br/>
      </w:r>
      <w:r w:rsidR="00F84955">
        <w:t>Huishoudens die al jaren in het bezit zijn van een eigen woning hebben veel overwaarde geboekt aangezien de huizenprijzen aanzienlijk zijn gestegen. Voor hen is de financiering van een volgende woning geen probleem. Daarentegen maken de opgedreven huizenprijzen het moeilijk voor starters om een huis te kopen. De kloof tussen de opgestuwde koopprijzen en de kunstmatig gehouden lage huurprijzen wordt steeds groter. Ook de overdrachtsbelasting draagt bij aan de gebrekkige doorstroming van de huursector naar de koopsector.</w:t>
      </w:r>
    </w:p>
    <w:p w:rsidR="00F84955" w:rsidRDefault="00F84955" w:rsidP="00F84955">
      <w:r>
        <w:br w:type="page"/>
      </w:r>
    </w:p>
    <w:p w:rsidR="00F84955" w:rsidRPr="00F21874" w:rsidRDefault="00CC364A" w:rsidP="00CC364A">
      <w:pPr>
        <w:spacing w:line="360" w:lineRule="auto"/>
        <w:outlineLvl w:val="0"/>
        <w:rPr>
          <w:i/>
          <w:sz w:val="26"/>
          <w:szCs w:val="26"/>
        </w:rPr>
      </w:pPr>
      <w:r>
        <w:rPr>
          <w:i/>
          <w:sz w:val="26"/>
          <w:szCs w:val="26"/>
        </w:rPr>
        <w:lastRenderedPageBreak/>
        <w:t>5</w:t>
      </w:r>
      <w:r w:rsidR="00F84955" w:rsidRPr="00F21874">
        <w:rPr>
          <w:i/>
          <w:sz w:val="26"/>
          <w:szCs w:val="26"/>
        </w:rPr>
        <w:t xml:space="preserve"> </w:t>
      </w:r>
      <w:r w:rsidR="00F84955">
        <w:rPr>
          <w:i/>
          <w:sz w:val="26"/>
          <w:szCs w:val="26"/>
        </w:rPr>
        <w:t>Subsidiëring eigenwoningbezit</w:t>
      </w:r>
    </w:p>
    <w:p w:rsidR="00F84955" w:rsidRDefault="00F84955" w:rsidP="00F84955">
      <w:pPr>
        <w:spacing w:line="360" w:lineRule="auto"/>
      </w:pPr>
      <w:r>
        <w:t xml:space="preserve">De koopsector wordt in Nederland gekenmerkt door de stimulatie van het eigenwoningbezit. Zo zijn de hypotheekrenteaftrek, de koopsubsidie en de starterslening regelingen die de overheid heeft ingevoerd om het eigenwoningbezit te bevorderen. Een vaak vergeten vraag die hierbij gesteld kan worden is waarom de Nederlandse overheid het eigenwoningbezit zo belangrijk vindt. Niet alleen in Nederland, maar ook in veel andere landen wordt eigenwoningbezit belangrijk gevonden en bevorderd door de </w:t>
      </w:r>
      <w:r w:rsidR="00393792">
        <w:t xml:space="preserve">overheid. </w:t>
      </w:r>
      <w:r>
        <w:t xml:space="preserve">Er wordt niet zelden verondersteld dat de individuele en maatschappelijke voordelen van een eigenwoning groter zijn dan de individuele en maatschappelijke nadelen. De vermeende positieve effecten van eigenwoningbezit zijn blijkbaar zo groot dat het de overheid reden geeft tot subsidiëring van eigenwoningbezitters. </w:t>
      </w:r>
    </w:p>
    <w:p w:rsidR="00F84955" w:rsidRDefault="00CC364A" w:rsidP="00F84955">
      <w:pPr>
        <w:spacing w:line="360" w:lineRule="auto"/>
      </w:pPr>
      <w:r>
        <w:rPr>
          <w:i/>
        </w:rPr>
        <w:t>5</w:t>
      </w:r>
      <w:r w:rsidR="00F84955">
        <w:rPr>
          <w:i/>
        </w:rPr>
        <w:t>.1 Betekenis van een eigen woning</w:t>
      </w:r>
      <w:r w:rsidR="00F84955">
        <w:br/>
        <w:t>De betekenis van een eigenwoning voor de consument kan het beste worden weergegeven wanneer het wordt vergeleken met een huurwoning. De financiële verschillen tussen kopen en huren zijn al uitvoeri</w:t>
      </w:r>
      <w:r>
        <w:t>g aan bod gekomen in hoofdstuk 2 en 3</w:t>
      </w:r>
      <w:r w:rsidR="00F84955">
        <w:t xml:space="preserve">. Bij het kiezen tussen kopen of huren maakt men een afweging tussen de fiscale behandeling van de eigenwoning en de huurprijsregulering. </w:t>
      </w:r>
      <w:r w:rsidR="00B94212">
        <w:t xml:space="preserve">Een </w:t>
      </w:r>
      <w:r w:rsidR="00EA434F">
        <w:t xml:space="preserve">keuze </w:t>
      </w:r>
      <w:r w:rsidR="00B94212">
        <w:t>tussen het aftrekken van de hypotheekrente of</w:t>
      </w:r>
      <w:r w:rsidR="00EA434F">
        <w:t xml:space="preserve"> een</w:t>
      </w:r>
      <w:r w:rsidR="00B94212">
        <w:t xml:space="preserve"> kunstmatig gehouden huurprijs. </w:t>
      </w:r>
      <w:r w:rsidR="00F84955">
        <w:t>Vanuit een economische invalshoek is een eigenwoningbezitter eigenaar en tevens bewoner van de woning, investeerder en tevens consument. De investering kan worden gefinancierd met eigen of vreemd vermogen. Een bepaald rendement kan worden gegenereerd waar een bepaald risico aan verbonden is. Het rendement en de vermogensopbouw door aflossing worden vaak als financieel voordeel voor eigenwoningbezitters beschouwd. De huurder loopt geen vermogensrisico. Een huurwoning kan daardoor met zekerheid worden geassocieerd. Vanuit een juridische invalshoek geeft een eigenwoning de bewoner meer zeggenschap en eigen verantwoordelijkheid. De eigenaar heeft meer rechte</w:t>
      </w:r>
      <w:r w:rsidR="00EA434F">
        <w:t>n dan de huurder en dit vertaalt</w:t>
      </w:r>
      <w:r w:rsidR="00F84955">
        <w:t xml:space="preserve"> zich in meer vrijheid, onafhankelijkheid en betrokkenheid. De eigenaar heeft daarentegen ook meer plichten dan de huurder. De plicht om de eigenwoning te onderhouden bijvoorbeeld. De eigenaar van een woning is wel minder mobiel dan een huurder, aangezien de huurder niet verantwoordelijk is voor de overdracht van de woning.</w:t>
      </w:r>
      <w:r w:rsidR="00F47145">
        <w:rPr>
          <w:rStyle w:val="Voetnootmarkering"/>
        </w:rPr>
        <w:footnoteReference w:id="21"/>
      </w:r>
      <w:r w:rsidR="00F84955">
        <w:t xml:space="preserve"> </w:t>
      </w:r>
    </w:p>
    <w:p w:rsidR="00F84955" w:rsidRDefault="00F84955" w:rsidP="00F84955">
      <w:pPr>
        <w:spacing w:line="360" w:lineRule="auto"/>
      </w:pPr>
      <w:r>
        <w:t>Het WoonO</w:t>
      </w:r>
      <w:r w:rsidR="00CC364A">
        <w:t>nderzoek Nederland 2009 (tabel 5</w:t>
      </w:r>
      <w:r>
        <w:t xml:space="preserve">.1) toont aan dat eigenwoningbezitters over het algemeen meer tevreden zijn dan huurders. Dit hangt samen met de zeggenschap en vrijheid die eigenwoningbezitters hebben en met het feit dat een eigen woning kopen voor veel mensen de grootste investering van hun leven is. </w:t>
      </w:r>
    </w:p>
    <w:p w:rsidR="00BE79F7" w:rsidRDefault="00CC364A" w:rsidP="00CC364A">
      <w:pPr>
        <w:spacing w:line="360" w:lineRule="auto"/>
        <w:outlineLvl w:val="0"/>
      </w:pPr>
      <w:r>
        <w:rPr>
          <w:i/>
        </w:rPr>
        <w:lastRenderedPageBreak/>
        <w:t>Tabel 5</w:t>
      </w:r>
      <w:r w:rsidR="00BE79F7">
        <w:rPr>
          <w:i/>
        </w:rPr>
        <w:t>.1</w:t>
      </w:r>
      <w:r w:rsidR="00F47145">
        <w:rPr>
          <w:rStyle w:val="Voetnootmarkering"/>
          <w:i/>
        </w:rPr>
        <w:footnoteReference w:id="22"/>
      </w:r>
      <w:r w:rsidR="00BE79F7">
        <w:rPr>
          <w:i/>
        </w:rPr>
        <w:t>: Tevredenheid met woning en woonomgeving naar eigendom WOZ-waarde per m</w:t>
      </w:r>
      <w:r w:rsidR="00BE79F7">
        <w:rPr>
          <w:i/>
          <w:vertAlign w:val="superscript"/>
        </w:rPr>
        <w:t>2</w:t>
      </w:r>
    </w:p>
    <w:tbl>
      <w:tblPr>
        <w:tblStyle w:val="Lichtearcering-accent11"/>
        <w:tblW w:w="0" w:type="auto"/>
        <w:tblLayout w:type="fixed"/>
        <w:tblLook w:val="04A0"/>
      </w:tblPr>
      <w:tblGrid>
        <w:gridCol w:w="2376"/>
        <w:gridCol w:w="1560"/>
        <w:gridCol w:w="1701"/>
        <w:gridCol w:w="1732"/>
        <w:gridCol w:w="1843"/>
      </w:tblGrid>
      <w:tr w:rsidR="00BE79F7" w:rsidTr="002F75C1">
        <w:trPr>
          <w:cnfStyle w:val="100000000000"/>
        </w:trPr>
        <w:tc>
          <w:tcPr>
            <w:cnfStyle w:val="001000000000"/>
            <w:tcW w:w="2376" w:type="dxa"/>
          </w:tcPr>
          <w:p w:rsidR="00BE79F7" w:rsidRDefault="00BE79F7" w:rsidP="002F75C1"/>
        </w:tc>
        <w:tc>
          <w:tcPr>
            <w:tcW w:w="3261" w:type="dxa"/>
            <w:gridSpan w:val="2"/>
          </w:tcPr>
          <w:p w:rsidR="00BE79F7" w:rsidRDefault="00BE79F7" w:rsidP="002F75C1">
            <w:pPr>
              <w:cnfStyle w:val="100000000000"/>
            </w:pPr>
            <w:r>
              <w:t>(zeer) tevreden met woning in procenten</w:t>
            </w:r>
          </w:p>
        </w:tc>
        <w:tc>
          <w:tcPr>
            <w:tcW w:w="3575" w:type="dxa"/>
            <w:gridSpan w:val="2"/>
          </w:tcPr>
          <w:p w:rsidR="00BE79F7" w:rsidRDefault="00BE79F7" w:rsidP="002F75C1">
            <w:pPr>
              <w:cnfStyle w:val="100000000000"/>
            </w:pPr>
            <w:r>
              <w:t>(zeer) tevreden met woonomgeving in procenten</w:t>
            </w:r>
          </w:p>
        </w:tc>
      </w:tr>
      <w:tr w:rsidR="00BE79F7" w:rsidTr="002F75C1">
        <w:trPr>
          <w:cnfStyle w:val="000000100000"/>
        </w:trPr>
        <w:tc>
          <w:tcPr>
            <w:cnfStyle w:val="001000000000"/>
            <w:tcW w:w="2376" w:type="dxa"/>
          </w:tcPr>
          <w:p w:rsidR="00BE79F7" w:rsidRPr="00075C19" w:rsidRDefault="00BE79F7" w:rsidP="002F75C1">
            <w:pPr>
              <w:rPr>
                <w:vertAlign w:val="superscript"/>
              </w:rPr>
            </w:pPr>
            <w:r>
              <w:t>Eigendom WOZ-waarde per m</w:t>
            </w:r>
            <w:r>
              <w:rPr>
                <w:vertAlign w:val="superscript"/>
              </w:rPr>
              <w:t>2</w:t>
            </w:r>
            <w:r>
              <w:t xml:space="preserve"> in procenten </w:t>
            </w:r>
            <w:r>
              <w:rPr>
                <w:vertAlign w:val="superscript"/>
              </w:rPr>
              <w:t xml:space="preserve"> </w:t>
            </w:r>
          </w:p>
        </w:tc>
        <w:tc>
          <w:tcPr>
            <w:tcW w:w="1560" w:type="dxa"/>
          </w:tcPr>
          <w:p w:rsidR="00BE79F7" w:rsidRDefault="00BE79F7" w:rsidP="002F75C1">
            <w:pPr>
              <w:cnfStyle w:val="000000100000"/>
            </w:pPr>
            <w:r>
              <w:t>Koop</w:t>
            </w:r>
          </w:p>
        </w:tc>
        <w:tc>
          <w:tcPr>
            <w:tcW w:w="1701" w:type="dxa"/>
          </w:tcPr>
          <w:p w:rsidR="00BE79F7" w:rsidRDefault="00BE79F7" w:rsidP="002F75C1">
            <w:pPr>
              <w:cnfStyle w:val="000000100000"/>
            </w:pPr>
            <w:r>
              <w:t>Huur</w:t>
            </w:r>
          </w:p>
        </w:tc>
        <w:tc>
          <w:tcPr>
            <w:tcW w:w="1732" w:type="dxa"/>
          </w:tcPr>
          <w:p w:rsidR="00BE79F7" w:rsidRDefault="00BE79F7" w:rsidP="002F75C1">
            <w:pPr>
              <w:cnfStyle w:val="000000100000"/>
            </w:pPr>
            <w:r>
              <w:t xml:space="preserve">Koop </w:t>
            </w:r>
          </w:p>
        </w:tc>
        <w:tc>
          <w:tcPr>
            <w:tcW w:w="1843" w:type="dxa"/>
          </w:tcPr>
          <w:p w:rsidR="00BE79F7" w:rsidRDefault="00BE79F7" w:rsidP="002F75C1">
            <w:pPr>
              <w:cnfStyle w:val="000000100000"/>
            </w:pPr>
            <w:r>
              <w:t xml:space="preserve">Huur </w:t>
            </w:r>
          </w:p>
        </w:tc>
      </w:tr>
      <w:tr w:rsidR="00BE79F7" w:rsidTr="002F75C1">
        <w:tc>
          <w:tcPr>
            <w:cnfStyle w:val="001000000000"/>
            <w:tcW w:w="2376" w:type="dxa"/>
          </w:tcPr>
          <w:p w:rsidR="00BE79F7" w:rsidRPr="00075C19" w:rsidRDefault="00BE79F7" w:rsidP="002F75C1">
            <w:pPr>
              <w:rPr>
                <w:b w:val="0"/>
              </w:rPr>
            </w:pPr>
            <w:r w:rsidRPr="00075C19">
              <w:rPr>
                <w:b w:val="0"/>
              </w:rPr>
              <w:t>Laagste 25 %</w:t>
            </w:r>
          </w:p>
        </w:tc>
        <w:tc>
          <w:tcPr>
            <w:tcW w:w="1560" w:type="dxa"/>
          </w:tcPr>
          <w:p w:rsidR="00BE79F7" w:rsidRDefault="00BE79F7" w:rsidP="002F75C1">
            <w:pPr>
              <w:cnfStyle w:val="000000000000"/>
            </w:pPr>
            <w:r>
              <w:t>96</w:t>
            </w:r>
          </w:p>
        </w:tc>
        <w:tc>
          <w:tcPr>
            <w:tcW w:w="1701" w:type="dxa"/>
          </w:tcPr>
          <w:p w:rsidR="00BE79F7" w:rsidRDefault="00BE79F7" w:rsidP="002F75C1">
            <w:pPr>
              <w:cnfStyle w:val="000000000000"/>
            </w:pPr>
            <w:r>
              <w:t>79</w:t>
            </w:r>
          </w:p>
        </w:tc>
        <w:tc>
          <w:tcPr>
            <w:tcW w:w="1732" w:type="dxa"/>
          </w:tcPr>
          <w:p w:rsidR="00BE79F7" w:rsidRDefault="00BE79F7" w:rsidP="002F75C1">
            <w:pPr>
              <w:cnfStyle w:val="000000000000"/>
            </w:pPr>
            <w:r>
              <w:t>86</w:t>
            </w:r>
          </w:p>
        </w:tc>
        <w:tc>
          <w:tcPr>
            <w:tcW w:w="1843" w:type="dxa"/>
          </w:tcPr>
          <w:p w:rsidR="00BE79F7" w:rsidRDefault="00BE79F7" w:rsidP="002F75C1">
            <w:pPr>
              <w:cnfStyle w:val="000000000000"/>
            </w:pPr>
            <w:r>
              <w:t>75</w:t>
            </w:r>
          </w:p>
        </w:tc>
      </w:tr>
      <w:tr w:rsidR="00BE79F7" w:rsidTr="002F75C1">
        <w:trPr>
          <w:cnfStyle w:val="000000100000"/>
        </w:trPr>
        <w:tc>
          <w:tcPr>
            <w:cnfStyle w:val="001000000000"/>
            <w:tcW w:w="2376" w:type="dxa"/>
          </w:tcPr>
          <w:p w:rsidR="00BE79F7" w:rsidRPr="00075C19" w:rsidRDefault="00BE79F7" w:rsidP="002F75C1">
            <w:pPr>
              <w:rPr>
                <w:b w:val="0"/>
              </w:rPr>
            </w:pPr>
            <w:r w:rsidRPr="00075C19">
              <w:rPr>
                <w:b w:val="0"/>
              </w:rPr>
              <w:t>25 % - 50 %</w:t>
            </w:r>
          </w:p>
        </w:tc>
        <w:tc>
          <w:tcPr>
            <w:tcW w:w="1560" w:type="dxa"/>
          </w:tcPr>
          <w:p w:rsidR="00BE79F7" w:rsidRDefault="00BE79F7" w:rsidP="002F75C1">
            <w:pPr>
              <w:cnfStyle w:val="000000100000"/>
            </w:pPr>
            <w:r>
              <w:t>96</w:t>
            </w:r>
          </w:p>
        </w:tc>
        <w:tc>
          <w:tcPr>
            <w:tcW w:w="1701" w:type="dxa"/>
          </w:tcPr>
          <w:p w:rsidR="00BE79F7" w:rsidRDefault="00BE79F7" w:rsidP="002F75C1">
            <w:pPr>
              <w:cnfStyle w:val="000000100000"/>
            </w:pPr>
            <w:r>
              <w:t>80</w:t>
            </w:r>
          </w:p>
        </w:tc>
        <w:tc>
          <w:tcPr>
            <w:tcW w:w="1732" w:type="dxa"/>
          </w:tcPr>
          <w:p w:rsidR="00BE79F7" w:rsidRDefault="00BE79F7" w:rsidP="002F75C1">
            <w:pPr>
              <w:cnfStyle w:val="000000100000"/>
            </w:pPr>
            <w:r>
              <w:t>87</w:t>
            </w:r>
          </w:p>
        </w:tc>
        <w:tc>
          <w:tcPr>
            <w:tcW w:w="1843" w:type="dxa"/>
          </w:tcPr>
          <w:p w:rsidR="00BE79F7" w:rsidRDefault="00BE79F7" w:rsidP="002F75C1">
            <w:pPr>
              <w:cnfStyle w:val="000000100000"/>
            </w:pPr>
            <w:r>
              <w:t>75</w:t>
            </w:r>
          </w:p>
        </w:tc>
      </w:tr>
      <w:tr w:rsidR="00BE79F7" w:rsidTr="002F75C1">
        <w:tc>
          <w:tcPr>
            <w:cnfStyle w:val="001000000000"/>
            <w:tcW w:w="2376" w:type="dxa"/>
          </w:tcPr>
          <w:p w:rsidR="00BE79F7" w:rsidRPr="00075C19" w:rsidRDefault="00BE79F7" w:rsidP="002F75C1">
            <w:pPr>
              <w:rPr>
                <w:b w:val="0"/>
              </w:rPr>
            </w:pPr>
            <w:r w:rsidRPr="00075C19">
              <w:rPr>
                <w:b w:val="0"/>
              </w:rPr>
              <w:t>50 % - 75 %</w:t>
            </w:r>
          </w:p>
        </w:tc>
        <w:tc>
          <w:tcPr>
            <w:tcW w:w="1560" w:type="dxa"/>
          </w:tcPr>
          <w:p w:rsidR="00BE79F7" w:rsidRDefault="00BE79F7" w:rsidP="002F75C1">
            <w:pPr>
              <w:cnfStyle w:val="000000000000"/>
            </w:pPr>
            <w:r>
              <w:t>97</w:t>
            </w:r>
          </w:p>
        </w:tc>
        <w:tc>
          <w:tcPr>
            <w:tcW w:w="1701" w:type="dxa"/>
          </w:tcPr>
          <w:p w:rsidR="00BE79F7" w:rsidRDefault="00BE79F7" w:rsidP="002F75C1">
            <w:pPr>
              <w:cnfStyle w:val="000000000000"/>
            </w:pPr>
            <w:r>
              <w:t>81</w:t>
            </w:r>
          </w:p>
        </w:tc>
        <w:tc>
          <w:tcPr>
            <w:tcW w:w="1732" w:type="dxa"/>
          </w:tcPr>
          <w:p w:rsidR="00BE79F7" w:rsidRDefault="00BE79F7" w:rsidP="002F75C1">
            <w:pPr>
              <w:cnfStyle w:val="000000000000"/>
            </w:pPr>
            <w:r>
              <w:t>88</w:t>
            </w:r>
          </w:p>
        </w:tc>
        <w:tc>
          <w:tcPr>
            <w:tcW w:w="1843" w:type="dxa"/>
          </w:tcPr>
          <w:p w:rsidR="00BE79F7" w:rsidRDefault="00BE79F7" w:rsidP="002F75C1">
            <w:pPr>
              <w:cnfStyle w:val="000000000000"/>
            </w:pPr>
            <w:r>
              <w:t>77</w:t>
            </w:r>
          </w:p>
        </w:tc>
      </w:tr>
      <w:tr w:rsidR="00BE79F7" w:rsidTr="002F75C1">
        <w:trPr>
          <w:cnfStyle w:val="000000100000"/>
        </w:trPr>
        <w:tc>
          <w:tcPr>
            <w:cnfStyle w:val="001000000000"/>
            <w:tcW w:w="2376" w:type="dxa"/>
          </w:tcPr>
          <w:p w:rsidR="00BE79F7" w:rsidRPr="00075C19" w:rsidRDefault="00BE79F7" w:rsidP="002F75C1">
            <w:pPr>
              <w:rPr>
                <w:b w:val="0"/>
              </w:rPr>
            </w:pPr>
            <w:r w:rsidRPr="00075C19">
              <w:rPr>
                <w:b w:val="0"/>
              </w:rPr>
              <w:t xml:space="preserve">Hoogste 25 % </w:t>
            </w:r>
          </w:p>
        </w:tc>
        <w:tc>
          <w:tcPr>
            <w:tcW w:w="1560" w:type="dxa"/>
          </w:tcPr>
          <w:p w:rsidR="00BE79F7" w:rsidRDefault="00BE79F7" w:rsidP="002F75C1">
            <w:pPr>
              <w:cnfStyle w:val="000000100000"/>
            </w:pPr>
            <w:r>
              <w:t>97</w:t>
            </w:r>
          </w:p>
        </w:tc>
        <w:tc>
          <w:tcPr>
            <w:tcW w:w="1701" w:type="dxa"/>
          </w:tcPr>
          <w:p w:rsidR="00BE79F7" w:rsidRDefault="00BE79F7" w:rsidP="002F75C1">
            <w:pPr>
              <w:cnfStyle w:val="000000100000"/>
            </w:pPr>
            <w:r>
              <w:t>81</w:t>
            </w:r>
          </w:p>
        </w:tc>
        <w:tc>
          <w:tcPr>
            <w:tcW w:w="1732" w:type="dxa"/>
          </w:tcPr>
          <w:p w:rsidR="00BE79F7" w:rsidRDefault="00BE79F7" w:rsidP="002F75C1">
            <w:pPr>
              <w:cnfStyle w:val="000000100000"/>
            </w:pPr>
            <w:r>
              <w:t>90</w:t>
            </w:r>
          </w:p>
        </w:tc>
        <w:tc>
          <w:tcPr>
            <w:tcW w:w="1843" w:type="dxa"/>
          </w:tcPr>
          <w:p w:rsidR="00BE79F7" w:rsidRDefault="00BE79F7" w:rsidP="002F75C1">
            <w:pPr>
              <w:cnfStyle w:val="000000100000"/>
            </w:pPr>
            <w:r>
              <w:t>80</w:t>
            </w:r>
          </w:p>
        </w:tc>
      </w:tr>
    </w:tbl>
    <w:p w:rsidR="00F84955" w:rsidRDefault="00F84955" w:rsidP="00F84955">
      <w:pPr>
        <w:spacing w:line="360" w:lineRule="auto"/>
      </w:pPr>
    </w:p>
    <w:p w:rsidR="00F84955" w:rsidRDefault="00F84955" w:rsidP="00F84955">
      <w:pPr>
        <w:spacing w:line="360" w:lineRule="auto"/>
      </w:pPr>
      <w:r>
        <w:t xml:space="preserve">De theorie van de eigendomsrechten is geformuleerd binnen de institutionele economie. Volgens deze theorie leiden goederen tot het meest efficiënte gebruik wanneer de goederen in particulier eigendom zijn. De eigenaar van de goederen is volledig verantwoordelijk voor zijn handelen en zal rekening houden met de toekomstige waarde. Toepassing hiervan op de woningmarkt zou betekenen dat eigenwoningbezit de meest efficiënte woningvorm is en het grootst nut oplevert. Benadrukt moet worden dat een theorie meestal niet de werkelijkheid weerspiegeld. </w:t>
      </w:r>
    </w:p>
    <w:p w:rsidR="00F84955" w:rsidRDefault="00CC364A" w:rsidP="00157C4C">
      <w:pPr>
        <w:spacing w:line="360" w:lineRule="auto"/>
      </w:pPr>
      <w:r>
        <w:rPr>
          <w:i/>
        </w:rPr>
        <w:t>5</w:t>
      </w:r>
      <w:r w:rsidR="00F84955">
        <w:rPr>
          <w:i/>
        </w:rPr>
        <w:t>.2 Maatschappelijke voor- en nadelen</w:t>
      </w:r>
      <w:r w:rsidR="00F84955">
        <w:t xml:space="preserve"> </w:t>
      </w:r>
      <w:r w:rsidR="00F84955">
        <w:br/>
        <w:t>Uit de voorgaande betekenis van de eigenwoning kunnen de maatschappelijke voor- en nadelen van eigenwoningbezit worden afgeleid. Een essay uit 2004 in opdracht van de VROM-raad somt de maatschappelijke voor- en nadelen van eigenwoningbezit op</w:t>
      </w:r>
      <w:r w:rsidR="00157C4C">
        <w:t>.</w:t>
      </w:r>
      <w:r w:rsidR="00F47145">
        <w:rPr>
          <w:rStyle w:val="Voetnootmarkering"/>
        </w:rPr>
        <w:footnoteReference w:id="23"/>
      </w:r>
      <w:r w:rsidR="00F84955">
        <w:t xml:space="preserve"> De voor- en nadelen waar in Nederland empirisch bewijs voor is gevonden zullen nader worden toegelicht. </w:t>
      </w:r>
    </w:p>
    <w:p w:rsidR="00157C4C" w:rsidRDefault="00157C4C" w:rsidP="00F84955">
      <w:pPr>
        <w:spacing w:line="360" w:lineRule="auto"/>
      </w:pPr>
      <w:r>
        <w:t>Een voordeel van eigenwoningbezit is dat i</w:t>
      </w:r>
      <w:r w:rsidR="00F84955">
        <w:t>n wij</w:t>
      </w:r>
      <w:r>
        <w:t xml:space="preserve">ken met veel koopwoningen </w:t>
      </w:r>
      <w:r w:rsidR="00F84955">
        <w:t xml:space="preserve">verondersteld </w:t>
      </w:r>
      <w:r>
        <w:t xml:space="preserve">wordt </w:t>
      </w:r>
      <w:r w:rsidR="00F84955">
        <w:t xml:space="preserve">dat </w:t>
      </w:r>
      <w:r>
        <w:t>deze wijken maatschappelijk stabiel zijn. Woningeigenaren zijn minder mobiel</w:t>
      </w:r>
      <w:r w:rsidR="00F84955">
        <w:t xml:space="preserve"> en </w:t>
      </w:r>
      <w:r>
        <w:t xml:space="preserve">zullen </w:t>
      </w:r>
      <w:r w:rsidR="00F84955">
        <w:t>dus minder vaak verhuizen dan huurders. Een lange woonduur en een grote investering in een eigen woning, heeft tot gevolg dat woningeigenare</w:t>
      </w:r>
      <w:r w:rsidR="00A26A3F">
        <w:t>n hun eigendom goed onderhouden.</w:t>
      </w:r>
      <w:r w:rsidR="00F84955">
        <w:t xml:space="preserve"> Dit draagt bij aan de gehele attractiviteit van de wijk en het laat de woningen in waarde stijgen. </w:t>
      </w:r>
    </w:p>
    <w:p w:rsidR="00F84955" w:rsidRDefault="00F84955" w:rsidP="00F84955">
      <w:pPr>
        <w:spacing w:line="360" w:lineRule="auto"/>
      </w:pPr>
      <w:r>
        <w:t xml:space="preserve">Een ander voordeel van eigenwoningbezit is dat het de druk op de overheid voor </w:t>
      </w:r>
      <w:r w:rsidR="00EA434F">
        <w:t>oudedagsvoorzieningen vermindert</w:t>
      </w:r>
      <w:r>
        <w:t xml:space="preserve">. De vermogensopbouw via eigenwoningbezit maakt overheidsvoorzieningen minder noodzakelijk. In verband met de ingetreden vergrijzing in Nederland is dit een belangrijk voordeel. Vermogen wordt opgebouwd door de hypotheek af te lossen. </w:t>
      </w:r>
      <w:r w:rsidR="00157C4C">
        <w:t xml:space="preserve">Zoals eerder beschreven is dit nu juist een belangrijke ondoelmatigheid van de woningmarkt. </w:t>
      </w:r>
      <w:r>
        <w:t xml:space="preserve">De </w:t>
      </w:r>
      <w:r w:rsidR="00EA434F">
        <w:lastRenderedPageBreak/>
        <w:t xml:space="preserve">hypotheekrenteaftrek </w:t>
      </w:r>
      <w:r w:rsidR="00157C4C">
        <w:t xml:space="preserve">stimuleert eigenwoningbezitters </w:t>
      </w:r>
      <w:r>
        <w:t>om de hypotheekschuld zo</w:t>
      </w:r>
      <w:r w:rsidR="00EA434F">
        <w:t xml:space="preserve"> lang mogelijk aan te houden. Hoe deze regeling moet worden hervormd, zodat er wel wordt afgelost, komt in hoofdstuk </w:t>
      </w:r>
      <w:r w:rsidR="00CC364A">
        <w:t>8</w:t>
      </w:r>
      <w:r w:rsidR="00EA434F">
        <w:t xml:space="preserve"> aan bod. </w:t>
      </w:r>
    </w:p>
    <w:p w:rsidR="00F84955" w:rsidRDefault="00F84955" w:rsidP="00F84955">
      <w:pPr>
        <w:spacing w:line="360" w:lineRule="auto"/>
      </w:pPr>
      <w:r>
        <w:t xml:space="preserve">Het laatste maatschappelijke voordeel wat empirisch is bewezen in Nederland is dat vermogensopbouw financiële steun aan kinderen mogelijk maakt. Dit vereenvoudigt de toegang tot de koopsector voor kinderen. Dit voordeel verklaart eigenlijk niet waarom het eigenwoningbezit </w:t>
      </w:r>
      <w:r w:rsidR="00157C4C">
        <w:t xml:space="preserve">zelf </w:t>
      </w:r>
      <w:r>
        <w:t xml:space="preserve">gestimuleerd moet worden. </w:t>
      </w:r>
    </w:p>
    <w:p w:rsidR="00573F85" w:rsidRDefault="00602A3E" w:rsidP="00F84955">
      <w:pPr>
        <w:spacing w:line="360" w:lineRule="auto"/>
      </w:pPr>
      <w:r>
        <w:t>Dat woningeigenaren minder mobiel zijn dan</w:t>
      </w:r>
      <w:r w:rsidR="00573F85">
        <w:t xml:space="preserve"> huurders heeft ook een aantal nadelen. </w:t>
      </w:r>
      <w:r>
        <w:t xml:space="preserve">Allereerst kunnen huishoudens zich ‘gevangen’ voelen zitten </w:t>
      </w:r>
      <w:r w:rsidR="00157C4C">
        <w:t>in hun eigen woning, terwijl zij het liefst zouden willen v</w:t>
      </w:r>
      <w:r>
        <w:t>erhuizen naar een andere woning.</w:t>
      </w:r>
      <w:r w:rsidR="00573F85">
        <w:t xml:space="preserve"> Daarnaast zijn woningeigenaren ook minder geneigd om te verhuizen voor werk. Dit ontmoedigt de arbeidsparticipatie. </w:t>
      </w:r>
    </w:p>
    <w:p w:rsidR="00F84955" w:rsidRDefault="00F84955" w:rsidP="00F84955">
      <w:pPr>
        <w:spacing w:line="360" w:lineRule="auto"/>
      </w:pPr>
      <w:r>
        <w:t>Het eerder positief ondervonden opbouwen van vermogen brengt ook een nadeel met zich mee. Vermogensopbouw vermindert de afhankelijkheid van inkomen uit we</w:t>
      </w:r>
      <w:r w:rsidR="00573F85">
        <w:t>rk. Een vervroegde uittreding op</w:t>
      </w:r>
      <w:r>
        <w:t xml:space="preserve"> de arbeidsmarkt kan het gevolg zijn. </w:t>
      </w:r>
      <w:r w:rsidR="006B1FE9">
        <w:t>Bij een eventuele hervorming van de woningmarkt zal dus rekening moeten worden gehouden met de gevolgen voor de arbeidsmarkt.</w:t>
      </w:r>
    </w:p>
    <w:p w:rsidR="00F84955" w:rsidRDefault="00F84955" w:rsidP="00F84955">
      <w:pPr>
        <w:spacing w:line="360" w:lineRule="auto"/>
      </w:pPr>
      <w:r>
        <w:t xml:space="preserve">De vermeende positieve effecten van eigenwoningbezit voor de Nederlandse maatschappij hebben jarenlang een taboe gelegd op het “h-woord”, de hypotheekrenteaftrek. </w:t>
      </w:r>
      <w:r>
        <w:rPr>
          <w:color w:val="000000"/>
        </w:rPr>
        <w:t xml:space="preserve">De vraag kan zelfs worden gesteld of de hypotheekrenteaftrek niet ook een averechtse werking heeft. De regeling stimuleert eigenwoningbezitters vooral het aangaan van een hypotheekschuld. De schuld wordt aangegaan bij een hypotheekverstrekker met de woning als onderpand. Wanneer de woning bijna geheel wordt gefinancierd met vreemd vermogen, in hoeverre kunnen we dit dan nog een bezit van de bewoner noemen. De regeling drijft de vraag en daarmee de prijs van koophuizen op. Daardoor wordt voor starters de drempel om een huis te kopen verhoogd. Het ideaal dat iedere Nederlander over een eigen woning beschikt wordt hierdoor niet realiseerbaar. </w:t>
      </w:r>
    </w:p>
    <w:p w:rsidR="00F84955" w:rsidRDefault="00F84955" w:rsidP="00F84955">
      <w:pPr>
        <w:rPr>
          <w:i/>
          <w:sz w:val="26"/>
          <w:szCs w:val="26"/>
        </w:rPr>
      </w:pPr>
      <w:r>
        <w:rPr>
          <w:i/>
          <w:sz w:val="26"/>
          <w:szCs w:val="26"/>
        </w:rPr>
        <w:br w:type="page"/>
      </w:r>
    </w:p>
    <w:p w:rsidR="00F84955" w:rsidRPr="00FB7621" w:rsidRDefault="00B709A1" w:rsidP="00CC364A">
      <w:pPr>
        <w:spacing w:line="360" w:lineRule="auto"/>
        <w:outlineLvl w:val="0"/>
        <w:rPr>
          <w:i/>
          <w:sz w:val="26"/>
          <w:szCs w:val="26"/>
        </w:rPr>
      </w:pPr>
      <w:r>
        <w:rPr>
          <w:i/>
          <w:sz w:val="26"/>
          <w:szCs w:val="26"/>
        </w:rPr>
        <w:lastRenderedPageBreak/>
        <w:t>6</w:t>
      </w:r>
      <w:r w:rsidR="00F84955">
        <w:rPr>
          <w:i/>
          <w:sz w:val="26"/>
          <w:szCs w:val="26"/>
        </w:rPr>
        <w:t xml:space="preserve"> Risico’s op de hypotheekmarkt</w:t>
      </w:r>
    </w:p>
    <w:p w:rsidR="00F84955" w:rsidRDefault="00F84955" w:rsidP="00F84955">
      <w:pPr>
        <w:spacing w:line="360" w:lineRule="auto"/>
      </w:pPr>
      <w:r>
        <w:t>De fiscale behandeling van de eigen</w:t>
      </w:r>
      <w:r w:rsidR="009D3CCE">
        <w:t>w</w:t>
      </w:r>
      <w:r>
        <w:t>oning heef</w:t>
      </w:r>
      <w:r w:rsidR="009D3CCE">
        <w:t>t</w:t>
      </w:r>
      <w:r>
        <w:t xml:space="preserve"> in plaats van </w:t>
      </w:r>
      <w:r w:rsidR="009D3CCE">
        <w:t xml:space="preserve">eigenwoningbezit </w:t>
      </w:r>
      <w:r>
        <w:t>vooral voor hypotheekbezit gezorgd. Nederland heeft in verhouding tot het bruto binnenlands product de hoogste hypotheekschuld van de Europese Unie, op IJsland na. De hypotheekschuld van 99,1 procent van het bbp ligt ver boven het gemiddelde van de Europese Unie wat 49,8 procent bedraagt.</w:t>
      </w:r>
      <w:r>
        <w:rPr>
          <w:rStyle w:val="Voetnootmarkering"/>
        </w:rPr>
        <w:footnoteReference w:id="24"/>
      </w:r>
      <w:r>
        <w:t xml:space="preserve"> Zeker wanneer dit percentage in verband wordt gebracht met het relatief geringe aandeel van eigenwoningbezitters in Nederland, steken huizenkopers zich diep in de schulden.</w:t>
      </w:r>
      <w:r w:rsidR="00B709A1">
        <w:t xml:space="preserve"> In 2007 waren namelijk alleen Oostenrijk en Duitsland landen met een lager percentage eigenwoningbezit. Nederland bezet hiermee slechts de 25ste plaats op de ranglijst van 27 landen.</w:t>
      </w:r>
      <w:r w:rsidR="00FA3A53">
        <w:rPr>
          <w:rStyle w:val="Voetnootmarkering"/>
        </w:rPr>
        <w:footnoteReference w:id="25"/>
      </w:r>
      <w:r w:rsidR="00FA3A53">
        <w:t xml:space="preserve"> De hoge hypotheekschuld </w:t>
      </w:r>
      <w:r w:rsidR="004361C1">
        <w:t xml:space="preserve">brengt </w:t>
      </w:r>
      <w:r>
        <w:t xml:space="preserve">drie risico’s met zich mee voor woningbezitters en hypotheekverstrekkers. </w:t>
      </w:r>
    </w:p>
    <w:p w:rsidR="00F84955" w:rsidRDefault="00B709A1" w:rsidP="00F84955">
      <w:pPr>
        <w:spacing w:line="360" w:lineRule="auto"/>
      </w:pPr>
      <w:r>
        <w:rPr>
          <w:i/>
        </w:rPr>
        <w:t>6</w:t>
      </w:r>
      <w:r w:rsidR="00F84955">
        <w:rPr>
          <w:i/>
        </w:rPr>
        <w:t>.1 Betalingsrisisco</w:t>
      </w:r>
      <w:r w:rsidR="00F84955">
        <w:br/>
        <w:t xml:space="preserve">Allereerst bestaat er het betalingsrisico voor consumenten. Er bestaat altijd een kans dat de consumenten de maandlasten op een hypothecaire lening niet meer kunnen betalen. Het betalingsrisico kan toenemen doordat de woonlasten toenemen of door een daling van het besteedbaar inkomen. De woonlasten kunnen toenemen door een stijging van het rentepercentage bijvoorbeeld. Het inkomen kan dalen als gevolg van een bewuste keuze, zoals een verandering van baan en/of verlaging van het aantal gewerkte uren. De inkomensdaling kan ook zeer onverwacht zijn bij ziekte, werkloosheid of een echtscheiding. Een toenemend betalingsrisico hoeft niet altijd meteen te resulteren in betalingsproblemen. Vaak kan er eerst nog op andere uitgaven bezuinigd worden. De consument kan ook beschikken over een flinke pot met spaargeld waarmee de financiële klap opgevangen kan worden. Ook kan er een verzekering zijn afgesloten tegen het risico van arbeidsongeschiktheid en/of werkloosheid. </w:t>
      </w:r>
    </w:p>
    <w:p w:rsidR="00F84955" w:rsidRDefault="00F84955" w:rsidP="00F84955">
      <w:pPr>
        <w:spacing w:line="360" w:lineRule="auto"/>
      </w:pPr>
      <w:r>
        <w:t>Een steeds groter deel van het besteedbaar inkomen van Nederlandse eigenwoningbezitters wordt besteed aan de woonlasten. Dit vergroot het risico op betalingsproblemen aanzienlijk, omdat er weinig ruimte overblijft om op andere uitgaven te moeten bezuinigen. Het betalingsrisico kan om deze reden ook wel worden weergeven door de “loan-to-income” ratio. Deze ratio geeft de verhouding tussen het geleende hypotheekbedrag en het inkomen weer. In de figuur op de volgende bladzijde valt duidelijk af te lezen dat de gemiddelde loan-to-income ratio de afgelopen jaren gestaag is gestegen. De loan-to-income ratio van nieuwe hypotheken overschrijdt sinds 2001 zelfs de 500 procent.</w:t>
      </w:r>
      <w:r w:rsidR="001E7A2A">
        <w:rPr>
          <w:rStyle w:val="Voetnootmarkering"/>
        </w:rPr>
        <w:footnoteReference w:id="26"/>
      </w:r>
      <w:r>
        <w:t xml:space="preserve"> </w:t>
      </w:r>
    </w:p>
    <w:p w:rsidR="00F84955" w:rsidRPr="00CC364A" w:rsidRDefault="00F84955" w:rsidP="00F84955">
      <w:pPr>
        <w:spacing w:line="360" w:lineRule="auto"/>
        <w:rPr>
          <w:i/>
        </w:rPr>
      </w:pPr>
      <w:r>
        <w:rPr>
          <w:noProof/>
          <w:lang w:eastAsia="nl-NL"/>
        </w:rPr>
        <w:lastRenderedPageBreak/>
        <w:drawing>
          <wp:anchor distT="0" distB="0" distL="114300" distR="114300" simplePos="0" relativeHeight="251676672" behindDoc="1" locked="0" layoutInCell="1" allowOverlap="1">
            <wp:simplePos x="0" y="0"/>
            <wp:positionH relativeFrom="column">
              <wp:posOffset>738505</wp:posOffset>
            </wp:positionH>
            <wp:positionV relativeFrom="paragraph">
              <wp:posOffset>24130</wp:posOffset>
            </wp:positionV>
            <wp:extent cx="4791075" cy="3152775"/>
            <wp:effectExtent l="19050" t="0" r="9525" b="0"/>
            <wp:wrapTight wrapText="bothSides">
              <wp:wrapPolygon edited="0">
                <wp:start x="-86" y="0"/>
                <wp:lineTo x="-86" y="21535"/>
                <wp:lineTo x="21643" y="21535"/>
                <wp:lineTo x="21643" y="0"/>
                <wp:lineTo x="-86" y="0"/>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4791075" cy="3152775"/>
                    </a:xfrm>
                    <a:prstGeom prst="rect">
                      <a:avLst/>
                    </a:prstGeom>
                    <a:noFill/>
                    <a:ln w="9525">
                      <a:noFill/>
                      <a:miter lim="800000"/>
                      <a:headEnd/>
                      <a:tailEnd/>
                    </a:ln>
                  </pic:spPr>
                </pic:pic>
              </a:graphicData>
            </a:graphic>
          </wp:anchor>
        </w:drawing>
      </w:r>
      <w:r w:rsidR="00B709A1">
        <w:rPr>
          <w:i/>
          <w:noProof/>
          <w:lang w:eastAsia="nl-NL"/>
        </w:rPr>
        <w:t>Figuur 6.1</w:t>
      </w: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F84955" w:rsidP="00F84955">
      <w:pPr>
        <w:spacing w:line="360" w:lineRule="auto"/>
        <w:rPr>
          <w:i/>
        </w:rPr>
      </w:pPr>
    </w:p>
    <w:p w:rsidR="00F84955" w:rsidRDefault="00B709A1" w:rsidP="00F84955">
      <w:pPr>
        <w:spacing w:line="360" w:lineRule="auto"/>
      </w:pPr>
      <w:r>
        <w:rPr>
          <w:i/>
        </w:rPr>
        <w:t>6</w:t>
      </w:r>
      <w:r w:rsidR="00F84955">
        <w:rPr>
          <w:i/>
        </w:rPr>
        <w:t>.2 Vermogensrisico</w:t>
      </w:r>
      <w:r w:rsidR="00F84955">
        <w:rPr>
          <w:i/>
        </w:rPr>
        <w:br/>
      </w:r>
      <w:r w:rsidR="00F84955">
        <w:t xml:space="preserve">Een tweede risico voor consumenten is het risico dat de woning in waarde daalt. Het gaat hier om een algemene daling van huizenprijzen en niet om waardedalingen van bijvoorbeeld een bepaald type woning of woningen in een bepaalde regio. De huizenprijzen kunnen dalen door een verslechterde macro-economische ontwikkeling zoals een lagere groei van het nationaal inkomen of een hogere werkloosheid. De wereldwijde economische crisis van 2008 is hier een </w:t>
      </w:r>
      <w:r w:rsidR="00CC364A">
        <w:t>goed voorbeeld van. Uit figuur 4</w:t>
      </w:r>
      <w:r w:rsidR="00F84955">
        <w:t xml:space="preserve">.1 valt op te maken dat de huizenprijzen in 2008 de verslechterde macro-economische ontwikkeling hebben vertaald in een waardedaling. Huizenprijzen kunnen daarnaast onder druk komen te staan door een verhoging van de rente of door een aanscherping van de voorwaarden die gesteld worden voor kredietverlening. </w:t>
      </w:r>
    </w:p>
    <w:p w:rsidR="00F84955" w:rsidRDefault="00F84955" w:rsidP="00F84955">
      <w:pPr>
        <w:spacing w:line="360" w:lineRule="auto"/>
      </w:pPr>
      <w:r>
        <w:t xml:space="preserve">Een waardedaling van de woning vormt een vermogensrisico wanneer er sprake is van een restschuld bij verkoop van de woning. De waarde van de woning is dan lager dan de resterende hypotheekschuld. Het risico op een restschuld hoeft net als het betalingsrisico niet direct tot betalingsproblemen te leiden, zolang er maar voldoende financieel vermogen tegenover staat. Een restschuld vormt ook een belemmering voor de mobiliteit van eigenwoningbezitters. Zij zullen niet gaan verhuizen totdat de woning weer in waarde is gestegen, zodat ze het met overwaarde kunnen verkopen. De doorstroming op de woningmarkt wordt hierdoor negatief beïnvloed. Ook wanneer er wel sprake is van een overwaarde op de woning kan bij een waardedaling het vermogensrisico toenemen. Dit komt vooral bij huishoudens voor die via de eigenwoning de pensioenvoorziening opbouwen. De opvatting dat de huizenprijzen altijd maar zouden stijgen hebben deze opbouw van vermogen lange tijd gerechtvaardigd. </w:t>
      </w:r>
    </w:p>
    <w:p w:rsidR="00F84955" w:rsidRDefault="004361C1" w:rsidP="00F84955">
      <w:pPr>
        <w:spacing w:line="360" w:lineRule="auto"/>
      </w:pPr>
      <w:r>
        <w:lastRenderedPageBreak/>
        <w:t xml:space="preserve">Het vermogensrisico wordt vergroot doordat huishoudens een steeds grotere hypothecaire lening nemen ten opzichte van de waarde van de woning. </w:t>
      </w:r>
      <w:r w:rsidR="00F84955">
        <w:t>De “loan-to-value” ra</w:t>
      </w:r>
      <w:r w:rsidR="001E7A2A">
        <w:t>tio geeft deze verhouding weer.</w:t>
      </w:r>
      <w:r w:rsidR="001E7A2A">
        <w:rPr>
          <w:rStyle w:val="Voetnootmarkering"/>
        </w:rPr>
        <w:footnoteReference w:id="27"/>
      </w:r>
      <w:r>
        <w:t xml:space="preserve"> </w:t>
      </w:r>
      <w:r w:rsidR="005069DF">
        <w:t>Wanneer de waarde van de woning bij verkoop sterk is gedaald, blijft er dus een grote restschuld over.</w:t>
      </w:r>
    </w:p>
    <w:p w:rsidR="00F84955" w:rsidRDefault="00CC364A" w:rsidP="00F84955">
      <w:pPr>
        <w:spacing w:line="360" w:lineRule="auto"/>
        <w:rPr>
          <w:b/>
        </w:rPr>
      </w:pPr>
      <w:r>
        <w:rPr>
          <w:i/>
        </w:rPr>
        <w:t xml:space="preserve">Figuur </w:t>
      </w:r>
      <w:r w:rsidR="00B709A1">
        <w:rPr>
          <w:i/>
        </w:rPr>
        <w:t>6</w:t>
      </w:r>
      <w:r w:rsidR="00F84955">
        <w:rPr>
          <w:i/>
        </w:rPr>
        <w:t>.2: Gemiddelde loan-to-value ratio bij woningaankoop</w:t>
      </w:r>
      <w:r w:rsidR="00F84955">
        <w:rPr>
          <w:b/>
          <w:noProof/>
          <w:lang w:eastAsia="nl-NL"/>
        </w:rPr>
        <w:drawing>
          <wp:inline distT="0" distB="0" distL="0" distR="0">
            <wp:extent cx="4800600" cy="2752725"/>
            <wp:effectExtent l="1905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srcRect/>
                    <a:stretch>
                      <a:fillRect/>
                    </a:stretch>
                  </pic:blipFill>
                  <pic:spPr bwMode="auto">
                    <a:xfrm>
                      <a:off x="0" y="0"/>
                      <a:ext cx="4800600" cy="2752725"/>
                    </a:xfrm>
                    <a:prstGeom prst="rect">
                      <a:avLst/>
                    </a:prstGeom>
                    <a:noFill/>
                    <a:ln w="9525">
                      <a:noFill/>
                      <a:miter lim="800000"/>
                      <a:headEnd/>
                      <a:tailEnd/>
                    </a:ln>
                  </pic:spPr>
                </pic:pic>
              </a:graphicData>
            </a:graphic>
          </wp:inline>
        </w:drawing>
      </w:r>
    </w:p>
    <w:p w:rsidR="00F84955" w:rsidRDefault="00F84955" w:rsidP="00F84955">
      <w:pPr>
        <w:spacing w:line="360" w:lineRule="auto"/>
      </w:pPr>
      <w:r>
        <w:t>De schulden die eigenwon</w:t>
      </w:r>
      <w:r w:rsidR="004361C1">
        <w:t>ingbezitters zijn aan gegaan zijn</w:t>
      </w:r>
      <w:r w:rsidR="005069DF">
        <w:t xml:space="preserve"> </w:t>
      </w:r>
      <w:r w:rsidR="004361C1">
        <w:t xml:space="preserve">de afgelopen 10 jaar </w:t>
      </w:r>
      <w:r>
        <w:t xml:space="preserve">harder gegroeid dan de huizenprijzen. Een steeds groter deel van de woning wordt “verkocht” aan de hypotheekverstrekkers. De stijging van de loan-to-value ratio kan verklaard worden doordat de financieringsmogelijkheden voor hypotheken zijn verruimd. Ook de komst van de aflossingsvrije hypotheek heeft hier zijn steentje aan bijgedragen. De huidige fiscale behandeling van de eigenwoning stimuleert het in stand houden van de initiële hypotheekschuld. Hierdoor neemt de loan-to-value ratio van een gemiddelde </w:t>
      </w:r>
      <w:r w:rsidR="004361C1">
        <w:t xml:space="preserve">hypotheek gedurende de looptijd minder snel </w:t>
      </w:r>
      <w:r>
        <w:t xml:space="preserve">af. </w:t>
      </w:r>
    </w:p>
    <w:p w:rsidR="00F84955" w:rsidRDefault="00B709A1" w:rsidP="00F84955">
      <w:pPr>
        <w:spacing w:line="360" w:lineRule="auto"/>
      </w:pPr>
      <w:r>
        <w:rPr>
          <w:i/>
        </w:rPr>
        <w:t>6</w:t>
      </w:r>
      <w:r w:rsidR="00F84955">
        <w:rPr>
          <w:i/>
        </w:rPr>
        <w:t>.3 Kredietrisico</w:t>
      </w:r>
      <w:r w:rsidR="00F84955">
        <w:rPr>
          <w:i/>
        </w:rPr>
        <w:br/>
      </w:r>
      <w:r w:rsidR="00F84955">
        <w:t xml:space="preserve">Het betalingsrisico en het vermogensrisico vergroten de kans dat de hypotheekverstrekker de lening niet volledig krijgt terugbetaald. Dit kredietrisico komt dus voor rekening van de hypotheekverstrekkers, meestal banken. Wanneer de consument van de hypothecaire lening zijn betalingen niet meer kan voldoen, kan de hypotheekverstrekker verkoop van het onderpand afdwingen. De hypotheekverstrekker zal de vordering geheel of gedeeltelijk moeten afschrijven, wanneer de consument zijn restschuld, een negatieve overwaarde, niet kan afbetalen. De risico’s voor de consument bepalen het kredietrisico voor de hypotheekverstrekker. Andersom kan de </w:t>
      </w:r>
      <w:r w:rsidR="00F84955">
        <w:lastRenderedPageBreak/>
        <w:t xml:space="preserve">hypotheekverstrekker ook de risico’s voor de consument beïnvloeden. De hypotheekverstrekker kan namelijk de rente- en aflossingsverplichtingen voor nieuwe en bestaande hypotheken wijzigen. </w:t>
      </w:r>
    </w:p>
    <w:p w:rsidR="00F84955" w:rsidRPr="009279A9" w:rsidRDefault="00F84955" w:rsidP="00F84955">
      <w:pPr>
        <w:spacing w:line="360" w:lineRule="auto"/>
      </w:pPr>
      <w:r>
        <w:t xml:space="preserve">In normale omstandigheden zijn er altijd betalingsrisico’s en vermogensrisico’s aanwezig. Doordat de hypotheekverstrekker meerdere hypotheken heeft afgesloten in zijn portefeuille kan het kredietrisico worden gespreid. </w:t>
      </w:r>
    </w:p>
    <w:p w:rsidR="009D3CCE" w:rsidRDefault="00F84955" w:rsidP="00F84955">
      <w:pPr>
        <w:spacing w:line="360" w:lineRule="auto"/>
      </w:pPr>
      <w:r>
        <w:t xml:space="preserve">De drie genoemde risico’s op de hypotheekmarkt vormen een bedreiging voor onze economie. De hoge hypotheekschuld in verhouding tot het inkomen </w:t>
      </w:r>
      <w:r w:rsidR="005069DF">
        <w:t xml:space="preserve">en de hoge hypotheekschuld </w:t>
      </w:r>
      <w:r>
        <w:t>in verhouding tot de waarde van de woning, maakt huiseigenaren en banken gevoeliger voor prijsschommelingen op de markt. Bankiers deelden jarenlang de opvatting dat het aangaan van een hoge hypotheek gerechtvaardigd was, door de sterk stijgende huizenprijzen. Door de hypotheekrenteaftrek werd er ieder jaar geld in de huizenmarkt gepompt dat uit het niets was gecreëerd. Dan kun je verwachten dat de huizenprijzen zullen gaan stijgen. Bij een daling van de huizenprijzen blijft de eerder aangegane schuld natuurlijk staan. En die schuld is in Nederland nogal hoog. Als het op hypotheken aankomt, dan is Nederland wereldkampioen lenen. Sparen en tussentijds aflossen hoefde niet, want iedereen kon bij verkoop de hypothecaire lening met gemak terugbetalen doordat de huizenprijzen zo sterk gestegen waren. De hervormingen op de woningmarkt</w:t>
      </w:r>
      <w:r w:rsidR="00EB189F">
        <w:t>, die in hoofdstuk 8 aan bod komen,</w:t>
      </w:r>
      <w:r>
        <w:t xml:space="preserve"> zullen ook rekening moeten houden met het extreme leeng</w:t>
      </w:r>
      <w:r w:rsidR="009D3CCE">
        <w:t xml:space="preserve">edrag van eigenwoningbezitters </w:t>
      </w:r>
    </w:p>
    <w:p w:rsidR="009D3CCE" w:rsidRDefault="009D3CCE">
      <w:r>
        <w:br w:type="page"/>
      </w:r>
    </w:p>
    <w:p w:rsidR="00B709A1" w:rsidRDefault="00B709A1" w:rsidP="00B709A1">
      <w:pPr>
        <w:spacing w:line="360" w:lineRule="auto"/>
        <w:outlineLvl w:val="0"/>
        <w:rPr>
          <w:i/>
        </w:rPr>
      </w:pPr>
      <w:r>
        <w:rPr>
          <w:i/>
          <w:sz w:val="26"/>
          <w:szCs w:val="26"/>
        </w:rPr>
        <w:lastRenderedPageBreak/>
        <w:t>7 Hervormingen in het buitenland</w:t>
      </w:r>
    </w:p>
    <w:p w:rsidR="00B709A1" w:rsidRDefault="00B709A1" w:rsidP="00B709A1">
      <w:pPr>
        <w:spacing w:line="360" w:lineRule="auto"/>
      </w:pPr>
      <w:r>
        <w:t>Wanneer de vermeende effecten van eigenwoningbezit daadwerkelijk positief zijn, dan is de huidige fiscale behandeling van de eigen woning niet ondoelmatig. Door overheidsbemoeienis kunnen marktfalen worden gereduceerd en dit kan leiden tot een optimale allocatie. Nu blijkt uit al die ondoelmatigheden op de woningmarkt dat de overheidsbemoeienis heeft gefaald. De Nederlandse woningmarkt is rijp voor hervorming. Veel discussie is er omtrent de manier waarop deze hervormingen moeten worden doorgevoerd. Zal de hypotheekrenteaftrek hervormd moeten worden in combinatie met een hervorming van de overdrachtsbelasting? Zal de huursector tegelijk met de koopsector moeten worden hervormd? Dit zijn vraagstukken die niet alleen de politiek bezighoudt, maar ook de hele samenleving. Waar Nederland nog debatteert over wat en hoe moet worden hervormd, hebben veel andere Europese landen al talloze hervormingen op de woningmarkt doorgevoerd. Voor de hervorming van de Nederlandse woningmarkt zijn hier wellicht een aantal lessen uit te trekken. De meeste West-Europese landen kenden tot enige tijd geleden een vergelijkbare structuur van de fiscale behandeling van de eigen woning als in Nederland vandaag de dag no</w:t>
      </w:r>
      <w:r w:rsidR="003C0FC7">
        <w:t xml:space="preserve">g. Namelijk </w:t>
      </w:r>
      <w:r>
        <w:t xml:space="preserve">het woongenot als bijtelling van het belastbare inkomen en aftrekmogelijkheden voor financieringskosten. </w:t>
      </w:r>
    </w:p>
    <w:p w:rsidR="00B709A1" w:rsidRDefault="00B709A1" w:rsidP="00B709A1">
      <w:pPr>
        <w:spacing w:line="360" w:lineRule="auto"/>
      </w:pPr>
      <w:r>
        <w:t>De stelselwijzigingen met betrekking tot het eigenw</w:t>
      </w:r>
      <w:r w:rsidR="003C0FC7">
        <w:t xml:space="preserve">oningbezit hebben in Duitsland </w:t>
      </w:r>
      <w:r>
        <w:t>en het Verenigd Koninkrijk een soortgelijk proces doorlopen. Allereerst werd de bijtelling eigenw</w:t>
      </w:r>
      <w:r w:rsidR="003C0FC7">
        <w:t>oningforfait geheel afgeschaft. Tegelijkertijd werd de hypotheekrenteaftrek gefaseerd hervormd. De hervormingen in deze twee</w:t>
      </w:r>
      <w:r>
        <w:t xml:space="preserve"> landen zijn met een relatief lang transitieproces gedaan. Het is belangrijk dat de hervormingen op de woningmarkt over een langere periode worden uitgesmeerd, aangezien het hier gaat om structurele wijzigingen. </w:t>
      </w:r>
    </w:p>
    <w:p w:rsidR="00B709A1" w:rsidRDefault="00B709A1" w:rsidP="00B709A1">
      <w:pPr>
        <w:spacing w:line="360" w:lineRule="auto"/>
      </w:pPr>
      <w:r>
        <w:t xml:space="preserve">Ook België heeft het eigenwoningforfait afgeschaft in de inkomstenbelasting. De aftrekbare hypotheekrente is gemaximeerd en dit wordt tegen een progressief tarief van het belastbare inkomen afgetrokken. Dit betekent dat de hoogste inkomens het meeste belastingvoordeel kunnen halen, wat nu ook in Nederland het geval is. </w:t>
      </w:r>
    </w:p>
    <w:p w:rsidR="00B709A1" w:rsidRDefault="00B709A1" w:rsidP="00B709A1">
      <w:pPr>
        <w:spacing w:line="360" w:lineRule="auto"/>
      </w:pPr>
      <w:r>
        <w:t xml:space="preserve">De vier Scandinavische landen hebben het tarief van de hypotheekrenteaftrek verlaagd naar een proportioneel tarief uiteenlopend van 28 procent naar 31 procent. De bijtelling van het eigenwoningforfait is in Denemarken, Finland en Zweden omgezet in een onroerendezaakbelasting. De hervorming van het eigenwoningforfait en de invoering van een vast proportioneel tarief vonden in Zweden in 1991 tegelijk plaats. </w:t>
      </w:r>
    </w:p>
    <w:p w:rsidR="00B709A1" w:rsidRDefault="00B709A1" w:rsidP="00B709A1">
      <w:pPr>
        <w:spacing w:line="360" w:lineRule="auto"/>
      </w:pPr>
      <w:r>
        <w:lastRenderedPageBreak/>
        <w:t>In de onderstaande tabel staan alle hervormingen van de West-Europese landen nog eens op een rijtje.</w:t>
      </w:r>
      <w:r w:rsidRPr="004F3723">
        <w:t xml:space="preserve"> </w:t>
      </w:r>
    </w:p>
    <w:p w:rsidR="00B709A1" w:rsidRPr="00BE2246" w:rsidRDefault="00B709A1" w:rsidP="00B709A1">
      <w:pPr>
        <w:spacing w:line="360" w:lineRule="auto"/>
        <w:outlineLvl w:val="0"/>
        <w:rPr>
          <w:i/>
        </w:rPr>
      </w:pPr>
      <w:r>
        <w:rPr>
          <w:i/>
          <w:noProof/>
          <w:lang w:eastAsia="nl-NL"/>
        </w:rPr>
        <w:t>Tabel 7.1: Hervormingen op de koopmarkt</w:t>
      </w:r>
      <w:r>
        <w:rPr>
          <w:rStyle w:val="Voetnootmarkering"/>
          <w:i/>
          <w:noProof/>
          <w:lang w:eastAsia="nl-NL"/>
        </w:rPr>
        <w:footnoteReference w:id="28"/>
      </w:r>
    </w:p>
    <w:tbl>
      <w:tblPr>
        <w:tblStyle w:val="Lichtearcering-accent11"/>
        <w:tblW w:w="9180" w:type="dxa"/>
        <w:tblLook w:val="04A0"/>
      </w:tblPr>
      <w:tblGrid>
        <w:gridCol w:w="2376"/>
        <w:gridCol w:w="3119"/>
        <w:gridCol w:w="3685"/>
      </w:tblGrid>
      <w:tr w:rsidR="00B709A1" w:rsidTr="00630103">
        <w:trPr>
          <w:cnfStyle w:val="100000000000"/>
        </w:trPr>
        <w:tc>
          <w:tcPr>
            <w:cnfStyle w:val="001000000000"/>
            <w:tcW w:w="2376" w:type="dxa"/>
          </w:tcPr>
          <w:p w:rsidR="00B709A1" w:rsidRDefault="00B709A1" w:rsidP="00630103">
            <w:r>
              <w:t>Land</w:t>
            </w:r>
          </w:p>
        </w:tc>
        <w:tc>
          <w:tcPr>
            <w:tcW w:w="3119" w:type="dxa"/>
          </w:tcPr>
          <w:p w:rsidR="00B709A1" w:rsidRDefault="00B709A1" w:rsidP="00630103">
            <w:pPr>
              <w:cnfStyle w:val="100000000000"/>
            </w:pPr>
            <w:r>
              <w:t>Bijtelling eigenwoningforfait</w:t>
            </w:r>
          </w:p>
        </w:tc>
        <w:tc>
          <w:tcPr>
            <w:tcW w:w="3685" w:type="dxa"/>
          </w:tcPr>
          <w:p w:rsidR="00B709A1" w:rsidRDefault="00B709A1" w:rsidP="00630103">
            <w:pPr>
              <w:cnfStyle w:val="100000000000"/>
            </w:pPr>
            <w:r>
              <w:t>Hypotheekrenteaftrek</w:t>
            </w:r>
          </w:p>
        </w:tc>
      </w:tr>
      <w:tr w:rsidR="00B709A1" w:rsidTr="00630103">
        <w:trPr>
          <w:cnfStyle w:val="000000100000"/>
        </w:trPr>
        <w:tc>
          <w:tcPr>
            <w:cnfStyle w:val="001000000000"/>
            <w:tcW w:w="2376" w:type="dxa"/>
          </w:tcPr>
          <w:p w:rsidR="00B709A1" w:rsidRDefault="00B709A1" w:rsidP="00630103">
            <w:r>
              <w:t>Duitsland</w:t>
            </w:r>
          </w:p>
        </w:tc>
        <w:tc>
          <w:tcPr>
            <w:tcW w:w="3119" w:type="dxa"/>
          </w:tcPr>
          <w:p w:rsidR="00B709A1" w:rsidRDefault="00B709A1" w:rsidP="00630103">
            <w:pPr>
              <w:cnfStyle w:val="000000100000"/>
            </w:pPr>
            <w:r>
              <w:t>Afgeschaft (1987)</w:t>
            </w:r>
          </w:p>
        </w:tc>
        <w:tc>
          <w:tcPr>
            <w:tcW w:w="3685" w:type="dxa"/>
          </w:tcPr>
          <w:p w:rsidR="00B709A1" w:rsidRDefault="00B709A1" w:rsidP="00630103">
            <w:pPr>
              <w:cnfStyle w:val="000000100000"/>
            </w:pPr>
            <w:r>
              <w:t>Omgezet naar afschrijvingsaftrek (1987)</w:t>
            </w:r>
          </w:p>
          <w:p w:rsidR="00B709A1" w:rsidRDefault="00B709A1" w:rsidP="00630103">
            <w:pPr>
              <w:cnfStyle w:val="000000100000"/>
            </w:pPr>
            <w:r>
              <w:t>Gedefiscaliseerd (1996)</w:t>
            </w:r>
          </w:p>
          <w:p w:rsidR="00B709A1" w:rsidRDefault="00B709A1" w:rsidP="00630103">
            <w:pPr>
              <w:cnfStyle w:val="000000100000"/>
            </w:pPr>
            <w:r>
              <w:t>Afgeschaft (2006)</w:t>
            </w:r>
          </w:p>
        </w:tc>
      </w:tr>
      <w:tr w:rsidR="00B709A1" w:rsidTr="00630103">
        <w:tc>
          <w:tcPr>
            <w:cnfStyle w:val="001000000000"/>
            <w:tcW w:w="2376" w:type="dxa"/>
          </w:tcPr>
          <w:p w:rsidR="00B709A1" w:rsidRDefault="00B709A1" w:rsidP="00630103">
            <w:r>
              <w:t>Frankrijk</w:t>
            </w:r>
          </w:p>
        </w:tc>
        <w:tc>
          <w:tcPr>
            <w:tcW w:w="3119" w:type="dxa"/>
          </w:tcPr>
          <w:p w:rsidR="00B709A1" w:rsidRDefault="00B709A1" w:rsidP="00630103">
            <w:pPr>
              <w:cnfStyle w:val="000000000000"/>
            </w:pPr>
            <w:r>
              <w:t>Afgeschaft (1965)</w:t>
            </w:r>
          </w:p>
        </w:tc>
        <w:tc>
          <w:tcPr>
            <w:tcW w:w="3685" w:type="dxa"/>
          </w:tcPr>
          <w:p w:rsidR="00B709A1" w:rsidRDefault="00B709A1" w:rsidP="00630103">
            <w:pPr>
              <w:cnfStyle w:val="000000000000"/>
            </w:pPr>
            <w:r>
              <w:t>Afgeschaft (1997/1998)</w:t>
            </w:r>
          </w:p>
          <w:p w:rsidR="00B709A1" w:rsidRDefault="00B709A1" w:rsidP="00630103">
            <w:pPr>
              <w:cnfStyle w:val="000000000000"/>
            </w:pPr>
            <w:r>
              <w:t>Invoering onderhoudsaftrek (2001)</w:t>
            </w:r>
          </w:p>
        </w:tc>
      </w:tr>
      <w:tr w:rsidR="00B709A1" w:rsidTr="00630103">
        <w:trPr>
          <w:cnfStyle w:val="000000100000"/>
        </w:trPr>
        <w:tc>
          <w:tcPr>
            <w:cnfStyle w:val="001000000000"/>
            <w:tcW w:w="2376" w:type="dxa"/>
          </w:tcPr>
          <w:p w:rsidR="00B709A1" w:rsidRDefault="00B709A1" w:rsidP="00630103">
            <w:r>
              <w:t>Verenigd Koninkrijk</w:t>
            </w:r>
          </w:p>
        </w:tc>
        <w:tc>
          <w:tcPr>
            <w:tcW w:w="3119" w:type="dxa"/>
          </w:tcPr>
          <w:p w:rsidR="00B709A1" w:rsidRDefault="00B709A1" w:rsidP="00630103">
            <w:pPr>
              <w:cnfStyle w:val="000000100000"/>
            </w:pPr>
            <w:r>
              <w:t>Afgeschaft (1963)</w:t>
            </w:r>
          </w:p>
        </w:tc>
        <w:tc>
          <w:tcPr>
            <w:tcW w:w="3685" w:type="dxa"/>
          </w:tcPr>
          <w:p w:rsidR="00B709A1" w:rsidRDefault="00B709A1" w:rsidP="00630103">
            <w:pPr>
              <w:cnfStyle w:val="000000100000"/>
            </w:pPr>
            <w:r>
              <w:t>Afgebouwd (1963)</w:t>
            </w:r>
          </w:p>
          <w:p w:rsidR="00B709A1" w:rsidRDefault="00B709A1" w:rsidP="00630103">
            <w:pPr>
              <w:cnfStyle w:val="000000100000"/>
            </w:pPr>
            <w:r>
              <w:t>Definitief afgeschaft (2000)</w:t>
            </w:r>
          </w:p>
        </w:tc>
      </w:tr>
      <w:tr w:rsidR="00B709A1" w:rsidTr="00630103">
        <w:tc>
          <w:tcPr>
            <w:cnfStyle w:val="001000000000"/>
            <w:tcW w:w="2376" w:type="dxa"/>
          </w:tcPr>
          <w:p w:rsidR="00B709A1" w:rsidRDefault="00B709A1" w:rsidP="00630103">
            <w:r>
              <w:t>België</w:t>
            </w:r>
          </w:p>
        </w:tc>
        <w:tc>
          <w:tcPr>
            <w:tcW w:w="3119" w:type="dxa"/>
          </w:tcPr>
          <w:p w:rsidR="00B709A1" w:rsidRDefault="00B709A1" w:rsidP="00630103">
            <w:pPr>
              <w:cnfStyle w:val="000000000000"/>
            </w:pPr>
            <w:r>
              <w:t>Afgeschaft in IB (2006)</w:t>
            </w:r>
          </w:p>
          <w:p w:rsidR="00B709A1" w:rsidRDefault="00B709A1" w:rsidP="00630103">
            <w:pPr>
              <w:cnfStyle w:val="000000000000"/>
            </w:pPr>
            <w:r>
              <w:t>Niet afgeschaft in gemeentelijke belasting</w:t>
            </w:r>
          </w:p>
        </w:tc>
        <w:tc>
          <w:tcPr>
            <w:tcW w:w="3685" w:type="dxa"/>
          </w:tcPr>
          <w:p w:rsidR="00B709A1" w:rsidRDefault="00B709A1" w:rsidP="00630103">
            <w:pPr>
              <w:cnfStyle w:val="000000000000"/>
            </w:pPr>
            <w:r>
              <w:t>Omgezet naar vast aftrekbedrag tegen progressief tarief van maximaal 55% (2006)</w:t>
            </w:r>
          </w:p>
        </w:tc>
      </w:tr>
      <w:tr w:rsidR="00B709A1" w:rsidTr="00630103">
        <w:trPr>
          <w:cnfStyle w:val="000000100000"/>
        </w:trPr>
        <w:tc>
          <w:tcPr>
            <w:cnfStyle w:val="001000000000"/>
            <w:tcW w:w="2376" w:type="dxa"/>
          </w:tcPr>
          <w:p w:rsidR="00B709A1" w:rsidRDefault="00B709A1" w:rsidP="00630103">
            <w:r>
              <w:t>Nederland</w:t>
            </w:r>
          </w:p>
        </w:tc>
        <w:tc>
          <w:tcPr>
            <w:tcW w:w="3119" w:type="dxa"/>
          </w:tcPr>
          <w:p w:rsidR="00B709A1" w:rsidRDefault="00B709A1" w:rsidP="00630103">
            <w:pPr>
              <w:cnfStyle w:val="000000100000"/>
            </w:pPr>
            <w:r>
              <w:t>Ja</w:t>
            </w:r>
          </w:p>
        </w:tc>
        <w:tc>
          <w:tcPr>
            <w:tcW w:w="3685" w:type="dxa"/>
          </w:tcPr>
          <w:p w:rsidR="00B709A1" w:rsidRDefault="00B709A1" w:rsidP="00630103">
            <w:pPr>
              <w:cnfStyle w:val="000000100000"/>
            </w:pPr>
            <w:r>
              <w:t>Progressief tarief van maximaal 52%</w:t>
            </w:r>
          </w:p>
        </w:tc>
      </w:tr>
      <w:tr w:rsidR="00B709A1" w:rsidTr="00630103">
        <w:tc>
          <w:tcPr>
            <w:cnfStyle w:val="001000000000"/>
            <w:tcW w:w="2376" w:type="dxa"/>
          </w:tcPr>
          <w:p w:rsidR="00B709A1" w:rsidRDefault="00B709A1" w:rsidP="00630103">
            <w:r>
              <w:t>Denemarken</w:t>
            </w:r>
          </w:p>
        </w:tc>
        <w:tc>
          <w:tcPr>
            <w:tcW w:w="3119" w:type="dxa"/>
          </w:tcPr>
          <w:p w:rsidR="00B709A1" w:rsidRDefault="00B709A1" w:rsidP="00630103">
            <w:pPr>
              <w:cnfStyle w:val="000000000000"/>
            </w:pPr>
            <w:r>
              <w:t>Omgezet in gemeentelijke OZB (2000)</w:t>
            </w:r>
          </w:p>
        </w:tc>
        <w:tc>
          <w:tcPr>
            <w:tcW w:w="3685" w:type="dxa"/>
          </w:tcPr>
          <w:p w:rsidR="00B709A1" w:rsidRDefault="00B709A1" w:rsidP="00630103">
            <w:pPr>
              <w:cnfStyle w:val="000000000000"/>
            </w:pPr>
            <w:r>
              <w:t>Proportioneel tarief 31% (1987)</w:t>
            </w:r>
          </w:p>
        </w:tc>
      </w:tr>
      <w:tr w:rsidR="00B709A1" w:rsidTr="00630103">
        <w:trPr>
          <w:cnfStyle w:val="000000100000"/>
        </w:trPr>
        <w:tc>
          <w:tcPr>
            <w:cnfStyle w:val="001000000000"/>
            <w:tcW w:w="2376" w:type="dxa"/>
          </w:tcPr>
          <w:p w:rsidR="00B709A1" w:rsidRDefault="00B709A1" w:rsidP="00630103">
            <w:r>
              <w:t>Finland</w:t>
            </w:r>
          </w:p>
        </w:tc>
        <w:tc>
          <w:tcPr>
            <w:tcW w:w="3119" w:type="dxa"/>
          </w:tcPr>
          <w:p w:rsidR="00B709A1" w:rsidRDefault="00B709A1" w:rsidP="00630103">
            <w:pPr>
              <w:cnfStyle w:val="000000100000"/>
            </w:pPr>
            <w:r>
              <w:t>Omgezet in gemeentelijke OZB (1993)</w:t>
            </w:r>
          </w:p>
        </w:tc>
        <w:tc>
          <w:tcPr>
            <w:tcW w:w="3685" w:type="dxa"/>
          </w:tcPr>
          <w:p w:rsidR="00B709A1" w:rsidRDefault="00B709A1" w:rsidP="00630103">
            <w:pPr>
              <w:cnfStyle w:val="000000100000"/>
            </w:pPr>
            <w:r>
              <w:t>Proportioneel tarief 29% (1993)</w:t>
            </w:r>
          </w:p>
        </w:tc>
      </w:tr>
      <w:tr w:rsidR="00B709A1" w:rsidTr="00630103">
        <w:tc>
          <w:tcPr>
            <w:cnfStyle w:val="001000000000"/>
            <w:tcW w:w="2376" w:type="dxa"/>
          </w:tcPr>
          <w:p w:rsidR="00B709A1" w:rsidRDefault="00B709A1" w:rsidP="00630103">
            <w:r>
              <w:t>Noorwegen</w:t>
            </w:r>
          </w:p>
        </w:tc>
        <w:tc>
          <w:tcPr>
            <w:tcW w:w="3119" w:type="dxa"/>
          </w:tcPr>
          <w:p w:rsidR="00B709A1" w:rsidRDefault="00B709A1" w:rsidP="00630103">
            <w:pPr>
              <w:cnfStyle w:val="000000000000"/>
            </w:pPr>
            <w:r>
              <w:t>Ja</w:t>
            </w:r>
          </w:p>
        </w:tc>
        <w:tc>
          <w:tcPr>
            <w:tcW w:w="3685" w:type="dxa"/>
          </w:tcPr>
          <w:p w:rsidR="00B709A1" w:rsidRDefault="00B709A1" w:rsidP="00630103">
            <w:pPr>
              <w:cnfStyle w:val="000000000000"/>
            </w:pPr>
            <w:r>
              <w:t>Proportioneel tarief 28% (1992)</w:t>
            </w:r>
          </w:p>
        </w:tc>
      </w:tr>
      <w:tr w:rsidR="00B709A1" w:rsidTr="00630103">
        <w:trPr>
          <w:cnfStyle w:val="000000100000"/>
        </w:trPr>
        <w:tc>
          <w:tcPr>
            <w:cnfStyle w:val="001000000000"/>
            <w:tcW w:w="2376" w:type="dxa"/>
          </w:tcPr>
          <w:p w:rsidR="00B709A1" w:rsidRDefault="00B709A1" w:rsidP="00630103">
            <w:r>
              <w:t xml:space="preserve">Zweden </w:t>
            </w:r>
          </w:p>
        </w:tc>
        <w:tc>
          <w:tcPr>
            <w:tcW w:w="3119" w:type="dxa"/>
          </w:tcPr>
          <w:p w:rsidR="00B709A1" w:rsidRDefault="00B709A1" w:rsidP="00630103">
            <w:pPr>
              <w:cnfStyle w:val="000000100000"/>
            </w:pPr>
            <w:r>
              <w:t>Omgezet in nationale OZB (1991)</w:t>
            </w:r>
          </w:p>
        </w:tc>
        <w:tc>
          <w:tcPr>
            <w:tcW w:w="3685" w:type="dxa"/>
          </w:tcPr>
          <w:p w:rsidR="00B709A1" w:rsidRDefault="00B709A1" w:rsidP="00630103">
            <w:pPr>
              <w:cnfStyle w:val="000000100000"/>
            </w:pPr>
            <w:r>
              <w:t>Proportioneel tarief 30% (1991)</w:t>
            </w:r>
          </w:p>
        </w:tc>
      </w:tr>
    </w:tbl>
    <w:p w:rsidR="00B709A1" w:rsidRDefault="00B709A1" w:rsidP="00B709A1">
      <w:pPr>
        <w:spacing w:line="360" w:lineRule="auto"/>
      </w:pPr>
    </w:p>
    <w:p w:rsidR="00B709A1" w:rsidRDefault="00B709A1" w:rsidP="00B709A1">
      <w:pPr>
        <w:spacing w:line="360" w:lineRule="auto"/>
      </w:pPr>
      <w:r>
        <w:t>De hervormingen in het Verenigd Koninkrijk worden door de Commissie Sociaal-Economische Deskundigen gezien als leerzame voorbeelden. Zij hebben in opdracht van de Sociaal-Economische Raad een rapport gepubliceerd over een integrale hervorming van de woningmarkt. De eigenwoningmarkt in het Verenigd Koninkrijk is over een periode van 35 jaar volledig gedefiscaleerd. Het maximale bedrag waartegen renteaftrek mogelijk was werd in 1974 beperkt en daarna nog eenmaal verhoogd. Door de sterke stij</w:t>
      </w:r>
      <w:r w:rsidR="009C7D0B">
        <w:t>ging van huizenprijzen (figuur 7</w:t>
      </w:r>
      <w:r>
        <w:t xml:space="preserve">.1) viel een steeds kleiner deel van de uitstaande hypotheken onder de hypotheekrenteaftrek. </w:t>
      </w:r>
    </w:p>
    <w:p w:rsidR="00B709A1" w:rsidRDefault="00B709A1" w:rsidP="00B709A1">
      <w:pPr>
        <w:spacing w:line="360" w:lineRule="auto"/>
      </w:pPr>
    </w:p>
    <w:p w:rsidR="00064039" w:rsidRDefault="00064039" w:rsidP="00B709A1">
      <w:pPr>
        <w:spacing w:line="360" w:lineRule="auto"/>
        <w:outlineLvl w:val="0"/>
        <w:rPr>
          <w:i/>
          <w:noProof/>
          <w:lang w:eastAsia="nl-NL"/>
        </w:rPr>
      </w:pPr>
    </w:p>
    <w:p w:rsidR="00064039" w:rsidRDefault="00064039" w:rsidP="00B709A1">
      <w:pPr>
        <w:spacing w:line="360" w:lineRule="auto"/>
        <w:outlineLvl w:val="0"/>
        <w:rPr>
          <w:i/>
          <w:noProof/>
          <w:lang w:eastAsia="nl-NL"/>
        </w:rPr>
      </w:pPr>
    </w:p>
    <w:p w:rsidR="00064039" w:rsidRDefault="00064039" w:rsidP="00B709A1">
      <w:pPr>
        <w:spacing w:line="360" w:lineRule="auto"/>
        <w:outlineLvl w:val="0"/>
        <w:rPr>
          <w:i/>
          <w:noProof/>
          <w:lang w:eastAsia="nl-NL"/>
        </w:rPr>
      </w:pPr>
    </w:p>
    <w:p w:rsidR="00B709A1" w:rsidRPr="00CC364A" w:rsidRDefault="00064039" w:rsidP="00B709A1">
      <w:pPr>
        <w:spacing w:line="360" w:lineRule="auto"/>
        <w:outlineLvl w:val="0"/>
        <w:rPr>
          <w:i/>
        </w:rPr>
      </w:pPr>
      <w:r>
        <w:rPr>
          <w:i/>
          <w:noProof/>
          <w:lang w:eastAsia="nl-NL"/>
        </w:rPr>
        <w:lastRenderedPageBreak/>
        <w:drawing>
          <wp:anchor distT="0" distB="0" distL="114300" distR="114300" simplePos="0" relativeHeight="251687936" behindDoc="0" locked="0" layoutInCell="1" allowOverlap="1">
            <wp:simplePos x="0" y="0"/>
            <wp:positionH relativeFrom="column">
              <wp:posOffset>909955</wp:posOffset>
            </wp:positionH>
            <wp:positionV relativeFrom="paragraph">
              <wp:posOffset>-23495</wp:posOffset>
            </wp:positionV>
            <wp:extent cx="4533900" cy="2466975"/>
            <wp:effectExtent l="19050" t="0" r="19050" b="0"/>
            <wp:wrapSquare wrapText="bothSides"/>
            <wp:docPr id="9" name="Object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sidR="00B709A1">
        <w:rPr>
          <w:i/>
          <w:noProof/>
          <w:lang w:eastAsia="nl-NL"/>
        </w:rPr>
        <w:t>Figuur 7.1</w:t>
      </w:r>
      <w:r w:rsidR="00B709A1">
        <w:rPr>
          <w:rStyle w:val="Voetnootmarkering"/>
        </w:rPr>
        <w:footnoteReference w:id="29"/>
      </w:r>
    </w:p>
    <w:p w:rsidR="00B709A1" w:rsidRDefault="00B709A1" w:rsidP="00B709A1">
      <w:pPr>
        <w:spacing w:line="360" w:lineRule="auto"/>
      </w:pPr>
    </w:p>
    <w:p w:rsidR="00B709A1" w:rsidRDefault="00B709A1" w:rsidP="00B709A1">
      <w:pPr>
        <w:spacing w:line="360" w:lineRule="auto"/>
      </w:pPr>
    </w:p>
    <w:p w:rsidR="00B709A1" w:rsidRDefault="00B709A1" w:rsidP="00B709A1">
      <w:pPr>
        <w:spacing w:line="360" w:lineRule="auto"/>
      </w:pPr>
    </w:p>
    <w:p w:rsidR="00B709A1" w:rsidRDefault="00B709A1" w:rsidP="00B709A1">
      <w:pPr>
        <w:spacing w:line="360" w:lineRule="auto"/>
      </w:pPr>
    </w:p>
    <w:p w:rsidR="00B709A1" w:rsidRDefault="00B709A1" w:rsidP="00B709A1">
      <w:pPr>
        <w:spacing w:line="360" w:lineRule="auto"/>
      </w:pPr>
    </w:p>
    <w:p w:rsidR="00B709A1" w:rsidRDefault="00B709A1" w:rsidP="00B709A1">
      <w:pPr>
        <w:spacing w:line="360" w:lineRule="auto"/>
      </w:pPr>
    </w:p>
    <w:p w:rsidR="00B709A1" w:rsidRDefault="00B709A1" w:rsidP="00B709A1">
      <w:pPr>
        <w:spacing w:line="360" w:lineRule="auto"/>
      </w:pPr>
      <w:r>
        <w:t>De timing van de stelselwijzigingen in het Verenigd Koninkrijk kwam achteraf gezien op het juiste moment. Door de economische crisis van 2008 is het onduidelijk wat de toekomst is voor de huizenprijzen in Nederland. De ambtelijke werkgroep Wonen heeft 5 beleidsvarianten voor de woningmarkt doorberekend op de ontwikkeling van de huizenprijzen. De daling van de huizenprijzen loopt uiteen van 8 tot 13 procent in 2020 bij invoering van de varianten in 2011.</w:t>
      </w:r>
      <w:r>
        <w:rPr>
          <w:rStyle w:val="Voetnootmarkering"/>
        </w:rPr>
        <w:footnoteReference w:id="30"/>
      </w:r>
      <w:r>
        <w:t xml:space="preserve"> Een hervorming van de Nederlandse woningmarkt zal dus waarschijnlijk niet zo fortuinlijk verlopen als in het Verenigd Koninkrijk destijds. </w:t>
      </w:r>
    </w:p>
    <w:p w:rsidR="00B709A1" w:rsidRDefault="00B709A1">
      <w:pPr>
        <w:rPr>
          <w:i/>
          <w:sz w:val="26"/>
          <w:szCs w:val="26"/>
        </w:rPr>
      </w:pPr>
      <w:r>
        <w:rPr>
          <w:i/>
          <w:sz w:val="26"/>
          <w:szCs w:val="26"/>
        </w:rPr>
        <w:br w:type="page"/>
      </w:r>
    </w:p>
    <w:p w:rsidR="006C0796" w:rsidRPr="006C0796" w:rsidRDefault="00CC364A" w:rsidP="00CC364A">
      <w:pPr>
        <w:spacing w:line="360" w:lineRule="auto"/>
        <w:outlineLvl w:val="0"/>
        <w:rPr>
          <w:i/>
          <w:sz w:val="26"/>
          <w:szCs w:val="26"/>
        </w:rPr>
      </w:pPr>
      <w:r>
        <w:rPr>
          <w:i/>
          <w:sz w:val="26"/>
          <w:szCs w:val="26"/>
        </w:rPr>
        <w:lastRenderedPageBreak/>
        <w:t>8</w:t>
      </w:r>
      <w:r w:rsidR="00C67738">
        <w:rPr>
          <w:i/>
          <w:sz w:val="26"/>
          <w:szCs w:val="26"/>
        </w:rPr>
        <w:t xml:space="preserve"> B</w:t>
      </w:r>
      <w:r w:rsidR="006F5D34">
        <w:rPr>
          <w:i/>
          <w:sz w:val="26"/>
          <w:szCs w:val="26"/>
        </w:rPr>
        <w:t>eleidsscenario’s voor de woningmarkt</w:t>
      </w:r>
    </w:p>
    <w:p w:rsidR="00097223" w:rsidRDefault="009C4B5B" w:rsidP="009C4B5B">
      <w:pPr>
        <w:spacing w:line="360" w:lineRule="auto"/>
      </w:pPr>
      <w:r>
        <w:t>In een bijzondere publicatie van het Centraal Planbureau in april 2010 worden drie mogelijke hervormingen van het woonbeleid geschetst</w:t>
      </w:r>
      <w:r w:rsidR="005E5425">
        <w:t>. Het meest extreme scenario pleit voor een afschaffing van alle impliciete en expliciete woonsubsidies, zodat woonkeuzes grotendeels worden gemaakt in een onbelemmerd spel van vraag en aanbod. Dit leidt tot grote doelmatigheidswinsten, maar heeft ook negatieve effecten op het vermogen van huidige eigenwoningbezitters.</w:t>
      </w:r>
      <w:r w:rsidR="00393792">
        <w:t xml:space="preserve"> Er wordt daarom ook een milder</w:t>
      </w:r>
      <w:r w:rsidR="005E5425">
        <w:t xml:space="preserve"> scenario geschetst waarin de hoogte van de woonsubsidies dichter blijven bij wat ze nu zijn. </w:t>
      </w:r>
      <w:r w:rsidR="009D15D5">
        <w:t>De negatieve vermogenseffecten zijn dan kleiner, maar de te behalen doelmatigheidswinsten ook. Ten slotte wordt er in het rapport van het CPB ook een middenweg tussen de twee voorgaande scenario’s geschetst.</w:t>
      </w:r>
      <w:r w:rsidR="001E7A2A">
        <w:rPr>
          <w:rStyle w:val="Voetnootmarkering"/>
        </w:rPr>
        <w:footnoteReference w:id="31"/>
      </w:r>
    </w:p>
    <w:p w:rsidR="00C16831" w:rsidRDefault="00CC364A" w:rsidP="009C4B5B">
      <w:pPr>
        <w:spacing w:line="360" w:lineRule="auto"/>
      </w:pPr>
      <w:r>
        <w:rPr>
          <w:i/>
        </w:rPr>
        <w:t>8</w:t>
      </w:r>
      <w:r w:rsidR="006C0796">
        <w:rPr>
          <w:i/>
        </w:rPr>
        <w:t xml:space="preserve">.1 </w:t>
      </w:r>
      <w:r w:rsidR="00E71F04">
        <w:rPr>
          <w:i/>
        </w:rPr>
        <w:t xml:space="preserve">Uitgangspunten </w:t>
      </w:r>
      <w:r w:rsidR="00097223">
        <w:br/>
      </w:r>
      <w:r w:rsidR="009D15D5">
        <w:t xml:space="preserve">Aan de drie beleidsscenario’s ligt een aantal gemeenschappelijke </w:t>
      </w:r>
      <w:r w:rsidR="00E71F04">
        <w:t>uitgangspunten</w:t>
      </w:r>
      <w:r w:rsidR="009D15D5">
        <w:t xml:space="preserve"> ten grondslag. Ten eerste verdwijnt in ieder scenario de huurprijsregulering, waarin de overheid de maximale huur vaststelde via een puntensysteem. </w:t>
      </w:r>
      <w:r w:rsidR="00097223">
        <w:t xml:space="preserve">De huurwoningmarkt wordt geliberaliseerd, zodat alle verhuurders van woningen een marktconforme huur in rekening brengen aan hun huurders. Het voordeel hiervan is dat er rekening wordt gehouden met de gewildheid van een woning. </w:t>
      </w:r>
      <w:r w:rsidR="00C209AC">
        <w:t>Het nadeel is dat de kans op segregatie wordt vergroot</w:t>
      </w:r>
      <w:r w:rsidR="00452A9E">
        <w:t>,</w:t>
      </w:r>
      <w:r w:rsidR="00C209AC">
        <w:t xml:space="preserve"> doordat alleen </w:t>
      </w:r>
      <w:r w:rsidR="00452A9E">
        <w:t>welgestelde huurders kunnen wonen in de meest gewilde wijken. Een ander nadeel is dat het een risico met zich meebrengt dat</w:t>
      </w:r>
      <w:r w:rsidR="00097223">
        <w:t xml:space="preserve"> verhuurders gebruik gaan maken van hun marktmacht door excessieve huurstijgingen door te voeren, nadat de huurder de woning heeft betrokken.</w:t>
      </w:r>
      <w:r w:rsidR="009C7D0B">
        <w:t xml:space="preserve"> </w:t>
      </w:r>
      <w:r w:rsidR="001A180E">
        <w:t xml:space="preserve">Dit machtsmisbruik kan </w:t>
      </w:r>
      <w:r w:rsidR="009C7D0B">
        <w:t xml:space="preserve">preventief </w:t>
      </w:r>
      <w:r w:rsidR="001A180E">
        <w:t xml:space="preserve">de kop </w:t>
      </w:r>
      <w:r w:rsidR="009C7D0B">
        <w:t xml:space="preserve">worden ingedrukt worden </w:t>
      </w:r>
      <w:r w:rsidR="001A180E">
        <w:t xml:space="preserve">een drietal mogelijkheden. De overheid kan besluiten om na de hervorming zich enigszins te blijven bemoeien met de aanpassing van de huur nadat een huurcontract tot stand is gekomen. De overheid stelt dan een maximale jaarlijkse huurstijging vast. Ook kan een verhoging van het aantal aanbieders van huurwoningen in een regio uitkomst bieden om de machtspositie van verhuurders te verminderen. Excessieve huurstijgingen </w:t>
      </w:r>
      <w:r w:rsidR="00856CD3">
        <w:t xml:space="preserve">zullen door deze extra concurrentie minder plaatsvinden. Ten slotte kan de overheid het risico op machtsmisbruik verminderen door verhuurders te verplichten meerdere typen huurcontracten aan te bieden, waarin naast de aanvangshuur ook de jaarlijkse huurverhoging wordt vastgelegd. </w:t>
      </w:r>
      <w:r w:rsidR="009C7D0B">
        <w:t xml:space="preserve">Wanneer een huurder toch te maken krijgt met een excessieve huurstijging, dan kan deze naar de Nederlandse Mededingingsautoriteit stappen. Zij bestrijden misbruik van economische machtsposities. </w:t>
      </w:r>
    </w:p>
    <w:p w:rsidR="00B34FAE" w:rsidRDefault="001A13A2" w:rsidP="009C4B5B">
      <w:pPr>
        <w:spacing w:line="360" w:lineRule="auto"/>
      </w:pPr>
      <w:r>
        <w:t xml:space="preserve">Het huidige beleid kent gemiddeld hogere subsidies voor huurwoningen dan voor koopwoningen. Respectievelijk 50 procent van de marktconforme huur en 25 procent van de huurwaarde (gebaseerd </w:t>
      </w:r>
      <w:r>
        <w:lastRenderedPageBreak/>
        <w:t>op cijfers uit 2005).</w:t>
      </w:r>
      <w:r>
        <w:rPr>
          <w:rStyle w:val="Voetnootmarkering"/>
        </w:rPr>
        <w:footnoteReference w:id="32"/>
      </w:r>
      <w:r>
        <w:t xml:space="preserve"> In alle scenario’s heeft het Centraal Planbureau gekozen voor een aanpak waarbij eigenwoningbezitters en huurders gelijk worden behandeld. Een fiscale subsidie voor eigenwoningbezitters die uitgedrukt wordt als percentage van de huurwaarde van de eigen woning, zal gepaard moeten gaan met een woonsubsidie voor huurders die hetzelfde percentage van de huur bedraagt. </w:t>
      </w:r>
      <w:r w:rsidR="00E12C80">
        <w:t>D</w:t>
      </w:r>
      <w:r w:rsidR="00E71F04">
        <w:t>it uitgangspunt</w:t>
      </w:r>
      <w:r w:rsidR="00E12C80">
        <w:t xml:space="preserve"> impliceert dat een bewoner, ongeacht of hij eigenaar of huurder is, voor een woning van een bepaalde kwaliteit met dezelfde netto woonlasten wordt geconfronteerd. Doordat huurders in de huidige situatie relatief meer gesubsidieerd worden dan eigenwoningbezitters, zullen de woonlasten van huurders na hervorming relatief meer moeten stijgen dan eigenwoningbezitters om deze eigendomsneutraliteit te bereiken. </w:t>
      </w:r>
      <w:r w:rsidR="00B34FAE">
        <w:t>Deze hervorming valt te betwisten. Allereerst zijn h</w:t>
      </w:r>
      <w:r w:rsidR="00E12C80">
        <w:t>uurder</w:t>
      </w:r>
      <w:r w:rsidR="00B34FAE">
        <w:t xml:space="preserve">s </w:t>
      </w:r>
      <w:r w:rsidR="00E12C80">
        <w:t xml:space="preserve">vooral in de onderste inkomensdecielen vertegenwoordigd, dus werkt </w:t>
      </w:r>
      <w:r w:rsidR="00B34FAE">
        <w:t xml:space="preserve">deze hervorming sterk denivellerend. Daarnaast worden de vermeende positieve effecten van het eigenwoningbezit, die jarenlang een taboe hebben gelegd op de hypotheekrenteaftrek, middels deze hervorming in één keer overboord gegooid. </w:t>
      </w:r>
    </w:p>
    <w:p w:rsidR="002A4001" w:rsidRDefault="00C209AC" w:rsidP="0084300D">
      <w:pPr>
        <w:spacing w:line="360" w:lineRule="auto"/>
      </w:pPr>
      <w:r>
        <w:t>Een andere gemeensc</w:t>
      </w:r>
      <w:r w:rsidR="00E71F04">
        <w:t>happelijk uitgangspunt</w:t>
      </w:r>
      <w:r>
        <w:t xml:space="preserve"> is dat in ieder scenario de huurtoeslag wordt afgeschaft. Hiervoor komt een woontoeslag in de plaats waar zowel huurders als eigenwoningbezitters </w:t>
      </w:r>
      <w:r w:rsidR="00CE2E47">
        <w:t xml:space="preserve">van </w:t>
      </w:r>
      <w:r>
        <w:t>kunnen profiteren. Deze toeslag is bedoeld voor huishoudens met een laag inkomen</w:t>
      </w:r>
      <w:r w:rsidR="00452A9E">
        <w:t xml:space="preserve">. </w:t>
      </w:r>
      <w:r w:rsidR="00CE2E47">
        <w:t xml:space="preserve">De hoogte van de toeslag </w:t>
      </w:r>
      <w:r w:rsidR="00452A9E">
        <w:t xml:space="preserve">hangt uitsluitend af van de hoogte van het inkomen en niet van de hoogte van de huur of hypothecaire lening. </w:t>
      </w:r>
      <w:r w:rsidR="00CE2E47">
        <w:t xml:space="preserve">Huishoudens worden hierdoor niet gestimuleerd om “duurder” te gaan wonen, zodat ze meer subsidie krijgen. </w:t>
      </w:r>
      <w:r w:rsidR="004571A5">
        <w:t xml:space="preserve">De 688.000 huishoudens die op dit moment scheefwonen komen niet meer in aanmerking voor een woontoeslag. Zij zullen aanzienlijk meer huur moeten gaan betalen. </w:t>
      </w:r>
      <w:r w:rsidR="00CE2E47">
        <w:t>Het CPB b</w:t>
      </w:r>
      <w:r w:rsidR="0084300D">
        <w:t xml:space="preserve">rengt in haar rapport niet naar voren hoe vaak en wanneer er getoetst wordt of een huishouden </w:t>
      </w:r>
      <w:r w:rsidR="004571A5">
        <w:t xml:space="preserve">(nog) </w:t>
      </w:r>
      <w:r w:rsidR="0084300D">
        <w:t xml:space="preserve">recht heeft op woontoeslag. </w:t>
      </w:r>
      <w:r w:rsidR="004571A5">
        <w:t xml:space="preserve">Om in de toekomst scheefwonen te verkomen zal er jaarlijks gecontroleerd moeten worden op een eventuele inkomensgroei. </w:t>
      </w:r>
    </w:p>
    <w:p w:rsidR="00236216" w:rsidRDefault="00E71F04" w:rsidP="0084300D">
      <w:pPr>
        <w:spacing w:line="360" w:lineRule="auto"/>
      </w:pPr>
      <w:r>
        <w:t xml:space="preserve">De overheid maakt tevens in ieder scenario een einde aan de overdrachtsbelasting. Het huidige belastingtarief van 6 procent van de koopsom wordt verlaagd naar 0 procent. De rem op de verhuis- en baanmobiliteit die het resultaat is van de fiscale regelingen van de eigen woning, zal hierdoor verdwijnen. </w:t>
      </w:r>
    </w:p>
    <w:p w:rsidR="00236216" w:rsidRDefault="002A4001" w:rsidP="00236216">
      <w:pPr>
        <w:spacing w:line="360" w:lineRule="auto"/>
      </w:pPr>
      <w:r>
        <w:t>De woningcorporaties zullen hun inkomsten z</w:t>
      </w:r>
      <w:r w:rsidR="00236216">
        <w:t>ien stijgen als gevolg van de beleidshervormingen.</w:t>
      </w:r>
      <w:r>
        <w:t xml:space="preserve"> </w:t>
      </w:r>
      <w:r w:rsidR="00236216">
        <w:t>De</w:t>
      </w:r>
      <w:r w:rsidR="00393792">
        <w:t xml:space="preserve"> </w:t>
      </w:r>
      <w:r>
        <w:t xml:space="preserve">huurprijzen zullen stijgen naar een marktconforme huurprijs. </w:t>
      </w:r>
      <w:r w:rsidR="003B0E3B">
        <w:t>Het CPB veronderstelt dan ook</w:t>
      </w:r>
      <w:r>
        <w:t xml:space="preserve"> dat de woningcorporaties hun extra inkomsten beschikbaar stellen voor de financiering van het nieuwe woonbeleid. </w:t>
      </w:r>
      <w:r w:rsidR="00236216">
        <w:t xml:space="preserve">Het geld blijft op deze manier binnen het beleidsterrein volkshuisvesting waar de </w:t>
      </w:r>
      <w:r w:rsidR="00236216">
        <w:lastRenderedPageBreak/>
        <w:t xml:space="preserve">corporaties uitsluitend actief mogen zijn. Om deze veronderstelling in de praktijk tot uitdrukking te laten komen zal er meer toezicht moeten worden gehouden op de huidige woningcorporaties in Nederland. </w:t>
      </w:r>
    </w:p>
    <w:p w:rsidR="00C67738" w:rsidRDefault="00CC364A" w:rsidP="0084300D">
      <w:pPr>
        <w:spacing w:line="360" w:lineRule="auto"/>
      </w:pPr>
      <w:r>
        <w:rPr>
          <w:i/>
        </w:rPr>
        <w:t>8</w:t>
      </w:r>
      <w:r w:rsidR="006C0796">
        <w:rPr>
          <w:i/>
        </w:rPr>
        <w:t xml:space="preserve">.2 </w:t>
      </w:r>
      <w:r w:rsidR="00C67738">
        <w:rPr>
          <w:i/>
        </w:rPr>
        <w:t>Drie beleidsscenario’s</w:t>
      </w:r>
      <w:r w:rsidR="00A74B0F">
        <w:rPr>
          <w:i/>
        </w:rPr>
        <w:br/>
      </w:r>
      <w:r w:rsidR="00C67738">
        <w:t xml:space="preserve">De hiervoor genoemde uitgangspunten worden in ieder scenario toegepast. De huurprijsregulering en de huurtoeslag wordt afgeschaft en daarmee verdwijnen de huidige expliciete en impliciete subsidies voor huurwoningen. De huurwoningmarkt wordt geliberaliseerd, zodat alle huurders een marktconforme huur betalen. </w:t>
      </w:r>
    </w:p>
    <w:p w:rsidR="00747218" w:rsidRDefault="00747218" w:rsidP="0084300D">
      <w:pPr>
        <w:spacing w:line="360" w:lineRule="auto"/>
      </w:pPr>
      <w:r>
        <w:t xml:space="preserve">In de drie scenario’s wordt de eigen woning, net als andere vormen van particulier vermogen, behandeld in box 3 van de loon- en inkomstenbelasting. De hypotheekrenteaftrek wordt op deze manier afgeschaft en ook zijn eigenwoningbezitters geen eigenwoningforfait meer verschuldigd. De waarde van de eigen woning zal in het vervolg moeten worden aangegeven in box 3 en de hypotheekschuld mag van de vermogenscomponenten in box 3 worden afgetrokken. De vermogensrendementsheffing bestaat dan uit een forfaitair rendement van 4 procent waarover 30 procent belasting moet worden betaald. Per saldo is dit 1,2 procent belasting over de vermogenscomponenten. </w:t>
      </w:r>
    </w:p>
    <w:p w:rsidR="001F07AD" w:rsidRDefault="00747218" w:rsidP="005E2A72">
      <w:pPr>
        <w:spacing w:line="360" w:lineRule="auto"/>
      </w:pPr>
      <w:r>
        <w:t xml:space="preserve">De drie beleidsscenario’s van het CPB verschillen in de mate waarop de fiscale subsidies voor koopwoningen worden afgeschaft. In scenario A verdwijnen de fiscale subsidies op den duur geheel. Er bestaat geen fiscale arbitrage meer tussen verschillende vormen van vermogen, omdat men over iedere vorm 1,2 procent belasting is verschuldigd. Voor eigenwoningbezitters maakt het belastingtechnisch niet meer uit of de eigen woning met eigen of vreemd vermogen is gefinancierd. Scenario A wordt daarom ook “fiscaal neutraal” </w:t>
      </w:r>
      <w:r w:rsidR="00393792">
        <w:t xml:space="preserve">genoemd. </w:t>
      </w:r>
    </w:p>
    <w:p w:rsidR="005E7FB9" w:rsidRDefault="001F07AD" w:rsidP="005E2A72">
      <w:pPr>
        <w:spacing w:line="360" w:lineRule="auto"/>
      </w:pPr>
      <w:r>
        <w:t xml:space="preserve">In scenario B kunnen eigenwoningbezitters nog enigszins profiteren van een fiscale subsidie. Zij hebben recht op een vrijstelling van maximaal 300 duizend euro (prijspeil 2005) van de waarde van de eigen woning die in box 3 aangegeven moet worden. </w:t>
      </w:r>
      <w:r w:rsidR="005E2A72">
        <w:t>Indien een negatief bedrag voor de te betalen vermogensrendementsheffing resulteert, dan wordt dit niet door de belasting</w:t>
      </w:r>
      <w:r>
        <w:t>dienst uitbetaald.</w:t>
      </w:r>
      <w:r w:rsidR="005E2A72">
        <w:t xml:space="preserve"> Doordat het CPB eigendomsneutraliteit als uitgangspunt heeft, zullen huurwoningen met een WOZ-waarde tot 300 duizend euro een subsidie van 1,2 procent van de WOZ-waarde bewerkstelligen. Voor duurdere woningen bedraagt de subsidie </w:t>
      </w:r>
      <w:r>
        <w:t xml:space="preserve">maximaal </w:t>
      </w:r>
      <w:r w:rsidR="005E2A72">
        <w:t>3,6 duizend euro.</w:t>
      </w:r>
      <w:r w:rsidR="005E2A72">
        <w:rPr>
          <w:rStyle w:val="Voetnootmarkering"/>
        </w:rPr>
        <w:footnoteReference w:id="33"/>
      </w:r>
    </w:p>
    <w:p w:rsidR="00556DAC" w:rsidRDefault="001F07AD" w:rsidP="005E2A72">
      <w:pPr>
        <w:spacing w:line="360" w:lineRule="auto"/>
      </w:pPr>
      <w:r>
        <w:t xml:space="preserve">In het derde scenario hoeven eigenwoningbezitters slechts 44 procent van de waarde van hun woning aan te geven in box 3. Iedere eigenaar kan profiteren van een vrijstelling van 56 procent </w:t>
      </w:r>
      <w:r>
        <w:lastRenderedPageBreak/>
        <w:t xml:space="preserve">ongeacht de waarde van de woning. </w:t>
      </w:r>
      <w:r w:rsidR="00556DAC">
        <w:t xml:space="preserve">Wat de fiscale subsidiëring van de eigen </w:t>
      </w:r>
      <w:r>
        <w:t>woning betreft, neemt scenario C</w:t>
      </w:r>
      <w:r w:rsidR="00556DAC">
        <w:t xml:space="preserve"> een middenpositie in tussen de twee voorgaande scenario’s. De huursector zal ook moeten worden gesubsidieerd om eigendomsneutraliteit te bereiken. </w:t>
      </w:r>
    </w:p>
    <w:p w:rsidR="001F07AD" w:rsidRDefault="001F07AD" w:rsidP="001F07AD">
      <w:pPr>
        <w:spacing w:line="360" w:lineRule="auto"/>
      </w:pPr>
      <w:r>
        <w:t xml:space="preserve">De voorgaande veranderingen van het woonbeleid leveren alle consumenten op de woningmarkt een financieel nadeel op. De overheid zal daarom ook een compenserende lastenverlichting doorvoeren. De afschaffing van de overdrachtsbelasting van 2,9 miljard valt </w:t>
      </w:r>
      <w:r w:rsidR="00511E3E">
        <w:t xml:space="preserve">hier in ieder scenario </w:t>
      </w:r>
      <w:r>
        <w:t xml:space="preserve">onder. </w:t>
      </w:r>
      <w:r w:rsidR="00D15FA4">
        <w:t xml:space="preserve">Van deze verlichting is alleen sprake bij het kopen van een eigen woning. </w:t>
      </w:r>
      <w:r>
        <w:t>Het resterende deel wat aangewend kan worden voor een lastenverlichting wordt gedaan door middel van een verlaging van de loon- en i</w:t>
      </w:r>
      <w:r w:rsidR="00511E3E">
        <w:t>nkomstenbelasting. Dit bedrag is voor scenario A het hoogst, aangezien de overheid in dit scenario het meest bezuinig</w:t>
      </w:r>
      <w:r w:rsidR="00393792">
        <w:t>t</w:t>
      </w:r>
      <w:r w:rsidR="00511E3E">
        <w:t xml:space="preserve"> op de fiscale subsidies voor koopwoningen. Voor scenario B is dit bedrag het </w:t>
      </w:r>
      <w:r w:rsidR="00393792">
        <w:t xml:space="preserve">laagst. </w:t>
      </w:r>
    </w:p>
    <w:p w:rsidR="00511E3E" w:rsidRDefault="00511E3E" w:rsidP="00511E3E">
      <w:pPr>
        <w:spacing w:line="360" w:lineRule="auto"/>
      </w:pPr>
      <w:r>
        <w:t>De beleidsscenario’s verschillen naast de vormgeving van de eigen woning ook in de vormgeving van de</w:t>
      </w:r>
      <w:r w:rsidR="00873AD2">
        <w:t xml:space="preserve"> woontoeslag</w:t>
      </w:r>
      <w:r>
        <w:t xml:space="preserve"> </w:t>
      </w:r>
      <w:r w:rsidR="00873AD2">
        <w:t xml:space="preserve">waar zowel eigenwoningbezitters als huurders voor in aanmerking kunnen komen. </w:t>
      </w:r>
      <w:r>
        <w:t>In scenario A ontvangen huishoudens met een jaarinkomen tot 14 duizend euro jaarlijks een vast bedrag van 3 duizend euro aan toeslag. Boven deze inkomensgrens wordt de toeslag van 3 duizend euro lineair afgebouwd tot 0 euro bij een huishoudinkomen van 36 duizend euro. Huishoudens met een jaarinkomen hoger dan 36 duizend euro ontvangen geen toeslag. De vormgeving van de woontoeslag in scenario B en C verschillen nauwelijks van scenario A, dus dit wordt verder buiten beschouwing gelaten.</w:t>
      </w:r>
    </w:p>
    <w:p w:rsidR="0084088A" w:rsidRDefault="00CC364A" w:rsidP="0084088A">
      <w:pPr>
        <w:spacing w:line="360" w:lineRule="auto"/>
      </w:pPr>
      <w:r>
        <w:rPr>
          <w:i/>
        </w:rPr>
        <w:t>8.3</w:t>
      </w:r>
      <w:r w:rsidR="0084088A" w:rsidRPr="003B0E3B">
        <w:rPr>
          <w:i/>
        </w:rPr>
        <w:t xml:space="preserve"> Woningmarkteffecten</w:t>
      </w:r>
      <w:r w:rsidR="0084088A">
        <w:br/>
        <w:t xml:space="preserve">De hervormingen op de huurmarkt zijn anders van karakter dan op de koopmarkt. Op de huurmarkt wordt de huurprijsregulering afgeschaft, waardoor er een restrictief plafond op de huurprijs wordt weggenomen. De netto en bruto prijzen van huurwoningen zullen omhoog gaan, wat een verhoging van het aanbod en een verlaging van de vraag naar huurwoningen betekent. In de huidige situatie kan niet alle vraag met de bestaande voorraad woningen worden vervuld, dus zal er uiteindelijk een stijging van het consumptievolume optreden. </w:t>
      </w:r>
    </w:p>
    <w:p w:rsidR="008B0854" w:rsidRDefault="0084088A" w:rsidP="0084088A">
      <w:pPr>
        <w:spacing w:line="360" w:lineRule="auto"/>
      </w:pPr>
      <w:r>
        <w:t xml:space="preserve">In de koopsector worden de verstorende impliciete subsidies hervormd, zodat ze lager worden of zelfs helemaal worden afgeschaft. De nettoprijs, het bedrag wat de bewoner moet betalen, zal stijgen. Zij kunnen immers niet meer </w:t>
      </w:r>
      <w:r w:rsidR="00AA3AD7">
        <w:t xml:space="preserve">of in mindere mate </w:t>
      </w:r>
      <w:r>
        <w:t xml:space="preserve">profiteren van een fiscale subsidie. De vraag naar koopwoningen zal afnemen. </w:t>
      </w:r>
      <w:r w:rsidR="00AA3AD7">
        <w:t xml:space="preserve">Hier staan weliswaar gunstige effecten op deze vraag tegenover als gevolg van de compenserende lastenverlichting en de woontoeslag. Per saldo zal de vraag naar koopwoningen, volgens het CPB, afnemen. </w:t>
      </w:r>
    </w:p>
    <w:p w:rsidR="0084088A" w:rsidRDefault="0084088A" w:rsidP="0084088A">
      <w:pPr>
        <w:spacing w:line="360" w:lineRule="auto"/>
      </w:pPr>
      <w:r>
        <w:lastRenderedPageBreak/>
        <w:t xml:space="preserve">Het aanbod van koopwoningen reageert onvoldoende op de vraag. De verklaring hiervoor is de lage aanbodelasticiteit wat resulteert in een al eerder beschreven ondoelmatigheid op de woningmarkt. De stijgende vraag naar koopwoningen van de afgelopen jaren leidde namelijk nauwelijks tot een verruiming van het aantal woningen, maar alleen tot fors stijgende koopprijzen. Het aanbod van koopwoningen zal dus, na hervorming van de koopmarkt, ook nauwelijks reageren op een verlaging van de vraag. Het zal vooral tot uitdrukking komen in een forse daling van koopprijzen. In de onderstaande tabel staat voor ieder scenario met hoeveel procent het prijspeil van koopwoningen daalt ten opzicht van het prijspeil in 2005. Vanzelfsprekend is de daling in scenario 1 het hoogst, omdat in dit scenario de fiscale subsidies van koopwoningen volledig worden afgeschaft. De daling in scenario 2 is het laagst, want hier worden de fiscale subsidies het meest intact gelaten. </w:t>
      </w:r>
    </w:p>
    <w:p w:rsidR="00AA3AD7" w:rsidRPr="00AA3AD7" w:rsidRDefault="00CC364A" w:rsidP="00CC364A">
      <w:pPr>
        <w:spacing w:line="360" w:lineRule="auto"/>
        <w:outlineLvl w:val="0"/>
        <w:rPr>
          <w:i/>
        </w:rPr>
      </w:pPr>
      <w:r>
        <w:rPr>
          <w:i/>
        </w:rPr>
        <w:t>Tabel 8</w:t>
      </w:r>
      <w:r w:rsidR="00AA3AD7">
        <w:rPr>
          <w:i/>
        </w:rPr>
        <w:t>.1: Effect van de hervorming</w:t>
      </w:r>
      <w:r w:rsidR="00D45171">
        <w:rPr>
          <w:i/>
        </w:rPr>
        <w:t>en</w:t>
      </w:r>
      <w:r w:rsidR="00AA3AD7">
        <w:rPr>
          <w:i/>
        </w:rPr>
        <w:t xml:space="preserve"> op het prijspeil van koopwoningen</w:t>
      </w:r>
    </w:p>
    <w:tbl>
      <w:tblPr>
        <w:tblStyle w:val="Lichtearcering-accent11"/>
        <w:tblW w:w="0" w:type="auto"/>
        <w:tblLook w:val="04A0"/>
      </w:tblPr>
      <w:tblGrid>
        <w:gridCol w:w="4606"/>
        <w:gridCol w:w="4606"/>
      </w:tblGrid>
      <w:tr w:rsidR="0084088A" w:rsidTr="00D45171">
        <w:trPr>
          <w:cnfStyle w:val="100000000000"/>
        </w:trPr>
        <w:tc>
          <w:tcPr>
            <w:cnfStyle w:val="001000000000"/>
            <w:tcW w:w="4606" w:type="dxa"/>
          </w:tcPr>
          <w:p w:rsidR="0084088A" w:rsidRDefault="00AA3AD7" w:rsidP="0084088A">
            <w:pPr>
              <w:spacing w:line="360" w:lineRule="auto"/>
            </w:pPr>
            <w:r>
              <w:t>Scenario</w:t>
            </w:r>
          </w:p>
        </w:tc>
        <w:tc>
          <w:tcPr>
            <w:tcW w:w="4606" w:type="dxa"/>
          </w:tcPr>
          <w:p w:rsidR="0084088A" w:rsidRDefault="00D45171" w:rsidP="0084088A">
            <w:pPr>
              <w:spacing w:line="360" w:lineRule="auto"/>
              <w:cnfStyle w:val="100000000000"/>
            </w:pPr>
            <w:r>
              <w:t>Prijspeil</w:t>
            </w:r>
            <w:r w:rsidR="0084088A">
              <w:t xml:space="preserve"> koopwoning in procenten (t.o.v. prijspeil 2005)</w:t>
            </w:r>
          </w:p>
        </w:tc>
      </w:tr>
      <w:tr w:rsidR="0084088A" w:rsidTr="00D45171">
        <w:trPr>
          <w:cnfStyle w:val="000000100000"/>
        </w:trPr>
        <w:tc>
          <w:tcPr>
            <w:cnfStyle w:val="001000000000"/>
            <w:tcW w:w="4606" w:type="dxa"/>
          </w:tcPr>
          <w:p w:rsidR="0084088A" w:rsidRDefault="00E22A5F" w:rsidP="0084088A">
            <w:pPr>
              <w:spacing w:line="360" w:lineRule="auto"/>
            </w:pPr>
            <w:r>
              <w:t>A</w:t>
            </w:r>
            <w:r w:rsidR="0084088A">
              <w:t>: Fiscaal neutraal</w:t>
            </w:r>
          </w:p>
        </w:tc>
        <w:tc>
          <w:tcPr>
            <w:tcW w:w="4606" w:type="dxa"/>
          </w:tcPr>
          <w:p w:rsidR="0084088A" w:rsidRDefault="0084088A" w:rsidP="0084088A">
            <w:pPr>
              <w:spacing w:line="360" w:lineRule="auto"/>
              <w:cnfStyle w:val="000000100000"/>
            </w:pPr>
            <w:r>
              <w:t xml:space="preserve">-17, 6 </w:t>
            </w:r>
          </w:p>
        </w:tc>
      </w:tr>
      <w:tr w:rsidR="0084088A" w:rsidTr="00D45171">
        <w:tc>
          <w:tcPr>
            <w:cnfStyle w:val="001000000000"/>
            <w:tcW w:w="4606" w:type="dxa"/>
          </w:tcPr>
          <w:p w:rsidR="0084088A" w:rsidRDefault="00E22A5F" w:rsidP="0084088A">
            <w:pPr>
              <w:spacing w:line="360" w:lineRule="auto"/>
            </w:pPr>
            <w:r>
              <w:t>B</w:t>
            </w:r>
            <w:r w:rsidR="0084088A">
              <w:t>: Maximumvrijstelling</w:t>
            </w:r>
          </w:p>
        </w:tc>
        <w:tc>
          <w:tcPr>
            <w:tcW w:w="4606" w:type="dxa"/>
          </w:tcPr>
          <w:p w:rsidR="0084088A" w:rsidRDefault="0084088A" w:rsidP="0084088A">
            <w:pPr>
              <w:spacing w:line="360" w:lineRule="auto"/>
              <w:cnfStyle w:val="000000000000"/>
            </w:pPr>
            <w:r>
              <w:t>-10,2</w:t>
            </w:r>
          </w:p>
        </w:tc>
      </w:tr>
      <w:tr w:rsidR="0084088A" w:rsidTr="00D45171">
        <w:trPr>
          <w:cnfStyle w:val="000000100000"/>
        </w:trPr>
        <w:tc>
          <w:tcPr>
            <w:cnfStyle w:val="001000000000"/>
            <w:tcW w:w="4606" w:type="dxa"/>
          </w:tcPr>
          <w:p w:rsidR="0084088A" w:rsidRDefault="00E22A5F" w:rsidP="0084088A">
            <w:pPr>
              <w:spacing w:line="360" w:lineRule="auto"/>
            </w:pPr>
            <w:r>
              <w:t>C</w:t>
            </w:r>
            <w:r w:rsidR="0084088A">
              <w:t>: Proportionele vrijstelling</w:t>
            </w:r>
          </w:p>
        </w:tc>
        <w:tc>
          <w:tcPr>
            <w:tcW w:w="4606" w:type="dxa"/>
          </w:tcPr>
          <w:p w:rsidR="0084088A" w:rsidRDefault="0084088A" w:rsidP="0084088A">
            <w:pPr>
              <w:spacing w:line="360" w:lineRule="auto"/>
              <w:cnfStyle w:val="000000100000"/>
            </w:pPr>
            <w:r>
              <w:t>-13,8</w:t>
            </w:r>
          </w:p>
        </w:tc>
      </w:tr>
    </w:tbl>
    <w:p w:rsidR="0084088A" w:rsidRDefault="00873AD2" w:rsidP="002F75C1">
      <w:pPr>
        <w:spacing w:line="360" w:lineRule="auto"/>
      </w:pPr>
      <w:r>
        <w:br/>
      </w:r>
      <w:r w:rsidR="003E0BB3">
        <w:t>De prijsdaling van koopwoningen heeft natuurlijk vooral zijn effect op de huishoudens die al in het bezit zijn van een eigen woning. Zij realiseren daarmee een</w:t>
      </w:r>
      <w:r w:rsidR="00E37070">
        <w:t xml:space="preserve"> groot</w:t>
      </w:r>
      <w:r w:rsidR="003E0BB3">
        <w:t xml:space="preserve"> vermogensverlies. De overwaarde van de eigen woning zal afnemen en kan zelfs negatief worden. Veel eigenwoningbezitters kunnen in betalingsproblemen komen, doordat zij zich hebben blootgesteld aan een groot vermogensrisico door een hoge loan-to-value ratio aan te houden. </w:t>
      </w:r>
      <w:r w:rsidR="002F75C1">
        <w:t xml:space="preserve">De huidige fiscale behandeling van de eigen woning stimuleert het in stand houden van de hypothecaire lening. Aflossing is niet aantrekkelijk, want dan lopen eigenwoningbezitters het voordeel van de hypotheekrenteaftrek mis. </w:t>
      </w:r>
      <w:r w:rsidR="00E37070">
        <w:t xml:space="preserve">In de drie beleidsscenario’s wordt de fiscale behandeling van de eigen woning naar box 3 verplaatst. Hierdoor kan geen fiscale arbitrage meer plaatsvinden tussen verschillende vormen van vermogen. Over iedere vermogensvorm is men de vermogensrendementsheffing van 1,2 procent verschuldigd. </w:t>
      </w:r>
      <w:r w:rsidR="006E2E81">
        <w:t>Eigenwoningbezitters zijn indifferent tussen het aanhouden van vermogen in de vorm van spaargeld of het aanhouden van een hypotheekschuld. Zij zullen n</w:t>
      </w:r>
      <w:r w:rsidR="00E37070">
        <w:t xml:space="preserve">a </w:t>
      </w:r>
      <w:r w:rsidR="006E2E81">
        <w:t xml:space="preserve">de </w:t>
      </w:r>
      <w:r w:rsidR="00E37070">
        <w:t>hervorming</w:t>
      </w:r>
      <w:r w:rsidR="006E2E81">
        <w:t>en</w:t>
      </w:r>
      <w:r w:rsidR="00E37070">
        <w:t xml:space="preserve"> </w:t>
      </w:r>
      <w:r w:rsidR="00E22A5F">
        <w:t xml:space="preserve">dus </w:t>
      </w:r>
      <w:r w:rsidR="00E37070">
        <w:t xml:space="preserve">meer de neiging hebben om hun hypothecaire lening af te lossen om zo hun vermogensrisico te beperken. Zij kunnen immers niet meer profiteren van de hypotheekrenteaftrek. </w:t>
      </w:r>
      <w:r w:rsidR="00BB2BB7">
        <w:t>De scenario’s van het CPB zijn in dat opzicht een goede hervorming.</w:t>
      </w:r>
    </w:p>
    <w:p w:rsidR="00BB2BB7" w:rsidRDefault="00BB2BB7" w:rsidP="002F75C1">
      <w:pPr>
        <w:spacing w:line="360" w:lineRule="auto"/>
      </w:pPr>
      <w:r>
        <w:lastRenderedPageBreak/>
        <w:t xml:space="preserve">Huishoudens die na de hervorming een eigen woning aanschaffen profiteren van een daling van de huizenprijzen. </w:t>
      </w:r>
      <w:r w:rsidR="00F315BF">
        <w:t xml:space="preserve">Zij hoeven zodanig een lagere hypothecaire lening af te sluiten of kunnen een duurdere woning veroorloven. Daar staat tegenover dat ook nieuwe eigenwoningbezitters niet meer kunnen profiteren van de hypotheekrenteaftrek. </w:t>
      </w:r>
      <w:r w:rsidR="007918EB">
        <w:t>Deze fiscale maatregel heeft</w:t>
      </w:r>
      <w:r w:rsidR="00E22A5F">
        <w:t xml:space="preserve"> de afgelopen jaren </w:t>
      </w:r>
      <w:r w:rsidR="007918EB">
        <w:t xml:space="preserve">juist een bijdrage geleverd aan de opstuwing van de huizenprijzen. Per saldo is het moeilijk om een uitspraak te doen of nieuwe eigenwoningbezitters </w:t>
      </w:r>
      <w:r w:rsidR="00E22A5F">
        <w:t>“</w:t>
      </w:r>
      <w:r w:rsidR="007918EB">
        <w:t>beter</w:t>
      </w:r>
      <w:r w:rsidR="00E22A5F">
        <w:t>”</w:t>
      </w:r>
      <w:r w:rsidR="007918EB">
        <w:t xml:space="preserve"> af zullen zijn dan voor de hervorming. </w:t>
      </w:r>
    </w:p>
    <w:p w:rsidR="00D45171" w:rsidRDefault="00D45171" w:rsidP="002F75C1">
      <w:pPr>
        <w:spacing w:line="360" w:lineRule="auto"/>
      </w:pPr>
      <w:r>
        <w:t>De netto prijs van een woningdienst is het gewogen gemiddelde van de netto prijzen van een koopwoningdienst en van een huurwoningdienst. Zoals eerder beschreven, heeft de afname van subsidies voor koopwoningen een verhogend effect op de netto prijs van een koopwoningdienst. Hier staat een algemene daling van de huizenprijzen tegenover als gevolg van de beleidshervormingen. Het vervallen van de expliciete en impliciete subsidies voor huurwoningen leidt tot een hogere netto prijs voor huurwoningdiensten.</w:t>
      </w:r>
      <w:r w:rsidR="00A227F4">
        <w:t xml:space="preserve"> De netto prijs van een woningdienst stijgt in</w:t>
      </w:r>
      <w:r w:rsidR="00CC364A">
        <w:t xml:space="preserve"> alle beleidsscenario’s (tabel 8</w:t>
      </w:r>
      <w:r w:rsidR="00A227F4">
        <w:t xml:space="preserve">.2). Dat de netto prijs van een woningdienst in scenario 1 het meest stijgt en in scenario 2 het minst, valt weer te verklaren door de mate waarin de fiscale subsidies voor koopwoningen zijn afgeschaft. </w:t>
      </w:r>
    </w:p>
    <w:p w:rsidR="00D45171" w:rsidRPr="00D45171" w:rsidRDefault="00D45171" w:rsidP="00CC364A">
      <w:pPr>
        <w:spacing w:line="360" w:lineRule="auto"/>
        <w:outlineLvl w:val="0"/>
        <w:rPr>
          <w:i/>
        </w:rPr>
      </w:pPr>
      <w:r>
        <w:rPr>
          <w:i/>
        </w:rPr>
        <w:t xml:space="preserve">Tabel </w:t>
      </w:r>
      <w:r w:rsidR="00CC364A">
        <w:rPr>
          <w:i/>
        </w:rPr>
        <w:t>8</w:t>
      </w:r>
      <w:r>
        <w:rPr>
          <w:i/>
        </w:rPr>
        <w:t>.2: Effect van de hervormingen op de netto prijs van een woningdienst</w:t>
      </w:r>
    </w:p>
    <w:tbl>
      <w:tblPr>
        <w:tblStyle w:val="Lichtearcering-accent11"/>
        <w:tblW w:w="0" w:type="auto"/>
        <w:tblLook w:val="04A0"/>
      </w:tblPr>
      <w:tblGrid>
        <w:gridCol w:w="4606"/>
        <w:gridCol w:w="4606"/>
      </w:tblGrid>
      <w:tr w:rsidR="00D45171" w:rsidTr="00D45171">
        <w:trPr>
          <w:cnfStyle w:val="100000000000"/>
        </w:trPr>
        <w:tc>
          <w:tcPr>
            <w:cnfStyle w:val="001000000000"/>
            <w:tcW w:w="4606" w:type="dxa"/>
          </w:tcPr>
          <w:p w:rsidR="00D45171" w:rsidRDefault="00D45171" w:rsidP="002F75C1">
            <w:pPr>
              <w:spacing w:line="360" w:lineRule="auto"/>
            </w:pPr>
            <w:r>
              <w:t>Scenario</w:t>
            </w:r>
          </w:p>
        </w:tc>
        <w:tc>
          <w:tcPr>
            <w:tcW w:w="4606" w:type="dxa"/>
          </w:tcPr>
          <w:p w:rsidR="00D45171" w:rsidRDefault="00D45171" w:rsidP="002F75C1">
            <w:pPr>
              <w:spacing w:line="360" w:lineRule="auto"/>
              <w:cnfStyle w:val="100000000000"/>
            </w:pPr>
            <w:r>
              <w:t>Netto prijs woningdienst in procenten (t.o.v. prijspeil 2005)</w:t>
            </w:r>
          </w:p>
        </w:tc>
      </w:tr>
      <w:tr w:rsidR="00D45171" w:rsidTr="00D45171">
        <w:trPr>
          <w:cnfStyle w:val="000000100000"/>
        </w:trPr>
        <w:tc>
          <w:tcPr>
            <w:cnfStyle w:val="001000000000"/>
            <w:tcW w:w="4606" w:type="dxa"/>
          </w:tcPr>
          <w:p w:rsidR="00D45171" w:rsidRDefault="00E22A5F" w:rsidP="002F75C1">
            <w:pPr>
              <w:spacing w:line="360" w:lineRule="auto"/>
            </w:pPr>
            <w:r>
              <w:t>A: Fiscaal neutraal</w:t>
            </w:r>
          </w:p>
        </w:tc>
        <w:tc>
          <w:tcPr>
            <w:tcW w:w="4606" w:type="dxa"/>
          </w:tcPr>
          <w:p w:rsidR="00D45171" w:rsidRDefault="00D45171" w:rsidP="002F75C1">
            <w:pPr>
              <w:spacing w:line="360" w:lineRule="auto"/>
              <w:cnfStyle w:val="000000100000"/>
            </w:pPr>
            <w:r>
              <w:t>31,8</w:t>
            </w:r>
          </w:p>
        </w:tc>
      </w:tr>
      <w:tr w:rsidR="00D45171" w:rsidTr="00D45171">
        <w:tc>
          <w:tcPr>
            <w:cnfStyle w:val="001000000000"/>
            <w:tcW w:w="4606" w:type="dxa"/>
          </w:tcPr>
          <w:p w:rsidR="00D45171" w:rsidRDefault="00E22A5F" w:rsidP="002F75C1">
            <w:pPr>
              <w:spacing w:line="360" w:lineRule="auto"/>
            </w:pPr>
            <w:r>
              <w:t>B: Maximumvrijstelling</w:t>
            </w:r>
          </w:p>
        </w:tc>
        <w:tc>
          <w:tcPr>
            <w:tcW w:w="4606" w:type="dxa"/>
          </w:tcPr>
          <w:p w:rsidR="00D45171" w:rsidRDefault="00D45171" w:rsidP="002F75C1">
            <w:pPr>
              <w:spacing w:line="360" w:lineRule="auto"/>
              <w:cnfStyle w:val="000000000000"/>
            </w:pPr>
            <w:r>
              <w:t>12,1</w:t>
            </w:r>
          </w:p>
        </w:tc>
      </w:tr>
      <w:tr w:rsidR="00D45171" w:rsidTr="00D45171">
        <w:trPr>
          <w:cnfStyle w:val="000000100000"/>
        </w:trPr>
        <w:tc>
          <w:tcPr>
            <w:cnfStyle w:val="001000000000"/>
            <w:tcW w:w="4606" w:type="dxa"/>
          </w:tcPr>
          <w:p w:rsidR="00D45171" w:rsidRDefault="00E22A5F" w:rsidP="002F75C1">
            <w:pPr>
              <w:spacing w:line="360" w:lineRule="auto"/>
            </w:pPr>
            <w:r>
              <w:t>C: Proportionele vrijstelling</w:t>
            </w:r>
          </w:p>
        </w:tc>
        <w:tc>
          <w:tcPr>
            <w:tcW w:w="4606" w:type="dxa"/>
          </w:tcPr>
          <w:p w:rsidR="00D45171" w:rsidRDefault="00D45171" w:rsidP="002F75C1">
            <w:pPr>
              <w:spacing w:line="360" w:lineRule="auto"/>
              <w:cnfStyle w:val="000000100000"/>
            </w:pPr>
            <w:r>
              <w:t>20,2</w:t>
            </w:r>
          </w:p>
        </w:tc>
      </w:tr>
    </w:tbl>
    <w:p w:rsidR="00676D45" w:rsidRDefault="00D45171" w:rsidP="002F75C1">
      <w:pPr>
        <w:spacing w:line="360" w:lineRule="auto"/>
      </w:pPr>
      <w:r>
        <w:rPr>
          <w:i/>
        </w:rPr>
        <w:br/>
      </w:r>
      <w:r w:rsidR="00CC364A">
        <w:rPr>
          <w:i/>
        </w:rPr>
        <w:t>8</w:t>
      </w:r>
      <w:r w:rsidR="00676D45">
        <w:rPr>
          <w:i/>
        </w:rPr>
        <w:t>.</w:t>
      </w:r>
      <w:r w:rsidR="00CC364A">
        <w:rPr>
          <w:i/>
        </w:rPr>
        <w:t>4</w:t>
      </w:r>
      <w:r w:rsidR="00676D45">
        <w:rPr>
          <w:i/>
        </w:rPr>
        <w:t xml:space="preserve"> Koopkrachteffecten </w:t>
      </w:r>
      <w:r w:rsidR="00676D45">
        <w:rPr>
          <w:i/>
        </w:rPr>
        <w:br/>
      </w:r>
      <w:r w:rsidR="00AF3BF3">
        <w:t>Het CPB biedt in haar publicatie een inzicht in de effecten van de beleidshervormingen op de koopkracht van verscheidene groepen huishoudens. De koopkrachteffecten worden gemeten op basis van het besteedbaar inkomen na aftrek van de netto woonlasten bij een ongewijzigde woonconsumptie. Huishoudens veranderen hun consumptie</w:t>
      </w:r>
      <w:r>
        <w:t>volume</w:t>
      </w:r>
      <w:r w:rsidR="00AF3BF3">
        <w:t xml:space="preserve"> echter wel degelijk, maar dat wordt hier buiten beschouwing gelaten. </w:t>
      </w:r>
    </w:p>
    <w:p w:rsidR="008B0854" w:rsidRDefault="00D45171" w:rsidP="002F75C1">
      <w:pPr>
        <w:spacing w:line="360" w:lineRule="auto"/>
      </w:pPr>
      <w:r>
        <w:t xml:space="preserve">Bij een ongewijzigd consumptievolume nemen de netto woonlasten net zo sterk toe als de netto prijs van een woningdienst. </w:t>
      </w:r>
      <w:r w:rsidR="00463561">
        <w:t>Deze toename heeft een ongunstig effect op de koopkracht van alle inkomensdecielen. Het koopkrachtverlies is in ieder scenario het grootst v</w:t>
      </w:r>
      <w:r w:rsidR="00CC364A">
        <w:t>oor de laagste inkomensdecielen (tabel 8.3).</w:t>
      </w:r>
      <w:r w:rsidR="00463561">
        <w:t xml:space="preserve"> </w:t>
      </w:r>
      <w:r w:rsidR="00E22A5F">
        <w:t xml:space="preserve">In </w:t>
      </w:r>
      <w:r w:rsidR="00393792">
        <w:t xml:space="preserve">scenario </w:t>
      </w:r>
      <w:r w:rsidR="00E22A5F">
        <w:t>B en C worden de laagste inkomensdecie</w:t>
      </w:r>
      <w:r w:rsidR="009F6A87">
        <w:t xml:space="preserve">len relatief meer </w:t>
      </w:r>
      <w:r w:rsidR="009F6A87">
        <w:lastRenderedPageBreak/>
        <w:t xml:space="preserve">benadeeld ten opzicht van </w:t>
      </w:r>
      <w:r w:rsidR="00E22A5F">
        <w:t xml:space="preserve">de hoogste inkomensdecielen dan in scenario A. In scenario A zijn de koopkrachtverliezen tussen de inkomensdecielen namelijk minder groot. Men zou kunnen verwachten dat de koopkrachtverliezen tussen de inkomensdecielen van scenario B het minst groot zijn. Een verklaring hiervoor is dat in scenario B alleen huishoudens met een eigen woningwaarde tot 300 duizend euro profijt hebben van een fiscale subsidie. </w:t>
      </w:r>
      <w:r w:rsidR="009F6A87">
        <w:t xml:space="preserve">Alleen in scenario B hebben alleen huishoudens in de laagste inkomensdecielen nog profijt van een fiscale subsidie. </w:t>
      </w:r>
      <w:r w:rsidR="00E22A5F">
        <w:t>Toch heeft het laagste inkomensdeciel in scenario B een drie keer zo groot koopkrachtverli</w:t>
      </w:r>
      <w:r w:rsidR="00306FAD">
        <w:t>es dan het gemiddelde van alle huishoudens</w:t>
      </w:r>
      <w:r w:rsidR="00E22A5F">
        <w:t xml:space="preserve">. </w:t>
      </w:r>
      <w:r w:rsidR="009F6A87">
        <w:t xml:space="preserve">Terwijl dit voor scenario C maar 2,1 is en voor scenario A zelfs maar 1,6 is. </w:t>
      </w:r>
    </w:p>
    <w:p w:rsidR="009D0085" w:rsidRPr="009D0085" w:rsidRDefault="009D0085" w:rsidP="002F75C1">
      <w:pPr>
        <w:spacing w:line="360" w:lineRule="auto"/>
        <w:rPr>
          <w:i/>
        </w:rPr>
      </w:pPr>
      <w:r>
        <w:rPr>
          <w:i/>
        </w:rPr>
        <w:t xml:space="preserve">Tabel </w:t>
      </w:r>
      <w:r w:rsidR="00CC364A">
        <w:rPr>
          <w:i/>
        </w:rPr>
        <w:t>8</w:t>
      </w:r>
      <w:r>
        <w:rPr>
          <w:i/>
        </w:rPr>
        <w:t>.3:</w:t>
      </w:r>
      <w:r w:rsidR="009F6A87">
        <w:rPr>
          <w:i/>
        </w:rPr>
        <w:t xml:space="preserve"> Effect van de hervormingen op de netto prijs van woningdiensten</w:t>
      </w:r>
    </w:p>
    <w:tbl>
      <w:tblPr>
        <w:tblStyle w:val="Lichtearcering-accent11"/>
        <w:tblW w:w="0" w:type="auto"/>
        <w:tblLook w:val="04A0"/>
      </w:tblPr>
      <w:tblGrid>
        <w:gridCol w:w="2303"/>
        <w:gridCol w:w="2303"/>
        <w:gridCol w:w="2303"/>
        <w:gridCol w:w="2303"/>
      </w:tblGrid>
      <w:tr w:rsidR="00463561" w:rsidTr="009D0085">
        <w:trPr>
          <w:cnfStyle w:val="100000000000"/>
        </w:trPr>
        <w:tc>
          <w:tcPr>
            <w:cnfStyle w:val="001000000000"/>
            <w:tcW w:w="2303" w:type="dxa"/>
          </w:tcPr>
          <w:p w:rsidR="00463561" w:rsidRDefault="00463561" w:rsidP="002F75C1">
            <w:pPr>
              <w:spacing w:line="360" w:lineRule="auto"/>
            </w:pPr>
          </w:p>
        </w:tc>
        <w:tc>
          <w:tcPr>
            <w:tcW w:w="6909" w:type="dxa"/>
            <w:gridSpan w:val="3"/>
          </w:tcPr>
          <w:p w:rsidR="00463561" w:rsidRDefault="00463561" w:rsidP="002F75C1">
            <w:pPr>
              <w:spacing w:line="360" w:lineRule="auto"/>
              <w:cnfStyle w:val="100000000000"/>
            </w:pPr>
            <w:r>
              <w:t>Mutatie netto prijs woningdienst in dzd euro</w:t>
            </w:r>
            <w:r w:rsidR="00AE6986">
              <w:t xml:space="preserve"> (t.o.v. prijspeil 2005)</w:t>
            </w:r>
          </w:p>
        </w:tc>
      </w:tr>
      <w:tr w:rsidR="00463561" w:rsidTr="009D0085">
        <w:trPr>
          <w:cnfStyle w:val="000000100000"/>
        </w:trPr>
        <w:tc>
          <w:tcPr>
            <w:cnfStyle w:val="001000000000"/>
            <w:tcW w:w="2303" w:type="dxa"/>
          </w:tcPr>
          <w:p w:rsidR="00463561" w:rsidRDefault="00463561" w:rsidP="002F75C1">
            <w:pPr>
              <w:spacing w:line="360" w:lineRule="auto"/>
            </w:pPr>
            <w:r>
              <w:t>Inkomensdeciel</w:t>
            </w:r>
          </w:p>
        </w:tc>
        <w:tc>
          <w:tcPr>
            <w:tcW w:w="2303" w:type="dxa"/>
          </w:tcPr>
          <w:p w:rsidR="00463561" w:rsidRPr="009D0085" w:rsidRDefault="00463561" w:rsidP="002F75C1">
            <w:pPr>
              <w:spacing w:line="360" w:lineRule="auto"/>
              <w:cnfStyle w:val="000000100000"/>
              <w:rPr>
                <w:b/>
              </w:rPr>
            </w:pPr>
            <w:r w:rsidRPr="009D0085">
              <w:rPr>
                <w:b/>
              </w:rPr>
              <w:t xml:space="preserve">Scenario </w:t>
            </w:r>
            <w:r w:rsidR="00E22A5F">
              <w:rPr>
                <w:b/>
              </w:rPr>
              <w:t>A</w:t>
            </w:r>
          </w:p>
        </w:tc>
        <w:tc>
          <w:tcPr>
            <w:tcW w:w="2303" w:type="dxa"/>
          </w:tcPr>
          <w:p w:rsidR="00463561" w:rsidRPr="009D0085" w:rsidRDefault="00463561" w:rsidP="002F75C1">
            <w:pPr>
              <w:spacing w:line="360" w:lineRule="auto"/>
              <w:cnfStyle w:val="000000100000"/>
              <w:rPr>
                <w:b/>
              </w:rPr>
            </w:pPr>
            <w:r w:rsidRPr="009D0085">
              <w:rPr>
                <w:b/>
              </w:rPr>
              <w:t xml:space="preserve">Scenario </w:t>
            </w:r>
            <w:r w:rsidR="00E22A5F">
              <w:rPr>
                <w:b/>
              </w:rPr>
              <w:t>B</w:t>
            </w:r>
          </w:p>
        </w:tc>
        <w:tc>
          <w:tcPr>
            <w:tcW w:w="2303" w:type="dxa"/>
          </w:tcPr>
          <w:p w:rsidR="00463561" w:rsidRPr="009D0085" w:rsidRDefault="00463561" w:rsidP="002F75C1">
            <w:pPr>
              <w:spacing w:line="360" w:lineRule="auto"/>
              <w:cnfStyle w:val="000000100000"/>
              <w:rPr>
                <w:b/>
              </w:rPr>
            </w:pPr>
            <w:r w:rsidRPr="009D0085">
              <w:rPr>
                <w:b/>
              </w:rPr>
              <w:t xml:space="preserve">Scenario </w:t>
            </w:r>
            <w:r w:rsidR="00E22A5F">
              <w:rPr>
                <w:b/>
              </w:rPr>
              <w:t>C</w:t>
            </w:r>
          </w:p>
        </w:tc>
      </w:tr>
      <w:tr w:rsidR="00463561" w:rsidTr="009D0085">
        <w:tc>
          <w:tcPr>
            <w:cnfStyle w:val="001000000000"/>
            <w:tcW w:w="2303" w:type="dxa"/>
          </w:tcPr>
          <w:p w:rsidR="00463561" w:rsidRDefault="00F0724F" w:rsidP="00E22A5F">
            <w:pPr>
              <w:spacing w:line="360" w:lineRule="auto"/>
            </w:pPr>
            <w:r>
              <w:t>Alle huishoudens</w:t>
            </w:r>
          </w:p>
        </w:tc>
        <w:tc>
          <w:tcPr>
            <w:tcW w:w="2303" w:type="dxa"/>
          </w:tcPr>
          <w:p w:rsidR="00463561" w:rsidRDefault="00463561" w:rsidP="002F75C1">
            <w:pPr>
              <w:spacing w:line="360" w:lineRule="auto"/>
              <w:cnfStyle w:val="000000000000"/>
            </w:pPr>
            <w:r>
              <w:t>-2,6</w:t>
            </w:r>
          </w:p>
        </w:tc>
        <w:tc>
          <w:tcPr>
            <w:tcW w:w="2303" w:type="dxa"/>
          </w:tcPr>
          <w:p w:rsidR="00463561" w:rsidRDefault="00463561" w:rsidP="002F75C1">
            <w:pPr>
              <w:spacing w:line="360" w:lineRule="auto"/>
              <w:cnfStyle w:val="000000000000"/>
            </w:pPr>
            <w:r>
              <w:t>-1,0</w:t>
            </w:r>
          </w:p>
        </w:tc>
        <w:tc>
          <w:tcPr>
            <w:tcW w:w="2303" w:type="dxa"/>
          </w:tcPr>
          <w:p w:rsidR="00463561" w:rsidRDefault="00463561" w:rsidP="002F75C1">
            <w:pPr>
              <w:spacing w:line="360" w:lineRule="auto"/>
              <w:cnfStyle w:val="000000000000"/>
            </w:pPr>
            <w:r>
              <w:t>-1,7</w:t>
            </w:r>
          </w:p>
        </w:tc>
      </w:tr>
      <w:tr w:rsidR="00463561" w:rsidTr="009D0085">
        <w:trPr>
          <w:cnfStyle w:val="000000100000"/>
        </w:trPr>
        <w:tc>
          <w:tcPr>
            <w:cnfStyle w:val="001000000000"/>
            <w:tcW w:w="2303" w:type="dxa"/>
          </w:tcPr>
          <w:p w:rsidR="00463561" w:rsidRDefault="00463561" w:rsidP="002F75C1">
            <w:pPr>
              <w:spacing w:line="360" w:lineRule="auto"/>
            </w:pPr>
            <w:r>
              <w:t>1</w:t>
            </w:r>
          </w:p>
        </w:tc>
        <w:tc>
          <w:tcPr>
            <w:tcW w:w="2303" w:type="dxa"/>
          </w:tcPr>
          <w:p w:rsidR="00463561" w:rsidRDefault="00463561" w:rsidP="002F75C1">
            <w:pPr>
              <w:spacing w:line="360" w:lineRule="auto"/>
              <w:cnfStyle w:val="000000100000"/>
            </w:pPr>
            <w:r>
              <w:t>-4,1</w:t>
            </w:r>
          </w:p>
        </w:tc>
        <w:tc>
          <w:tcPr>
            <w:tcW w:w="2303" w:type="dxa"/>
          </w:tcPr>
          <w:p w:rsidR="00463561" w:rsidRDefault="00463561" w:rsidP="002F75C1">
            <w:pPr>
              <w:spacing w:line="360" w:lineRule="auto"/>
              <w:cnfStyle w:val="000000100000"/>
            </w:pPr>
            <w:r>
              <w:t>-3,0</w:t>
            </w:r>
          </w:p>
        </w:tc>
        <w:tc>
          <w:tcPr>
            <w:tcW w:w="2303" w:type="dxa"/>
          </w:tcPr>
          <w:p w:rsidR="00463561" w:rsidRDefault="00463561" w:rsidP="002F75C1">
            <w:pPr>
              <w:spacing w:line="360" w:lineRule="auto"/>
              <w:cnfStyle w:val="000000100000"/>
            </w:pPr>
            <w:r>
              <w:t>-</w:t>
            </w:r>
            <w:r w:rsidR="009D0085">
              <w:t>3,5</w:t>
            </w:r>
          </w:p>
        </w:tc>
      </w:tr>
      <w:tr w:rsidR="00463561" w:rsidTr="009D0085">
        <w:tc>
          <w:tcPr>
            <w:cnfStyle w:val="001000000000"/>
            <w:tcW w:w="2303" w:type="dxa"/>
          </w:tcPr>
          <w:p w:rsidR="00463561" w:rsidRDefault="00463561" w:rsidP="002F75C1">
            <w:pPr>
              <w:spacing w:line="360" w:lineRule="auto"/>
            </w:pPr>
            <w:r>
              <w:t>2</w:t>
            </w:r>
          </w:p>
        </w:tc>
        <w:tc>
          <w:tcPr>
            <w:tcW w:w="2303" w:type="dxa"/>
          </w:tcPr>
          <w:p w:rsidR="00463561" w:rsidRDefault="00463561" w:rsidP="002F75C1">
            <w:pPr>
              <w:spacing w:line="360" w:lineRule="auto"/>
              <w:cnfStyle w:val="000000000000"/>
            </w:pPr>
            <w:r>
              <w:t>-3,9</w:t>
            </w:r>
          </w:p>
        </w:tc>
        <w:tc>
          <w:tcPr>
            <w:tcW w:w="2303" w:type="dxa"/>
          </w:tcPr>
          <w:p w:rsidR="00463561" w:rsidRDefault="00463561" w:rsidP="002F75C1">
            <w:pPr>
              <w:spacing w:line="360" w:lineRule="auto"/>
              <w:cnfStyle w:val="000000000000"/>
            </w:pPr>
            <w:r>
              <w:t>-2,8</w:t>
            </w:r>
          </w:p>
        </w:tc>
        <w:tc>
          <w:tcPr>
            <w:tcW w:w="2303" w:type="dxa"/>
          </w:tcPr>
          <w:p w:rsidR="00463561" w:rsidRDefault="00463561" w:rsidP="002F75C1">
            <w:pPr>
              <w:spacing w:line="360" w:lineRule="auto"/>
              <w:cnfStyle w:val="000000000000"/>
            </w:pPr>
            <w:r>
              <w:t>-</w:t>
            </w:r>
            <w:r w:rsidR="009D0085">
              <w:t>3,3</w:t>
            </w:r>
          </w:p>
        </w:tc>
      </w:tr>
      <w:tr w:rsidR="00463561" w:rsidTr="009D0085">
        <w:trPr>
          <w:cnfStyle w:val="000000100000"/>
        </w:trPr>
        <w:tc>
          <w:tcPr>
            <w:cnfStyle w:val="001000000000"/>
            <w:tcW w:w="2303" w:type="dxa"/>
          </w:tcPr>
          <w:p w:rsidR="00463561" w:rsidRDefault="00463561" w:rsidP="002F75C1">
            <w:pPr>
              <w:spacing w:line="360" w:lineRule="auto"/>
            </w:pPr>
            <w:r>
              <w:t>3</w:t>
            </w:r>
          </w:p>
        </w:tc>
        <w:tc>
          <w:tcPr>
            <w:tcW w:w="2303" w:type="dxa"/>
          </w:tcPr>
          <w:p w:rsidR="00463561" w:rsidRDefault="00463561" w:rsidP="002F75C1">
            <w:pPr>
              <w:spacing w:line="360" w:lineRule="auto"/>
              <w:cnfStyle w:val="000000100000"/>
            </w:pPr>
            <w:r>
              <w:t>-3,4</w:t>
            </w:r>
          </w:p>
        </w:tc>
        <w:tc>
          <w:tcPr>
            <w:tcW w:w="2303" w:type="dxa"/>
          </w:tcPr>
          <w:p w:rsidR="00463561" w:rsidRDefault="00463561" w:rsidP="002F75C1">
            <w:pPr>
              <w:spacing w:line="360" w:lineRule="auto"/>
              <w:cnfStyle w:val="000000100000"/>
            </w:pPr>
            <w:r>
              <w:t>-2,2</w:t>
            </w:r>
          </w:p>
        </w:tc>
        <w:tc>
          <w:tcPr>
            <w:tcW w:w="2303" w:type="dxa"/>
          </w:tcPr>
          <w:p w:rsidR="00463561" w:rsidRDefault="00463561" w:rsidP="002F75C1">
            <w:pPr>
              <w:spacing w:line="360" w:lineRule="auto"/>
              <w:cnfStyle w:val="000000100000"/>
            </w:pPr>
            <w:r>
              <w:t>-</w:t>
            </w:r>
            <w:r w:rsidR="009D0085">
              <w:t>2,7</w:t>
            </w:r>
          </w:p>
        </w:tc>
      </w:tr>
      <w:tr w:rsidR="00463561" w:rsidTr="009D0085">
        <w:tc>
          <w:tcPr>
            <w:cnfStyle w:val="001000000000"/>
            <w:tcW w:w="2303" w:type="dxa"/>
          </w:tcPr>
          <w:p w:rsidR="00463561" w:rsidRDefault="00463561" w:rsidP="002F75C1">
            <w:pPr>
              <w:spacing w:line="360" w:lineRule="auto"/>
            </w:pPr>
            <w:r>
              <w:t>4</w:t>
            </w:r>
          </w:p>
        </w:tc>
        <w:tc>
          <w:tcPr>
            <w:tcW w:w="2303" w:type="dxa"/>
          </w:tcPr>
          <w:p w:rsidR="00463561" w:rsidRDefault="00463561" w:rsidP="002F75C1">
            <w:pPr>
              <w:spacing w:line="360" w:lineRule="auto"/>
              <w:cnfStyle w:val="000000000000"/>
            </w:pPr>
            <w:r>
              <w:t>-2,9</w:t>
            </w:r>
          </w:p>
        </w:tc>
        <w:tc>
          <w:tcPr>
            <w:tcW w:w="2303" w:type="dxa"/>
          </w:tcPr>
          <w:p w:rsidR="00463561" w:rsidRDefault="00463561" w:rsidP="002F75C1">
            <w:pPr>
              <w:spacing w:line="360" w:lineRule="auto"/>
              <w:cnfStyle w:val="000000000000"/>
            </w:pPr>
            <w:r>
              <w:t>-1,6</w:t>
            </w:r>
          </w:p>
        </w:tc>
        <w:tc>
          <w:tcPr>
            <w:tcW w:w="2303" w:type="dxa"/>
          </w:tcPr>
          <w:p w:rsidR="00463561" w:rsidRDefault="00463561" w:rsidP="002F75C1">
            <w:pPr>
              <w:spacing w:line="360" w:lineRule="auto"/>
              <w:cnfStyle w:val="000000000000"/>
            </w:pPr>
            <w:r>
              <w:t>-</w:t>
            </w:r>
            <w:r w:rsidR="009D0085">
              <w:t>2,2</w:t>
            </w:r>
          </w:p>
        </w:tc>
      </w:tr>
      <w:tr w:rsidR="00463561" w:rsidTr="009D0085">
        <w:trPr>
          <w:cnfStyle w:val="000000100000"/>
        </w:trPr>
        <w:tc>
          <w:tcPr>
            <w:cnfStyle w:val="001000000000"/>
            <w:tcW w:w="2303" w:type="dxa"/>
          </w:tcPr>
          <w:p w:rsidR="00463561" w:rsidRDefault="00463561" w:rsidP="002F75C1">
            <w:pPr>
              <w:spacing w:line="360" w:lineRule="auto"/>
            </w:pPr>
            <w:r>
              <w:t>5</w:t>
            </w:r>
          </w:p>
        </w:tc>
        <w:tc>
          <w:tcPr>
            <w:tcW w:w="2303" w:type="dxa"/>
          </w:tcPr>
          <w:p w:rsidR="00463561" w:rsidRDefault="00463561" w:rsidP="002F75C1">
            <w:pPr>
              <w:spacing w:line="360" w:lineRule="auto"/>
              <w:cnfStyle w:val="000000100000"/>
            </w:pPr>
            <w:r>
              <w:t>-2,4</w:t>
            </w:r>
          </w:p>
        </w:tc>
        <w:tc>
          <w:tcPr>
            <w:tcW w:w="2303" w:type="dxa"/>
          </w:tcPr>
          <w:p w:rsidR="00463561" w:rsidRDefault="00463561" w:rsidP="002F75C1">
            <w:pPr>
              <w:spacing w:line="360" w:lineRule="auto"/>
              <w:cnfStyle w:val="000000100000"/>
            </w:pPr>
            <w:r>
              <w:t>-1,0</w:t>
            </w:r>
          </w:p>
        </w:tc>
        <w:tc>
          <w:tcPr>
            <w:tcW w:w="2303" w:type="dxa"/>
          </w:tcPr>
          <w:p w:rsidR="00463561" w:rsidRDefault="00463561" w:rsidP="002F75C1">
            <w:pPr>
              <w:spacing w:line="360" w:lineRule="auto"/>
              <w:cnfStyle w:val="000000100000"/>
            </w:pPr>
            <w:r>
              <w:t>-</w:t>
            </w:r>
            <w:r w:rsidR="009D0085">
              <w:t>1,6</w:t>
            </w:r>
          </w:p>
        </w:tc>
      </w:tr>
      <w:tr w:rsidR="00463561" w:rsidTr="009D0085">
        <w:tc>
          <w:tcPr>
            <w:cnfStyle w:val="001000000000"/>
            <w:tcW w:w="2303" w:type="dxa"/>
          </w:tcPr>
          <w:p w:rsidR="00463561" w:rsidRDefault="00463561" w:rsidP="002F75C1">
            <w:pPr>
              <w:spacing w:line="360" w:lineRule="auto"/>
            </w:pPr>
            <w:r>
              <w:t>6</w:t>
            </w:r>
          </w:p>
        </w:tc>
        <w:tc>
          <w:tcPr>
            <w:tcW w:w="2303" w:type="dxa"/>
          </w:tcPr>
          <w:p w:rsidR="00463561" w:rsidRDefault="00463561" w:rsidP="002F75C1">
            <w:pPr>
              <w:spacing w:line="360" w:lineRule="auto"/>
              <w:cnfStyle w:val="000000000000"/>
            </w:pPr>
            <w:r>
              <w:t>-2,2</w:t>
            </w:r>
          </w:p>
        </w:tc>
        <w:tc>
          <w:tcPr>
            <w:tcW w:w="2303" w:type="dxa"/>
          </w:tcPr>
          <w:p w:rsidR="00463561" w:rsidRDefault="00463561" w:rsidP="002F75C1">
            <w:pPr>
              <w:spacing w:line="360" w:lineRule="auto"/>
              <w:cnfStyle w:val="000000000000"/>
            </w:pPr>
            <w:r>
              <w:t>-0,6</w:t>
            </w:r>
          </w:p>
        </w:tc>
        <w:tc>
          <w:tcPr>
            <w:tcW w:w="2303" w:type="dxa"/>
          </w:tcPr>
          <w:p w:rsidR="00463561" w:rsidRDefault="00463561" w:rsidP="002F75C1">
            <w:pPr>
              <w:spacing w:line="360" w:lineRule="auto"/>
              <w:cnfStyle w:val="000000000000"/>
            </w:pPr>
            <w:r>
              <w:t>-</w:t>
            </w:r>
            <w:r w:rsidR="009D0085">
              <w:t>1,3</w:t>
            </w:r>
          </w:p>
        </w:tc>
      </w:tr>
      <w:tr w:rsidR="00463561" w:rsidTr="009D0085">
        <w:trPr>
          <w:cnfStyle w:val="000000100000"/>
        </w:trPr>
        <w:tc>
          <w:tcPr>
            <w:cnfStyle w:val="001000000000"/>
            <w:tcW w:w="2303" w:type="dxa"/>
          </w:tcPr>
          <w:p w:rsidR="00463561" w:rsidRDefault="00463561" w:rsidP="002F75C1">
            <w:pPr>
              <w:spacing w:line="360" w:lineRule="auto"/>
            </w:pPr>
            <w:r>
              <w:t>7</w:t>
            </w:r>
          </w:p>
        </w:tc>
        <w:tc>
          <w:tcPr>
            <w:tcW w:w="2303" w:type="dxa"/>
          </w:tcPr>
          <w:p w:rsidR="00463561" w:rsidRDefault="00463561" w:rsidP="002F75C1">
            <w:pPr>
              <w:spacing w:line="360" w:lineRule="auto"/>
              <w:cnfStyle w:val="000000100000"/>
            </w:pPr>
            <w:r>
              <w:t>-2,1</w:t>
            </w:r>
          </w:p>
        </w:tc>
        <w:tc>
          <w:tcPr>
            <w:tcW w:w="2303" w:type="dxa"/>
          </w:tcPr>
          <w:p w:rsidR="00463561" w:rsidRDefault="00463561" w:rsidP="002F75C1">
            <w:pPr>
              <w:spacing w:line="360" w:lineRule="auto"/>
              <w:cnfStyle w:val="000000100000"/>
            </w:pPr>
            <w:r>
              <w:t>-0,5</w:t>
            </w:r>
          </w:p>
        </w:tc>
        <w:tc>
          <w:tcPr>
            <w:tcW w:w="2303" w:type="dxa"/>
          </w:tcPr>
          <w:p w:rsidR="00463561" w:rsidRDefault="00463561" w:rsidP="002F75C1">
            <w:pPr>
              <w:spacing w:line="360" w:lineRule="auto"/>
              <w:cnfStyle w:val="000000100000"/>
            </w:pPr>
            <w:r>
              <w:t>-</w:t>
            </w:r>
            <w:r w:rsidR="009D0085">
              <w:t>1,2</w:t>
            </w:r>
          </w:p>
        </w:tc>
      </w:tr>
      <w:tr w:rsidR="00463561" w:rsidTr="009D0085">
        <w:tc>
          <w:tcPr>
            <w:cnfStyle w:val="001000000000"/>
            <w:tcW w:w="2303" w:type="dxa"/>
          </w:tcPr>
          <w:p w:rsidR="00463561" w:rsidRDefault="00463561" w:rsidP="002F75C1">
            <w:pPr>
              <w:spacing w:line="360" w:lineRule="auto"/>
            </w:pPr>
            <w:r>
              <w:t>8</w:t>
            </w:r>
          </w:p>
        </w:tc>
        <w:tc>
          <w:tcPr>
            <w:tcW w:w="2303" w:type="dxa"/>
          </w:tcPr>
          <w:p w:rsidR="00463561" w:rsidRDefault="00463561" w:rsidP="002F75C1">
            <w:pPr>
              <w:spacing w:line="360" w:lineRule="auto"/>
              <w:cnfStyle w:val="000000000000"/>
            </w:pPr>
            <w:r>
              <w:t>-2,1</w:t>
            </w:r>
          </w:p>
        </w:tc>
        <w:tc>
          <w:tcPr>
            <w:tcW w:w="2303" w:type="dxa"/>
          </w:tcPr>
          <w:p w:rsidR="00463561" w:rsidRDefault="00463561" w:rsidP="002F75C1">
            <w:pPr>
              <w:spacing w:line="360" w:lineRule="auto"/>
              <w:cnfStyle w:val="000000000000"/>
            </w:pPr>
            <w:r>
              <w:t>-0,3</w:t>
            </w:r>
          </w:p>
        </w:tc>
        <w:tc>
          <w:tcPr>
            <w:tcW w:w="2303" w:type="dxa"/>
          </w:tcPr>
          <w:p w:rsidR="00463561" w:rsidRDefault="00463561" w:rsidP="002F75C1">
            <w:pPr>
              <w:spacing w:line="360" w:lineRule="auto"/>
              <w:cnfStyle w:val="000000000000"/>
            </w:pPr>
            <w:r>
              <w:t>-</w:t>
            </w:r>
            <w:r w:rsidR="009D0085">
              <w:t>1,0</w:t>
            </w:r>
          </w:p>
        </w:tc>
      </w:tr>
      <w:tr w:rsidR="00463561" w:rsidTr="009D0085">
        <w:trPr>
          <w:cnfStyle w:val="000000100000"/>
        </w:trPr>
        <w:tc>
          <w:tcPr>
            <w:cnfStyle w:val="001000000000"/>
            <w:tcW w:w="2303" w:type="dxa"/>
          </w:tcPr>
          <w:p w:rsidR="00463561" w:rsidRDefault="00463561" w:rsidP="002F75C1">
            <w:pPr>
              <w:spacing w:line="360" w:lineRule="auto"/>
            </w:pPr>
            <w:r>
              <w:t>9</w:t>
            </w:r>
          </w:p>
        </w:tc>
        <w:tc>
          <w:tcPr>
            <w:tcW w:w="2303" w:type="dxa"/>
          </w:tcPr>
          <w:p w:rsidR="00463561" w:rsidRDefault="00463561" w:rsidP="002F75C1">
            <w:pPr>
              <w:spacing w:line="360" w:lineRule="auto"/>
              <w:cnfStyle w:val="000000100000"/>
            </w:pPr>
            <w:r>
              <w:t>-2,1</w:t>
            </w:r>
          </w:p>
        </w:tc>
        <w:tc>
          <w:tcPr>
            <w:tcW w:w="2303" w:type="dxa"/>
          </w:tcPr>
          <w:p w:rsidR="00463561" w:rsidRDefault="00463561" w:rsidP="002F75C1">
            <w:pPr>
              <w:spacing w:line="360" w:lineRule="auto"/>
              <w:cnfStyle w:val="000000100000"/>
            </w:pPr>
            <w:r>
              <w:t>-0,1</w:t>
            </w:r>
          </w:p>
        </w:tc>
        <w:tc>
          <w:tcPr>
            <w:tcW w:w="2303" w:type="dxa"/>
          </w:tcPr>
          <w:p w:rsidR="00463561" w:rsidRDefault="00463561" w:rsidP="002F75C1">
            <w:pPr>
              <w:spacing w:line="360" w:lineRule="auto"/>
              <w:cnfStyle w:val="000000100000"/>
            </w:pPr>
            <w:r>
              <w:t>-</w:t>
            </w:r>
            <w:r w:rsidR="009D0085">
              <w:t>0,9</w:t>
            </w:r>
          </w:p>
        </w:tc>
      </w:tr>
      <w:tr w:rsidR="00463561" w:rsidTr="009D0085">
        <w:tc>
          <w:tcPr>
            <w:cnfStyle w:val="001000000000"/>
            <w:tcW w:w="2303" w:type="dxa"/>
          </w:tcPr>
          <w:p w:rsidR="00463561" w:rsidRDefault="00463561" w:rsidP="002F75C1">
            <w:pPr>
              <w:spacing w:line="360" w:lineRule="auto"/>
            </w:pPr>
            <w:r>
              <w:t>10</w:t>
            </w:r>
          </w:p>
        </w:tc>
        <w:tc>
          <w:tcPr>
            <w:tcW w:w="2303" w:type="dxa"/>
          </w:tcPr>
          <w:p w:rsidR="00463561" w:rsidRDefault="00463561" w:rsidP="002F75C1">
            <w:pPr>
              <w:spacing w:line="360" w:lineRule="auto"/>
              <w:cnfStyle w:val="000000000000"/>
            </w:pPr>
            <w:r>
              <w:t>-2,7</w:t>
            </w:r>
          </w:p>
        </w:tc>
        <w:tc>
          <w:tcPr>
            <w:tcW w:w="2303" w:type="dxa"/>
          </w:tcPr>
          <w:p w:rsidR="00463561" w:rsidRDefault="00463561" w:rsidP="002F75C1">
            <w:pPr>
              <w:spacing w:line="360" w:lineRule="auto"/>
              <w:cnfStyle w:val="000000000000"/>
            </w:pPr>
            <w:r>
              <w:t>-0,4</w:t>
            </w:r>
          </w:p>
        </w:tc>
        <w:tc>
          <w:tcPr>
            <w:tcW w:w="2303" w:type="dxa"/>
          </w:tcPr>
          <w:p w:rsidR="00463561" w:rsidRDefault="00463561" w:rsidP="002F75C1">
            <w:pPr>
              <w:spacing w:line="360" w:lineRule="auto"/>
              <w:cnfStyle w:val="000000000000"/>
            </w:pPr>
            <w:r>
              <w:t>-</w:t>
            </w:r>
            <w:r w:rsidR="009D0085">
              <w:t>0,9</w:t>
            </w:r>
          </w:p>
        </w:tc>
      </w:tr>
    </w:tbl>
    <w:p w:rsidR="00873AD2" w:rsidRDefault="00873AD2" w:rsidP="00873AD2">
      <w:pPr>
        <w:spacing w:line="360" w:lineRule="auto"/>
      </w:pPr>
      <w:r>
        <w:br/>
      </w:r>
      <w:r w:rsidR="00656997">
        <w:t>De compenserende verlaging van de loon- en inkomenstenbelasting heeft een positief effect op het inkomen van alle huishoudens en verbetert daarmee de koopkracht</w:t>
      </w:r>
      <w:r w:rsidR="00CC364A">
        <w:t xml:space="preserve"> (tabel 8</w:t>
      </w:r>
      <w:r>
        <w:t>.4)</w:t>
      </w:r>
      <w:r w:rsidR="00656997">
        <w:t xml:space="preserve">. </w:t>
      </w:r>
      <w:r>
        <w:t>Het financiële voordeel is het grootst voor de hogere inkomensdecielen. Dit hangt vooral samen met het feit dat huishoudens met een hoger inkomen vaker dan gemiddeld twee inkomens hebben. Zij profiteren dus dubbel van een verlaging van de belastingtarieven. Scenario A sluist het hoogste bedrag terug, omdat er ook veel te compenseren valt.</w:t>
      </w:r>
    </w:p>
    <w:p w:rsidR="00873AD2" w:rsidRDefault="00873AD2" w:rsidP="002F75C1">
      <w:pPr>
        <w:spacing w:line="360" w:lineRule="auto"/>
      </w:pPr>
    </w:p>
    <w:p w:rsidR="00873AD2" w:rsidRDefault="00873AD2">
      <w:pPr>
        <w:rPr>
          <w:i/>
        </w:rPr>
      </w:pPr>
      <w:r>
        <w:rPr>
          <w:i/>
        </w:rPr>
        <w:br w:type="page"/>
      </w:r>
    </w:p>
    <w:p w:rsidR="00873AD2" w:rsidRPr="00873AD2" w:rsidRDefault="00873AD2" w:rsidP="00CC364A">
      <w:pPr>
        <w:spacing w:line="360" w:lineRule="auto"/>
        <w:outlineLvl w:val="0"/>
        <w:rPr>
          <w:i/>
        </w:rPr>
      </w:pPr>
      <w:r>
        <w:rPr>
          <w:i/>
        </w:rPr>
        <w:lastRenderedPageBreak/>
        <w:t xml:space="preserve">Tabel </w:t>
      </w:r>
      <w:r w:rsidR="00CC364A">
        <w:rPr>
          <w:i/>
        </w:rPr>
        <w:t>8</w:t>
      </w:r>
      <w:r>
        <w:rPr>
          <w:i/>
        </w:rPr>
        <w:t>.4: Effect van de hervormingen op de terugsluis</w:t>
      </w:r>
    </w:p>
    <w:tbl>
      <w:tblPr>
        <w:tblStyle w:val="Lichtearcering-accent11"/>
        <w:tblW w:w="0" w:type="auto"/>
        <w:tblLook w:val="04A0"/>
      </w:tblPr>
      <w:tblGrid>
        <w:gridCol w:w="2303"/>
        <w:gridCol w:w="2303"/>
        <w:gridCol w:w="2303"/>
        <w:gridCol w:w="2303"/>
      </w:tblGrid>
      <w:tr w:rsidR="005256FB" w:rsidTr="005256FB">
        <w:trPr>
          <w:cnfStyle w:val="100000000000"/>
        </w:trPr>
        <w:tc>
          <w:tcPr>
            <w:cnfStyle w:val="001000000000"/>
            <w:tcW w:w="2303" w:type="dxa"/>
          </w:tcPr>
          <w:p w:rsidR="005256FB" w:rsidRDefault="005256FB" w:rsidP="002F75C1">
            <w:pPr>
              <w:spacing w:line="360" w:lineRule="auto"/>
            </w:pPr>
          </w:p>
        </w:tc>
        <w:tc>
          <w:tcPr>
            <w:tcW w:w="6909" w:type="dxa"/>
            <w:gridSpan w:val="3"/>
          </w:tcPr>
          <w:p w:rsidR="005256FB" w:rsidRDefault="005256FB" w:rsidP="002F75C1">
            <w:pPr>
              <w:spacing w:line="360" w:lineRule="auto"/>
              <w:cnfStyle w:val="100000000000"/>
            </w:pPr>
            <w:r>
              <w:t>Terugsluis via loon- en inkomstenbelasting in dzd euro</w:t>
            </w:r>
            <w:r w:rsidR="00AE6986">
              <w:t xml:space="preserve"> (t.o.v. prijspeil 2005)</w:t>
            </w:r>
          </w:p>
        </w:tc>
      </w:tr>
      <w:tr w:rsidR="005256FB" w:rsidTr="005256FB">
        <w:trPr>
          <w:cnfStyle w:val="000000100000"/>
        </w:trPr>
        <w:tc>
          <w:tcPr>
            <w:cnfStyle w:val="001000000000"/>
            <w:tcW w:w="2303" w:type="dxa"/>
          </w:tcPr>
          <w:p w:rsidR="005256FB" w:rsidRDefault="005256FB" w:rsidP="000957B2">
            <w:pPr>
              <w:spacing w:line="360" w:lineRule="auto"/>
            </w:pPr>
            <w:r>
              <w:t>Inkomensdeciel</w:t>
            </w:r>
          </w:p>
        </w:tc>
        <w:tc>
          <w:tcPr>
            <w:tcW w:w="2303" w:type="dxa"/>
          </w:tcPr>
          <w:p w:rsidR="005256FB" w:rsidRPr="00873AD2" w:rsidRDefault="005256FB" w:rsidP="002F75C1">
            <w:pPr>
              <w:spacing w:line="360" w:lineRule="auto"/>
              <w:cnfStyle w:val="000000100000"/>
              <w:rPr>
                <w:b/>
              </w:rPr>
            </w:pPr>
            <w:r w:rsidRPr="00873AD2">
              <w:rPr>
                <w:b/>
              </w:rPr>
              <w:t>Scenario A</w:t>
            </w:r>
          </w:p>
        </w:tc>
        <w:tc>
          <w:tcPr>
            <w:tcW w:w="2303" w:type="dxa"/>
          </w:tcPr>
          <w:p w:rsidR="005256FB" w:rsidRPr="00873AD2" w:rsidRDefault="005256FB" w:rsidP="002F75C1">
            <w:pPr>
              <w:spacing w:line="360" w:lineRule="auto"/>
              <w:cnfStyle w:val="000000100000"/>
              <w:rPr>
                <w:b/>
              </w:rPr>
            </w:pPr>
            <w:r w:rsidRPr="00873AD2">
              <w:rPr>
                <w:b/>
              </w:rPr>
              <w:t>Scenario B</w:t>
            </w:r>
          </w:p>
        </w:tc>
        <w:tc>
          <w:tcPr>
            <w:tcW w:w="2303" w:type="dxa"/>
          </w:tcPr>
          <w:p w:rsidR="005256FB" w:rsidRPr="00873AD2" w:rsidRDefault="005256FB" w:rsidP="002F75C1">
            <w:pPr>
              <w:spacing w:line="360" w:lineRule="auto"/>
              <w:cnfStyle w:val="000000100000"/>
              <w:rPr>
                <w:b/>
              </w:rPr>
            </w:pPr>
            <w:r w:rsidRPr="00873AD2">
              <w:rPr>
                <w:b/>
              </w:rPr>
              <w:t>Scenario C</w:t>
            </w:r>
          </w:p>
        </w:tc>
      </w:tr>
      <w:tr w:rsidR="005256FB" w:rsidTr="005256FB">
        <w:tc>
          <w:tcPr>
            <w:cnfStyle w:val="001000000000"/>
            <w:tcW w:w="2303" w:type="dxa"/>
          </w:tcPr>
          <w:p w:rsidR="005256FB" w:rsidRDefault="00F0724F" w:rsidP="00873AD2">
            <w:pPr>
              <w:spacing w:line="360" w:lineRule="auto"/>
            </w:pPr>
            <w:r>
              <w:t>Alle huishoudens</w:t>
            </w:r>
          </w:p>
        </w:tc>
        <w:tc>
          <w:tcPr>
            <w:tcW w:w="2303" w:type="dxa"/>
          </w:tcPr>
          <w:p w:rsidR="005256FB" w:rsidRDefault="005256FB" w:rsidP="002F75C1">
            <w:pPr>
              <w:spacing w:line="360" w:lineRule="auto"/>
              <w:cnfStyle w:val="000000000000"/>
            </w:pPr>
            <w:r>
              <w:t>2,4</w:t>
            </w:r>
          </w:p>
        </w:tc>
        <w:tc>
          <w:tcPr>
            <w:tcW w:w="2303" w:type="dxa"/>
          </w:tcPr>
          <w:p w:rsidR="005256FB" w:rsidRDefault="005256FB" w:rsidP="002F75C1">
            <w:pPr>
              <w:spacing w:line="360" w:lineRule="auto"/>
              <w:cnfStyle w:val="000000000000"/>
            </w:pPr>
            <w:r>
              <w:t>0,7</w:t>
            </w:r>
          </w:p>
        </w:tc>
        <w:tc>
          <w:tcPr>
            <w:tcW w:w="2303" w:type="dxa"/>
          </w:tcPr>
          <w:p w:rsidR="005256FB" w:rsidRDefault="005256FB" w:rsidP="002F75C1">
            <w:pPr>
              <w:spacing w:line="360" w:lineRule="auto"/>
              <w:cnfStyle w:val="000000000000"/>
            </w:pPr>
            <w:r>
              <w:t>1,2</w:t>
            </w:r>
          </w:p>
        </w:tc>
      </w:tr>
      <w:tr w:rsidR="005256FB" w:rsidTr="005256FB">
        <w:trPr>
          <w:cnfStyle w:val="000000100000"/>
        </w:trPr>
        <w:tc>
          <w:tcPr>
            <w:cnfStyle w:val="001000000000"/>
            <w:tcW w:w="2303" w:type="dxa"/>
          </w:tcPr>
          <w:p w:rsidR="005256FB" w:rsidRDefault="005256FB" w:rsidP="000957B2">
            <w:pPr>
              <w:spacing w:line="360" w:lineRule="auto"/>
            </w:pPr>
            <w:r>
              <w:t>1</w:t>
            </w:r>
          </w:p>
        </w:tc>
        <w:tc>
          <w:tcPr>
            <w:tcW w:w="2303" w:type="dxa"/>
          </w:tcPr>
          <w:p w:rsidR="005256FB" w:rsidRDefault="005256FB" w:rsidP="002F75C1">
            <w:pPr>
              <w:spacing w:line="360" w:lineRule="auto"/>
              <w:cnfStyle w:val="000000100000"/>
            </w:pPr>
            <w:r>
              <w:t>1,1</w:t>
            </w:r>
          </w:p>
        </w:tc>
        <w:tc>
          <w:tcPr>
            <w:tcW w:w="2303" w:type="dxa"/>
          </w:tcPr>
          <w:p w:rsidR="005256FB" w:rsidRDefault="005256FB" w:rsidP="002F75C1">
            <w:pPr>
              <w:spacing w:line="360" w:lineRule="auto"/>
              <w:cnfStyle w:val="000000100000"/>
            </w:pPr>
            <w:r>
              <w:t>0,4</w:t>
            </w:r>
          </w:p>
        </w:tc>
        <w:tc>
          <w:tcPr>
            <w:tcW w:w="2303" w:type="dxa"/>
          </w:tcPr>
          <w:p w:rsidR="005256FB" w:rsidRDefault="005256FB" w:rsidP="002F75C1">
            <w:pPr>
              <w:spacing w:line="360" w:lineRule="auto"/>
              <w:cnfStyle w:val="000000100000"/>
            </w:pPr>
            <w:r>
              <w:t>0,6</w:t>
            </w:r>
          </w:p>
        </w:tc>
      </w:tr>
      <w:tr w:rsidR="005256FB" w:rsidTr="005256FB">
        <w:tc>
          <w:tcPr>
            <w:cnfStyle w:val="001000000000"/>
            <w:tcW w:w="2303" w:type="dxa"/>
          </w:tcPr>
          <w:p w:rsidR="005256FB" w:rsidRDefault="005256FB" w:rsidP="000957B2">
            <w:pPr>
              <w:spacing w:line="360" w:lineRule="auto"/>
            </w:pPr>
            <w:r>
              <w:t>2</w:t>
            </w:r>
          </w:p>
        </w:tc>
        <w:tc>
          <w:tcPr>
            <w:tcW w:w="2303" w:type="dxa"/>
          </w:tcPr>
          <w:p w:rsidR="005256FB" w:rsidRDefault="005256FB" w:rsidP="002F75C1">
            <w:pPr>
              <w:spacing w:line="360" w:lineRule="auto"/>
              <w:cnfStyle w:val="000000000000"/>
            </w:pPr>
            <w:r>
              <w:t>1,6</w:t>
            </w:r>
          </w:p>
        </w:tc>
        <w:tc>
          <w:tcPr>
            <w:tcW w:w="2303" w:type="dxa"/>
          </w:tcPr>
          <w:p w:rsidR="005256FB" w:rsidRDefault="005256FB" w:rsidP="002F75C1">
            <w:pPr>
              <w:spacing w:line="360" w:lineRule="auto"/>
              <w:cnfStyle w:val="000000000000"/>
            </w:pPr>
            <w:r>
              <w:t>0,5</w:t>
            </w:r>
          </w:p>
        </w:tc>
        <w:tc>
          <w:tcPr>
            <w:tcW w:w="2303" w:type="dxa"/>
          </w:tcPr>
          <w:p w:rsidR="005256FB" w:rsidRDefault="005256FB" w:rsidP="002F75C1">
            <w:pPr>
              <w:spacing w:line="360" w:lineRule="auto"/>
              <w:cnfStyle w:val="000000000000"/>
            </w:pPr>
            <w:r>
              <w:t>0,9</w:t>
            </w:r>
          </w:p>
        </w:tc>
      </w:tr>
      <w:tr w:rsidR="005256FB" w:rsidTr="005256FB">
        <w:trPr>
          <w:cnfStyle w:val="000000100000"/>
        </w:trPr>
        <w:tc>
          <w:tcPr>
            <w:cnfStyle w:val="001000000000"/>
            <w:tcW w:w="2303" w:type="dxa"/>
          </w:tcPr>
          <w:p w:rsidR="005256FB" w:rsidRDefault="005256FB" w:rsidP="000957B2">
            <w:pPr>
              <w:spacing w:line="360" w:lineRule="auto"/>
            </w:pPr>
            <w:r>
              <w:t>3</w:t>
            </w:r>
          </w:p>
        </w:tc>
        <w:tc>
          <w:tcPr>
            <w:tcW w:w="2303" w:type="dxa"/>
          </w:tcPr>
          <w:p w:rsidR="005256FB" w:rsidRDefault="005256FB" w:rsidP="002F75C1">
            <w:pPr>
              <w:spacing w:line="360" w:lineRule="auto"/>
              <w:cnfStyle w:val="000000100000"/>
            </w:pPr>
            <w:r>
              <w:t>1,6</w:t>
            </w:r>
          </w:p>
        </w:tc>
        <w:tc>
          <w:tcPr>
            <w:tcW w:w="2303" w:type="dxa"/>
          </w:tcPr>
          <w:p w:rsidR="005256FB" w:rsidRDefault="005256FB" w:rsidP="002F75C1">
            <w:pPr>
              <w:spacing w:line="360" w:lineRule="auto"/>
              <w:cnfStyle w:val="000000100000"/>
            </w:pPr>
            <w:r>
              <w:t>0,5</w:t>
            </w:r>
          </w:p>
        </w:tc>
        <w:tc>
          <w:tcPr>
            <w:tcW w:w="2303" w:type="dxa"/>
          </w:tcPr>
          <w:p w:rsidR="005256FB" w:rsidRDefault="005256FB" w:rsidP="002F75C1">
            <w:pPr>
              <w:spacing w:line="360" w:lineRule="auto"/>
              <w:cnfStyle w:val="000000100000"/>
            </w:pPr>
            <w:r>
              <w:t>0,9</w:t>
            </w:r>
          </w:p>
        </w:tc>
      </w:tr>
      <w:tr w:rsidR="005256FB" w:rsidTr="005256FB">
        <w:tc>
          <w:tcPr>
            <w:cnfStyle w:val="001000000000"/>
            <w:tcW w:w="2303" w:type="dxa"/>
          </w:tcPr>
          <w:p w:rsidR="005256FB" w:rsidRDefault="005256FB" w:rsidP="000957B2">
            <w:pPr>
              <w:spacing w:line="360" w:lineRule="auto"/>
            </w:pPr>
            <w:r>
              <w:t>4</w:t>
            </w:r>
          </w:p>
        </w:tc>
        <w:tc>
          <w:tcPr>
            <w:tcW w:w="2303" w:type="dxa"/>
          </w:tcPr>
          <w:p w:rsidR="005256FB" w:rsidRDefault="005256FB" w:rsidP="002F75C1">
            <w:pPr>
              <w:spacing w:line="360" w:lineRule="auto"/>
              <w:cnfStyle w:val="000000000000"/>
            </w:pPr>
            <w:r>
              <w:t>1,9</w:t>
            </w:r>
          </w:p>
        </w:tc>
        <w:tc>
          <w:tcPr>
            <w:tcW w:w="2303" w:type="dxa"/>
          </w:tcPr>
          <w:p w:rsidR="005256FB" w:rsidRDefault="005256FB" w:rsidP="002F75C1">
            <w:pPr>
              <w:spacing w:line="360" w:lineRule="auto"/>
              <w:cnfStyle w:val="000000000000"/>
            </w:pPr>
            <w:r>
              <w:t>0,5</w:t>
            </w:r>
          </w:p>
        </w:tc>
        <w:tc>
          <w:tcPr>
            <w:tcW w:w="2303" w:type="dxa"/>
          </w:tcPr>
          <w:p w:rsidR="005256FB" w:rsidRDefault="005256FB" w:rsidP="002F75C1">
            <w:pPr>
              <w:spacing w:line="360" w:lineRule="auto"/>
              <w:cnfStyle w:val="000000000000"/>
            </w:pPr>
            <w:r>
              <w:t>1,0</w:t>
            </w:r>
          </w:p>
        </w:tc>
      </w:tr>
      <w:tr w:rsidR="005256FB" w:rsidTr="005256FB">
        <w:trPr>
          <w:cnfStyle w:val="000000100000"/>
        </w:trPr>
        <w:tc>
          <w:tcPr>
            <w:cnfStyle w:val="001000000000"/>
            <w:tcW w:w="2303" w:type="dxa"/>
          </w:tcPr>
          <w:p w:rsidR="005256FB" w:rsidRDefault="005256FB" w:rsidP="000957B2">
            <w:pPr>
              <w:spacing w:line="360" w:lineRule="auto"/>
            </w:pPr>
            <w:r>
              <w:t>5</w:t>
            </w:r>
          </w:p>
        </w:tc>
        <w:tc>
          <w:tcPr>
            <w:tcW w:w="2303" w:type="dxa"/>
          </w:tcPr>
          <w:p w:rsidR="005256FB" w:rsidRDefault="005256FB" w:rsidP="002F75C1">
            <w:pPr>
              <w:spacing w:line="360" w:lineRule="auto"/>
              <w:cnfStyle w:val="000000100000"/>
            </w:pPr>
            <w:r>
              <w:t>2,1</w:t>
            </w:r>
          </w:p>
        </w:tc>
        <w:tc>
          <w:tcPr>
            <w:tcW w:w="2303" w:type="dxa"/>
          </w:tcPr>
          <w:p w:rsidR="005256FB" w:rsidRDefault="005256FB" w:rsidP="002F75C1">
            <w:pPr>
              <w:spacing w:line="360" w:lineRule="auto"/>
              <w:cnfStyle w:val="000000100000"/>
            </w:pPr>
            <w:r>
              <w:t>0,6</w:t>
            </w:r>
          </w:p>
        </w:tc>
        <w:tc>
          <w:tcPr>
            <w:tcW w:w="2303" w:type="dxa"/>
          </w:tcPr>
          <w:p w:rsidR="005256FB" w:rsidRDefault="005256FB" w:rsidP="002F75C1">
            <w:pPr>
              <w:spacing w:line="360" w:lineRule="auto"/>
              <w:cnfStyle w:val="000000100000"/>
            </w:pPr>
            <w:r>
              <w:t>1,1</w:t>
            </w:r>
          </w:p>
        </w:tc>
      </w:tr>
      <w:tr w:rsidR="005256FB" w:rsidTr="005256FB">
        <w:tc>
          <w:tcPr>
            <w:cnfStyle w:val="001000000000"/>
            <w:tcW w:w="2303" w:type="dxa"/>
          </w:tcPr>
          <w:p w:rsidR="005256FB" w:rsidRDefault="005256FB" w:rsidP="000957B2">
            <w:pPr>
              <w:spacing w:line="360" w:lineRule="auto"/>
            </w:pPr>
            <w:r>
              <w:t>6</w:t>
            </w:r>
          </w:p>
        </w:tc>
        <w:tc>
          <w:tcPr>
            <w:tcW w:w="2303" w:type="dxa"/>
          </w:tcPr>
          <w:p w:rsidR="005256FB" w:rsidRDefault="005256FB" w:rsidP="002F75C1">
            <w:pPr>
              <w:spacing w:line="360" w:lineRule="auto"/>
              <w:cnfStyle w:val="000000000000"/>
            </w:pPr>
            <w:r>
              <w:t>2,4</w:t>
            </w:r>
          </w:p>
        </w:tc>
        <w:tc>
          <w:tcPr>
            <w:tcW w:w="2303" w:type="dxa"/>
          </w:tcPr>
          <w:p w:rsidR="005256FB" w:rsidRDefault="005256FB" w:rsidP="002F75C1">
            <w:pPr>
              <w:spacing w:line="360" w:lineRule="auto"/>
              <w:cnfStyle w:val="000000000000"/>
            </w:pPr>
            <w:r>
              <w:t>0,7</w:t>
            </w:r>
          </w:p>
        </w:tc>
        <w:tc>
          <w:tcPr>
            <w:tcW w:w="2303" w:type="dxa"/>
          </w:tcPr>
          <w:p w:rsidR="005256FB" w:rsidRDefault="005256FB" w:rsidP="002F75C1">
            <w:pPr>
              <w:spacing w:line="360" w:lineRule="auto"/>
              <w:cnfStyle w:val="000000000000"/>
            </w:pPr>
            <w:r>
              <w:t>1,2</w:t>
            </w:r>
          </w:p>
        </w:tc>
      </w:tr>
      <w:tr w:rsidR="005256FB" w:rsidTr="005256FB">
        <w:trPr>
          <w:cnfStyle w:val="000000100000"/>
        </w:trPr>
        <w:tc>
          <w:tcPr>
            <w:cnfStyle w:val="001000000000"/>
            <w:tcW w:w="2303" w:type="dxa"/>
          </w:tcPr>
          <w:p w:rsidR="005256FB" w:rsidRDefault="005256FB" w:rsidP="000957B2">
            <w:pPr>
              <w:spacing w:line="360" w:lineRule="auto"/>
            </w:pPr>
            <w:r>
              <w:t>7</w:t>
            </w:r>
          </w:p>
        </w:tc>
        <w:tc>
          <w:tcPr>
            <w:tcW w:w="2303" w:type="dxa"/>
          </w:tcPr>
          <w:p w:rsidR="005256FB" w:rsidRDefault="005256FB" w:rsidP="002F75C1">
            <w:pPr>
              <w:spacing w:line="360" w:lineRule="auto"/>
              <w:cnfStyle w:val="000000100000"/>
            </w:pPr>
            <w:r>
              <w:t>2,6</w:t>
            </w:r>
          </w:p>
        </w:tc>
        <w:tc>
          <w:tcPr>
            <w:tcW w:w="2303" w:type="dxa"/>
          </w:tcPr>
          <w:p w:rsidR="005256FB" w:rsidRDefault="005256FB" w:rsidP="002F75C1">
            <w:pPr>
              <w:spacing w:line="360" w:lineRule="auto"/>
              <w:cnfStyle w:val="000000100000"/>
            </w:pPr>
            <w:r>
              <w:t>0,7</w:t>
            </w:r>
          </w:p>
        </w:tc>
        <w:tc>
          <w:tcPr>
            <w:tcW w:w="2303" w:type="dxa"/>
          </w:tcPr>
          <w:p w:rsidR="005256FB" w:rsidRDefault="005256FB" w:rsidP="002F75C1">
            <w:pPr>
              <w:spacing w:line="360" w:lineRule="auto"/>
              <w:cnfStyle w:val="000000100000"/>
            </w:pPr>
            <w:r>
              <w:t>1,4</w:t>
            </w:r>
          </w:p>
        </w:tc>
      </w:tr>
      <w:tr w:rsidR="005256FB" w:rsidTr="005256FB">
        <w:tc>
          <w:tcPr>
            <w:cnfStyle w:val="001000000000"/>
            <w:tcW w:w="2303" w:type="dxa"/>
          </w:tcPr>
          <w:p w:rsidR="005256FB" w:rsidRDefault="005256FB" w:rsidP="000957B2">
            <w:pPr>
              <w:spacing w:line="360" w:lineRule="auto"/>
            </w:pPr>
            <w:r>
              <w:t>8</w:t>
            </w:r>
          </w:p>
        </w:tc>
        <w:tc>
          <w:tcPr>
            <w:tcW w:w="2303" w:type="dxa"/>
          </w:tcPr>
          <w:p w:rsidR="005256FB" w:rsidRDefault="005256FB" w:rsidP="002F75C1">
            <w:pPr>
              <w:spacing w:line="360" w:lineRule="auto"/>
              <w:cnfStyle w:val="000000000000"/>
            </w:pPr>
            <w:r>
              <w:t>2,8</w:t>
            </w:r>
          </w:p>
        </w:tc>
        <w:tc>
          <w:tcPr>
            <w:tcW w:w="2303" w:type="dxa"/>
          </w:tcPr>
          <w:p w:rsidR="005256FB" w:rsidRDefault="005256FB" w:rsidP="002F75C1">
            <w:pPr>
              <w:spacing w:line="360" w:lineRule="auto"/>
              <w:cnfStyle w:val="000000000000"/>
            </w:pPr>
            <w:r>
              <w:t>0,7</w:t>
            </w:r>
          </w:p>
        </w:tc>
        <w:tc>
          <w:tcPr>
            <w:tcW w:w="2303" w:type="dxa"/>
          </w:tcPr>
          <w:p w:rsidR="005256FB" w:rsidRDefault="005256FB" w:rsidP="002F75C1">
            <w:pPr>
              <w:spacing w:line="360" w:lineRule="auto"/>
              <w:cnfStyle w:val="000000000000"/>
            </w:pPr>
            <w:r>
              <w:t>1,4</w:t>
            </w:r>
          </w:p>
        </w:tc>
      </w:tr>
      <w:tr w:rsidR="005256FB" w:rsidTr="005256FB">
        <w:trPr>
          <w:cnfStyle w:val="000000100000"/>
        </w:trPr>
        <w:tc>
          <w:tcPr>
            <w:cnfStyle w:val="001000000000"/>
            <w:tcW w:w="2303" w:type="dxa"/>
          </w:tcPr>
          <w:p w:rsidR="005256FB" w:rsidRDefault="005256FB" w:rsidP="000957B2">
            <w:pPr>
              <w:spacing w:line="360" w:lineRule="auto"/>
            </w:pPr>
            <w:r>
              <w:t>9</w:t>
            </w:r>
          </w:p>
        </w:tc>
        <w:tc>
          <w:tcPr>
            <w:tcW w:w="2303" w:type="dxa"/>
          </w:tcPr>
          <w:p w:rsidR="005256FB" w:rsidRDefault="005256FB" w:rsidP="002F75C1">
            <w:pPr>
              <w:spacing w:line="360" w:lineRule="auto"/>
              <w:cnfStyle w:val="000000100000"/>
            </w:pPr>
            <w:r>
              <w:t>3,0</w:t>
            </w:r>
          </w:p>
        </w:tc>
        <w:tc>
          <w:tcPr>
            <w:tcW w:w="2303" w:type="dxa"/>
          </w:tcPr>
          <w:p w:rsidR="005256FB" w:rsidRDefault="005256FB" w:rsidP="002F75C1">
            <w:pPr>
              <w:spacing w:line="360" w:lineRule="auto"/>
              <w:cnfStyle w:val="000000100000"/>
            </w:pPr>
            <w:r>
              <w:t>0,8</w:t>
            </w:r>
          </w:p>
        </w:tc>
        <w:tc>
          <w:tcPr>
            <w:tcW w:w="2303" w:type="dxa"/>
          </w:tcPr>
          <w:p w:rsidR="005256FB" w:rsidRDefault="005256FB" w:rsidP="002F75C1">
            <w:pPr>
              <w:spacing w:line="360" w:lineRule="auto"/>
              <w:cnfStyle w:val="000000100000"/>
            </w:pPr>
            <w:r>
              <w:t>1,5</w:t>
            </w:r>
          </w:p>
        </w:tc>
      </w:tr>
      <w:tr w:rsidR="005256FB" w:rsidTr="005256FB">
        <w:tc>
          <w:tcPr>
            <w:cnfStyle w:val="001000000000"/>
            <w:tcW w:w="2303" w:type="dxa"/>
          </w:tcPr>
          <w:p w:rsidR="005256FB" w:rsidRDefault="005256FB" w:rsidP="000957B2">
            <w:pPr>
              <w:spacing w:line="360" w:lineRule="auto"/>
            </w:pPr>
            <w:r>
              <w:t>10</w:t>
            </w:r>
          </w:p>
        </w:tc>
        <w:tc>
          <w:tcPr>
            <w:tcW w:w="2303" w:type="dxa"/>
          </w:tcPr>
          <w:p w:rsidR="005256FB" w:rsidRDefault="005256FB" w:rsidP="002F75C1">
            <w:pPr>
              <w:spacing w:line="360" w:lineRule="auto"/>
              <w:cnfStyle w:val="000000000000"/>
            </w:pPr>
            <w:r>
              <w:t>3,2</w:t>
            </w:r>
          </w:p>
        </w:tc>
        <w:tc>
          <w:tcPr>
            <w:tcW w:w="2303" w:type="dxa"/>
          </w:tcPr>
          <w:p w:rsidR="005256FB" w:rsidRDefault="005256FB" w:rsidP="002F75C1">
            <w:pPr>
              <w:spacing w:line="360" w:lineRule="auto"/>
              <w:cnfStyle w:val="000000000000"/>
            </w:pPr>
            <w:r>
              <w:t>0,9</w:t>
            </w:r>
          </w:p>
        </w:tc>
        <w:tc>
          <w:tcPr>
            <w:tcW w:w="2303" w:type="dxa"/>
          </w:tcPr>
          <w:p w:rsidR="005256FB" w:rsidRDefault="005256FB" w:rsidP="002F75C1">
            <w:pPr>
              <w:spacing w:line="360" w:lineRule="auto"/>
              <w:cnfStyle w:val="000000000000"/>
            </w:pPr>
            <w:r>
              <w:t>1,6</w:t>
            </w:r>
          </w:p>
        </w:tc>
      </w:tr>
    </w:tbl>
    <w:p w:rsidR="00873AD2" w:rsidRDefault="00F0724F" w:rsidP="006E2E81">
      <w:pPr>
        <w:spacing w:line="360" w:lineRule="auto"/>
      </w:pPr>
      <w:r>
        <w:br/>
      </w:r>
      <w:r w:rsidR="00873AD2">
        <w:t>Als laatste heeft de woontoeslag ook een effect op de koopkracht van huishoudens. De introductie van de woontoeslag</w:t>
      </w:r>
      <w:r>
        <w:t xml:space="preserve"> drukt niet de netto prijs van een woningdienst, omdat deze toeslag als een ongebonden inkomensoverdracht valt te kwantificeren. Deze inkomensoverdrachten staan los van de besteding van het inkomen. </w:t>
      </w:r>
      <w:r w:rsidR="006E2E81">
        <w:t xml:space="preserve">In scenario A komen huishoudens in de vijf onderste inkomensdecielen in aanmerking voor de woontoeslag. In scenario B en C betreft dit de zes onderste inkomensdecielen. Deze huishoudens gaan er in hun koopkracht op vooruit. </w:t>
      </w:r>
      <w:r w:rsidR="00F84949">
        <w:t xml:space="preserve">De groep “alle gezinnen” krijgen in scenario A, B en C respectievelijk 600, 700 en 700 euro aan woontoeslag. </w:t>
      </w:r>
    </w:p>
    <w:p w:rsidR="00F84949" w:rsidRDefault="006E2E81" w:rsidP="006E2E81">
      <w:pPr>
        <w:spacing w:line="360" w:lineRule="auto"/>
      </w:pPr>
      <w:r>
        <w:t>De drie v</w:t>
      </w:r>
      <w:r w:rsidR="00AE6986">
        <w:t>oorgaande koopkrachteffecten bij elkaar opgeteld kunnen uitgedrukt worden in een percentage van het besteedbaar huishoudinkomen waarvan sprake zou zijn zonder beleidshervorming.</w:t>
      </w:r>
      <w:r w:rsidR="007D7D7A">
        <w:t xml:space="preserve"> Uit </w:t>
      </w:r>
      <w:r w:rsidR="00F84949">
        <w:t xml:space="preserve">tabel </w:t>
      </w:r>
      <w:r w:rsidR="00865FE5">
        <w:t xml:space="preserve">8.5 </w:t>
      </w:r>
      <w:r w:rsidR="00F84949">
        <w:t xml:space="preserve">valt af te lezen dat nagenoeg alle inkomensdecielen een koopkrachtverbetering hebben ongeacht het scenario. Waar scenario C steeds een middenpositie innam tussen scenario A en B, valt op dat gesommeerde koopkrachteffecten juist het laagst zijn voor scenario C. </w:t>
      </w:r>
      <w:r w:rsidR="004D1AF7">
        <w:t xml:space="preserve">Ook is het opvallend dat er geen duidelijk stijging en/of daling plaatsvindt in het percentage van de verschillende inkomensdeciel. De percentages fluctueren heel erg. </w:t>
      </w:r>
    </w:p>
    <w:p w:rsidR="00F84949" w:rsidRDefault="00F84949" w:rsidP="007D7D7A">
      <w:pPr>
        <w:spacing w:line="360" w:lineRule="auto"/>
        <w:rPr>
          <w:i/>
        </w:rPr>
      </w:pPr>
      <w:r>
        <w:rPr>
          <w:i/>
        </w:rPr>
        <w:br w:type="page"/>
      </w:r>
    </w:p>
    <w:p w:rsidR="006E2E81" w:rsidRDefault="00F84949" w:rsidP="00CC364A">
      <w:pPr>
        <w:spacing w:line="360" w:lineRule="auto"/>
        <w:outlineLvl w:val="0"/>
      </w:pPr>
      <w:r>
        <w:rPr>
          <w:i/>
        </w:rPr>
        <w:lastRenderedPageBreak/>
        <w:t xml:space="preserve">Tabel </w:t>
      </w:r>
      <w:r w:rsidR="00CC364A">
        <w:rPr>
          <w:i/>
        </w:rPr>
        <w:t>8</w:t>
      </w:r>
      <w:r>
        <w:rPr>
          <w:i/>
        </w:rPr>
        <w:t>.5: Koopkrachteffecten na de hervormingen</w:t>
      </w:r>
      <w:r w:rsidR="00AE6986">
        <w:tab/>
      </w:r>
    </w:p>
    <w:tbl>
      <w:tblPr>
        <w:tblStyle w:val="Lichtearcering-accent11"/>
        <w:tblW w:w="0" w:type="auto"/>
        <w:tblLook w:val="04A0"/>
      </w:tblPr>
      <w:tblGrid>
        <w:gridCol w:w="2303"/>
        <w:gridCol w:w="2303"/>
        <w:gridCol w:w="2303"/>
        <w:gridCol w:w="2303"/>
      </w:tblGrid>
      <w:tr w:rsidR="00AE6986" w:rsidTr="00AE6986">
        <w:trPr>
          <w:cnfStyle w:val="100000000000"/>
        </w:trPr>
        <w:tc>
          <w:tcPr>
            <w:cnfStyle w:val="001000000000"/>
            <w:tcW w:w="2303" w:type="dxa"/>
          </w:tcPr>
          <w:p w:rsidR="00AE6986" w:rsidRDefault="00AE6986" w:rsidP="006E2E81">
            <w:pPr>
              <w:spacing w:line="360" w:lineRule="auto"/>
            </w:pPr>
          </w:p>
        </w:tc>
        <w:tc>
          <w:tcPr>
            <w:tcW w:w="6909" w:type="dxa"/>
            <w:gridSpan w:val="3"/>
          </w:tcPr>
          <w:p w:rsidR="00AE6986" w:rsidRDefault="00AE6986" w:rsidP="006E2E81">
            <w:pPr>
              <w:spacing w:line="360" w:lineRule="auto"/>
              <w:cnfStyle w:val="100000000000"/>
            </w:pPr>
            <w:r>
              <w:t>Koopkrachteffecten in procenten (t.o.v. prijspeil 2005)</w:t>
            </w:r>
          </w:p>
        </w:tc>
      </w:tr>
      <w:tr w:rsidR="00AE6986" w:rsidTr="00AE6986">
        <w:trPr>
          <w:cnfStyle w:val="000000100000"/>
        </w:trPr>
        <w:tc>
          <w:tcPr>
            <w:cnfStyle w:val="001000000000"/>
            <w:tcW w:w="2303" w:type="dxa"/>
          </w:tcPr>
          <w:p w:rsidR="00AE6986" w:rsidRDefault="00AE6986" w:rsidP="006E2E81">
            <w:pPr>
              <w:spacing w:line="360" w:lineRule="auto"/>
            </w:pPr>
            <w:r>
              <w:t>Inkomensdeciel</w:t>
            </w:r>
          </w:p>
        </w:tc>
        <w:tc>
          <w:tcPr>
            <w:tcW w:w="2303" w:type="dxa"/>
          </w:tcPr>
          <w:p w:rsidR="00AE6986" w:rsidRPr="00AE6986" w:rsidRDefault="00AE6986" w:rsidP="006E2E81">
            <w:pPr>
              <w:spacing w:line="360" w:lineRule="auto"/>
              <w:cnfStyle w:val="000000100000"/>
              <w:rPr>
                <w:b/>
              </w:rPr>
            </w:pPr>
            <w:r w:rsidRPr="00AE6986">
              <w:rPr>
                <w:b/>
              </w:rPr>
              <w:t>Scenario A</w:t>
            </w:r>
          </w:p>
        </w:tc>
        <w:tc>
          <w:tcPr>
            <w:tcW w:w="2303" w:type="dxa"/>
          </w:tcPr>
          <w:p w:rsidR="00AE6986" w:rsidRPr="00AE6986" w:rsidRDefault="00AE6986" w:rsidP="006E2E81">
            <w:pPr>
              <w:spacing w:line="360" w:lineRule="auto"/>
              <w:cnfStyle w:val="000000100000"/>
              <w:rPr>
                <w:b/>
              </w:rPr>
            </w:pPr>
            <w:r w:rsidRPr="00AE6986">
              <w:rPr>
                <w:b/>
              </w:rPr>
              <w:t>Scenario B</w:t>
            </w:r>
          </w:p>
        </w:tc>
        <w:tc>
          <w:tcPr>
            <w:tcW w:w="2303" w:type="dxa"/>
          </w:tcPr>
          <w:p w:rsidR="00AE6986" w:rsidRPr="00AE6986" w:rsidRDefault="00AE6986" w:rsidP="006E2E81">
            <w:pPr>
              <w:spacing w:line="360" w:lineRule="auto"/>
              <w:cnfStyle w:val="000000100000"/>
              <w:rPr>
                <w:b/>
              </w:rPr>
            </w:pPr>
            <w:r w:rsidRPr="00AE6986">
              <w:rPr>
                <w:b/>
              </w:rPr>
              <w:t>Scenario C</w:t>
            </w:r>
          </w:p>
        </w:tc>
      </w:tr>
      <w:tr w:rsidR="00AE6986" w:rsidTr="00AE6986">
        <w:tc>
          <w:tcPr>
            <w:cnfStyle w:val="001000000000"/>
            <w:tcW w:w="2303" w:type="dxa"/>
          </w:tcPr>
          <w:p w:rsidR="00AE6986" w:rsidRDefault="00AE6986" w:rsidP="006E2E81">
            <w:pPr>
              <w:spacing w:line="360" w:lineRule="auto"/>
            </w:pPr>
            <w:r>
              <w:t>Alle huishoudens</w:t>
            </w:r>
          </w:p>
        </w:tc>
        <w:tc>
          <w:tcPr>
            <w:tcW w:w="2303" w:type="dxa"/>
          </w:tcPr>
          <w:p w:rsidR="00AE6986" w:rsidRDefault="00AE6986" w:rsidP="006E2E81">
            <w:pPr>
              <w:spacing w:line="360" w:lineRule="auto"/>
              <w:cnfStyle w:val="000000000000"/>
            </w:pPr>
            <w:r>
              <w:t>1,5</w:t>
            </w:r>
          </w:p>
        </w:tc>
        <w:tc>
          <w:tcPr>
            <w:tcW w:w="2303" w:type="dxa"/>
          </w:tcPr>
          <w:p w:rsidR="00AE6986" w:rsidRDefault="00AE6986" w:rsidP="006E2E81">
            <w:pPr>
              <w:spacing w:line="360" w:lineRule="auto"/>
              <w:cnfStyle w:val="000000000000"/>
            </w:pPr>
            <w:r>
              <w:t>1,4</w:t>
            </w:r>
          </w:p>
        </w:tc>
        <w:tc>
          <w:tcPr>
            <w:tcW w:w="2303" w:type="dxa"/>
          </w:tcPr>
          <w:p w:rsidR="00AE6986" w:rsidRDefault="00AE6986" w:rsidP="006E2E81">
            <w:pPr>
              <w:spacing w:line="360" w:lineRule="auto"/>
              <w:cnfStyle w:val="000000000000"/>
            </w:pPr>
            <w:r>
              <w:t>1,0</w:t>
            </w:r>
          </w:p>
        </w:tc>
      </w:tr>
      <w:tr w:rsidR="00AE6986" w:rsidTr="00AE6986">
        <w:trPr>
          <w:cnfStyle w:val="000000100000"/>
        </w:trPr>
        <w:tc>
          <w:tcPr>
            <w:cnfStyle w:val="001000000000"/>
            <w:tcW w:w="2303" w:type="dxa"/>
          </w:tcPr>
          <w:p w:rsidR="00AE6986" w:rsidRDefault="00AE6986" w:rsidP="006E2E81">
            <w:pPr>
              <w:spacing w:line="360" w:lineRule="auto"/>
            </w:pPr>
            <w:r>
              <w:t>1</w:t>
            </w:r>
          </w:p>
        </w:tc>
        <w:tc>
          <w:tcPr>
            <w:tcW w:w="2303" w:type="dxa"/>
          </w:tcPr>
          <w:p w:rsidR="00AE6986" w:rsidRDefault="00AE6986" w:rsidP="006E2E81">
            <w:pPr>
              <w:spacing w:line="360" w:lineRule="auto"/>
              <w:cnfStyle w:val="000000100000"/>
            </w:pPr>
            <w:r>
              <w:t>0,4</w:t>
            </w:r>
          </w:p>
        </w:tc>
        <w:tc>
          <w:tcPr>
            <w:tcW w:w="2303" w:type="dxa"/>
          </w:tcPr>
          <w:p w:rsidR="00AE6986" w:rsidRDefault="00AE6986" w:rsidP="006E2E81">
            <w:pPr>
              <w:spacing w:line="360" w:lineRule="auto"/>
              <w:cnfStyle w:val="000000100000"/>
            </w:pPr>
            <w:r>
              <w:t>0,6</w:t>
            </w:r>
          </w:p>
        </w:tc>
        <w:tc>
          <w:tcPr>
            <w:tcW w:w="2303" w:type="dxa"/>
          </w:tcPr>
          <w:p w:rsidR="00AE6986" w:rsidRDefault="00AE6986" w:rsidP="00AE6986">
            <w:pPr>
              <w:spacing w:line="360" w:lineRule="auto"/>
              <w:cnfStyle w:val="000000100000"/>
            </w:pPr>
            <w:r>
              <w:t>0,1</w:t>
            </w:r>
          </w:p>
        </w:tc>
      </w:tr>
      <w:tr w:rsidR="00AE6986" w:rsidTr="00AE6986">
        <w:tc>
          <w:tcPr>
            <w:cnfStyle w:val="001000000000"/>
            <w:tcW w:w="2303" w:type="dxa"/>
          </w:tcPr>
          <w:p w:rsidR="00AE6986" w:rsidRDefault="00AE6986" w:rsidP="006E2E81">
            <w:pPr>
              <w:spacing w:line="360" w:lineRule="auto"/>
            </w:pPr>
            <w:r>
              <w:t>2</w:t>
            </w:r>
          </w:p>
        </w:tc>
        <w:tc>
          <w:tcPr>
            <w:tcW w:w="2303" w:type="dxa"/>
          </w:tcPr>
          <w:p w:rsidR="00AE6986" w:rsidRDefault="00AE6986" w:rsidP="006E2E81">
            <w:pPr>
              <w:spacing w:line="360" w:lineRule="auto"/>
              <w:cnfStyle w:val="000000000000"/>
            </w:pPr>
            <w:r>
              <w:t>1,8</w:t>
            </w:r>
          </w:p>
        </w:tc>
        <w:tc>
          <w:tcPr>
            <w:tcW w:w="2303" w:type="dxa"/>
          </w:tcPr>
          <w:p w:rsidR="00AE6986" w:rsidRDefault="00AE6986" w:rsidP="006E2E81">
            <w:pPr>
              <w:spacing w:line="360" w:lineRule="auto"/>
              <w:cnfStyle w:val="000000000000"/>
            </w:pPr>
            <w:r>
              <w:t>1,2</w:t>
            </w:r>
          </w:p>
        </w:tc>
        <w:tc>
          <w:tcPr>
            <w:tcW w:w="2303" w:type="dxa"/>
          </w:tcPr>
          <w:p w:rsidR="00AE6986" w:rsidRDefault="00AE6986" w:rsidP="006E2E81">
            <w:pPr>
              <w:spacing w:line="360" w:lineRule="auto"/>
              <w:cnfStyle w:val="000000000000"/>
            </w:pPr>
            <w:r>
              <w:t>1,2</w:t>
            </w:r>
          </w:p>
        </w:tc>
      </w:tr>
      <w:tr w:rsidR="00AE6986" w:rsidTr="00AE6986">
        <w:trPr>
          <w:cnfStyle w:val="000000100000"/>
        </w:trPr>
        <w:tc>
          <w:tcPr>
            <w:cnfStyle w:val="001000000000"/>
            <w:tcW w:w="2303" w:type="dxa"/>
          </w:tcPr>
          <w:p w:rsidR="00AE6986" w:rsidRDefault="00AE6986" w:rsidP="006E2E81">
            <w:pPr>
              <w:spacing w:line="360" w:lineRule="auto"/>
            </w:pPr>
            <w:r>
              <w:t>3</w:t>
            </w:r>
          </w:p>
        </w:tc>
        <w:tc>
          <w:tcPr>
            <w:tcW w:w="2303" w:type="dxa"/>
          </w:tcPr>
          <w:p w:rsidR="00AE6986" w:rsidRDefault="00AE6986" w:rsidP="006E2E81">
            <w:pPr>
              <w:spacing w:line="360" w:lineRule="auto"/>
              <w:cnfStyle w:val="000000100000"/>
            </w:pPr>
            <w:r>
              <w:t>0,6</w:t>
            </w:r>
          </w:p>
        </w:tc>
        <w:tc>
          <w:tcPr>
            <w:tcW w:w="2303" w:type="dxa"/>
          </w:tcPr>
          <w:p w:rsidR="00AE6986" w:rsidRDefault="00AE6986" w:rsidP="006E2E81">
            <w:pPr>
              <w:spacing w:line="360" w:lineRule="auto"/>
              <w:cnfStyle w:val="000000100000"/>
            </w:pPr>
            <w:r>
              <w:t>1,0</w:t>
            </w:r>
          </w:p>
        </w:tc>
        <w:tc>
          <w:tcPr>
            <w:tcW w:w="2303" w:type="dxa"/>
          </w:tcPr>
          <w:p w:rsidR="00AE6986" w:rsidRDefault="00AE6986" w:rsidP="006E2E81">
            <w:pPr>
              <w:spacing w:line="360" w:lineRule="auto"/>
              <w:cnfStyle w:val="000000100000"/>
            </w:pPr>
            <w:r>
              <w:t>0,5</w:t>
            </w:r>
          </w:p>
        </w:tc>
      </w:tr>
      <w:tr w:rsidR="00AE6986" w:rsidTr="00AE6986">
        <w:tc>
          <w:tcPr>
            <w:cnfStyle w:val="001000000000"/>
            <w:tcW w:w="2303" w:type="dxa"/>
          </w:tcPr>
          <w:p w:rsidR="00AE6986" w:rsidRDefault="00AE6986" w:rsidP="006E2E81">
            <w:pPr>
              <w:spacing w:line="360" w:lineRule="auto"/>
            </w:pPr>
            <w:r>
              <w:t>4</w:t>
            </w:r>
          </w:p>
        </w:tc>
        <w:tc>
          <w:tcPr>
            <w:tcW w:w="2303" w:type="dxa"/>
          </w:tcPr>
          <w:p w:rsidR="00AE6986" w:rsidRDefault="00AE6986" w:rsidP="006E2E81">
            <w:pPr>
              <w:spacing w:line="360" w:lineRule="auto"/>
              <w:cnfStyle w:val="000000000000"/>
            </w:pPr>
            <w:r>
              <w:t>-0,1</w:t>
            </w:r>
          </w:p>
        </w:tc>
        <w:tc>
          <w:tcPr>
            <w:tcW w:w="2303" w:type="dxa"/>
          </w:tcPr>
          <w:p w:rsidR="00AE6986" w:rsidRDefault="00AE6986" w:rsidP="006E2E81">
            <w:pPr>
              <w:spacing w:line="360" w:lineRule="auto"/>
              <w:cnfStyle w:val="000000000000"/>
            </w:pPr>
            <w:r>
              <w:t>0,6</w:t>
            </w:r>
          </w:p>
        </w:tc>
        <w:tc>
          <w:tcPr>
            <w:tcW w:w="2303" w:type="dxa"/>
          </w:tcPr>
          <w:p w:rsidR="00AE6986" w:rsidRDefault="00AE6986" w:rsidP="006E2E81">
            <w:pPr>
              <w:spacing w:line="360" w:lineRule="auto"/>
              <w:cnfStyle w:val="000000000000"/>
            </w:pPr>
            <w:r>
              <w:t>-0,4</w:t>
            </w:r>
          </w:p>
        </w:tc>
      </w:tr>
      <w:tr w:rsidR="00AE6986" w:rsidTr="00AE6986">
        <w:trPr>
          <w:cnfStyle w:val="000000100000"/>
        </w:trPr>
        <w:tc>
          <w:tcPr>
            <w:cnfStyle w:val="001000000000"/>
            <w:tcW w:w="2303" w:type="dxa"/>
          </w:tcPr>
          <w:p w:rsidR="00AE6986" w:rsidRDefault="00AE6986" w:rsidP="006E2E81">
            <w:pPr>
              <w:spacing w:line="360" w:lineRule="auto"/>
            </w:pPr>
            <w:r>
              <w:t>5</w:t>
            </w:r>
          </w:p>
        </w:tc>
        <w:tc>
          <w:tcPr>
            <w:tcW w:w="2303" w:type="dxa"/>
          </w:tcPr>
          <w:p w:rsidR="00AE6986" w:rsidRDefault="00AE6986" w:rsidP="006E2E81">
            <w:pPr>
              <w:spacing w:line="360" w:lineRule="auto"/>
              <w:cnfStyle w:val="000000100000"/>
            </w:pPr>
            <w:r>
              <w:t>0,4</w:t>
            </w:r>
          </w:p>
        </w:tc>
        <w:tc>
          <w:tcPr>
            <w:tcW w:w="2303" w:type="dxa"/>
          </w:tcPr>
          <w:p w:rsidR="00AE6986" w:rsidRDefault="00AE6986" w:rsidP="006E2E81">
            <w:pPr>
              <w:spacing w:line="360" w:lineRule="auto"/>
              <w:cnfStyle w:val="000000100000"/>
            </w:pPr>
            <w:r>
              <w:t>1,4</w:t>
            </w:r>
          </w:p>
        </w:tc>
        <w:tc>
          <w:tcPr>
            <w:tcW w:w="2303" w:type="dxa"/>
          </w:tcPr>
          <w:p w:rsidR="00AE6986" w:rsidRDefault="00AE6986" w:rsidP="006E2E81">
            <w:pPr>
              <w:spacing w:line="360" w:lineRule="auto"/>
              <w:cnfStyle w:val="000000100000"/>
            </w:pPr>
            <w:r>
              <w:t>0,0</w:t>
            </w:r>
          </w:p>
        </w:tc>
      </w:tr>
      <w:tr w:rsidR="00AE6986" w:rsidTr="00AE6986">
        <w:tc>
          <w:tcPr>
            <w:cnfStyle w:val="001000000000"/>
            <w:tcW w:w="2303" w:type="dxa"/>
          </w:tcPr>
          <w:p w:rsidR="00AE6986" w:rsidRDefault="00AE6986" w:rsidP="006E2E81">
            <w:pPr>
              <w:spacing w:line="360" w:lineRule="auto"/>
            </w:pPr>
            <w:r>
              <w:t>6</w:t>
            </w:r>
          </w:p>
        </w:tc>
        <w:tc>
          <w:tcPr>
            <w:tcW w:w="2303" w:type="dxa"/>
          </w:tcPr>
          <w:p w:rsidR="00AE6986" w:rsidRDefault="00AE6986" w:rsidP="006E2E81">
            <w:pPr>
              <w:spacing w:line="360" w:lineRule="auto"/>
              <w:cnfStyle w:val="000000000000"/>
            </w:pPr>
            <w:r>
              <w:t>1,1</w:t>
            </w:r>
          </w:p>
        </w:tc>
        <w:tc>
          <w:tcPr>
            <w:tcW w:w="2303" w:type="dxa"/>
          </w:tcPr>
          <w:p w:rsidR="00AE6986" w:rsidRDefault="00AE6986" w:rsidP="006E2E81">
            <w:pPr>
              <w:spacing w:line="360" w:lineRule="auto"/>
              <w:cnfStyle w:val="000000000000"/>
            </w:pPr>
            <w:r>
              <w:t>0,9</w:t>
            </w:r>
          </w:p>
        </w:tc>
        <w:tc>
          <w:tcPr>
            <w:tcW w:w="2303" w:type="dxa"/>
          </w:tcPr>
          <w:p w:rsidR="00AE6986" w:rsidRDefault="00AE6986" w:rsidP="006E2E81">
            <w:pPr>
              <w:spacing w:line="360" w:lineRule="auto"/>
              <w:cnfStyle w:val="000000000000"/>
            </w:pPr>
            <w:r>
              <w:t>0,0</w:t>
            </w:r>
          </w:p>
        </w:tc>
      </w:tr>
      <w:tr w:rsidR="00AE6986" w:rsidTr="00AE6986">
        <w:trPr>
          <w:cnfStyle w:val="000000100000"/>
        </w:trPr>
        <w:tc>
          <w:tcPr>
            <w:cnfStyle w:val="001000000000"/>
            <w:tcW w:w="2303" w:type="dxa"/>
          </w:tcPr>
          <w:p w:rsidR="00AE6986" w:rsidRDefault="00AE6986" w:rsidP="006E2E81">
            <w:pPr>
              <w:spacing w:line="360" w:lineRule="auto"/>
            </w:pPr>
            <w:r>
              <w:t>7</w:t>
            </w:r>
          </w:p>
        </w:tc>
        <w:tc>
          <w:tcPr>
            <w:tcW w:w="2303" w:type="dxa"/>
          </w:tcPr>
          <w:p w:rsidR="00AE6986" w:rsidRDefault="00AE6986" w:rsidP="006E2E81">
            <w:pPr>
              <w:spacing w:line="360" w:lineRule="auto"/>
              <w:cnfStyle w:val="000000100000"/>
            </w:pPr>
            <w:r>
              <w:t>2,1</w:t>
            </w:r>
          </w:p>
        </w:tc>
        <w:tc>
          <w:tcPr>
            <w:tcW w:w="2303" w:type="dxa"/>
          </w:tcPr>
          <w:p w:rsidR="00AE6986" w:rsidRDefault="00AE6986" w:rsidP="006E2E81">
            <w:pPr>
              <w:spacing w:line="360" w:lineRule="auto"/>
              <w:cnfStyle w:val="000000100000"/>
            </w:pPr>
            <w:r>
              <w:t>1,2</w:t>
            </w:r>
          </w:p>
        </w:tc>
        <w:tc>
          <w:tcPr>
            <w:tcW w:w="2303" w:type="dxa"/>
          </w:tcPr>
          <w:p w:rsidR="00AE6986" w:rsidRDefault="00AE6986" w:rsidP="006E2E81">
            <w:pPr>
              <w:spacing w:line="360" w:lineRule="auto"/>
              <w:cnfStyle w:val="000000100000"/>
            </w:pPr>
            <w:r>
              <w:t>0,8</w:t>
            </w:r>
          </w:p>
        </w:tc>
      </w:tr>
      <w:tr w:rsidR="00AE6986" w:rsidTr="00AE6986">
        <w:tc>
          <w:tcPr>
            <w:cnfStyle w:val="001000000000"/>
            <w:tcW w:w="2303" w:type="dxa"/>
          </w:tcPr>
          <w:p w:rsidR="00AE6986" w:rsidRDefault="00AE6986" w:rsidP="006E2E81">
            <w:pPr>
              <w:spacing w:line="360" w:lineRule="auto"/>
            </w:pPr>
            <w:r>
              <w:t>8</w:t>
            </w:r>
          </w:p>
        </w:tc>
        <w:tc>
          <w:tcPr>
            <w:tcW w:w="2303" w:type="dxa"/>
          </w:tcPr>
          <w:p w:rsidR="00AE6986" w:rsidRDefault="00AE6986" w:rsidP="006E2E81">
            <w:pPr>
              <w:spacing w:line="360" w:lineRule="auto"/>
              <w:cnfStyle w:val="000000000000"/>
            </w:pPr>
            <w:r>
              <w:t>2,6</w:t>
            </w:r>
          </w:p>
        </w:tc>
        <w:tc>
          <w:tcPr>
            <w:tcW w:w="2303" w:type="dxa"/>
          </w:tcPr>
          <w:p w:rsidR="00AE6986" w:rsidRDefault="00AE6986" w:rsidP="006E2E81">
            <w:pPr>
              <w:spacing w:line="360" w:lineRule="auto"/>
              <w:cnfStyle w:val="000000000000"/>
            </w:pPr>
            <w:r>
              <w:t>1,6</w:t>
            </w:r>
          </w:p>
        </w:tc>
        <w:tc>
          <w:tcPr>
            <w:tcW w:w="2303" w:type="dxa"/>
          </w:tcPr>
          <w:p w:rsidR="00AE6986" w:rsidRDefault="00AE6986" w:rsidP="006E2E81">
            <w:pPr>
              <w:spacing w:line="360" w:lineRule="auto"/>
              <w:cnfStyle w:val="000000000000"/>
            </w:pPr>
            <w:r>
              <w:t>1,5</w:t>
            </w:r>
          </w:p>
        </w:tc>
      </w:tr>
      <w:tr w:rsidR="00AE6986" w:rsidTr="00AE6986">
        <w:trPr>
          <w:cnfStyle w:val="000000100000"/>
        </w:trPr>
        <w:tc>
          <w:tcPr>
            <w:cnfStyle w:val="001000000000"/>
            <w:tcW w:w="2303" w:type="dxa"/>
          </w:tcPr>
          <w:p w:rsidR="00AE6986" w:rsidRDefault="00AE6986" w:rsidP="006E2E81">
            <w:pPr>
              <w:spacing w:line="360" w:lineRule="auto"/>
            </w:pPr>
            <w:r>
              <w:t>9</w:t>
            </w:r>
          </w:p>
        </w:tc>
        <w:tc>
          <w:tcPr>
            <w:tcW w:w="2303" w:type="dxa"/>
          </w:tcPr>
          <w:p w:rsidR="00AE6986" w:rsidRDefault="00AE6986" w:rsidP="006E2E81">
            <w:pPr>
              <w:spacing w:line="360" w:lineRule="auto"/>
              <w:cnfStyle w:val="000000100000"/>
            </w:pPr>
            <w:r>
              <w:t>2,5</w:t>
            </w:r>
          </w:p>
        </w:tc>
        <w:tc>
          <w:tcPr>
            <w:tcW w:w="2303" w:type="dxa"/>
          </w:tcPr>
          <w:p w:rsidR="00AE6986" w:rsidRDefault="00AE6986" w:rsidP="006E2E81">
            <w:pPr>
              <w:spacing w:line="360" w:lineRule="auto"/>
              <w:cnfStyle w:val="000000100000"/>
            </w:pPr>
            <w:r>
              <w:t>2,0</w:t>
            </w:r>
          </w:p>
        </w:tc>
        <w:tc>
          <w:tcPr>
            <w:tcW w:w="2303" w:type="dxa"/>
          </w:tcPr>
          <w:p w:rsidR="00AE6986" w:rsidRDefault="00AE6986" w:rsidP="006E2E81">
            <w:pPr>
              <w:spacing w:line="360" w:lineRule="auto"/>
              <w:cnfStyle w:val="000000100000"/>
            </w:pPr>
            <w:r>
              <w:t>1,8</w:t>
            </w:r>
          </w:p>
        </w:tc>
      </w:tr>
      <w:tr w:rsidR="00AE6986" w:rsidTr="00AE6986">
        <w:tc>
          <w:tcPr>
            <w:cnfStyle w:val="001000000000"/>
            <w:tcW w:w="2303" w:type="dxa"/>
          </w:tcPr>
          <w:p w:rsidR="00AE6986" w:rsidRDefault="00AE6986" w:rsidP="006E2E81">
            <w:pPr>
              <w:spacing w:line="360" w:lineRule="auto"/>
            </w:pPr>
            <w:r>
              <w:t>10</w:t>
            </w:r>
          </w:p>
        </w:tc>
        <w:tc>
          <w:tcPr>
            <w:tcW w:w="2303" w:type="dxa"/>
          </w:tcPr>
          <w:p w:rsidR="00AE6986" w:rsidRDefault="00AE6986" w:rsidP="006E2E81">
            <w:pPr>
              <w:spacing w:line="360" w:lineRule="auto"/>
              <w:cnfStyle w:val="000000000000"/>
            </w:pPr>
            <w:r>
              <w:t>1,0</w:t>
            </w:r>
          </w:p>
        </w:tc>
        <w:tc>
          <w:tcPr>
            <w:tcW w:w="2303" w:type="dxa"/>
          </w:tcPr>
          <w:p w:rsidR="00AE6986" w:rsidRDefault="00AE6986" w:rsidP="006E2E81">
            <w:pPr>
              <w:spacing w:line="360" w:lineRule="auto"/>
              <w:cnfStyle w:val="000000000000"/>
            </w:pPr>
            <w:r>
              <w:t>0,8</w:t>
            </w:r>
          </w:p>
        </w:tc>
        <w:tc>
          <w:tcPr>
            <w:tcW w:w="2303" w:type="dxa"/>
          </w:tcPr>
          <w:p w:rsidR="00AE6986" w:rsidRDefault="00AE6986" w:rsidP="006E2E81">
            <w:pPr>
              <w:spacing w:line="360" w:lineRule="auto"/>
              <w:cnfStyle w:val="000000000000"/>
            </w:pPr>
            <w:r>
              <w:t>1,2</w:t>
            </w:r>
          </w:p>
        </w:tc>
      </w:tr>
    </w:tbl>
    <w:p w:rsidR="00A10074" w:rsidRDefault="00A10074" w:rsidP="006E2E81">
      <w:pPr>
        <w:spacing w:line="360" w:lineRule="auto"/>
      </w:pPr>
    </w:p>
    <w:p w:rsidR="00865FE5" w:rsidRDefault="00865FE5" w:rsidP="006E2E81">
      <w:pPr>
        <w:spacing w:line="360" w:lineRule="auto"/>
      </w:pPr>
      <w:r>
        <w:t>Het koopkrachteffect voor alle huishoudens is in scenario A het hoogst, gevolgd door scenario B en scenario C. Wel is het koopkrachteffect voor de laagste inkomensdecielen in scenario A gemiddeld lager dan in scenario B. Vanuit een nivellerend oogpunt gaat de voorkeur uit naar scenario B. De hoogste inkomensdecielen hebben in dit scenario relatief minder profijt dan in scenario A.</w:t>
      </w:r>
    </w:p>
    <w:p w:rsidR="00A10074" w:rsidRDefault="00A10074">
      <w:r>
        <w:br w:type="page"/>
      </w:r>
    </w:p>
    <w:p w:rsidR="00A10074" w:rsidRDefault="00FB309E" w:rsidP="00F81C8A">
      <w:pPr>
        <w:tabs>
          <w:tab w:val="left" w:pos="2694"/>
        </w:tabs>
        <w:spacing w:line="360" w:lineRule="auto"/>
        <w:outlineLvl w:val="0"/>
        <w:rPr>
          <w:i/>
          <w:sz w:val="26"/>
          <w:szCs w:val="26"/>
        </w:rPr>
      </w:pPr>
      <w:r>
        <w:rPr>
          <w:i/>
          <w:sz w:val="26"/>
          <w:szCs w:val="26"/>
        </w:rPr>
        <w:lastRenderedPageBreak/>
        <w:t xml:space="preserve">9 </w:t>
      </w:r>
      <w:r w:rsidR="00A10074">
        <w:rPr>
          <w:i/>
          <w:sz w:val="26"/>
          <w:szCs w:val="26"/>
        </w:rPr>
        <w:t>Conclusie</w:t>
      </w:r>
    </w:p>
    <w:p w:rsidR="004F6754" w:rsidRDefault="00F81C8A" w:rsidP="00F81C8A">
      <w:pPr>
        <w:tabs>
          <w:tab w:val="left" w:pos="2694"/>
        </w:tabs>
        <w:spacing w:line="360" w:lineRule="auto"/>
        <w:outlineLvl w:val="0"/>
      </w:pPr>
      <w:r>
        <w:t xml:space="preserve">De Nederlandse woningmarkt wordt sterk gesubsidieerd door de overheid. De belangrijkste overheidsbemoeienis op de koopmarkt betreft de hypotheekrenteaftrek en de bescheiden eigenwoningforfait waarmee een netto subsidiëring van 15,2 miljard euro in 2010 gepaard gaat. Ook op de markt voor huurwoningen wordt middels de huurprijsregulering en de huurtoeslag een subsidie voor huurders bewerkstelligd. </w:t>
      </w:r>
      <w:r w:rsidR="001F02C7">
        <w:t>Door de overheidsbemoeienis functioneert</w:t>
      </w:r>
      <w:r w:rsidR="00233470">
        <w:t xml:space="preserve"> de Nederlandse woningmarkt ondoelmatig en niet effectief. Een greep uit deze ondoelmatigheden zijn de lage aanbodelasticiteit van woningen die alleen maar heeft geleidt tot gestegen woningprijzen, fiscale arbitrage tussen verschillende vermogensvormen, scheefwonen op de huurmarkt en de fiscale behandeling van de eigen woning</w:t>
      </w:r>
      <w:r w:rsidR="004F6754">
        <w:t>.</w:t>
      </w:r>
    </w:p>
    <w:p w:rsidR="004F6754" w:rsidRDefault="001F02C7" w:rsidP="004F6754">
      <w:pPr>
        <w:tabs>
          <w:tab w:val="left" w:pos="2694"/>
        </w:tabs>
        <w:spacing w:line="360" w:lineRule="auto"/>
        <w:outlineLvl w:val="0"/>
      </w:pPr>
      <w:r>
        <w:t xml:space="preserve">Deze bachelorscriptie heeft zich vooral gefocust op de </w:t>
      </w:r>
      <w:r w:rsidR="00233470">
        <w:t>fiscale</w:t>
      </w:r>
      <w:r>
        <w:t xml:space="preserve"> behandeling van de eigen woning. De </w:t>
      </w:r>
      <w:r w:rsidR="001641B4">
        <w:t xml:space="preserve">impliciete subsidie </w:t>
      </w:r>
      <w:r>
        <w:t xml:space="preserve">via de hypotheekrenteaftrek </w:t>
      </w:r>
      <w:r w:rsidR="00233470">
        <w:t xml:space="preserve">heeft als doel om het eigenwoningbezit te stimuleren. </w:t>
      </w:r>
      <w:r w:rsidR="004F6754">
        <w:t>De vermeende positieve effecten van eigenwoningbezit voor de Nederlandse maatschappij hebben jarenlang ee</w:t>
      </w:r>
      <w:r w:rsidR="001641B4">
        <w:t>n taboe gelegd op het “h-woord”</w:t>
      </w:r>
      <w:r w:rsidR="004F6754">
        <w:t xml:space="preserve">. </w:t>
      </w:r>
      <w:r w:rsidR="005E41BC">
        <w:t>Nu blijkt d</w:t>
      </w:r>
      <w:r w:rsidR="00F51AA2">
        <w:t xml:space="preserve">at de hypotheekrenteaftrek eigenwoningbezitters vooral heeft gestimuleerd in het </w:t>
      </w:r>
      <w:r w:rsidR="006A5F34">
        <w:t>aangaan van een hypotheekschuld, wat</w:t>
      </w:r>
      <w:r w:rsidR="00F51AA2">
        <w:t xml:space="preserve"> drie onnodig gro</w:t>
      </w:r>
      <w:r w:rsidR="006A5F34">
        <w:t xml:space="preserve">te financiële risico’s met zich </w:t>
      </w:r>
      <w:r w:rsidR="00F51AA2">
        <w:t xml:space="preserve">mee </w:t>
      </w:r>
      <w:r w:rsidR="006A5F34">
        <w:t xml:space="preserve">brengt </w:t>
      </w:r>
      <w:r w:rsidR="00F51AA2">
        <w:t xml:space="preserve">voor </w:t>
      </w:r>
      <w:r w:rsidR="006A5F34">
        <w:t>zowel huishoudens als</w:t>
      </w:r>
      <w:r w:rsidR="00F51AA2">
        <w:t xml:space="preserve"> hypotheekverstrekkers. Allereerst het betalingsrisico wanneer de woonlasten toenemen of het besteedbaar inkomen daalt. Daarnaast het vermogensrisico als de woningen in hun waarde dalen, zodat een restschuld overblijft bij verkoop van de eigenwoning. Ten slotte vergroten de voorgaande twee risico’s het kredietrisico voor hypotheekverstrekkers. </w:t>
      </w:r>
      <w:r w:rsidR="001641B4">
        <w:t>De ondoelmatigheden op de woningmarkt en de grote financiële risico</w:t>
      </w:r>
      <w:r w:rsidR="005E41BC">
        <w:t>’</w:t>
      </w:r>
      <w:r w:rsidR="001641B4">
        <w:t xml:space="preserve">s </w:t>
      </w:r>
      <w:r w:rsidR="005E41BC">
        <w:t>moeten aangepakt worden. Ik pleit daarom</w:t>
      </w:r>
      <w:r w:rsidR="001641B4">
        <w:t xml:space="preserve"> voor een algehele hervorming van de woningmarkt.</w:t>
      </w:r>
    </w:p>
    <w:p w:rsidR="00476250" w:rsidRDefault="001641B4" w:rsidP="004F6754">
      <w:pPr>
        <w:tabs>
          <w:tab w:val="left" w:pos="2694"/>
        </w:tabs>
        <w:spacing w:line="360" w:lineRule="auto"/>
        <w:outlineLvl w:val="0"/>
      </w:pPr>
      <w:r>
        <w:t>Drie mogelijke hervormingen van het Nederlandse woonbeleid zijn geschetst i</w:t>
      </w:r>
      <w:r w:rsidR="00F51AA2">
        <w:t xml:space="preserve">n een bijzondere publicatie van het Centraal Planbureau. </w:t>
      </w:r>
      <w:r w:rsidR="007B677E">
        <w:t>I</w:t>
      </w:r>
      <w:r w:rsidR="005E41BC">
        <w:t>n ieder</w:t>
      </w:r>
      <w:r w:rsidR="007B677E">
        <w:t xml:space="preserve"> scenario wordt de huurprijsregulering, de huurtoeslag en de overdrachtsbelasting afgeschaft. Ook wordt de fiscale behandeling van de eigen woning in ieder scenario verplaatst naar box 3 van de loon- en inkomenstenbelasting. De fiscale arbitrage tussen verschillende vermogensvormen vindt hierdoor niet meer plaats. Eigenwoningbezitters zullen meer geneigd om hun hypotheekschuld af te lossen. </w:t>
      </w:r>
      <w:r w:rsidR="00476250">
        <w:t>Concluderend</w:t>
      </w:r>
      <w:r w:rsidR="00EC2830">
        <w:t>,</w:t>
      </w:r>
      <w:r w:rsidR="00476250">
        <w:t xml:space="preserve"> is ieder scenario in dat opzicht dus een goede hervorming. </w:t>
      </w:r>
    </w:p>
    <w:p w:rsidR="005370B4" w:rsidRDefault="005370B4" w:rsidP="004F6754">
      <w:pPr>
        <w:tabs>
          <w:tab w:val="left" w:pos="2694"/>
        </w:tabs>
        <w:spacing w:line="360" w:lineRule="auto"/>
        <w:outlineLvl w:val="0"/>
      </w:pPr>
      <w:r>
        <w:t xml:space="preserve">De drie scenario’s verschillen in de mate waarop de fiscale subsidies voor koopwoningen worden afgeschaft. In scenario A verdwijnen alle fiscale subsidies op den duur. Scenario B laat de fiscale subsidies het meest ongewijzigd en scenario C neemt een middenpositie in. </w:t>
      </w:r>
      <w:r w:rsidR="00476250">
        <w:t xml:space="preserve">Deze verschillen tussen </w:t>
      </w:r>
      <w:r w:rsidR="00476250">
        <w:lastRenderedPageBreak/>
        <w:t>de scenario’s komen tot uiting in de hoogte van de daling van de prijzen voor koopwoningen. D</w:t>
      </w:r>
      <w:r>
        <w:t xml:space="preserve">eze daling </w:t>
      </w:r>
      <w:r w:rsidR="00476250">
        <w:t>is het grootst</w:t>
      </w:r>
      <w:r>
        <w:t xml:space="preserve"> vo</w:t>
      </w:r>
      <w:r w:rsidR="00476250">
        <w:t xml:space="preserve">or scenario A en het kleinst </w:t>
      </w:r>
      <w:r>
        <w:t xml:space="preserve">voor scenario B. De daling van de huizenprijzen gaat gepaard met een groter vermogensrisico voor eigenwoningbezitters. </w:t>
      </w:r>
    </w:p>
    <w:p w:rsidR="00F51AA2" w:rsidRDefault="005370B4" w:rsidP="004F6754">
      <w:pPr>
        <w:tabs>
          <w:tab w:val="left" w:pos="2694"/>
        </w:tabs>
        <w:spacing w:line="360" w:lineRule="auto"/>
        <w:outlineLvl w:val="0"/>
      </w:pPr>
      <w:r>
        <w:t xml:space="preserve">De netto prijs van een woningdienst, het gewogen gemiddelde van de netto prijzen van een koopwoningdienst en van een huurwoningdienst, neemt door de hervormingen in alle scenario’s toe. </w:t>
      </w:r>
      <w:r w:rsidR="00476250">
        <w:t>D</w:t>
      </w:r>
      <w:r w:rsidR="00524537">
        <w:t xml:space="preserve">eze toename in woonlasten </w:t>
      </w:r>
      <w:r w:rsidR="00476250">
        <w:t>wordt gecompenseerd met een</w:t>
      </w:r>
      <w:r w:rsidR="00524537">
        <w:t xml:space="preserve"> lastenverlichting in de vorm van de afschaffing van de overdrachtsbelasting en een verlaging van de loon- en in</w:t>
      </w:r>
      <w:r w:rsidR="004D0ED2">
        <w:t>komstenbelasting. Per saldo</w:t>
      </w:r>
      <w:r w:rsidR="00524537">
        <w:t xml:space="preserve"> hebben nagenoeg alle inkomensdecielen na de hervormingen een koopkrachtverbetering. Het koopkrachteffect voor scenario A is gemiddeld het hoogst en voor scenario C het laagst. Scenario B heeft echter de meest nivellerende werking in koopkrachtverbetering ten opzichte van de and</w:t>
      </w:r>
      <w:r w:rsidR="005E41BC">
        <w:t xml:space="preserve">ere scenario’s en geniet mijn voorkeur. </w:t>
      </w:r>
      <w:r w:rsidR="00524537">
        <w:t xml:space="preserve">De laagste inkomensdecielen hebben in scenario B relatief het meeste profijt ten opzichte van de hoogste inkomensdecielen.  </w:t>
      </w:r>
    </w:p>
    <w:p w:rsidR="006A5F34" w:rsidRDefault="006A5F34" w:rsidP="004F6754">
      <w:pPr>
        <w:tabs>
          <w:tab w:val="left" w:pos="2694"/>
        </w:tabs>
        <w:spacing w:line="360" w:lineRule="auto"/>
        <w:outlineLvl w:val="0"/>
      </w:pPr>
    </w:p>
    <w:p w:rsidR="005370B4" w:rsidRDefault="005370B4" w:rsidP="004F6754">
      <w:pPr>
        <w:tabs>
          <w:tab w:val="left" w:pos="2694"/>
        </w:tabs>
        <w:spacing w:line="360" w:lineRule="auto"/>
        <w:outlineLvl w:val="0"/>
      </w:pPr>
    </w:p>
    <w:p w:rsidR="00A10074" w:rsidRDefault="00A10074" w:rsidP="0035300C">
      <w:pPr>
        <w:spacing w:line="360" w:lineRule="auto"/>
        <w:rPr>
          <w:i/>
          <w:sz w:val="26"/>
          <w:szCs w:val="26"/>
        </w:rPr>
      </w:pPr>
      <w:r>
        <w:rPr>
          <w:i/>
          <w:sz w:val="26"/>
          <w:szCs w:val="26"/>
        </w:rPr>
        <w:br w:type="page"/>
      </w:r>
    </w:p>
    <w:p w:rsidR="00AE6986" w:rsidRDefault="00EA5468" w:rsidP="0035300C">
      <w:pPr>
        <w:spacing w:line="360" w:lineRule="auto"/>
        <w:rPr>
          <w:i/>
          <w:sz w:val="26"/>
          <w:szCs w:val="26"/>
        </w:rPr>
      </w:pPr>
      <w:r>
        <w:rPr>
          <w:i/>
          <w:sz w:val="26"/>
          <w:szCs w:val="26"/>
        </w:rPr>
        <w:lastRenderedPageBreak/>
        <w:t xml:space="preserve">10 </w:t>
      </w:r>
      <w:r w:rsidR="00A10074">
        <w:rPr>
          <w:i/>
          <w:sz w:val="26"/>
          <w:szCs w:val="26"/>
        </w:rPr>
        <w:t>Referenties</w:t>
      </w:r>
    </w:p>
    <w:p w:rsidR="0035300C" w:rsidRDefault="0035300C" w:rsidP="0035300C">
      <w:pPr>
        <w:spacing w:line="360" w:lineRule="auto"/>
      </w:pPr>
      <w:r>
        <w:t>Centraal Fonds Volkshuisvesting (november 2009) “Verslag Financieel toezicht woningcorporaties”</w:t>
      </w:r>
    </w:p>
    <w:p w:rsidR="00395F2F" w:rsidRDefault="00395F2F" w:rsidP="0035300C">
      <w:pPr>
        <w:spacing w:line="360" w:lineRule="auto"/>
      </w:pPr>
      <w:r>
        <w:t>Centraal Planbureau (april 2010) “Hervorming van het Nederlandse woonbeleid”</w:t>
      </w:r>
    </w:p>
    <w:p w:rsidR="00EA5468" w:rsidRDefault="00EA5468" w:rsidP="0035300C">
      <w:pPr>
        <w:spacing w:line="360" w:lineRule="auto"/>
      </w:pPr>
      <w:r>
        <w:t>Commissie Sociaal-Economische Deskundigen (april 2010) “Naar een integrale hervorming van de woningmarkt”</w:t>
      </w:r>
    </w:p>
    <w:p w:rsidR="00EA5468" w:rsidRDefault="00EA5468" w:rsidP="0035300C">
      <w:pPr>
        <w:spacing w:line="360" w:lineRule="auto"/>
      </w:pPr>
      <w:r>
        <w:t>De Nederlandsche Bank</w:t>
      </w:r>
      <w:r w:rsidR="002853C5">
        <w:t xml:space="preserve"> &amp; </w:t>
      </w:r>
      <w:r>
        <w:t>A</w:t>
      </w:r>
      <w:r w:rsidR="002853C5">
        <w:t xml:space="preserve">utoriteit </w:t>
      </w:r>
      <w:r>
        <w:t>F</w:t>
      </w:r>
      <w:r w:rsidR="002853C5">
        <w:t xml:space="preserve">inanciële </w:t>
      </w:r>
      <w:r>
        <w:t>M</w:t>
      </w:r>
      <w:r w:rsidR="002853C5">
        <w:t>arkten</w:t>
      </w:r>
      <w:r>
        <w:t xml:space="preserve"> (september 2009) “Risico’s op de hypotheekmarkt voor huishoudens en hypotheekverstrekkers</w:t>
      </w:r>
      <w:r w:rsidR="002853C5">
        <w:t>”</w:t>
      </w:r>
    </w:p>
    <w:p w:rsidR="002853C5" w:rsidRDefault="002853C5" w:rsidP="0035300C">
      <w:pPr>
        <w:spacing w:line="360" w:lineRule="auto"/>
      </w:pPr>
      <w:r>
        <w:t>Elsinga, M. &amp; Hoekstra, J. (augustus 2004) “Op eigen kracht: eigenwoningbezit in Nederland”</w:t>
      </w:r>
    </w:p>
    <w:p w:rsidR="002853C5" w:rsidRDefault="002853C5" w:rsidP="0035300C">
      <w:pPr>
        <w:spacing w:line="360" w:lineRule="auto"/>
      </w:pPr>
      <w:r>
        <w:t>Ewijk, C. van, Koning, M., Lever, M. &amp; Mooij, R. de (september 2006) “Economische effecten van aanpassing fiscale behandeling eigen woning”</w:t>
      </w:r>
    </w:p>
    <w:p w:rsidR="009343FD" w:rsidRDefault="009343FD" w:rsidP="009343FD">
      <w:pPr>
        <w:pStyle w:val="Voetnoottekst"/>
        <w:spacing w:after="240" w:line="360" w:lineRule="auto"/>
      </w:pPr>
      <w:r w:rsidRPr="009343FD">
        <w:rPr>
          <w:sz w:val="22"/>
          <w:szCs w:val="22"/>
        </w:rPr>
        <w:t>Ewijk, C.</w:t>
      </w:r>
      <w:r>
        <w:rPr>
          <w:sz w:val="22"/>
          <w:szCs w:val="22"/>
        </w:rPr>
        <w:t xml:space="preserve"> van &amp;</w:t>
      </w:r>
      <w:r w:rsidRPr="009343FD">
        <w:rPr>
          <w:sz w:val="22"/>
          <w:szCs w:val="22"/>
        </w:rPr>
        <w:t xml:space="preserve"> Rele, H.</w:t>
      </w:r>
      <w:r>
        <w:rPr>
          <w:sz w:val="22"/>
          <w:szCs w:val="22"/>
        </w:rPr>
        <w:t xml:space="preserve"> ter</w:t>
      </w:r>
      <w:r w:rsidRPr="009343FD">
        <w:rPr>
          <w:sz w:val="22"/>
          <w:szCs w:val="22"/>
        </w:rPr>
        <w:t xml:space="preserve"> (2008) “Macro-economische verkenning van de huizenmarkt”</w:t>
      </w:r>
    </w:p>
    <w:p w:rsidR="002853C5" w:rsidRDefault="002853C5" w:rsidP="0035300C">
      <w:pPr>
        <w:spacing w:line="360" w:lineRule="auto"/>
      </w:pPr>
      <w:r w:rsidRPr="0035300C">
        <w:t xml:space="preserve">Ministerie van Financiën (april 2010) </w:t>
      </w:r>
      <w:r w:rsidR="00A651B3" w:rsidRPr="0035300C">
        <w:t>“</w:t>
      </w:r>
      <w:r w:rsidRPr="0035300C">
        <w:t>Rapport brede heroverwegingen 4. Wonen</w:t>
      </w:r>
      <w:r w:rsidR="00A651B3" w:rsidRPr="0035300C">
        <w:t>”</w:t>
      </w:r>
    </w:p>
    <w:p w:rsidR="00F47145" w:rsidRDefault="00F47145" w:rsidP="0035300C">
      <w:pPr>
        <w:spacing w:line="360" w:lineRule="auto"/>
      </w:pPr>
      <w:r>
        <w:t>Ministerie van Volkshuisvesting, Ruimtelijke Ordening en Milieubeheer &amp; Centraal Bureau voor de Statistiek (2009) “Het wonen overwogen”</w:t>
      </w:r>
    </w:p>
    <w:p w:rsidR="0035300C" w:rsidRPr="0035300C" w:rsidRDefault="0035300C" w:rsidP="0035300C">
      <w:pPr>
        <w:spacing w:line="360" w:lineRule="auto"/>
        <w:rPr>
          <w:lang w:val="en-US"/>
        </w:rPr>
      </w:pPr>
      <w:r w:rsidRPr="0035300C">
        <w:rPr>
          <w:lang w:val="en-US"/>
        </w:rPr>
        <w:t>Scanlon, K. en Whitehead, C. (2007) “Social housing in Europe”</w:t>
      </w:r>
    </w:p>
    <w:p w:rsidR="009343FD" w:rsidRPr="00DA7905" w:rsidRDefault="009343FD" w:rsidP="00DA7905">
      <w:pPr>
        <w:spacing w:line="360" w:lineRule="auto"/>
        <w:rPr>
          <w:lang w:val="en-US"/>
        </w:rPr>
      </w:pPr>
      <w:r w:rsidRPr="00DA7905">
        <w:rPr>
          <w:lang w:val="en-US"/>
        </w:rPr>
        <w:t>www.cbs.nl/nl-NL/menu/themas/inkomen-bestedingen/publicaties/artikelen/archief/2010/2010-3118-wm.htm?RefererType=RSSItem</w:t>
      </w:r>
    </w:p>
    <w:p w:rsidR="00F47145" w:rsidRPr="006C39F8" w:rsidRDefault="00C65841" w:rsidP="00F47145">
      <w:pPr>
        <w:pStyle w:val="Voetnoottekst"/>
        <w:spacing w:after="240" w:line="360" w:lineRule="auto"/>
        <w:rPr>
          <w:sz w:val="22"/>
          <w:szCs w:val="22"/>
          <w:lang w:val="en-US"/>
        </w:rPr>
      </w:pPr>
      <w:hyperlink r:id="rId17" w:history="1">
        <w:r w:rsidR="00DA7905" w:rsidRPr="006C39F8">
          <w:rPr>
            <w:rStyle w:val="Hyperlink"/>
            <w:color w:val="auto"/>
            <w:sz w:val="22"/>
            <w:szCs w:val="22"/>
            <w:u w:val="none"/>
            <w:lang w:val="en-US"/>
          </w:rPr>
          <w:t>www.kei-centrum.nl/view.cfm?page_id=1893&amp;item_type=nieuws&amp;item_id=3131</w:t>
        </w:r>
      </w:hyperlink>
    </w:p>
    <w:p w:rsidR="001E7A2A" w:rsidRPr="006C39F8" w:rsidRDefault="001E7A2A" w:rsidP="00F47145">
      <w:pPr>
        <w:pStyle w:val="Voetnoottekst"/>
        <w:spacing w:after="240" w:line="360" w:lineRule="auto"/>
        <w:rPr>
          <w:sz w:val="22"/>
          <w:szCs w:val="22"/>
          <w:lang w:val="en-US"/>
        </w:rPr>
      </w:pPr>
      <w:r w:rsidRPr="006C39F8">
        <w:rPr>
          <w:sz w:val="22"/>
          <w:szCs w:val="22"/>
          <w:lang w:val="en-US"/>
        </w:rPr>
        <w:t>www.huizenmarkt-zeepbel.nl/21-07-2008/toenemende-schulden-van-huishoudens/</w:t>
      </w:r>
    </w:p>
    <w:p w:rsidR="001E7A2A" w:rsidRPr="006C39F8" w:rsidRDefault="001E7A2A" w:rsidP="00F47145">
      <w:pPr>
        <w:pStyle w:val="Voetnoottekst"/>
        <w:spacing w:after="240" w:line="360" w:lineRule="auto"/>
        <w:rPr>
          <w:sz w:val="22"/>
          <w:szCs w:val="22"/>
          <w:lang w:val="en-US"/>
        </w:rPr>
      </w:pPr>
      <w:r w:rsidRPr="006C39F8">
        <w:rPr>
          <w:sz w:val="22"/>
          <w:szCs w:val="22"/>
          <w:lang w:val="en-US"/>
        </w:rPr>
        <w:t>www.hypo.org/Content/default.asp?PageID=414</w:t>
      </w:r>
    </w:p>
    <w:p w:rsidR="00DA7905" w:rsidRPr="006C39F8" w:rsidRDefault="00C65841" w:rsidP="00DA7905">
      <w:pPr>
        <w:pStyle w:val="Voetnoottekst"/>
        <w:spacing w:after="240" w:line="360" w:lineRule="auto"/>
        <w:rPr>
          <w:sz w:val="22"/>
          <w:szCs w:val="22"/>
          <w:lang w:val="en-US"/>
        </w:rPr>
      </w:pPr>
      <w:hyperlink r:id="rId18" w:history="1">
        <w:r w:rsidR="00DA7905" w:rsidRPr="006C39F8">
          <w:rPr>
            <w:rStyle w:val="Hyperlink"/>
            <w:color w:val="auto"/>
            <w:sz w:val="22"/>
            <w:szCs w:val="22"/>
            <w:u w:val="none"/>
            <w:lang w:val="en-US"/>
          </w:rPr>
          <w:t>www.hypotheker.nl/Hypotheken/Ik+wil+een+woning+kopen/Wat+doen+de+huizenprijzen/Ontwikkeling+Nederland/</w:t>
        </w:r>
      </w:hyperlink>
    </w:p>
    <w:p w:rsidR="00DA7905" w:rsidRPr="006C39F8" w:rsidRDefault="00C65841" w:rsidP="00F47145">
      <w:pPr>
        <w:pStyle w:val="Voetnoottekst"/>
        <w:spacing w:after="240" w:line="360" w:lineRule="auto"/>
        <w:rPr>
          <w:sz w:val="22"/>
          <w:szCs w:val="22"/>
          <w:lang w:val="en-US"/>
        </w:rPr>
      </w:pPr>
      <w:hyperlink r:id="rId19" w:history="1">
        <w:r w:rsidR="00DA7905" w:rsidRPr="006C39F8">
          <w:rPr>
            <w:rStyle w:val="Hyperlink"/>
            <w:color w:val="auto"/>
            <w:sz w:val="22"/>
            <w:szCs w:val="22"/>
            <w:u w:val="none"/>
            <w:lang w:val="en-US"/>
          </w:rPr>
          <w:t>www.hypotheker.nl/Hypotheken/Ik+zoek+een+hypotheek/Waar+moet+ik+op+letten/De+fiscus/Eigenwoningforfait+en+aftrekbare+kosten/</w:t>
        </w:r>
      </w:hyperlink>
    </w:p>
    <w:p w:rsidR="00F47145" w:rsidRPr="006C39F8" w:rsidRDefault="00C65841" w:rsidP="00F47145">
      <w:pPr>
        <w:pStyle w:val="Voetnoottekst"/>
        <w:spacing w:after="240" w:line="360" w:lineRule="auto"/>
        <w:rPr>
          <w:sz w:val="22"/>
          <w:szCs w:val="22"/>
          <w:lang w:val="en-US"/>
        </w:rPr>
      </w:pPr>
      <w:hyperlink r:id="rId20" w:history="1">
        <w:r w:rsidR="00DA7905" w:rsidRPr="006C39F8">
          <w:rPr>
            <w:rStyle w:val="Hyperlink"/>
            <w:color w:val="auto"/>
            <w:sz w:val="22"/>
            <w:szCs w:val="22"/>
            <w:u w:val="none"/>
            <w:lang w:val="en-US"/>
          </w:rPr>
          <w:t>www.nationwide.co.uk/hpi/historical.htm</w:t>
        </w:r>
      </w:hyperlink>
    </w:p>
    <w:p w:rsidR="00DA7905" w:rsidRPr="006C39F8" w:rsidRDefault="00C65841" w:rsidP="00DA7905">
      <w:pPr>
        <w:spacing w:line="360" w:lineRule="auto"/>
        <w:rPr>
          <w:lang w:val="en-US"/>
        </w:rPr>
      </w:pPr>
      <w:hyperlink r:id="rId21" w:history="1">
        <w:r w:rsidR="00DA7905" w:rsidRPr="006C39F8">
          <w:rPr>
            <w:rStyle w:val="Hyperlink"/>
            <w:color w:val="auto"/>
            <w:u w:val="none"/>
            <w:lang w:val="en-US"/>
          </w:rPr>
          <w:t>www.nrc.nl/binnenland/article2344911.ece/Corporaties_richten_zich_op_koopwoning</w:t>
        </w:r>
      </w:hyperlink>
    </w:p>
    <w:p w:rsidR="00DA7905" w:rsidRPr="006C39F8" w:rsidRDefault="00C65841" w:rsidP="00DA7905">
      <w:pPr>
        <w:pStyle w:val="Voetnoottekst"/>
        <w:spacing w:before="240" w:after="240" w:line="360" w:lineRule="auto"/>
        <w:rPr>
          <w:sz w:val="22"/>
          <w:szCs w:val="22"/>
          <w:lang w:val="en-US"/>
        </w:rPr>
      </w:pPr>
      <w:hyperlink r:id="rId22" w:history="1">
        <w:r w:rsidR="00DA7905" w:rsidRPr="006C39F8">
          <w:rPr>
            <w:rStyle w:val="Hyperlink"/>
            <w:color w:val="auto"/>
            <w:sz w:val="22"/>
            <w:szCs w:val="22"/>
            <w:u w:val="none"/>
            <w:lang w:val="en-US"/>
          </w:rPr>
          <w:t>www.vrom.nl/pagina.html?id=18785</w:t>
        </w:r>
      </w:hyperlink>
      <w:r w:rsidR="00DA7905" w:rsidRPr="006C39F8">
        <w:rPr>
          <w:sz w:val="22"/>
          <w:szCs w:val="22"/>
          <w:lang w:val="en-US"/>
        </w:rPr>
        <w:t xml:space="preserve"> </w:t>
      </w:r>
    </w:p>
    <w:p w:rsidR="00DA7905" w:rsidRPr="006C39F8" w:rsidRDefault="00DA7905" w:rsidP="00DA7905">
      <w:pPr>
        <w:spacing w:line="360" w:lineRule="auto"/>
        <w:rPr>
          <w:lang w:val="en-US"/>
        </w:rPr>
      </w:pPr>
    </w:p>
    <w:p w:rsidR="00DA7905" w:rsidRPr="006C39F8" w:rsidRDefault="00DA7905" w:rsidP="00F47145">
      <w:pPr>
        <w:pStyle w:val="Voetnoottekst"/>
        <w:spacing w:after="240" w:line="360" w:lineRule="auto"/>
        <w:rPr>
          <w:sz w:val="22"/>
          <w:szCs w:val="22"/>
          <w:lang w:val="en-US"/>
        </w:rPr>
      </w:pPr>
    </w:p>
    <w:p w:rsidR="0035300C" w:rsidRPr="006C39F8" w:rsidRDefault="0035300C" w:rsidP="009343FD">
      <w:pPr>
        <w:pStyle w:val="Voetnoottekst"/>
        <w:spacing w:after="240" w:line="360" w:lineRule="auto"/>
        <w:rPr>
          <w:sz w:val="22"/>
          <w:szCs w:val="22"/>
          <w:lang w:val="en-US"/>
        </w:rPr>
      </w:pPr>
    </w:p>
    <w:p w:rsidR="0035300C" w:rsidRPr="006C39F8" w:rsidRDefault="0035300C" w:rsidP="0035300C">
      <w:pPr>
        <w:pStyle w:val="Voetnoottekst"/>
        <w:spacing w:line="360" w:lineRule="auto"/>
        <w:rPr>
          <w:sz w:val="22"/>
          <w:szCs w:val="22"/>
          <w:lang w:val="en-US"/>
        </w:rPr>
      </w:pPr>
    </w:p>
    <w:p w:rsidR="002853C5" w:rsidRPr="006C39F8" w:rsidRDefault="002853C5" w:rsidP="006E2E81">
      <w:pPr>
        <w:spacing w:line="360" w:lineRule="auto"/>
        <w:rPr>
          <w:lang w:val="en-US"/>
        </w:rPr>
      </w:pPr>
    </w:p>
    <w:p w:rsidR="00EA5468" w:rsidRPr="006C39F8" w:rsidRDefault="00EA5468" w:rsidP="006E2E81">
      <w:pPr>
        <w:spacing w:line="360" w:lineRule="auto"/>
        <w:rPr>
          <w:lang w:val="en-US"/>
        </w:rPr>
      </w:pPr>
    </w:p>
    <w:p w:rsidR="00EA5468" w:rsidRPr="006C39F8" w:rsidRDefault="00EA5468" w:rsidP="006E2E81">
      <w:pPr>
        <w:spacing w:line="360" w:lineRule="auto"/>
        <w:rPr>
          <w:lang w:val="en-US"/>
        </w:rPr>
      </w:pPr>
    </w:p>
    <w:p w:rsidR="000957B2" w:rsidRPr="006C39F8" w:rsidRDefault="000957B2" w:rsidP="00873AD2">
      <w:pPr>
        <w:spacing w:line="360" w:lineRule="auto"/>
        <w:rPr>
          <w:lang w:val="en-US"/>
        </w:rPr>
      </w:pPr>
    </w:p>
    <w:sectPr w:rsidR="000957B2" w:rsidRPr="006C39F8" w:rsidSect="00566752">
      <w:footerReference w:type="default" r:id="rId23"/>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0F0D" w:rsidRDefault="00620F0D" w:rsidP="00F84955">
      <w:pPr>
        <w:spacing w:after="0" w:line="240" w:lineRule="auto"/>
      </w:pPr>
      <w:r>
        <w:separator/>
      </w:r>
    </w:p>
  </w:endnote>
  <w:endnote w:type="continuationSeparator" w:id="0">
    <w:p w:rsidR="00620F0D" w:rsidRDefault="00620F0D" w:rsidP="00F849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42466"/>
      <w:docPartObj>
        <w:docPartGallery w:val="Page Numbers (Bottom of Page)"/>
        <w:docPartUnique/>
      </w:docPartObj>
    </w:sdtPr>
    <w:sdtContent>
      <w:p w:rsidR="005A16EE" w:rsidRDefault="005A16EE">
        <w:pPr>
          <w:pStyle w:val="Voettekst"/>
        </w:pPr>
        <w:r>
          <w:rPr>
            <w:lang w:eastAsia="zh-TW"/>
          </w:rPr>
          <w:pict>
            <v:rect id="_x0000_s3074" style="position:absolute;margin-left:0;margin-top:0;width:44.55pt;height:15.1pt;rotation:-180;flip:x;z-index:251660288;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3074" inset=",0,,0">
                <w:txbxContent>
                  <w:p w:rsidR="005A16EE" w:rsidRPr="00D45171" w:rsidRDefault="005A16EE">
                    <w:pPr>
                      <w:pBdr>
                        <w:top w:val="single" w:sz="4" w:space="1" w:color="7F7F7F" w:themeColor="background1" w:themeShade="7F"/>
                      </w:pBdr>
                      <w:jc w:val="center"/>
                      <w:rPr>
                        <w:color w:val="17365D" w:themeColor="text2" w:themeShade="BF"/>
                      </w:rPr>
                    </w:pPr>
                    <w:r w:rsidRPr="00D45171">
                      <w:rPr>
                        <w:color w:val="17365D" w:themeColor="text2" w:themeShade="BF"/>
                      </w:rPr>
                      <w:fldChar w:fldCharType="begin"/>
                    </w:r>
                    <w:r w:rsidRPr="00D45171">
                      <w:rPr>
                        <w:color w:val="17365D" w:themeColor="text2" w:themeShade="BF"/>
                      </w:rPr>
                      <w:instrText xml:space="preserve"> PAGE   \* MERGEFORMAT </w:instrText>
                    </w:r>
                    <w:r w:rsidRPr="00D45171">
                      <w:rPr>
                        <w:color w:val="17365D" w:themeColor="text2" w:themeShade="BF"/>
                      </w:rPr>
                      <w:fldChar w:fldCharType="separate"/>
                    </w:r>
                    <w:r w:rsidR="00EC2830">
                      <w:rPr>
                        <w:noProof/>
                        <w:color w:val="17365D" w:themeColor="text2" w:themeShade="BF"/>
                      </w:rPr>
                      <w:t>40</w:t>
                    </w:r>
                    <w:r w:rsidRPr="00D45171">
                      <w:rPr>
                        <w:color w:val="17365D" w:themeColor="text2" w:themeShade="BF"/>
                      </w:rPr>
                      <w:fldChar w:fldCharType="end"/>
                    </w:r>
                  </w:p>
                </w:txbxContent>
              </v:textbox>
              <w10:wrap anchorx="page" anchory="page"/>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0F0D" w:rsidRDefault="00620F0D" w:rsidP="00F84955">
      <w:pPr>
        <w:spacing w:after="0" w:line="240" w:lineRule="auto"/>
      </w:pPr>
      <w:r>
        <w:separator/>
      </w:r>
    </w:p>
  </w:footnote>
  <w:footnote w:type="continuationSeparator" w:id="0">
    <w:p w:rsidR="00620F0D" w:rsidRDefault="00620F0D" w:rsidP="00F84955">
      <w:pPr>
        <w:spacing w:after="0" w:line="240" w:lineRule="auto"/>
      </w:pPr>
      <w:r>
        <w:continuationSeparator/>
      </w:r>
    </w:p>
  </w:footnote>
  <w:footnote w:id="1">
    <w:p w:rsidR="005A16EE" w:rsidRDefault="005A16EE">
      <w:pPr>
        <w:pStyle w:val="Voetnoottekst"/>
      </w:pPr>
      <w:r>
        <w:rPr>
          <w:rStyle w:val="Voetnootmarkering"/>
        </w:rPr>
        <w:footnoteRef/>
      </w:r>
      <w:r>
        <w:t xml:space="preserve"> Commissie Sociaal-Economisch Deskundigen (april 2010) “Naar integrale hervormingen van de woningmarkt”</w:t>
      </w:r>
    </w:p>
  </w:footnote>
  <w:footnote w:id="2">
    <w:p w:rsidR="005A16EE" w:rsidRPr="0035300C" w:rsidRDefault="005A16EE" w:rsidP="00A651B3">
      <w:pPr>
        <w:spacing w:line="240" w:lineRule="auto"/>
        <w:rPr>
          <w:sz w:val="20"/>
          <w:szCs w:val="20"/>
        </w:rPr>
      </w:pPr>
      <w:r w:rsidRPr="00954D57">
        <w:rPr>
          <w:rStyle w:val="Voetnootmarkering"/>
        </w:rPr>
        <w:footnoteRef/>
      </w:r>
      <w:r w:rsidRPr="00954D57">
        <w:rPr>
          <w:sz w:val="20"/>
          <w:szCs w:val="20"/>
        </w:rPr>
        <w:t xml:space="preserve"> </w:t>
      </w:r>
      <w:hyperlink r:id="rId1" w:history="1">
        <w:r w:rsidRPr="00954D57">
          <w:rPr>
            <w:rStyle w:val="Hyperlink"/>
            <w:color w:val="auto"/>
            <w:sz w:val="20"/>
            <w:szCs w:val="20"/>
            <w:u w:val="none"/>
          </w:rPr>
          <w:t>http://www.hypotheker.nl/Hypotheken/Ik+zoek+een+hypotheek/Waar+moet+ik+op+letten/De+fiscus/Eigen</w:t>
        </w:r>
      </w:hyperlink>
      <w:r w:rsidRPr="00954D57">
        <w:rPr>
          <w:sz w:val="20"/>
          <w:szCs w:val="20"/>
        </w:rPr>
        <w:br/>
        <w:t>woningforfait+en+aftrekbare+kosten/</w:t>
      </w:r>
    </w:p>
  </w:footnote>
  <w:footnote w:id="3">
    <w:p w:rsidR="005A16EE" w:rsidRDefault="005A16EE" w:rsidP="00A651B3">
      <w:pPr>
        <w:pStyle w:val="Voetnoottekst"/>
      </w:pPr>
      <w:r>
        <w:rPr>
          <w:rStyle w:val="Voetnootmarkering"/>
        </w:rPr>
        <w:footnoteRef/>
      </w:r>
      <w:r>
        <w:t xml:space="preserve"> 52% (hoogste belastingschijf) ∙ 2,35% = 4% (verondersteld rendement) ∙ 30% (vermogensrendementsheffing)</w:t>
      </w:r>
    </w:p>
  </w:footnote>
  <w:footnote w:id="4">
    <w:p w:rsidR="005A16EE" w:rsidRPr="003C0FC7" w:rsidRDefault="005A16EE">
      <w:pPr>
        <w:pStyle w:val="Voetnoottekst"/>
      </w:pPr>
      <w:r>
        <w:rPr>
          <w:rStyle w:val="Voetnootmarkering"/>
        </w:rPr>
        <w:footnoteRef/>
      </w:r>
      <w:r>
        <w:t xml:space="preserve"> </w:t>
      </w:r>
      <w:hyperlink r:id="rId2" w:history="1">
        <w:r w:rsidRPr="003C0FC7">
          <w:rPr>
            <w:rStyle w:val="Hyperlink"/>
            <w:color w:val="auto"/>
            <w:u w:val="none"/>
          </w:rPr>
          <w:t>http://www.eigenhuis.nl/VerenigingEigenHuis/Actueel/Dossiers/Hypotheekrenteaftrek/Eerdere_beperkingen</w:t>
        </w:r>
      </w:hyperlink>
    </w:p>
    <w:p w:rsidR="005A16EE" w:rsidRDefault="005A16EE">
      <w:pPr>
        <w:pStyle w:val="Voetnoottekst"/>
      </w:pPr>
      <w:r w:rsidRPr="003C0FC7">
        <w:t>_in_de_hypotheekrenteaftrek.htm</w:t>
      </w:r>
    </w:p>
  </w:footnote>
  <w:footnote w:id="5">
    <w:p w:rsidR="005A16EE" w:rsidRDefault="005A16EE" w:rsidP="00A651B3">
      <w:pPr>
        <w:spacing w:line="360" w:lineRule="auto"/>
      </w:pPr>
      <w:r>
        <w:rPr>
          <w:rStyle w:val="Voetnootmarkering"/>
        </w:rPr>
        <w:footnoteRef/>
      </w:r>
      <w:r>
        <w:t xml:space="preserve"> </w:t>
      </w:r>
      <w:r w:rsidRPr="00A651B3">
        <w:rPr>
          <w:sz w:val="20"/>
          <w:szCs w:val="20"/>
        </w:rPr>
        <w:t>Ministerie van Financiën (april 2010) “Rapport brede heroverwegingen 4. Wonen”</w:t>
      </w:r>
    </w:p>
    <w:p w:rsidR="005A16EE" w:rsidRDefault="005A16EE">
      <w:pPr>
        <w:pStyle w:val="Voetnoottekst"/>
      </w:pPr>
    </w:p>
  </w:footnote>
  <w:footnote w:id="6">
    <w:p w:rsidR="005A16EE" w:rsidRPr="00DD6E09" w:rsidRDefault="005A16EE" w:rsidP="00D32B54">
      <w:pPr>
        <w:pStyle w:val="Voetnoottekst"/>
      </w:pPr>
      <w:r>
        <w:rPr>
          <w:rStyle w:val="Voetnootmarkering"/>
        </w:rPr>
        <w:footnoteRef/>
      </w:r>
      <w:r w:rsidRPr="00DD6E09">
        <w:t xml:space="preserve"> Scanlon, K. en Whitehead, C. (2007) “Social housing in Europe”</w:t>
      </w:r>
    </w:p>
  </w:footnote>
  <w:footnote w:id="7">
    <w:p w:rsidR="005A16EE" w:rsidRPr="00B306CC" w:rsidRDefault="005A16EE" w:rsidP="00F84955">
      <w:pPr>
        <w:pStyle w:val="Voetnoottekst"/>
      </w:pPr>
      <w:r>
        <w:rPr>
          <w:rStyle w:val="Voetnootmarkering"/>
        </w:rPr>
        <w:footnoteRef/>
      </w:r>
      <w:r>
        <w:t xml:space="preserve"> Commissie Sociaal-Economische Deskundigen (april 2010) “</w:t>
      </w:r>
      <w:r w:rsidRPr="00B306CC">
        <w:t>Naar integrale hervorming van de woningmarkt</w:t>
      </w:r>
      <w:r>
        <w:t>”</w:t>
      </w:r>
    </w:p>
  </w:footnote>
  <w:footnote w:id="8">
    <w:p w:rsidR="005A16EE" w:rsidRDefault="005A16EE" w:rsidP="00B74FF1">
      <w:pPr>
        <w:pStyle w:val="Voetnoottekst"/>
        <w:tabs>
          <w:tab w:val="center" w:pos="4536"/>
        </w:tabs>
      </w:pPr>
      <w:r>
        <w:rPr>
          <w:rStyle w:val="Voetnootmarkering"/>
        </w:rPr>
        <w:footnoteRef/>
      </w:r>
      <w:r>
        <w:t xml:space="preserve"> Ministerie van Financiën (april 2010) “Rapport brede heroverwegingen 4. Wonen”</w:t>
      </w:r>
      <w:r>
        <w:tab/>
      </w:r>
    </w:p>
  </w:footnote>
  <w:footnote w:id="9">
    <w:p w:rsidR="005A16EE" w:rsidRDefault="005A16EE" w:rsidP="00F84955">
      <w:pPr>
        <w:pStyle w:val="Voetnoottekst"/>
      </w:pPr>
      <w:r w:rsidRPr="00B306CC">
        <w:rPr>
          <w:rStyle w:val="Voetnootmarkering"/>
        </w:rPr>
        <w:footnoteRef/>
      </w:r>
      <w:r w:rsidRPr="00B306CC">
        <w:t xml:space="preserve"> </w:t>
      </w:r>
      <w:r>
        <w:t>Centraal Fonds Volkshuisvesting (november 2009) “Verslag Financieel toezicht woningcorporaties”</w:t>
      </w:r>
    </w:p>
  </w:footnote>
  <w:footnote w:id="10">
    <w:p w:rsidR="005A16EE" w:rsidRPr="00A651B3" w:rsidRDefault="005A16EE" w:rsidP="000D2A44">
      <w:pPr>
        <w:pStyle w:val="Voetnoottekst"/>
      </w:pPr>
      <w:r w:rsidRPr="00A651B3">
        <w:rPr>
          <w:rStyle w:val="Voetnootmarkering"/>
        </w:rPr>
        <w:footnoteRef/>
      </w:r>
      <w:r w:rsidRPr="00A651B3">
        <w:t xml:space="preserve"> http://www.nrc.nl/binnenland/article2344911.ece/Corporaties_richten_zich_op_koopwoning</w:t>
      </w:r>
    </w:p>
  </w:footnote>
  <w:footnote w:id="11">
    <w:p w:rsidR="005A16EE" w:rsidRPr="00A651B3" w:rsidRDefault="005A16EE" w:rsidP="00A651B3">
      <w:pPr>
        <w:spacing w:line="360" w:lineRule="auto"/>
        <w:rPr>
          <w:sz w:val="20"/>
          <w:szCs w:val="20"/>
        </w:rPr>
      </w:pPr>
      <w:r w:rsidRPr="00A651B3">
        <w:rPr>
          <w:rStyle w:val="Voetnootmarkering"/>
          <w:sz w:val="20"/>
          <w:szCs w:val="20"/>
        </w:rPr>
        <w:footnoteRef/>
      </w:r>
      <w:r w:rsidRPr="00A651B3">
        <w:rPr>
          <w:sz w:val="20"/>
          <w:szCs w:val="20"/>
        </w:rPr>
        <w:t xml:space="preserve"> Ministerie van Financiën (april 2010) “Rapport brede heroverwegingen 4. Wonen”</w:t>
      </w:r>
    </w:p>
    <w:p w:rsidR="005A16EE" w:rsidRPr="00477DB9" w:rsidRDefault="005A16EE" w:rsidP="00F84955">
      <w:pPr>
        <w:pStyle w:val="Voetnoottekst"/>
      </w:pPr>
    </w:p>
  </w:footnote>
  <w:footnote w:id="12">
    <w:p w:rsidR="005A16EE" w:rsidRPr="004B155F" w:rsidRDefault="005A16EE" w:rsidP="00F84955">
      <w:pPr>
        <w:pStyle w:val="Voetnoottekst"/>
      </w:pPr>
      <w:r w:rsidRPr="004B155F">
        <w:rPr>
          <w:rStyle w:val="Voetnootmarkering"/>
        </w:rPr>
        <w:footnoteRef/>
      </w:r>
      <w:r w:rsidRPr="004B155F">
        <w:t xml:space="preserve"> </w:t>
      </w:r>
      <w:r>
        <w:t>Ewijk, C. van, Koning, M., Lever, M. &amp; Mooij, R. de (september 2006 ) “</w:t>
      </w:r>
      <w:r w:rsidRPr="004B155F">
        <w:t>Economische effecten van aanpassing fiscale behandeling eigen woning</w:t>
      </w:r>
      <w:r>
        <w:t>”</w:t>
      </w:r>
    </w:p>
  </w:footnote>
  <w:footnote w:id="13">
    <w:p w:rsidR="005A16EE" w:rsidRPr="00F26564" w:rsidRDefault="005A16EE">
      <w:pPr>
        <w:pStyle w:val="Voetnoottekst"/>
      </w:pPr>
      <w:r>
        <w:rPr>
          <w:rStyle w:val="Voetnootmarkering"/>
        </w:rPr>
        <w:footnoteRef/>
      </w:r>
      <w:r>
        <w:t xml:space="preserve"> 2,5 ton – (1 ton x 1,02</w:t>
      </w:r>
      <w:r>
        <w:rPr>
          <w:vertAlign w:val="superscript"/>
        </w:rPr>
        <w:t>10</w:t>
      </w:r>
      <w:r>
        <w:t xml:space="preserve">) </w:t>
      </w:r>
    </w:p>
  </w:footnote>
  <w:footnote w:id="14">
    <w:p w:rsidR="005A16EE" w:rsidRPr="004B155F" w:rsidRDefault="005A16EE" w:rsidP="0035300C">
      <w:pPr>
        <w:pStyle w:val="Voetnoottekst"/>
      </w:pPr>
      <w:r w:rsidRPr="004B155F">
        <w:rPr>
          <w:rStyle w:val="Voetnootmarkering"/>
        </w:rPr>
        <w:footnoteRef/>
      </w:r>
      <w:r w:rsidRPr="004B155F">
        <w:t xml:space="preserve"> </w:t>
      </w:r>
      <w:hyperlink r:id="rId3" w:history="1">
        <w:r w:rsidRPr="004B155F">
          <w:rPr>
            <w:rStyle w:val="Hyperlink"/>
            <w:color w:val="auto"/>
            <w:u w:val="none"/>
          </w:rPr>
          <w:t>http://www.hypotheker.nl/Hypotheken/Ik+wil+een+woning+kopen/Wat+doen+de+huizenprijzen/Ontwikkeli</w:t>
        </w:r>
      </w:hyperlink>
    </w:p>
    <w:p w:rsidR="005A16EE" w:rsidRPr="004B155F" w:rsidRDefault="005A16EE" w:rsidP="0035300C">
      <w:pPr>
        <w:pStyle w:val="Voetnoottekst"/>
      </w:pPr>
      <w:r w:rsidRPr="004B155F">
        <w:t>ng+Nederland/</w:t>
      </w:r>
    </w:p>
  </w:footnote>
  <w:footnote w:id="15">
    <w:p w:rsidR="005A16EE" w:rsidRDefault="005A16EE" w:rsidP="00F84955">
      <w:pPr>
        <w:pStyle w:val="Voetnoottekst"/>
      </w:pPr>
      <w:r w:rsidRPr="004B155F">
        <w:rPr>
          <w:rStyle w:val="Voetnootmarkering"/>
        </w:rPr>
        <w:footnoteRef/>
      </w:r>
      <w:r w:rsidRPr="004B155F">
        <w:t xml:space="preserve"> http://www.vrom.nl/pagina.html?id=18785</w:t>
      </w:r>
    </w:p>
  </w:footnote>
  <w:footnote w:id="16">
    <w:p w:rsidR="005A16EE" w:rsidRDefault="005A16EE" w:rsidP="00F84955">
      <w:pPr>
        <w:pStyle w:val="Voetnoottekst"/>
      </w:pPr>
      <w:r>
        <w:rPr>
          <w:rStyle w:val="Voetnootmarkering"/>
        </w:rPr>
        <w:footnoteRef/>
      </w:r>
      <w:r>
        <w:t xml:space="preserve"> Ewijk, C. van &amp; Rele, H. ter (2008) “Macro-economische verkenning van de huizenmarkt” </w:t>
      </w:r>
    </w:p>
  </w:footnote>
  <w:footnote w:id="17">
    <w:p w:rsidR="005A16EE" w:rsidRPr="009343FD" w:rsidRDefault="005A16EE" w:rsidP="00F84955">
      <w:pPr>
        <w:spacing w:line="240" w:lineRule="auto"/>
        <w:rPr>
          <w:sz w:val="20"/>
          <w:szCs w:val="20"/>
        </w:rPr>
      </w:pPr>
      <w:r w:rsidRPr="009343FD">
        <w:rPr>
          <w:rStyle w:val="Voetnootmarkering"/>
          <w:sz w:val="20"/>
          <w:szCs w:val="20"/>
        </w:rPr>
        <w:footnoteRef/>
      </w:r>
      <w:r w:rsidRPr="009343FD">
        <w:rPr>
          <w:sz w:val="20"/>
          <w:szCs w:val="20"/>
        </w:rPr>
        <w:t xml:space="preserve"> Ewijk, C. van, Koning, M., Lever, M. &amp; Mooij, R. de (september 2006 ) “Economische effecten van aanpassing fiscale behandeling eigen woning”</w:t>
      </w:r>
    </w:p>
  </w:footnote>
  <w:footnote w:id="18">
    <w:p w:rsidR="005A16EE" w:rsidRDefault="005A16EE">
      <w:pPr>
        <w:pStyle w:val="Voetnoottekst"/>
      </w:pPr>
      <w:r>
        <w:rPr>
          <w:rStyle w:val="Voetnootmarkering"/>
        </w:rPr>
        <w:footnoteRef/>
      </w:r>
      <w:r>
        <w:t xml:space="preserve"> </w:t>
      </w:r>
      <w:r w:rsidRPr="00B364ED">
        <w:t>http://www.cbs.nl/nl-NL/menu/themas/inkomen-bestedingen/publicaties/artikelen/archief/2010/2010-3118-wm.htm?RefererType=RSSItem</w:t>
      </w:r>
    </w:p>
  </w:footnote>
  <w:footnote w:id="19">
    <w:p w:rsidR="005A16EE" w:rsidRDefault="005A16EE" w:rsidP="00F84955">
      <w:pPr>
        <w:pStyle w:val="Voetnoottekst"/>
      </w:pPr>
      <w:r>
        <w:rPr>
          <w:rStyle w:val="Voetnootmarkering"/>
        </w:rPr>
        <w:footnoteRef/>
      </w:r>
      <w:r>
        <w:t xml:space="preserve"> Ministerie van Financiën (april 2010) “Rapport brede heroverwegingen 4. Wonen”</w:t>
      </w:r>
    </w:p>
  </w:footnote>
  <w:footnote w:id="20">
    <w:p w:rsidR="005A16EE" w:rsidRDefault="005A16EE" w:rsidP="00F84955">
      <w:pPr>
        <w:pStyle w:val="Voetnoottekst"/>
      </w:pPr>
      <w:r>
        <w:rPr>
          <w:rStyle w:val="Voetnootmarkering"/>
        </w:rPr>
        <w:footnoteRef/>
      </w:r>
      <w:r>
        <w:t xml:space="preserve"> </w:t>
      </w:r>
      <w:r w:rsidRPr="008B7AE1">
        <w:t>http://www.kei-centrum.nl/view.cfm?page_id=1893&amp;item_type=nieuws&amp;item_id=3131</w:t>
      </w:r>
    </w:p>
  </w:footnote>
  <w:footnote w:id="21">
    <w:p w:rsidR="005A16EE" w:rsidRDefault="005A16EE">
      <w:pPr>
        <w:pStyle w:val="Voetnoottekst"/>
      </w:pPr>
      <w:r>
        <w:rPr>
          <w:rStyle w:val="Voetnootmarkering"/>
        </w:rPr>
        <w:footnoteRef/>
      </w:r>
      <w:r>
        <w:t xml:space="preserve"> Elsinga, M. &amp; Hoekstra, J. (augustus 2004) “Op eigen kracht: eigenwoningbezit in Nederland”</w:t>
      </w:r>
    </w:p>
  </w:footnote>
  <w:footnote w:id="22">
    <w:p w:rsidR="005A16EE" w:rsidRDefault="005A16EE">
      <w:pPr>
        <w:pStyle w:val="Voetnoottekst"/>
      </w:pPr>
      <w:r>
        <w:rPr>
          <w:rStyle w:val="Voetnootmarkering"/>
        </w:rPr>
        <w:footnoteRef/>
      </w:r>
      <w:r>
        <w:t xml:space="preserve"> Ministerie van Volkshuisvesting, Ruimtelijke Ordening en Milieubeheer &amp; Centraal Bureau voor de Statistiek (2009) “Het wonen overwogen”</w:t>
      </w:r>
    </w:p>
  </w:footnote>
  <w:footnote w:id="23">
    <w:p w:rsidR="005A16EE" w:rsidRDefault="005A16EE">
      <w:pPr>
        <w:pStyle w:val="Voetnoottekst"/>
      </w:pPr>
      <w:r>
        <w:rPr>
          <w:rStyle w:val="Voetnootmarkering"/>
        </w:rPr>
        <w:footnoteRef/>
      </w:r>
      <w:r>
        <w:t xml:space="preserve"> Elsinga, M. &amp; Hoekstra, J. (augustus 2004) “Op eigen kracht: eigenwoningbezit in Nederland”</w:t>
      </w:r>
    </w:p>
  </w:footnote>
  <w:footnote w:id="24">
    <w:p w:rsidR="005A16EE" w:rsidRDefault="005A16EE" w:rsidP="00F84955">
      <w:pPr>
        <w:pStyle w:val="Voetnoottekst"/>
      </w:pPr>
      <w:r>
        <w:rPr>
          <w:rStyle w:val="Voetnootmarkering"/>
        </w:rPr>
        <w:footnoteRef/>
      </w:r>
      <w:r>
        <w:t xml:space="preserve"> </w:t>
      </w:r>
      <w:r w:rsidRPr="006E5409">
        <w:t>http://www.hypo.org/Content/default.asp?PageID=414</w:t>
      </w:r>
    </w:p>
  </w:footnote>
  <w:footnote w:id="25">
    <w:p w:rsidR="005A16EE" w:rsidRDefault="005A16EE" w:rsidP="00FA3A53">
      <w:pPr>
        <w:pStyle w:val="Voetnoottekst"/>
      </w:pPr>
      <w:r>
        <w:rPr>
          <w:rStyle w:val="Voetnootmarkering"/>
        </w:rPr>
        <w:footnoteRef/>
      </w:r>
      <w:r>
        <w:t xml:space="preserve"> Centraal Bureau voor de Statistiek (januari 2010) “Nederland langs de Europese meetlat”</w:t>
      </w:r>
    </w:p>
  </w:footnote>
  <w:footnote w:id="26">
    <w:p w:rsidR="005A16EE" w:rsidRDefault="005A16EE">
      <w:pPr>
        <w:pStyle w:val="Voetnoottekst"/>
      </w:pPr>
      <w:r>
        <w:rPr>
          <w:rStyle w:val="Voetnootmarkering"/>
        </w:rPr>
        <w:footnoteRef/>
      </w:r>
      <w:r>
        <w:t xml:space="preserve"> </w:t>
      </w:r>
      <w:r w:rsidRPr="001E7A2A">
        <w:t>http://www.huizenmarkt-zeepbel.nl/21-07-2008/toenemende-schulden-van-huishoudens/</w:t>
      </w:r>
    </w:p>
  </w:footnote>
  <w:footnote w:id="27">
    <w:p w:rsidR="005A16EE" w:rsidRDefault="005A16EE">
      <w:pPr>
        <w:pStyle w:val="Voetnoottekst"/>
      </w:pPr>
      <w:r>
        <w:rPr>
          <w:rStyle w:val="Voetnootmarkering"/>
        </w:rPr>
        <w:footnoteRef/>
      </w:r>
      <w:r>
        <w:t xml:space="preserve"> De Nederlandsche Bank &amp; Autoriteit Financiële Markten (september 2009) “Risico’s op de hypotheekmarkt voor huishoudens en hypotheekverstrekkers”</w:t>
      </w:r>
    </w:p>
  </w:footnote>
  <w:footnote w:id="28">
    <w:p w:rsidR="005A16EE" w:rsidRDefault="005A16EE" w:rsidP="00B709A1">
      <w:pPr>
        <w:pStyle w:val="Voetnoottekst"/>
      </w:pPr>
      <w:r>
        <w:rPr>
          <w:rStyle w:val="Voetnootmarkering"/>
        </w:rPr>
        <w:footnoteRef/>
      </w:r>
      <w:r>
        <w:t xml:space="preserve"> Commissie Sociaal-Economische Deskundigen (april 2010) “Naar een integrale hervorming van de woningmarkt”</w:t>
      </w:r>
    </w:p>
  </w:footnote>
  <w:footnote w:id="29">
    <w:p w:rsidR="005A16EE" w:rsidRDefault="005A16EE" w:rsidP="00B709A1">
      <w:pPr>
        <w:pStyle w:val="Voetnoottekst"/>
      </w:pPr>
      <w:r>
        <w:rPr>
          <w:rStyle w:val="Voetnootmarkering"/>
        </w:rPr>
        <w:footnoteRef/>
      </w:r>
      <w:r>
        <w:t xml:space="preserve"> </w:t>
      </w:r>
      <w:r w:rsidRPr="00B51F32">
        <w:t>http://www.nationwide.co.uk/hpi/historical.htm</w:t>
      </w:r>
    </w:p>
  </w:footnote>
  <w:footnote w:id="30">
    <w:p w:rsidR="005A16EE" w:rsidRDefault="005A16EE" w:rsidP="00B709A1">
      <w:pPr>
        <w:pStyle w:val="Voetnoottekst"/>
      </w:pPr>
      <w:r>
        <w:rPr>
          <w:rStyle w:val="Voetnootmarkering"/>
        </w:rPr>
        <w:footnoteRef/>
      </w:r>
      <w:r>
        <w:t xml:space="preserve"> Ministerie van Financiën (april 2010) “Rapport brede heroverwegingen 4. Wonen”</w:t>
      </w:r>
    </w:p>
  </w:footnote>
  <w:footnote w:id="31">
    <w:p w:rsidR="005A16EE" w:rsidRDefault="005A16EE">
      <w:pPr>
        <w:pStyle w:val="Voetnoottekst"/>
      </w:pPr>
      <w:r>
        <w:rPr>
          <w:rStyle w:val="Voetnootmarkering"/>
        </w:rPr>
        <w:footnoteRef/>
      </w:r>
      <w:r>
        <w:t xml:space="preserve"> Centraal Planbureau (april 2010) “Hervorming van het Nederlandse woonbeleid”</w:t>
      </w:r>
    </w:p>
  </w:footnote>
  <w:footnote w:id="32">
    <w:p w:rsidR="005A16EE" w:rsidRDefault="005A16EE">
      <w:pPr>
        <w:pStyle w:val="Voetnoottekst"/>
      </w:pPr>
      <w:r>
        <w:rPr>
          <w:rStyle w:val="Voetnootmarkering"/>
        </w:rPr>
        <w:footnoteRef/>
      </w:r>
      <w:r>
        <w:t xml:space="preserve"> Centraal Planbureau (april 2010) “Hervorming van het Nederlandse woonbeleid”</w:t>
      </w:r>
    </w:p>
  </w:footnote>
  <w:footnote w:id="33">
    <w:p w:rsidR="005A16EE" w:rsidRDefault="005A16EE">
      <w:pPr>
        <w:pStyle w:val="Voetnoottekst"/>
      </w:pPr>
      <w:r>
        <w:rPr>
          <w:rStyle w:val="Voetnootmarkering"/>
        </w:rPr>
        <w:footnoteRef/>
      </w:r>
      <w:r>
        <w:t xml:space="preserve"> 1,2 procent van 300 duizend euro</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2391D"/>
    <w:multiLevelType w:val="hybridMultilevel"/>
    <w:tmpl w:val="9D069E78"/>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4D1284B"/>
    <w:multiLevelType w:val="hybridMultilevel"/>
    <w:tmpl w:val="F2CC3F6A"/>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402F0977"/>
    <w:multiLevelType w:val="hybridMultilevel"/>
    <w:tmpl w:val="99E0CD28"/>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41C01784"/>
    <w:multiLevelType w:val="hybridMultilevel"/>
    <w:tmpl w:val="A726091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51533557"/>
    <w:multiLevelType w:val="hybridMultilevel"/>
    <w:tmpl w:val="BB4A8894"/>
    <w:lvl w:ilvl="0" w:tplc="A3EE4A82">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6E2008DE"/>
    <w:multiLevelType w:val="hybridMultilevel"/>
    <w:tmpl w:val="EB26AEC6"/>
    <w:lvl w:ilvl="0" w:tplc="11846A6A">
      <w:start w:val="7"/>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786635B0"/>
    <w:multiLevelType w:val="hybridMultilevel"/>
    <w:tmpl w:val="186C568E"/>
    <w:lvl w:ilvl="0" w:tplc="A41C7384">
      <w:numFmt w:val="bullet"/>
      <w:lvlText w:val="-"/>
      <w:lvlJc w:val="left"/>
      <w:pPr>
        <w:ind w:left="720" w:hanging="360"/>
      </w:pPr>
      <w:rPr>
        <w:rFonts w:ascii="Calibri" w:eastAsia="Calibri" w:hAnsi="Calibri"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30722"/>
    <o:shapelayout v:ext="edit">
      <o:idmap v:ext="edit" data="3"/>
    </o:shapelayout>
  </w:hdrShapeDefaults>
  <w:footnotePr>
    <w:footnote w:id="-1"/>
    <w:footnote w:id="0"/>
  </w:footnotePr>
  <w:endnotePr>
    <w:endnote w:id="-1"/>
    <w:endnote w:id="0"/>
  </w:endnotePr>
  <w:compat/>
  <w:rsids>
    <w:rsidRoot w:val="00F84955"/>
    <w:rsid w:val="00002546"/>
    <w:rsid w:val="00003225"/>
    <w:rsid w:val="000068C0"/>
    <w:rsid w:val="00021165"/>
    <w:rsid w:val="00023E38"/>
    <w:rsid w:val="00064039"/>
    <w:rsid w:val="000818AF"/>
    <w:rsid w:val="00092E5D"/>
    <w:rsid w:val="000957B2"/>
    <w:rsid w:val="00097223"/>
    <w:rsid w:val="000B4AE9"/>
    <w:rsid w:val="000C05B4"/>
    <w:rsid w:val="000D2A44"/>
    <w:rsid w:val="000D6B55"/>
    <w:rsid w:val="00106343"/>
    <w:rsid w:val="001065BB"/>
    <w:rsid w:val="00112BB5"/>
    <w:rsid w:val="001318C5"/>
    <w:rsid w:val="00157C4C"/>
    <w:rsid w:val="001641B4"/>
    <w:rsid w:val="00172684"/>
    <w:rsid w:val="00172B29"/>
    <w:rsid w:val="00192CAB"/>
    <w:rsid w:val="001A13A2"/>
    <w:rsid w:val="001A180E"/>
    <w:rsid w:val="001A1DE2"/>
    <w:rsid w:val="001B0BA0"/>
    <w:rsid w:val="001B69AF"/>
    <w:rsid w:val="001E7A2A"/>
    <w:rsid w:val="001F02C7"/>
    <w:rsid w:val="001F07AD"/>
    <w:rsid w:val="001F656C"/>
    <w:rsid w:val="00233470"/>
    <w:rsid w:val="00236216"/>
    <w:rsid w:val="0024226B"/>
    <w:rsid w:val="00280152"/>
    <w:rsid w:val="002853C5"/>
    <w:rsid w:val="002A4001"/>
    <w:rsid w:val="002D5E92"/>
    <w:rsid w:val="002E5942"/>
    <w:rsid w:val="002F58FD"/>
    <w:rsid w:val="002F75C1"/>
    <w:rsid w:val="00303B66"/>
    <w:rsid w:val="00306FAD"/>
    <w:rsid w:val="0032512B"/>
    <w:rsid w:val="00347999"/>
    <w:rsid w:val="0035300C"/>
    <w:rsid w:val="003622E2"/>
    <w:rsid w:val="00393792"/>
    <w:rsid w:val="00395F2F"/>
    <w:rsid w:val="0039736B"/>
    <w:rsid w:val="003A7869"/>
    <w:rsid w:val="003B0E3B"/>
    <w:rsid w:val="003C0FC7"/>
    <w:rsid w:val="003C2F6D"/>
    <w:rsid w:val="003E0BB3"/>
    <w:rsid w:val="003E2D56"/>
    <w:rsid w:val="00416462"/>
    <w:rsid w:val="00430579"/>
    <w:rsid w:val="004361C1"/>
    <w:rsid w:val="00452A9E"/>
    <w:rsid w:val="004571A5"/>
    <w:rsid w:val="00463561"/>
    <w:rsid w:val="00476250"/>
    <w:rsid w:val="00476955"/>
    <w:rsid w:val="004868E6"/>
    <w:rsid w:val="004D0ED2"/>
    <w:rsid w:val="004D0F9D"/>
    <w:rsid w:val="004D1AF7"/>
    <w:rsid w:val="004F6754"/>
    <w:rsid w:val="004F6E2E"/>
    <w:rsid w:val="00506641"/>
    <w:rsid w:val="005069DF"/>
    <w:rsid w:val="00511E3E"/>
    <w:rsid w:val="00524537"/>
    <w:rsid w:val="005256FB"/>
    <w:rsid w:val="005370B4"/>
    <w:rsid w:val="00556DAC"/>
    <w:rsid w:val="00566752"/>
    <w:rsid w:val="00572344"/>
    <w:rsid w:val="00573F85"/>
    <w:rsid w:val="005A16EE"/>
    <w:rsid w:val="005A234E"/>
    <w:rsid w:val="005A39D9"/>
    <w:rsid w:val="005B60C0"/>
    <w:rsid w:val="005D2C8C"/>
    <w:rsid w:val="005D7A33"/>
    <w:rsid w:val="005E2A72"/>
    <w:rsid w:val="005E41BC"/>
    <w:rsid w:val="005E5425"/>
    <w:rsid w:val="005E7FB9"/>
    <w:rsid w:val="005F0887"/>
    <w:rsid w:val="005F2A68"/>
    <w:rsid w:val="00602A3E"/>
    <w:rsid w:val="0061004F"/>
    <w:rsid w:val="00620F0D"/>
    <w:rsid w:val="00630103"/>
    <w:rsid w:val="00655D74"/>
    <w:rsid w:val="00656997"/>
    <w:rsid w:val="00676D45"/>
    <w:rsid w:val="006A5F34"/>
    <w:rsid w:val="006B1FE9"/>
    <w:rsid w:val="006C0796"/>
    <w:rsid w:val="006C39F8"/>
    <w:rsid w:val="006E2E81"/>
    <w:rsid w:val="006F3952"/>
    <w:rsid w:val="006F5D34"/>
    <w:rsid w:val="00701FFF"/>
    <w:rsid w:val="00730588"/>
    <w:rsid w:val="00740C0F"/>
    <w:rsid w:val="00747218"/>
    <w:rsid w:val="0078758F"/>
    <w:rsid w:val="007918EB"/>
    <w:rsid w:val="007B677E"/>
    <w:rsid w:val="007C64EA"/>
    <w:rsid w:val="007D7D7A"/>
    <w:rsid w:val="0083165A"/>
    <w:rsid w:val="00840057"/>
    <w:rsid w:val="00840845"/>
    <w:rsid w:val="0084088A"/>
    <w:rsid w:val="0084300D"/>
    <w:rsid w:val="00856CD3"/>
    <w:rsid w:val="00865FE5"/>
    <w:rsid w:val="00873AD2"/>
    <w:rsid w:val="008839E4"/>
    <w:rsid w:val="00884A47"/>
    <w:rsid w:val="0089173F"/>
    <w:rsid w:val="008B0854"/>
    <w:rsid w:val="008C0F82"/>
    <w:rsid w:val="008C6E02"/>
    <w:rsid w:val="008E4845"/>
    <w:rsid w:val="009169A5"/>
    <w:rsid w:val="009343FD"/>
    <w:rsid w:val="00937A30"/>
    <w:rsid w:val="00950AC9"/>
    <w:rsid w:val="009561A8"/>
    <w:rsid w:val="009627A7"/>
    <w:rsid w:val="0097743E"/>
    <w:rsid w:val="00997629"/>
    <w:rsid w:val="009A3B52"/>
    <w:rsid w:val="009C4B5B"/>
    <w:rsid w:val="009C613D"/>
    <w:rsid w:val="009C7D0B"/>
    <w:rsid w:val="009D0085"/>
    <w:rsid w:val="009D0435"/>
    <w:rsid w:val="009D15D5"/>
    <w:rsid w:val="009D3CCE"/>
    <w:rsid w:val="009F6A87"/>
    <w:rsid w:val="00A10074"/>
    <w:rsid w:val="00A163AA"/>
    <w:rsid w:val="00A227F4"/>
    <w:rsid w:val="00A26A3F"/>
    <w:rsid w:val="00A651B3"/>
    <w:rsid w:val="00A74B0F"/>
    <w:rsid w:val="00A801D5"/>
    <w:rsid w:val="00A96B22"/>
    <w:rsid w:val="00AA1DA4"/>
    <w:rsid w:val="00AA3AD7"/>
    <w:rsid w:val="00AE6986"/>
    <w:rsid w:val="00AF3BF3"/>
    <w:rsid w:val="00B34FAE"/>
    <w:rsid w:val="00B364ED"/>
    <w:rsid w:val="00B47618"/>
    <w:rsid w:val="00B709A1"/>
    <w:rsid w:val="00B74FF1"/>
    <w:rsid w:val="00B76526"/>
    <w:rsid w:val="00B94212"/>
    <w:rsid w:val="00BB00C8"/>
    <w:rsid w:val="00BB1B48"/>
    <w:rsid w:val="00BB2BB7"/>
    <w:rsid w:val="00BD2E00"/>
    <w:rsid w:val="00BE2246"/>
    <w:rsid w:val="00BE4040"/>
    <w:rsid w:val="00BE79F7"/>
    <w:rsid w:val="00C13BFC"/>
    <w:rsid w:val="00C16831"/>
    <w:rsid w:val="00C209AC"/>
    <w:rsid w:val="00C37004"/>
    <w:rsid w:val="00C65841"/>
    <w:rsid w:val="00C67738"/>
    <w:rsid w:val="00C725C5"/>
    <w:rsid w:val="00CC364A"/>
    <w:rsid w:val="00CC64EA"/>
    <w:rsid w:val="00CE1B99"/>
    <w:rsid w:val="00CE2E47"/>
    <w:rsid w:val="00D15FA4"/>
    <w:rsid w:val="00D1609A"/>
    <w:rsid w:val="00D32B54"/>
    <w:rsid w:val="00D45171"/>
    <w:rsid w:val="00D5425B"/>
    <w:rsid w:val="00DA1A29"/>
    <w:rsid w:val="00DA7905"/>
    <w:rsid w:val="00DB0A1E"/>
    <w:rsid w:val="00DC4E1E"/>
    <w:rsid w:val="00DD44C3"/>
    <w:rsid w:val="00DD6E09"/>
    <w:rsid w:val="00DD78A5"/>
    <w:rsid w:val="00E11D77"/>
    <w:rsid w:val="00E12C80"/>
    <w:rsid w:val="00E137F5"/>
    <w:rsid w:val="00E22A5F"/>
    <w:rsid w:val="00E37070"/>
    <w:rsid w:val="00E65CCE"/>
    <w:rsid w:val="00E71F04"/>
    <w:rsid w:val="00E85675"/>
    <w:rsid w:val="00EA434F"/>
    <w:rsid w:val="00EA5468"/>
    <w:rsid w:val="00EB189F"/>
    <w:rsid w:val="00EC09C6"/>
    <w:rsid w:val="00EC2830"/>
    <w:rsid w:val="00EC5DF8"/>
    <w:rsid w:val="00EF7012"/>
    <w:rsid w:val="00F0724F"/>
    <w:rsid w:val="00F26564"/>
    <w:rsid w:val="00F315BF"/>
    <w:rsid w:val="00F4519B"/>
    <w:rsid w:val="00F47145"/>
    <w:rsid w:val="00F51AA2"/>
    <w:rsid w:val="00F61C3A"/>
    <w:rsid w:val="00F739AF"/>
    <w:rsid w:val="00F81C8A"/>
    <w:rsid w:val="00F83B7E"/>
    <w:rsid w:val="00F84949"/>
    <w:rsid w:val="00F84955"/>
    <w:rsid w:val="00F85BF1"/>
    <w:rsid w:val="00F92D3B"/>
    <w:rsid w:val="00FA3A53"/>
    <w:rsid w:val="00FB15C1"/>
    <w:rsid w:val="00FB309E"/>
    <w:rsid w:val="00FE799F"/>
    <w:rsid w:val="00FF08EF"/>
    <w:rsid w:val="00FF556B"/>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8495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84955"/>
    <w:rPr>
      <w:color w:val="0000FF" w:themeColor="hyperlink"/>
      <w:u w:val="single"/>
    </w:rPr>
  </w:style>
  <w:style w:type="paragraph" w:styleId="Voetnoottekst">
    <w:name w:val="footnote text"/>
    <w:basedOn w:val="Standaard"/>
    <w:link w:val="VoetnoottekstChar"/>
    <w:uiPriority w:val="99"/>
    <w:unhideWhenUsed/>
    <w:rsid w:val="00F84955"/>
    <w:pPr>
      <w:spacing w:after="0" w:line="240" w:lineRule="auto"/>
    </w:pPr>
    <w:rPr>
      <w:sz w:val="20"/>
      <w:szCs w:val="20"/>
    </w:rPr>
  </w:style>
  <w:style w:type="character" w:customStyle="1" w:styleId="VoetnoottekstChar">
    <w:name w:val="Voetnoottekst Char"/>
    <w:basedOn w:val="Standaardalinea-lettertype"/>
    <w:link w:val="Voetnoottekst"/>
    <w:uiPriority w:val="99"/>
    <w:rsid w:val="00F84955"/>
    <w:rPr>
      <w:sz w:val="20"/>
      <w:szCs w:val="20"/>
    </w:rPr>
  </w:style>
  <w:style w:type="character" w:styleId="Voetnootmarkering">
    <w:name w:val="footnote reference"/>
    <w:basedOn w:val="Standaardalinea-lettertype"/>
    <w:uiPriority w:val="99"/>
    <w:semiHidden/>
    <w:unhideWhenUsed/>
    <w:rsid w:val="00F84955"/>
    <w:rPr>
      <w:vertAlign w:val="superscript"/>
    </w:rPr>
  </w:style>
  <w:style w:type="table" w:styleId="Tabelraster">
    <w:name w:val="Table Grid"/>
    <w:basedOn w:val="Standaardtabel"/>
    <w:uiPriority w:val="59"/>
    <w:rsid w:val="00F8495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F8495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84955"/>
    <w:rPr>
      <w:rFonts w:ascii="Tahoma" w:hAnsi="Tahoma" w:cs="Tahoma"/>
      <w:sz w:val="16"/>
      <w:szCs w:val="16"/>
    </w:rPr>
  </w:style>
  <w:style w:type="paragraph" w:styleId="Lijstalinea">
    <w:name w:val="List Paragraph"/>
    <w:basedOn w:val="Standaard"/>
    <w:uiPriority w:val="34"/>
    <w:qFormat/>
    <w:rsid w:val="009C613D"/>
    <w:pPr>
      <w:ind w:left="720"/>
      <w:contextualSpacing/>
    </w:pPr>
  </w:style>
  <w:style w:type="paragraph" w:styleId="Koptekst">
    <w:name w:val="header"/>
    <w:basedOn w:val="Standaard"/>
    <w:link w:val="KoptekstChar"/>
    <w:uiPriority w:val="99"/>
    <w:semiHidden/>
    <w:unhideWhenUsed/>
    <w:rsid w:val="007C64EA"/>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7C64EA"/>
  </w:style>
  <w:style w:type="paragraph" w:styleId="Voettekst">
    <w:name w:val="footer"/>
    <w:basedOn w:val="Standaard"/>
    <w:link w:val="VoettekstChar"/>
    <w:uiPriority w:val="99"/>
    <w:unhideWhenUsed/>
    <w:rsid w:val="007C64E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C64EA"/>
  </w:style>
  <w:style w:type="character" w:styleId="Tekstvantijdelijkeaanduiding">
    <w:name w:val="Placeholder Text"/>
    <w:basedOn w:val="Standaardalinea-lettertype"/>
    <w:uiPriority w:val="99"/>
    <w:semiHidden/>
    <w:rsid w:val="005A39D9"/>
    <w:rPr>
      <w:color w:val="808080"/>
    </w:rPr>
  </w:style>
  <w:style w:type="table" w:customStyle="1" w:styleId="Lichtearcering1">
    <w:name w:val="Lichte arcering1"/>
    <w:basedOn w:val="Standaardtabel"/>
    <w:uiPriority w:val="60"/>
    <w:rsid w:val="0084088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chtearcering-accent11">
    <w:name w:val="Lichte arcering - accent 11"/>
    <w:basedOn w:val="Standaardtabel"/>
    <w:uiPriority w:val="60"/>
    <w:rsid w:val="0084088A"/>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1">
    <w:name w:val="Light Shading Accent 1"/>
    <w:basedOn w:val="Standaardtabel"/>
    <w:uiPriority w:val="60"/>
    <w:rsid w:val="00D45171"/>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Documentstructuur">
    <w:name w:val="Document Map"/>
    <w:basedOn w:val="Standaard"/>
    <w:link w:val="DocumentstructuurChar"/>
    <w:uiPriority w:val="99"/>
    <w:semiHidden/>
    <w:unhideWhenUsed/>
    <w:rsid w:val="00CC364A"/>
    <w:pPr>
      <w:spacing w:after="0" w:line="240" w:lineRule="auto"/>
    </w:pPr>
    <w:rPr>
      <w:rFonts w:ascii="Tahoma" w:hAnsi="Tahoma" w:cs="Tahoma"/>
      <w:sz w:val="16"/>
      <w:szCs w:val="16"/>
    </w:rPr>
  </w:style>
  <w:style w:type="character" w:customStyle="1" w:styleId="DocumentstructuurChar">
    <w:name w:val="Documentstructuur Char"/>
    <w:basedOn w:val="Standaardalinea-lettertype"/>
    <w:link w:val="Documentstructuur"/>
    <w:uiPriority w:val="99"/>
    <w:semiHidden/>
    <w:rsid w:val="00CC364A"/>
    <w:rPr>
      <w:rFonts w:ascii="Tahoma" w:hAnsi="Tahoma" w:cs="Tahoma"/>
      <w:sz w:val="16"/>
      <w:szCs w:val="16"/>
    </w:rPr>
  </w:style>
  <w:style w:type="paragraph" w:styleId="Geenafstand">
    <w:name w:val="No Spacing"/>
    <w:link w:val="GeenafstandChar"/>
    <w:uiPriority w:val="1"/>
    <w:qFormat/>
    <w:rsid w:val="00566752"/>
    <w:pPr>
      <w:spacing w:after="0" w:line="240" w:lineRule="auto"/>
    </w:pPr>
    <w:rPr>
      <w:rFonts w:eastAsiaTheme="minorEastAsia"/>
    </w:rPr>
  </w:style>
  <w:style w:type="character" w:customStyle="1" w:styleId="GeenafstandChar">
    <w:name w:val="Geen afstand Char"/>
    <w:basedOn w:val="Standaardalinea-lettertype"/>
    <w:link w:val="Geenafstand"/>
    <w:uiPriority w:val="1"/>
    <w:rsid w:val="00566752"/>
    <w:rPr>
      <w:rFonts w:eastAsiaTheme="minorEastAsia"/>
    </w:rPr>
  </w:style>
  <w:style w:type="character" w:styleId="GevolgdeHyperlink">
    <w:name w:val="FollowedHyperlink"/>
    <w:basedOn w:val="Standaardalinea-lettertype"/>
    <w:uiPriority w:val="99"/>
    <w:semiHidden/>
    <w:unhideWhenUsed/>
    <w:rsid w:val="000D2A4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www.hypotheker.nl/Hypotheken/Ik+wil+een+woning+kopen/Wat+doen+de+huizenprijzen/Ontwikkeling+Nederland/" TargetMode="External"/><Relationship Id="rId3" Type="http://schemas.openxmlformats.org/officeDocument/2006/relationships/numbering" Target="numbering.xml"/><Relationship Id="rId21" Type="http://schemas.openxmlformats.org/officeDocument/2006/relationships/hyperlink" Target="http://www.nrc.nl/binnenland/article2344911.ece/Corporaties_richten_zich_op_koopwoning"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www.kei-centrum.nl/view.cfm?page_id=1893&amp;item_type=nieuws&amp;item_id=3131"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hyperlink" Target="http://www.nationwide.co.uk/hpi/historical.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www.hypotheker.nl/Hypotheken/Ik+zoek+een+hypotheek/Waar+moet+ik+op+letten/De+fiscus/Eigenwoningforfait+en+aftrekbare+kosten/"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www.vrom.nl/pagina.html?id=18785"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hypotheker.nl/Hypotheken/Ik+wil+een+woning+kopen/Wat+doen+de+huizenprijzen/Ontwikkeli" TargetMode="External"/><Relationship Id="rId2" Type="http://schemas.openxmlformats.org/officeDocument/2006/relationships/hyperlink" Target="http://www.eigenhuis.nl/VerenigingEigenHuis/Actueel/Dossiers/Hypotheekrenteaftrek/Eerdere_beperkingen" TargetMode="External"/><Relationship Id="rId1" Type="http://schemas.openxmlformats.org/officeDocument/2006/relationships/hyperlink" Target="http://www.hypotheker.nl/Hypotheken/Ik+zoek+een+hypotheek/Waar+moet+ik+op+letten/De+fiscus/Eigen" TargetMode="Externa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Office_Excel-werkblad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plotArea>
      <c:layout>
        <c:manualLayout>
          <c:layoutTarget val="inner"/>
          <c:xMode val="edge"/>
          <c:yMode val="edge"/>
          <c:x val="0.11423241864250261"/>
          <c:y val="7.8431622854189184E-2"/>
          <c:w val="0.86142479632051516"/>
          <c:h val="0.74183243282920064"/>
        </c:manualLayout>
      </c:layout>
      <c:lineChart>
        <c:grouping val="standard"/>
        <c:ser>
          <c:idx val="2"/>
          <c:order val="0"/>
          <c:tx>
            <c:v>Trend</c:v>
          </c:tx>
          <c:spPr>
            <a:ln w="22641">
              <a:solidFill>
                <a:srgbClr val="FF0000"/>
              </a:solidFill>
              <a:prstDash val="solid"/>
            </a:ln>
          </c:spPr>
          <c:marker>
            <c:symbol val="none"/>
          </c:marker>
          <c:cat>
            <c:strRef>
              <c:f>RealHP!$A$8:$A$144</c:f>
              <c:strCache>
                <c:ptCount val="137"/>
                <c:pt idx="0">
                  <c:v>1976 Q1</c:v>
                </c:pt>
                <c:pt idx="1">
                  <c:v>1976 Q2</c:v>
                </c:pt>
                <c:pt idx="2">
                  <c:v>1976 Q3</c:v>
                </c:pt>
                <c:pt idx="3">
                  <c:v>1976 Q4</c:v>
                </c:pt>
                <c:pt idx="4">
                  <c:v>1977 Q1</c:v>
                </c:pt>
                <c:pt idx="5">
                  <c:v>1977 Q2</c:v>
                </c:pt>
                <c:pt idx="6">
                  <c:v>1977 Q3</c:v>
                </c:pt>
                <c:pt idx="7">
                  <c:v>1977 Q4</c:v>
                </c:pt>
                <c:pt idx="8">
                  <c:v>1978 Q1</c:v>
                </c:pt>
                <c:pt idx="9">
                  <c:v>1978 Q2</c:v>
                </c:pt>
                <c:pt idx="10">
                  <c:v>1978 Q3</c:v>
                </c:pt>
                <c:pt idx="11">
                  <c:v>1978 Q4</c:v>
                </c:pt>
                <c:pt idx="12">
                  <c:v>1979 Q1</c:v>
                </c:pt>
                <c:pt idx="13">
                  <c:v>1979 Q2</c:v>
                </c:pt>
                <c:pt idx="14">
                  <c:v>1979 Q3</c:v>
                </c:pt>
                <c:pt idx="15">
                  <c:v>1979 Q4</c:v>
                </c:pt>
                <c:pt idx="16">
                  <c:v>1980 Q1</c:v>
                </c:pt>
                <c:pt idx="17">
                  <c:v>1980 Q2</c:v>
                </c:pt>
                <c:pt idx="18">
                  <c:v>1980 Q3</c:v>
                </c:pt>
                <c:pt idx="19">
                  <c:v>1980 Q4</c:v>
                </c:pt>
                <c:pt idx="20">
                  <c:v>1981 Q1</c:v>
                </c:pt>
                <c:pt idx="21">
                  <c:v>1981 Q2</c:v>
                </c:pt>
                <c:pt idx="22">
                  <c:v>1981 Q3</c:v>
                </c:pt>
                <c:pt idx="23">
                  <c:v>1981 Q4</c:v>
                </c:pt>
                <c:pt idx="24">
                  <c:v>1982 Q1</c:v>
                </c:pt>
                <c:pt idx="25">
                  <c:v>1982 Q2</c:v>
                </c:pt>
                <c:pt idx="26">
                  <c:v>1982 Q3</c:v>
                </c:pt>
                <c:pt idx="27">
                  <c:v>1982 Q4</c:v>
                </c:pt>
                <c:pt idx="28">
                  <c:v>1983 Q1</c:v>
                </c:pt>
                <c:pt idx="29">
                  <c:v>1983 Q2</c:v>
                </c:pt>
                <c:pt idx="30">
                  <c:v>1983 Q3</c:v>
                </c:pt>
                <c:pt idx="31">
                  <c:v>1983 Q4</c:v>
                </c:pt>
                <c:pt idx="32">
                  <c:v>1984 Q1</c:v>
                </c:pt>
                <c:pt idx="33">
                  <c:v>1984 Q2</c:v>
                </c:pt>
                <c:pt idx="34">
                  <c:v>1984 Q3</c:v>
                </c:pt>
                <c:pt idx="35">
                  <c:v>1984 Q4</c:v>
                </c:pt>
                <c:pt idx="36">
                  <c:v>1985 Q1</c:v>
                </c:pt>
                <c:pt idx="37">
                  <c:v>1985 Q2</c:v>
                </c:pt>
                <c:pt idx="38">
                  <c:v>1985 Q3</c:v>
                </c:pt>
                <c:pt idx="39">
                  <c:v>1985 Q4</c:v>
                </c:pt>
                <c:pt idx="40">
                  <c:v>1986 Q1</c:v>
                </c:pt>
                <c:pt idx="41">
                  <c:v>1986 Q2</c:v>
                </c:pt>
                <c:pt idx="42">
                  <c:v>1986 Q3</c:v>
                </c:pt>
                <c:pt idx="43">
                  <c:v>1986 Q4</c:v>
                </c:pt>
                <c:pt idx="44">
                  <c:v>1987 Q1</c:v>
                </c:pt>
                <c:pt idx="45">
                  <c:v>1987 Q2</c:v>
                </c:pt>
                <c:pt idx="46">
                  <c:v>1987 Q3</c:v>
                </c:pt>
                <c:pt idx="47">
                  <c:v>1987 Q4</c:v>
                </c:pt>
                <c:pt idx="48">
                  <c:v>1988 Q1</c:v>
                </c:pt>
                <c:pt idx="49">
                  <c:v>1988 Q2</c:v>
                </c:pt>
                <c:pt idx="50">
                  <c:v>1988 Q3</c:v>
                </c:pt>
                <c:pt idx="51">
                  <c:v>1988 Q4</c:v>
                </c:pt>
                <c:pt idx="52">
                  <c:v>1989 Q1</c:v>
                </c:pt>
                <c:pt idx="53">
                  <c:v>1989 Q2</c:v>
                </c:pt>
                <c:pt idx="54">
                  <c:v>1989 Q3</c:v>
                </c:pt>
                <c:pt idx="55">
                  <c:v>1989 Q4</c:v>
                </c:pt>
                <c:pt idx="56">
                  <c:v>1990 Q1</c:v>
                </c:pt>
                <c:pt idx="57">
                  <c:v>1990 Q2</c:v>
                </c:pt>
                <c:pt idx="58">
                  <c:v>1990 Q3</c:v>
                </c:pt>
                <c:pt idx="59">
                  <c:v>1990 Q4</c:v>
                </c:pt>
                <c:pt idx="60">
                  <c:v>1991 Q1</c:v>
                </c:pt>
                <c:pt idx="61">
                  <c:v>1991 Q2</c:v>
                </c:pt>
                <c:pt idx="62">
                  <c:v>1991 Q3</c:v>
                </c:pt>
                <c:pt idx="63">
                  <c:v>1991 Q4</c:v>
                </c:pt>
                <c:pt idx="64">
                  <c:v>1992 Q1</c:v>
                </c:pt>
                <c:pt idx="65">
                  <c:v>1992 Q2</c:v>
                </c:pt>
                <c:pt idx="66">
                  <c:v>1992 Q3</c:v>
                </c:pt>
                <c:pt idx="67">
                  <c:v>1992 Q4</c:v>
                </c:pt>
                <c:pt idx="68">
                  <c:v>1993 Q1</c:v>
                </c:pt>
                <c:pt idx="69">
                  <c:v>1993 Q2</c:v>
                </c:pt>
                <c:pt idx="70">
                  <c:v>1993 Q3</c:v>
                </c:pt>
                <c:pt idx="71">
                  <c:v>1993 Q4</c:v>
                </c:pt>
                <c:pt idx="72">
                  <c:v>1994 Q1</c:v>
                </c:pt>
                <c:pt idx="73">
                  <c:v>1994 Q2</c:v>
                </c:pt>
                <c:pt idx="74">
                  <c:v>1994 Q3</c:v>
                </c:pt>
                <c:pt idx="75">
                  <c:v>1994 Q4</c:v>
                </c:pt>
                <c:pt idx="76">
                  <c:v>1995 Q1</c:v>
                </c:pt>
                <c:pt idx="77">
                  <c:v>1995 Q2</c:v>
                </c:pt>
                <c:pt idx="78">
                  <c:v>1995 Q3</c:v>
                </c:pt>
                <c:pt idx="79">
                  <c:v>1995 Q4</c:v>
                </c:pt>
                <c:pt idx="80">
                  <c:v>1996 Q1</c:v>
                </c:pt>
                <c:pt idx="81">
                  <c:v>1996 Q2</c:v>
                </c:pt>
                <c:pt idx="82">
                  <c:v>1996 Q3</c:v>
                </c:pt>
                <c:pt idx="83">
                  <c:v>1996 Q4</c:v>
                </c:pt>
                <c:pt idx="84">
                  <c:v>1997 Q1</c:v>
                </c:pt>
                <c:pt idx="85">
                  <c:v>1997 Q2</c:v>
                </c:pt>
                <c:pt idx="86">
                  <c:v>1997 Q3</c:v>
                </c:pt>
                <c:pt idx="87">
                  <c:v>1997 Q4</c:v>
                </c:pt>
                <c:pt idx="88">
                  <c:v>1998 Q1</c:v>
                </c:pt>
                <c:pt idx="89">
                  <c:v>1998 Q2</c:v>
                </c:pt>
                <c:pt idx="90">
                  <c:v>1998 Q3</c:v>
                </c:pt>
                <c:pt idx="91">
                  <c:v>1998 Q4</c:v>
                </c:pt>
                <c:pt idx="92">
                  <c:v>1999 Q1</c:v>
                </c:pt>
                <c:pt idx="93">
                  <c:v>1999 Q2</c:v>
                </c:pt>
                <c:pt idx="94">
                  <c:v>1999 Q3</c:v>
                </c:pt>
                <c:pt idx="95">
                  <c:v>1999 Q4</c:v>
                </c:pt>
                <c:pt idx="96">
                  <c:v>2000 Q1</c:v>
                </c:pt>
                <c:pt idx="97">
                  <c:v>2000 Q2</c:v>
                </c:pt>
                <c:pt idx="98">
                  <c:v>2000 Q3</c:v>
                </c:pt>
                <c:pt idx="99">
                  <c:v>2000 Q4</c:v>
                </c:pt>
                <c:pt idx="100">
                  <c:v>2001 Q1</c:v>
                </c:pt>
                <c:pt idx="101">
                  <c:v>2001 Q2</c:v>
                </c:pt>
                <c:pt idx="102">
                  <c:v>2001 Q3</c:v>
                </c:pt>
                <c:pt idx="103">
                  <c:v>2001 Q4</c:v>
                </c:pt>
                <c:pt idx="104">
                  <c:v>2002 Q1</c:v>
                </c:pt>
                <c:pt idx="105">
                  <c:v>2002 Q2</c:v>
                </c:pt>
                <c:pt idx="106">
                  <c:v>2002 Q3</c:v>
                </c:pt>
                <c:pt idx="107">
                  <c:v>2002 Q4</c:v>
                </c:pt>
                <c:pt idx="108">
                  <c:v>2003 Q1</c:v>
                </c:pt>
                <c:pt idx="109">
                  <c:v>2003 Q2</c:v>
                </c:pt>
                <c:pt idx="110">
                  <c:v>2003 Q3</c:v>
                </c:pt>
                <c:pt idx="111">
                  <c:v>2003 Q4</c:v>
                </c:pt>
                <c:pt idx="112">
                  <c:v>2004 Q1</c:v>
                </c:pt>
                <c:pt idx="113">
                  <c:v>2004 Q2</c:v>
                </c:pt>
                <c:pt idx="114">
                  <c:v>2004 Q3</c:v>
                </c:pt>
                <c:pt idx="115">
                  <c:v>2004 Q4</c:v>
                </c:pt>
                <c:pt idx="116">
                  <c:v>2005 Q1</c:v>
                </c:pt>
                <c:pt idx="117">
                  <c:v>2005 Q2</c:v>
                </c:pt>
                <c:pt idx="118">
                  <c:v>2005 Q3</c:v>
                </c:pt>
                <c:pt idx="119">
                  <c:v>2005 Q4</c:v>
                </c:pt>
                <c:pt idx="120">
                  <c:v>2006 Q1</c:v>
                </c:pt>
                <c:pt idx="121">
                  <c:v>2006 Q2</c:v>
                </c:pt>
                <c:pt idx="122">
                  <c:v>2006 Q3</c:v>
                </c:pt>
                <c:pt idx="123">
                  <c:v>2006 Q4</c:v>
                </c:pt>
                <c:pt idx="124">
                  <c:v>2007 Q1</c:v>
                </c:pt>
                <c:pt idx="125">
                  <c:v>2007 Q2</c:v>
                </c:pt>
                <c:pt idx="126">
                  <c:v>2007 Q3</c:v>
                </c:pt>
                <c:pt idx="127">
                  <c:v>2007 Q4</c:v>
                </c:pt>
                <c:pt idx="128">
                  <c:v>2008 Q1</c:v>
                </c:pt>
                <c:pt idx="129">
                  <c:v>2008 Q2</c:v>
                </c:pt>
                <c:pt idx="130">
                  <c:v>2008 Q3</c:v>
                </c:pt>
                <c:pt idx="131">
                  <c:v>2008 Q4</c:v>
                </c:pt>
                <c:pt idx="132">
                  <c:v>2009 Q1</c:v>
                </c:pt>
                <c:pt idx="133">
                  <c:v>2009 Q2</c:v>
                </c:pt>
                <c:pt idx="134">
                  <c:v>2009 Q3</c:v>
                </c:pt>
                <c:pt idx="135">
                  <c:v>2009 Q4</c:v>
                </c:pt>
                <c:pt idx="136">
                  <c:v>2010 Q1</c:v>
                </c:pt>
              </c:strCache>
            </c:strRef>
          </c:cat>
          <c:val>
            <c:numRef>
              <c:f>RealHP!$D$8:$D$144</c:f>
              <c:numCache>
                <c:formatCode>"£"#,##0</c:formatCode>
                <c:ptCount val="137"/>
                <c:pt idx="0">
                  <c:v>60332.222975200959</c:v>
                </c:pt>
                <c:pt idx="1">
                  <c:v>60762.106037330013</c:v>
                </c:pt>
                <c:pt idx="2">
                  <c:v>61195.052130091353</c:v>
                </c:pt>
                <c:pt idx="3">
                  <c:v>61631.08307838966</c:v>
                </c:pt>
                <c:pt idx="4">
                  <c:v>62070.220862636976</c:v>
                </c:pt>
                <c:pt idx="5">
                  <c:v>62512.487619862717</c:v>
                </c:pt>
                <c:pt idx="6">
                  <c:v>62957.905644827035</c:v>
                </c:pt>
                <c:pt idx="7">
                  <c:v>63406.497391147182</c:v>
                </c:pt>
                <c:pt idx="8">
                  <c:v>63858.285472428033</c:v>
                </c:pt>
                <c:pt idx="9">
                  <c:v>64313.292663402455</c:v>
                </c:pt>
                <c:pt idx="10">
                  <c:v>64771.541901079305</c:v>
                </c:pt>
                <c:pt idx="11">
                  <c:v>65233.056285899977</c:v>
                </c:pt>
                <c:pt idx="12">
                  <c:v>65697.859082902025</c:v>
                </c:pt>
                <c:pt idx="13">
                  <c:v>66165.973722892406</c:v>
                </c:pt>
                <c:pt idx="14">
                  <c:v>66637.423803628903</c:v>
                </c:pt>
                <c:pt idx="15">
                  <c:v>67112.233091011978</c:v>
                </c:pt>
                <c:pt idx="16">
                  <c:v>67590.4255202778</c:v>
                </c:pt>
                <c:pt idx="17">
                  <c:v>68072.025197206589</c:v>
                </c:pt>
                <c:pt idx="18">
                  <c:v>68557.056399340814</c:v>
                </c:pt>
                <c:pt idx="19">
                  <c:v>69045.543577205302</c:v>
                </c:pt>
                <c:pt idx="20">
                  <c:v>69537.511355544411</c:v>
                </c:pt>
                <c:pt idx="21">
                  <c:v>70032.98453455577</c:v>
                </c:pt>
                <c:pt idx="22">
                  <c:v>70531.988091148014</c:v>
                </c:pt>
                <c:pt idx="23">
                  <c:v>71034.547180196038</c:v>
                </c:pt>
                <c:pt idx="24">
                  <c:v>71540.687135810091</c:v>
                </c:pt>
                <c:pt idx="25">
                  <c:v>72050.433472612378</c:v>
                </c:pt>
                <c:pt idx="26">
                  <c:v>72563.811887022996</c:v>
                </c:pt>
                <c:pt idx="27">
                  <c:v>73080.848258558763</c:v>
                </c:pt>
                <c:pt idx="28">
                  <c:v>73601.568651130408</c:v>
                </c:pt>
                <c:pt idx="29">
                  <c:v>74125.999314363959</c:v>
                </c:pt>
                <c:pt idx="30">
                  <c:v>74654.166684920201</c:v>
                </c:pt>
                <c:pt idx="31">
                  <c:v>75186.097387828078</c:v>
                </c:pt>
                <c:pt idx="32">
                  <c:v>75721.818237826315</c:v>
                </c:pt>
                <c:pt idx="33">
                  <c:v>76261.356240718538</c:v>
                </c:pt>
                <c:pt idx="34">
                  <c:v>76804.738594727518</c:v>
                </c:pt>
                <c:pt idx="35">
                  <c:v>77351.992691872816</c:v>
                </c:pt>
                <c:pt idx="36">
                  <c:v>77903.146119351863</c:v>
                </c:pt>
                <c:pt idx="37">
                  <c:v>78458.226660922941</c:v>
                </c:pt>
                <c:pt idx="38">
                  <c:v>79017.262298314308</c:v>
                </c:pt>
                <c:pt idx="39">
                  <c:v>79580.281212632006</c:v>
                </c:pt>
                <c:pt idx="40">
                  <c:v>80147.311785777303</c:v>
                </c:pt>
                <c:pt idx="41">
                  <c:v>80718.382601882171</c:v>
                </c:pt>
                <c:pt idx="42">
                  <c:v>81293.522448747404</c:v>
                </c:pt>
                <c:pt idx="43">
                  <c:v>81872.760319294146</c:v>
                </c:pt>
                <c:pt idx="44">
                  <c:v>82456.125413026428</c:v>
                </c:pt>
                <c:pt idx="45">
                  <c:v>83043.647137502019</c:v>
                </c:pt>
                <c:pt idx="46">
                  <c:v>83635.355109816024</c:v>
                </c:pt>
                <c:pt idx="47">
                  <c:v>84231.279158091827</c:v>
                </c:pt>
                <c:pt idx="48">
                  <c:v>84831.449322986227</c:v>
                </c:pt>
                <c:pt idx="49">
                  <c:v>85435.89585920595</c:v>
                </c:pt>
                <c:pt idx="50">
                  <c:v>86044.649237028178</c:v>
                </c:pt>
                <c:pt idx="51">
                  <c:v>86657.740143839779</c:v>
                </c:pt>
                <c:pt idx="52">
                  <c:v>87275.199485682984</c:v>
                </c:pt>
                <c:pt idx="53">
                  <c:v>87897.058388814025</c:v>
                </c:pt>
                <c:pt idx="54">
                  <c:v>88523.348201271918</c:v>
                </c:pt>
                <c:pt idx="55">
                  <c:v>89154.100494459024</c:v>
                </c:pt>
                <c:pt idx="56">
                  <c:v>89789.347064731424</c:v>
                </c:pt>
                <c:pt idx="57">
                  <c:v>90429.11993500324</c:v>
                </c:pt>
                <c:pt idx="58">
                  <c:v>91073.451356360951</c:v>
                </c:pt>
                <c:pt idx="59">
                  <c:v>91722.373809687662</c:v>
                </c:pt>
                <c:pt idx="60">
                  <c:v>92375.920007301538</c:v>
                </c:pt>
                <c:pt idx="61">
                  <c:v>93034.122894605083</c:v>
                </c:pt>
                <c:pt idx="62">
                  <c:v>93697.015651744965</c:v>
                </c:pt>
                <c:pt idx="63">
                  <c:v>94364.631695285556</c:v>
                </c:pt>
                <c:pt idx="64">
                  <c:v>95037.00467989294</c:v>
                </c:pt>
                <c:pt idx="65">
                  <c:v>95714.168500031737</c:v>
                </c:pt>
                <c:pt idx="66">
                  <c:v>96396.157291673371</c:v>
                </c:pt>
                <c:pt idx="67">
                  <c:v>97083.005434017468</c:v>
                </c:pt>
                <c:pt idx="68">
                  <c:v>97774.747551223263</c:v>
                </c:pt>
                <c:pt idx="69">
                  <c:v>98471.418514160148</c:v>
                </c:pt>
                <c:pt idx="70">
                  <c:v>99173.05344215619</c:v>
                </c:pt>
                <c:pt idx="71">
                  <c:v>99879.687704777534</c:v>
                </c:pt>
                <c:pt idx="72">
                  <c:v>100591.35692360702</c:v>
                </c:pt>
                <c:pt idx="73">
                  <c:v>101308.09697404037</c:v>
                </c:pt>
                <c:pt idx="74">
                  <c:v>102029.94398709571</c:v>
                </c:pt>
                <c:pt idx="75">
                  <c:v>102756.93435123457</c:v>
                </c:pt>
                <c:pt idx="76">
                  <c:v>103489.10471419444</c:v>
                </c:pt>
                <c:pt idx="77">
                  <c:v>104226.4919848369</c:v>
                </c:pt>
                <c:pt idx="78">
                  <c:v>104969.13333501197</c:v>
                </c:pt>
                <c:pt idx="79">
                  <c:v>105717.06620142731</c:v>
                </c:pt>
                <c:pt idx="80">
                  <c:v>106470.32828753818</c:v>
                </c:pt>
                <c:pt idx="81">
                  <c:v>107228.95756544374</c:v>
                </c:pt>
                <c:pt idx="82">
                  <c:v>107992.99227780654</c:v>
                </c:pt>
                <c:pt idx="83">
                  <c:v>108762.47093978105</c:v>
                </c:pt>
                <c:pt idx="84">
                  <c:v>109537.43234094637</c:v>
                </c:pt>
                <c:pt idx="85">
                  <c:v>110317.9155472719</c:v>
                </c:pt>
                <c:pt idx="86">
                  <c:v>111103.95990308296</c:v>
                </c:pt>
                <c:pt idx="87">
                  <c:v>111895.60503303974</c:v>
                </c:pt>
                <c:pt idx="88">
                  <c:v>112692.89084414172</c:v>
                </c:pt>
                <c:pt idx="89">
                  <c:v>113495.85752773558</c:v>
                </c:pt>
                <c:pt idx="90">
                  <c:v>114304.54556154164</c:v>
                </c:pt>
                <c:pt idx="91">
                  <c:v>115118.99571169518</c:v>
                </c:pt>
                <c:pt idx="92">
                  <c:v>115939.24903480064</c:v>
                </c:pt>
                <c:pt idx="93">
                  <c:v>116765.34688000137</c:v>
                </c:pt>
                <c:pt idx="94">
                  <c:v>117597.33089106581</c:v>
                </c:pt>
                <c:pt idx="95">
                  <c:v>118435.243008483</c:v>
                </c:pt>
                <c:pt idx="96">
                  <c:v>119279.12547158114</c:v>
                </c:pt>
                <c:pt idx="97">
                  <c:v>120129.02082065235</c:v>
                </c:pt>
                <c:pt idx="98">
                  <c:v>120984.97189910237</c:v>
                </c:pt>
                <c:pt idx="99">
                  <c:v>121847.02185560674</c:v>
                </c:pt>
                <c:pt idx="100">
                  <c:v>122715.21414628542</c:v>
                </c:pt>
                <c:pt idx="101">
                  <c:v>123589.59253689589</c:v>
                </c:pt>
                <c:pt idx="102">
                  <c:v>124470.20110503805</c:v>
                </c:pt>
                <c:pt idx="103">
                  <c:v>125357.08424237624</c:v>
                </c:pt>
                <c:pt idx="104">
                  <c:v>126250.28665687727</c:v>
                </c:pt>
                <c:pt idx="105">
                  <c:v>127149.85337506348</c:v>
                </c:pt>
                <c:pt idx="106">
                  <c:v>128055.82974428605</c:v>
                </c:pt>
                <c:pt idx="107">
                  <c:v>128968.26143500136</c:v>
                </c:pt>
                <c:pt idx="108">
                  <c:v>129887.1944430874</c:v>
                </c:pt>
                <c:pt idx="109">
                  <c:v>130812.67509215153</c:v>
                </c:pt>
                <c:pt idx="110">
                  <c:v>131744.75003586808</c:v>
                </c:pt>
                <c:pt idx="111">
                  <c:v>132683.46626033148</c:v>
                </c:pt>
                <c:pt idx="112">
                  <c:v>133628.87108642768</c:v>
                </c:pt>
                <c:pt idx="113">
                  <c:v>134581.01217221381</c:v>
                </c:pt>
                <c:pt idx="114">
                  <c:v>135539.93751532168</c:v>
                </c:pt>
                <c:pt idx="115">
                  <c:v>136505.6954553831</c:v>
                </c:pt>
                <c:pt idx="116">
                  <c:v>137478.33467645865</c:v>
                </c:pt>
                <c:pt idx="117">
                  <c:v>138457.90420949948</c:v>
                </c:pt>
                <c:pt idx="118">
                  <c:v>139444.45343481092</c:v>
                </c:pt>
                <c:pt idx="119">
                  <c:v>140438.0320845505</c:v>
                </c:pt>
                <c:pt idx="120">
                  <c:v>141438.69024522681</c:v>
                </c:pt>
                <c:pt idx="121">
                  <c:v>142446.47836022952</c:v>
                </c:pt>
                <c:pt idx="122">
                  <c:v>143461.44723237178</c:v>
                </c:pt>
                <c:pt idx="123">
                  <c:v>144483.64802644902</c:v>
                </c:pt>
                <c:pt idx="124">
                  <c:v>145513.13227182091</c:v>
                </c:pt>
                <c:pt idx="125">
                  <c:v>146549.95186500275</c:v>
                </c:pt>
                <c:pt idx="126">
                  <c:v>147594.15907229268</c:v>
                </c:pt>
                <c:pt idx="127">
                  <c:v>148645.80653239688</c:v>
                </c:pt>
                <c:pt idx="128">
                  <c:v>149704.94725908924</c:v>
                </c:pt>
                <c:pt idx="129">
                  <c:v>150771.63464387128</c:v>
                </c:pt>
                <c:pt idx="130">
                  <c:v>151845.92245868515</c:v>
                </c:pt>
                <c:pt idx="131">
                  <c:v>152927.86485860564</c:v>
                </c:pt>
                <c:pt idx="132">
                  <c:v>154017.51638457834</c:v>
                </c:pt>
                <c:pt idx="133">
                  <c:v>155114.93196616741</c:v>
                </c:pt>
                <c:pt idx="134">
                  <c:v>156220.16692432473</c:v>
                </c:pt>
                <c:pt idx="135">
                  <c:v>157333.27697417911</c:v>
                </c:pt>
                <c:pt idx="136">
                  <c:v>158454.31822784219</c:v>
                </c:pt>
              </c:numCache>
            </c:numRef>
          </c:val>
          <c:smooth val="1"/>
        </c:ser>
        <c:ser>
          <c:idx val="1"/>
          <c:order val="1"/>
          <c:tx>
            <c:v>Real House Price</c:v>
          </c:tx>
          <c:spPr>
            <a:ln w="22641">
              <a:solidFill>
                <a:srgbClr val="000080"/>
              </a:solidFill>
              <a:prstDash val="solid"/>
            </a:ln>
          </c:spPr>
          <c:marker>
            <c:symbol val="none"/>
          </c:marker>
          <c:cat>
            <c:strRef>
              <c:f>RealHP!$A$8:$A$144</c:f>
              <c:strCache>
                <c:ptCount val="137"/>
                <c:pt idx="0">
                  <c:v>1976 Q1</c:v>
                </c:pt>
                <c:pt idx="1">
                  <c:v>1976 Q2</c:v>
                </c:pt>
                <c:pt idx="2">
                  <c:v>1976 Q3</c:v>
                </c:pt>
                <c:pt idx="3">
                  <c:v>1976 Q4</c:v>
                </c:pt>
                <c:pt idx="4">
                  <c:v>1977 Q1</c:v>
                </c:pt>
                <c:pt idx="5">
                  <c:v>1977 Q2</c:v>
                </c:pt>
                <c:pt idx="6">
                  <c:v>1977 Q3</c:v>
                </c:pt>
                <c:pt idx="7">
                  <c:v>1977 Q4</c:v>
                </c:pt>
                <c:pt idx="8">
                  <c:v>1978 Q1</c:v>
                </c:pt>
                <c:pt idx="9">
                  <c:v>1978 Q2</c:v>
                </c:pt>
                <c:pt idx="10">
                  <c:v>1978 Q3</c:v>
                </c:pt>
                <c:pt idx="11">
                  <c:v>1978 Q4</c:v>
                </c:pt>
                <c:pt idx="12">
                  <c:v>1979 Q1</c:v>
                </c:pt>
                <c:pt idx="13">
                  <c:v>1979 Q2</c:v>
                </c:pt>
                <c:pt idx="14">
                  <c:v>1979 Q3</c:v>
                </c:pt>
                <c:pt idx="15">
                  <c:v>1979 Q4</c:v>
                </c:pt>
                <c:pt idx="16">
                  <c:v>1980 Q1</c:v>
                </c:pt>
                <c:pt idx="17">
                  <c:v>1980 Q2</c:v>
                </c:pt>
                <c:pt idx="18">
                  <c:v>1980 Q3</c:v>
                </c:pt>
                <c:pt idx="19">
                  <c:v>1980 Q4</c:v>
                </c:pt>
                <c:pt idx="20">
                  <c:v>1981 Q1</c:v>
                </c:pt>
                <c:pt idx="21">
                  <c:v>1981 Q2</c:v>
                </c:pt>
                <c:pt idx="22">
                  <c:v>1981 Q3</c:v>
                </c:pt>
                <c:pt idx="23">
                  <c:v>1981 Q4</c:v>
                </c:pt>
                <c:pt idx="24">
                  <c:v>1982 Q1</c:v>
                </c:pt>
                <c:pt idx="25">
                  <c:v>1982 Q2</c:v>
                </c:pt>
                <c:pt idx="26">
                  <c:v>1982 Q3</c:v>
                </c:pt>
                <c:pt idx="27">
                  <c:v>1982 Q4</c:v>
                </c:pt>
                <c:pt idx="28">
                  <c:v>1983 Q1</c:v>
                </c:pt>
                <c:pt idx="29">
                  <c:v>1983 Q2</c:v>
                </c:pt>
                <c:pt idx="30">
                  <c:v>1983 Q3</c:v>
                </c:pt>
                <c:pt idx="31">
                  <c:v>1983 Q4</c:v>
                </c:pt>
                <c:pt idx="32">
                  <c:v>1984 Q1</c:v>
                </c:pt>
                <c:pt idx="33">
                  <c:v>1984 Q2</c:v>
                </c:pt>
                <c:pt idx="34">
                  <c:v>1984 Q3</c:v>
                </c:pt>
                <c:pt idx="35">
                  <c:v>1984 Q4</c:v>
                </c:pt>
                <c:pt idx="36">
                  <c:v>1985 Q1</c:v>
                </c:pt>
                <c:pt idx="37">
                  <c:v>1985 Q2</c:v>
                </c:pt>
                <c:pt idx="38">
                  <c:v>1985 Q3</c:v>
                </c:pt>
                <c:pt idx="39">
                  <c:v>1985 Q4</c:v>
                </c:pt>
                <c:pt idx="40">
                  <c:v>1986 Q1</c:v>
                </c:pt>
                <c:pt idx="41">
                  <c:v>1986 Q2</c:v>
                </c:pt>
                <c:pt idx="42">
                  <c:v>1986 Q3</c:v>
                </c:pt>
                <c:pt idx="43">
                  <c:v>1986 Q4</c:v>
                </c:pt>
                <c:pt idx="44">
                  <c:v>1987 Q1</c:v>
                </c:pt>
                <c:pt idx="45">
                  <c:v>1987 Q2</c:v>
                </c:pt>
                <c:pt idx="46">
                  <c:v>1987 Q3</c:v>
                </c:pt>
                <c:pt idx="47">
                  <c:v>1987 Q4</c:v>
                </c:pt>
                <c:pt idx="48">
                  <c:v>1988 Q1</c:v>
                </c:pt>
                <c:pt idx="49">
                  <c:v>1988 Q2</c:v>
                </c:pt>
                <c:pt idx="50">
                  <c:v>1988 Q3</c:v>
                </c:pt>
                <c:pt idx="51">
                  <c:v>1988 Q4</c:v>
                </c:pt>
                <c:pt idx="52">
                  <c:v>1989 Q1</c:v>
                </c:pt>
                <c:pt idx="53">
                  <c:v>1989 Q2</c:v>
                </c:pt>
                <c:pt idx="54">
                  <c:v>1989 Q3</c:v>
                </c:pt>
                <c:pt idx="55">
                  <c:v>1989 Q4</c:v>
                </c:pt>
                <c:pt idx="56">
                  <c:v>1990 Q1</c:v>
                </c:pt>
                <c:pt idx="57">
                  <c:v>1990 Q2</c:v>
                </c:pt>
                <c:pt idx="58">
                  <c:v>1990 Q3</c:v>
                </c:pt>
                <c:pt idx="59">
                  <c:v>1990 Q4</c:v>
                </c:pt>
                <c:pt idx="60">
                  <c:v>1991 Q1</c:v>
                </c:pt>
                <c:pt idx="61">
                  <c:v>1991 Q2</c:v>
                </c:pt>
                <c:pt idx="62">
                  <c:v>1991 Q3</c:v>
                </c:pt>
                <c:pt idx="63">
                  <c:v>1991 Q4</c:v>
                </c:pt>
                <c:pt idx="64">
                  <c:v>1992 Q1</c:v>
                </c:pt>
                <c:pt idx="65">
                  <c:v>1992 Q2</c:v>
                </c:pt>
                <c:pt idx="66">
                  <c:v>1992 Q3</c:v>
                </c:pt>
                <c:pt idx="67">
                  <c:v>1992 Q4</c:v>
                </c:pt>
                <c:pt idx="68">
                  <c:v>1993 Q1</c:v>
                </c:pt>
                <c:pt idx="69">
                  <c:v>1993 Q2</c:v>
                </c:pt>
                <c:pt idx="70">
                  <c:v>1993 Q3</c:v>
                </c:pt>
                <c:pt idx="71">
                  <c:v>1993 Q4</c:v>
                </c:pt>
                <c:pt idx="72">
                  <c:v>1994 Q1</c:v>
                </c:pt>
                <c:pt idx="73">
                  <c:v>1994 Q2</c:v>
                </c:pt>
                <c:pt idx="74">
                  <c:v>1994 Q3</c:v>
                </c:pt>
                <c:pt idx="75">
                  <c:v>1994 Q4</c:v>
                </c:pt>
                <c:pt idx="76">
                  <c:v>1995 Q1</c:v>
                </c:pt>
                <c:pt idx="77">
                  <c:v>1995 Q2</c:v>
                </c:pt>
                <c:pt idx="78">
                  <c:v>1995 Q3</c:v>
                </c:pt>
                <c:pt idx="79">
                  <c:v>1995 Q4</c:v>
                </c:pt>
                <c:pt idx="80">
                  <c:v>1996 Q1</c:v>
                </c:pt>
                <c:pt idx="81">
                  <c:v>1996 Q2</c:v>
                </c:pt>
                <c:pt idx="82">
                  <c:v>1996 Q3</c:v>
                </c:pt>
                <c:pt idx="83">
                  <c:v>1996 Q4</c:v>
                </c:pt>
                <c:pt idx="84">
                  <c:v>1997 Q1</c:v>
                </c:pt>
                <c:pt idx="85">
                  <c:v>1997 Q2</c:v>
                </c:pt>
                <c:pt idx="86">
                  <c:v>1997 Q3</c:v>
                </c:pt>
                <c:pt idx="87">
                  <c:v>1997 Q4</c:v>
                </c:pt>
                <c:pt idx="88">
                  <c:v>1998 Q1</c:v>
                </c:pt>
                <c:pt idx="89">
                  <c:v>1998 Q2</c:v>
                </c:pt>
                <c:pt idx="90">
                  <c:v>1998 Q3</c:v>
                </c:pt>
                <c:pt idx="91">
                  <c:v>1998 Q4</c:v>
                </c:pt>
                <c:pt idx="92">
                  <c:v>1999 Q1</c:v>
                </c:pt>
                <c:pt idx="93">
                  <c:v>1999 Q2</c:v>
                </c:pt>
                <c:pt idx="94">
                  <c:v>1999 Q3</c:v>
                </c:pt>
                <c:pt idx="95">
                  <c:v>1999 Q4</c:v>
                </c:pt>
                <c:pt idx="96">
                  <c:v>2000 Q1</c:v>
                </c:pt>
                <c:pt idx="97">
                  <c:v>2000 Q2</c:v>
                </c:pt>
                <c:pt idx="98">
                  <c:v>2000 Q3</c:v>
                </c:pt>
                <c:pt idx="99">
                  <c:v>2000 Q4</c:v>
                </c:pt>
                <c:pt idx="100">
                  <c:v>2001 Q1</c:v>
                </c:pt>
                <c:pt idx="101">
                  <c:v>2001 Q2</c:v>
                </c:pt>
                <c:pt idx="102">
                  <c:v>2001 Q3</c:v>
                </c:pt>
                <c:pt idx="103">
                  <c:v>2001 Q4</c:v>
                </c:pt>
                <c:pt idx="104">
                  <c:v>2002 Q1</c:v>
                </c:pt>
                <c:pt idx="105">
                  <c:v>2002 Q2</c:v>
                </c:pt>
                <c:pt idx="106">
                  <c:v>2002 Q3</c:v>
                </c:pt>
                <c:pt idx="107">
                  <c:v>2002 Q4</c:v>
                </c:pt>
                <c:pt idx="108">
                  <c:v>2003 Q1</c:v>
                </c:pt>
                <c:pt idx="109">
                  <c:v>2003 Q2</c:v>
                </c:pt>
                <c:pt idx="110">
                  <c:v>2003 Q3</c:v>
                </c:pt>
                <c:pt idx="111">
                  <c:v>2003 Q4</c:v>
                </c:pt>
                <c:pt idx="112">
                  <c:v>2004 Q1</c:v>
                </c:pt>
                <c:pt idx="113">
                  <c:v>2004 Q2</c:v>
                </c:pt>
                <c:pt idx="114">
                  <c:v>2004 Q3</c:v>
                </c:pt>
                <c:pt idx="115">
                  <c:v>2004 Q4</c:v>
                </c:pt>
                <c:pt idx="116">
                  <c:v>2005 Q1</c:v>
                </c:pt>
                <c:pt idx="117">
                  <c:v>2005 Q2</c:v>
                </c:pt>
                <c:pt idx="118">
                  <c:v>2005 Q3</c:v>
                </c:pt>
                <c:pt idx="119">
                  <c:v>2005 Q4</c:v>
                </c:pt>
                <c:pt idx="120">
                  <c:v>2006 Q1</c:v>
                </c:pt>
                <c:pt idx="121">
                  <c:v>2006 Q2</c:v>
                </c:pt>
                <c:pt idx="122">
                  <c:v>2006 Q3</c:v>
                </c:pt>
                <c:pt idx="123">
                  <c:v>2006 Q4</c:v>
                </c:pt>
                <c:pt idx="124">
                  <c:v>2007 Q1</c:v>
                </c:pt>
                <c:pt idx="125">
                  <c:v>2007 Q2</c:v>
                </c:pt>
                <c:pt idx="126">
                  <c:v>2007 Q3</c:v>
                </c:pt>
                <c:pt idx="127">
                  <c:v>2007 Q4</c:v>
                </c:pt>
                <c:pt idx="128">
                  <c:v>2008 Q1</c:v>
                </c:pt>
                <c:pt idx="129">
                  <c:v>2008 Q2</c:v>
                </c:pt>
                <c:pt idx="130">
                  <c:v>2008 Q3</c:v>
                </c:pt>
                <c:pt idx="131">
                  <c:v>2008 Q4</c:v>
                </c:pt>
                <c:pt idx="132">
                  <c:v>2009 Q1</c:v>
                </c:pt>
                <c:pt idx="133">
                  <c:v>2009 Q2</c:v>
                </c:pt>
                <c:pt idx="134">
                  <c:v>2009 Q3</c:v>
                </c:pt>
                <c:pt idx="135">
                  <c:v>2009 Q4</c:v>
                </c:pt>
                <c:pt idx="136">
                  <c:v>2010 Q1</c:v>
                </c:pt>
              </c:strCache>
            </c:strRef>
          </c:cat>
          <c:val>
            <c:numRef>
              <c:f>RealHP!$C$8:$C$144</c:f>
              <c:numCache>
                <c:formatCode>"£"#,##0</c:formatCode>
                <c:ptCount val="137"/>
                <c:pt idx="0">
                  <c:v>66468.982017386108</c:v>
                </c:pt>
                <c:pt idx="1">
                  <c:v>65325.925349879864</c:v>
                </c:pt>
                <c:pt idx="2">
                  <c:v>65277.544997522338</c:v>
                </c:pt>
                <c:pt idx="3">
                  <c:v>63576.595143120874</c:v>
                </c:pt>
                <c:pt idx="4">
                  <c:v>61402.589284457732</c:v>
                </c:pt>
                <c:pt idx="5">
                  <c:v>60199.563697452053</c:v>
                </c:pt>
                <c:pt idx="6">
                  <c:v>60611.384670942643</c:v>
                </c:pt>
                <c:pt idx="7">
                  <c:v>60548.068537530082</c:v>
                </c:pt>
                <c:pt idx="8">
                  <c:v>62577.874939697213</c:v>
                </c:pt>
                <c:pt idx="9">
                  <c:v>63895.099590929807</c:v>
                </c:pt>
                <c:pt idx="10">
                  <c:v>68910.81365689465</c:v>
                </c:pt>
                <c:pt idx="11">
                  <c:v>71579.243482814418</c:v>
                </c:pt>
                <c:pt idx="12">
                  <c:v>73561.836155922749</c:v>
                </c:pt>
                <c:pt idx="13">
                  <c:v>75987.637533800371</c:v>
                </c:pt>
                <c:pt idx="14">
                  <c:v>76454.577027645457</c:v>
                </c:pt>
                <c:pt idx="15">
                  <c:v>79802.464386565</c:v>
                </c:pt>
                <c:pt idx="16">
                  <c:v>78597.590032531603</c:v>
                </c:pt>
                <c:pt idx="17">
                  <c:v>76554.625354955904</c:v>
                </c:pt>
                <c:pt idx="18">
                  <c:v>75882.620078165535</c:v>
                </c:pt>
                <c:pt idx="19">
                  <c:v>74048.627232419938</c:v>
                </c:pt>
                <c:pt idx="20">
                  <c:v>72993.057195586007</c:v>
                </c:pt>
                <c:pt idx="21">
                  <c:v>70647.548002892843</c:v>
                </c:pt>
                <c:pt idx="22">
                  <c:v>69789.146536702348</c:v>
                </c:pt>
                <c:pt idx="23">
                  <c:v>66985.130547064371</c:v>
                </c:pt>
                <c:pt idx="24">
                  <c:v>66930.729046396125</c:v>
                </c:pt>
                <c:pt idx="25">
                  <c:v>66224.324351807067</c:v>
                </c:pt>
                <c:pt idx="26">
                  <c:v>66676.06973749098</c:v>
                </c:pt>
                <c:pt idx="27">
                  <c:v>67810.723628304404</c:v>
                </c:pt>
                <c:pt idx="28">
                  <c:v>69403.122358767432</c:v>
                </c:pt>
                <c:pt idx="29">
                  <c:v>70796.916464929178</c:v>
                </c:pt>
                <c:pt idx="30">
                  <c:v>71902.44132513451</c:v>
                </c:pt>
                <c:pt idx="31">
                  <c:v>72202.628900706404</c:v>
                </c:pt>
                <c:pt idx="32">
                  <c:v>74427.280793309372</c:v>
                </c:pt>
                <c:pt idx="33">
                  <c:v>75766.063912553393</c:v>
                </c:pt>
                <c:pt idx="34">
                  <c:v>76116.916062790813</c:v>
                </c:pt>
                <c:pt idx="35">
                  <c:v>78383.910120489905</c:v>
                </c:pt>
                <c:pt idx="36">
                  <c:v>78924.347327286014</c:v>
                </c:pt>
                <c:pt idx="37">
                  <c:v>78590.014720779829</c:v>
                </c:pt>
                <c:pt idx="38">
                  <c:v>79549.891171099138</c:v>
                </c:pt>
                <c:pt idx="39">
                  <c:v>80898.340778101992</c:v>
                </c:pt>
                <c:pt idx="40">
                  <c:v>80788.815892775732</c:v>
                </c:pt>
                <c:pt idx="41">
                  <c:v>82774.041143192371</c:v>
                </c:pt>
                <c:pt idx="42">
                  <c:v>85450.894182782256</c:v>
                </c:pt>
                <c:pt idx="43">
                  <c:v>87378.619342158985</c:v>
                </c:pt>
                <c:pt idx="44">
                  <c:v>89142.309842889023</c:v>
                </c:pt>
                <c:pt idx="45">
                  <c:v>92260.677843773272</c:v>
                </c:pt>
                <c:pt idx="46">
                  <c:v>95178.884192765487</c:v>
                </c:pt>
                <c:pt idx="47">
                  <c:v>93997.515139843541</c:v>
                </c:pt>
                <c:pt idx="48">
                  <c:v>95096.865875131829</c:v>
                </c:pt>
                <c:pt idx="49">
                  <c:v>100768.50838842677</c:v>
                </c:pt>
                <c:pt idx="50">
                  <c:v>110370.71836316337</c:v>
                </c:pt>
                <c:pt idx="51">
                  <c:v>113919.27548056842</c:v>
                </c:pt>
                <c:pt idx="52">
                  <c:v>116565.51591367934</c:v>
                </c:pt>
                <c:pt idx="53">
                  <c:v>118476.23827636897</c:v>
                </c:pt>
                <c:pt idx="54">
                  <c:v>118366.88541852045</c:v>
                </c:pt>
                <c:pt idx="55">
                  <c:v>113687.41471048752</c:v>
                </c:pt>
                <c:pt idx="56">
                  <c:v>108237.36969519618</c:v>
                </c:pt>
                <c:pt idx="57">
                  <c:v>102377.9131424087</c:v>
                </c:pt>
                <c:pt idx="58">
                  <c:v>97734.023226498422</c:v>
                </c:pt>
                <c:pt idx="59">
                  <c:v>92321.268688825992</c:v>
                </c:pt>
                <c:pt idx="60">
                  <c:v>91205.380391699393</c:v>
                </c:pt>
                <c:pt idx="61">
                  <c:v>90720.065766979023</c:v>
                </c:pt>
                <c:pt idx="62">
                  <c:v>89474.834746072273</c:v>
                </c:pt>
                <c:pt idx="63">
                  <c:v>86569.595140216363</c:v>
                </c:pt>
                <c:pt idx="64">
                  <c:v>83798.721562689097</c:v>
                </c:pt>
                <c:pt idx="65">
                  <c:v>82800.706528044131</c:v>
                </c:pt>
                <c:pt idx="66">
                  <c:v>82199.472089125979</c:v>
                </c:pt>
                <c:pt idx="67">
                  <c:v>78595.449824469208</c:v>
                </c:pt>
                <c:pt idx="68">
                  <c:v>79042.847243563199</c:v>
                </c:pt>
                <c:pt idx="69">
                  <c:v>80586.716265056471</c:v>
                </c:pt>
                <c:pt idx="70">
                  <c:v>80092.555138890457</c:v>
                </c:pt>
                <c:pt idx="71">
                  <c:v>78736.078043126399</c:v>
                </c:pt>
                <c:pt idx="72">
                  <c:v>79051.548144754197</c:v>
                </c:pt>
                <c:pt idx="73">
                  <c:v>77737.145325985141</c:v>
                </c:pt>
                <c:pt idx="74">
                  <c:v>78241.763593041978</c:v>
                </c:pt>
                <c:pt idx="75">
                  <c:v>78332.650466672407</c:v>
                </c:pt>
                <c:pt idx="76">
                  <c:v>76105.247285645208</c:v>
                </c:pt>
                <c:pt idx="77">
                  <c:v>75533.829357190654</c:v>
                </c:pt>
                <c:pt idx="78">
                  <c:v>74896.032036023258</c:v>
                </c:pt>
                <c:pt idx="79">
                  <c:v>74207.588734177203</c:v>
                </c:pt>
                <c:pt idx="80">
                  <c:v>74447.53088866797</c:v>
                </c:pt>
                <c:pt idx="81">
                  <c:v>75904.930664921441</c:v>
                </c:pt>
                <c:pt idx="82">
                  <c:v>77150.410361854971</c:v>
                </c:pt>
                <c:pt idx="83">
                  <c:v>78348.326998051954</c:v>
                </c:pt>
                <c:pt idx="84">
                  <c:v>78785.53852697961</c:v>
                </c:pt>
                <c:pt idx="85">
                  <c:v>81408.086869980863</c:v>
                </c:pt>
                <c:pt idx="86">
                  <c:v>83865.560413633488</c:v>
                </c:pt>
                <c:pt idx="87">
                  <c:v>84673.920093926048</c:v>
                </c:pt>
                <c:pt idx="88">
                  <c:v>85875.350065294027</c:v>
                </c:pt>
                <c:pt idx="89">
                  <c:v>87420.109883350364</c:v>
                </c:pt>
                <c:pt idx="90">
                  <c:v>88665.016541233199</c:v>
                </c:pt>
                <c:pt idx="91">
                  <c:v>88198.907777571978</c:v>
                </c:pt>
                <c:pt idx="92">
                  <c:v>90131.713011126383</c:v>
                </c:pt>
                <c:pt idx="93">
                  <c:v>92534.604028774425</c:v>
                </c:pt>
                <c:pt idx="94">
                  <c:v>95566.711354272149</c:v>
                </c:pt>
                <c:pt idx="95">
                  <c:v>97843.097093018718</c:v>
                </c:pt>
                <c:pt idx="96">
                  <c:v>101449.1934404974</c:v>
                </c:pt>
                <c:pt idx="97">
                  <c:v>104097.73703278544</c:v>
                </c:pt>
                <c:pt idx="98">
                  <c:v>103574.28808194344</c:v>
                </c:pt>
                <c:pt idx="99">
                  <c:v>103792.60278457499</c:v>
                </c:pt>
                <c:pt idx="100">
                  <c:v>106902.72523953857</c:v>
                </c:pt>
                <c:pt idx="101">
                  <c:v>110216.67393449042</c:v>
                </c:pt>
                <c:pt idx="102">
                  <c:v>114440.6441899944</c:v>
                </c:pt>
                <c:pt idx="103">
                  <c:v>116440.00264039123</c:v>
                </c:pt>
                <c:pt idx="104">
                  <c:v>119923.35753191487</c:v>
                </c:pt>
                <c:pt idx="105">
                  <c:v>128613.69462102237</c:v>
                </c:pt>
                <c:pt idx="106">
                  <c:v>137253.03929218568</c:v>
                </c:pt>
                <c:pt idx="107">
                  <c:v>142292.14703703806</c:v>
                </c:pt>
                <c:pt idx="108">
                  <c:v>146377.39975083998</c:v>
                </c:pt>
                <c:pt idx="109">
                  <c:v>151248.94338938611</c:v>
                </c:pt>
                <c:pt idx="110">
                  <c:v>156100.75872926181</c:v>
                </c:pt>
                <c:pt idx="111">
                  <c:v>160114.64016974811</c:v>
                </c:pt>
                <c:pt idx="112">
                  <c:v>165427.52507251376</c:v>
                </c:pt>
                <c:pt idx="113">
                  <c:v>174284.30705906471</c:v>
                </c:pt>
                <c:pt idx="114">
                  <c:v>179119.5163131255</c:v>
                </c:pt>
                <c:pt idx="115">
                  <c:v>176239.30789918281</c:v>
                </c:pt>
                <c:pt idx="116">
                  <c:v>176150.35495857598</c:v>
                </c:pt>
                <c:pt idx="117">
                  <c:v>179491.69554341811</c:v>
                </c:pt>
                <c:pt idx="118">
                  <c:v>178990.57394565688</c:v>
                </c:pt>
                <c:pt idx="119">
                  <c:v>177703.1121881791</c:v>
                </c:pt>
                <c:pt idx="120">
                  <c:v>180547.25288018881</c:v>
                </c:pt>
                <c:pt idx="121">
                  <c:v>182660.35164983047</c:v>
                </c:pt>
                <c:pt idx="122">
                  <c:v>184860.68599454028</c:v>
                </c:pt>
                <c:pt idx="123">
                  <c:v>186847.49857011071</c:v>
                </c:pt>
                <c:pt idx="124">
                  <c:v>189134.23393499438</c:v>
                </c:pt>
                <c:pt idx="125">
                  <c:v>192741.33704771037</c:v>
                </c:pt>
                <c:pt idx="126">
                  <c:v>194447.27912512681</c:v>
                </c:pt>
                <c:pt idx="127">
                  <c:v>191765.58729117669</c:v>
                </c:pt>
                <c:pt idx="128">
                  <c:v>185823.30369529568</c:v>
                </c:pt>
                <c:pt idx="129">
                  <c:v>177273.08255041169</c:v>
                </c:pt>
                <c:pt idx="130">
                  <c:v>166178.7479542637</c:v>
                </c:pt>
                <c:pt idx="131">
                  <c:v>159158.74548273871</c:v>
                </c:pt>
                <c:pt idx="132">
                  <c:v>155248.37267613711</c:v>
                </c:pt>
                <c:pt idx="133">
                  <c:v>158488.95310683106</c:v>
                </c:pt>
                <c:pt idx="134">
                  <c:v>163373.2745212861</c:v>
                </c:pt>
                <c:pt idx="135">
                  <c:v>163463.93264621551</c:v>
                </c:pt>
                <c:pt idx="136">
                  <c:v>162886.94769711408</c:v>
                </c:pt>
              </c:numCache>
            </c:numRef>
          </c:val>
          <c:smooth val="1"/>
        </c:ser>
        <c:marker val="1"/>
        <c:axId val="71092480"/>
        <c:axId val="71094272"/>
      </c:lineChart>
      <c:catAx>
        <c:axId val="71092480"/>
        <c:scaling>
          <c:orientation val="minMax"/>
        </c:scaling>
        <c:axPos val="b"/>
        <c:numFmt formatCode="General" sourceLinked="1"/>
        <c:tickLblPos val="nextTo"/>
        <c:spPr>
          <a:ln w="2830">
            <a:solidFill>
              <a:srgbClr val="000000"/>
            </a:solidFill>
            <a:prstDash val="solid"/>
          </a:ln>
        </c:spPr>
        <c:txPr>
          <a:bodyPr rot="-5400000" vert="horz"/>
          <a:lstStyle/>
          <a:p>
            <a:pPr>
              <a:defRPr sz="713" b="0" i="0" u="none" strike="noStrike" baseline="0">
                <a:solidFill>
                  <a:srgbClr val="000000"/>
                </a:solidFill>
                <a:latin typeface="Tahoma"/>
                <a:ea typeface="Tahoma"/>
                <a:cs typeface="Tahoma"/>
              </a:defRPr>
            </a:pPr>
            <a:endParaRPr lang="nl-NL"/>
          </a:p>
        </c:txPr>
        <c:crossAx val="71094272"/>
        <c:crosses val="autoZero"/>
        <c:auto val="1"/>
        <c:lblAlgn val="ctr"/>
        <c:lblOffset val="100"/>
        <c:tickLblSkip val="8"/>
        <c:tickMarkSkip val="8"/>
      </c:catAx>
      <c:valAx>
        <c:axId val="71094272"/>
        <c:scaling>
          <c:orientation val="minMax"/>
          <c:min val="30000"/>
        </c:scaling>
        <c:axPos val="l"/>
        <c:numFmt formatCode="&quot;£&quot;#,##0" sourceLinked="1"/>
        <c:tickLblPos val="nextTo"/>
        <c:spPr>
          <a:ln w="2830">
            <a:solidFill>
              <a:srgbClr val="000000"/>
            </a:solidFill>
            <a:prstDash val="solid"/>
          </a:ln>
        </c:spPr>
        <c:txPr>
          <a:bodyPr rot="0" vert="horz"/>
          <a:lstStyle/>
          <a:p>
            <a:pPr>
              <a:defRPr sz="713" b="0" i="0" u="none" strike="noStrike" baseline="0">
                <a:solidFill>
                  <a:srgbClr val="000000"/>
                </a:solidFill>
                <a:latin typeface="Tahoma"/>
                <a:ea typeface="Tahoma"/>
                <a:cs typeface="Tahoma"/>
              </a:defRPr>
            </a:pPr>
            <a:endParaRPr lang="nl-NL"/>
          </a:p>
        </c:txPr>
        <c:crossAx val="71092480"/>
        <c:crosses val="autoZero"/>
        <c:crossBetween val="midCat"/>
      </c:valAx>
      <c:spPr>
        <a:noFill/>
        <a:ln w="22641">
          <a:noFill/>
        </a:ln>
      </c:spPr>
    </c:plotArea>
    <c:legend>
      <c:legendPos val="r"/>
      <c:layout>
        <c:manualLayout>
          <c:xMode val="edge"/>
          <c:yMode val="edge"/>
          <c:x val="0.60861545405925765"/>
          <c:y val="1.6340118449880991E-2"/>
          <c:w val="0.38015053775058538"/>
          <c:h val="6.5359726293018464E-2"/>
        </c:manualLayout>
      </c:layout>
      <c:spPr>
        <a:solidFill>
          <a:srgbClr val="FFFFFF"/>
        </a:solidFill>
        <a:ln w="22641">
          <a:noFill/>
        </a:ln>
      </c:spPr>
      <c:txPr>
        <a:bodyPr/>
        <a:lstStyle/>
        <a:p>
          <a:pPr>
            <a:defRPr sz="655" b="0" i="0" u="none" strike="noStrike" baseline="0">
              <a:solidFill>
                <a:srgbClr val="000000"/>
              </a:solidFill>
              <a:latin typeface="Tahoma"/>
              <a:ea typeface="Tahoma"/>
              <a:cs typeface="Tahoma"/>
            </a:defRPr>
          </a:pPr>
          <a:endParaRPr lang="nl-NL"/>
        </a:p>
      </c:txPr>
    </c:legend>
    <c:plotVisOnly val="1"/>
    <c:dispBlanksAs val="gap"/>
  </c:chart>
  <c:spPr>
    <a:solidFill>
      <a:srgbClr val="FFFFFF"/>
    </a:solidFill>
    <a:ln w="2830">
      <a:solidFill>
        <a:srgbClr val="000000"/>
      </a:solidFill>
      <a:prstDash val="solid"/>
    </a:ln>
  </c:spPr>
  <c:txPr>
    <a:bodyPr/>
    <a:lstStyle/>
    <a:p>
      <a:pPr>
        <a:defRPr sz="1047" b="0" i="0" u="none" strike="noStrike" baseline="0">
          <a:solidFill>
            <a:srgbClr val="000000"/>
          </a:solidFill>
          <a:latin typeface="Tahoma"/>
          <a:ea typeface="Tahoma"/>
          <a:cs typeface="Tahoma"/>
        </a:defRPr>
      </a:pPr>
      <a:endParaRPr lang="nl-NL"/>
    </a:p>
  </c:txPr>
  <c:externalData r:id="rId1"/>
  <c:userShapes r:id="rId2"/>
</c:chartSpace>
</file>

<file path=word/drawings/drawing1.xml><?xml version="1.0" encoding="utf-8"?>
<c:userShapes xmlns:c="http://schemas.openxmlformats.org/drawingml/2006/chart">
  <cdr:relSizeAnchor xmlns:cdr="http://schemas.openxmlformats.org/drawingml/2006/chartDrawing">
    <cdr:from>
      <cdr:x>0.1281</cdr:x>
      <cdr:y>0.02734</cdr:y>
    </cdr:from>
    <cdr:to>
      <cdr:x>0.60402</cdr:x>
      <cdr:y>0.31929</cdr:y>
    </cdr:to>
    <cdr:sp macro="" textlink="">
      <cdr:nvSpPr>
        <cdr:cNvPr id="2049" name="Text Box 1"/>
        <cdr:cNvSpPr txBox="1">
          <a:spLocks xmlns:a="http://schemas.openxmlformats.org/drawingml/2006/main" noChangeArrowheads="1"/>
        </cdr:cNvSpPr>
      </cdr:nvSpPr>
      <cdr:spPr bwMode="auto">
        <a:xfrm xmlns:a="http://schemas.openxmlformats.org/drawingml/2006/main">
          <a:off x="650875" y="89698"/>
          <a:ext cx="2429054" cy="980929"/>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vertOverflow="clip" wrap="square" lIns="27432" tIns="18288" rIns="0" bIns="0" anchor="t" upright="1"/>
        <a:lstStyle xmlns:a="http://schemas.openxmlformats.org/drawingml/2006/main"/>
        <a:p xmlns:a="http://schemas.openxmlformats.org/drawingml/2006/main">
          <a:pPr algn="l" rtl="0">
            <a:defRPr sz="1000"/>
          </a:pPr>
          <a:r>
            <a:rPr lang="nl-NL" sz="800" b="1" i="0" u="none" strike="noStrike" baseline="0">
              <a:solidFill>
                <a:srgbClr val="000000"/>
              </a:solidFill>
              <a:latin typeface="Tahoma"/>
              <a:ea typeface="Tahoma"/>
              <a:cs typeface="Tahoma"/>
            </a:rPr>
            <a:t>Real House Prices</a:t>
          </a:r>
          <a:endParaRPr lang="nl-NL" sz="800" b="0" i="0" u="none" strike="noStrike" baseline="0">
            <a:solidFill>
              <a:srgbClr val="000000"/>
            </a:solidFill>
            <a:latin typeface="Tahoma"/>
            <a:ea typeface="Tahoma"/>
            <a:cs typeface="Tahoma"/>
          </a:endParaRPr>
        </a:p>
        <a:p xmlns:a="http://schemas.openxmlformats.org/drawingml/2006/main">
          <a:pPr algn="l" rtl="0">
            <a:defRPr sz="1000"/>
          </a:pPr>
          <a:r>
            <a:rPr lang="nl-NL" sz="800" b="0" i="0" u="none" strike="noStrike" baseline="0">
              <a:solidFill>
                <a:srgbClr val="000000"/>
              </a:solidFill>
              <a:latin typeface="Tahoma"/>
              <a:ea typeface="Tahoma"/>
              <a:cs typeface="Tahoma"/>
            </a:rPr>
            <a:t>Source: Nationwide Building Society</a:t>
          </a:r>
        </a:p>
        <a:p xmlns:a="http://schemas.openxmlformats.org/drawingml/2006/main">
          <a:pPr algn="l" rtl="0">
            <a:defRPr sz="1000"/>
          </a:pPr>
          <a:endParaRPr lang="nl-NL" sz="800" b="0" i="0" u="none" strike="noStrike" baseline="0">
            <a:solidFill>
              <a:srgbClr val="000000"/>
            </a:solidFill>
            <a:latin typeface="Tahoma"/>
            <a:ea typeface="Tahoma"/>
            <a:cs typeface="Tahoma"/>
          </a:endParaRPr>
        </a:p>
        <a:p xmlns:a="http://schemas.openxmlformats.org/drawingml/2006/main">
          <a:pPr algn="l" rtl="0">
            <a:defRPr sz="1000"/>
          </a:pPr>
          <a:r>
            <a:rPr lang="nl-NL" sz="800" b="0" i="0" u="none" strike="noStrike" baseline="0">
              <a:solidFill>
                <a:srgbClr val="000000"/>
              </a:solidFill>
              <a:latin typeface="Tahoma"/>
              <a:ea typeface="Tahoma"/>
              <a:cs typeface="Tahoma"/>
            </a:rPr>
            <a:t>Base : 2010 Q1</a:t>
          </a:r>
        </a:p>
        <a:p xmlns:a="http://schemas.openxmlformats.org/drawingml/2006/main">
          <a:pPr algn="l" rtl="0">
            <a:defRPr sz="1000"/>
          </a:pPr>
          <a:r>
            <a:rPr lang="nl-NL" sz="800" b="0" i="0" u="none" strike="noStrike" baseline="0">
              <a:solidFill>
                <a:srgbClr val="000000"/>
              </a:solidFill>
              <a:latin typeface="Tahoma"/>
              <a:ea typeface="Tahoma"/>
              <a:cs typeface="Tahoma"/>
            </a:rPr>
            <a:t>Trend from 1975 Q1 to present</a:t>
          </a:r>
        </a:p>
        <a:p xmlns:a="http://schemas.openxmlformats.org/drawingml/2006/main">
          <a:pPr algn="l" rtl="0">
            <a:defRPr sz="1000"/>
          </a:pPr>
          <a:r>
            <a:rPr lang="nl-NL" sz="800" b="0" i="0" u="none" strike="noStrike" baseline="0">
              <a:solidFill>
                <a:srgbClr val="000000"/>
              </a:solidFill>
              <a:latin typeface="Tahoma"/>
              <a:ea typeface="Tahoma"/>
              <a:cs typeface="Tahoma"/>
            </a:rPr>
            <a:t>Trend = c2.9% per annum</a:t>
          </a:r>
        </a:p>
        <a:p xmlns:a="http://schemas.openxmlformats.org/drawingml/2006/main">
          <a:pPr algn="l" rtl="0">
            <a:defRPr sz="1000"/>
          </a:pPr>
          <a:endParaRPr lang="nl-NL" sz="800" b="0" i="0" u="none" strike="noStrike" baseline="0">
            <a:solidFill>
              <a:srgbClr val="000000"/>
            </a:solidFill>
            <a:latin typeface="Tahoma"/>
            <a:ea typeface="Tahoma"/>
            <a:cs typeface="Tahoma"/>
          </a:endParaRPr>
        </a:p>
      </cdr:txBody>
    </cdr:sp>
  </cdr:relSizeAnchor>
</c:userShape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2010-07-01T00:00:00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4B90677-A3C7-455F-8024-320726D91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41</Pages>
  <Words>11883</Words>
  <Characters>65361</Characters>
  <Application>Microsoft Office Word</Application>
  <DocSecurity>0</DocSecurity>
  <Lines>544</Lines>
  <Paragraphs>154</Paragraphs>
  <ScaleCrop>false</ScaleCrop>
  <HeadingPairs>
    <vt:vector size="2" baseType="variant">
      <vt:variant>
        <vt:lpstr>Titel</vt:lpstr>
      </vt:variant>
      <vt:variant>
        <vt:i4>1</vt:i4>
      </vt:variant>
    </vt:vector>
  </HeadingPairs>
  <TitlesOfParts>
    <vt:vector size="1" baseType="lpstr">
      <vt:lpstr>Hypotheekrenteaftrek stimuleert hypotheekbezit</vt:lpstr>
    </vt:vector>
  </TitlesOfParts>
  <Company/>
  <LinksUpToDate>false</LinksUpToDate>
  <CharactersWithSpaces>77090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Hypotheekrenteaftrek stimuleert hypotheekbezit</dc:title>
  <dc:subject>Een algehele hervorming van de Nederlandse woningmarkt</dc:subject>
  <dc:creator>Bachelorscripillemien</dc:creator>
  <cp:lastModifiedBy>Willemien</cp:lastModifiedBy>
  <cp:revision>22</cp:revision>
  <cp:lastPrinted>2010-07-23T20:20:00Z</cp:lastPrinted>
  <dcterms:created xsi:type="dcterms:W3CDTF">2010-07-25T21:16:00Z</dcterms:created>
  <dcterms:modified xsi:type="dcterms:W3CDTF">2010-07-29T12:48:00Z</dcterms:modified>
</cp:coreProperties>
</file>