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588B" w:rsidRPr="00502B9B" w:rsidRDefault="0014588B" w:rsidP="0014588B">
      <w:pPr>
        <w:spacing w:line="240" w:lineRule="auto"/>
        <w:contextualSpacing/>
        <w:rPr>
          <w:rFonts w:ascii="Times New Roman" w:hAnsi="Times New Roman" w:cs="Times New Roman"/>
          <w:sz w:val="24"/>
          <w:szCs w:val="24"/>
        </w:rPr>
      </w:pPr>
      <w:r w:rsidRPr="00502B9B">
        <w:rPr>
          <w:rFonts w:ascii="Times New Roman" w:hAnsi="Times New Roman" w:cs="Times New Roman"/>
          <w:sz w:val="24"/>
          <w:szCs w:val="24"/>
        </w:rPr>
        <w:t>Erasmus University Rotterdam</w:t>
      </w:r>
      <w:r w:rsidRPr="00502B9B">
        <w:rPr>
          <w:rFonts w:ascii="Times New Roman" w:hAnsi="Times New Roman" w:cs="Times New Roman"/>
          <w:noProof/>
          <w:sz w:val="24"/>
          <w:szCs w:val="24"/>
          <w:lang w:bidi="ar-SA"/>
        </w:rPr>
        <w:drawing>
          <wp:anchor distT="0" distB="0" distL="114300" distR="114300" simplePos="0" relativeHeight="251687936" behindDoc="0" locked="0" layoutInCell="1" allowOverlap="1">
            <wp:simplePos x="0" y="0"/>
            <wp:positionH relativeFrom="column">
              <wp:posOffset>3322955</wp:posOffset>
            </wp:positionH>
            <wp:positionV relativeFrom="paragraph">
              <wp:posOffset>-33020</wp:posOffset>
            </wp:positionV>
            <wp:extent cx="2381250" cy="571500"/>
            <wp:effectExtent l="19050" t="0" r="0" b="0"/>
            <wp:wrapNone/>
            <wp:docPr id="4"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3"/>
                    <pic:cNvPicPr>
                      <a:picLocks noChangeAspect="1" noChangeArrowheads="1"/>
                    </pic:cNvPicPr>
                  </pic:nvPicPr>
                  <pic:blipFill>
                    <a:blip r:embed="rId8" cstate="print"/>
                    <a:srcRect/>
                    <a:stretch>
                      <a:fillRect/>
                    </a:stretch>
                  </pic:blipFill>
                  <pic:spPr bwMode="auto">
                    <a:xfrm>
                      <a:off x="0" y="0"/>
                      <a:ext cx="2381250" cy="571500"/>
                    </a:xfrm>
                    <a:prstGeom prst="rect">
                      <a:avLst/>
                    </a:prstGeom>
                    <a:noFill/>
                  </pic:spPr>
                </pic:pic>
              </a:graphicData>
            </a:graphic>
          </wp:anchor>
        </w:drawing>
      </w:r>
    </w:p>
    <w:p w:rsidR="0014588B" w:rsidRPr="00502B9B" w:rsidRDefault="0014588B" w:rsidP="0014588B">
      <w:pPr>
        <w:spacing w:line="240" w:lineRule="auto"/>
        <w:contextualSpacing/>
        <w:rPr>
          <w:rFonts w:ascii="Times New Roman" w:hAnsi="Times New Roman" w:cs="Times New Roman"/>
          <w:sz w:val="24"/>
          <w:szCs w:val="24"/>
        </w:rPr>
      </w:pPr>
      <w:r w:rsidRPr="00502B9B">
        <w:rPr>
          <w:rFonts w:ascii="Times New Roman" w:hAnsi="Times New Roman" w:cs="Times New Roman"/>
          <w:sz w:val="24"/>
          <w:szCs w:val="24"/>
        </w:rPr>
        <w:t>Erasmus School of Economics</w:t>
      </w:r>
    </w:p>
    <w:p w:rsidR="0014588B" w:rsidRPr="00502B9B" w:rsidRDefault="0014588B" w:rsidP="0014588B">
      <w:pPr>
        <w:spacing w:line="240" w:lineRule="auto"/>
        <w:contextualSpacing/>
        <w:rPr>
          <w:rFonts w:ascii="Times New Roman" w:hAnsi="Times New Roman" w:cs="Times New Roman"/>
          <w:sz w:val="24"/>
          <w:szCs w:val="24"/>
        </w:rPr>
      </w:pPr>
      <w:r w:rsidRPr="00502B9B">
        <w:rPr>
          <w:rFonts w:ascii="Times New Roman" w:hAnsi="Times New Roman" w:cs="Times New Roman"/>
          <w:sz w:val="24"/>
          <w:szCs w:val="24"/>
        </w:rPr>
        <w:t>Master Accounting, Auditing and Control</w:t>
      </w:r>
    </w:p>
    <w:p w:rsidR="0014588B" w:rsidRDefault="0014588B" w:rsidP="0014588B"/>
    <w:p w:rsidR="0014588B" w:rsidRPr="00502B9B" w:rsidRDefault="0014588B" w:rsidP="0014588B"/>
    <w:p w:rsidR="0014588B" w:rsidRPr="00D30A42" w:rsidRDefault="005A0181" w:rsidP="0014588B">
      <w:pPr>
        <w:pStyle w:val="NoSpacing"/>
        <w:spacing w:line="360" w:lineRule="auto"/>
        <w:rPr>
          <w:rFonts w:asciiTheme="majorHAnsi" w:eastAsiaTheme="majorEastAsia" w:hAnsiTheme="majorHAnsi" w:cstheme="majorBidi"/>
          <w:color w:val="9E0000"/>
          <w:sz w:val="72"/>
          <w:szCs w:val="72"/>
        </w:rPr>
      </w:pPr>
      <w:r w:rsidRPr="00D30A42">
        <w:rPr>
          <w:color w:val="9E0000"/>
          <w:sz w:val="56"/>
          <w:szCs w:val="56"/>
        </w:rPr>
        <w:t>“</w:t>
      </w:r>
      <w:sdt>
        <w:sdtPr>
          <w:rPr>
            <w:color w:val="9E0000"/>
            <w:sz w:val="56"/>
            <w:szCs w:val="56"/>
          </w:rPr>
          <w:alias w:val="Title"/>
          <w:id w:val="14700071"/>
          <w:dataBinding w:prefixMappings="xmlns:ns0='http://schemas.openxmlformats.org/package/2006/metadata/core-properties' xmlns:ns1='http://purl.org/dc/elements/1.1/'" w:xpath="/ns0:coreProperties[1]/ns1:title[1]" w:storeItemID="{6C3C8BC8-F283-45AE-878A-BAB7291924A1}"/>
          <w:text/>
        </w:sdtPr>
        <w:sdtContent>
          <w:r w:rsidRPr="00D30A42">
            <w:rPr>
              <w:color w:val="9E0000"/>
              <w:sz w:val="56"/>
              <w:szCs w:val="56"/>
            </w:rPr>
            <w:t xml:space="preserve">Investor protection: </w:t>
          </w:r>
          <w:r w:rsidR="000F325A" w:rsidRPr="00D30A42">
            <w:rPr>
              <w:color w:val="9E0000"/>
              <w:sz w:val="56"/>
              <w:szCs w:val="56"/>
            </w:rPr>
            <w:t>a motive</w:t>
          </w:r>
          <w:r w:rsidRPr="00D30A42">
            <w:rPr>
              <w:color w:val="9E0000"/>
              <w:sz w:val="56"/>
              <w:szCs w:val="56"/>
            </w:rPr>
            <w:t xml:space="preserve"> for not cooking the books?”</w:t>
          </w:r>
        </w:sdtContent>
      </w:sdt>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Pr="00490C6A" w:rsidRDefault="007A1231" w:rsidP="0014588B">
      <w:pPr>
        <w:pStyle w:val="NoSpacing"/>
        <w:spacing w:line="360" w:lineRule="auto"/>
        <w:rPr>
          <w:rFonts w:eastAsiaTheme="majorEastAsia" w:cstheme="majorBidi"/>
          <w:sz w:val="24"/>
          <w:szCs w:val="24"/>
        </w:rPr>
      </w:pPr>
      <w:r>
        <w:rPr>
          <w:rFonts w:eastAsiaTheme="majorEastAsia" w:cstheme="majorBidi"/>
          <w:noProof/>
          <w:sz w:val="24"/>
          <w:szCs w:val="24"/>
          <w:lang w:bidi="ar-SA"/>
        </w:rPr>
        <w:drawing>
          <wp:anchor distT="0" distB="0" distL="114300" distR="114300" simplePos="0" relativeHeight="251688960" behindDoc="1" locked="0" layoutInCell="1" allowOverlap="1">
            <wp:simplePos x="0" y="0"/>
            <wp:positionH relativeFrom="column">
              <wp:posOffset>903605</wp:posOffset>
            </wp:positionH>
            <wp:positionV relativeFrom="paragraph">
              <wp:posOffset>227330</wp:posOffset>
            </wp:positionV>
            <wp:extent cx="3533775" cy="3143250"/>
            <wp:effectExtent l="19050" t="0" r="9525" b="0"/>
            <wp:wrapNone/>
            <wp:docPr id="3" name="Picture 2" descr="mbcn1378l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bcn1378l0.JPG"/>
                    <pic:cNvPicPr/>
                  </pic:nvPicPr>
                  <pic:blipFill>
                    <a:blip r:embed="rId9" cstate="print"/>
                    <a:stretch>
                      <a:fillRect/>
                    </a:stretch>
                  </pic:blipFill>
                  <pic:spPr>
                    <a:xfrm>
                      <a:off x="0" y="0"/>
                      <a:ext cx="3533775" cy="3143250"/>
                    </a:xfrm>
                    <a:prstGeom prst="rect">
                      <a:avLst/>
                    </a:prstGeom>
                  </pic:spPr>
                </pic:pic>
              </a:graphicData>
            </a:graphic>
          </wp:anchor>
        </w:drawing>
      </w:r>
      <w:r w:rsidR="0014588B" w:rsidRPr="00490C6A">
        <w:rPr>
          <w:rFonts w:eastAsiaTheme="majorEastAsia" w:cstheme="majorBidi"/>
          <w:sz w:val="24"/>
          <w:szCs w:val="24"/>
        </w:rPr>
        <w:t xml:space="preserve">A study on the impact of investor protection on </w:t>
      </w:r>
      <w:r w:rsidR="00FE3BF3">
        <w:rPr>
          <w:rFonts w:eastAsiaTheme="majorEastAsia" w:cstheme="majorBidi"/>
          <w:sz w:val="24"/>
          <w:szCs w:val="24"/>
        </w:rPr>
        <w:t>income smoothing</w:t>
      </w:r>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Default="0014588B" w:rsidP="0014588B">
      <w:pPr>
        <w:pStyle w:val="NoSpacing"/>
        <w:spacing w:line="360" w:lineRule="auto"/>
        <w:rPr>
          <w:rFonts w:asciiTheme="majorHAnsi" w:eastAsiaTheme="majorEastAsia" w:hAnsiTheme="majorHAnsi" w:cstheme="majorBidi"/>
          <w:sz w:val="36"/>
          <w:szCs w:val="36"/>
        </w:rPr>
      </w:pPr>
    </w:p>
    <w:p w:rsidR="0014588B" w:rsidRDefault="0014588B" w:rsidP="0014588B">
      <w:pPr>
        <w:pStyle w:val="NoSpacing"/>
        <w:spacing w:line="360" w:lineRule="auto"/>
        <w:rPr>
          <w:rFonts w:asciiTheme="majorHAnsi" w:eastAsiaTheme="majorEastAsia" w:hAnsiTheme="majorHAnsi" w:cstheme="majorBidi"/>
          <w:sz w:val="36"/>
          <w:szCs w:val="36"/>
        </w:rPr>
      </w:pPr>
    </w:p>
    <w:p w:rsidR="00B833F1" w:rsidRDefault="00B833F1" w:rsidP="0014588B">
      <w:pPr>
        <w:pStyle w:val="NoSpacing"/>
        <w:spacing w:line="360" w:lineRule="auto"/>
        <w:rPr>
          <w:rFonts w:asciiTheme="majorHAnsi" w:eastAsiaTheme="majorEastAsia" w:hAnsiTheme="majorHAnsi" w:cstheme="majorBidi"/>
          <w:sz w:val="36"/>
          <w:szCs w:val="36"/>
        </w:rPr>
      </w:pPr>
    </w:p>
    <w:p w:rsidR="00B833F1" w:rsidRDefault="00B833F1" w:rsidP="0014588B">
      <w:pPr>
        <w:pStyle w:val="NoSpacing"/>
        <w:spacing w:line="360" w:lineRule="auto"/>
        <w:rPr>
          <w:rFonts w:asciiTheme="majorHAnsi" w:eastAsiaTheme="majorEastAsia" w:hAnsiTheme="majorHAnsi" w:cstheme="majorBidi"/>
          <w:sz w:val="36"/>
          <w:szCs w:val="36"/>
        </w:rPr>
      </w:pPr>
    </w:p>
    <w:p w:rsidR="00B833F1" w:rsidRPr="007A1231" w:rsidRDefault="007A1231" w:rsidP="007A1231">
      <w:pPr>
        <w:pStyle w:val="NoSpacing"/>
        <w:spacing w:line="360" w:lineRule="auto"/>
        <w:jc w:val="center"/>
        <w:rPr>
          <w:rFonts w:asciiTheme="majorHAnsi" w:eastAsiaTheme="majorEastAsia" w:hAnsiTheme="majorHAnsi" w:cstheme="majorBidi"/>
          <w:sz w:val="28"/>
          <w:szCs w:val="28"/>
        </w:rPr>
      </w:pPr>
      <w:r w:rsidRPr="007A1231">
        <w:rPr>
          <w:rFonts w:asciiTheme="majorHAnsi" w:eastAsiaTheme="majorEastAsia" w:hAnsiTheme="majorHAnsi" w:cstheme="majorBidi"/>
          <w:sz w:val="28"/>
          <w:szCs w:val="28"/>
        </w:rPr>
        <w:t>“I didn’t cook the books. Instead</w:t>
      </w:r>
      <w:r w:rsidR="00645FCB">
        <w:rPr>
          <w:rFonts w:asciiTheme="majorHAnsi" w:eastAsiaTheme="majorEastAsia" w:hAnsiTheme="majorHAnsi" w:cstheme="majorBidi"/>
          <w:sz w:val="28"/>
          <w:szCs w:val="28"/>
        </w:rPr>
        <w:t>,</w:t>
      </w:r>
      <w:r w:rsidRPr="007A1231">
        <w:rPr>
          <w:rFonts w:asciiTheme="majorHAnsi" w:eastAsiaTheme="majorEastAsia" w:hAnsiTheme="majorHAnsi" w:cstheme="majorBidi"/>
          <w:sz w:val="28"/>
          <w:szCs w:val="28"/>
        </w:rPr>
        <w:t xml:space="preserve"> I incorporated them into a tasty tuna noodle casserole!”</w:t>
      </w:r>
    </w:p>
    <w:p w:rsidR="00B833F1" w:rsidRDefault="00B833F1" w:rsidP="0014588B">
      <w:pPr>
        <w:pStyle w:val="NoSpacing"/>
        <w:spacing w:line="360" w:lineRule="auto"/>
        <w:rPr>
          <w:rFonts w:asciiTheme="majorHAnsi" w:eastAsiaTheme="majorEastAsia" w:hAnsiTheme="majorHAnsi" w:cstheme="majorBidi"/>
          <w:sz w:val="36"/>
          <w:szCs w:val="36"/>
        </w:rPr>
      </w:pPr>
    </w:p>
    <w:p w:rsidR="007A1231" w:rsidRDefault="007A1231" w:rsidP="0014588B">
      <w:pPr>
        <w:pStyle w:val="NoSpacing"/>
        <w:spacing w:line="360" w:lineRule="auto"/>
        <w:rPr>
          <w:rFonts w:asciiTheme="majorHAnsi" w:eastAsiaTheme="majorEastAsia" w:hAnsiTheme="majorHAnsi" w:cstheme="majorBidi"/>
          <w:sz w:val="36"/>
          <w:szCs w:val="36"/>
        </w:rPr>
      </w:pPr>
    </w:p>
    <w:p w:rsidR="0014588B" w:rsidRPr="005604E9" w:rsidRDefault="0014588B" w:rsidP="0014588B">
      <w:pPr>
        <w:rPr>
          <w:rFonts w:asciiTheme="majorHAnsi" w:hAnsiTheme="majorHAnsi" w:cs="Times New Roman"/>
          <w:sz w:val="22"/>
          <w:szCs w:val="22"/>
        </w:rPr>
      </w:pPr>
      <w:r w:rsidRPr="005604E9">
        <w:rPr>
          <w:rFonts w:asciiTheme="majorHAnsi" w:hAnsiTheme="majorHAnsi" w:cs="Times New Roman"/>
          <w:sz w:val="22"/>
          <w:szCs w:val="22"/>
        </w:rPr>
        <w:t>July 28</w:t>
      </w:r>
      <w:r w:rsidRPr="005604E9">
        <w:rPr>
          <w:rFonts w:asciiTheme="majorHAnsi" w:hAnsiTheme="majorHAnsi" w:cs="Times New Roman"/>
          <w:sz w:val="22"/>
          <w:szCs w:val="22"/>
          <w:vertAlign w:val="superscript"/>
        </w:rPr>
        <w:t>th</w:t>
      </w:r>
      <w:r w:rsidRPr="005604E9">
        <w:rPr>
          <w:rFonts w:asciiTheme="majorHAnsi" w:hAnsiTheme="majorHAnsi" w:cs="Times New Roman"/>
          <w:sz w:val="22"/>
          <w:szCs w:val="22"/>
        </w:rPr>
        <w:t xml:space="preserve"> 2010</w:t>
      </w:r>
    </w:p>
    <w:p w:rsidR="0014588B" w:rsidRPr="005604E9" w:rsidRDefault="00424FF2" w:rsidP="0014588B">
      <w:pPr>
        <w:rPr>
          <w:rFonts w:asciiTheme="majorHAnsi" w:hAnsiTheme="majorHAnsi" w:cs="Times New Roman"/>
          <w:sz w:val="22"/>
          <w:szCs w:val="22"/>
        </w:rPr>
      </w:pPr>
      <w:r w:rsidRPr="005604E9">
        <w:rPr>
          <w:rFonts w:asciiTheme="majorHAnsi" w:hAnsiTheme="majorHAnsi" w:cs="Times New Roman"/>
          <w:sz w:val="22"/>
          <w:szCs w:val="22"/>
        </w:rPr>
        <w:t xml:space="preserve">Author: </w:t>
      </w:r>
      <w:r w:rsidR="0014588B" w:rsidRPr="005604E9">
        <w:rPr>
          <w:rFonts w:asciiTheme="majorHAnsi" w:hAnsiTheme="majorHAnsi" w:cs="Times New Roman"/>
          <w:sz w:val="22"/>
          <w:szCs w:val="22"/>
        </w:rPr>
        <w:t xml:space="preserve">Zeenat </w:t>
      </w:r>
      <w:r w:rsidRPr="005604E9">
        <w:rPr>
          <w:rFonts w:asciiTheme="majorHAnsi" w:hAnsiTheme="majorHAnsi" w:cs="Times New Roman"/>
          <w:sz w:val="22"/>
          <w:szCs w:val="22"/>
        </w:rPr>
        <w:t xml:space="preserve">N.S. </w:t>
      </w:r>
      <w:r w:rsidR="0014588B" w:rsidRPr="005604E9">
        <w:rPr>
          <w:rFonts w:asciiTheme="majorHAnsi" w:hAnsiTheme="majorHAnsi" w:cs="Times New Roman"/>
          <w:sz w:val="22"/>
          <w:szCs w:val="22"/>
        </w:rPr>
        <w:t>William</w:t>
      </w:r>
    </w:p>
    <w:p w:rsidR="0014588B" w:rsidRPr="005604E9" w:rsidRDefault="00716C73" w:rsidP="0014588B">
      <w:pPr>
        <w:rPr>
          <w:rFonts w:asciiTheme="majorHAnsi" w:hAnsiTheme="majorHAnsi" w:cs="Times New Roman"/>
          <w:sz w:val="22"/>
          <w:szCs w:val="22"/>
        </w:rPr>
      </w:pPr>
      <w:r w:rsidRPr="005604E9">
        <w:rPr>
          <w:rFonts w:asciiTheme="majorHAnsi" w:hAnsiTheme="majorHAnsi" w:cs="Times New Roman"/>
          <w:sz w:val="22"/>
          <w:szCs w:val="22"/>
        </w:rPr>
        <w:t>Supervisor: Dr</w:t>
      </w:r>
      <w:r w:rsidR="0014588B" w:rsidRPr="005604E9">
        <w:rPr>
          <w:rFonts w:asciiTheme="majorHAnsi" w:hAnsiTheme="majorHAnsi" w:cs="Times New Roman"/>
          <w:sz w:val="22"/>
          <w:szCs w:val="22"/>
        </w:rPr>
        <w:t xml:space="preserve"> C.D.</w:t>
      </w:r>
      <w:r w:rsidRPr="005604E9">
        <w:rPr>
          <w:rFonts w:asciiTheme="majorHAnsi" w:hAnsiTheme="majorHAnsi" w:cs="Times New Roman"/>
          <w:sz w:val="22"/>
          <w:szCs w:val="22"/>
        </w:rPr>
        <w:t xml:space="preserve"> </w:t>
      </w:r>
      <w:r w:rsidR="0014588B" w:rsidRPr="005604E9">
        <w:rPr>
          <w:rFonts w:asciiTheme="majorHAnsi" w:hAnsiTheme="majorHAnsi" w:cs="Times New Roman"/>
          <w:sz w:val="22"/>
          <w:szCs w:val="22"/>
        </w:rPr>
        <w:t>Knoops</w:t>
      </w:r>
    </w:p>
    <w:p w:rsidR="0014588B" w:rsidRPr="005604E9" w:rsidRDefault="0014588B" w:rsidP="0014588B">
      <w:pPr>
        <w:rPr>
          <w:rFonts w:asciiTheme="majorHAnsi" w:hAnsiTheme="majorHAnsi" w:cs="Times New Roman"/>
          <w:sz w:val="22"/>
          <w:szCs w:val="22"/>
        </w:rPr>
      </w:pPr>
      <w:r w:rsidRPr="005604E9">
        <w:rPr>
          <w:rFonts w:asciiTheme="majorHAnsi" w:hAnsiTheme="majorHAnsi" w:cs="Times New Roman"/>
          <w:sz w:val="22"/>
          <w:szCs w:val="22"/>
        </w:rPr>
        <w:t>Co-reader:</w:t>
      </w:r>
      <w:r w:rsidR="00716C73" w:rsidRPr="005604E9">
        <w:rPr>
          <w:rFonts w:asciiTheme="majorHAnsi" w:hAnsiTheme="majorHAnsi" w:cs="Times New Roman"/>
          <w:sz w:val="22"/>
          <w:szCs w:val="22"/>
        </w:rPr>
        <w:t xml:space="preserve">  prof. dr M.A. van Hoepen RA</w:t>
      </w:r>
    </w:p>
    <w:p w:rsidR="001B248E" w:rsidRPr="001B248E" w:rsidRDefault="001B248E" w:rsidP="001B248E">
      <w:pPr>
        <w:pStyle w:val="Heading4"/>
        <w:spacing w:line="360" w:lineRule="auto"/>
        <w:contextualSpacing/>
        <w:rPr>
          <w:rFonts w:ascii="Calibri" w:hAnsi="Calibri"/>
        </w:rPr>
      </w:pPr>
      <w:bookmarkStart w:id="0" w:name="_Toc268669716"/>
      <w:r w:rsidRPr="001B248E">
        <w:rPr>
          <w:rFonts w:ascii="Calibri" w:hAnsi="Calibri"/>
        </w:rPr>
        <w:lastRenderedPageBreak/>
        <w:t>Prologue</w:t>
      </w:r>
      <w:bookmarkEnd w:id="0"/>
    </w:p>
    <w:p w:rsidR="001B248E" w:rsidRDefault="001B248E" w:rsidP="001B248E">
      <w:pPr>
        <w:spacing w:line="360" w:lineRule="auto"/>
        <w:contextualSpacing/>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The last couple of months were spent writing this thesis, the final element of the master Accounting, Auditing and Control. During this period I received support from several people and I would like to take this opportunity to show my gratitude.</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First of all I wish to thank my supervisor Dr. C.D. Knoops for his feedback, critical view and for motivating me at times. I also greatly appreciate the quick responses to my questions and the fact that I could always stop by his office to brainstorm while enjoying a cup of coffee or plain water.</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 xml:space="preserve">My </w:t>
      </w:r>
      <w:r w:rsidR="00117900">
        <w:rPr>
          <w:rFonts w:ascii="Times New Roman" w:hAnsi="Times New Roman" w:cs="Times New Roman"/>
          <w:sz w:val="24"/>
          <w:szCs w:val="24"/>
        </w:rPr>
        <w:t xml:space="preserve">sincere </w:t>
      </w:r>
      <w:r w:rsidRPr="001B248E">
        <w:rPr>
          <w:rFonts w:ascii="Times New Roman" w:hAnsi="Times New Roman" w:cs="Times New Roman"/>
          <w:sz w:val="24"/>
          <w:szCs w:val="24"/>
        </w:rPr>
        <w:t>gratitude goes out to my parents and brother who stood by me during this period. Their words of wisdom, support and motivation have been of priceless value. Thanks for loving me and having faith in me.</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Further, I would like to thank my friends who stood by me and supported me in whichever way; sometimes support came in the form of doing something fun or in the form of wise words.</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 xml:space="preserve">At last but definitely not least, I would like to thank PricewaterhouseCoopers for providing me with a fun place to write my thesis in peace. </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 xml:space="preserve">Thanks to all, for making this process bearable! </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bCs/>
          <w:sz w:val="24"/>
          <w:szCs w:val="24"/>
        </w:rPr>
      </w:pPr>
      <w:r w:rsidRPr="001B248E">
        <w:rPr>
          <w:rFonts w:ascii="Times New Roman" w:hAnsi="Times New Roman" w:cs="Times New Roman"/>
          <w:bCs/>
          <w:sz w:val="24"/>
          <w:szCs w:val="24"/>
        </w:rPr>
        <w:t>Hereby I proudly present to you five months of hard work.</w:t>
      </w:r>
    </w:p>
    <w:p w:rsidR="001B248E" w:rsidRPr="001B248E" w:rsidRDefault="001B248E" w:rsidP="001B248E">
      <w:pPr>
        <w:spacing w:line="360" w:lineRule="auto"/>
        <w:contextualSpacing/>
        <w:rPr>
          <w:rFonts w:ascii="Times New Roman" w:hAnsi="Times New Roman" w:cs="Times New Roman"/>
          <w:sz w:val="24"/>
          <w:szCs w:val="24"/>
        </w:rPr>
      </w:pPr>
    </w:p>
    <w:p w:rsidR="001B248E" w:rsidRPr="001B248E" w:rsidRDefault="001B248E" w:rsidP="001B248E">
      <w:pPr>
        <w:spacing w:line="360" w:lineRule="auto"/>
        <w:contextualSpacing/>
        <w:rPr>
          <w:rFonts w:ascii="Times New Roman" w:hAnsi="Times New Roman" w:cs="Times New Roman"/>
          <w:sz w:val="24"/>
          <w:szCs w:val="24"/>
        </w:rPr>
      </w:pPr>
      <w:r w:rsidRPr="001B248E">
        <w:rPr>
          <w:rFonts w:ascii="Times New Roman" w:hAnsi="Times New Roman" w:cs="Times New Roman"/>
          <w:sz w:val="24"/>
          <w:szCs w:val="24"/>
        </w:rPr>
        <w:t>- Zeenat William</w:t>
      </w:r>
    </w:p>
    <w:p w:rsidR="001B248E" w:rsidRDefault="001B248E" w:rsidP="001B248E">
      <w:pPr>
        <w:rPr>
          <w:rStyle w:val="SubtleReference"/>
          <w:rFonts w:ascii="Calibri" w:hAnsi="Calibri"/>
          <w:b w:val="0"/>
          <w:smallCaps/>
          <w:spacing w:val="10"/>
          <w:sz w:val="22"/>
          <w:szCs w:val="22"/>
        </w:rPr>
      </w:pPr>
      <w:r>
        <w:rPr>
          <w:rStyle w:val="SubtleReference"/>
          <w:rFonts w:ascii="Calibri" w:hAnsi="Calibri"/>
          <w:b w:val="0"/>
        </w:rPr>
        <w:br w:type="page"/>
      </w:r>
    </w:p>
    <w:p w:rsidR="001B248E" w:rsidRDefault="001B248E" w:rsidP="001B248E">
      <w:pPr>
        <w:pStyle w:val="Heading4"/>
        <w:rPr>
          <w:rStyle w:val="SubtleReference"/>
          <w:rFonts w:ascii="Calibri" w:hAnsi="Calibri"/>
          <w:b w:val="0"/>
        </w:rPr>
      </w:pPr>
      <w:bookmarkStart w:id="1" w:name="_Toc268669717"/>
      <w:r>
        <w:rPr>
          <w:rStyle w:val="SubtleReference"/>
          <w:rFonts w:ascii="Calibri" w:hAnsi="Calibri"/>
          <w:b w:val="0"/>
        </w:rPr>
        <w:lastRenderedPageBreak/>
        <w:t>Abstract</w:t>
      </w:r>
      <w:bookmarkEnd w:id="1"/>
    </w:p>
    <w:p w:rsidR="00884BAC" w:rsidRPr="00884BAC" w:rsidRDefault="00884BAC" w:rsidP="00884BAC"/>
    <w:p w:rsidR="00A25FD2" w:rsidRPr="00E22B85" w:rsidRDefault="00884BAC" w:rsidP="00E22B85">
      <w:pPr>
        <w:spacing w:line="360" w:lineRule="auto"/>
        <w:rPr>
          <w:rStyle w:val="SubtleReference"/>
          <w:rFonts w:ascii="Times New Roman" w:hAnsi="Times New Roman" w:cs="Times New Roman"/>
          <w:b w:val="0"/>
          <w:sz w:val="24"/>
          <w:szCs w:val="24"/>
        </w:rPr>
      </w:pPr>
      <w:r w:rsidRPr="00E22B85">
        <w:rPr>
          <w:rStyle w:val="SubtleReference"/>
          <w:rFonts w:ascii="Times New Roman" w:hAnsi="Times New Roman" w:cs="Times New Roman"/>
          <w:b w:val="0"/>
          <w:sz w:val="24"/>
          <w:szCs w:val="24"/>
        </w:rPr>
        <w:t xml:space="preserve">The focus of this thesis lies on the relationship between the occurrence of income smoothing and the level of investor protection in a country. </w:t>
      </w:r>
      <w:r w:rsidR="0012463C">
        <w:rPr>
          <w:rStyle w:val="SubtleReference"/>
          <w:rFonts w:ascii="Times New Roman" w:hAnsi="Times New Roman" w:cs="Times New Roman"/>
          <w:b w:val="0"/>
          <w:sz w:val="24"/>
          <w:szCs w:val="24"/>
        </w:rPr>
        <w:t xml:space="preserve">I will investigate whether income smoothing is </w:t>
      </w:r>
      <w:r w:rsidR="003450F4">
        <w:rPr>
          <w:rStyle w:val="SubtleReference"/>
          <w:rFonts w:ascii="Times New Roman" w:hAnsi="Times New Roman" w:cs="Times New Roman"/>
          <w:b w:val="0"/>
          <w:sz w:val="24"/>
          <w:szCs w:val="24"/>
        </w:rPr>
        <w:t>more pervasive</w:t>
      </w:r>
      <w:r w:rsidR="0012463C">
        <w:rPr>
          <w:rStyle w:val="SubtleReference"/>
          <w:rFonts w:ascii="Times New Roman" w:hAnsi="Times New Roman" w:cs="Times New Roman"/>
          <w:b w:val="0"/>
          <w:sz w:val="24"/>
          <w:szCs w:val="24"/>
        </w:rPr>
        <w:t xml:space="preserve"> in low investor protection countries than in high investor protection countries.</w:t>
      </w:r>
      <w:r w:rsidR="003450F4">
        <w:rPr>
          <w:rStyle w:val="SubtleReference"/>
          <w:rFonts w:ascii="Times New Roman" w:hAnsi="Times New Roman" w:cs="Times New Roman"/>
          <w:b w:val="0"/>
          <w:sz w:val="24"/>
          <w:szCs w:val="24"/>
        </w:rPr>
        <w:t xml:space="preserve"> My expectations, which are based on previous studies, are to find that income smoothing is more pervasive in low investor protection countries. </w:t>
      </w:r>
      <w:r w:rsidR="00A25FD2" w:rsidRPr="00E22B85">
        <w:rPr>
          <w:rStyle w:val="SubtleReference"/>
          <w:rFonts w:ascii="Times New Roman" w:hAnsi="Times New Roman" w:cs="Times New Roman"/>
          <w:b w:val="0"/>
          <w:sz w:val="24"/>
          <w:szCs w:val="24"/>
        </w:rPr>
        <w:t>In order to measure both real income smoothing and artificial income smoothing two measures, developed by Leuz et al.</w:t>
      </w:r>
      <w:r w:rsidR="005500CF">
        <w:rPr>
          <w:rStyle w:val="SubtleReference"/>
          <w:rFonts w:ascii="Times New Roman" w:hAnsi="Times New Roman" w:cs="Times New Roman"/>
          <w:b w:val="0"/>
          <w:sz w:val="24"/>
          <w:szCs w:val="24"/>
        </w:rPr>
        <w:t xml:space="preserve"> </w:t>
      </w:r>
      <w:r w:rsidR="00A25FD2" w:rsidRPr="00E22B85">
        <w:rPr>
          <w:rStyle w:val="SubtleReference"/>
          <w:rFonts w:ascii="Times New Roman" w:hAnsi="Times New Roman" w:cs="Times New Roman"/>
          <w:b w:val="0"/>
          <w:sz w:val="24"/>
          <w:szCs w:val="24"/>
        </w:rPr>
        <w:t>(2003)</w:t>
      </w:r>
      <w:r w:rsidR="00966799">
        <w:rPr>
          <w:rStyle w:val="SubtleReference"/>
          <w:rFonts w:ascii="Times New Roman" w:hAnsi="Times New Roman" w:cs="Times New Roman"/>
          <w:b w:val="0"/>
          <w:sz w:val="24"/>
          <w:szCs w:val="24"/>
        </w:rPr>
        <w:t>,</w:t>
      </w:r>
      <w:r w:rsidR="00A25FD2" w:rsidRPr="00E22B85">
        <w:rPr>
          <w:rStyle w:val="SubtleReference"/>
          <w:rFonts w:ascii="Times New Roman" w:hAnsi="Times New Roman" w:cs="Times New Roman"/>
          <w:b w:val="0"/>
          <w:sz w:val="24"/>
          <w:szCs w:val="24"/>
        </w:rPr>
        <w:t xml:space="preserve"> are used. From these two </w:t>
      </w:r>
      <w:r w:rsidR="005500CF" w:rsidRPr="00E22B85">
        <w:rPr>
          <w:rStyle w:val="SubtleReference"/>
          <w:rFonts w:ascii="Times New Roman" w:hAnsi="Times New Roman" w:cs="Times New Roman"/>
          <w:b w:val="0"/>
          <w:sz w:val="24"/>
          <w:szCs w:val="24"/>
        </w:rPr>
        <w:t>measures</w:t>
      </w:r>
      <w:r w:rsidR="00A25FD2" w:rsidRPr="00E22B85">
        <w:rPr>
          <w:rStyle w:val="SubtleReference"/>
          <w:rFonts w:ascii="Times New Roman" w:hAnsi="Times New Roman" w:cs="Times New Roman"/>
          <w:b w:val="0"/>
          <w:sz w:val="24"/>
          <w:szCs w:val="24"/>
        </w:rPr>
        <w:t xml:space="preserve"> the aggregate income smoothing score is derived. The investor protection variables used are obtained from Djankov et al.</w:t>
      </w:r>
      <w:r w:rsidR="005500CF">
        <w:rPr>
          <w:rStyle w:val="SubtleReference"/>
          <w:rFonts w:ascii="Times New Roman" w:hAnsi="Times New Roman" w:cs="Times New Roman"/>
          <w:b w:val="0"/>
          <w:sz w:val="24"/>
          <w:szCs w:val="24"/>
        </w:rPr>
        <w:t xml:space="preserve"> </w:t>
      </w:r>
      <w:r w:rsidR="00A25FD2" w:rsidRPr="00E22B85">
        <w:rPr>
          <w:rStyle w:val="SubtleReference"/>
          <w:rFonts w:ascii="Times New Roman" w:hAnsi="Times New Roman" w:cs="Times New Roman"/>
          <w:b w:val="0"/>
          <w:sz w:val="24"/>
          <w:szCs w:val="24"/>
        </w:rPr>
        <w:t>(2007).</w:t>
      </w:r>
    </w:p>
    <w:p w:rsidR="001B248E" w:rsidRPr="00E22B85" w:rsidRDefault="00E22B85" w:rsidP="00E22B85">
      <w:pPr>
        <w:spacing w:line="360" w:lineRule="auto"/>
        <w:rPr>
          <w:rStyle w:val="SubtleReference"/>
          <w:rFonts w:ascii="Times New Roman" w:hAnsi="Times New Roman" w:cs="Times New Roman"/>
          <w:b w:val="0"/>
          <w:sz w:val="24"/>
          <w:szCs w:val="24"/>
        </w:rPr>
      </w:pPr>
      <w:r w:rsidRPr="00E22B85">
        <w:rPr>
          <w:rFonts w:ascii="Times New Roman" w:hAnsi="Times New Roman" w:cs="Times New Roman"/>
          <w:bCs/>
          <w:sz w:val="24"/>
          <w:szCs w:val="24"/>
        </w:rPr>
        <w:t>Several hypotheses are stated in this thesis, the most important one being that there exists a relationship between the occurrence of income smoothing and the level of investor protection in a country are researched</w:t>
      </w:r>
      <w:r>
        <w:rPr>
          <w:rFonts w:ascii="Times New Roman" w:hAnsi="Times New Roman" w:cs="Times New Roman"/>
          <w:bCs/>
          <w:sz w:val="24"/>
          <w:szCs w:val="24"/>
        </w:rPr>
        <w:t xml:space="preserve"> </w:t>
      </w:r>
      <w:r w:rsidRPr="00E22B85">
        <w:rPr>
          <w:rFonts w:ascii="Times New Roman" w:hAnsi="Times New Roman" w:cs="Times New Roman"/>
          <w:bCs/>
          <w:sz w:val="24"/>
          <w:szCs w:val="24"/>
        </w:rPr>
        <w:t>by using statistical analysis in the form of correlation matrices and a regression model.</w:t>
      </w:r>
      <w:r>
        <w:rPr>
          <w:rFonts w:ascii="Times New Roman" w:hAnsi="Times New Roman" w:cs="Times New Roman"/>
          <w:bCs/>
          <w:sz w:val="24"/>
          <w:szCs w:val="24"/>
        </w:rPr>
        <w:t xml:space="preserve"> The statistical output however, does not confirm any of the hypotheses formulated even though p</w:t>
      </w:r>
      <w:r w:rsidR="00884BAC" w:rsidRPr="00E22B85">
        <w:rPr>
          <w:rStyle w:val="SubtleReference"/>
          <w:rFonts w:ascii="Times New Roman" w:hAnsi="Times New Roman" w:cs="Times New Roman"/>
          <w:b w:val="0"/>
          <w:sz w:val="24"/>
          <w:szCs w:val="24"/>
        </w:rPr>
        <w:t>revious research provided evidence that in countries with a high level of investor protection income smoothing is less pervasive than in countries with low investor protection.</w:t>
      </w:r>
      <w:r w:rsidR="00A94F4D">
        <w:rPr>
          <w:rStyle w:val="SubtleReference"/>
          <w:rFonts w:ascii="Times New Roman" w:hAnsi="Times New Roman" w:cs="Times New Roman"/>
          <w:b w:val="0"/>
          <w:sz w:val="24"/>
          <w:szCs w:val="24"/>
        </w:rPr>
        <w:t xml:space="preserve"> This can be explained by the population and sample.</w:t>
      </w:r>
      <w:r w:rsidR="00013A39">
        <w:rPr>
          <w:rStyle w:val="SubtleReference"/>
          <w:rFonts w:ascii="Times New Roman" w:hAnsi="Times New Roman" w:cs="Times New Roman"/>
          <w:b w:val="0"/>
          <w:sz w:val="24"/>
          <w:szCs w:val="24"/>
        </w:rPr>
        <w:t xml:space="preserve"> </w:t>
      </w:r>
      <w:r w:rsidR="00FC33FA">
        <w:rPr>
          <w:rStyle w:val="SubtleReference"/>
          <w:rFonts w:ascii="Times New Roman" w:hAnsi="Times New Roman" w:cs="Times New Roman"/>
          <w:b w:val="0"/>
          <w:sz w:val="24"/>
          <w:szCs w:val="24"/>
        </w:rPr>
        <w:t>Also, t</w:t>
      </w:r>
      <w:r w:rsidR="00013A39">
        <w:rPr>
          <w:rStyle w:val="SubtleReference"/>
          <w:rFonts w:ascii="Times New Roman" w:hAnsi="Times New Roman" w:cs="Times New Roman"/>
          <w:b w:val="0"/>
          <w:sz w:val="24"/>
          <w:szCs w:val="24"/>
        </w:rPr>
        <w:t>he second income smoothing measure used has a broad range and causes a significant change in the aggregate income smoothing score for certain countries.</w:t>
      </w:r>
    </w:p>
    <w:p w:rsidR="001B248E" w:rsidRPr="000C174A" w:rsidRDefault="000C174A" w:rsidP="000C174A">
      <w:pPr>
        <w:rPr>
          <w:rStyle w:val="SubtleReference"/>
          <w:rFonts w:ascii="Times New Roman" w:hAnsi="Times New Roman" w:cs="Times New Roman"/>
          <w:smallCaps/>
          <w:spacing w:val="10"/>
          <w:sz w:val="24"/>
          <w:szCs w:val="24"/>
        </w:rPr>
      </w:pPr>
      <w:r w:rsidRPr="000C174A">
        <w:rPr>
          <w:rStyle w:val="SubtleReference"/>
          <w:rFonts w:ascii="Times New Roman" w:hAnsi="Times New Roman" w:cs="Times New Roman"/>
          <w:sz w:val="24"/>
          <w:szCs w:val="24"/>
        </w:rPr>
        <w:t>Keywords</w:t>
      </w:r>
      <w:r>
        <w:rPr>
          <w:rStyle w:val="SubtleReference"/>
          <w:rFonts w:ascii="Times New Roman" w:hAnsi="Times New Roman" w:cs="Times New Roman"/>
          <w:sz w:val="24"/>
          <w:szCs w:val="24"/>
        </w:rPr>
        <w:t>:</w:t>
      </w:r>
      <w:r>
        <w:rPr>
          <w:rStyle w:val="SubtleReference"/>
          <w:rFonts w:ascii="Times New Roman" w:hAnsi="Times New Roman" w:cs="Times New Roman"/>
          <w:b w:val="0"/>
          <w:sz w:val="24"/>
          <w:szCs w:val="24"/>
        </w:rPr>
        <w:t xml:space="preserve"> earnings management, income smoothing, investor protection</w:t>
      </w:r>
      <w:r w:rsidRPr="000C174A">
        <w:rPr>
          <w:rStyle w:val="SubtleReference"/>
          <w:rFonts w:ascii="Times New Roman" w:hAnsi="Times New Roman" w:cs="Times New Roman"/>
          <w:sz w:val="24"/>
          <w:szCs w:val="24"/>
        </w:rPr>
        <w:t xml:space="preserve"> </w:t>
      </w:r>
      <w:r w:rsidR="001B248E" w:rsidRPr="000C174A">
        <w:rPr>
          <w:rStyle w:val="SubtleReference"/>
          <w:rFonts w:ascii="Times New Roman" w:hAnsi="Times New Roman" w:cs="Times New Roman"/>
          <w:sz w:val="24"/>
          <w:szCs w:val="24"/>
        </w:rPr>
        <w:br w:type="page"/>
      </w:r>
    </w:p>
    <w:p w:rsidR="00432023" w:rsidRPr="00ED31D3" w:rsidRDefault="00432023" w:rsidP="00432023">
      <w:pPr>
        <w:pStyle w:val="Heading4"/>
        <w:rPr>
          <w:rStyle w:val="SubtleReference"/>
          <w:rFonts w:ascii="Calibri" w:hAnsi="Calibri"/>
          <w:b w:val="0"/>
        </w:rPr>
      </w:pPr>
      <w:bookmarkStart w:id="2" w:name="_Toc268669718"/>
      <w:r w:rsidRPr="00ED31D3">
        <w:rPr>
          <w:rStyle w:val="SubtleReference"/>
          <w:rFonts w:ascii="Calibri" w:hAnsi="Calibri"/>
          <w:b w:val="0"/>
        </w:rPr>
        <w:lastRenderedPageBreak/>
        <w:t>Table of Contents</w:t>
      </w:r>
      <w:bookmarkEnd w:id="2"/>
    </w:p>
    <w:p w:rsidR="0075116A" w:rsidRDefault="0075116A">
      <w:pPr>
        <w:pStyle w:val="TOC4"/>
        <w:tabs>
          <w:tab w:val="right" w:leader="dot" w:pos="8722"/>
        </w:tabs>
        <w:rPr>
          <w:lang w:val="en-GB"/>
        </w:rPr>
      </w:pPr>
    </w:p>
    <w:p w:rsidR="002A44CA" w:rsidRDefault="00B7519E">
      <w:pPr>
        <w:pStyle w:val="TOC4"/>
        <w:tabs>
          <w:tab w:val="right" w:leader="dot" w:pos="8722"/>
        </w:tabs>
        <w:rPr>
          <w:rFonts w:asciiTheme="minorHAnsi" w:eastAsiaTheme="minorEastAsia" w:hAnsiTheme="minorHAnsi" w:cstheme="minorBidi"/>
          <w:noProof/>
          <w:sz w:val="22"/>
          <w:szCs w:val="22"/>
          <w:lang w:val="en-US" w:eastAsia="en-US"/>
        </w:rPr>
      </w:pPr>
      <w:r w:rsidRPr="00B7519E">
        <w:rPr>
          <w:lang w:val="en-GB"/>
        </w:rPr>
        <w:fldChar w:fldCharType="begin"/>
      </w:r>
      <w:r w:rsidR="00432023">
        <w:rPr>
          <w:lang w:val="en-GB"/>
        </w:rPr>
        <w:instrText xml:space="preserve"> TOC \o "1-4" \h \z \u </w:instrText>
      </w:r>
      <w:r w:rsidRPr="00B7519E">
        <w:rPr>
          <w:lang w:val="en-GB"/>
        </w:rPr>
        <w:fldChar w:fldCharType="separate"/>
      </w:r>
      <w:hyperlink w:anchor="_Toc268669716" w:history="1">
        <w:r w:rsidR="002A44CA" w:rsidRPr="007E0BD7">
          <w:rPr>
            <w:rStyle w:val="Hyperlink"/>
            <w:rFonts w:ascii="Calibri" w:hAnsi="Calibri"/>
            <w:noProof/>
            <w:lang w:bidi="en-US"/>
          </w:rPr>
          <w:t>Prologue</w:t>
        </w:r>
        <w:r w:rsidR="002A44CA">
          <w:rPr>
            <w:noProof/>
            <w:webHidden/>
          </w:rPr>
          <w:tab/>
        </w:r>
        <w:r w:rsidR="002A44CA">
          <w:rPr>
            <w:noProof/>
            <w:webHidden/>
          </w:rPr>
          <w:fldChar w:fldCharType="begin"/>
        </w:r>
        <w:r w:rsidR="002A44CA">
          <w:rPr>
            <w:noProof/>
            <w:webHidden/>
          </w:rPr>
          <w:instrText xml:space="preserve"> PAGEREF _Toc268669716 \h </w:instrText>
        </w:r>
        <w:r w:rsidR="002A44CA">
          <w:rPr>
            <w:noProof/>
            <w:webHidden/>
          </w:rPr>
        </w:r>
        <w:r w:rsidR="002A44CA">
          <w:rPr>
            <w:noProof/>
            <w:webHidden/>
          </w:rPr>
          <w:fldChar w:fldCharType="separate"/>
        </w:r>
        <w:r w:rsidR="000313AE">
          <w:rPr>
            <w:noProof/>
            <w:webHidden/>
          </w:rPr>
          <w:t>2</w:t>
        </w:r>
        <w:r w:rsidR="002A44CA">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17" w:history="1">
        <w:r w:rsidRPr="007E0BD7">
          <w:rPr>
            <w:rStyle w:val="Hyperlink"/>
            <w:rFonts w:ascii="Calibri" w:hAnsi="Calibri"/>
            <w:noProof/>
            <w:lang w:bidi="en-US"/>
          </w:rPr>
          <w:t>Abstract</w:t>
        </w:r>
        <w:r>
          <w:rPr>
            <w:noProof/>
            <w:webHidden/>
          </w:rPr>
          <w:tab/>
        </w:r>
        <w:r>
          <w:rPr>
            <w:noProof/>
            <w:webHidden/>
          </w:rPr>
          <w:fldChar w:fldCharType="begin"/>
        </w:r>
        <w:r>
          <w:rPr>
            <w:noProof/>
            <w:webHidden/>
          </w:rPr>
          <w:instrText xml:space="preserve"> PAGEREF _Toc268669717 \h </w:instrText>
        </w:r>
        <w:r>
          <w:rPr>
            <w:noProof/>
            <w:webHidden/>
          </w:rPr>
        </w:r>
        <w:r>
          <w:rPr>
            <w:noProof/>
            <w:webHidden/>
          </w:rPr>
          <w:fldChar w:fldCharType="separate"/>
        </w:r>
        <w:r w:rsidR="000313AE">
          <w:rPr>
            <w:noProof/>
            <w:webHidden/>
          </w:rPr>
          <w:t>3</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18" w:history="1">
        <w:r w:rsidRPr="007E0BD7">
          <w:rPr>
            <w:rStyle w:val="Hyperlink"/>
            <w:rFonts w:ascii="Calibri" w:hAnsi="Calibri"/>
            <w:noProof/>
            <w:lang w:bidi="en-US"/>
          </w:rPr>
          <w:t>Table of Contents</w:t>
        </w:r>
        <w:r>
          <w:rPr>
            <w:noProof/>
            <w:webHidden/>
          </w:rPr>
          <w:tab/>
        </w:r>
        <w:r>
          <w:rPr>
            <w:noProof/>
            <w:webHidden/>
          </w:rPr>
          <w:fldChar w:fldCharType="begin"/>
        </w:r>
        <w:r>
          <w:rPr>
            <w:noProof/>
            <w:webHidden/>
          </w:rPr>
          <w:instrText xml:space="preserve"> PAGEREF _Toc268669718 \h </w:instrText>
        </w:r>
        <w:r>
          <w:rPr>
            <w:noProof/>
            <w:webHidden/>
          </w:rPr>
        </w:r>
        <w:r>
          <w:rPr>
            <w:noProof/>
            <w:webHidden/>
          </w:rPr>
          <w:fldChar w:fldCharType="separate"/>
        </w:r>
        <w:r w:rsidR="000313AE">
          <w:rPr>
            <w:noProof/>
            <w:webHidden/>
          </w:rPr>
          <w:t>4</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19" w:history="1">
        <w:r w:rsidRPr="007E0BD7">
          <w:rPr>
            <w:rStyle w:val="Hyperlink"/>
            <w:rFonts w:ascii="Calibri" w:hAnsi="Calibri"/>
            <w:noProof/>
            <w:lang w:bidi="en-US"/>
          </w:rPr>
          <w:t>1.1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Research Question</w:t>
        </w:r>
        <w:r>
          <w:rPr>
            <w:noProof/>
            <w:webHidden/>
          </w:rPr>
          <w:tab/>
        </w:r>
        <w:r>
          <w:rPr>
            <w:noProof/>
            <w:webHidden/>
          </w:rPr>
          <w:fldChar w:fldCharType="begin"/>
        </w:r>
        <w:r>
          <w:rPr>
            <w:noProof/>
            <w:webHidden/>
          </w:rPr>
          <w:instrText xml:space="preserve"> PAGEREF _Toc268669719 \h </w:instrText>
        </w:r>
        <w:r>
          <w:rPr>
            <w:noProof/>
            <w:webHidden/>
          </w:rPr>
        </w:r>
        <w:r>
          <w:rPr>
            <w:noProof/>
            <w:webHidden/>
          </w:rPr>
          <w:fldChar w:fldCharType="separate"/>
        </w:r>
        <w:r w:rsidR="000313AE">
          <w:rPr>
            <w:noProof/>
            <w:webHidden/>
          </w:rPr>
          <w:t>8</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0" w:history="1">
        <w:r w:rsidRPr="007E0BD7">
          <w:rPr>
            <w:rStyle w:val="Hyperlink"/>
            <w:rFonts w:ascii="Calibri" w:hAnsi="Calibri"/>
            <w:noProof/>
            <w:lang w:bidi="en-US"/>
          </w:rPr>
          <w:t>1.2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Structure</w:t>
        </w:r>
        <w:r>
          <w:rPr>
            <w:noProof/>
            <w:webHidden/>
          </w:rPr>
          <w:tab/>
        </w:r>
        <w:r>
          <w:rPr>
            <w:noProof/>
            <w:webHidden/>
          </w:rPr>
          <w:fldChar w:fldCharType="begin"/>
        </w:r>
        <w:r>
          <w:rPr>
            <w:noProof/>
            <w:webHidden/>
          </w:rPr>
          <w:instrText xml:space="preserve"> PAGEREF _Toc268669720 \h </w:instrText>
        </w:r>
        <w:r>
          <w:rPr>
            <w:noProof/>
            <w:webHidden/>
          </w:rPr>
        </w:r>
        <w:r>
          <w:rPr>
            <w:noProof/>
            <w:webHidden/>
          </w:rPr>
          <w:fldChar w:fldCharType="separate"/>
        </w:r>
        <w:r w:rsidR="000313AE">
          <w:rPr>
            <w:noProof/>
            <w:webHidden/>
          </w:rPr>
          <w:t>9</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21" w:history="1">
        <w:r w:rsidRPr="007E0BD7">
          <w:rPr>
            <w:rStyle w:val="Hyperlink"/>
            <w:rFonts w:ascii="Calibri" w:hAnsi="Calibri"/>
            <w:noProof/>
            <w:lang w:bidi="en-US"/>
          </w:rPr>
          <w:t>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Earnings Management</w:t>
        </w:r>
        <w:r>
          <w:rPr>
            <w:noProof/>
            <w:webHidden/>
          </w:rPr>
          <w:tab/>
        </w:r>
        <w:r>
          <w:rPr>
            <w:noProof/>
            <w:webHidden/>
          </w:rPr>
          <w:fldChar w:fldCharType="begin"/>
        </w:r>
        <w:r>
          <w:rPr>
            <w:noProof/>
            <w:webHidden/>
          </w:rPr>
          <w:instrText xml:space="preserve"> PAGEREF _Toc268669721 \h </w:instrText>
        </w:r>
        <w:r>
          <w:rPr>
            <w:noProof/>
            <w:webHidden/>
          </w:rPr>
        </w:r>
        <w:r>
          <w:rPr>
            <w:noProof/>
            <w:webHidden/>
          </w:rPr>
          <w:fldChar w:fldCharType="separate"/>
        </w:r>
        <w:r w:rsidR="000313AE">
          <w:rPr>
            <w:noProof/>
            <w:webHidden/>
          </w:rPr>
          <w:t>11</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2" w:history="1">
        <w:r w:rsidRPr="007E0BD7">
          <w:rPr>
            <w:rStyle w:val="Hyperlink"/>
            <w:rFonts w:ascii="Calibri" w:hAnsi="Calibri"/>
            <w:noProof/>
            <w:lang w:bidi="en-US"/>
          </w:rPr>
          <w:t>2.1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The Difference between Earnings Management and Fraud</w:t>
        </w:r>
        <w:r>
          <w:rPr>
            <w:noProof/>
            <w:webHidden/>
          </w:rPr>
          <w:tab/>
        </w:r>
        <w:r>
          <w:rPr>
            <w:noProof/>
            <w:webHidden/>
          </w:rPr>
          <w:fldChar w:fldCharType="begin"/>
        </w:r>
        <w:r>
          <w:rPr>
            <w:noProof/>
            <w:webHidden/>
          </w:rPr>
          <w:instrText xml:space="preserve"> PAGEREF _Toc268669722 \h </w:instrText>
        </w:r>
        <w:r>
          <w:rPr>
            <w:noProof/>
            <w:webHidden/>
          </w:rPr>
        </w:r>
        <w:r>
          <w:rPr>
            <w:noProof/>
            <w:webHidden/>
          </w:rPr>
          <w:fldChar w:fldCharType="separate"/>
        </w:r>
        <w:r w:rsidR="000313AE">
          <w:rPr>
            <w:noProof/>
            <w:webHidden/>
          </w:rPr>
          <w:t>12</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3" w:history="1">
        <w:r w:rsidRPr="007E0BD7">
          <w:rPr>
            <w:rStyle w:val="Hyperlink"/>
            <w:rFonts w:ascii="Calibri" w:hAnsi="Calibri"/>
            <w:noProof/>
            <w:lang w:bidi="en-US"/>
          </w:rPr>
          <w:t>2.2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Income Smoothing</w:t>
        </w:r>
        <w:r>
          <w:rPr>
            <w:noProof/>
            <w:webHidden/>
          </w:rPr>
          <w:tab/>
        </w:r>
        <w:r>
          <w:rPr>
            <w:noProof/>
            <w:webHidden/>
          </w:rPr>
          <w:fldChar w:fldCharType="begin"/>
        </w:r>
        <w:r>
          <w:rPr>
            <w:noProof/>
            <w:webHidden/>
          </w:rPr>
          <w:instrText xml:space="preserve"> PAGEREF _Toc268669723 \h </w:instrText>
        </w:r>
        <w:r>
          <w:rPr>
            <w:noProof/>
            <w:webHidden/>
          </w:rPr>
        </w:r>
        <w:r>
          <w:rPr>
            <w:noProof/>
            <w:webHidden/>
          </w:rPr>
          <w:fldChar w:fldCharType="separate"/>
        </w:r>
        <w:r w:rsidR="000313AE">
          <w:rPr>
            <w:noProof/>
            <w:webHidden/>
          </w:rPr>
          <w:t>13</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24" w:history="1">
        <w:r w:rsidRPr="007E0BD7">
          <w:rPr>
            <w:rStyle w:val="Hyperlink"/>
            <w:rFonts w:ascii="Calibri" w:hAnsi="Calibri"/>
            <w:noProof/>
            <w:lang w:bidi="en-US"/>
          </w:rPr>
          <w:t>2.2.1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Incentives for Smoothing Earnings</w:t>
        </w:r>
        <w:r>
          <w:rPr>
            <w:noProof/>
            <w:webHidden/>
          </w:rPr>
          <w:tab/>
        </w:r>
        <w:r>
          <w:rPr>
            <w:noProof/>
            <w:webHidden/>
          </w:rPr>
          <w:fldChar w:fldCharType="begin"/>
        </w:r>
        <w:r>
          <w:rPr>
            <w:noProof/>
            <w:webHidden/>
          </w:rPr>
          <w:instrText xml:space="preserve"> PAGEREF _Toc268669724 \h </w:instrText>
        </w:r>
        <w:r>
          <w:rPr>
            <w:noProof/>
            <w:webHidden/>
          </w:rPr>
        </w:r>
        <w:r>
          <w:rPr>
            <w:noProof/>
            <w:webHidden/>
          </w:rPr>
          <w:fldChar w:fldCharType="separate"/>
        </w:r>
        <w:r w:rsidR="000313AE">
          <w:rPr>
            <w:noProof/>
            <w:webHidden/>
          </w:rPr>
          <w:t>15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5" w:history="1">
        <w:r w:rsidRPr="007E0BD7">
          <w:rPr>
            <w:rStyle w:val="Hyperlink"/>
            <w:rFonts w:ascii="Calibri" w:hAnsi="Calibri"/>
            <w:noProof/>
            <w:lang w:bidi="en-US"/>
          </w:rPr>
          <w:t>2.3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Conclusion</w:t>
        </w:r>
        <w:r>
          <w:rPr>
            <w:noProof/>
            <w:webHidden/>
          </w:rPr>
          <w:tab/>
        </w:r>
        <w:r>
          <w:rPr>
            <w:noProof/>
            <w:webHidden/>
          </w:rPr>
          <w:fldChar w:fldCharType="begin"/>
        </w:r>
        <w:r>
          <w:rPr>
            <w:noProof/>
            <w:webHidden/>
          </w:rPr>
          <w:instrText xml:space="preserve"> PAGEREF _Toc268669725 \h </w:instrText>
        </w:r>
        <w:r>
          <w:rPr>
            <w:noProof/>
            <w:webHidden/>
          </w:rPr>
        </w:r>
        <w:r>
          <w:rPr>
            <w:noProof/>
            <w:webHidden/>
          </w:rPr>
          <w:fldChar w:fldCharType="separate"/>
        </w:r>
        <w:r w:rsidR="000313AE">
          <w:rPr>
            <w:noProof/>
            <w:webHidden/>
          </w:rPr>
          <w:t>16</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26" w:history="1">
        <w:r w:rsidRPr="007E0BD7">
          <w:rPr>
            <w:rStyle w:val="Hyperlink"/>
            <w:rFonts w:ascii="Calibri" w:hAnsi="Calibri"/>
            <w:noProof/>
            <w:lang w:bidi="en-US"/>
          </w:rPr>
          <w:t>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Accruals Methodology</w:t>
        </w:r>
        <w:r>
          <w:rPr>
            <w:noProof/>
            <w:webHidden/>
          </w:rPr>
          <w:tab/>
        </w:r>
        <w:r>
          <w:rPr>
            <w:noProof/>
            <w:webHidden/>
          </w:rPr>
          <w:fldChar w:fldCharType="begin"/>
        </w:r>
        <w:r>
          <w:rPr>
            <w:noProof/>
            <w:webHidden/>
          </w:rPr>
          <w:instrText xml:space="preserve"> PAGEREF _Toc268669726 \h </w:instrText>
        </w:r>
        <w:r>
          <w:rPr>
            <w:noProof/>
            <w:webHidden/>
          </w:rPr>
        </w:r>
        <w:r>
          <w:rPr>
            <w:noProof/>
            <w:webHidden/>
          </w:rPr>
          <w:fldChar w:fldCharType="separate"/>
        </w:r>
        <w:r w:rsidR="000313AE">
          <w:rPr>
            <w:noProof/>
            <w:webHidden/>
          </w:rPr>
          <w:t>17</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7" w:history="1">
        <w:r w:rsidRPr="007E0BD7">
          <w:rPr>
            <w:rStyle w:val="Hyperlink"/>
            <w:rFonts w:ascii="Calibri" w:hAnsi="Calibri"/>
            <w:noProof/>
            <w:lang w:bidi="en-US"/>
          </w:rPr>
          <w:t>3.1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Accruals</w:t>
        </w:r>
        <w:r>
          <w:rPr>
            <w:noProof/>
            <w:webHidden/>
          </w:rPr>
          <w:tab/>
        </w:r>
        <w:r>
          <w:rPr>
            <w:noProof/>
            <w:webHidden/>
          </w:rPr>
          <w:fldChar w:fldCharType="begin"/>
        </w:r>
        <w:r>
          <w:rPr>
            <w:noProof/>
            <w:webHidden/>
          </w:rPr>
          <w:instrText xml:space="preserve"> PAGEREF _Toc268669727 \h </w:instrText>
        </w:r>
        <w:r>
          <w:rPr>
            <w:noProof/>
            <w:webHidden/>
          </w:rPr>
        </w:r>
        <w:r>
          <w:rPr>
            <w:noProof/>
            <w:webHidden/>
          </w:rPr>
          <w:fldChar w:fldCharType="separate"/>
        </w:r>
        <w:r w:rsidR="000313AE">
          <w:rPr>
            <w:noProof/>
            <w:webHidden/>
          </w:rPr>
          <w:t>17</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28" w:history="1">
        <w:r w:rsidRPr="007E0BD7">
          <w:rPr>
            <w:rStyle w:val="Hyperlink"/>
            <w:rFonts w:ascii="Calibri" w:hAnsi="Calibri"/>
            <w:noProof/>
            <w:lang w:bidi="en-US"/>
          </w:rPr>
          <w:t>3.2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The Jones Model</w:t>
        </w:r>
        <w:r>
          <w:rPr>
            <w:noProof/>
            <w:webHidden/>
          </w:rPr>
          <w:tab/>
        </w:r>
        <w:r>
          <w:rPr>
            <w:noProof/>
            <w:webHidden/>
          </w:rPr>
          <w:fldChar w:fldCharType="begin"/>
        </w:r>
        <w:r>
          <w:rPr>
            <w:noProof/>
            <w:webHidden/>
          </w:rPr>
          <w:instrText xml:space="preserve"> PAGEREF _Toc268669728 \h </w:instrText>
        </w:r>
        <w:r>
          <w:rPr>
            <w:noProof/>
            <w:webHidden/>
          </w:rPr>
        </w:r>
        <w:r>
          <w:rPr>
            <w:noProof/>
            <w:webHidden/>
          </w:rPr>
          <w:fldChar w:fldCharType="separate"/>
        </w:r>
        <w:r w:rsidR="000313AE">
          <w:rPr>
            <w:noProof/>
            <w:webHidden/>
          </w:rPr>
          <w:t>18</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29" w:history="1">
        <w:r w:rsidRPr="007E0BD7">
          <w:rPr>
            <w:rStyle w:val="Hyperlink"/>
            <w:rFonts w:ascii="Calibri" w:hAnsi="Calibri"/>
            <w:noProof/>
            <w:lang w:bidi="en-US"/>
          </w:rPr>
          <w:t>3.2.1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Concerns regarding the Jones Model</w:t>
        </w:r>
        <w:r>
          <w:rPr>
            <w:noProof/>
            <w:webHidden/>
          </w:rPr>
          <w:tab/>
        </w:r>
        <w:r>
          <w:rPr>
            <w:noProof/>
            <w:webHidden/>
          </w:rPr>
          <w:fldChar w:fldCharType="begin"/>
        </w:r>
        <w:r>
          <w:rPr>
            <w:noProof/>
            <w:webHidden/>
          </w:rPr>
          <w:instrText xml:space="preserve"> PAGEREF _Toc268669729 \h </w:instrText>
        </w:r>
        <w:r>
          <w:rPr>
            <w:noProof/>
            <w:webHidden/>
          </w:rPr>
        </w:r>
        <w:r>
          <w:rPr>
            <w:noProof/>
            <w:webHidden/>
          </w:rPr>
          <w:fldChar w:fldCharType="separate"/>
        </w:r>
        <w:r w:rsidR="000313AE">
          <w:rPr>
            <w:noProof/>
            <w:webHidden/>
          </w:rPr>
          <w:t>20</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0" w:history="1">
        <w:r w:rsidRPr="007E0BD7">
          <w:rPr>
            <w:rStyle w:val="Hyperlink"/>
            <w:rFonts w:ascii="Calibri" w:hAnsi="Calibri"/>
            <w:noProof/>
            <w:lang w:bidi="en-US"/>
          </w:rPr>
          <w:t>3.3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The Modified Jones Model</w:t>
        </w:r>
        <w:r>
          <w:rPr>
            <w:noProof/>
            <w:webHidden/>
          </w:rPr>
          <w:tab/>
        </w:r>
        <w:r>
          <w:rPr>
            <w:noProof/>
            <w:webHidden/>
          </w:rPr>
          <w:fldChar w:fldCharType="begin"/>
        </w:r>
        <w:r>
          <w:rPr>
            <w:noProof/>
            <w:webHidden/>
          </w:rPr>
          <w:instrText xml:space="preserve"> PAGEREF _Toc268669730 \h </w:instrText>
        </w:r>
        <w:r>
          <w:rPr>
            <w:noProof/>
            <w:webHidden/>
          </w:rPr>
        </w:r>
        <w:r>
          <w:rPr>
            <w:noProof/>
            <w:webHidden/>
          </w:rPr>
          <w:fldChar w:fldCharType="separate"/>
        </w:r>
        <w:r w:rsidR="000313AE">
          <w:rPr>
            <w:noProof/>
            <w:webHidden/>
          </w:rPr>
          <w:t>21</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1" w:history="1">
        <w:r w:rsidRPr="007E0BD7">
          <w:rPr>
            <w:rStyle w:val="Hyperlink"/>
            <w:rFonts w:ascii="Calibri" w:hAnsi="Calibri"/>
            <w:noProof/>
            <w:lang w:bidi="en-US"/>
          </w:rPr>
          <w:t>3.4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Conclusion</w:t>
        </w:r>
        <w:r>
          <w:rPr>
            <w:noProof/>
            <w:webHidden/>
          </w:rPr>
          <w:tab/>
        </w:r>
        <w:r>
          <w:rPr>
            <w:noProof/>
            <w:webHidden/>
          </w:rPr>
          <w:fldChar w:fldCharType="begin"/>
        </w:r>
        <w:r>
          <w:rPr>
            <w:noProof/>
            <w:webHidden/>
          </w:rPr>
          <w:instrText xml:space="preserve"> PAGEREF _Toc268669731 \h </w:instrText>
        </w:r>
        <w:r>
          <w:rPr>
            <w:noProof/>
            <w:webHidden/>
          </w:rPr>
        </w:r>
        <w:r>
          <w:rPr>
            <w:noProof/>
            <w:webHidden/>
          </w:rPr>
          <w:fldChar w:fldCharType="separate"/>
        </w:r>
        <w:r w:rsidR="000313AE">
          <w:rPr>
            <w:noProof/>
            <w:webHidden/>
          </w:rPr>
          <w:t>22</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32" w:history="1">
        <w:r w:rsidRPr="007E0BD7">
          <w:rPr>
            <w:rStyle w:val="Hyperlink"/>
            <w:rFonts w:ascii="Calibri" w:hAnsi="Calibri"/>
            <w:noProof/>
            <w:lang w:bidi="en-US"/>
          </w:rPr>
          <w:t>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Other Models</w:t>
        </w:r>
        <w:r>
          <w:rPr>
            <w:noProof/>
            <w:webHidden/>
          </w:rPr>
          <w:tab/>
        </w:r>
        <w:r>
          <w:rPr>
            <w:noProof/>
            <w:webHidden/>
          </w:rPr>
          <w:fldChar w:fldCharType="begin"/>
        </w:r>
        <w:r>
          <w:rPr>
            <w:noProof/>
            <w:webHidden/>
          </w:rPr>
          <w:instrText xml:space="preserve"> PAGEREF _Toc268669732 \h </w:instrText>
        </w:r>
        <w:r>
          <w:rPr>
            <w:noProof/>
            <w:webHidden/>
          </w:rPr>
        </w:r>
        <w:r>
          <w:rPr>
            <w:noProof/>
            <w:webHidden/>
          </w:rPr>
          <w:fldChar w:fldCharType="separate"/>
        </w:r>
        <w:r w:rsidR="000313AE">
          <w:rPr>
            <w:noProof/>
            <w:webHidden/>
          </w:rPr>
          <w:t>23</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3" w:history="1">
        <w:r w:rsidRPr="007E0BD7">
          <w:rPr>
            <w:rStyle w:val="Hyperlink"/>
            <w:rFonts w:ascii="Calibri" w:hAnsi="Calibri"/>
            <w:noProof/>
            <w:lang w:bidi="en-US"/>
          </w:rPr>
          <w:t>4.1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Burgstahler and Dichev</w:t>
        </w:r>
        <w:r>
          <w:rPr>
            <w:noProof/>
            <w:webHidden/>
          </w:rPr>
          <w:tab/>
        </w:r>
        <w:r>
          <w:rPr>
            <w:noProof/>
            <w:webHidden/>
          </w:rPr>
          <w:fldChar w:fldCharType="begin"/>
        </w:r>
        <w:r>
          <w:rPr>
            <w:noProof/>
            <w:webHidden/>
          </w:rPr>
          <w:instrText xml:space="preserve"> PAGEREF _Toc268669733 \h </w:instrText>
        </w:r>
        <w:r>
          <w:rPr>
            <w:noProof/>
            <w:webHidden/>
          </w:rPr>
        </w:r>
        <w:r>
          <w:rPr>
            <w:noProof/>
            <w:webHidden/>
          </w:rPr>
          <w:fldChar w:fldCharType="separate"/>
        </w:r>
        <w:r w:rsidR="000313AE">
          <w:rPr>
            <w:noProof/>
            <w:webHidden/>
          </w:rPr>
          <w:t>23</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4" w:history="1">
        <w:r w:rsidRPr="007E0BD7">
          <w:rPr>
            <w:rStyle w:val="Hyperlink"/>
            <w:rFonts w:ascii="Calibri" w:hAnsi="Calibri"/>
            <w:noProof/>
            <w:lang w:bidi="en-US"/>
          </w:rPr>
          <w:t>4.2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The Imhoff and Eckel Model</w:t>
        </w:r>
        <w:r>
          <w:rPr>
            <w:noProof/>
            <w:webHidden/>
          </w:rPr>
          <w:tab/>
        </w:r>
        <w:r>
          <w:rPr>
            <w:noProof/>
            <w:webHidden/>
          </w:rPr>
          <w:fldChar w:fldCharType="begin"/>
        </w:r>
        <w:r>
          <w:rPr>
            <w:noProof/>
            <w:webHidden/>
          </w:rPr>
          <w:instrText xml:space="preserve"> PAGEREF _Toc268669734 \h </w:instrText>
        </w:r>
        <w:r>
          <w:rPr>
            <w:noProof/>
            <w:webHidden/>
          </w:rPr>
        </w:r>
        <w:r>
          <w:rPr>
            <w:noProof/>
            <w:webHidden/>
          </w:rPr>
          <w:fldChar w:fldCharType="separate"/>
        </w:r>
        <w:r w:rsidR="000313AE">
          <w:rPr>
            <w:noProof/>
            <w:webHidden/>
          </w:rPr>
          <w:t>24</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5" w:history="1">
        <w:r w:rsidRPr="007E0BD7">
          <w:rPr>
            <w:rStyle w:val="Hyperlink"/>
            <w:rFonts w:ascii="Calibri" w:hAnsi="Calibri"/>
            <w:noProof/>
            <w:lang w:bidi="en-US"/>
          </w:rPr>
          <w:t>4.3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Conclusion</w:t>
        </w:r>
        <w:r>
          <w:rPr>
            <w:noProof/>
            <w:webHidden/>
          </w:rPr>
          <w:tab/>
        </w:r>
        <w:r>
          <w:rPr>
            <w:noProof/>
            <w:webHidden/>
          </w:rPr>
          <w:fldChar w:fldCharType="begin"/>
        </w:r>
        <w:r>
          <w:rPr>
            <w:noProof/>
            <w:webHidden/>
          </w:rPr>
          <w:instrText xml:space="preserve"> PAGEREF _Toc268669735 \h </w:instrText>
        </w:r>
        <w:r>
          <w:rPr>
            <w:noProof/>
            <w:webHidden/>
          </w:rPr>
        </w:r>
        <w:r>
          <w:rPr>
            <w:noProof/>
            <w:webHidden/>
          </w:rPr>
          <w:fldChar w:fldCharType="separate"/>
        </w:r>
        <w:r w:rsidR="000313AE">
          <w:rPr>
            <w:noProof/>
            <w:webHidden/>
          </w:rPr>
          <w:t>25</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36" w:history="1">
        <w:r w:rsidRPr="007E0BD7">
          <w:rPr>
            <w:rStyle w:val="Hyperlink"/>
            <w:rFonts w:ascii="Calibri" w:hAnsi="Calibri"/>
            <w:noProof/>
            <w:lang w:bidi="en-US"/>
          </w:rPr>
          <w:t>5</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Corporate Governance</w:t>
        </w:r>
        <w:r>
          <w:rPr>
            <w:noProof/>
            <w:webHidden/>
          </w:rPr>
          <w:tab/>
        </w:r>
        <w:r>
          <w:rPr>
            <w:noProof/>
            <w:webHidden/>
          </w:rPr>
          <w:fldChar w:fldCharType="begin"/>
        </w:r>
        <w:r>
          <w:rPr>
            <w:noProof/>
            <w:webHidden/>
          </w:rPr>
          <w:instrText xml:space="preserve"> PAGEREF _Toc268669736 \h </w:instrText>
        </w:r>
        <w:r>
          <w:rPr>
            <w:noProof/>
            <w:webHidden/>
          </w:rPr>
        </w:r>
        <w:r>
          <w:rPr>
            <w:noProof/>
            <w:webHidden/>
          </w:rPr>
          <w:fldChar w:fldCharType="separate"/>
        </w:r>
        <w:r w:rsidR="000313AE">
          <w:rPr>
            <w:noProof/>
            <w:webHidden/>
          </w:rPr>
          <w:t>26</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7" w:history="1">
        <w:r w:rsidRPr="007E0BD7">
          <w:rPr>
            <w:rStyle w:val="Hyperlink"/>
            <w:rFonts w:ascii="Calibri" w:hAnsi="Calibri"/>
            <w:noProof/>
            <w:lang w:bidi="en-US"/>
          </w:rPr>
          <w:t>5.1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Investor Protection</w:t>
        </w:r>
        <w:r>
          <w:rPr>
            <w:noProof/>
            <w:webHidden/>
          </w:rPr>
          <w:tab/>
        </w:r>
        <w:r>
          <w:rPr>
            <w:noProof/>
            <w:webHidden/>
          </w:rPr>
          <w:fldChar w:fldCharType="begin"/>
        </w:r>
        <w:r>
          <w:rPr>
            <w:noProof/>
            <w:webHidden/>
          </w:rPr>
          <w:instrText xml:space="preserve"> PAGEREF _Toc268669737 \h </w:instrText>
        </w:r>
        <w:r>
          <w:rPr>
            <w:noProof/>
            <w:webHidden/>
          </w:rPr>
        </w:r>
        <w:r>
          <w:rPr>
            <w:noProof/>
            <w:webHidden/>
          </w:rPr>
          <w:fldChar w:fldCharType="separate"/>
        </w:r>
        <w:r w:rsidR="000313AE">
          <w:rPr>
            <w:noProof/>
            <w:webHidden/>
          </w:rPr>
          <w:t>28</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38" w:history="1">
        <w:r w:rsidRPr="007E0BD7">
          <w:rPr>
            <w:rStyle w:val="Hyperlink"/>
            <w:rFonts w:ascii="Calibri" w:hAnsi="Calibri"/>
            <w:noProof/>
            <w:lang w:bidi="en-US"/>
          </w:rPr>
          <w:t>5.1.1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Anti-self-dealing index</w:t>
        </w:r>
        <w:r>
          <w:rPr>
            <w:noProof/>
            <w:webHidden/>
          </w:rPr>
          <w:tab/>
        </w:r>
        <w:r>
          <w:rPr>
            <w:noProof/>
            <w:webHidden/>
          </w:rPr>
          <w:fldChar w:fldCharType="begin"/>
        </w:r>
        <w:r>
          <w:rPr>
            <w:noProof/>
            <w:webHidden/>
          </w:rPr>
          <w:instrText xml:space="preserve"> PAGEREF _Toc268669738 \h </w:instrText>
        </w:r>
        <w:r>
          <w:rPr>
            <w:noProof/>
            <w:webHidden/>
          </w:rPr>
        </w:r>
        <w:r>
          <w:rPr>
            <w:noProof/>
            <w:webHidden/>
          </w:rPr>
          <w:fldChar w:fldCharType="separate"/>
        </w:r>
        <w:r w:rsidR="000313AE">
          <w:rPr>
            <w:noProof/>
            <w:webHidden/>
          </w:rPr>
          <w:t>29</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39" w:history="1">
        <w:r w:rsidRPr="007E0BD7">
          <w:rPr>
            <w:rStyle w:val="Hyperlink"/>
            <w:rFonts w:ascii="Calibri" w:hAnsi="Calibri"/>
            <w:noProof/>
            <w:lang w:bidi="en-US"/>
          </w:rPr>
          <w:t>5.2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Conclusion</w:t>
        </w:r>
        <w:r>
          <w:rPr>
            <w:noProof/>
            <w:webHidden/>
          </w:rPr>
          <w:tab/>
        </w:r>
        <w:r>
          <w:rPr>
            <w:noProof/>
            <w:webHidden/>
          </w:rPr>
          <w:fldChar w:fldCharType="begin"/>
        </w:r>
        <w:r>
          <w:rPr>
            <w:noProof/>
            <w:webHidden/>
          </w:rPr>
          <w:instrText xml:space="preserve"> PAGEREF _Toc268669739 \h </w:instrText>
        </w:r>
        <w:r>
          <w:rPr>
            <w:noProof/>
            <w:webHidden/>
          </w:rPr>
        </w:r>
        <w:r>
          <w:rPr>
            <w:noProof/>
            <w:webHidden/>
          </w:rPr>
          <w:fldChar w:fldCharType="separate"/>
        </w:r>
        <w:r w:rsidR="000313AE">
          <w:rPr>
            <w:noProof/>
            <w:webHidden/>
          </w:rPr>
          <w:t>30</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40" w:history="1">
        <w:r w:rsidRPr="007E0BD7">
          <w:rPr>
            <w:rStyle w:val="Hyperlink"/>
            <w:rFonts w:ascii="Calibri" w:hAnsi="Calibri"/>
            <w:noProof/>
            <w:lang w:val="en-GB" w:bidi="en-US"/>
          </w:rPr>
          <w:t>6.3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Common-law vs. Code-law</w:t>
        </w:r>
        <w:r>
          <w:rPr>
            <w:noProof/>
            <w:webHidden/>
          </w:rPr>
          <w:tab/>
        </w:r>
        <w:r>
          <w:rPr>
            <w:noProof/>
            <w:webHidden/>
          </w:rPr>
          <w:fldChar w:fldCharType="begin"/>
        </w:r>
        <w:r>
          <w:rPr>
            <w:noProof/>
            <w:webHidden/>
          </w:rPr>
          <w:instrText xml:space="preserve"> PAGEREF _Toc268669740 \h </w:instrText>
        </w:r>
        <w:r>
          <w:rPr>
            <w:noProof/>
            <w:webHidden/>
          </w:rPr>
        </w:r>
        <w:r>
          <w:rPr>
            <w:noProof/>
            <w:webHidden/>
          </w:rPr>
          <w:fldChar w:fldCharType="separate"/>
        </w:r>
        <w:r w:rsidR="000313AE">
          <w:rPr>
            <w:noProof/>
            <w:webHidden/>
          </w:rPr>
          <w:t>35</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1" w:history="1">
        <w:r w:rsidRPr="007E0BD7">
          <w:rPr>
            <w:rStyle w:val="Hyperlink"/>
            <w:rFonts w:ascii="Calibri" w:hAnsi="Calibri"/>
            <w:noProof/>
            <w:lang w:val="en-GB" w:bidi="en-US"/>
          </w:rPr>
          <w:t>Barth, Landsman and Lang (2008)</w:t>
        </w:r>
        <w:r>
          <w:rPr>
            <w:noProof/>
            <w:webHidden/>
          </w:rPr>
          <w:tab/>
        </w:r>
        <w:r>
          <w:rPr>
            <w:noProof/>
            <w:webHidden/>
          </w:rPr>
          <w:fldChar w:fldCharType="begin"/>
        </w:r>
        <w:r>
          <w:rPr>
            <w:noProof/>
            <w:webHidden/>
          </w:rPr>
          <w:instrText xml:space="preserve"> PAGEREF _Toc268669741 \h </w:instrText>
        </w:r>
        <w:r>
          <w:rPr>
            <w:noProof/>
            <w:webHidden/>
          </w:rPr>
        </w:r>
        <w:r>
          <w:rPr>
            <w:noProof/>
            <w:webHidden/>
          </w:rPr>
          <w:fldChar w:fldCharType="separate"/>
        </w:r>
        <w:r w:rsidR="000313AE">
          <w:rPr>
            <w:noProof/>
            <w:webHidden/>
          </w:rPr>
          <w:t>36</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2" w:history="1">
        <w:r w:rsidRPr="007E0BD7">
          <w:rPr>
            <w:rStyle w:val="Hyperlink"/>
            <w:rFonts w:ascii="Calibri" w:hAnsi="Calibri"/>
            <w:noProof/>
            <w:lang w:val="en-GB" w:bidi="en-US"/>
          </w:rPr>
          <w:t>Jeanjean and Stolowy (2008)</w:t>
        </w:r>
        <w:r>
          <w:rPr>
            <w:noProof/>
            <w:webHidden/>
          </w:rPr>
          <w:tab/>
        </w:r>
        <w:r>
          <w:rPr>
            <w:noProof/>
            <w:webHidden/>
          </w:rPr>
          <w:fldChar w:fldCharType="begin"/>
        </w:r>
        <w:r>
          <w:rPr>
            <w:noProof/>
            <w:webHidden/>
          </w:rPr>
          <w:instrText xml:space="preserve"> PAGEREF _Toc268669742 \h </w:instrText>
        </w:r>
        <w:r>
          <w:rPr>
            <w:noProof/>
            <w:webHidden/>
          </w:rPr>
        </w:r>
        <w:r>
          <w:rPr>
            <w:noProof/>
            <w:webHidden/>
          </w:rPr>
          <w:fldChar w:fldCharType="separate"/>
        </w:r>
        <w:r w:rsidR="000313AE">
          <w:rPr>
            <w:noProof/>
            <w:webHidden/>
          </w:rPr>
          <w:t>37</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43" w:history="1">
        <w:r w:rsidRPr="007E0BD7">
          <w:rPr>
            <w:rStyle w:val="Hyperlink"/>
            <w:rFonts w:ascii="Calibri" w:hAnsi="Calibri"/>
            <w:noProof/>
            <w:lang w:bidi="en-US"/>
          </w:rPr>
          <w:t>7</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Studies on Earnings Management and Investor Protection</w:t>
        </w:r>
        <w:r>
          <w:rPr>
            <w:noProof/>
            <w:webHidden/>
          </w:rPr>
          <w:tab/>
        </w:r>
        <w:r>
          <w:rPr>
            <w:noProof/>
            <w:webHidden/>
          </w:rPr>
          <w:fldChar w:fldCharType="begin"/>
        </w:r>
        <w:r>
          <w:rPr>
            <w:noProof/>
            <w:webHidden/>
          </w:rPr>
          <w:instrText xml:space="preserve"> PAGEREF _Toc268669743 \h </w:instrText>
        </w:r>
        <w:r>
          <w:rPr>
            <w:noProof/>
            <w:webHidden/>
          </w:rPr>
        </w:r>
        <w:r>
          <w:rPr>
            <w:noProof/>
            <w:webHidden/>
          </w:rPr>
          <w:fldChar w:fldCharType="separate"/>
        </w:r>
        <w:r w:rsidR="000313AE">
          <w:rPr>
            <w:noProof/>
            <w:webHidden/>
          </w:rPr>
          <w:t>39</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44" w:history="1">
        <w:r w:rsidRPr="007E0BD7">
          <w:rPr>
            <w:rStyle w:val="Hyperlink"/>
            <w:rFonts w:ascii="Calibri" w:hAnsi="Calibri"/>
            <w:noProof/>
            <w:lang w:bidi="en-US"/>
          </w:rPr>
          <w:t xml:space="preserve">7.1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Earnings Management and Investor Protection</w:t>
        </w:r>
        <w:r>
          <w:rPr>
            <w:noProof/>
            <w:webHidden/>
          </w:rPr>
          <w:tab/>
        </w:r>
        <w:r>
          <w:rPr>
            <w:noProof/>
            <w:webHidden/>
          </w:rPr>
          <w:fldChar w:fldCharType="begin"/>
        </w:r>
        <w:r>
          <w:rPr>
            <w:noProof/>
            <w:webHidden/>
          </w:rPr>
          <w:instrText xml:space="preserve"> PAGEREF _Toc268669744 \h </w:instrText>
        </w:r>
        <w:r>
          <w:rPr>
            <w:noProof/>
            <w:webHidden/>
          </w:rPr>
        </w:r>
        <w:r>
          <w:rPr>
            <w:noProof/>
            <w:webHidden/>
          </w:rPr>
          <w:fldChar w:fldCharType="separate"/>
        </w:r>
        <w:r w:rsidR="000313AE">
          <w:rPr>
            <w:noProof/>
            <w:webHidden/>
          </w:rPr>
          <w:t>39</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5" w:history="1">
        <w:r w:rsidRPr="007E0BD7">
          <w:rPr>
            <w:rStyle w:val="Hyperlink"/>
            <w:rFonts w:ascii="Calibri" w:hAnsi="Calibri"/>
            <w:noProof/>
            <w:lang w:bidi="en-US"/>
          </w:rPr>
          <w:t>Leuz, Nanda and Wysocki (2003)</w:t>
        </w:r>
        <w:r>
          <w:rPr>
            <w:noProof/>
            <w:webHidden/>
          </w:rPr>
          <w:tab/>
        </w:r>
        <w:r>
          <w:rPr>
            <w:noProof/>
            <w:webHidden/>
          </w:rPr>
          <w:fldChar w:fldCharType="begin"/>
        </w:r>
        <w:r>
          <w:rPr>
            <w:noProof/>
            <w:webHidden/>
          </w:rPr>
          <w:instrText xml:space="preserve"> PAGEREF _Toc268669745 \h </w:instrText>
        </w:r>
        <w:r>
          <w:rPr>
            <w:noProof/>
            <w:webHidden/>
          </w:rPr>
        </w:r>
        <w:r>
          <w:rPr>
            <w:noProof/>
            <w:webHidden/>
          </w:rPr>
          <w:fldChar w:fldCharType="separate"/>
        </w:r>
        <w:r w:rsidR="000313AE">
          <w:rPr>
            <w:noProof/>
            <w:webHidden/>
          </w:rPr>
          <w:t>39</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6" w:history="1">
        <w:r w:rsidRPr="007E0BD7">
          <w:rPr>
            <w:rStyle w:val="Hyperlink"/>
            <w:rFonts w:ascii="Calibri" w:hAnsi="Calibri"/>
            <w:noProof/>
            <w:lang w:bidi="en-US"/>
          </w:rPr>
          <w:t>Cahan, Liu and Sun (2008)</w:t>
        </w:r>
        <w:r>
          <w:rPr>
            <w:noProof/>
            <w:webHidden/>
          </w:rPr>
          <w:tab/>
        </w:r>
        <w:r>
          <w:rPr>
            <w:noProof/>
            <w:webHidden/>
          </w:rPr>
          <w:fldChar w:fldCharType="begin"/>
        </w:r>
        <w:r>
          <w:rPr>
            <w:noProof/>
            <w:webHidden/>
          </w:rPr>
          <w:instrText xml:space="preserve"> PAGEREF _Toc268669746 \h </w:instrText>
        </w:r>
        <w:r>
          <w:rPr>
            <w:noProof/>
            <w:webHidden/>
          </w:rPr>
        </w:r>
        <w:r>
          <w:rPr>
            <w:noProof/>
            <w:webHidden/>
          </w:rPr>
          <w:fldChar w:fldCharType="separate"/>
        </w:r>
        <w:r w:rsidR="000313AE">
          <w:rPr>
            <w:noProof/>
            <w:webHidden/>
          </w:rPr>
          <w:t>41</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7" w:history="1">
        <w:r w:rsidRPr="007E0BD7">
          <w:rPr>
            <w:rStyle w:val="Hyperlink"/>
            <w:rFonts w:ascii="Calibri" w:hAnsi="Calibri"/>
            <w:noProof/>
            <w:lang w:bidi="en-US"/>
          </w:rPr>
          <w:t>Wright, Shaw and Guan (2006)</w:t>
        </w:r>
        <w:r>
          <w:rPr>
            <w:noProof/>
            <w:webHidden/>
          </w:rPr>
          <w:tab/>
        </w:r>
        <w:r>
          <w:rPr>
            <w:noProof/>
            <w:webHidden/>
          </w:rPr>
          <w:fldChar w:fldCharType="begin"/>
        </w:r>
        <w:r>
          <w:rPr>
            <w:noProof/>
            <w:webHidden/>
          </w:rPr>
          <w:instrText xml:space="preserve"> PAGEREF _Toc268669747 \h </w:instrText>
        </w:r>
        <w:r>
          <w:rPr>
            <w:noProof/>
            <w:webHidden/>
          </w:rPr>
        </w:r>
        <w:r>
          <w:rPr>
            <w:noProof/>
            <w:webHidden/>
          </w:rPr>
          <w:fldChar w:fldCharType="separate"/>
        </w:r>
        <w:r w:rsidR="000313AE">
          <w:rPr>
            <w:noProof/>
            <w:webHidden/>
          </w:rPr>
          <w:t>42</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48" w:history="1">
        <w:r w:rsidRPr="007E0BD7">
          <w:rPr>
            <w:rStyle w:val="Hyperlink"/>
            <w:rFonts w:ascii="Calibri" w:hAnsi="Calibri"/>
            <w:noProof/>
            <w:lang w:bidi="en-US"/>
          </w:rPr>
          <w:t>Nabar and Boonlert-U-Thai (2007)</w:t>
        </w:r>
        <w:r>
          <w:rPr>
            <w:noProof/>
            <w:webHidden/>
          </w:rPr>
          <w:tab/>
        </w:r>
        <w:r>
          <w:rPr>
            <w:noProof/>
            <w:webHidden/>
          </w:rPr>
          <w:fldChar w:fldCharType="begin"/>
        </w:r>
        <w:r>
          <w:rPr>
            <w:noProof/>
            <w:webHidden/>
          </w:rPr>
          <w:instrText xml:space="preserve"> PAGEREF _Toc268669748 \h </w:instrText>
        </w:r>
        <w:r>
          <w:rPr>
            <w:noProof/>
            <w:webHidden/>
          </w:rPr>
        </w:r>
        <w:r>
          <w:rPr>
            <w:noProof/>
            <w:webHidden/>
          </w:rPr>
          <w:fldChar w:fldCharType="separate"/>
        </w:r>
        <w:r w:rsidR="000313AE">
          <w:rPr>
            <w:noProof/>
            <w:webHidden/>
          </w:rPr>
          <w:t>43</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49" w:history="1">
        <w:r w:rsidRPr="007E0BD7">
          <w:rPr>
            <w:rStyle w:val="Hyperlink"/>
            <w:rFonts w:ascii="Calibri" w:hAnsi="Calibri"/>
            <w:noProof/>
            <w:lang w:bidi="en-US"/>
          </w:rPr>
          <w:t>7.2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Conclusion</w:t>
        </w:r>
        <w:r>
          <w:rPr>
            <w:noProof/>
            <w:webHidden/>
          </w:rPr>
          <w:tab/>
        </w:r>
        <w:r>
          <w:rPr>
            <w:noProof/>
            <w:webHidden/>
          </w:rPr>
          <w:fldChar w:fldCharType="begin"/>
        </w:r>
        <w:r>
          <w:rPr>
            <w:noProof/>
            <w:webHidden/>
          </w:rPr>
          <w:instrText xml:space="preserve"> PAGEREF _Toc268669749 \h </w:instrText>
        </w:r>
        <w:r>
          <w:rPr>
            <w:noProof/>
            <w:webHidden/>
          </w:rPr>
        </w:r>
        <w:r>
          <w:rPr>
            <w:noProof/>
            <w:webHidden/>
          </w:rPr>
          <w:fldChar w:fldCharType="separate"/>
        </w:r>
        <w:r w:rsidR="000313AE">
          <w:rPr>
            <w:noProof/>
            <w:webHidden/>
          </w:rPr>
          <w:t>43</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50" w:history="1">
        <w:r w:rsidRPr="007E0BD7">
          <w:rPr>
            <w:rStyle w:val="Hyperlink"/>
            <w:rFonts w:ascii="Calibri" w:hAnsi="Calibri"/>
            <w:noProof/>
            <w:lang w:bidi="en-US"/>
          </w:rPr>
          <w:t>8</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Hypotheses and Research Design</w:t>
        </w:r>
        <w:r>
          <w:rPr>
            <w:noProof/>
            <w:webHidden/>
          </w:rPr>
          <w:tab/>
        </w:r>
        <w:r>
          <w:rPr>
            <w:noProof/>
            <w:webHidden/>
          </w:rPr>
          <w:fldChar w:fldCharType="begin"/>
        </w:r>
        <w:r>
          <w:rPr>
            <w:noProof/>
            <w:webHidden/>
          </w:rPr>
          <w:instrText xml:space="preserve"> PAGEREF _Toc268669750 \h </w:instrText>
        </w:r>
        <w:r>
          <w:rPr>
            <w:noProof/>
            <w:webHidden/>
          </w:rPr>
        </w:r>
        <w:r>
          <w:rPr>
            <w:noProof/>
            <w:webHidden/>
          </w:rPr>
          <w:fldChar w:fldCharType="separate"/>
        </w:r>
        <w:r w:rsidR="000313AE">
          <w:rPr>
            <w:noProof/>
            <w:webHidden/>
          </w:rPr>
          <w:t>45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51" w:history="1">
        <w:r w:rsidRPr="007E0BD7">
          <w:rPr>
            <w:rStyle w:val="Hyperlink"/>
            <w:rFonts w:ascii="Calibri" w:hAnsi="Calibri"/>
            <w:noProof/>
            <w:lang w:bidi="en-US"/>
          </w:rPr>
          <w:t>8.1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Hypotheses</w:t>
        </w:r>
        <w:r>
          <w:rPr>
            <w:noProof/>
            <w:webHidden/>
          </w:rPr>
          <w:tab/>
        </w:r>
        <w:r>
          <w:rPr>
            <w:noProof/>
            <w:webHidden/>
          </w:rPr>
          <w:fldChar w:fldCharType="begin"/>
        </w:r>
        <w:r>
          <w:rPr>
            <w:noProof/>
            <w:webHidden/>
          </w:rPr>
          <w:instrText xml:space="preserve"> PAGEREF _Toc268669751 \h </w:instrText>
        </w:r>
        <w:r>
          <w:rPr>
            <w:noProof/>
            <w:webHidden/>
          </w:rPr>
        </w:r>
        <w:r>
          <w:rPr>
            <w:noProof/>
            <w:webHidden/>
          </w:rPr>
          <w:fldChar w:fldCharType="separate"/>
        </w:r>
        <w:r w:rsidR="000313AE">
          <w:rPr>
            <w:noProof/>
            <w:webHidden/>
          </w:rPr>
          <w:t>45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52" w:history="1">
        <w:r w:rsidRPr="007E0BD7">
          <w:rPr>
            <w:rStyle w:val="Hyperlink"/>
            <w:rFonts w:ascii="Calibri" w:hAnsi="Calibri"/>
            <w:noProof/>
            <w:lang w:bidi="en-US"/>
          </w:rPr>
          <w:t>8.2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Measuring investor protection</w:t>
        </w:r>
        <w:r>
          <w:rPr>
            <w:noProof/>
            <w:webHidden/>
          </w:rPr>
          <w:tab/>
        </w:r>
        <w:r>
          <w:rPr>
            <w:noProof/>
            <w:webHidden/>
          </w:rPr>
          <w:fldChar w:fldCharType="begin"/>
        </w:r>
        <w:r>
          <w:rPr>
            <w:noProof/>
            <w:webHidden/>
          </w:rPr>
          <w:instrText xml:space="preserve"> PAGEREF _Toc268669752 \h </w:instrText>
        </w:r>
        <w:r>
          <w:rPr>
            <w:noProof/>
            <w:webHidden/>
          </w:rPr>
        </w:r>
        <w:r>
          <w:rPr>
            <w:noProof/>
            <w:webHidden/>
          </w:rPr>
          <w:fldChar w:fldCharType="separate"/>
        </w:r>
        <w:r w:rsidR="000313AE">
          <w:rPr>
            <w:noProof/>
            <w:webHidden/>
          </w:rPr>
          <w:t>47</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53" w:history="1">
        <w:r w:rsidRPr="007E0BD7">
          <w:rPr>
            <w:rStyle w:val="Hyperlink"/>
            <w:rFonts w:ascii="Calibri" w:hAnsi="Calibri"/>
            <w:noProof/>
            <w:lang w:bidi="en-US"/>
          </w:rPr>
          <w:t>8.3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Measuring income smoothing</w:t>
        </w:r>
        <w:r>
          <w:rPr>
            <w:noProof/>
            <w:webHidden/>
          </w:rPr>
          <w:tab/>
        </w:r>
        <w:r>
          <w:rPr>
            <w:noProof/>
            <w:webHidden/>
          </w:rPr>
          <w:fldChar w:fldCharType="begin"/>
        </w:r>
        <w:r>
          <w:rPr>
            <w:noProof/>
            <w:webHidden/>
          </w:rPr>
          <w:instrText xml:space="preserve"> PAGEREF _Toc268669753 \h </w:instrText>
        </w:r>
        <w:r>
          <w:rPr>
            <w:noProof/>
            <w:webHidden/>
          </w:rPr>
        </w:r>
        <w:r>
          <w:rPr>
            <w:noProof/>
            <w:webHidden/>
          </w:rPr>
          <w:fldChar w:fldCharType="separate"/>
        </w:r>
        <w:r w:rsidR="000313AE">
          <w:rPr>
            <w:noProof/>
            <w:webHidden/>
          </w:rPr>
          <w:t>48</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55" w:history="1">
        <w:r w:rsidRPr="007E0BD7">
          <w:rPr>
            <w:rStyle w:val="Hyperlink"/>
            <w:rFonts w:ascii="Calibri" w:hAnsi="Calibri"/>
            <w:noProof/>
            <w:lang w:bidi="en-US"/>
          </w:rPr>
          <w:t xml:space="preserve">8.3.1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Measuring real smoothing</w:t>
        </w:r>
        <w:r>
          <w:rPr>
            <w:noProof/>
            <w:webHidden/>
          </w:rPr>
          <w:tab/>
        </w:r>
        <w:r>
          <w:rPr>
            <w:noProof/>
            <w:webHidden/>
          </w:rPr>
          <w:fldChar w:fldCharType="begin"/>
        </w:r>
        <w:r>
          <w:rPr>
            <w:noProof/>
            <w:webHidden/>
          </w:rPr>
          <w:instrText xml:space="preserve"> PAGEREF _Toc268669755 \h </w:instrText>
        </w:r>
        <w:r>
          <w:rPr>
            <w:noProof/>
            <w:webHidden/>
          </w:rPr>
        </w:r>
        <w:r>
          <w:rPr>
            <w:noProof/>
            <w:webHidden/>
          </w:rPr>
          <w:fldChar w:fldCharType="separate"/>
        </w:r>
        <w:r w:rsidR="000313AE">
          <w:rPr>
            <w:noProof/>
            <w:webHidden/>
          </w:rPr>
          <w:t>49</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57" w:history="1">
        <w:r w:rsidRPr="007E0BD7">
          <w:rPr>
            <w:rStyle w:val="Hyperlink"/>
            <w:rFonts w:ascii="Calibri" w:hAnsi="Calibri"/>
            <w:noProof/>
            <w:lang w:bidi="en-US"/>
          </w:rPr>
          <w:t xml:space="preserve">8.3.2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Measuring artificial smoothing</w:t>
        </w:r>
        <w:r>
          <w:rPr>
            <w:noProof/>
            <w:webHidden/>
          </w:rPr>
          <w:tab/>
        </w:r>
        <w:r>
          <w:rPr>
            <w:noProof/>
            <w:webHidden/>
          </w:rPr>
          <w:fldChar w:fldCharType="begin"/>
        </w:r>
        <w:r>
          <w:rPr>
            <w:noProof/>
            <w:webHidden/>
          </w:rPr>
          <w:instrText xml:space="preserve"> PAGEREF _Toc268669757 \h </w:instrText>
        </w:r>
        <w:r>
          <w:rPr>
            <w:noProof/>
            <w:webHidden/>
          </w:rPr>
        </w:r>
        <w:r>
          <w:rPr>
            <w:noProof/>
            <w:webHidden/>
          </w:rPr>
          <w:fldChar w:fldCharType="separate"/>
        </w:r>
        <w:r w:rsidR="000313AE">
          <w:rPr>
            <w:noProof/>
            <w:webHidden/>
          </w:rPr>
          <w:t>51</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58" w:history="1">
        <w:r w:rsidRPr="007E0BD7">
          <w:rPr>
            <w:rStyle w:val="Hyperlink"/>
            <w:rFonts w:ascii="Calibri" w:hAnsi="Calibri"/>
            <w:noProof/>
            <w:lang w:bidi="en-US"/>
          </w:rPr>
          <w:t xml:space="preserve">8.3.3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Measuring total income smoothing</w:t>
        </w:r>
        <w:r>
          <w:rPr>
            <w:noProof/>
            <w:webHidden/>
          </w:rPr>
          <w:tab/>
        </w:r>
        <w:r>
          <w:rPr>
            <w:noProof/>
            <w:webHidden/>
          </w:rPr>
          <w:fldChar w:fldCharType="begin"/>
        </w:r>
        <w:r>
          <w:rPr>
            <w:noProof/>
            <w:webHidden/>
          </w:rPr>
          <w:instrText xml:space="preserve"> PAGEREF _Toc268669758 \h </w:instrText>
        </w:r>
        <w:r>
          <w:rPr>
            <w:noProof/>
            <w:webHidden/>
          </w:rPr>
        </w:r>
        <w:r>
          <w:rPr>
            <w:noProof/>
            <w:webHidden/>
          </w:rPr>
          <w:fldChar w:fldCharType="separate"/>
        </w:r>
        <w:r w:rsidR="000313AE">
          <w:rPr>
            <w:noProof/>
            <w:webHidden/>
          </w:rPr>
          <w:t>51</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59" w:history="1">
        <w:r w:rsidRPr="007E0BD7">
          <w:rPr>
            <w:rStyle w:val="Hyperlink"/>
            <w:rFonts w:ascii="Calibri" w:hAnsi="Calibri"/>
            <w:noProof/>
            <w:lang w:bidi="en-US"/>
          </w:rPr>
          <w:t>8.4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Sample selection</w:t>
        </w:r>
        <w:r>
          <w:rPr>
            <w:noProof/>
            <w:webHidden/>
          </w:rPr>
          <w:tab/>
        </w:r>
        <w:r>
          <w:rPr>
            <w:noProof/>
            <w:webHidden/>
          </w:rPr>
          <w:fldChar w:fldCharType="begin"/>
        </w:r>
        <w:r>
          <w:rPr>
            <w:noProof/>
            <w:webHidden/>
          </w:rPr>
          <w:instrText xml:space="preserve"> PAGEREF _Toc268669759 \h </w:instrText>
        </w:r>
        <w:r>
          <w:rPr>
            <w:noProof/>
            <w:webHidden/>
          </w:rPr>
        </w:r>
        <w:r>
          <w:rPr>
            <w:noProof/>
            <w:webHidden/>
          </w:rPr>
          <w:fldChar w:fldCharType="separate"/>
        </w:r>
        <w:r w:rsidR="000313AE">
          <w:rPr>
            <w:noProof/>
            <w:webHidden/>
          </w:rPr>
          <w:t>52</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0" w:history="1">
        <w:r w:rsidRPr="007E0BD7">
          <w:rPr>
            <w:rStyle w:val="Hyperlink"/>
            <w:rFonts w:ascii="Calibri" w:hAnsi="Calibri"/>
            <w:noProof/>
            <w:lang w:bidi="en-US"/>
          </w:rPr>
          <w:t>8.5</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Earnings Management Pre-IFRS and Post-IFRS</w:t>
        </w:r>
        <w:r>
          <w:rPr>
            <w:noProof/>
            <w:webHidden/>
          </w:rPr>
          <w:tab/>
        </w:r>
        <w:r>
          <w:rPr>
            <w:noProof/>
            <w:webHidden/>
          </w:rPr>
          <w:fldChar w:fldCharType="begin"/>
        </w:r>
        <w:r>
          <w:rPr>
            <w:noProof/>
            <w:webHidden/>
          </w:rPr>
          <w:instrText xml:space="preserve"> PAGEREF _Toc268669760 \h </w:instrText>
        </w:r>
        <w:r>
          <w:rPr>
            <w:noProof/>
            <w:webHidden/>
          </w:rPr>
        </w:r>
        <w:r>
          <w:rPr>
            <w:noProof/>
            <w:webHidden/>
          </w:rPr>
          <w:fldChar w:fldCharType="separate"/>
        </w:r>
        <w:r w:rsidR="000313AE">
          <w:rPr>
            <w:noProof/>
            <w:webHidden/>
          </w:rPr>
          <w:t>54</w:t>
        </w:r>
        <w:r>
          <w:rPr>
            <w:noProof/>
            <w:webHidden/>
          </w:rPr>
          <w:fldChar w:fldCharType="end"/>
        </w:r>
      </w:hyperlink>
    </w:p>
    <w:p w:rsidR="002A44CA" w:rsidRDefault="002A44CA">
      <w:pPr>
        <w:pStyle w:val="TOC4"/>
        <w:tabs>
          <w:tab w:val="left" w:pos="1100"/>
          <w:tab w:val="right" w:leader="dot" w:pos="8722"/>
        </w:tabs>
        <w:rPr>
          <w:rFonts w:asciiTheme="minorHAnsi" w:eastAsiaTheme="minorEastAsia" w:hAnsiTheme="minorHAnsi" w:cstheme="minorBidi"/>
          <w:noProof/>
          <w:sz w:val="22"/>
          <w:szCs w:val="22"/>
          <w:lang w:val="en-US" w:eastAsia="en-US"/>
        </w:rPr>
      </w:pPr>
      <w:hyperlink w:anchor="_Toc268669761" w:history="1">
        <w:r w:rsidRPr="007E0BD7">
          <w:rPr>
            <w:rStyle w:val="Hyperlink"/>
            <w:rFonts w:ascii="Calibri" w:hAnsi="Calibri"/>
            <w:noProof/>
            <w:lang w:bidi="en-US"/>
          </w:rPr>
          <w:t>9</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Empirical study: Influence of investor protection on Income Smoothing</w:t>
        </w:r>
        <w:r>
          <w:rPr>
            <w:noProof/>
            <w:webHidden/>
          </w:rPr>
          <w:tab/>
        </w:r>
        <w:r>
          <w:rPr>
            <w:noProof/>
            <w:webHidden/>
          </w:rPr>
          <w:fldChar w:fldCharType="begin"/>
        </w:r>
        <w:r>
          <w:rPr>
            <w:noProof/>
            <w:webHidden/>
          </w:rPr>
          <w:instrText xml:space="preserve"> PAGEREF _Toc268669761 \h </w:instrText>
        </w:r>
        <w:r>
          <w:rPr>
            <w:noProof/>
            <w:webHidden/>
          </w:rPr>
        </w:r>
        <w:r>
          <w:rPr>
            <w:noProof/>
            <w:webHidden/>
          </w:rPr>
          <w:fldChar w:fldCharType="separate"/>
        </w:r>
        <w:r w:rsidR="000313AE">
          <w:rPr>
            <w:noProof/>
            <w:webHidden/>
          </w:rPr>
          <w:t>55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2" w:history="1">
        <w:r w:rsidRPr="007E0BD7">
          <w:rPr>
            <w:rStyle w:val="Hyperlink"/>
            <w:rFonts w:ascii="Calibri" w:hAnsi="Calibri"/>
            <w:noProof/>
            <w:lang w:bidi="en-US"/>
          </w:rPr>
          <w:t>9.1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Introduction</w:t>
        </w:r>
        <w:r>
          <w:rPr>
            <w:noProof/>
            <w:webHidden/>
          </w:rPr>
          <w:tab/>
        </w:r>
        <w:r>
          <w:rPr>
            <w:noProof/>
            <w:webHidden/>
          </w:rPr>
          <w:fldChar w:fldCharType="begin"/>
        </w:r>
        <w:r>
          <w:rPr>
            <w:noProof/>
            <w:webHidden/>
          </w:rPr>
          <w:instrText xml:space="preserve"> PAGEREF _Toc268669762 \h </w:instrText>
        </w:r>
        <w:r>
          <w:rPr>
            <w:noProof/>
            <w:webHidden/>
          </w:rPr>
        </w:r>
        <w:r>
          <w:rPr>
            <w:noProof/>
            <w:webHidden/>
          </w:rPr>
          <w:fldChar w:fldCharType="separate"/>
        </w:r>
        <w:r w:rsidR="000313AE">
          <w:rPr>
            <w:noProof/>
            <w:webHidden/>
          </w:rPr>
          <w:t>55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3" w:history="1">
        <w:r w:rsidRPr="007E0BD7">
          <w:rPr>
            <w:rStyle w:val="Hyperlink"/>
            <w:rFonts w:ascii="Calibri" w:hAnsi="Calibri"/>
            <w:noProof/>
            <w:lang w:bidi="en-US"/>
          </w:rPr>
          <w:t>9.2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Hypotheses</w:t>
        </w:r>
        <w:r>
          <w:rPr>
            <w:noProof/>
            <w:webHidden/>
          </w:rPr>
          <w:tab/>
        </w:r>
        <w:r>
          <w:rPr>
            <w:noProof/>
            <w:webHidden/>
          </w:rPr>
          <w:fldChar w:fldCharType="begin"/>
        </w:r>
        <w:r>
          <w:rPr>
            <w:noProof/>
            <w:webHidden/>
          </w:rPr>
          <w:instrText xml:space="preserve"> PAGEREF _Toc268669763 \h </w:instrText>
        </w:r>
        <w:r>
          <w:rPr>
            <w:noProof/>
            <w:webHidden/>
          </w:rPr>
        </w:r>
        <w:r>
          <w:rPr>
            <w:noProof/>
            <w:webHidden/>
          </w:rPr>
          <w:fldChar w:fldCharType="separate"/>
        </w:r>
        <w:r w:rsidR="000313AE">
          <w:rPr>
            <w:noProof/>
            <w:webHidden/>
          </w:rPr>
          <w:t>55</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4" w:history="1">
        <w:r w:rsidRPr="007E0BD7">
          <w:rPr>
            <w:rStyle w:val="Hyperlink"/>
            <w:rFonts w:ascii="Calibri" w:hAnsi="Calibri"/>
            <w:noProof/>
            <w:lang w:bidi="en-US"/>
          </w:rPr>
          <w:t>9.3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Sample</w:t>
        </w:r>
        <w:r>
          <w:rPr>
            <w:noProof/>
            <w:webHidden/>
          </w:rPr>
          <w:tab/>
        </w:r>
        <w:r>
          <w:rPr>
            <w:noProof/>
            <w:webHidden/>
          </w:rPr>
          <w:fldChar w:fldCharType="begin"/>
        </w:r>
        <w:r>
          <w:rPr>
            <w:noProof/>
            <w:webHidden/>
          </w:rPr>
          <w:instrText xml:space="preserve"> PAGEREF _Toc268669764 \h </w:instrText>
        </w:r>
        <w:r>
          <w:rPr>
            <w:noProof/>
            <w:webHidden/>
          </w:rPr>
        </w:r>
        <w:r>
          <w:rPr>
            <w:noProof/>
            <w:webHidden/>
          </w:rPr>
          <w:fldChar w:fldCharType="separate"/>
        </w:r>
        <w:r w:rsidR="000313AE">
          <w:rPr>
            <w:noProof/>
            <w:webHidden/>
          </w:rPr>
          <w:t>56</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5" w:history="1">
        <w:r w:rsidRPr="007E0BD7">
          <w:rPr>
            <w:rStyle w:val="Hyperlink"/>
            <w:rFonts w:ascii="Calibri" w:hAnsi="Calibri"/>
            <w:noProof/>
            <w:lang w:bidi="en-US"/>
          </w:rPr>
          <w:t>9.4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Descriptive statistics</w:t>
        </w:r>
        <w:r>
          <w:rPr>
            <w:noProof/>
            <w:webHidden/>
          </w:rPr>
          <w:tab/>
        </w:r>
        <w:r>
          <w:rPr>
            <w:noProof/>
            <w:webHidden/>
          </w:rPr>
          <w:fldChar w:fldCharType="begin"/>
        </w:r>
        <w:r>
          <w:rPr>
            <w:noProof/>
            <w:webHidden/>
          </w:rPr>
          <w:instrText xml:space="preserve"> PAGEREF _Toc268669765 \h </w:instrText>
        </w:r>
        <w:r>
          <w:rPr>
            <w:noProof/>
            <w:webHidden/>
          </w:rPr>
        </w:r>
        <w:r>
          <w:rPr>
            <w:noProof/>
            <w:webHidden/>
          </w:rPr>
          <w:fldChar w:fldCharType="separate"/>
        </w:r>
        <w:r w:rsidR="000313AE">
          <w:rPr>
            <w:noProof/>
            <w:webHidden/>
          </w:rPr>
          <w:t>56</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6" w:history="1">
        <w:r w:rsidRPr="007E0BD7">
          <w:rPr>
            <w:rStyle w:val="Hyperlink"/>
            <w:rFonts w:ascii="Calibri" w:hAnsi="Calibri"/>
            <w:noProof/>
            <w:lang w:bidi="en-US"/>
          </w:rPr>
          <w:t>9.5</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Income smoothing measures</w:t>
        </w:r>
        <w:r>
          <w:rPr>
            <w:noProof/>
            <w:webHidden/>
          </w:rPr>
          <w:tab/>
        </w:r>
        <w:r>
          <w:rPr>
            <w:noProof/>
            <w:webHidden/>
          </w:rPr>
          <w:fldChar w:fldCharType="begin"/>
        </w:r>
        <w:r>
          <w:rPr>
            <w:noProof/>
            <w:webHidden/>
          </w:rPr>
          <w:instrText xml:space="preserve"> PAGEREF _Toc268669766 \h </w:instrText>
        </w:r>
        <w:r>
          <w:rPr>
            <w:noProof/>
            <w:webHidden/>
          </w:rPr>
        </w:r>
        <w:r>
          <w:rPr>
            <w:noProof/>
            <w:webHidden/>
          </w:rPr>
          <w:fldChar w:fldCharType="separate"/>
        </w:r>
        <w:r w:rsidR="000313AE">
          <w:rPr>
            <w:noProof/>
            <w:webHidden/>
          </w:rPr>
          <w:t>58</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7" w:history="1">
        <w:r w:rsidRPr="007E0BD7">
          <w:rPr>
            <w:rStyle w:val="Hyperlink"/>
            <w:rFonts w:ascii="Calibri" w:hAnsi="Calibri"/>
            <w:noProof/>
            <w:lang w:bidi="en-US"/>
          </w:rPr>
          <w:t>9.6</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Cluster analysis</w:t>
        </w:r>
        <w:r>
          <w:rPr>
            <w:noProof/>
            <w:webHidden/>
          </w:rPr>
          <w:tab/>
        </w:r>
        <w:r>
          <w:rPr>
            <w:noProof/>
            <w:webHidden/>
          </w:rPr>
          <w:fldChar w:fldCharType="begin"/>
        </w:r>
        <w:r>
          <w:rPr>
            <w:noProof/>
            <w:webHidden/>
          </w:rPr>
          <w:instrText xml:space="preserve"> PAGEREF _Toc268669767 \h </w:instrText>
        </w:r>
        <w:r>
          <w:rPr>
            <w:noProof/>
            <w:webHidden/>
          </w:rPr>
        </w:r>
        <w:r>
          <w:rPr>
            <w:noProof/>
            <w:webHidden/>
          </w:rPr>
          <w:fldChar w:fldCharType="separate"/>
        </w:r>
        <w:r w:rsidR="000313AE">
          <w:rPr>
            <w:noProof/>
            <w:webHidden/>
          </w:rPr>
          <w:t>60</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68" w:history="1">
        <w:r w:rsidRPr="007E0BD7">
          <w:rPr>
            <w:rStyle w:val="Hyperlink"/>
            <w:rFonts w:ascii="Calibri" w:hAnsi="Calibri"/>
            <w:noProof/>
            <w:lang w:bidi="en-US"/>
          </w:rPr>
          <w:t xml:space="preserve">9.7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Statistical analysis</w:t>
        </w:r>
        <w:r>
          <w:rPr>
            <w:noProof/>
            <w:webHidden/>
          </w:rPr>
          <w:tab/>
        </w:r>
        <w:r>
          <w:rPr>
            <w:noProof/>
            <w:webHidden/>
          </w:rPr>
          <w:fldChar w:fldCharType="begin"/>
        </w:r>
        <w:r>
          <w:rPr>
            <w:noProof/>
            <w:webHidden/>
          </w:rPr>
          <w:instrText xml:space="preserve"> PAGEREF _Toc268669768 \h </w:instrText>
        </w:r>
        <w:r>
          <w:rPr>
            <w:noProof/>
            <w:webHidden/>
          </w:rPr>
        </w:r>
        <w:r>
          <w:rPr>
            <w:noProof/>
            <w:webHidden/>
          </w:rPr>
          <w:fldChar w:fldCharType="separate"/>
        </w:r>
        <w:r w:rsidR="000313AE">
          <w:rPr>
            <w:noProof/>
            <w:webHidden/>
          </w:rPr>
          <w:t>63</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69" w:history="1">
        <w:r w:rsidRPr="007E0BD7">
          <w:rPr>
            <w:rStyle w:val="Hyperlink"/>
            <w:rFonts w:ascii="Calibri" w:hAnsi="Calibri"/>
            <w:noProof/>
            <w:lang w:bidi="en-US"/>
          </w:rPr>
          <w:t>9.7.1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Real income smoothing and artificial income smoothing</w:t>
        </w:r>
        <w:r>
          <w:rPr>
            <w:noProof/>
            <w:webHidden/>
          </w:rPr>
          <w:tab/>
        </w:r>
        <w:r>
          <w:rPr>
            <w:noProof/>
            <w:webHidden/>
          </w:rPr>
          <w:fldChar w:fldCharType="begin"/>
        </w:r>
        <w:r>
          <w:rPr>
            <w:noProof/>
            <w:webHidden/>
          </w:rPr>
          <w:instrText xml:space="preserve"> PAGEREF _Toc268669769 \h </w:instrText>
        </w:r>
        <w:r>
          <w:rPr>
            <w:noProof/>
            <w:webHidden/>
          </w:rPr>
        </w:r>
        <w:r>
          <w:rPr>
            <w:noProof/>
            <w:webHidden/>
          </w:rPr>
          <w:fldChar w:fldCharType="separate"/>
        </w:r>
        <w:r w:rsidR="000313AE">
          <w:rPr>
            <w:noProof/>
            <w:webHidden/>
          </w:rPr>
          <w:t>63</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70" w:history="1">
        <w:r w:rsidRPr="007E0BD7">
          <w:rPr>
            <w:rStyle w:val="Hyperlink"/>
            <w:rFonts w:ascii="Calibri" w:hAnsi="Calibri"/>
            <w:noProof/>
            <w:lang w:bidi="en-US"/>
          </w:rPr>
          <w:t>9.7.2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Aggregate income smoothing</w:t>
        </w:r>
        <w:r>
          <w:rPr>
            <w:noProof/>
            <w:webHidden/>
          </w:rPr>
          <w:tab/>
        </w:r>
        <w:r>
          <w:rPr>
            <w:noProof/>
            <w:webHidden/>
          </w:rPr>
          <w:fldChar w:fldCharType="begin"/>
        </w:r>
        <w:r>
          <w:rPr>
            <w:noProof/>
            <w:webHidden/>
          </w:rPr>
          <w:instrText xml:space="preserve"> PAGEREF _Toc268669770 \h </w:instrText>
        </w:r>
        <w:r>
          <w:rPr>
            <w:noProof/>
            <w:webHidden/>
          </w:rPr>
        </w:r>
        <w:r>
          <w:rPr>
            <w:noProof/>
            <w:webHidden/>
          </w:rPr>
          <w:fldChar w:fldCharType="separate"/>
        </w:r>
        <w:r w:rsidR="000313AE">
          <w:rPr>
            <w:noProof/>
            <w:webHidden/>
          </w:rPr>
          <w:t>64</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71" w:history="1">
        <w:r w:rsidRPr="007E0BD7">
          <w:rPr>
            <w:rStyle w:val="Hyperlink"/>
            <w:rFonts w:ascii="Calibri" w:hAnsi="Calibri"/>
            <w:noProof/>
            <w:lang w:bidi="en-US"/>
          </w:rPr>
          <w:t>9.7.2.1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Correlation matrix</w:t>
        </w:r>
        <w:r>
          <w:rPr>
            <w:noProof/>
            <w:webHidden/>
          </w:rPr>
          <w:tab/>
        </w:r>
        <w:r>
          <w:rPr>
            <w:noProof/>
            <w:webHidden/>
          </w:rPr>
          <w:fldChar w:fldCharType="begin"/>
        </w:r>
        <w:r>
          <w:rPr>
            <w:noProof/>
            <w:webHidden/>
          </w:rPr>
          <w:instrText xml:space="preserve"> PAGEREF _Toc268669771 \h </w:instrText>
        </w:r>
        <w:r>
          <w:rPr>
            <w:noProof/>
            <w:webHidden/>
          </w:rPr>
        </w:r>
        <w:r>
          <w:rPr>
            <w:noProof/>
            <w:webHidden/>
          </w:rPr>
          <w:fldChar w:fldCharType="separate"/>
        </w:r>
        <w:r w:rsidR="000313AE">
          <w:rPr>
            <w:noProof/>
            <w:webHidden/>
          </w:rPr>
          <w:t>65</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72" w:history="1">
        <w:r w:rsidRPr="007E0BD7">
          <w:rPr>
            <w:rStyle w:val="Hyperlink"/>
            <w:rFonts w:ascii="Calibri" w:hAnsi="Calibri"/>
            <w:noProof/>
            <w:lang w:bidi="en-US"/>
          </w:rPr>
          <w:t>9.7.2.2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 xml:space="preserve"> Regression analysis</w:t>
        </w:r>
        <w:r>
          <w:rPr>
            <w:noProof/>
            <w:webHidden/>
          </w:rPr>
          <w:tab/>
        </w:r>
        <w:r>
          <w:rPr>
            <w:noProof/>
            <w:webHidden/>
          </w:rPr>
          <w:fldChar w:fldCharType="begin"/>
        </w:r>
        <w:r>
          <w:rPr>
            <w:noProof/>
            <w:webHidden/>
          </w:rPr>
          <w:instrText xml:space="preserve"> PAGEREF _Toc268669772 \h </w:instrText>
        </w:r>
        <w:r>
          <w:rPr>
            <w:noProof/>
            <w:webHidden/>
          </w:rPr>
        </w:r>
        <w:r>
          <w:rPr>
            <w:noProof/>
            <w:webHidden/>
          </w:rPr>
          <w:fldChar w:fldCharType="separate"/>
        </w:r>
        <w:r w:rsidR="000313AE">
          <w:rPr>
            <w:noProof/>
            <w:webHidden/>
          </w:rPr>
          <w:t>66</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73" w:history="1">
        <w:r w:rsidRPr="007E0BD7">
          <w:rPr>
            <w:rStyle w:val="Hyperlink"/>
            <w:rFonts w:ascii="Calibri" w:hAnsi="Calibri"/>
            <w:noProof/>
            <w:lang w:bidi="en-US"/>
          </w:rPr>
          <w:t>9. 8</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Model assumptions</w:t>
        </w:r>
        <w:r>
          <w:rPr>
            <w:noProof/>
            <w:webHidden/>
          </w:rPr>
          <w:tab/>
        </w:r>
        <w:r>
          <w:rPr>
            <w:noProof/>
            <w:webHidden/>
          </w:rPr>
          <w:fldChar w:fldCharType="begin"/>
        </w:r>
        <w:r>
          <w:rPr>
            <w:noProof/>
            <w:webHidden/>
          </w:rPr>
          <w:instrText xml:space="preserve"> PAGEREF _Toc268669773 \h </w:instrText>
        </w:r>
        <w:r>
          <w:rPr>
            <w:noProof/>
            <w:webHidden/>
          </w:rPr>
        </w:r>
        <w:r>
          <w:rPr>
            <w:noProof/>
            <w:webHidden/>
          </w:rPr>
          <w:fldChar w:fldCharType="separate"/>
        </w:r>
        <w:r w:rsidR="000313AE">
          <w:rPr>
            <w:noProof/>
            <w:webHidden/>
          </w:rPr>
          <w:t>67</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74" w:history="1">
        <w:r w:rsidRPr="007E0BD7">
          <w:rPr>
            <w:rStyle w:val="Hyperlink"/>
            <w:rFonts w:ascii="Calibri" w:hAnsi="Calibri"/>
            <w:noProof/>
            <w:lang w:bidi="en-US"/>
          </w:rPr>
          <w:t xml:space="preserve">9.9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Results and Discussion</w:t>
        </w:r>
        <w:r>
          <w:rPr>
            <w:noProof/>
            <w:webHidden/>
          </w:rPr>
          <w:tab/>
        </w:r>
        <w:r>
          <w:rPr>
            <w:noProof/>
            <w:webHidden/>
          </w:rPr>
          <w:fldChar w:fldCharType="begin"/>
        </w:r>
        <w:r>
          <w:rPr>
            <w:noProof/>
            <w:webHidden/>
          </w:rPr>
          <w:instrText xml:space="preserve"> PAGEREF _Toc268669774 \h </w:instrText>
        </w:r>
        <w:r>
          <w:rPr>
            <w:noProof/>
            <w:webHidden/>
          </w:rPr>
        </w:r>
        <w:r>
          <w:rPr>
            <w:noProof/>
            <w:webHidden/>
          </w:rPr>
          <w:fldChar w:fldCharType="separate"/>
        </w:r>
        <w:r w:rsidR="000313AE">
          <w:rPr>
            <w:noProof/>
            <w:webHidden/>
          </w:rPr>
          <w:t>70</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75" w:history="1">
        <w:r w:rsidRPr="007E0BD7">
          <w:rPr>
            <w:rStyle w:val="Hyperlink"/>
            <w:rFonts w:ascii="Calibri" w:hAnsi="Calibri"/>
            <w:noProof/>
            <w:lang w:bidi="en-US"/>
          </w:rPr>
          <w:t xml:space="preserve">10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Empirical study: Income smoothing in the pre-IFRS and post-IFRS period</w:t>
        </w:r>
        <w:r>
          <w:rPr>
            <w:noProof/>
            <w:webHidden/>
          </w:rPr>
          <w:tab/>
        </w:r>
        <w:r>
          <w:rPr>
            <w:noProof/>
            <w:webHidden/>
          </w:rPr>
          <w:fldChar w:fldCharType="begin"/>
        </w:r>
        <w:r>
          <w:rPr>
            <w:noProof/>
            <w:webHidden/>
          </w:rPr>
          <w:instrText xml:space="preserve"> PAGEREF _Toc268669775 \h </w:instrText>
        </w:r>
        <w:r>
          <w:rPr>
            <w:noProof/>
            <w:webHidden/>
          </w:rPr>
        </w:r>
        <w:r>
          <w:rPr>
            <w:noProof/>
            <w:webHidden/>
          </w:rPr>
          <w:fldChar w:fldCharType="separate"/>
        </w:r>
        <w:r w:rsidR="000313AE">
          <w:rPr>
            <w:noProof/>
            <w:webHidden/>
          </w:rPr>
          <w:t>74</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76" w:history="1">
        <w:r w:rsidRPr="007E0BD7">
          <w:rPr>
            <w:rStyle w:val="Hyperlink"/>
            <w:rFonts w:ascii="Calibri" w:hAnsi="Calibri"/>
            <w:noProof/>
            <w:lang w:bidi="en-US"/>
          </w:rPr>
          <w:t>10.1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Introduction</w:t>
        </w:r>
        <w:r>
          <w:rPr>
            <w:noProof/>
            <w:webHidden/>
          </w:rPr>
          <w:tab/>
        </w:r>
        <w:r>
          <w:rPr>
            <w:noProof/>
            <w:webHidden/>
          </w:rPr>
          <w:fldChar w:fldCharType="begin"/>
        </w:r>
        <w:r>
          <w:rPr>
            <w:noProof/>
            <w:webHidden/>
          </w:rPr>
          <w:instrText xml:space="preserve"> PAGEREF _Toc268669776 \h </w:instrText>
        </w:r>
        <w:r>
          <w:rPr>
            <w:noProof/>
            <w:webHidden/>
          </w:rPr>
        </w:r>
        <w:r>
          <w:rPr>
            <w:noProof/>
            <w:webHidden/>
          </w:rPr>
          <w:fldChar w:fldCharType="separate"/>
        </w:r>
        <w:r w:rsidR="000313AE">
          <w:rPr>
            <w:noProof/>
            <w:webHidden/>
          </w:rPr>
          <w:t>74</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77" w:history="1">
        <w:r w:rsidRPr="007E0BD7">
          <w:rPr>
            <w:rStyle w:val="Hyperlink"/>
            <w:rFonts w:ascii="Calibri" w:hAnsi="Calibri"/>
            <w:noProof/>
            <w:lang w:bidi="en-US"/>
          </w:rPr>
          <w:t>10.2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Income smoothing in the pre-IFRS period</w:t>
        </w:r>
        <w:r>
          <w:rPr>
            <w:noProof/>
            <w:webHidden/>
          </w:rPr>
          <w:tab/>
        </w:r>
        <w:r>
          <w:rPr>
            <w:noProof/>
            <w:webHidden/>
          </w:rPr>
          <w:fldChar w:fldCharType="begin"/>
        </w:r>
        <w:r>
          <w:rPr>
            <w:noProof/>
            <w:webHidden/>
          </w:rPr>
          <w:instrText xml:space="preserve"> PAGEREF _Toc268669777 \h </w:instrText>
        </w:r>
        <w:r>
          <w:rPr>
            <w:noProof/>
            <w:webHidden/>
          </w:rPr>
        </w:r>
        <w:r>
          <w:rPr>
            <w:noProof/>
            <w:webHidden/>
          </w:rPr>
          <w:fldChar w:fldCharType="separate"/>
        </w:r>
        <w:r w:rsidR="000313AE">
          <w:rPr>
            <w:noProof/>
            <w:webHidden/>
          </w:rPr>
          <w:t>75</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78" w:history="1">
        <w:r w:rsidRPr="007E0BD7">
          <w:rPr>
            <w:rStyle w:val="Hyperlink"/>
            <w:rFonts w:ascii="Calibri" w:hAnsi="Calibri"/>
            <w:noProof/>
            <w:lang w:bidi="en-US"/>
          </w:rPr>
          <w:t>10.3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Income smoothing in the post-IFRS period</w:t>
        </w:r>
        <w:r>
          <w:rPr>
            <w:noProof/>
            <w:webHidden/>
          </w:rPr>
          <w:tab/>
        </w:r>
        <w:r>
          <w:rPr>
            <w:noProof/>
            <w:webHidden/>
          </w:rPr>
          <w:fldChar w:fldCharType="begin"/>
        </w:r>
        <w:r>
          <w:rPr>
            <w:noProof/>
            <w:webHidden/>
          </w:rPr>
          <w:instrText xml:space="preserve"> PAGEREF _Toc268669778 \h </w:instrText>
        </w:r>
        <w:r>
          <w:rPr>
            <w:noProof/>
            <w:webHidden/>
          </w:rPr>
        </w:r>
        <w:r>
          <w:rPr>
            <w:noProof/>
            <w:webHidden/>
          </w:rPr>
          <w:fldChar w:fldCharType="separate"/>
        </w:r>
        <w:r w:rsidR="000313AE">
          <w:rPr>
            <w:noProof/>
            <w:webHidden/>
          </w:rPr>
          <w:t>77</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79" w:history="1">
        <w:r w:rsidRPr="007E0BD7">
          <w:rPr>
            <w:rStyle w:val="Hyperlink"/>
            <w:rFonts w:ascii="Calibri" w:hAnsi="Calibri"/>
            <w:noProof/>
            <w:lang w:bidi="en-US"/>
          </w:rPr>
          <w:t>10.4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Statistical analysis</w:t>
        </w:r>
        <w:r>
          <w:rPr>
            <w:noProof/>
            <w:webHidden/>
          </w:rPr>
          <w:tab/>
        </w:r>
        <w:r>
          <w:rPr>
            <w:noProof/>
            <w:webHidden/>
          </w:rPr>
          <w:fldChar w:fldCharType="begin"/>
        </w:r>
        <w:r>
          <w:rPr>
            <w:noProof/>
            <w:webHidden/>
          </w:rPr>
          <w:instrText xml:space="preserve"> PAGEREF _Toc268669779 \h </w:instrText>
        </w:r>
        <w:r>
          <w:rPr>
            <w:noProof/>
            <w:webHidden/>
          </w:rPr>
        </w:r>
        <w:r>
          <w:rPr>
            <w:noProof/>
            <w:webHidden/>
          </w:rPr>
          <w:fldChar w:fldCharType="separate"/>
        </w:r>
        <w:r w:rsidR="000313AE">
          <w:rPr>
            <w:noProof/>
            <w:webHidden/>
          </w:rPr>
          <w:t>78</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80" w:history="1">
        <w:r w:rsidRPr="007E0BD7">
          <w:rPr>
            <w:rStyle w:val="Hyperlink"/>
            <w:rFonts w:ascii="Calibri" w:hAnsi="Calibri"/>
            <w:noProof/>
            <w:lang w:bidi="en-US"/>
          </w:rPr>
          <w:t>10.4.1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Correlation matrix pre-IFRS period</w:t>
        </w:r>
        <w:r>
          <w:rPr>
            <w:noProof/>
            <w:webHidden/>
          </w:rPr>
          <w:tab/>
        </w:r>
        <w:r>
          <w:rPr>
            <w:noProof/>
            <w:webHidden/>
          </w:rPr>
          <w:fldChar w:fldCharType="begin"/>
        </w:r>
        <w:r>
          <w:rPr>
            <w:noProof/>
            <w:webHidden/>
          </w:rPr>
          <w:instrText xml:space="preserve"> PAGEREF _Toc268669780 \h </w:instrText>
        </w:r>
        <w:r>
          <w:rPr>
            <w:noProof/>
            <w:webHidden/>
          </w:rPr>
        </w:r>
        <w:r>
          <w:rPr>
            <w:noProof/>
            <w:webHidden/>
          </w:rPr>
          <w:fldChar w:fldCharType="separate"/>
        </w:r>
        <w:r w:rsidR="000313AE">
          <w:rPr>
            <w:noProof/>
            <w:webHidden/>
          </w:rPr>
          <w:t>78</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81" w:history="1">
        <w:r w:rsidRPr="007E0BD7">
          <w:rPr>
            <w:rStyle w:val="Hyperlink"/>
            <w:rFonts w:ascii="Calibri" w:hAnsi="Calibri"/>
            <w:noProof/>
            <w:lang w:bidi="en-US"/>
          </w:rPr>
          <w:t>10.4.2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Regression analysis pre-IFRS period</w:t>
        </w:r>
        <w:r>
          <w:rPr>
            <w:noProof/>
            <w:webHidden/>
          </w:rPr>
          <w:tab/>
        </w:r>
        <w:r>
          <w:rPr>
            <w:noProof/>
            <w:webHidden/>
          </w:rPr>
          <w:fldChar w:fldCharType="begin"/>
        </w:r>
        <w:r>
          <w:rPr>
            <w:noProof/>
            <w:webHidden/>
          </w:rPr>
          <w:instrText xml:space="preserve"> PAGEREF _Toc268669781 \h </w:instrText>
        </w:r>
        <w:r>
          <w:rPr>
            <w:noProof/>
            <w:webHidden/>
          </w:rPr>
        </w:r>
        <w:r>
          <w:rPr>
            <w:noProof/>
            <w:webHidden/>
          </w:rPr>
          <w:fldChar w:fldCharType="separate"/>
        </w:r>
        <w:r w:rsidR="000313AE">
          <w:rPr>
            <w:noProof/>
            <w:webHidden/>
          </w:rPr>
          <w:t>78</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82" w:history="1">
        <w:r w:rsidRPr="007E0BD7">
          <w:rPr>
            <w:rStyle w:val="Hyperlink"/>
            <w:rFonts w:ascii="Calibri" w:hAnsi="Calibri"/>
            <w:noProof/>
            <w:lang w:bidi="en-US"/>
          </w:rPr>
          <w:t>10.4.3</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Correlation matrix post-IFRS period</w:t>
        </w:r>
        <w:r>
          <w:rPr>
            <w:noProof/>
            <w:webHidden/>
          </w:rPr>
          <w:tab/>
        </w:r>
        <w:r>
          <w:rPr>
            <w:noProof/>
            <w:webHidden/>
          </w:rPr>
          <w:fldChar w:fldCharType="begin"/>
        </w:r>
        <w:r>
          <w:rPr>
            <w:noProof/>
            <w:webHidden/>
          </w:rPr>
          <w:instrText xml:space="preserve"> PAGEREF _Toc268669782 \h </w:instrText>
        </w:r>
        <w:r>
          <w:rPr>
            <w:noProof/>
            <w:webHidden/>
          </w:rPr>
        </w:r>
        <w:r>
          <w:rPr>
            <w:noProof/>
            <w:webHidden/>
          </w:rPr>
          <w:fldChar w:fldCharType="separate"/>
        </w:r>
        <w:r w:rsidR="000313AE">
          <w:rPr>
            <w:noProof/>
            <w:webHidden/>
          </w:rPr>
          <w:t>79</w:t>
        </w:r>
        <w:r>
          <w:rPr>
            <w:noProof/>
            <w:webHidden/>
          </w:rPr>
          <w:fldChar w:fldCharType="end"/>
        </w:r>
      </w:hyperlink>
    </w:p>
    <w:p w:rsidR="002A44CA" w:rsidRDefault="002A44CA">
      <w:pPr>
        <w:pStyle w:val="TOC4"/>
        <w:tabs>
          <w:tab w:val="left" w:pos="1760"/>
          <w:tab w:val="right" w:leader="dot" w:pos="8722"/>
        </w:tabs>
        <w:rPr>
          <w:rFonts w:asciiTheme="minorHAnsi" w:eastAsiaTheme="minorEastAsia" w:hAnsiTheme="minorHAnsi" w:cstheme="minorBidi"/>
          <w:noProof/>
          <w:sz w:val="22"/>
          <w:szCs w:val="22"/>
          <w:lang w:val="en-US" w:eastAsia="en-US"/>
        </w:rPr>
      </w:pPr>
      <w:hyperlink w:anchor="_Toc268669783" w:history="1">
        <w:r w:rsidRPr="007E0BD7">
          <w:rPr>
            <w:rStyle w:val="Hyperlink"/>
            <w:rFonts w:ascii="Calibri" w:hAnsi="Calibri"/>
            <w:noProof/>
            <w:lang w:bidi="en-US"/>
          </w:rPr>
          <w:t>10.4.4</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Regression analysis post-IFRS period</w:t>
        </w:r>
        <w:r>
          <w:rPr>
            <w:noProof/>
            <w:webHidden/>
          </w:rPr>
          <w:tab/>
        </w:r>
        <w:r>
          <w:rPr>
            <w:noProof/>
            <w:webHidden/>
          </w:rPr>
          <w:fldChar w:fldCharType="begin"/>
        </w:r>
        <w:r>
          <w:rPr>
            <w:noProof/>
            <w:webHidden/>
          </w:rPr>
          <w:instrText xml:space="preserve"> PAGEREF _Toc268669783 \h </w:instrText>
        </w:r>
        <w:r>
          <w:rPr>
            <w:noProof/>
            <w:webHidden/>
          </w:rPr>
        </w:r>
        <w:r>
          <w:rPr>
            <w:noProof/>
            <w:webHidden/>
          </w:rPr>
          <w:fldChar w:fldCharType="separate"/>
        </w:r>
        <w:r w:rsidR="000313AE">
          <w:rPr>
            <w:noProof/>
            <w:webHidden/>
          </w:rPr>
          <w:t>79</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84" w:history="1">
        <w:r w:rsidRPr="007E0BD7">
          <w:rPr>
            <w:rStyle w:val="Hyperlink"/>
            <w:rFonts w:ascii="Calibri" w:hAnsi="Calibri"/>
            <w:noProof/>
            <w:lang w:bidi="en-US"/>
          </w:rPr>
          <w:t>10.5</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Results and Conclusions</w:t>
        </w:r>
        <w:r>
          <w:rPr>
            <w:noProof/>
            <w:webHidden/>
          </w:rPr>
          <w:tab/>
        </w:r>
        <w:r>
          <w:rPr>
            <w:noProof/>
            <w:webHidden/>
          </w:rPr>
          <w:fldChar w:fldCharType="begin"/>
        </w:r>
        <w:r>
          <w:rPr>
            <w:noProof/>
            <w:webHidden/>
          </w:rPr>
          <w:instrText xml:space="preserve"> PAGEREF _Toc268669784 \h </w:instrText>
        </w:r>
        <w:r>
          <w:rPr>
            <w:noProof/>
            <w:webHidden/>
          </w:rPr>
        </w:r>
        <w:r>
          <w:rPr>
            <w:noProof/>
            <w:webHidden/>
          </w:rPr>
          <w:fldChar w:fldCharType="separate"/>
        </w:r>
        <w:r w:rsidR="000313AE">
          <w:rPr>
            <w:noProof/>
            <w:webHidden/>
          </w:rPr>
          <w:t>79</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85" w:history="1">
        <w:r w:rsidRPr="007E0BD7">
          <w:rPr>
            <w:rStyle w:val="Hyperlink"/>
            <w:rFonts w:ascii="Calibri" w:hAnsi="Calibri"/>
            <w:noProof/>
            <w:lang w:bidi="en-US"/>
          </w:rPr>
          <w:t>11.1</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Limitations</w:t>
        </w:r>
        <w:r>
          <w:rPr>
            <w:noProof/>
            <w:webHidden/>
          </w:rPr>
          <w:tab/>
        </w:r>
        <w:r>
          <w:rPr>
            <w:noProof/>
            <w:webHidden/>
          </w:rPr>
          <w:fldChar w:fldCharType="begin"/>
        </w:r>
        <w:r>
          <w:rPr>
            <w:noProof/>
            <w:webHidden/>
          </w:rPr>
          <w:instrText xml:space="preserve"> PAGEREF _Toc268669785 \h </w:instrText>
        </w:r>
        <w:r>
          <w:rPr>
            <w:noProof/>
            <w:webHidden/>
          </w:rPr>
        </w:r>
        <w:r>
          <w:rPr>
            <w:noProof/>
            <w:webHidden/>
          </w:rPr>
          <w:fldChar w:fldCharType="separate"/>
        </w:r>
        <w:r w:rsidR="000313AE">
          <w:rPr>
            <w:noProof/>
            <w:webHidden/>
          </w:rPr>
          <w:t>81</w:t>
        </w:r>
        <w:r>
          <w:rPr>
            <w:noProof/>
            <w:webHidden/>
          </w:rPr>
          <w:fldChar w:fldCharType="end"/>
        </w:r>
      </w:hyperlink>
    </w:p>
    <w:p w:rsidR="002A44CA" w:rsidRDefault="002A44CA">
      <w:pPr>
        <w:pStyle w:val="TOC4"/>
        <w:tabs>
          <w:tab w:val="left" w:pos="1540"/>
          <w:tab w:val="right" w:leader="dot" w:pos="8722"/>
        </w:tabs>
        <w:rPr>
          <w:rFonts w:asciiTheme="minorHAnsi" w:eastAsiaTheme="minorEastAsia" w:hAnsiTheme="minorHAnsi" w:cstheme="minorBidi"/>
          <w:noProof/>
          <w:sz w:val="22"/>
          <w:szCs w:val="22"/>
          <w:lang w:val="en-US" w:eastAsia="en-US"/>
        </w:rPr>
      </w:pPr>
      <w:hyperlink w:anchor="_Toc268669786" w:history="1">
        <w:r w:rsidRPr="007E0BD7">
          <w:rPr>
            <w:rStyle w:val="Hyperlink"/>
            <w:rFonts w:ascii="Calibri" w:hAnsi="Calibri"/>
            <w:noProof/>
            <w:lang w:bidi="en-US"/>
          </w:rPr>
          <w:t xml:space="preserve">11.2 </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Suggestions for further research</w:t>
        </w:r>
        <w:r>
          <w:rPr>
            <w:noProof/>
            <w:webHidden/>
          </w:rPr>
          <w:tab/>
        </w:r>
        <w:r>
          <w:rPr>
            <w:noProof/>
            <w:webHidden/>
          </w:rPr>
          <w:fldChar w:fldCharType="begin"/>
        </w:r>
        <w:r>
          <w:rPr>
            <w:noProof/>
            <w:webHidden/>
          </w:rPr>
          <w:instrText xml:space="preserve"> PAGEREF _Toc268669786 \h </w:instrText>
        </w:r>
        <w:r>
          <w:rPr>
            <w:noProof/>
            <w:webHidden/>
          </w:rPr>
        </w:r>
        <w:r>
          <w:rPr>
            <w:noProof/>
            <w:webHidden/>
          </w:rPr>
          <w:fldChar w:fldCharType="separate"/>
        </w:r>
        <w:r w:rsidR="000313AE">
          <w:rPr>
            <w:noProof/>
            <w:webHidden/>
          </w:rPr>
          <w:t>82</w:t>
        </w:r>
        <w:r>
          <w:rPr>
            <w:noProof/>
            <w:webHidden/>
          </w:rPr>
          <w:fldChar w:fldCharType="end"/>
        </w:r>
      </w:hyperlink>
    </w:p>
    <w:p w:rsidR="002A44CA" w:rsidRDefault="002A44CA">
      <w:pPr>
        <w:pStyle w:val="TOC4"/>
        <w:tabs>
          <w:tab w:val="left" w:pos="1320"/>
          <w:tab w:val="right" w:leader="dot" w:pos="8722"/>
        </w:tabs>
        <w:rPr>
          <w:rFonts w:asciiTheme="minorHAnsi" w:eastAsiaTheme="minorEastAsia" w:hAnsiTheme="minorHAnsi" w:cstheme="minorBidi"/>
          <w:noProof/>
          <w:sz w:val="22"/>
          <w:szCs w:val="22"/>
          <w:lang w:val="en-US" w:eastAsia="en-US"/>
        </w:rPr>
      </w:pPr>
      <w:hyperlink w:anchor="_Toc268669787" w:history="1">
        <w:r w:rsidRPr="007E0BD7">
          <w:rPr>
            <w:rStyle w:val="Hyperlink"/>
            <w:rFonts w:ascii="Calibri" w:hAnsi="Calibri"/>
            <w:noProof/>
            <w:lang w:bidi="en-US"/>
          </w:rPr>
          <w:t>12</w:t>
        </w:r>
        <w:r>
          <w:rPr>
            <w:rFonts w:asciiTheme="minorHAnsi" w:eastAsiaTheme="minorEastAsia" w:hAnsiTheme="minorHAnsi" w:cstheme="minorBidi"/>
            <w:noProof/>
            <w:sz w:val="22"/>
            <w:szCs w:val="22"/>
            <w:lang w:val="en-US" w:eastAsia="en-US"/>
          </w:rPr>
          <w:tab/>
        </w:r>
        <w:r w:rsidRPr="007E0BD7">
          <w:rPr>
            <w:rStyle w:val="Hyperlink"/>
            <w:rFonts w:ascii="Calibri" w:hAnsi="Calibri"/>
            <w:noProof/>
            <w:lang w:bidi="en-US"/>
          </w:rPr>
          <w:t>Thesis Conclusion</w:t>
        </w:r>
        <w:r>
          <w:rPr>
            <w:noProof/>
            <w:webHidden/>
          </w:rPr>
          <w:tab/>
        </w:r>
        <w:r>
          <w:rPr>
            <w:noProof/>
            <w:webHidden/>
          </w:rPr>
          <w:fldChar w:fldCharType="begin"/>
        </w:r>
        <w:r>
          <w:rPr>
            <w:noProof/>
            <w:webHidden/>
          </w:rPr>
          <w:instrText xml:space="preserve"> PAGEREF _Toc268669787 \h </w:instrText>
        </w:r>
        <w:r>
          <w:rPr>
            <w:noProof/>
            <w:webHidden/>
          </w:rPr>
        </w:r>
        <w:r>
          <w:rPr>
            <w:noProof/>
            <w:webHidden/>
          </w:rPr>
          <w:fldChar w:fldCharType="separate"/>
        </w:r>
        <w:r w:rsidR="000313AE">
          <w:rPr>
            <w:noProof/>
            <w:webHidden/>
          </w:rPr>
          <w:t>83</w:t>
        </w:r>
        <w:r>
          <w:rPr>
            <w:noProof/>
            <w:webHidden/>
          </w:rPr>
          <w:fldChar w:fldCharType="end"/>
        </w:r>
      </w:hyperlink>
    </w:p>
    <w:p w:rsidR="002A44CA" w:rsidRDefault="002A44CA">
      <w:pPr>
        <w:pStyle w:val="TOC4"/>
        <w:tabs>
          <w:tab w:val="right" w:leader="dot" w:pos="8722"/>
        </w:tabs>
        <w:rPr>
          <w:rFonts w:asciiTheme="minorHAnsi" w:eastAsiaTheme="minorEastAsia" w:hAnsiTheme="minorHAnsi" w:cstheme="minorBidi"/>
          <w:noProof/>
          <w:sz w:val="22"/>
          <w:szCs w:val="22"/>
          <w:lang w:val="en-US" w:eastAsia="en-US"/>
        </w:rPr>
      </w:pPr>
      <w:hyperlink w:anchor="_Toc268669788" w:history="1">
        <w:r w:rsidRPr="007E0BD7">
          <w:rPr>
            <w:rStyle w:val="Hyperlink"/>
            <w:rFonts w:ascii="Calibri" w:hAnsi="Calibri"/>
            <w:noProof/>
            <w:lang w:bidi="en-US"/>
          </w:rPr>
          <w:t>References</w:t>
        </w:r>
        <w:r>
          <w:rPr>
            <w:noProof/>
            <w:webHidden/>
          </w:rPr>
          <w:tab/>
        </w:r>
        <w:r>
          <w:rPr>
            <w:noProof/>
            <w:webHidden/>
          </w:rPr>
          <w:fldChar w:fldCharType="begin"/>
        </w:r>
        <w:r>
          <w:rPr>
            <w:noProof/>
            <w:webHidden/>
          </w:rPr>
          <w:instrText xml:space="preserve"> PAGEREF _Toc268669788 \h </w:instrText>
        </w:r>
        <w:r>
          <w:rPr>
            <w:noProof/>
            <w:webHidden/>
          </w:rPr>
        </w:r>
        <w:r>
          <w:rPr>
            <w:noProof/>
            <w:webHidden/>
          </w:rPr>
          <w:fldChar w:fldCharType="separate"/>
        </w:r>
        <w:r w:rsidR="000313AE">
          <w:rPr>
            <w:noProof/>
            <w:webHidden/>
          </w:rPr>
          <w:t>85</w:t>
        </w:r>
        <w:r>
          <w:rPr>
            <w:noProof/>
            <w:webHidden/>
          </w:rPr>
          <w:fldChar w:fldCharType="end"/>
        </w:r>
      </w:hyperlink>
    </w:p>
    <w:p w:rsidR="002A44CA" w:rsidRDefault="002A44CA">
      <w:pPr>
        <w:pStyle w:val="TOC4"/>
        <w:tabs>
          <w:tab w:val="left" w:pos="2145"/>
          <w:tab w:val="right" w:leader="dot" w:pos="8722"/>
        </w:tabs>
        <w:rPr>
          <w:rFonts w:asciiTheme="minorHAnsi" w:eastAsiaTheme="minorEastAsia" w:hAnsiTheme="minorHAnsi" w:cstheme="minorBidi"/>
          <w:noProof/>
          <w:sz w:val="22"/>
          <w:szCs w:val="22"/>
          <w:lang w:val="en-US" w:eastAsia="en-US"/>
        </w:rPr>
      </w:pPr>
      <w:hyperlink w:anchor="_Toc268669791" w:history="1">
        <w:r w:rsidRPr="007E0BD7">
          <w:rPr>
            <w:rStyle w:val="Hyperlink"/>
            <w:rFonts w:ascii="Calibri" w:hAnsi="Calibri"/>
            <w:b/>
            <w:noProof/>
            <w:lang w:bidi="en-US"/>
          </w:rPr>
          <w:t xml:space="preserve">Appendix A </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Schematic overview of previous studies</w:t>
        </w:r>
        <w:r>
          <w:rPr>
            <w:noProof/>
            <w:webHidden/>
          </w:rPr>
          <w:tab/>
        </w:r>
        <w:r>
          <w:rPr>
            <w:noProof/>
            <w:webHidden/>
          </w:rPr>
          <w:fldChar w:fldCharType="begin"/>
        </w:r>
        <w:r>
          <w:rPr>
            <w:noProof/>
            <w:webHidden/>
          </w:rPr>
          <w:instrText xml:space="preserve"> PAGEREF _Toc268669791 \h </w:instrText>
        </w:r>
        <w:r>
          <w:rPr>
            <w:noProof/>
            <w:webHidden/>
          </w:rPr>
        </w:r>
        <w:r>
          <w:rPr>
            <w:noProof/>
            <w:webHidden/>
          </w:rPr>
          <w:fldChar w:fldCharType="separate"/>
        </w:r>
        <w:r w:rsidR="000313AE">
          <w:rPr>
            <w:noProof/>
            <w:webHidden/>
          </w:rPr>
          <w:t>90</w:t>
        </w:r>
        <w:r>
          <w:rPr>
            <w:noProof/>
            <w:webHidden/>
          </w:rPr>
          <w:fldChar w:fldCharType="end"/>
        </w:r>
      </w:hyperlink>
    </w:p>
    <w:p w:rsidR="002A44CA" w:rsidRDefault="002A44CA">
      <w:pPr>
        <w:pStyle w:val="TOC4"/>
        <w:tabs>
          <w:tab w:val="left" w:pos="2134"/>
          <w:tab w:val="right" w:leader="dot" w:pos="8722"/>
        </w:tabs>
        <w:rPr>
          <w:rFonts w:asciiTheme="minorHAnsi" w:eastAsiaTheme="minorEastAsia" w:hAnsiTheme="minorHAnsi" w:cstheme="minorBidi"/>
          <w:noProof/>
          <w:sz w:val="22"/>
          <w:szCs w:val="22"/>
          <w:lang w:val="en-US" w:eastAsia="en-US"/>
        </w:rPr>
      </w:pPr>
      <w:hyperlink w:anchor="_Toc268669792" w:history="1">
        <w:r w:rsidRPr="007E0BD7">
          <w:rPr>
            <w:rStyle w:val="Hyperlink"/>
            <w:rFonts w:ascii="Calibri" w:hAnsi="Calibri"/>
            <w:b/>
            <w:noProof/>
            <w:lang w:bidi="en-US"/>
          </w:rPr>
          <w:t xml:space="preserve">Appendix </w:t>
        </w:r>
        <w:r w:rsidRPr="007E0BD7">
          <w:rPr>
            <w:rStyle w:val="Hyperlink"/>
            <w:rFonts w:ascii="Calibri" w:hAnsi="Calibri"/>
            <w:b/>
            <w:noProof/>
          </w:rPr>
          <w:t>B</w:t>
        </w:r>
        <w:r w:rsidRPr="007E0BD7">
          <w:rPr>
            <w:rStyle w:val="Hyperlink"/>
            <w:rFonts w:ascii="Calibri" w:hAnsi="Calibri"/>
            <w:b/>
            <w:noProof/>
            <w:lang w:bidi="en-US"/>
          </w:rPr>
          <w:t xml:space="preserve"> </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Variables downloaded from Worldscope</w:t>
        </w:r>
        <w:r>
          <w:rPr>
            <w:noProof/>
            <w:webHidden/>
          </w:rPr>
          <w:tab/>
        </w:r>
        <w:r>
          <w:rPr>
            <w:noProof/>
            <w:webHidden/>
          </w:rPr>
          <w:fldChar w:fldCharType="begin"/>
        </w:r>
        <w:r>
          <w:rPr>
            <w:noProof/>
            <w:webHidden/>
          </w:rPr>
          <w:instrText xml:space="preserve"> PAGEREF _Toc268669792 \h </w:instrText>
        </w:r>
        <w:r>
          <w:rPr>
            <w:noProof/>
            <w:webHidden/>
          </w:rPr>
        </w:r>
        <w:r>
          <w:rPr>
            <w:noProof/>
            <w:webHidden/>
          </w:rPr>
          <w:fldChar w:fldCharType="separate"/>
        </w:r>
        <w:r w:rsidR="000313AE">
          <w:rPr>
            <w:noProof/>
            <w:webHidden/>
          </w:rPr>
          <w:t>92</w:t>
        </w:r>
        <w:r>
          <w:rPr>
            <w:noProof/>
            <w:webHidden/>
          </w:rPr>
          <w:fldChar w:fldCharType="end"/>
        </w:r>
      </w:hyperlink>
    </w:p>
    <w:p w:rsidR="002A44CA" w:rsidRDefault="002A44CA">
      <w:pPr>
        <w:pStyle w:val="TOC4"/>
        <w:tabs>
          <w:tab w:val="left" w:pos="2180"/>
          <w:tab w:val="right" w:leader="dot" w:pos="8722"/>
        </w:tabs>
        <w:rPr>
          <w:rFonts w:asciiTheme="minorHAnsi" w:eastAsiaTheme="minorEastAsia" w:hAnsiTheme="minorHAnsi" w:cstheme="minorBidi"/>
          <w:noProof/>
          <w:sz w:val="22"/>
          <w:szCs w:val="22"/>
          <w:lang w:val="en-US" w:eastAsia="en-US"/>
        </w:rPr>
      </w:pPr>
      <w:hyperlink w:anchor="_Toc268669793" w:history="1">
        <w:r w:rsidRPr="007E0BD7">
          <w:rPr>
            <w:rStyle w:val="Hyperlink"/>
            <w:rFonts w:ascii="Calibri" w:hAnsi="Calibri"/>
            <w:b/>
            <w:noProof/>
            <w:lang w:bidi="en-US"/>
          </w:rPr>
          <w:t xml:space="preserve">Appendix C  </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Hierarchical K-Means cluster analysis</w:t>
        </w:r>
        <w:r>
          <w:rPr>
            <w:noProof/>
            <w:webHidden/>
          </w:rPr>
          <w:tab/>
        </w:r>
        <w:r>
          <w:rPr>
            <w:noProof/>
            <w:webHidden/>
          </w:rPr>
          <w:fldChar w:fldCharType="begin"/>
        </w:r>
        <w:r>
          <w:rPr>
            <w:noProof/>
            <w:webHidden/>
          </w:rPr>
          <w:instrText xml:space="preserve"> PAGEREF _Toc268669793 \h </w:instrText>
        </w:r>
        <w:r>
          <w:rPr>
            <w:noProof/>
            <w:webHidden/>
          </w:rPr>
        </w:r>
        <w:r>
          <w:rPr>
            <w:noProof/>
            <w:webHidden/>
          </w:rPr>
          <w:fldChar w:fldCharType="separate"/>
        </w:r>
        <w:r w:rsidR="000313AE">
          <w:rPr>
            <w:noProof/>
            <w:webHidden/>
          </w:rPr>
          <w:t>93</w:t>
        </w:r>
        <w:r>
          <w:rPr>
            <w:noProof/>
            <w:webHidden/>
          </w:rPr>
          <w:fldChar w:fldCharType="end"/>
        </w:r>
      </w:hyperlink>
    </w:p>
    <w:p w:rsidR="002A44CA" w:rsidRDefault="002A44CA">
      <w:pPr>
        <w:pStyle w:val="TOC4"/>
        <w:tabs>
          <w:tab w:val="left" w:pos="2096"/>
          <w:tab w:val="right" w:leader="dot" w:pos="8722"/>
        </w:tabs>
        <w:rPr>
          <w:rFonts w:asciiTheme="minorHAnsi" w:eastAsiaTheme="minorEastAsia" w:hAnsiTheme="minorHAnsi" w:cstheme="minorBidi"/>
          <w:noProof/>
          <w:sz w:val="22"/>
          <w:szCs w:val="22"/>
          <w:lang w:val="en-US" w:eastAsia="en-US"/>
        </w:rPr>
      </w:pPr>
      <w:hyperlink w:anchor="_Toc268669794" w:history="1">
        <w:r w:rsidRPr="007E0BD7">
          <w:rPr>
            <w:rStyle w:val="Hyperlink"/>
            <w:rFonts w:ascii="Calibri" w:hAnsi="Calibri"/>
            <w:b/>
            <w:noProof/>
            <w:lang w:bidi="en-US"/>
          </w:rPr>
          <w:t>Appendix D</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Scatter Plot</w:t>
        </w:r>
        <w:r>
          <w:rPr>
            <w:noProof/>
            <w:webHidden/>
          </w:rPr>
          <w:tab/>
        </w:r>
        <w:r>
          <w:rPr>
            <w:noProof/>
            <w:webHidden/>
          </w:rPr>
          <w:fldChar w:fldCharType="begin"/>
        </w:r>
        <w:r>
          <w:rPr>
            <w:noProof/>
            <w:webHidden/>
          </w:rPr>
          <w:instrText xml:space="preserve"> PAGEREF _Toc268669794 \h </w:instrText>
        </w:r>
        <w:r>
          <w:rPr>
            <w:noProof/>
            <w:webHidden/>
          </w:rPr>
        </w:r>
        <w:r>
          <w:rPr>
            <w:noProof/>
            <w:webHidden/>
          </w:rPr>
          <w:fldChar w:fldCharType="separate"/>
        </w:r>
        <w:r w:rsidR="000313AE">
          <w:rPr>
            <w:noProof/>
            <w:webHidden/>
          </w:rPr>
          <w:t>94</w:t>
        </w:r>
        <w:r>
          <w:rPr>
            <w:noProof/>
            <w:webHidden/>
          </w:rPr>
          <w:fldChar w:fldCharType="end"/>
        </w:r>
      </w:hyperlink>
    </w:p>
    <w:p w:rsidR="002A44CA" w:rsidRDefault="002A44CA">
      <w:pPr>
        <w:pStyle w:val="TOC4"/>
        <w:tabs>
          <w:tab w:val="left" w:pos="2116"/>
          <w:tab w:val="right" w:leader="dot" w:pos="8722"/>
        </w:tabs>
        <w:rPr>
          <w:rFonts w:asciiTheme="minorHAnsi" w:eastAsiaTheme="minorEastAsia" w:hAnsiTheme="minorHAnsi" w:cstheme="minorBidi"/>
          <w:noProof/>
          <w:sz w:val="22"/>
          <w:szCs w:val="22"/>
          <w:lang w:val="en-US" w:eastAsia="en-US"/>
        </w:rPr>
      </w:pPr>
      <w:hyperlink w:anchor="_Toc268669795" w:history="1">
        <w:r w:rsidRPr="007E0BD7">
          <w:rPr>
            <w:rStyle w:val="Hyperlink"/>
            <w:rFonts w:ascii="Calibri" w:hAnsi="Calibri"/>
            <w:b/>
            <w:noProof/>
            <w:lang w:bidi="en-US"/>
          </w:rPr>
          <w:t xml:space="preserve">Appendix E </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Residuals Statistics</w:t>
        </w:r>
        <w:r>
          <w:rPr>
            <w:noProof/>
            <w:webHidden/>
          </w:rPr>
          <w:tab/>
        </w:r>
        <w:r>
          <w:rPr>
            <w:noProof/>
            <w:webHidden/>
          </w:rPr>
          <w:fldChar w:fldCharType="begin"/>
        </w:r>
        <w:r>
          <w:rPr>
            <w:noProof/>
            <w:webHidden/>
          </w:rPr>
          <w:instrText xml:space="preserve"> PAGEREF _Toc268669795 \h </w:instrText>
        </w:r>
        <w:r>
          <w:rPr>
            <w:noProof/>
            <w:webHidden/>
          </w:rPr>
        </w:r>
        <w:r>
          <w:rPr>
            <w:noProof/>
            <w:webHidden/>
          </w:rPr>
          <w:fldChar w:fldCharType="separate"/>
        </w:r>
        <w:r w:rsidR="000313AE">
          <w:rPr>
            <w:noProof/>
            <w:webHidden/>
          </w:rPr>
          <w:t>95</w:t>
        </w:r>
        <w:r>
          <w:rPr>
            <w:noProof/>
            <w:webHidden/>
          </w:rPr>
          <w:fldChar w:fldCharType="end"/>
        </w:r>
      </w:hyperlink>
    </w:p>
    <w:p w:rsidR="002A44CA" w:rsidRDefault="002A44CA">
      <w:pPr>
        <w:pStyle w:val="TOC4"/>
        <w:tabs>
          <w:tab w:val="left" w:pos="2055"/>
          <w:tab w:val="right" w:leader="dot" w:pos="8722"/>
        </w:tabs>
        <w:rPr>
          <w:rFonts w:asciiTheme="minorHAnsi" w:eastAsiaTheme="minorEastAsia" w:hAnsiTheme="minorHAnsi" w:cstheme="minorBidi"/>
          <w:noProof/>
          <w:sz w:val="22"/>
          <w:szCs w:val="22"/>
          <w:lang w:val="en-US" w:eastAsia="en-US"/>
        </w:rPr>
      </w:pPr>
      <w:hyperlink w:anchor="_Toc268669796" w:history="1">
        <w:r w:rsidRPr="007E0BD7">
          <w:rPr>
            <w:rStyle w:val="Hyperlink"/>
            <w:rFonts w:ascii="Calibri" w:hAnsi="Calibri"/>
            <w:b/>
            <w:noProof/>
            <w:lang w:bidi="en-US"/>
          </w:rPr>
          <w:t>Appendix F</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Correlation Matrix and Model Summary Real Smoothing</w:t>
        </w:r>
        <w:r>
          <w:rPr>
            <w:noProof/>
            <w:webHidden/>
          </w:rPr>
          <w:tab/>
        </w:r>
        <w:r>
          <w:rPr>
            <w:noProof/>
            <w:webHidden/>
          </w:rPr>
          <w:fldChar w:fldCharType="begin"/>
        </w:r>
        <w:r>
          <w:rPr>
            <w:noProof/>
            <w:webHidden/>
          </w:rPr>
          <w:instrText xml:space="preserve"> PAGEREF _Toc268669796 \h </w:instrText>
        </w:r>
        <w:r>
          <w:rPr>
            <w:noProof/>
            <w:webHidden/>
          </w:rPr>
        </w:r>
        <w:r>
          <w:rPr>
            <w:noProof/>
            <w:webHidden/>
          </w:rPr>
          <w:fldChar w:fldCharType="separate"/>
        </w:r>
        <w:r w:rsidR="000313AE">
          <w:rPr>
            <w:noProof/>
            <w:webHidden/>
          </w:rPr>
          <w:t>96</w:t>
        </w:r>
        <w:r>
          <w:rPr>
            <w:noProof/>
            <w:webHidden/>
          </w:rPr>
          <w:fldChar w:fldCharType="end"/>
        </w:r>
      </w:hyperlink>
    </w:p>
    <w:p w:rsidR="002A44CA" w:rsidRDefault="002A44CA">
      <w:pPr>
        <w:pStyle w:val="TOC4"/>
        <w:tabs>
          <w:tab w:val="left" w:pos="2152"/>
          <w:tab w:val="right" w:leader="dot" w:pos="8722"/>
        </w:tabs>
        <w:rPr>
          <w:rFonts w:asciiTheme="minorHAnsi" w:eastAsiaTheme="minorEastAsia" w:hAnsiTheme="minorHAnsi" w:cstheme="minorBidi"/>
          <w:noProof/>
          <w:sz w:val="22"/>
          <w:szCs w:val="22"/>
          <w:lang w:val="en-US" w:eastAsia="en-US"/>
        </w:rPr>
      </w:pPr>
      <w:hyperlink w:anchor="_Toc268669797" w:history="1">
        <w:r w:rsidRPr="007E0BD7">
          <w:rPr>
            <w:rStyle w:val="Hyperlink"/>
            <w:rFonts w:ascii="Calibri" w:hAnsi="Calibri"/>
            <w:b/>
            <w:noProof/>
            <w:lang w:bidi="en-US"/>
          </w:rPr>
          <w:t xml:space="preserve">Appendix G </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Correlation Matrix and Model Summary Artificial Smoothing</w:t>
        </w:r>
        <w:r>
          <w:rPr>
            <w:noProof/>
            <w:webHidden/>
          </w:rPr>
          <w:tab/>
        </w:r>
        <w:r>
          <w:rPr>
            <w:noProof/>
            <w:webHidden/>
          </w:rPr>
          <w:fldChar w:fldCharType="begin"/>
        </w:r>
        <w:r>
          <w:rPr>
            <w:noProof/>
            <w:webHidden/>
          </w:rPr>
          <w:instrText xml:space="preserve"> PAGEREF _Toc268669797 \h </w:instrText>
        </w:r>
        <w:r>
          <w:rPr>
            <w:noProof/>
            <w:webHidden/>
          </w:rPr>
        </w:r>
        <w:r>
          <w:rPr>
            <w:noProof/>
            <w:webHidden/>
          </w:rPr>
          <w:fldChar w:fldCharType="separate"/>
        </w:r>
        <w:r w:rsidR="000313AE">
          <w:rPr>
            <w:noProof/>
            <w:webHidden/>
          </w:rPr>
          <w:t>97</w:t>
        </w:r>
        <w:r>
          <w:rPr>
            <w:noProof/>
            <w:webHidden/>
          </w:rPr>
          <w:fldChar w:fldCharType="end"/>
        </w:r>
      </w:hyperlink>
    </w:p>
    <w:p w:rsidR="002A44CA" w:rsidRDefault="002A44CA">
      <w:pPr>
        <w:pStyle w:val="TOC4"/>
        <w:tabs>
          <w:tab w:val="left" w:pos="2096"/>
          <w:tab w:val="right" w:leader="dot" w:pos="8722"/>
        </w:tabs>
        <w:rPr>
          <w:rFonts w:asciiTheme="minorHAnsi" w:eastAsiaTheme="minorEastAsia" w:hAnsiTheme="minorHAnsi" w:cstheme="minorBidi"/>
          <w:noProof/>
          <w:sz w:val="22"/>
          <w:szCs w:val="22"/>
          <w:lang w:val="en-US" w:eastAsia="en-US"/>
        </w:rPr>
      </w:pPr>
      <w:hyperlink w:anchor="_Toc268669798" w:history="1">
        <w:r w:rsidRPr="007E0BD7">
          <w:rPr>
            <w:rStyle w:val="Hyperlink"/>
            <w:rFonts w:ascii="Calibri" w:hAnsi="Calibri"/>
            <w:b/>
            <w:noProof/>
            <w:lang w:bidi="en-US"/>
          </w:rPr>
          <w:t>Appendix H</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Correlation Matrix and Model Summary pre-IFRS Period</w:t>
        </w:r>
        <w:r>
          <w:rPr>
            <w:noProof/>
            <w:webHidden/>
          </w:rPr>
          <w:tab/>
        </w:r>
        <w:r>
          <w:rPr>
            <w:noProof/>
            <w:webHidden/>
          </w:rPr>
          <w:fldChar w:fldCharType="begin"/>
        </w:r>
        <w:r>
          <w:rPr>
            <w:noProof/>
            <w:webHidden/>
          </w:rPr>
          <w:instrText xml:space="preserve"> PAGEREF _Toc268669798 \h </w:instrText>
        </w:r>
        <w:r>
          <w:rPr>
            <w:noProof/>
            <w:webHidden/>
          </w:rPr>
        </w:r>
        <w:r>
          <w:rPr>
            <w:noProof/>
            <w:webHidden/>
          </w:rPr>
          <w:fldChar w:fldCharType="separate"/>
        </w:r>
        <w:r w:rsidR="000313AE">
          <w:rPr>
            <w:noProof/>
            <w:webHidden/>
          </w:rPr>
          <w:t>98</w:t>
        </w:r>
        <w:r>
          <w:rPr>
            <w:noProof/>
            <w:webHidden/>
          </w:rPr>
          <w:fldChar w:fldCharType="end"/>
        </w:r>
      </w:hyperlink>
    </w:p>
    <w:p w:rsidR="002A44CA" w:rsidRDefault="002A44CA">
      <w:pPr>
        <w:pStyle w:val="TOC4"/>
        <w:tabs>
          <w:tab w:val="left" w:pos="2009"/>
          <w:tab w:val="right" w:leader="dot" w:pos="8722"/>
        </w:tabs>
        <w:rPr>
          <w:rFonts w:asciiTheme="minorHAnsi" w:eastAsiaTheme="minorEastAsia" w:hAnsiTheme="minorHAnsi" w:cstheme="minorBidi"/>
          <w:noProof/>
          <w:sz w:val="22"/>
          <w:szCs w:val="22"/>
          <w:lang w:val="en-US" w:eastAsia="en-US"/>
        </w:rPr>
      </w:pPr>
      <w:hyperlink w:anchor="_Toc268669799" w:history="1">
        <w:r w:rsidRPr="007E0BD7">
          <w:rPr>
            <w:rStyle w:val="Hyperlink"/>
            <w:rFonts w:ascii="Calibri" w:hAnsi="Calibri"/>
            <w:b/>
            <w:noProof/>
            <w:lang w:bidi="en-US"/>
          </w:rPr>
          <w:t>Appendix I</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Correlation Matrix and Model Summary post-IFRS Period</w:t>
        </w:r>
        <w:r>
          <w:rPr>
            <w:noProof/>
            <w:webHidden/>
          </w:rPr>
          <w:tab/>
        </w:r>
        <w:r>
          <w:rPr>
            <w:noProof/>
            <w:webHidden/>
          </w:rPr>
          <w:fldChar w:fldCharType="begin"/>
        </w:r>
        <w:r>
          <w:rPr>
            <w:noProof/>
            <w:webHidden/>
          </w:rPr>
          <w:instrText xml:space="preserve"> PAGEREF _Toc268669799 \h </w:instrText>
        </w:r>
        <w:r>
          <w:rPr>
            <w:noProof/>
            <w:webHidden/>
          </w:rPr>
        </w:r>
        <w:r>
          <w:rPr>
            <w:noProof/>
            <w:webHidden/>
          </w:rPr>
          <w:fldChar w:fldCharType="separate"/>
        </w:r>
        <w:r w:rsidR="000313AE">
          <w:rPr>
            <w:noProof/>
            <w:webHidden/>
          </w:rPr>
          <w:t>99</w:t>
        </w:r>
        <w:r>
          <w:rPr>
            <w:noProof/>
            <w:webHidden/>
          </w:rPr>
          <w:fldChar w:fldCharType="end"/>
        </w:r>
      </w:hyperlink>
    </w:p>
    <w:p w:rsidR="002A44CA" w:rsidRDefault="002A44CA">
      <w:pPr>
        <w:pStyle w:val="TOC4"/>
        <w:tabs>
          <w:tab w:val="left" w:pos="2024"/>
          <w:tab w:val="right" w:leader="dot" w:pos="8722"/>
        </w:tabs>
        <w:rPr>
          <w:rFonts w:asciiTheme="minorHAnsi" w:eastAsiaTheme="minorEastAsia" w:hAnsiTheme="minorHAnsi" w:cstheme="minorBidi"/>
          <w:noProof/>
          <w:sz w:val="22"/>
          <w:szCs w:val="22"/>
          <w:lang w:val="en-US" w:eastAsia="en-US"/>
        </w:rPr>
      </w:pPr>
      <w:hyperlink w:anchor="_Toc268669800" w:history="1">
        <w:r w:rsidRPr="007E0BD7">
          <w:rPr>
            <w:rStyle w:val="Hyperlink"/>
            <w:rFonts w:ascii="Calibri" w:hAnsi="Calibri"/>
            <w:b/>
            <w:noProof/>
            <w:lang w:bidi="en-US"/>
          </w:rPr>
          <w:t>Appendix J</w:t>
        </w:r>
        <w:r>
          <w:rPr>
            <w:rFonts w:asciiTheme="minorHAnsi" w:eastAsiaTheme="minorEastAsia" w:hAnsiTheme="minorHAnsi" w:cstheme="minorBidi"/>
            <w:noProof/>
            <w:sz w:val="22"/>
            <w:szCs w:val="22"/>
            <w:lang w:val="en-US" w:eastAsia="en-US"/>
          </w:rPr>
          <w:tab/>
        </w:r>
        <w:r w:rsidRPr="007E0BD7">
          <w:rPr>
            <w:rStyle w:val="Hyperlink"/>
            <w:rFonts w:ascii="Calibri" w:hAnsi="Calibri"/>
            <w:b/>
            <w:noProof/>
            <w:lang w:bidi="en-US"/>
          </w:rPr>
          <w:t>Earnings Management Measures from Leuz et al. (2003)</w:t>
        </w:r>
        <w:r>
          <w:rPr>
            <w:noProof/>
            <w:webHidden/>
          </w:rPr>
          <w:tab/>
        </w:r>
        <w:r>
          <w:rPr>
            <w:noProof/>
            <w:webHidden/>
          </w:rPr>
          <w:fldChar w:fldCharType="begin"/>
        </w:r>
        <w:r>
          <w:rPr>
            <w:noProof/>
            <w:webHidden/>
          </w:rPr>
          <w:instrText xml:space="preserve"> PAGEREF _Toc268669800 \h </w:instrText>
        </w:r>
        <w:r>
          <w:rPr>
            <w:noProof/>
            <w:webHidden/>
          </w:rPr>
        </w:r>
        <w:r>
          <w:rPr>
            <w:noProof/>
            <w:webHidden/>
          </w:rPr>
          <w:fldChar w:fldCharType="separate"/>
        </w:r>
        <w:r w:rsidR="000313AE">
          <w:rPr>
            <w:noProof/>
            <w:webHidden/>
          </w:rPr>
          <w:t>100</w:t>
        </w:r>
        <w:r>
          <w:rPr>
            <w:noProof/>
            <w:webHidden/>
          </w:rPr>
          <w:fldChar w:fldCharType="end"/>
        </w:r>
      </w:hyperlink>
    </w:p>
    <w:p w:rsidR="00432023" w:rsidRDefault="00B7519E" w:rsidP="00432023">
      <w:pPr>
        <w:rPr>
          <w:rFonts w:ascii="Calibri" w:hAnsi="Calibri"/>
          <w:lang w:val="en-GB"/>
        </w:rPr>
      </w:pPr>
      <w:r>
        <w:rPr>
          <w:lang w:val="en-GB"/>
        </w:rPr>
        <w:fldChar w:fldCharType="end"/>
      </w:r>
      <w:r w:rsidR="00432023">
        <w:rPr>
          <w:lang w:val="en-GB"/>
        </w:rPr>
        <w:br w:type="page"/>
      </w:r>
    </w:p>
    <w:p w:rsidR="00432023" w:rsidRDefault="00432023" w:rsidP="00ED31D3">
      <w:pPr>
        <w:pStyle w:val="ListParagraph"/>
        <w:ind w:left="0"/>
        <w:rPr>
          <w:rStyle w:val="Heading4Char"/>
          <w:rFonts w:ascii="Calibri" w:hAnsi="Calibri"/>
        </w:rPr>
      </w:pPr>
      <w:r w:rsidRPr="00662A4F">
        <w:rPr>
          <w:rFonts w:ascii="Calibri" w:hAnsi="Calibri"/>
          <w:lang w:val="en-GB"/>
        </w:rPr>
        <w:lastRenderedPageBreak/>
        <w:t>1</w:t>
      </w:r>
      <w:r w:rsidRPr="00662A4F">
        <w:rPr>
          <w:rFonts w:ascii="Calibri" w:hAnsi="Calibri"/>
          <w:lang w:val="en-GB"/>
        </w:rPr>
        <w:tab/>
        <w:t xml:space="preserve"> </w:t>
      </w:r>
      <w:r w:rsidRPr="00662A4F">
        <w:rPr>
          <w:rStyle w:val="Heading4Char"/>
          <w:rFonts w:ascii="Calibri" w:hAnsi="Calibri"/>
        </w:rPr>
        <w:t>Introduction</w:t>
      </w:r>
    </w:p>
    <w:p w:rsidR="008D6CC0" w:rsidRPr="00662A4F" w:rsidRDefault="008D6CC0" w:rsidP="00ED31D3">
      <w:pPr>
        <w:pStyle w:val="ListParagraph"/>
        <w:ind w:left="0"/>
        <w:rPr>
          <w:rFonts w:ascii="Calibri" w:hAnsi="Calibri"/>
          <w:lang w:val="en-GB"/>
        </w:rPr>
      </w:pPr>
    </w:p>
    <w:p w:rsidR="00432023" w:rsidRPr="00ED31D3" w:rsidRDefault="00432023" w:rsidP="00432023">
      <w:pPr>
        <w:autoSpaceDE w:val="0"/>
        <w:autoSpaceDN w:val="0"/>
        <w:adjustRightInd w:val="0"/>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Several researchers posit that the occurrence of earnings management in a country will be influenced by the level of investor protection in that country (Cahan et al. 2008, Leuz et al. 2003). Earnings management, which was at the base of several accounting scandals (Enron: see Catanach and Catanach, 2003), has been researched and discussed extensively in prior studies (Beneish 1999,  Kinnunen et al. 1995). It can be described as a strategy of generating accounting earnings, which is accomplished th</w:t>
      </w:r>
      <w:r w:rsidR="00877C14">
        <w:rPr>
          <w:rFonts w:ascii="Times New Roman" w:hAnsi="Times New Roman" w:cs="Times New Roman"/>
          <w:sz w:val="24"/>
          <w:szCs w:val="24"/>
          <w:lang w:val="en-GB"/>
        </w:rPr>
        <w:t>r</w:t>
      </w:r>
      <w:r w:rsidRPr="00ED31D3">
        <w:rPr>
          <w:rFonts w:ascii="Times New Roman" w:hAnsi="Times New Roman" w:cs="Times New Roman"/>
          <w:sz w:val="24"/>
          <w:szCs w:val="24"/>
          <w:lang w:val="en-GB"/>
        </w:rPr>
        <w:t>ough managerial discretion over accounting choices and operating cash flows (Phillips et al. 2003) as well as production and investment decisions that reduce the variability of earnings.</w:t>
      </w:r>
      <w:r w:rsidRPr="00ED31D3">
        <w:rPr>
          <w:rFonts w:ascii="Times New Roman" w:hAnsi="Times New Roman" w:cs="Times New Roman"/>
          <w:color w:val="FF0000"/>
          <w:sz w:val="24"/>
          <w:szCs w:val="24"/>
          <w:lang w:val="en-GB"/>
        </w:rPr>
        <w:t xml:space="preserve"> </w:t>
      </w:r>
      <w:r w:rsidRPr="00ED31D3">
        <w:rPr>
          <w:rFonts w:ascii="Times New Roman" w:hAnsi="Times New Roman" w:cs="Times New Roman"/>
          <w:sz w:val="24"/>
          <w:szCs w:val="24"/>
          <w:lang w:val="en-GB"/>
        </w:rPr>
        <w:t>Several academic studies have argued that there is a relation between weak corporate governance and poor financial reporting, financial information fraud and earnings management (Dechow et al. 1996, Beasly</w:t>
      </w:r>
      <w:r w:rsidR="00877C14">
        <w:rPr>
          <w:rFonts w:ascii="Times New Roman" w:hAnsi="Times New Roman" w:cs="Times New Roman"/>
          <w:sz w:val="24"/>
          <w:szCs w:val="24"/>
          <w:lang w:val="en-GB"/>
        </w:rPr>
        <w:t xml:space="preserve"> et al. 1999, Cohen et al. 2004</w:t>
      </w:r>
      <w:r w:rsidRPr="00ED31D3">
        <w:rPr>
          <w:rFonts w:ascii="Times New Roman" w:hAnsi="Times New Roman" w:cs="Times New Roman"/>
          <w:sz w:val="24"/>
          <w:szCs w:val="24"/>
          <w:lang w:val="en-GB"/>
        </w:rPr>
        <w:t xml:space="preserve">).  This has led to legislators and standard setters setting more strict regulations regarding corporate governance. In the U.S. for instance, the collapse of large firms such as Enron Corporation and WorldCom has caused the government to enact the Sarbanes-Oxley Act (SOX) in 2002  (Brown et al. 2004). SOX set new or enhanced standards for all U.S. public company boards, management and public accounting firms in order to improve issues such as corporate governance. </w:t>
      </w:r>
    </w:p>
    <w:p w:rsidR="00432023" w:rsidRPr="00ED31D3" w:rsidRDefault="00432023" w:rsidP="00432023">
      <w:pPr>
        <w:autoSpaceDE w:val="0"/>
        <w:autoSpaceDN w:val="0"/>
        <w:adjustRightInd w:val="0"/>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The classical principal-agent problem describes the difficulties that arise due to asymmetric information between the principal and the agent. The separation of corporate managers from outside investors involves an inherent conflict; the two parties may not have the same interests. The objective of the principal-agent relationship is that the agent, who is hired by the principal, acts in the interests of the principal; this however is not always how it folds out in practice. That is why corporate control mechanisms have been developed over the years. These mechanisms are the means by which managers are disciplined to act in the investors’ interests. Control mechanisms include both internal mechanisms, such as managerial incentive plans, director monitoring, and external mechanisms, such as outside shareholder or debt holder monitoring, the market for corporate control, competition in the product market, the external managerial labour market, and securities laws that protect outside investors against expropriation by corporate insiders (Bushman and Smith, 2003). Investor protection, which is an external corporate control mechanism, defines the laws and regulations to observe, safeguard and enforce the rights and claims of a person in his role as an investor (Djankov et al. 2007). </w:t>
      </w:r>
      <w:r w:rsidRPr="00ED31D3">
        <w:rPr>
          <w:rFonts w:ascii="Times New Roman" w:hAnsi="Times New Roman" w:cs="Times New Roman"/>
          <w:sz w:val="24"/>
          <w:szCs w:val="24"/>
          <w:lang w:val="en-GB"/>
        </w:rPr>
        <w:lastRenderedPageBreak/>
        <w:t>This includes advice and legal action. According to Boonlert-U-Thai, Meek and Nabar (2006) accounting qualit</w:t>
      </w:r>
      <w:r w:rsidR="006E25F5">
        <w:rPr>
          <w:rFonts w:ascii="Times New Roman" w:hAnsi="Times New Roman" w:cs="Times New Roman"/>
          <w:sz w:val="24"/>
          <w:szCs w:val="24"/>
          <w:lang w:val="en-GB"/>
        </w:rPr>
        <w:t xml:space="preserve">y is of importance to financial </w:t>
      </w:r>
      <w:r w:rsidRPr="00ED31D3">
        <w:rPr>
          <w:rFonts w:ascii="Times New Roman" w:hAnsi="Times New Roman" w:cs="Times New Roman"/>
          <w:sz w:val="24"/>
          <w:szCs w:val="24"/>
          <w:lang w:val="en-GB"/>
        </w:rPr>
        <w:t>statement users. They argue that managerial discretion is an important determinant of accounting quality, and that the degree to which this discretion is abused by managers depends on the extent to which investors are protected by law. Not all countries have the same level of investor protection, it differs between countries.</w:t>
      </w:r>
    </w:p>
    <w:p w:rsidR="00432023" w:rsidRDefault="00432023" w:rsidP="008D6CC0">
      <w:pPr>
        <w:autoSpaceDE w:val="0"/>
        <w:autoSpaceDN w:val="0"/>
        <w:adjustRightInd w:val="0"/>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Thus, the extent to which controlling managers and other insiders can manage earnings depends on the level of investor protection in that specific country. Without adequate investor protection, as Boonlert-U-Thai, Meek and Nabar </w:t>
      </w:r>
      <w:r w:rsidR="006E25F5">
        <w:rPr>
          <w:rFonts w:ascii="Times New Roman" w:hAnsi="Times New Roman" w:cs="Times New Roman"/>
          <w:sz w:val="24"/>
          <w:szCs w:val="24"/>
          <w:lang w:val="en-GB"/>
        </w:rPr>
        <w:t xml:space="preserve">(2006) </w:t>
      </w:r>
      <w:r w:rsidRPr="00ED31D3">
        <w:rPr>
          <w:rFonts w:ascii="Times New Roman" w:hAnsi="Times New Roman" w:cs="Times New Roman"/>
          <w:sz w:val="24"/>
          <w:szCs w:val="24"/>
          <w:lang w:val="en-GB"/>
        </w:rPr>
        <w:t>acknowledge, there would be little appreciation for the need for good quality accounting information. It is argued that managers who engage in forms of earnings management probably have different incentives to do so.</w:t>
      </w:r>
    </w:p>
    <w:p w:rsidR="008D6CC0" w:rsidRPr="00ED31D3" w:rsidRDefault="008D6CC0" w:rsidP="008D6CC0">
      <w:pPr>
        <w:autoSpaceDE w:val="0"/>
        <w:autoSpaceDN w:val="0"/>
        <w:adjustRightInd w:val="0"/>
        <w:spacing w:line="360" w:lineRule="auto"/>
        <w:contextualSpacing/>
        <w:rPr>
          <w:rFonts w:ascii="Times New Roman" w:hAnsi="Times New Roman" w:cs="Times New Roman"/>
          <w:sz w:val="24"/>
          <w:szCs w:val="24"/>
          <w:lang w:val="en-GB"/>
        </w:rPr>
      </w:pPr>
    </w:p>
    <w:p w:rsidR="00432023" w:rsidRDefault="00432023" w:rsidP="008D6CC0">
      <w:pPr>
        <w:pStyle w:val="Heading4"/>
        <w:numPr>
          <w:ilvl w:val="1"/>
          <w:numId w:val="47"/>
        </w:numPr>
        <w:spacing w:line="360" w:lineRule="auto"/>
        <w:contextualSpacing/>
        <w:rPr>
          <w:rFonts w:ascii="Calibri" w:hAnsi="Calibri"/>
        </w:rPr>
      </w:pPr>
      <w:bookmarkStart w:id="3" w:name="_Toc254909660"/>
      <w:bookmarkStart w:id="4" w:name="_Toc268669719"/>
      <w:r w:rsidRPr="00662A4F">
        <w:rPr>
          <w:rFonts w:ascii="Calibri" w:hAnsi="Calibri"/>
        </w:rPr>
        <w:t>Research Question</w:t>
      </w:r>
      <w:bookmarkEnd w:id="3"/>
      <w:bookmarkEnd w:id="4"/>
    </w:p>
    <w:p w:rsidR="008D6CC0" w:rsidRPr="008D6CC0" w:rsidRDefault="008D6CC0" w:rsidP="008D6CC0"/>
    <w:p w:rsidR="00432023" w:rsidRPr="00ED31D3" w:rsidRDefault="00432023" w:rsidP="00432023">
      <w:pPr>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The purpose of this research is to study the impact of external corporate governance, especially investor protection, on the occurrence of earnings management. In the spirit of foregone discussion the following research questioned surfaced:</w:t>
      </w:r>
    </w:p>
    <w:p w:rsidR="00432023" w:rsidRPr="00ED31D3" w:rsidRDefault="00432023" w:rsidP="00432023">
      <w:pPr>
        <w:spacing w:line="360" w:lineRule="auto"/>
        <w:rPr>
          <w:rFonts w:ascii="Times New Roman" w:hAnsi="Times New Roman" w:cs="Times New Roman"/>
          <w:i/>
          <w:sz w:val="24"/>
          <w:szCs w:val="24"/>
          <w:lang w:val="en-GB"/>
        </w:rPr>
      </w:pPr>
      <w:r w:rsidRPr="00ED31D3">
        <w:rPr>
          <w:rFonts w:ascii="Times New Roman" w:hAnsi="Times New Roman" w:cs="Times New Roman"/>
          <w:i/>
          <w:sz w:val="24"/>
          <w:szCs w:val="24"/>
          <w:lang w:val="en-GB"/>
        </w:rPr>
        <w:t>“Does a strong investor protection environment reduce the incidence of income smoothing in countries?”</w:t>
      </w:r>
    </w:p>
    <w:p w:rsidR="00432023" w:rsidRPr="00ED31D3" w:rsidRDefault="00432023" w:rsidP="00432023">
      <w:pPr>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For good understanding this thesis will first discuss the manifestation that is earnings management. The different forms it comes in and the manner in which it is applied in practice will be addressed. The title gave away that the focus of this thesis lies on income smoothing, one of the many forms of earnings management; therefore I will give extensive insight on this.</w:t>
      </w:r>
    </w:p>
    <w:p w:rsidR="00432023" w:rsidRPr="00ED31D3" w:rsidRDefault="00432023" w:rsidP="00432023">
      <w:pPr>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People do what they do for a reason; the same goes for managers who engage in earnings management. Without a certain motive, managers would not manage earnings since it is perceived by society as unethical. Therefore it is interesting to look at what pushes managers to cooking the books. Over the years several researchers have established models to measure earnings management. The most common used models and their pro</w:t>
      </w:r>
      <w:r w:rsidR="00706EE7">
        <w:rPr>
          <w:rFonts w:ascii="Times New Roman" w:hAnsi="Times New Roman" w:cs="Times New Roman"/>
          <w:sz w:val="24"/>
          <w:szCs w:val="24"/>
          <w:lang w:val="en-GB"/>
        </w:rPr>
        <w:t>s</w:t>
      </w:r>
      <w:r w:rsidRPr="00ED31D3">
        <w:rPr>
          <w:rFonts w:ascii="Times New Roman" w:hAnsi="Times New Roman" w:cs="Times New Roman"/>
          <w:sz w:val="24"/>
          <w:szCs w:val="24"/>
          <w:lang w:val="en-GB"/>
        </w:rPr>
        <w:t xml:space="preserve"> and cons will be discussed.  </w:t>
      </w:r>
    </w:p>
    <w:p w:rsidR="00432023" w:rsidRPr="00ED31D3" w:rsidRDefault="00432023" w:rsidP="00432023">
      <w:pPr>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lastRenderedPageBreak/>
        <w:t>Investor protection is another main variable in my research. To fully comprehend the adventurous journey called my master</w:t>
      </w:r>
      <w:r w:rsidR="00706EE7">
        <w:rPr>
          <w:rFonts w:ascii="Times New Roman" w:hAnsi="Times New Roman" w:cs="Times New Roman"/>
          <w:sz w:val="24"/>
          <w:szCs w:val="24"/>
          <w:lang w:val="en-GB"/>
        </w:rPr>
        <w:t>’s</w:t>
      </w:r>
      <w:r w:rsidRPr="00ED31D3">
        <w:rPr>
          <w:rFonts w:ascii="Times New Roman" w:hAnsi="Times New Roman" w:cs="Times New Roman"/>
          <w:sz w:val="24"/>
          <w:szCs w:val="24"/>
          <w:lang w:val="en-GB"/>
        </w:rPr>
        <w:t xml:space="preserve"> thesis, it is helpful to know what this variable entails.</w:t>
      </w:r>
    </w:p>
    <w:p w:rsidR="00432023" w:rsidRPr="00ED31D3" w:rsidRDefault="00432023" w:rsidP="00432023">
      <w:pPr>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The goal of aforementioned journey is to determine to what extent investor protection affects the other main variable, earnings management, in this research. Several researchers have done research on this topic; their findings will be highlighted.</w:t>
      </w:r>
    </w:p>
    <w:p w:rsidR="00ED31D3" w:rsidRDefault="009A6B62" w:rsidP="008D6CC0">
      <w:pPr>
        <w:spacing w:line="360" w:lineRule="auto"/>
      </w:pPr>
      <w:r>
        <w:rPr>
          <w:rFonts w:ascii="Times New Roman" w:hAnsi="Times New Roman" w:cs="Times New Roman"/>
          <w:sz w:val="24"/>
          <w:szCs w:val="24"/>
          <w:lang w:val="en-GB"/>
        </w:rPr>
        <w:t>As of January 1</w:t>
      </w:r>
      <w:r w:rsidRPr="009A6B62">
        <w:rPr>
          <w:rFonts w:ascii="Times New Roman" w:hAnsi="Times New Roman" w:cs="Times New Roman"/>
          <w:sz w:val="24"/>
          <w:szCs w:val="24"/>
          <w:vertAlign w:val="superscript"/>
          <w:lang w:val="en-GB"/>
        </w:rPr>
        <w:t>st</w:t>
      </w:r>
      <w:r>
        <w:rPr>
          <w:rFonts w:ascii="Times New Roman" w:hAnsi="Times New Roman" w:cs="Times New Roman"/>
          <w:sz w:val="24"/>
          <w:szCs w:val="24"/>
          <w:lang w:val="en-GB"/>
        </w:rPr>
        <w:t xml:space="preserve"> 2005 all European Union countries have adopted </w:t>
      </w:r>
      <w:r w:rsidR="00432023" w:rsidRPr="00ED31D3">
        <w:rPr>
          <w:rFonts w:ascii="Times New Roman" w:hAnsi="Times New Roman" w:cs="Times New Roman"/>
          <w:sz w:val="24"/>
          <w:szCs w:val="24"/>
          <w:lang w:val="en-GB"/>
        </w:rPr>
        <w:t>International Financial Reporting Standards (IFRS)</w:t>
      </w:r>
      <w:r>
        <w:rPr>
          <w:rFonts w:ascii="Times New Roman" w:hAnsi="Times New Roman" w:cs="Times New Roman"/>
          <w:sz w:val="24"/>
          <w:szCs w:val="24"/>
          <w:lang w:val="en-GB"/>
        </w:rPr>
        <w:t>. Even outside the EU they</w:t>
      </w:r>
      <w:r w:rsidR="00432023" w:rsidRPr="00ED31D3">
        <w:rPr>
          <w:rFonts w:ascii="Times New Roman" w:hAnsi="Times New Roman" w:cs="Times New Roman"/>
          <w:sz w:val="24"/>
          <w:szCs w:val="24"/>
          <w:lang w:val="en-GB"/>
        </w:rPr>
        <w:t xml:space="preserve"> are widely use</w:t>
      </w:r>
      <w:r w:rsidR="00706EE7">
        <w:rPr>
          <w:rFonts w:ascii="Times New Roman" w:hAnsi="Times New Roman" w:cs="Times New Roman"/>
          <w:sz w:val="24"/>
          <w:szCs w:val="24"/>
          <w:lang w:val="en-GB"/>
        </w:rPr>
        <w:t>d</w:t>
      </w:r>
      <w:r w:rsidR="00432023" w:rsidRPr="00ED31D3">
        <w:rPr>
          <w:rFonts w:ascii="Times New Roman" w:hAnsi="Times New Roman" w:cs="Times New Roman"/>
          <w:sz w:val="24"/>
          <w:szCs w:val="24"/>
          <w:lang w:val="en-GB"/>
        </w:rPr>
        <w:t xml:space="preserve"> nowadays. </w:t>
      </w:r>
      <w:r w:rsidRPr="00ED31D3">
        <w:rPr>
          <w:rFonts w:ascii="Times New Roman" w:hAnsi="Times New Roman" w:cs="Times New Roman"/>
          <w:sz w:val="24"/>
          <w:szCs w:val="24"/>
          <w:lang w:val="en-GB"/>
        </w:rPr>
        <w:t xml:space="preserve">However, this was not always the case. </w:t>
      </w:r>
      <w:r>
        <w:rPr>
          <w:rFonts w:ascii="Times New Roman" w:hAnsi="Times New Roman" w:cs="Times New Roman"/>
          <w:sz w:val="24"/>
          <w:szCs w:val="24"/>
          <w:lang w:val="en-GB"/>
        </w:rPr>
        <w:t xml:space="preserve">IFRS were adopted to harmonize </w:t>
      </w:r>
      <w:r w:rsidR="00155267">
        <w:rPr>
          <w:rFonts w:ascii="Times New Roman" w:hAnsi="Times New Roman" w:cs="Times New Roman"/>
          <w:sz w:val="24"/>
          <w:szCs w:val="24"/>
          <w:lang w:val="en-GB"/>
        </w:rPr>
        <w:t xml:space="preserve">global </w:t>
      </w:r>
      <w:r>
        <w:rPr>
          <w:rFonts w:ascii="Times New Roman" w:hAnsi="Times New Roman" w:cs="Times New Roman"/>
          <w:sz w:val="24"/>
          <w:szCs w:val="24"/>
          <w:lang w:val="en-GB"/>
        </w:rPr>
        <w:t>accounting standards</w:t>
      </w:r>
      <w:r w:rsidR="00597859">
        <w:rPr>
          <w:rFonts w:ascii="Times New Roman" w:hAnsi="Times New Roman" w:cs="Times New Roman"/>
          <w:sz w:val="24"/>
          <w:szCs w:val="24"/>
          <w:lang w:val="en-GB"/>
        </w:rPr>
        <w:t>.</w:t>
      </w:r>
      <w:r>
        <w:rPr>
          <w:rFonts w:ascii="Times New Roman" w:hAnsi="Times New Roman" w:cs="Times New Roman"/>
          <w:sz w:val="24"/>
          <w:szCs w:val="24"/>
          <w:lang w:val="en-GB"/>
        </w:rPr>
        <w:t xml:space="preserve"> </w:t>
      </w:r>
      <w:r w:rsidR="00155267">
        <w:rPr>
          <w:rFonts w:ascii="Times New Roman" w:hAnsi="Times New Roman" w:cs="Times New Roman"/>
          <w:sz w:val="24"/>
          <w:szCs w:val="24"/>
          <w:lang w:val="en-GB"/>
        </w:rPr>
        <w:t>Some proponents have argued that IFRS adoption will increase investor protection</w:t>
      </w:r>
      <w:r w:rsidR="00597859">
        <w:rPr>
          <w:rFonts w:ascii="Times New Roman" w:hAnsi="Times New Roman" w:cs="Times New Roman"/>
          <w:sz w:val="24"/>
          <w:szCs w:val="24"/>
          <w:lang w:val="en-GB"/>
        </w:rPr>
        <w:t xml:space="preserve"> and improve accounting quality</w:t>
      </w:r>
      <w:r w:rsidR="00155267">
        <w:rPr>
          <w:rFonts w:ascii="Times New Roman" w:hAnsi="Times New Roman" w:cs="Times New Roman"/>
          <w:sz w:val="24"/>
          <w:szCs w:val="24"/>
          <w:lang w:val="en-GB"/>
        </w:rPr>
        <w:t xml:space="preserve">. Later on </w:t>
      </w:r>
      <w:r w:rsidR="00432023" w:rsidRPr="00ED31D3">
        <w:rPr>
          <w:rFonts w:ascii="Times New Roman" w:hAnsi="Times New Roman" w:cs="Times New Roman"/>
          <w:sz w:val="24"/>
          <w:szCs w:val="24"/>
          <w:lang w:val="en-GB"/>
        </w:rPr>
        <w:t>I will discuss why IFRS are so generally accepted in recent days.</w:t>
      </w:r>
      <w:bookmarkStart w:id="5" w:name="_Toc254909661"/>
      <w:r w:rsidR="00597859">
        <w:rPr>
          <w:rFonts w:ascii="Times New Roman" w:hAnsi="Times New Roman" w:cs="Times New Roman"/>
          <w:sz w:val="24"/>
          <w:szCs w:val="24"/>
          <w:lang w:val="en-GB"/>
        </w:rPr>
        <w:t xml:space="preserve"> After having examined the effect of investor protection on the occurrence of income smoothing, the influence of IFRS on income smoothing will be examined. I will do this by measuring the level of income smoothing in the pre-IFRS period (2000-2004) and the post-IFRS period (2005-2008). </w:t>
      </w:r>
    </w:p>
    <w:p w:rsidR="00432023" w:rsidRDefault="00432023" w:rsidP="008D6CC0">
      <w:pPr>
        <w:pStyle w:val="Heading4"/>
        <w:numPr>
          <w:ilvl w:val="1"/>
          <w:numId w:val="47"/>
        </w:numPr>
        <w:spacing w:line="360" w:lineRule="auto"/>
        <w:rPr>
          <w:rFonts w:ascii="Calibri" w:hAnsi="Calibri"/>
        </w:rPr>
      </w:pPr>
      <w:bookmarkStart w:id="6" w:name="_Toc268669720"/>
      <w:r w:rsidRPr="00662A4F">
        <w:rPr>
          <w:rFonts w:ascii="Calibri" w:hAnsi="Calibri"/>
        </w:rPr>
        <w:t>Structure</w:t>
      </w:r>
      <w:bookmarkEnd w:id="5"/>
      <w:bookmarkEnd w:id="6"/>
    </w:p>
    <w:p w:rsidR="008D6CC0" w:rsidRPr="008D6CC0" w:rsidRDefault="008D6CC0" w:rsidP="008D6CC0">
      <w:pPr>
        <w:pStyle w:val="ListParagraph"/>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In order to answer the research question this thesis will first discuss the sub-questions to ultimately formulate an answer to the main research question. </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Chapter 2 discusses the phenomenon that is earnings management as well as income smoothing. It will also elaborate on the distinction between earnings management and fraud. And the incentives which motivate managers to engage in income smoothing will be discussed. </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Chapter 3 will shed light on several models which can be used to measure earnings management in general. In order to fully understand the models accruals will be discussed first. The concerns regarding the Jones model will be mentioned as well. </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Chapter 4 provides insight on other non-accrual models which can be used to detect earnings management. It will also discuss the Imhoff and Eckel model which focuses specifically on income smoothing. </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Chapter 5 discusses the theoretical background on corporate governance and specifically investor protection. The proxy for investor protection that I will use for the empirical research will also be discussed here.</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Pr="00ED31D3" w:rsidRDefault="000A6EA8" w:rsidP="00432023">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lang w:val="en-GB"/>
        </w:rPr>
        <w:t>Some researchers are of the opinion that IFRS has an influence on the level of investor protection. In order to get a better understanding of IFRS and the discussion surrounding it c</w:t>
      </w:r>
      <w:r w:rsidR="00432023" w:rsidRPr="00ED31D3">
        <w:rPr>
          <w:rFonts w:ascii="Times New Roman" w:hAnsi="Times New Roman" w:cs="Times New Roman"/>
          <w:sz w:val="24"/>
          <w:szCs w:val="24"/>
          <w:lang w:val="en-GB"/>
        </w:rPr>
        <w:t xml:space="preserve">hapter 6 </w:t>
      </w:r>
      <w:r>
        <w:rPr>
          <w:rFonts w:ascii="Times New Roman" w:hAnsi="Times New Roman" w:cs="Times New Roman"/>
          <w:sz w:val="24"/>
          <w:szCs w:val="24"/>
          <w:lang w:val="en-GB"/>
        </w:rPr>
        <w:t xml:space="preserve">will </w:t>
      </w:r>
      <w:r w:rsidR="00432023" w:rsidRPr="00ED31D3">
        <w:rPr>
          <w:rFonts w:ascii="Times New Roman" w:hAnsi="Times New Roman" w:cs="Times New Roman"/>
          <w:sz w:val="24"/>
          <w:szCs w:val="24"/>
          <w:lang w:val="en-GB"/>
        </w:rPr>
        <w:t>focus on IFRS and its implementation in several countries. The views of proponents and opponents will be addressed here as well.</w:t>
      </w: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Chapter 7 will provide a detailed literature study on the relationship between earnings management and investor protection. </w:t>
      </w:r>
    </w:p>
    <w:p w:rsidR="00E7123F" w:rsidRPr="00ED31D3" w:rsidRDefault="00E7123F" w:rsidP="00432023">
      <w:pPr>
        <w:spacing w:line="360" w:lineRule="auto"/>
        <w:contextualSpacing/>
        <w:rPr>
          <w:rFonts w:ascii="Times New Roman" w:hAnsi="Times New Roman" w:cs="Times New Roman"/>
          <w:sz w:val="24"/>
          <w:szCs w:val="24"/>
          <w:lang w:val="en-GB"/>
        </w:rPr>
      </w:pPr>
    </w:p>
    <w:p w:rsidR="0043202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Ch</w:t>
      </w:r>
      <w:r w:rsidR="00E7123F">
        <w:rPr>
          <w:rFonts w:ascii="Times New Roman" w:hAnsi="Times New Roman" w:cs="Times New Roman"/>
          <w:sz w:val="24"/>
          <w:szCs w:val="24"/>
          <w:lang w:val="en-GB"/>
        </w:rPr>
        <w:t xml:space="preserve">apter 8 presents the hypotheses as well as the </w:t>
      </w:r>
      <w:r w:rsidRPr="00ED31D3">
        <w:rPr>
          <w:rFonts w:ascii="Times New Roman" w:hAnsi="Times New Roman" w:cs="Times New Roman"/>
          <w:sz w:val="24"/>
          <w:szCs w:val="24"/>
          <w:lang w:val="en-GB"/>
        </w:rPr>
        <w:t>research design</w:t>
      </w:r>
      <w:r w:rsidR="00E7123F">
        <w:rPr>
          <w:rFonts w:ascii="Times New Roman" w:hAnsi="Times New Roman" w:cs="Times New Roman"/>
          <w:sz w:val="24"/>
          <w:szCs w:val="24"/>
          <w:lang w:val="en-GB"/>
        </w:rPr>
        <w:t>. In order to obtain the two income smoothing measures several calculations have to be made. The formulas used will also be presented here.</w:t>
      </w:r>
    </w:p>
    <w:p w:rsidR="0032113F" w:rsidRDefault="0032113F" w:rsidP="00432023">
      <w:pPr>
        <w:spacing w:line="360" w:lineRule="auto"/>
        <w:contextualSpacing/>
        <w:rPr>
          <w:rFonts w:ascii="Times New Roman" w:hAnsi="Times New Roman" w:cs="Times New Roman"/>
          <w:sz w:val="24"/>
          <w:szCs w:val="24"/>
          <w:lang w:val="en-GB"/>
        </w:rPr>
      </w:pPr>
    </w:p>
    <w:p w:rsidR="0032113F" w:rsidRDefault="0032113F" w:rsidP="00432023">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lang w:val="en-GB"/>
        </w:rPr>
        <w:t xml:space="preserve">Chapter 9 discusses the statistical analysis </w:t>
      </w:r>
      <w:r w:rsidR="00EA0AEE">
        <w:rPr>
          <w:rFonts w:ascii="Times New Roman" w:hAnsi="Times New Roman" w:cs="Times New Roman"/>
          <w:sz w:val="24"/>
          <w:szCs w:val="24"/>
          <w:lang w:val="en-GB"/>
        </w:rPr>
        <w:t xml:space="preserve">and results </w:t>
      </w:r>
      <w:r>
        <w:rPr>
          <w:rFonts w:ascii="Times New Roman" w:hAnsi="Times New Roman" w:cs="Times New Roman"/>
          <w:sz w:val="24"/>
          <w:szCs w:val="24"/>
          <w:lang w:val="en-GB"/>
        </w:rPr>
        <w:t>for the first leg of this research; the influence of investor protection on income smoothing.</w:t>
      </w:r>
    </w:p>
    <w:p w:rsidR="00EA0AEE" w:rsidRDefault="00EA0AEE" w:rsidP="00432023">
      <w:pPr>
        <w:spacing w:line="360" w:lineRule="auto"/>
        <w:contextualSpacing/>
        <w:rPr>
          <w:rFonts w:ascii="Times New Roman" w:hAnsi="Times New Roman" w:cs="Times New Roman"/>
          <w:sz w:val="24"/>
          <w:szCs w:val="24"/>
          <w:lang w:val="en-GB"/>
        </w:rPr>
      </w:pPr>
    </w:p>
    <w:p w:rsidR="00EA0AEE" w:rsidRDefault="00EA0AEE" w:rsidP="00432023">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lang w:val="en-GB"/>
        </w:rPr>
        <w:t>Chapter 10 presents the empirical study for the second leg of this research; income smoothing in the pre-IFRS and post-IFRS period.</w:t>
      </w:r>
    </w:p>
    <w:p w:rsidR="00EA0AEE" w:rsidRDefault="00EA0AEE" w:rsidP="00432023">
      <w:pPr>
        <w:spacing w:line="360" w:lineRule="auto"/>
        <w:contextualSpacing/>
        <w:rPr>
          <w:rFonts w:ascii="Times New Roman" w:hAnsi="Times New Roman" w:cs="Times New Roman"/>
          <w:sz w:val="24"/>
          <w:szCs w:val="24"/>
          <w:lang w:val="en-GB"/>
        </w:rPr>
      </w:pPr>
    </w:p>
    <w:p w:rsidR="00EA0AEE" w:rsidRDefault="00EA0AEE" w:rsidP="00432023">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lang w:val="en-GB"/>
        </w:rPr>
        <w:t xml:space="preserve">Chapter 11 </w:t>
      </w:r>
      <w:r w:rsidR="00CB3D2A">
        <w:rPr>
          <w:rFonts w:ascii="Times New Roman" w:hAnsi="Times New Roman" w:cs="Times New Roman"/>
          <w:sz w:val="24"/>
          <w:szCs w:val="24"/>
          <w:lang w:val="en-GB"/>
        </w:rPr>
        <w:t>addresse</w:t>
      </w:r>
      <w:r>
        <w:rPr>
          <w:rFonts w:ascii="Times New Roman" w:hAnsi="Times New Roman" w:cs="Times New Roman"/>
          <w:sz w:val="24"/>
          <w:szCs w:val="24"/>
          <w:lang w:val="en-GB"/>
        </w:rPr>
        <w:t xml:space="preserve">s the limitations regarding this research. Also, suggestions for future research are presented in this chapter. </w:t>
      </w:r>
    </w:p>
    <w:p w:rsidR="00501924" w:rsidRDefault="00501924" w:rsidP="00432023">
      <w:pPr>
        <w:spacing w:line="360" w:lineRule="auto"/>
        <w:contextualSpacing/>
        <w:rPr>
          <w:rFonts w:ascii="Times New Roman" w:hAnsi="Times New Roman" w:cs="Times New Roman"/>
          <w:sz w:val="24"/>
          <w:szCs w:val="24"/>
          <w:lang w:val="en-GB"/>
        </w:rPr>
      </w:pPr>
    </w:p>
    <w:p w:rsidR="00501924" w:rsidRDefault="00501924" w:rsidP="00432023">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lang w:val="en-GB"/>
        </w:rPr>
        <w:t>Chapter 12 reviews the literature and statistical analysis and concludes.</w:t>
      </w:r>
    </w:p>
    <w:p w:rsidR="00EA0AEE" w:rsidRPr="00ED31D3" w:rsidRDefault="00EA0AEE" w:rsidP="00432023">
      <w:pPr>
        <w:spacing w:line="360" w:lineRule="auto"/>
        <w:contextualSpacing/>
        <w:rPr>
          <w:rFonts w:ascii="Times New Roman" w:hAnsi="Times New Roman" w:cs="Times New Roman"/>
          <w:sz w:val="24"/>
          <w:szCs w:val="24"/>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A02517" w:rsidRDefault="00A02517" w:rsidP="00432023">
      <w:pPr>
        <w:spacing w:line="360" w:lineRule="auto"/>
        <w:contextualSpacing/>
        <w:rPr>
          <w:lang w:val="en-GB"/>
        </w:rPr>
      </w:pPr>
    </w:p>
    <w:p w:rsidR="00A02517" w:rsidRDefault="00A02517" w:rsidP="00432023">
      <w:pPr>
        <w:spacing w:line="360" w:lineRule="auto"/>
        <w:contextualSpacing/>
        <w:rPr>
          <w:lang w:val="en-GB"/>
        </w:rPr>
      </w:pPr>
    </w:p>
    <w:p w:rsidR="00A02517" w:rsidRDefault="00A02517" w:rsidP="00432023">
      <w:pPr>
        <w:spacing w:line="360" w:lineRule="auto"/>
        <w:contextualSpacing/>
        <w:rPr>
          <w:lang w:val="en-GB"/>
        </w:rPr>
      </w:pPr>
    </w:p>
    <w:p w:rsidR="00432023" w:rsidRPr="00662A4F" w:rsidRDefault="00432023" w:rsidP="00432023">
      <w:pPr>
        <w:pStyle w:val="Heading4"/>
        <w:spacing w:line="360" w:lineRule="auto"/>
        <w:contextualSpacing/>
        <w:rPr>
          <w:rFonts w:ascii="Calibri" w:hAnsi="Calibri"/>
        </w:rPr>
      </w:pPr>
      <w:bookmarkStart w:id="7" w:name="_Toc254909662"/>
      <w:bookmarkStart w:id="8" w:name="_Toc268669721"/>
      <w:r w:rsidRPr="00662A4F">
        <w:rPr>
          <w:rFonts w:ascii="Calibri" w:hAnsi="Calibri"/>
        </w:rPr>
        <w:lastRenderedPageBreak/>
        <w:t>2</w:t>
      </w:r>
      <w:r w:rsidRPr="00662A4F">
        <w:rPr>
          <w:rFonts w:ascii="Calibri" w:hAnsi="Calibri"/>
        </w:rPr>
        <w:tab/>
        <w:t>Earnings Management</w:t>
      </w:r>
      <w:bookmarkEnd w:id="7"/>
      <w:bookmarkEnd w:id="8"/>
      <w:r w:rsidRPr="00662A4F">
        <w:rPr>
          <w:rFonts w:ascii="Calibri" w:hAnsi="Calibri"/>
        </w:rPr>
        <w:t xml:space="preserve">  </w:t>
      </w:r>
    </w:p>
    <w:p w:rsidR="00432023" w:rsidRPr="00CB12CA" w:rsidRDefault="00432023" w:rsidP="00432023">
      <w:pPr>
        <w:spacing w:line="360" w:lineRule="auto"/>
        <w:contextualSpacing/>
        <w:rPr>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The definition that best captures the essence of earnings management is the following</w:t>
      </w:r>
      <w:r w:rsidRPr="00ED31D3">
        <w:rPr>
          <w:rStyle w:val="FootnoteReference"/>
          <w:rFonts w:ascii="Times New Roman" w:hAnsi="Times New Roman" w:cs="Times New Roman"/>
          <w:sz w:val="24"/>
          <w:szCs w:val="24"/>
          <w:lang w:val="en-GB"/>
        </w:rPr>
        <w:footnoteReference w:id="1"/>
      </w:r>
      <w:r w:rsidRPr="00ED31D3">
        <w:rPr>
          <w:rFonts w:ascii="Times New Roman" w:hAnsi="Times New Roman" w:cs="Times New Roman"/>
          <w:sz w:val="24"/>
          <w:szCs w:val="24"/>
          <w:lang w:val="en-GB"/>
        </w:rPr>
        <w:t xml:space="preserve">: </w:t>
      </w:r>
      <w:r w:rsidRPr="00ED31D3">
        <w:rPr>
          <w:rFonts w:ascii="Times New Roman" w:hAnsi="Times New Roman" w:cs="Times New Roman"/>
          <w:i/>
          <w:sz w:val="24"/>
          <w:szCs w:val="24"/>
          <w:lang w:val="en-GB"/>
        </w:rPr>
        <w:t xml:space="preserve">“Earnings management occurs when managers use judgment in financial reporting and in structuring transactions to alter financial reports to either mislead some stakeholders about the underlying economic performance of the company or to influence contractual outcomes that depend on reported accounting number” </w:t>
      </w:r>
      <w:r w:rsidRPr="00ED31D3">
        <w:rPr>
          <w:rFonts w:ascii="Times New Roman" w:hAnsi="Times New Roman" w:cs="Times New Roman"/>
          <w:sz w:val="24"/>
          <w:szCs w:val="24"/>
          <w:lang w:val="en-GB"/>
        </w:rPr>
        <w:t>(Healy and Wahlen 1999, stated in Ronen and Yaari 2008). Earnings management is a phenomenon that exists all over the globe, but evidence has proved that the level of earnings management will differ among countries (Braun and Rodriguez 2008). Some researchers are of the opinion that earnings management can be prevented if the reason for engaging in earnings management is known and how it is done (Erickson, Hanlon and Maydew 2006). There are several ways to engage in earnings management</w:t>
      </w:r>
      <w:r w:rsidRPr="00ED31D3">
        <w:rPr>
          <w:rStyle w:val="FootnoteReference"/>
          <w:rFonts w:ascii="Times New Roman" w:hAnsi="Times New Roman" w:cs="Times New Roman"/>
          <w:sz w:val="24"/>
          <w:szCs w:val="24"/>
          <w:lang w:val="en-GB"/>
        </w:rPr>
        <w:footnoteReference w:id="2"/>
      </w:r>
      <w:r w:rsidRPr="00ED31D3">
        <w:rPr>
          <w:rFonts w:ascii="Times New Roman" w:hAnsi="Times New Roman" w:cs="Times New Roman"/>
          <w:sz w:val="24"/>
          <w:szCs w:val="24"/>
          <w:lang w:val="en-GB"/>
        </w:rPr>
        <w:t xml:space="preserve">, but the largest account that has been used for earning management is the recognition of revenues and expenses (Dechow, Sloan and Sweeney 1996).  Often earnings management is carried out </w:t>
      </w:r>
      <w:r w:rsidR="007F27D1">
        <w:rPr>
          <w:rFonts w:ascii="Times New Roman" w:hAnsi="Times New Roman" w:cs="Times New Roman"/>
          <w:sz w:val="24"/>
          <w:szCs w:val="24"/>
          <w:lang w:val="en-GB"/>
        </w:rPr>
        <w:t xml:space="preserve">to </w:t>
      </w:r>
      <w:r w:rsidRPr="00ED31D3">
        <w:rPr>
          <w:rFonts w:ascii="Times New Roman" w:hAnsi="Times New Roman" w:cs="Times New Roman"/>
          <w:sz w:val="24"/>
          <w:szCs w:val="24"/>
          <w:lang w:val="en-GB"/>
        </w:rPr>
        <w:t xml:space="preserve">smooth earnings. Management can use the availability of accounting discretion to understate earnings in years of good performance and create reserves for years of less good performance, this is called income smoothing. Several studies suggest that earnings management can be limited by well-designed corporate governance structures (Dechow, Sloan and Sweeney 1996, Cornett et al. 2006). </w:t>
      </w:r>
    </w:p>
    <w:p w:rsidR="00432023" w:rsidRPr="00ED31D3" w:rsidRDefault="00432023" w:rsidP="00432023">
      <w:pPr>
        <w:autoSpaceDE w:val="0"/>
        <w:autoSpaceDN w:val="0"/>
        <w:adjustRightInd w:val="0"/>
        <w:spacing w:line="360" w:lineRule="auto"/>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Dividend-paying firms tend to manage earnings upward when their earnings would otherwise fall short of expected dividend levels. This behaviour is evident only in firms with positive debt and is more aggressive prior to the Sarbanes-Oxley Act, in high-payout firms, in firms whose CEOs receive higher dollar dividends and have higher pay-performance sensitivities (Daniel et al. 2008). Moreover, this earnings management </w:t>
      </w:r>
      <w:r w:rsidRPr="00ED31D3">
        <w:rPr>
          <w:rFonts w:ascii="Times New Roman" w:hAnsi="Times New Roman" w:cs="Times New Roman"/>
          <w:sz w:val="24"/>
          <w:szCs w:val="24"/>
          <w:lang w:val="en-GB"/>
        </w:rPr>
        <w:lastRenderedPageBreak/>
        <w:t xml:space="preserve">behaviour appears to significantly impact the likelihood of a dividend cut. Research done by Daniel, Denis and Naveen implied that managers treat expected dividend levels as an important earnings threshold. </w:t>
      </w:r>
      <w:r w:rsidRPr="00ED31D3">
        <w:rPr>
          <w:rFonts w:ascii="Times New Roman" w:hAnsi="Times New Roman" w:cs="Times New Roman"/>
          <w:color w:val="000000"/>
          <w:sz w:val="24"/>
          <w:szCs w:val="24"/>
          <w:lang w:val="en-GB"/>
        </w:rPr>
        <w:t xml:space="preserve">If reported earnings are an important dividend threshold, managers have the incentive to manage earnings upwards to avoid dividend cuts when reported earnings would otherwise be below expected dividend levels (e.g., </w:t>
      </w:r>
      <w:r w:rsidRPr="00ED31D3">
        <w:rPr>
          <w:rFonts w:ascii="Times New Roman" w:hAnsi="Times New Roman" w:cs="Times New Roman"/>
          <w:sz w:val="24"/>
          <w:szCs w:val="24"/>
          <w:lang w:val="en-GB"/>
        </w:rPr>
        <w:t>see Watts and Zimmerman, 1986).</w:t>
      </w:r>
      <w:r w:rsidRPr="00ED31D3">
        <w:rPr>
          <w:rFonts w:ascii="Times New Roman" w:hAnsi="Times New Roman" w:cs="Times New Roman"/>
          <w:color w:val="000000"/>
          <w:sz w:val="24"/>
          <w:szCs w:val="24"/>
          <w:lang w:val="en-GB"/>
        </w:rPr>
        <w:t xml:space="preserve"> In other words, even though managing earnings does not alter the firm’s capacity to pay dividends by generating additional cash, managing earnings upward still affects the firm’s ability to pay dividends by allowing the firm to circumvent constraints imposed by the firm’s debt covenants (Daniel et al. 2008).</w:t>
      </w:r>
    </w:p>
    <w:p w:rsidR="00432023" w:rsidRPr="00662A4F" w:rsidRDefault="00432023" w:rsidP="00432023">
      <w:pPr>
        <w:pStyle w:val="Heading4"/>
        <w:spacing w:line="360" w:lineRule="auto"/>
        <w:contextualSpacing/>
        <w:rPr>
          <w:rFonts w:ascii="Calibri" w:hAnsi="Calibri"/>
        </w:rPr>
      </w:pPr>
      <w:bookmarkStart w:id="9" w:name="_Toc254909663"/>
      <w:bookmarkStart w:id="10" w:name="_Toc268669722"/>
      <w:r w:rsidRPr="00662A4F">
        <w:rPr>
          <w:rFonts w:ascii="Calibri" w:hAnsi="Calibri"/>
        </w:rPr>
        <w:t>2.1</w:t>
      </w:r>
      <w:r w:rsidRPr="00662A4F">
        <w:rPr>
          <w:rFonts w:ascii="Calibri" w:hAnsi="Calibri"/>
        </w:rPr>
        <w:tab/>
        <w:t>The Difference between Earnings Management and Fraud</w:t>
      </w:r>
      <w:bookmarkEnd w:id="10"/>
    </w:p>
    <w:p w:rsidR="00432023" w:rsidRPr="00DB7088" w:rsidRDefault="00432023" w:rsidP="00432023"/>
    <w:p w:rsidR="00432023" w:rsidRPr="00ED31D3" w:rsidRDefault="00432023" w:rsidP="00432023">
      <w:pPr>
        <w:spacing w:line="360" w:lineRule="auto"/>
        <w:rPr>
          <w:rFonts w:ascii="Times New Roman" w:hAnsi="Times New Roman" w:cs="Times New Roman"/>
          <w:sz w:val="24"/>
          <w:szCs w:val="24"/>
        </w:rPr>
      </w:pPr>
      <w:r w:rsidRPr="00ED31D3">
        <w:rPr>
          <w:rFonts w:ascii="Times New Roman" w:hAnsi="Times New Roman" w:cs="Times New Roman"/>
          <w:sz w:val="24"/>
          <w:szCs w:val="24"/>
        </w:rPr>
        <w:t>Earnings management can be either within or outside the boundaries of the law and standards. Earnings management within the law involves the actions which are allowed within the rules, but which are not necessarily within the spirit of the rules. This however means that the lines of the law are not crossed. GAAP generally allow for a certain degree of interpretation. Manipulation that is outside the law constitutes fraud and is illegal (Stolowy and Breton 2004). Examples o</w:t>
      </w:r>
      <w:r w:rsidR="00E05EFF">
        <w:rPr>
          <w:rFonts w:ascii="Times New Roman" w:hAnsi="Times New Roman" w:cs="Times New Roman"/>
          <w:sz w:val="24"/>
          <w:szCs w:val="24"/>
        </w:rPr>
        <w:t>f fraudulent actions are recording</w:t>
      </w:r>
      <w:r w:rsidRPr="00ED31D3">
        <w:rPr>
          <w:rFonts w:ascii="Times New Roman" w:hAnsi="Times New Roman" w:cs="Times New Roman"/>
          <w:sz w:val="24"/>
          <w:szCs w:val="24"/>
        </w:rPr>
        <w:t xml:space="preserve"> unearned or uncertain revenue and recorded fictitious inventory. Falsified documents or deleted or forged transactions are also considered to be fraudulent actions (Stolowy and Breton 2004).</w:t>
      </w:r>
      <w:r w:rsidR="00E05EFF">
        <w:rPr>
          <w:rFonts w:ascii="Times New Roman" w:hAnsi="Times New Roman" w:cs="Times New Roman"/>
          <w:sz w:val="24"/>
          <w:szCs w:val="24"/>
        </w:rPr>
        <w:t xml:space="preserve"> </w:t>
      </w:r>
      <w:r w:rsidRPr="00ED31D3">
        <w:rPr>
          <w:rFonts w:ascii="Times New Roman" w:hAnsi="Times New Roman" w:cs="Times New Roman"/>
          <w:sz w:val="24"/>
          <w:szCs w:val="24"/>
        </w:rPr>
        <w:t xml:space="preserve">The actions which can be considered as earnings management, such as income smoothing and big-bath accounting, normally remain within the boundaries of the law. </w:t>
      </w:r>
    </w:p>
    <w:p w:rsidR="00432023" w:rsidRPr="00ED31D3" w:rsidRDefault="00432023" w:rsidP="00432023">
      <w:pPr>
        <w:spacing w:line="360" w:lineRule="auto"/>
        <w:rPr>
          <w:rFonts w:ascii="Times New Roman" w:hAnsi="Times New Roman" w:cs="Times New Roman"/>
          <w:sz w:val="24"/>
          <w:szCs w:val="24"/>
        </w:rPr>
      </w:pPr>
      <w:r w:rsidRPr="00ED31D3">
        <w:rPr>
          <w:rFonts w:ascii="Times New Roman" w:hAnsi="Times New Roman" w:cs="Times New Roman"/>
          <w:sz w:val="24"/>
          <w:szCs w:val="24"/>
        </w:rPr>
        <w:t>Managing earnings does not give a fair representation of the financial position and therefore would not fit in the “fair representation zone” in the figure below. Manipulation however, is not fraud and therefore not illegal.</w:t>
      </w:r>
    </w:p>
    <w:p w:rsidR="00432023" w:rsidRPr="00ED31D3" w:rsidRDefault="00432023" w:rsidP="003C64A6">
      <w:pPr>
        <w:spacing w:line="360" w:lineRule="auto"/>
        <w:rPr>
          <w:rFonts w:ascii="Times New Roman" w:hAnsi="Times New Roman" w:cs="Times New Roman"/>
          <w:sz w:val="24"/>
          <w:szCs w:val="24"/>
        </w:rPr>
      </w:pPr>
      <w:r w:rsidRPr="00ED31D3">
        <w:rPr>
          <w:rFonts w:ascii="Times New Roman" w:hAnsi="Times New Roman" w:cs="Times New Roman"/>
          <w:sz w:val="24"/>
          <w:szCs w:val="24"/>
        </w:rPr>
        <w:t xml:space="preserve">Dechow and Skinner (2000) make a distinction between actions which violate GAAP and actions which are within GAAP. Within GAAP there are three categories: </w:t>
      </w:r>
      <w:r w:rsidRPr="00ED31D3">
        <w:rPr>
          <w:rFonts w:ascii="Times New Roman" w:hAnsi="Times New Roman" w:cs="Times New Roman"/>
          <w:i/>
          <w:sz w:val="24"/>
          <w:szCs w:val="24"/>
        </w:rPr>
        <w:t>conservative accounting, neutral accounting</w:t>
      </w:r>
      <w:r w:rsidRPr="00ED31D3">
        <w:rPr>
          <w:rFonts w:ascii="Times New Roman" w:hAnsi="Times New Roman" w:cs="Times New Roman"/>
          <w:sz w:val="24"/>
          <w:szCs w:val="24"/>
        </w:rPr>
        <w:t xml:space="preserve"> and </w:t>
      </w:r>
      <w:r w:rsidRPr="00ED31D3">
        <w:rPr>
          <w:rFonts w:ascii="Times New Roman" w:hAnsi="Times New Roman" w:cs="Times New Roman"/>
          <w:i/>
          <w:sz w:val="24"/>
          <w:szCs w:val="24"/>
        </w:rPr>
        <w:t>aggressive accounting</w:t>
      </w:r>
      <w:r w:rsidRPr="00ED31D3">
        <w:rPr>
          <w:rFonts w:ascii="Times New Roman" w:hAnsi="Times New Roman" w:cs="Times New Roman"/>
          <w:sz w:val="24"/>
          <w:szCs w:val="24"/>
        </w:rPr>
        <w:t>. They distinguish between fraudulent actions and actions which are aggressive, but still acceptable. This thesis will focus on non-fraudulent actions.</w:t>
      </w:r>
    </w:p>
    <w:p w:rsidR="00547862" w:rsidRDefault="00432023" w:rsidP="00432023">
      <w:pPr>
        <w:spacing w:line="360" w:lineRule="auto"/>
        <w:rPr>
          <w:rFonts w:ascii="Times New Roman" w:hAnsi="Times New Roman" w:cs="Times New Roman"/>
          <w:sz w:val="24"/>
          <w:szCs w:val="24"/>
        </w:rPr>
      </w:pPr>
      <w:r w:rsidRPr="00ED31D3">
        <w:rPr>
          <w:rFonts w:ascii="Times New Roman" w:hAnsi="Times New Roman" w:cs="Times New Roman"/>
          <w:sz w:val="24"/>
          <w:szCs w:val="24"/>
        </w:rPr>
        <w:t>The figure below is obtained from Stolowy and Breton, 2004.</w:t>
      </w:r>
    </w:p>
    <w:p w:rsidR="002B41F4" w:rsidRDefault="002B41F4" w:rsidP="00432023">
      <w:pPr>
        <w:spacing w:line="360" w:lineRule="auto"/>
        <w:rPr>
          <w:rFonts w:ascii="Times New Roman" w:hAnsi="Times New Roman" w:cs="Times New Roman"/>
          <w:sz w:val="24"/>
          <w:szCs w:val="24"/>
        </w:rPr>
      </w:pPr>
    </w:p>
    <w:p w:rsidR="00432023" w:rsidRDefault="00B7519E" w:rsidP="00432023">
      <w:pPr>
        <w:spacing w:line="360" w:lineRule="auto"/>
      </w:pPr>
      <w:r>
        <w:rPr>
          <w:noProof/>
          <w:lang w:bidi="ar-SA"/>
        </w:rPr>
        <w:lastRenderedPageBreak/>
        <w:pict>
          <v:shapetype id="_x0000_t32" coordsize="21600,21600" o:spt="32" o:oned="t" path="m,l21600,21600e" filled="f">
            <v:path arrowok="t" fillok="f" o:connecttype="none"/>
            <o:lock v:ext="edit" shapetype="t"/>
          </v:shapetype>
          <v:shape id="_x0000_s1113" type="#_x0000_t32" style="position:absolute;left:0;text-align:left;margin-left:324.65pt;margin-top:4.9pt;width:0;height:147.75pt;z-index:251676672" o:connectortype="straight"/>
        </w:pict>
      </w:r>
      <w:r>
        <w:rPr>
          <w:noProof/>
          <w:lang w:bidi="ar-SA"/>
        </w:rPr>
        <w:pict>
          <v:shape id="_x0000_s1111" type="#_x0000_t32" style="position:absolute;left:0;text-align:left;margin-left:74.9pt;margin-top:4.9pt;width:0;height:147.75pt;z-index:251675648" o:connectortype="straight"/>
        </w:pict>
      </w:r>
      <w:r>
        <w:rPr>
          <w:noProof/>
          <w:lang w:bidi="ar-SA"/>
        </w:rPr>
        <w:pict>
          <v:rect id="_x0000_s1109" style="position:absolute;left:0;text-align:left;margin-left:-19.6pt;margin-top:-13.1pt;width:464.25pt;height:172.5pt;z-index:251673600">
            <v:textbox style="mso-next-textbox:#_x0000_s1109">
              <w:txbxContent>
                <w:p w:rsidR="00FA50DF" w:rsidRDefault="00FA50DF" w:rsidP="009D4DC3">
                  <w:pPr>
                    <w:pStyle w:val="NoSpacing"/>
                  </w:pPr>
                  <w:r w:rsidRPr="00A13542">
                    <w:t xml:space="preserve">       </w:t>
                  </w:r>
                </w:p>
                <w:p w:rsidR="00FA50DF" w:rsidRDefault="00FA50DF" w:rsidP="009D4DC3">
                  <w:pPr>
                    <w:pStyle w:val="NoSpacing"/>
                  </w:pPr>
                </w:p>
                <w:p w:rsidR="00FA50DF" w:rsidRDefault="00FA50DF" w:rsidP="009D4DC3">
                  <w:pPr>
                    <w:pStyle w:val="NoSpacing"/>
                  </w:pPr>
                  <w:r>
                    <w:t xml:space="preserve">     </w:t>
                  </w:r>
                  <w:r w:rsidRPr="00A13542">
                    <w:t xml:space="preserve">     </w:t>
                  </w:r>
                </w:p>
                <w:p w:rsidR="00FA50DF" w:rsidRDefault="00FA50DF" w:rsidP="009D4DC3">
                  <w:pPr>
                    <w:pStyle w:val="NoSpacing"/>
                    <w:rPr>
                      <w:rFonts w:ascii="Times New Roman" w:hAnsi="Times New Roman" w:cs="Times New Roman"/>
                      <w:sz w:val="24"/>
                      <w:szCs w:val="24"/>
                    </w:rPr>
                  </w:pPr>
                  <w:r w:rsidRPr="00A13542">
                    <w:t xml:space="preserve"> </w:t>
                  </w:r>
                  <w:r w:rsidRPr="00D8015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D80153">
                    <w:rPr>
                      <w:rFonts w:ascii="Times New Roman" w:hAnsi="Times New Roman" w:cs="Times New Roman"/>
                      <w:sz w:val="24"/>
                      <w:szCs w:val="24"/>
                    </w:rPr>
                    <w:t xml:space="preserve">Fraud   </w:t>
                  </w:r>
                  <w:r>
                    <w:rPr>
                      <w:rFonts w:ascii="Times New Roman" w:hAnsi="Times New Roman" w:cs="Times New Roman"/>
                      <w:sz w:val="24"/>
                      <w:szCs w:val="24"/>
                    </w:rPr>
                    <w:t xml:space="preserve">                                                                                                      Fraud</w:t>
                  </w:r>
                </w:p>
                <w:p w:rsidR="00FA50DF" w:rsidRDefault="00FA50DF" w:rsidP="009D4DC3">
                  <w:pPr>
                    <w:pStyle w:val="NoSpacing"/>
                    <w:rPr>
                      <w:rFonts w:ascii="Times New Roman" w:hAnsi="Times New Roman" w:cs="Times New Roman"/>
                      <w:sz w:val="24"/>
                      <w:szCs w:val="24"/>
                    </w:rPr>
                  </w:pPr>
                  <w:r>
                    <w:rPr>
                      <w:rFonts w:ascii="Times New Roman" w:hAnsi="Times New Roman" w:cs="Times New Roman"/>
                      <w:sz w:val="24"/>
                      <w:szCs w:val="24"/>
                    </w:rPr>
                    <w:t xml:space="preserve">                                Manipulation                                    Manipulation</w:t>
                  </w:r>
                </w:p>
                <w:p w:rsidR="00FA50DF" w:rsidRPr="00D80153" w:rsidRDefault="00FA50DF" w:rsidP="009D4DC3">
                  <w:pPr>
                    <w:pStyle w:val="NoSpacing"/>
                    <w:rPr>
                      <w:rFonts w:ascii="Times New Roman" w:hAnsi="Times New Roman" w:cs="Times New Roman"/>
                      <w:sz w:val="24"/>
                      <w:szCs w:val="24"/>
                    </w:rPr>
                  </w:pPr>
                  <w:r>
                    <w:rPr>
                      <w:rFonts w:ascii="Times New Roman" w:hAnsi="Times New Roman" w:cs="Times New Roman"/>
                      <w:sz w:val="24"/>
                      <w:szCs w:val="24"/>
                    </w:rPr>
                    <w:t xml:space="preserve">                                                         Fair representation</w:t>
                  </w:r>
                  <w:r w:rsidRPr="00D80153">
                    <w:rPr>
                      <w:rFonts w:ascii="Times New Roman" w:hAnsi="Times New Roman" w:cs="Times New Roman"/>
                      <w:sz w:val="24"/>
                      <w:szCs w:val="24"/>
                    </w:rPr>
                    <w:t xml:space="preserve">                                             </w:t>
                  </w:r>
                </w:p>
              </w:txbxContent>
            </v:textbox>
          </v:rect>
        </w:pict>
      </w:r>
    </w:p>
    <w:p w:rsidR="00432023" w:rsidRDefault="00B7519E" w:rsidP="00432023">
      <w:pPr>
        <w:spacing w:line="360" w:lineRule="auto"/>
      </w:pPr>
      <w:r>
        <w:rPr>
          <w:noProof/>
          <w:lang w:bidi="ar-SA"/>
        </w:rPr>
        <w:pict>
          <v:shape id="_x0000_s1117" type="#_x0000_t32" style="position:absolute;left:0;text-align:left;margin-left:251.15pt;margin-top:3.15pt;width:0;height:108.75pt;z-index:251679744" o:connectortype="straight"/>
        </w:pict>
      </w:r>
      <w:r>
        <w:rPr>
          <w:noProof/>
          <w:lang w:bidi="ar-SA"/>
        </w:rPr>
        <w:pict>
          <v:shape id="_x0000_s1116" type="#_x0000_t32" style="position:absolute;left:0;text-align:left;margin-left:153.65pt;margin-top:3.15pt;width:0;height:105pt;z-index:251678720" o:connectortype="straight"/>
        </w:pict>
      </w:r>
    </w:p>
    <w:p w:rsidR="00432023" w:rsidRDefault="00432023" w:rsidP="00432023">
      <w:pPr>
        <w:spacing w:line="360" w:lineRule="auto"/>
      </w:pPr>
    </w:p>
    <w:p w:rsidR="00432023" w:rsidRDefault="00B7519E" w:rsidP="00432023">
      <w:pPr>
        <w:spacing w:line="360" w:lineRule="auto"/>
      </w:pPr>
      <w:r>
        <w:rPr>
          <w:noProof/>
          <w:lang w:bidi="ar-SA"/>
        </w:rPr>
        <w:pict>
          <v:shape id="_x0000_s1122" type="#_x0000_t32" style="position:absolute;left:0;text-align:left;margin-left:153.65pt;margin-top:16.9pt;width:97.5pt;height:.05pt;z-index:251684864" o:connectortype="straight">
            <v:stroke startarrow="block" endarrow="block"/>
          </v:shape>
        </w:pict>
      </w:r>
      <w:r>
        <w:rPr>
          <w:noProof/>
          <w:lang w:bidi="ar-SA"/>
        </w:rPr>
        <w:pict>
          <v:shape id="_x0000_s1110" type="#_x0000_t32" style="position:absolute;left:0;text-align:left;margin-left:-5.35pt;margin-top:5.65pt;width:422.25pt;height:0;z-index:251674624" o:connectortype="straight"/>
        </w:pict>
      </w:r>
    </w:p>
    <w:p w:rsidR="00432023" w:rsidRDefault="00B7519E" w:rsidP="00432023">
      <w:pPr>
        <w:spacing w:line="360" w:lineRule="auto"/>
      </w:pPr>
      <w:r>
        <w:rPr>
          <w:noProof/>
          <w:lang w:bidi="ar-SA"/>
        </w:rPr>
        <w:pict>
          <v:shape id="_x0000_s1119" type="#_x0000_t32" style="position:absolute;left:0;text-align:left;margin-left:324.65pt;margin-top:16.75pt;width:97.5pt;height:.05pt;z-index:251681792" o:connectortype="straight">
            <v:stroke endarrow="block"/>
          </v:shape>
        </w:pict>
      </w:r>
      <w:r>
        <w:rPr>
          <w:noProof/>
          <w:lang w:bidi="ar-SA"/>
        </w:rPr>
        <w:pict>
          <v:shape id="_x0000_s1121" type="#_x0000_t32" style="position:absolute;left:0;text-align:left;margin-left:251.15pt;margin-top:4.65pt;width:73.5pt;height:.05pt;z-index:251683840" o:connectortype="straight">
            <v:stroke startarrow="block" endarrow="block"/>
          </v:shape>
        </w:pict>
      </w:r>
      <w:r>
        <w:rPr>
          <w:noProof/>
          <w:lang w:bidi="ar-SA"/>
        </w:rPr>
        <w:pict>
          <v:shape id="_x0000_s1120" type="#_x0000_t32" style="position:absolute;left:0;text-align:left;margin-left:74.9pt;margin-top:4.6pt;width:78.75pt;height:0;z-index:251682816" o:connectortype="straight">
            <v:stroke startarrow="block" endarrow="block"/>
          </v:shape>
        </w:pict>
      </w:r>
      <w:r>
        <w:rPr>
          <w:noProof/>
          <w:lang w:bidi="ar-SA"/>
        </w:rPr>
        <w:pict>
          <v:shape id="_x0000_s1118" type="#_x0000_t32" style="position:absolute;left:0;text-align:left;margin-left:-5.35pt;margin-top:16.7pt;width:80.25pt;height:.05pt;flip:x;z-index:251680768" o:connectortype="straight">
            <v:stroke endarrow="block"/>
          </v:shape>
        </w:pict>
      </w:r>
    </w:p>
    <w:p w:rsidR="00432023" w:rsidRDefault="00432023" w:rsidP="00432023">
      <w:pPr>
        <w:spacing w:line="360" w:lineRule="auto"/>
      </w:pPr>
    </w:p>
    <w:p w:rsidR="00432023" w:rsidRDefault="00432023" w:rsidP="00432023">
      <w:pPr>
        <w:spacing w:line="360" w:lineRule="auto"/>
      </w:pPr>
    </w:p>
    <w:p w:rsidR="00432023" w:rsidRPr="00CB6A2F" w:rsidRDefault="00432023" w:rsidP="00432023">
      <w:pPr>
        <w:pStyle w:val="Heading4"/>
        <w:numPr>
          <w:ilvl w:val="1"/>
          <w:numId w:val="33"/>
        </w:numPr>
        <w:spacing w:line="360" w:lineRule="auto"/>
        <w:contextualSpacing/>
        <w:rPr>
          <w:rFonts w:ascii="Calibri" w:hAnsi="Calibri"/>
        </w:rPr>
      </w:pPr>
      <w:r w:rsidRPr="00CB6A2F">
        <w:rPr>
          <w:rFonts w:ascii="Calibri" w:hAnsi="Calibri"/>
        </w:rPr>
        <w:t xml:space="preserve">     </w:t>
      </w:r>
      <w:bookmarkStart w:id="11" w:name="_Toc268669723"/>
      <w:r w:rsidRPr="00CB6A2F">
        <w:rPr>
          <w:rFonts w:ascii="Calibri" w:hAnsi="Calibri"/>
        </w:rPr>
        <w:t>Income Smoothing</w:t>
      </w:r>
      <w:bookmarkEnd w:id="9"/>
      <w:bookmarkEnd w:id="11"/>
    </w:p>
    <w:p w:rsidR="00432023" w:rsidRPr="00F342A1" w:rsidRDefault="00432023" w:rsidP="00432023">
      <w:pPr>
        <w:spacing w:line="360" w:lineRule="auto"/>
        <w:contextualSpacing/>
        <w:rPr>
          <w:lang w:val="en-GB"/>
        </w:rPr>
      </w:pP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As mentioned earlier, managers engage in income smoothing to reduce the amount of variation in periodic earnings over time. Income smoothing can be seen as a particular form of earnings management (Stolowy and Breton 2004). To exist, this form of manipulation needs the firm to make large enough profits. </w:t>
      </w:r>
      <w:r w:rsidRPr="00ED31D3">
        <w:rPr>
          <w:rFonts w:ascii="Times New Roman" w:hAnsi="Times New Roman" w:cs="Times New Roman"/>
          <w:sz w:val="24"/>
          <w:szCs w:val="24"/>
        </w:rPr>
        <w:t>A naturally smooth income stream simply implies that the income generating process inherently produces a smooth income stream (Eckel 1981).</w:t>
      </w: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 xml:space="preserve">There are two types of intentional smoothing. </w:t>
      </w:r>
      <w:r w:rsidRPr="00ED31D3">
        <w:rPr>
          <w:rFonts w:ascii="Times New Roman" w:hAnsi="Times New Roman" w:cs="Times New Roman"/>
          <w:i/>
          <w:sz w:val="24"/>
          <w:szCs w:val="24"/>
          <w:lang w:val="en-GB"/>
        </w:rPr>
        <w:t>Real smoothing</w:t>
      </w:r>
      <w:r w:rsidRPr="00ED31D3">
        <w:rPr>
          <w:rFonts w:ascii="Times New Roman" w:hAnsi="Times New Roman" w:cs="Times New Roman"/>
          <w:sz w:val="24"/>
          <w:szCs w:val="24"/>
          <w:lang w:val="en-GB"/>
        </w:rPr>
        <w:t xml:space="preserve"> involves making production and investment decisions that reduce the variability of earnings. </w:t>
      </w:r>
      <w:r w:rsidRPr="00ED31D3">
        <w:rPr>
          <w:rFonts w:ascii="Times New Roman" w:hAnsi="Times New Roman" w:cs="Times New Roman"/>
          <w:i/>
          <w:sz w:val="24"/>
          <w:szCs w:val="24"/>
          <w:lang w:val="en-GB"/>
        </w:rPr>
        <w:t xml:space="preserve">Artificial </w:t>
      </w:r>
      <w:r w:rsidRPr="00ED31D3">
        <w:rPr>
          <w:rFonts w:ascii="Times New Roman" w:hAnsi="Times New Roman" w:cs="Times New Roman"/>
          <w:sz w:val="24"/>
          <w:szCs w:val="24"/>
          <w:lang w:val="en-GB"/>
        </w:rPr>
        <w:t>or</w:t>
      </w:r>
      <w:r w:rsidRPr="00ED31D3">
        <w:rPr>
          <w:rFonts w:ascii="Times New Roman" w:hAnsi="Times New Roman" w:cs="Times New Roman"/>
          <w:i/>
          <w:sz w:val="24"/>
          <w:szCs w:val="24"/>
          <w:lang w:val="en-GB"/>
        </w:rPr>
        <w:t xml:space="preserve"> cosmetic smoothing</w:t>
      </w:r>
      <w:r w:rsidRPr="00ED31D3">
        <w:rPr>
          <w:rFonts w:ascii="Times New Roman" w:hAnsi="Times New Roman" w:cs="Times New Roman"/>
          <w:sz w:val="24"/>
          <w:szCs w:val="24"/>
          <w:lang w:val="en-GB"/>
        </w:rPr>
        <w:t xml:space="preserve"> is achieved through accounting choices. So, management is responsible for the occurrence of both real and artificial smoothing.</w:t>
      </w:r>
    </w:p>
    <w:p w:rsidR="00432023" w:rsidRPr="00ED31D3" w:rsidRDefault="00432023" w:rsidP="00432023">
      <w:pPr>
        <w:spacing w:line="360" w:lineRule="auto"/>
        <w:contextualSpacing/>
        <w:rPr>
          <w:rFonts w:ascii="Times New Roman" w:hAnsi="Times New Roman" w:cs="Times New Roman"/>
          <w:sz w:val="24"/>
          <w:szCs w:val="24"/>
          <w:lang w:val="en-GB"/>
        </w:rPr>
      </w:pPr>
      <w:r w:rsidRPr="00ED31D3">
        <w:rPr>
          <w:rFonts w:ascii="Times New Roman" w:hAnsi="Times New Roman" w:cs="Times New Roman"/>
          <w:sz w:val="24"/>
          <w:szCs w:val="24"/>
          <w:lang w:val="en-GB"/>
        </w:rPr>
        <w:t>Eckel (1981) provided a clear overview of the types of income smoothing; the figure is displayed below.</w:t>
      </w:r>
    </w:p>
    <w:p w:rsidR="00432023" w:rsidRDefault="00B7519E" w:rsidP="00432023">
      <w:pPr>
        <w:spacing w:line="360" w:lineRule="auto"/>
        <w:contextualSpacing/>
        <w:rPr>
          <w:lang w:val="en-GB"/>
        </w:rPr>
      </w:pPr>
      <w:r>
        <w:rPr>
          <w:noProof/>
        </w:rPr>
        <w:pict>
          <v:roundrect id="_x0000_s1050" style="position:absolute;left:0;text-align:left;margin-left:164.65pt;margin-top:18.4pt;width:116.25pt;height:30.75pt;z-index:251660288" arcsize="10923f">
            <v:shadow on="t" opacity=".5" offset="6pt,6pt"/>
            <v:textbox style="mso-next-textbox:#_x0000_s1050">
              <w:txbxContent>
                <w:p w:rsidR="00FA50DF" w:rsidRPr="00363483" w:rsidRDefault="00FA50DF" w:rsidP="00432023">
                  <w:pPr>
                    <w:jc w:val="center"/>
                    <w:rPr>
                      <w:rFonts w:ascii="Times New Roman" w:hAnsi="Times New Roman" w:cs="Times New Roman"/>
                      <w:sz w:val="24"/>
                      <w:szCs w:val="24"/>
                    </w:rPr>
                  </w:pPr>
                  <w:r w:rsidRPr="00363483">
                    <w:rPr>
                      <w:rFonts w:ascii="Times New Roman" w:hAnsi="Times New Roman" w:cs="Times New Roman"/>
                      <w:sz w:val="24"/>
                      <w:szCs w:val="24"/>
                    </w:rPr>
                    <w:t>Income smoothing</w:t>
                  </w:r>
                </w:p>
              </w:txbxContent>
            </v:textbox>
          </v:roundrect>
        </w:pict>
      </w:r>
      <w:r w:rsidR="00432023">
        <w:rPr>
          <w:lang w:val="en-GB"/>
        </w:rPr>
        <w:t xml:space="preserve">                                                                                             </w:t>
      </w:r>
    </w:p>
    <w:p w:rsidR="00432023" w:rsidRDefault="00432023" w:rsidP="00432023">
      <w:pPr>
        <w:spacing w:line="360" w:lineRule="auto"/>
        <w:contextualSpacing/>
        <w:rPr>
          <w:lang w:val="en-GB"/>
        </w:rPr>
      </w:pPr>
    </w:p>
    <w:p w:rsidR="00432023" w:rsidRDefault="00B7519E" w:rsidP="00432023">
      <w:pPr>
        <w:spacing w:line="360" w:lineRule="auto"/>
        <w:contextualSpacing/>
        <w:rPr>
          <w:lang w:val="en-GB"/>
        </w:rPr>
      </w:pPr>
      <w:r>
        <w:rPr>
          <w:noProof/>
        </w:rPr>
        <w:pict>
          <v:shape id="_x0000_s1058" type="#_x0000_t32" style="position:absolute;left:0;text-align:left;margin-left:228.4pt;margin-top:15.85pt;width:0;height:15pt;flip:y;z-index:251668480" o:connectortype="straight"/>
        </w:pict>
      </w:r>
    </w:p>
    <w:p w:rsidR="00432023" w:rsidRDefault="00B7519E" w:rsidP="00432023">
      <w:pPr>
        <w:spacing w:line="360" w:lineRule="auto"/>
        <w:contextualSpacing/>
        <w:rPr>
          <w:lang w:val="en-GB"/>
        </w:rPr>
      </w:pPr>
      <w:r>
        <w:rPr>
          <w:noProof/>
        </w:rPr>
        <w:pict>
          <v:shape id="_x0000_s1056" type="#_x0000_t32" style="position:absolute;left:0;text-align:left;margin-left:387.35pt;margin-top:13.6pt;width:.05pt;height:26.25pt;z-index:251666432" o:connectortype="straight">
            <v:stroke endarrow="block"/>
          </v:shape>
        </w:pict>
      </w:r>
      <w:r>
        <w:rPr>
          <w:noProof/>
        </w:rPr>
        <w:pict>
          <v:shape id="_x0000_s1057" type="#_x0000_t32" style="position:absolute;left:0;text-align:left;margin-left:124.15pt;margin-top:13.6pt;width:0;height:26.25pt;z-index:251667456" o:connectortype="straight">
            <v:stroke endarrow="block"/>
          </v:shape>
        </w:pict>
      </w:r>
      <w:r>
        <w:rPr>
          <w:noProof/>
        </w:rPr>
        <w:pict>
          <v:shape id="_x0000_s1055" type="#_x0000_t32" style="position:absolute;left:0;text-align:left;margin-left:124.2pt;margin-top:13.6pt;width:263.25pt;height:0;z-index:251665408" o:connectortype="straight"/>
        </w:pict>
      </w:r>
    </w:p>
    <w:p w:rsidR="00432023" w:rsidRDefault="00432023" w:rsidP="00432023">
      <w:pPr>
        <w:spacing w:line="360" w:lineRule="auto"/>
        <w:contextualSpacing/>
        <w:rPr>
          <w:lang w:val="en-GB"/>
        </w:rPr>
      </w:pPr>
    </w:p>
    <w:p w:rsidR="00432023" w:rsidRDefault="00B7519E" w:rsidP="00432023">
      <w:pPr>
        <w:spacing w:line="360" w:lineRule="auto"/>
        <w:contextualSpacing/>
        <w:rPr>
          <w:lang w:val="en-GB"/>
        </w:rPr>
      </w:pPr>
      <w:r>
        <w:rPr>
          <w:noProof/>
          <w:lang w:bidi="ar-SA"/>
        </w:rPr>
        <w:pict>
          <v:roundrect id="_x0000_s1125" style="position:absolute;left:0;text-align:left;margin-left:324.65pt;margin-top:5.35pt;width:131.25pt;height:38.7pt;z-index:251685888" arcsize="10923f">
            <v:shadow on="t" opacity=".5" offset="6pt,6pt"/>
            <v:textbox style="mso-next-textbox:#_x0000_s1125">
              <w:txbxContent>
                <w:p w:rsidR="00FA50DF" w:rsidRPr="00792CEB" w:rsidRDefault="00FA50DF" w:rsidP="00792CEB">
                  <w:pPr>
                    <w:jc w:val="center"/>
                    <w:rPr>
                      <w:rFonts w:ascii="Times New Roman" w:hAnsi="Times New Roman" w:cs="Times New Roman"/>
                      <w:sz w:val="24"/>
                      <w:szCs w:val="24"/>
                    </w:rPr>
                  </w:pPr>
                  <w:r w:rsidRPr="00792CEB">
                    <w:rPr>
                      <w:rFonts w:ascii="Times New Roman" w:hAnsi="Times New Roman" w:cs="Times New Roman"/>
                      <w:sz w:val="24"/>
                      <w:szCs w:val="24"/>
                    </w:rPr>
                    <w:t>Natural smoothing</w:t>
                  </w:r>
                </w:p>
              </w:txbxContent>
            </v:textbox>
          </v:roundrect>
        </w:pict>
      </w:r>
      <w:r>
        <w:rPr>
          <w:noProof/>
        </w:rPr>
        <w:pict>
          <v:roundrect id="_x0000_s1051" style="position:absolute;left:0;text-align:left;margin-left:48.4pt;margin-top:5.35pt;width:150.75pt;height:42.75pt;z-index:251661312" arcsize="10923f">
            <v:shadow on="t" opacity=".5" offset="6pt,6pt"/>
            <v:textbox style="mso-next-textbox:#_x0000_s1051">
              <w:txbxContent>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Intentional smoothing by</w:t>
                  </w:r>
                </w:p>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Management</w:t>
                  </w:r>
                </w:p>
              </w:txbxContent>
            </v:textbox>
          </v:roundrect>
        </w:pict>
      </w:r>
    </w:p>
    <w:p w:rsidR="00432023" w:rsidRDefault="00432023" w:rsidP="00432023">
      <w:pPr>
        <w:spacing w:line="360" w:lineRule="auto"/>
        <w:contextualSpacing/>
        <w:rPr>
          <w:lang w:val="en-GB"/>
        </w:rPr>
      </w:pPr>
    </w:p>
    <w:p w:rsidR="00363483" w:rsidRDefault="00B7519E" w:rsidP="00432023">
      <w:pPr>
        <w:spacing w:line="360" w:lineRule="auto"/>
        <w:contextualSpacing/>
        <w:rPr>
          <w:lang w:val="en-GB"/>
        </w:rPr>
      </w:pPr>
      <w:r>
        <w:rPr>
          <w:noProof/>
        </w:rPr>
        <w:pict>
          <v:shape id="_x0000_s1062" type="#_x0000_t32" style="position:absolute;left:0;text-align:left;margin-left:124.15pt;margin-top:13.6pt;width:0;height:19.5pt;flip:y;z-index:251672576" o:connectortype="straight"/>
        </w:pict>
      </w:r>
    </w:p>
    <w:p w:rsidR="00363483" w:rsidRDefault="00B7519E" w:rsidP="00432023">
      <w:pPr>
        <w:spacing w:line="360" w:lineRule="auto"/>
        <w:contextualSpacing/>
        <w:rPr>
          <w:lang w:val="en-GB"/>
        </w:rPr>
      </w:pPr>
      <w:r>
        <w:rPr>
          <w:noProof/>
        </w:rPr>
        <w:pict>
          <v:shape id="_x0000_s1061" type="#_x0000_t32" style="position:absolute;left:0;text-align:left;margin-left:207.4pt;margin-top:15.85pt;width:0;height:21.75pt;z-index:251671552" o:connectortype="straight">
            <v:stroke endarrow="block"/>
          </v:shape>
        </w:pict>
      </w:r>
      <w:r>
        <w:rPr>
          <w:noProof/>
        </w:rPr>
        <w:pict>
          <v:shape id="_x0000_s1060" type="#_x0000_t32" style="position:absolute;left:0;text-align:left;margin-left:48.4pt;margin-top:15.85pt;width:0;height:21.75pt;z-index:251670528" o:connectortype="straight">
            <v:stroke endarrow="block"/>
          </v:shape>
        </w:pict>
      </w:r>
      <w:r>
        <w:rPr>
          <w:noProof/>
        </w:rPr>
        <w:pict>
          <v:shape id="_x0000_s1059" type="#_x0000_t32" style="position:absolute;left:0;text-align:left;margin-left:48.4pt;margin-top:15.85pt;width:159pt;height:0;z-index:251669504" o:connectortype="straight"/>
        </w:pict>
      </w:r>
    </w:p>
    <w:p w:rsidR="00363483" w:rsidRDefault="00363483" w:rsidP="00432023">
      <w:pPr>
        <w:spacing w:line="360" w:lineRule="auto"/>
        <w:contextualSpacing/>
        <w:rPr>
          <w:lang w:val="en-GB"/>
        </w:rPr>
      </w:pPr>
    </w:p>
    <w:p w:rsidR="00363483" w:rsidRDefault="00B7519E" w:rsidP="00432023">
      <w:pPr>
        <w:spacing w:line="360" w:lineRule="auto"/>
        <w:contextualSpacing/>
        <w:rPr>
          <w:lang w:val="en-GB"/>
        </w:rPr>
      </w:pPr>
      <w:r>
        <w:rPr>
          <w:noProof/>
        </w:rPr>
        <w:pict>
          <v:roundrect id="_x0000_s1054" style="position:absolute;left:0;text-align:left;margin-left:170.9pt;margin-top:3.1pt;width:70.5pt;height:40.5pt;z-index:251664384" arcsize="10923f">
            <v:shadow on="t" opacity=".5" offset="6pt,6pt"/>
            <v:textbox style="mso-next-textbox:#_x0000_s1054">
              <w:txbxContent>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Real</w:t>
                  </w:r>
                </w:p>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smoothing</w:t>
                  </w:r>
                </w:p>
              </w:txbxContent>
            </v:textbox>
          </v:roundrect>
        </w:pict>
      </w:r>
      <w:r>
        <w:rPr>
          <w:noProof/>
        </w:rPr>
        <w:pict>
          <v:roundrect id="_x0000_s1053" style="position:absolute;left:0;text-align:left;margin-left:16.15pt;margin-top:3.1pt;width:75pt;height:40.5pt;z-index:251663360" arcsize="10923f">
            <v:shadow on="t" opacity=".5" offset="6pt,6pt"/>
            <v:textbox style="mso-next-textbox:#_x0000_s1053">
              <w:txbxContent>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Artificial</w:t>
                  </w:r>
                </w:p>
                <w:p w:rsidR="00FA50DF" w:rsidRPr="009D4DC3" w:rsidRDefault="00FA50DF" w:rsidP="009D4DC3">
                  <w:pPr>
                    <w:pStyle w:val="NoSpacing"/>
                    <w:rPr>
                      <w:rFonts w:ascii="Times New Roman" w:hAnsi="Times New Roman" w:cs="Times New Roman"/>
                      <w:sz w:val="24"/>
                      <w:szCs w:val="24"/>
                    </w:rPr>
                  </w:pPr>
                  <w:r w:rsidRPr="009D4DC3">
                    <w:rPr>
                      <w:rFonts w:ascii="Times New Roman" w:hAnsi="Times New Roman" w:cs="Times New Roman"/>
                      <w:sz w:val="24"/>
                      <w:szCs w:val="24"/>
                    </w:rPr>
                    <w:t>smoothing</w:t>
                  </w:r>
                </w:p>
              </w:txbxContent>
            </v:textbox>
          </v:roundrect>
        </w:pict>
      </w: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Pr="00B04173" w:rsidRDefault="00432023" w:rsidP="00432023">
      <w:pPr>
        <w:spacing w:line="360" w:lineRule="auto"/>
        <w:contextualSpacing/>
        <w:rPr>
          <w:rFonts w:ascii="Times New Roman" w:hAnsi="Times New Roman" w:cs="Times New Roman"/>
          <w:sz w:val="24"/>
          <w:szCs w:val="24"/>
          <w:lang w:val="en-GB"/>
        </w:rPr>
      </w:pPr>
      <w:r w:rsidRPr="00B04173">
        <w:rPr>
          <w:rFonts w:ascii="Times New Roman" w:hAnsi="Times New Roman" w:cs="Times New Roman"/>
          <w:sz w:val="24"/>
          <w:szCs w:val="24"/>
          <w:lang w:val="en-GB"/>
        </w:rPr>
        <w:t>Researchers have several models at their disposal when it comes to detecting income smoothing. The accrual models (see chapter 3) as well as some other models are applicable. Over the past decades several other models have been created to detect income smoothing. The Imhoff and Eckel model, which will be discussed in chapter 4, and the Albrecht and Richardson model, are two of such models.</w:t>
      </w:r>
    </w:p>
    <w:p w:rsidR="00432023" w:rsidRPr="00B04173" w:rsidRDefault="00432023" w:rsidP="00432023">
      <w:pPr>
        <w:spacing w:line="360" w:lineRule="auto"/>
        <w:contextualSpacing/>
        <w:rPr>
          <w:rFonts w:ascii="Times New Roman" w:hAnsi="Times New Roman" w:cs="Times New Roman"/>
          <w:sz w:val="24"/>
          <w:szCs w:val="24"/>
          <w:lang w:val="en-GB"/>
        </w:rPr>
      </w:pPr>
      <w:r w:rsidRPr="00B04173">
        <w:rPr>
          <w:rFonts w:ascii="Times New Roman" w:hAnsi="Times New Roman" w:cs="Times New Roman"/>
          <w:sz w:val="24"/>
          <w:szCs w:val="24"/>
          <w:lang w:val="en-GB"/>
        </w:rPr>
        <w:t xml:space="preserve">Due to the discretion permitted by accounting policies managers have the flexibility to adjust reported earnings. Real smoothing is less transparent and therefore harder to detect (Ewert and Wagenhofer 2005). Prior research proved that managers, to their own benefit, distort earnings to give a wrong impression (Healy 1985). For example, managers will manipulate the numbers to increase their remuneration, to keep their jobs, to gain tax advantages and so on (Stolowy and Breton 2004). There is another reason why managers would engage in income smoothing. That is to communicate private information about future earnings to investors; Ronen and Sadan (1998) argue that income smoothing enhances the ability of external users to predict future income. </w:t>
      </w:r>
      <w:r w:rsidR="00D60642">
        <w:rPr>
          <w:rFonts w:ascii="Times New Roman" w:hAnsi="Times New Roman" w:cs="Times New Roman"/>
          <w:sz w:val="24"/>
          <w:szCs w:val="24"/>
          <w:lang w:val="en-GB"/>
        </w:rPr>
        <w:t>Studies done</w:t>
      </w:r>
      <w:r w:rsidRPr="00B04173">
        <w:rPr>
          <w:rFonts w:ascii="Times New Roman" w:hAnsi="Times New Roman" w:cs="Times New Roman"/>
          <w:sz w:val="24"/>
          <w:szCs w:val="24"/>
          <w:lang w:val="en-GB"/>
        </w:rPr>
        <w:t xml:space="preserve"> by Subramanyam (1996) </w:t>
      </w:r>
      <w:r w:rsidR="00D60642">
        <w:rPr>
          <w:rFonts w:ascii="Times New Roman" w:hAnsi="Times New Roman" w:cs="Times New Roman"/>
          <w:sz w:val="24"/>
          <w:szCs w:val="24"/>
          <w:lang w:val="en-GB"/>
        </w:rPr>
        <w:t xml:space="preserve">as well as Tucker and Zarowin (2006) </w:t>
      </w:r>
      <w:r w:rsidRPr="00B04173">
        <w:rPr>
          <w:rFonts w:ascii="Times New Roman" w:hAnsi="Times New Roman" w:cs="Times New Roman"/>
          <w:sz w:val="24"/>
          <w:szCs w:val="24"/>
          <w:lang w:val="en-GB"/>
        </w:rPr>
        <w:t>provided evidence that managers use discretionary accruals to smooth income. He also provides evidence which implies that income smoothing communicates information about future benefits. So, managers smooth earnings with both current and future relative performance in mind (DeFond and Park 1997). Thus, income smoothing can be seen as both positive and  negative. On the one side, the negative perspective is misleading the users</w:t>
      </w:r>
      <w:r w:rsidR="000A7435">
        <w:rPr>
          <w:rFonts w:ascii="Times New Roman" w:hAnsi="Times New Roman" w:cs="Times New Roman"/>
          <w:sz w:val="24"/>
          <w:szCs w:val="24"/>
          <w:lang w:val="en-GB"/>
        </w:rPr>
        <w:t xml:space="preserve"> of the financial reports and on the other side</w:t>
      </w:r>
      <w:r w:rsidRPr="00B04173">
        <w:rPr>
          <w:rFonts w:ascii="Times New Roman" w:hAnsi="Times New Roman" w:cs="Times New Roman"/>
          <w:sz w:val="24"/>
          <w:szCs w:val="24"/>
          <w:lang w:val="en-GB"/>
        </w:rPr>
        <w:t xml:space="preserve"> it will provide the investors of the company with information about future earnings (Ronen and Sadan 1980). The following two definitions will describe the positive and negative effect of income smoothing. The positive aspect of income smoothing is described by Ronen &amp; Sadan (1981). They state that income smoothing is </w:t>
      </w:r>
      <w:r w:rsidRPr="00B04173">
        <w:rPr>
          <w:rFonts w:ascii="Times New Roman" w:hAnsi="Times New Roman" w:cs="Times New Roman"/>
          <w:i/>
          <w:sz w:val="24"/>
          <w:szCs w:val="24"/>
          <w:lang w:val="en-GB"/>
        </w:rPr>
        <w:t>‘’a deliberate management’s attempt to signal useful information to users of financial reports’’</w:t>
      </w:r>
      <w:r w:rsidRPr="00B04173">
        <w:rPr>
          <w:rFonts w:ascii="Times New Roman" w:hAnsi="Times New Roman" w:cs="Times New Roman"/>
          <w:sz w:val="24"/>
          <w:szCs w:val="24"/>
          <w:lang w:val="en-GB"/>
        </w:rPr>
        <w:t xml:space="preserve">. </w:t>
      </w:r>
    </w:p>
    <w:p w:rsidR="00432023" w:rsidRPr="00B04173" w:rsidRDefault="00432023" w:rsidP="00432023">
      <w:pPr>
        <w:spacing w:line="360" w:lineRule="auto"/>
        <w:contextualSpacing/>
        <w:rPr>
          <w:rFonts w:ascii="Times New Roman" w:hAnsi="Times New Roman" w:cs="Times New Roman"/>
          <w:sz w:val="24"/>
          <w:szCs w:val="24"/>
          <w:lang w:val="en-GB"/>
        </w:rPr>
      </w:pPr>
      <w:r w:rsidRPr="00B04173">
        <w:rPr>
          <w:rFonts w:ascii="Times New Roman" w:hAnsi="Times New Roman" w:cs="Times New Roman"/>
          <w:sz w:val="24"/>
          <w:szCs w:val="24"/>
          <w:lang w:val="en-GB"/>
        </w:rPr>
        <w:t xml:space="preserve">The negative aspect of income smoothing can be described as follows: </w:t>
      </w:r>
      <w:r w:rsidRPr="00B04173">
        <w:rPr>
          <w:rFonts w:ascii="Times New Roman" w:hAnsi="Times New Roman" w:cs="Times New Roman"/>
          <w:i/>
          <w:sz w:val="24"/>
          <w:szCs w:val="24"/>
          <w:lang w:val="en-GB"/>
        </w:rPr>
        <w:t xml:space="preserve">‘’ the process of manipulating the time profile of earnings reports to make the reported income stream less variable, while not increasing reported earnings over the long run’’ </w:t>
      </w:r>
      <w:r w:rsidRPr="00B04173">
        <w:rPr>
          <w:rFonts w:ascii="Times New Roman" w:hAnsi="Times New Roman" w:cs="Times New Roman"/>
          <w:sz w:val="24"/>
          <w:szCs w:val="24"/>
          <w:lang w:val="en-GB"/>
        </w:rPr>
        <w:t>(Fudenberg and Tirole, 1995, pp. 75). More about managers’ incentives will follow in the next section.</w:t>
      </w:r>
    </w:p>
    <w:p w:rsidR="00432023" w:rsidRDefault="00432023" w:rsidP="00432023">
      <w:pPr>
        <w:spacing w:line="360" w:lineRule="auto"/>
        <w:contextualSpacing/>
        <w:rPr>
          <w:lang w:val="en-GB"/>
        </w:rPr>
      </w:pPr>
    </w:p>
    <w:p w:rsidR="00B04173" w:rsidRDefault="00B04173" w:rsidP="00432023">
      <w:pPr>
        <w:spacing w:line="360" w:lineRule="auto"/>
        <w:contextualSpacing/>
        <w:rPr>
          <w:lang w:val="en-GB"/>
        </w:rPr>
      </w:pPr>
    </w:p>
    <w:p w:rsidR="00B04173" w:rsidRDefault="00B04173" w:rsidP="00432023">
      <w:pPr>
        <w:spacing w:line="360" w:lineRule="auto"/>
        <w:contextualSpacing/>
        <w:rPr>
          <w:lang w:val="en-GB"/>
        </w:rPr>
      </w:pPr>
    </w:p>
    <w:p w:rsidR="00432023" w:rsidRDefault="00432023" w:rsidP="000F2488">
      <w:pPr>
        <w:pStyle w:val="Heading4"/>
        <w:numPr>
          <w:ilvl w:val="2"/>
          <w:numId w:val="33"/>
        </w:numPr>
        <w:spacing w:line="360" w:lineRule="auto"/>
        <w:rPr>
          <w:rFonts w:ascii="Calibri" w:hAnsi="Calibri"/>
          <w:szCs w:val="24"/>
        </w:rPr>
      </w:pPr>
      <w:bookmarkStart w:id="12" w:name="_Toc268669724"/>
      <w:r w:rsidRPr="00662A4F">
        <w:rPr>
          <w:rFonts w:ascii="Calibri" w:hAnsi="Calibri"/>
          <w:szCs w:val="24"/>
        </w:rPr>
        <w:lastRenderedPageBreak/>
        <w:t>Incentives for Smoothing Earnings</w:t>
      </w:r>
      <w:bookmarkEnd w:id="12"/>
    </w:p>
    <w:p w:rsidR="000F2488" w:rsidRPr="000F2488" w:rsidRDefault="000F2488" w:rsidP="000F2488">
      <w:pPr>
        <w:pStyle w:val="ListParagraph"/>
      </w:pPr>
    </w:p>
    <w:p w:rsidR="00432023" w:rsidRPr="00B04173" w:rsidRDefault="00432023" w:rsidP="00432023">
      <w:pPr>
        <w:spacing w:line="360" w:lineRule="auto"/>
        <w:rPr>
          <w:rFonts w:ascii="Times New Roman" w:hAnsi="Times New Roman" w:cs="Times New Roman"/>
          <w:sz w:val="24"/>
          <w:szCs w:val="24"/>
        </w:rPr>
      </w:pPr>
      <w:r w:rsidRPr="00B04173">
        <w:rPr>
          <w:rFonts w:ascii="Times New Roman" w:hAnsi="Times New Roman" w:cs="Times New Roman"/>
          <w:sz w:val="24"/>
          <w:szCs w:val="24"/>
        </w:rPr>
        <w:t xml:space="preserve">The classical perception people have of income smoothing is that of an opportunistic management tool to manipulate financial statements. Ronen and Sadan (1980), however, propose that income smoothing is not as evil as one might think. Manipulating accounts is indeed a managerial activity (Dye 1988). But managers will engage in income smoothing to either opportunistically gain private benefits at the expense of shareholders (Cahan, Liu and Sun 2008) or to efficiently communicate private information about future earnings to outsiders (Beidleman 1973, Ronen and Sadan 1980, Wang and Williams 1994). So, smoothed earnings may enable external users to predict future income (Ronen and Sadan 1980). </w:t>
      </w:r>
      <w:r w:rsidRPr="00B04173">
        <w:rPr>
          <w:rFonts w:ascii="Times New Roman" w:hAnsi="Times New Roman" w:cs="Times New Roman"/>
          <w:sz w:val="24"/>
          <w:szCs w:val="24"/>
          <w:lang w:val="en-GB"/>
        </w:rPr>
        <w:t>Suppose that it is common knowledge that whenever there is a change in depreciation policy this is done to boost earnings until the bad time passes. The reader then knows that when the firm changes a depreciation policy and publicizes it, he can undo the change to calculate the underlying truth. This shows how managers can communicate private information to outsiders through income smoothing.</w:t>
      </w:r>
    </w:p>
    <w:p w:rsidR="00432023" w:rsidRPr="00B04173" w:rsidRDefault="00432023" w:rsidP="00432023">
      <w:pPr>
        <w:spacing w:line="360" w:lineRule="auto"/>
        <w:rPr>
          <w:rFonts w:ascii="Times New Roman" w:hAnsi="Times New Roman" w:cs="Times New Roman"/>
          <w:sz w:val="24"/>
          <w:szCs w:val="24"/>
        </w:rPr>
      </w:pPr>
      <w:r w:rsidRPr="00B04173">
        <w:rPr>
          <w:rFonts w:ascii="Times New Roman" w:hAnsi="Times New Roman" w:cs="Times New Roman"/>
          <w:sz w:val="24"/>
          <w:szCs w:val="24"/>
        </w:rPr>
        <w:t>Managers may or may not believe in market efficiency. If they do not, they may attempt to smooth earnings. Stolowy and Breton (2004) listed some of the private benefits that can encourage managers to engage in income smoothing. The following are some</w:t>
      </w:r>
      <w:r w:rsidR="00FC3FAA">
        <w:rPr>
          <w:rFonts w:ascii="Times New Roman" w:hAnsi="Times New Roman" w:cs="Times New Roman"/>
          <w:sz w:val="24"/>
          <w:szCs w:val="24"/>
        </w:rPr>
        <w:t xml:space="preserve"> the</w:t>
      </w:r>
      <w:r w:rsidRPr="00B04173">
        <w:rPr>
          <w:rFonts w:ascii="Times New Roman" w:hAnsi="Times New Roman" w:cs="Times New Roman"/>
          <w:sz w:val="24"/>
          <w:szCs w:val="24"/>
        </w:rPr>
        <w:t xml:space="preserve"> of main incentives: managers may manipulate numbers to reduce the cost of capital, to decrease </w:t>
      </w:r>
      <w:r w:rsidR="00FC3FAA">
        <w:rPr>
          <w:rFonts w:ascii="Times New Roman" w:hAnsi="Times New Roman" w:cs="Times New Roman"/>
          <w:sz w:val="24"/>
          <w:szCs w:val="24"/>
        </w:rPr>
        <w:t>the overall risk of the company to</w:t>
      </w:r>
      <w:r w:rsidRPr="00B04173">
        <w:rPr>
          <w:rFonts w:ascii="Times New Roman" w:hAnsi="Times New Roman" w:cs="Times New Roman"/>
          <w:sz w:val="24"/>
          <w:szCs w:val="24"/>
        </w:rPr>
        <w:t xml:space="preserve"> minimiz</w:t>
      </w:r>
      <w:r w:rsidR="00FC3FAA">
        <w:rPr>
          <w:rFonts w:ascii="Times New Roman" w:hAnsi="Times New Roman" w:cs="Times New Roman"/>
          <w:sz w:val="24"/>
          <w:szCs w:val="24"/>
        </w:rPr>
        <w:t>e</w:t>
      </w:r>
      <w:r w:rsidRPr="00B04173">
        <w:rPr>
          <w:rFonts w:ascii="Times New Roman" w:hAnsi="Times New Roman" w:cs="Times New Roman"/>
          <w:sz w:val="24"/>
          <w:szCs w:val="24"/>
        </w:rPr>
        <w:t xml:space="preserve"> income tax, to satisfy the external demand of existing shareholders, to increase their own remuneration, to avoid violating the debt covenants or incurring political costs.  Fudenberg and Tirole (1995) argue that managers who are concerned about their job security will be more likely to engage in income smoothing.</w:t>
      </w:r>
    </w:p>
    <w:p w:rsidR="00432023" w:rsidRPr="00B04173" w:rsidRDefault="00432023" w:rsidP="00432023">
      <w:pPr>
        <w:spacing w:line="360" w:lineRule="auto"/>
        <w:rPr>
          <w:rFonts w:ascii="Times New Roman" w:hAnsi="Times New Roman" w:cs="Times New Roman"/>
          <w:sz w:val="24"/>
          <w:szCs w:val="24"/>
        </w:rPr>
      </w:pPr>
      <w:r w:rsidRPr="00B04173">
        <w:rPr>
          <w:rFonts w:ascii="Times New Roman" w:hAnsi="Times New Roman" w:cs="Times New Roman"/>
          <w:sz w:val="24"/>
          <w:szCs w:val="24"/>
        </w:rPr>
        <w:t>Depending on the incentives of the manager, earnings can be managed either upwards or downwards. For example, if the manager’s compensation is based on earnings, he will be motivated to increase earnings, so that he will receive a higher compensation. On the other hand, if the manager’s objective is to minimize income tax, he will be more encouraged to manage earnings downwards (Scholes et al. 1992)</w:t>
      </w:r>
    </w:p>
    <w:p w:rsidR="00432023" w:rsidRPr="00B04173" w:rsidRDefault="00432023" w:rsidP="00432023">
      <w:pPr>
        <w:spacing w:line="360" w:lineRule="auto"/>
        <w:rPr>
          <w:rFonts w:ascii="Times New Roman" w:hAnsi="Times New Roman" w:cs="Times New Roman"/>
          <w:sz w:val="24"/>
          <w:szCs w:val="24"/>
        </w:rPr>
      </w:pPr>
      <w:r w:rsidRPr="00B04173">
        <w:rPr>
          <w:rFonts w:ascii="Times New Roman" w:hAnsi="Times New Roman" w:cs="Times New Roman"/>
          <w:sz w:val="24"/>
          <w:szCs w:val="24"/>
        </w:rPr>
        <w:t xml:space="preserve">Cahan et al. (2008) found evidence that managers in weak investor protection countries are more likely to use income smoothing to gain private benefits, while managers in high </w:t>
      </w:r>
      <w:r w:rsidRPr="00B04173">
        <w:rPr>
          <w:rFonts w:ascii="Times New Roman" w:hAnsi="Times New Roman" w:cs="Times New Roman"/>
          <w:sz w:val="24"/>
          <w:szCs w:val="24"/>
        </w:rPr>
        <w:lastRenderedPageBreak/>
        <w:t>investor protection countries are more likely to use income smoothing to provide outsiders with private information about expected earnings.</w:t>
      </w:r>
    </w:p>
    <w:p w:rsidR="00432023" w:rsidRDefault="00432023" w:rsidP="000F2488">
      <w:pPr>
        <w:pStyle w:val="Heading4"/>
        <w:numPr>
          <w:ilvl w:val="1"/>
          <w:numId w:val="33"/>
        </w:numPr>
        <w:spacing w:line="360" w:lineRule="auto"/>
        <w:rPr>
          <w:rFonts w:ascii="Calibri" w:hAnsi="Calibri"/>
        </w:rPr>
      </w:pPr>
      <w:bookmarkStart w:id="13" w:name="_Toc268669725"/>
      <w:r w:rsidRPr="00662A4F">
        <w:rPr>
          <w:rFonts w:ascii="Calibri" w:hAnsi="Calibri"/>
        </w:rPr>
        <w:t>Conclusion</w:t>
      </w:r>
      <w:bookmarkEnd w:id="13"/>
    </w:p>
    <w:p w:rsidR="000F2488" w:rsidRPr="000F2488" w:rsidRDefault="000F2488" w:rsidP="000F2488">
      <w:pPr>
        <w:pStyle w:val="ListParagraph"/>
        <w:ind w:left="360"/>
      </w:pPr>
    </w:p>
    <w:p w:rsidR="00432023" w:rsidRPr="00B04173" w:rsidRDefault="00432023" w:rsidP="00432023">
      <w:pPr>
        <w:spacing w:line="360" w:lineRule="auto"/>
        <w:rPr>
          <w:rFonts w:ascii="Times New Roman" w:hAnsi="Times New Roman" w:cs="Times New Roman"/>
          <w:sz w:val="24"/>
          <w:szCs w:val="24"/>
        </w:rPr>
      </w:pPr>
      <w:r w:rsidRPr="00B04173">
        <w:rPr>
          <w:rFonts w:ascii="Times New Roman" w:hAnsi="Times New Roman" w:cs="Times New Roman"/>
          <w:sz w:val="24"/>
          <w:szCs w:val="24"/>
          <w:lang w:val="en-GB"/>
        </w:rPr>
        <w:t xml:space="preserve">Earnings management is a strategy </w:t>
      </w:r>
      <w:r w:rsidRPr="00B04173">
        <w:rPr>
          <w:rFonts w:ascii="Times New Roman" w:hAnsi="Times New Roman" w:cs="Times New Roman"/>
          <w:color w:val="000000"/>
          <w:sz w:val="24"/>
          <w:szCs w:val="24"/>
          <w:lang w:val="en-GB"/>
        </w:rPr>
        <w:t>used by the management of a company to deliberately manipulate the company's earnings so that the figures match a pre-determined target.</w:t>
      </w:r>
      <w:r w:rsidRPr="00B04173">
        <w:rPr>
          <w:rFonts w:ascii="Times New Roman" w:hAnsi="Times New Roman" w:cs="Times New Roman"/>
          <w:sz w:val="24"/>
          <w:szCs w:val="24"/>
          <w:lang w:val="en-GB"/>
        </w:rPr>
        <w:t xml:space="preserve"> There is however a difference between earnings management and fraud. Income smoothing is just one of the many forms of earnings management. </w:t>
      </w:r>
      <w:r w:rsidRPr="00B04173">
        <w:rPr>
          <w:rFonts w:ascii="Times New Roman" w:hAnsi="Times New Roman" w:cs="Times New Roman"/>
          <w:sz w:val="24"/>
          <w:szCs w:val="24"/>
        </w:rPr>
        <w:t>As mentioned, income smoothing can be seen as a way for management to diminish the variability of income numbers. Managers’ incentives can vary; they may engage in income smoothing to enhance their own benefits or to communicate private information about future earnings to outsiders. Depending on managers’ incentives, earnings can be managed either upwards or downwards.</w:t>
      </w: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Default="00432023" w:rsidP="00432023">
      <w:pPr>
        <w:spacing w:line="360" w:lineRule="auto"/>
      </w:pPr>
    </w:p>
    <w:p w:rsidR="00432023" w:rsidRPr="00430A47" w:rsidRDefault="00432023" w:rsidP="00432023">
      <w:pPr>
        <w:pStyle w:val="Heading4"/>
        <w:spacing w:line="360" w:lineRule="auto"/>
        <w:contextualSpacing/>
        <w:rPr>
          <w:rFonts w:ascii="Calibri" w:hAnsi="Calibri"/>
        </w:rPr>
      </w:pPr>
      <w:bookmarkStart w:id="14" w:name="_Toc254909667"/>
      <w:bookmarkStart w:id="15" w:name="_Toc268669726"/>
      <w:r w:rsidRPr="00430A47">
        <w:rPr>
          <w:rFonts w:ascii="Calibri" w:hAnsi="Calibri"/>
        </w:rPr>
        <w:lastRenderedPageBreak/>
        <w:t>3</w:t>
      </w:r>
      <w:r w:rsidRPr="00430A47">
        <w:rPr>
          <w:rFonts w:ascii="Calibri" w:hAnsi="Calibri"/>
        </w:rPr>
        <w:tab/>
        <w:t>Accruals Methodology</w:t>
      </w:r>
      <w:bookmarkEnd w:id="14"/>
      <w:bookmarkEnd w:id="15"/>
    </w:p>
    <w:p w:rsidR="00432023" w:rsidRPr="00F342A1" w:rsidRDefault="00432023" w:rsidP="00432023">
      <w:pPr>
        <w:spacing w:line="360" w:lineRule="auto"/>
        <w:contextualSpacing/>
        <w:rPr>
          <w:lang w:val="en-GB"/>
        </w:rPr>
      </w:pPr>
    </w:p>
    <w:p w:rsidR="00432023" w:rsidRPr="00430A47" w:rsidRDefault="00432023" w:rsidP="00432023">
      <w:pPr>
        <w:spacing w:line="360" w:lineRule="auto"/>
        <w:contextualSpacing/>
        <w:rPr>
          <w:rFonts w:ascii="Times New Roman" w:hAnsi="Times New Roman" w:cs="Times New Roman"/>
          <w:sz w:val="24"/>
          <w:szCs w:val="24"/>
          <w:lang w:val="en-GB"/>
        </w:rPr>
      </w:pPr>
      <w:r w:rsidRPr="00430A47">
        <w:rPr>
          <w:rFonts w:ascii="Times New Roman" w:hAnsi="Times New Roman" w:cs="Times New Roman"/>
          <w:sz w:val="24"/>
          <w:szCs w:val="24"/>
          <w:lang w:val="en-GB"/>
        </w:rPr>
        <w:t>In this chapter the accruals prediction models will be discussed. The models used to detect earnings management can either be executed in a time-series</w:t>
      </w:r>
      <w:r w:rsidRPr="00430A47">
        <w:rPr>
          <w:rStyle w:val="FootnoteReference"/>
          <w:rFonts w:ascii="Times New Roman" w:hAnsi="Times New Roman" w:cs="Times New Roman"/>
          <w:sz w:val="24"/>
          <w:szCs w:val="24"/>
          <w:lang w:val="en-GB"/>
        </w:rPr>
        <w:footnoteReference w:id="3"/>
      </w:r>
      <w:r w:rsidRPr="00430A47">
        <w:rPr>
          <w:rFonts w:ascii="Times New Roman" w:hAnsi="Times New Roman" w:cs="Times New Roman"/>
          <w:sz w:val="24"/>
          <w:szCs w:val="24"/>
          <w:lang w:val="en-GB"/>
        </w:rPr>
        <w:t xml:space="preserve"> or a cross-sectional setting</w:t>
      </w:r>
      <w:r w:rsidRPr="00430A47">
        <w:rPr>
          <w:rStyle w:val="FootnoteReference"/>
          <w:rFonts w:ascii="Times New Roman" w:hAnsi="Times New Roman" w:cs="Times New Roman"/>
          <w:sz w:val="24"/>
          <w:szCs w:val="24"/>
          <w:lang w:val="en-GB"/>
        </w:rPr>
        <w:footnoteReference w:id="4"/>
      </w:r>
      <w:r w:rsidRPr="00430A47">
        <w:rPr>
          <w:rFonts w:ascii="Times New Roman" w:hAnsi="Times New Roman" w:cs="Times New Roman"/>
          <w:sz w:val="24"/>
          <w:szCs w:val="24"/>
          <w:lang w:val="en-GB"/>
        </w:rPr>
        <w:t xml:space="preserve">. Both a time-series model and a cross-sectional model use a three-step approach to break down total accruals into discretionary and non-discretionary accruals (Dechow et al. 1995). Prior research has used various accrual prediction models to detect earnings management. The discretionary accruals can be estimated from these accrual models. However, not all models are equally accurate (Dechow et al.1995, Kang and Sivaramakrishnan 1995). </w:t>
      </w:r>
    </w:p>
    <w:p w:rsidR="00432023" w:rsidRPr="00430A47" w:rsidRDefault="00432023" w:rsidP="00432023">
      <w:pPr>
        <w:spacing w:line="360" w:lineRule="auto"/>
        <w:contextualSpacing/>
        <w:rPr>
          <w:rFonts w:ascii="Times New Roman" w:hAnsi="Times New Roman" w:cs="Times New Roman"/>
          <w:sz w:val="24"/>
          <w:szCs w:val="24"/>
          <w:lang w:val="en-GB"/>
        </w:rPr>
      </w:pPr>
      <w:r w:rsidRPr="00430A47">
        <w:rPr>
          <w:rFonts w:ascii="Times New Roman" w:hAnsi="Times New Roman" w:cs="Times New Roman"/>
          <w:sz w:val="24"/>
          <w:szCs w:val="24"/>
          <w:lang w:val="en-GB"/>
        </w:rPr>
        <w:t>Over the years several researchers have attempted to model normal accruals. Ronen and Sadan (1981), Healy (1985), DeAngelo (1988) and Dechow and Sloan (1991) made significant contributions to the development of accrual models. But the Jones model is by far the most important contribution to the accruals prediction models. In order to get a good grasp of the accruals models, it is necessary to have some knowledge about accruals.</w:t>
      </w:r>
    </w:p>
    <w:p w:rsidR="00432023" w:rsidRPr="00430A47" w:rsidRDefault="00432023" w:rsidP="00432023">
      <w:pPr>
        <w:pStyle w:val="Heading4"/>
        <w:spacing w:line="360" w:lineRule="auto"/>
        <w:contextualSpacing/>
        <w:rPr>
          <w:rFonts w:ascii="Calibri" w:hAnsi="Calibri"/>
        </w:rPr>
      </w:pPr>
      <w:bookmarkStart w:id="16" w:name="_Toc254909665"/>
    </w:p>
    <w:p w:rsidR="00432023" w:rsidRPr="00430A47" w:rsidRDefault="00432023" w:rsidP="00432023">
      <w:pPr>
        <w:pStyle w:val="Heading4"/>
        <w:spacing w:line="360" w:lineRule="auto"/>
        <w:contextualSpacing/>
        <w:rPr>
          <w:rFonts w:ascii="Calibri" w:hAnsi="Calibri"/>
        </w:rPr>
      </w:pPr>
      <w:bookmarkStart w:id="17" w:name="_Toc268669727"/>
      <w:r w:rsidRPr="00430A47">
        <w:rPr>
          <w:rFonts w:ascii="Calibri" w:hAnsi="Calibri"/>
        </w:rPr>
        <w:t>3.1</w:t>
      </w:r>
      <w:r w:rsidRPr="00430A47">
        <w:rPr>
          <w:rFonts w:ascii="Calibri" w:hAnsi="Calibri"/>
        </w:rPr>
        <w:tab/>
        <w:t>Accruals</w:t>
      </w:r>
      <w:bookmarkEnd w:id="16"/>
      <w:bookmarkEnd w:id="17"/>
      <w:r w:rsidRPr="00430A47">
        <w:rPr>
          <w:rFonts w:ascii="Calibri" w:hAnsi="Calibri"/>
        </w:rPr>
        <w:t xml:space="preserve">  </w:t>
      </w:r>
      <w:r w:rsidRPr="00430A47">
        <w:rPr>
          <w:rFonts w:ascii="Calibri" w:hAnsi="Calibri"/>
        </w:rPr>
        <w:tab/>
      </w:r>
    </w:p>
    <w:p w:rsidR="00432023" w:rsidRPr="00F342A1" w:rsidRDefault="00432023" w:rsidP="00432023">
      <w:pPr>
        <w:spacing w:line="360" w:lineRule="auto"/>
        <w:contextualSpacing/>
        <w:rPr>
          <w:lang w:val="en-GB"/>
        </w:rPr>
      </w:pPr>
    </w:p>
    <w:p w:rsidR="00432023" w:rsidRPr="00430A47" w:rsidRDefault="00432023" w:rsidP="00432023">
      <w:pPr>
        <w:spacing w:line="360" w:lineRule="auto"/>
        <w:contextualSpacing/>
        <w:rPr>
          <w:rFonts w:ascii="Times New Roman" w:hAnsi="Times New Roman" w:cs="Times New Roman"/>
          <w:sz w:val="24"/>
          <w:szCs w:val="24"/>
          <w:lang w:val="en-GB"/>
        </w:rPr>
      </w:pPr>
      <w:r w:rsidRPr="00430A47">
        <w:rPr>
          <w:rFonts w:ascii="Times New Roman" w:hAnsi="Times New Roman" w:cs="Times New Roman"/>
          <w:sz w:val="24"/>
          <w:szCs w:val="24"/>
          <w:lang w:val="en-GB"/>
        </w:rPr>
        <w:t>In order to identify earnings management in general most researchers have approached the issue by detecting discretionary accruals. To fully understand how earnings management is detected, one should have certain knowledge of accruals.</w:t>
      </w:r>
    </w:p>
    <w:p w:rsidR="00432023" w:rsidRPr="00FB4AA2" w:rsidRDefault="00432023" w:rsidP="00432023">
      <w:pPr>
        <w:spacing w:line="360" w:lineRule="auto"/>
        <w:contextualSpacing/>
        <w:rPr>
          <w:lang w:val="en-GB"/>
        </w:rPr>
      </w:pPr>
      <w:r w:rsidRPr="00430A47">
        <w:rPr>
          <w:rFonts w:ascii="Times New Roman" w:hAnsi="Times New Roman" w:cs="Times New Roman"/>
          <w:sz w:val="24"/>
          <w:szCs w:val="24"/>
          <w:lang w:val="en-GB"/>
        </w:rPr>
        <w:t xml:space="preserve">Accruals arise when there is a discrepancy between the timing of cash flows and the timing of accounting recognition of the transaction (Ronen and Yaari 2008). Normally, reported revenues must equal total cash inflows and total accruals must equal zero over a firm’s lifetime. Accruals can be divided into three categories: accruals that result from normal accruals (non-discretionary accruals), accruals that result from managed earnings (discretionary accruals) and reversals.  </w:t>
      </w:r>
      <w:r w:rsidRPr="00430A47">
        <w:rPr>
          <w:rFonts w:ascii="Times New Roman" w:hAnsi="Times New Roman" w:cs="Times New Roman"/>
          <w:i/>
          <w:sz w:val="24"/>
          <w:szCs w:val="24"/>
          <w:lang w:val="en-GB"/>
        </w:rPr>
        <w:t>Non-discretionary</w:t>
      </w:r>
      <w:r w:rsidRPr="00430A47">
        <w:rPr>
          <w:rFonts w:ascii="Times New Roman" w:hAnsi="Times New Roman" w:cs="Times New Roman"/>
          <w:sz w:val="24"/>
          <w:szCs w:val="24"/>
          <w:lang w:val="en-GB"/>
        </w:rPr>
        <w:t xml:space="preserve"> accruals are accruals that arise from transactions made in the current period that are normal for the firm given its performance level and business strategy, industry conventions, macro-economic events </w:t>
      </w:r>
      <w:r w:rsidRPr="00597713">
        <w:rPr>
          <w:rFonts w:ascii="Times New Roman" w:hAnsi="Times New Roman" w:cs="Times New Roman"/>
          <w:sz w:val="24"/>
          <w:szCs w:val="24"/>
          <w:lang w:val="en-GB"/>
        </w:rPr>
        <w:lastRenderedPageBreak/>
        <w:t xml:space="preserve">and other economic factors (Ronen and Yaari 2008). These are in contrast to </w:t>
      </w:r>
      <w:r w:rsidRPr="00597713">
        <w:rPr>
          <w:rFonts w:ascii="Times New Roman" w:hAnsi="Times New Roman" w:cs="Times New Roman"/>
          <w:i/>
          <w:sz w:val="24"/>
          <w:szCs w:val="24"/>
          <w:lang w:val="en-GB"/>
        </w:rPr>
        <w:t>discretionary accruals</w:t>
      </w:r>
      <w:r w:rsidRPr="00597713">
        <w:rPr>
          <w:rFonts w:ascii="Times New Roman" w:hAnsi="Times New Roman" w:cs="Times New Roman"/>
          <w:sz w:val="24"/>
          <w:szCs w:val="24"/>
          <w:lang w:val="en-GB"/>
        </w:rPr>
        <w:t>, which arise from transactions made or accounting treatments chosen to manage earning</w:t>
      </w:r>
      <w:r w:rsidR="00695809">
        <w:rPr>
          <w:rFonts w:ascii="Times New Roman" w:hAnsi="Times New Roman" w:cs="Times New Roman"/>
          <w:sz w:val="24"/>
          <w:szCs w:val="24"/>
          <w:lang w:val="en-GB"/>
        </w:rPr>
        <w:t>s (Ronen and Yaari 2008). There i</w:t>
      </w:r>
      <w:r w:rsidRPr="00597713">
        <w:rPr>
          <w:rFonts w:ascii="Times New Roman" w:hAnsi="Times New Roman" w:cs="Times New Roman"/>
          <w:sz w:val="24"/>
          <w:szCs w:val="24"/>
          <w:lang w:val="en-GB"/>
        </w:rPr>
        <w:t xml:space="preserve">s also another group of accruals, known as </w:t>
      </w:r>
      <w:r w:rsidRPr="00597713">
        <w:rPr>
          <w:rFonts w:ascii="Times New Roman" w:hAnsi="Times New Roman" w:cs="Times New Roman"/>
          <w:i/>
          <w:sz w:val="24"/>
          <w:szCs w:val="24"/>
          <w:lang w:val="en-GB"/>
        </w:rPr>
        <w:t>reversals</w:t>
      </w:r>
      <w:r w:rsidRPr="00597713">
        <w:rPr>
          <w:rFonts w:ascii="Times New Roman" w:hAnsi="Times New Roman" w:cs="Times New Roman"/>
          <w:sz w:val="24"/>
          <w:szCs w:val="24"/>
          <w:lang w:val="en-GB"/>
        </w:rPr>
        <w:t>, which are accruals originating from transactions made in previous periods. Most empirical research ignores reversals, because they cannot be observed (Gillan 2006). A problem with measuring earnings management is that a change in total accruals can be caused by both a change in non-discretionary accruals and the accumulation of discretionary accruals. Therefore it is of importance that researchers understand what can be expected of normal accruals, so that the managed accruals can be identified.</w:t>
      </w:r>
      <w:r w:rsidRPr="00F342A1">
        <w:rPr>
          <w:lang w:val="en-GB"/>
        </w:rPr>
        <w:t xml:space="preserve"> </w:t>
      </w:r>
    </w:p>
    <w:p w:rsidR="00432023" w:rsidRPr="00F342A1" w:rsidRDefault="00432023" w:rsidP="00432023">
      <w:pPr>
        <w:spacing w:line="360" w:lineRule="auto"/>
        <w:contextualSpacing/>
        <w:rPr>
          <w:lang w:val="en-GB"/>
        </w:rPr>
      </w:pPr>
    </w:p>
    <w:p w:rsidR="00432023" w:rsidRPr="00597713" w:rsidRDefault="00432023" w:rsidP="00432023">
      <w:pPr>
        <w:pStyle w:val="Heading4"/>
        <w:spacing w:line="360" w:lineRule="auto"/>
        <w:contextualSpacing/>
        <w:rPr>
          <w:rFonts w:ascii="Calibri" w:hAnsi="Calibri"/>
        </w:rPr>
      </w:pPr>
      <w:bookmarkStart w:id="18" w:name="_Toc254909668"/>
      <w:bookmarkStart w:id="19" w:name="_Toc268669728"/>
      <w:r w:rsidRPr="00597713">
        <w:rPr>
          <w:rFonts w:ascii="Calibri" w:hAnsi="Calibri"/>
        </w:rPr>
        <w:t>3.2</w:t>
      </w:r>
      <w:r w:rsidRPr="00597713">
        <w:rPr>
          <w:rFonts w:ascii="Calibri" w:hAnsi="Calibri"/>
        </w:rPr>
        <w:tab/>
        <w:t>The Jones Model</w:t>
      </w:r>
      <w:bookmarkEnd w:id="18"/>
      <w:bookmarkEnd w:id="19"/>
    </w:p>
    <w:p w:rsidR="00432023" w:rsidRPr="00F342A1" w:rsidRDefault="00432023" w:rsidP="00432023">
      <w:pPr>
        <w:spacing w:line="360" w:lineRule="auto"/>
        <w:contextualSpacing/>
        <w:rPr>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One of the most discussed models is the Jones model. This model was developed by Jones while </w:t>
      </w:r>
      <w:r w:rsidR="00695809">
        <w:rPr>
          <w:rFonts w:ascii="Times New Roman" w:hAnsi="Times New Roman" w:cs="Times New Roman"/>
          <w:sz w:val="24"/>
          <w:szCs w:val="24"/>
          <w:lang w:val="en-GB"/>
        </w:rPr>
        <w:t>s</w:t>
      </w:r>
      <w:r w:rsidRPr="00597713">
        <w:rPr>
          <w:rFonts w:ascii="Times New Roman" w:hAnsi="Times New Roman" w:cs="Times New Roman"/>
          <w:sz w:val="24"/>
          <w:szCs w:val="24"/>
          <w:lang w:val="en-GB"/>
        </w:rPr>
        <w:t xml:space="preserve">he was examining U.S. firms during import relief investigations by the U.S. International Trade Commission. The Jones model divides the time series of a company’s earnings into two periods, the </w:t>
      </w:r>
      <w:r w:rsidRPr="00597713">
        <w:rPr>
          <w:rFonts w:ascii="Times New Roman" w:hAnsi="Times New Roman" w:cs="Times New Roman"/>
          <w:i/>
          <w:sz w:val="24"/>
          <w:szCs w:val="24"/>
          <w:lang w:val="en-GB"/>
        </w:rPr>
        <w:t>estimation period</w:t>
      </w:r>
      <w:r w:rsidRPr="00597713">
        <w:rPr>
          <w:rFonts w:ascii="Times New Roman" w:hAnsi="Times New Roman" w:cs="Times New Roman"/>
          <w:sz w:val="24"/>
          <w:szCs w:val="24"/>
          <w:lang w:val="en-GB"/>
        </w:rPr>
        <w:t xml:space="preserve"> and the </w:t>
      </w:r>
      <w:r w:rsidRPr="00597713">
        <w:rPr>
          <w:rFonts w:ascii="Times New Roman" w:hAnsi="Times New Roman" w:cs="Times New Roman"/>
          <w:i/>
          <w:sz w:val="24"/>
          <w:szCs w:val="24"/>
          <w:lang w:val="en-GB"/>
        </w:rPr>
        <w:t>event period</w:t>
      </w:r>
      <w:r w:rsidRPr="00597713">
        <w:rPr>
          <w:rFonts w:ascii="Times New Roman" w:hAnsi="Times New Roman" w:cs="Times New Roman"/>
          <w:sz w:val="24"/>
          <w:szCs w:val="24"/>
          <w:lang w:val="en-GB"/>
        </w:rPr>
        <w:t>. An assumption of this model is that the firm does not manage its earnings before the event, so discretionary accruals amount to zero in the estimation period.</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i/>
          <w:sz w:val="24"/>
          <w:szCs w:val="24"/>
          <w:u w:val="single"/>
          <w:lang w:val="en-GB"/>
        </w:rPr>
        <w:t>Phase 1</w:t>
      </w:r>
      <w:r w:rsidRPr="00597713">
        <w:rPr>
          <w:rFonts w:ascii="Times New Roman" w:hAnsi="Times New Roman" w:cs="Times New Roman"/>
          <w:sz w:val="24"/>
          <w:szCs w:val="24"/>
          <w:lang w:val="en-GB"/>
        </w:rPr>
        <w:t>: in the estimation period the normal accruals are calculated by applying the following equation:</w:t>
      </w:r>
    </w:p>
    <w:p w:rsidR="00432023" w:rsidRPr="00F342A1" w:rsidRDefault="00432023" w:rsidP="00432023">
      <w:pPr>
        <w:spacing w:line="360" w:lineRule="auto"/>
        <w:contextualSpacing/>
        <w:rPr>
          <w:lang w:val="en-GB"/>
        </w:rPr>
      </w:pPr>
    </w:p>
    <w:p w:rsidR="00432023" w:rsidRDefault="00B7519E" w:rsidP="00432023">
      <w:pPr>
        <w:spacing w:line="360" w:lineRule="auto"/>
        <w:contextualSpacing/>
      </w:pPr>
      <m:oMathPara>
        <m:oMath>
          <m:f>
            <m:fPr>
              <m:ctrlPr>
                <w:rPr>
                  <w:rFonts w:ascii="Cambria Math" w:hAnsi="Cambria Math"/>
                  <w:i/>
                  <w:color w:val="700000"/>
                </w:rPr>
              </m:ctrlPr>
            </m:fPr>
            <m:num>
              <m:sSub>
                <m:sSubPr>
                  <m:ctrlPr>
                    <w:rPr>
                      <w:rFonts w:ascii="Cambria Math" w:hAnsi="Cambria Math"/>
                      <w:i/>
                      <w:color w:val="700000"/>
                    </w:rPr>
                  </m:ctrlPr>
                </m:sSubPr>
                <m:e>
                  <m:r>
                    <w:rPr>
                      <w:rFonts w:ascii="Cambria Math" w:hAnsi="Cambria Math"/>
                      <w:color w:val="700000"/>
                    </w:rPr>
                    <m:t>NDA</m:t>
                  </m:r>
                </m:e>
                <m:sub>
                  <m:r>
                    <w:rPr>
                      <w:rFonts w:ascii="Cambria Math" w:hAnsi="Cambria Math"/>
                      <w:color w:val="700000"/>
                    </w:rPr>
                    <m:t>it</m:t>
                  </m:r>
                </m:sub>
              </m:sSub>
            </m:num>
            <m:den>
              <m:sSub>
                <m:sSubPr>
                  <m:ctrlPr>
                    <w:rPr>
                      <w:rFonts w:ascii="Cambria Math" w:hAnsi="Cambria Math"/>
                      <w:i/>
                      <w:color w:val="700000"/>
                    </w:rPr>
                  </m:ctrlPr>
                </m:sSubPr>
                <m:e>
                  <m:r>
                    <w:rPr>
                      <w:rFonts w:ascii="Cambria Math" w:hAnsi="Cambria Math"/>
                      <w:color w:val="700000"/>
                    </w:rPr>
                    <m:t>A</m:t>
                  </m:r>
                </m:e>
                <m:sub>
                  <m:r>
                    <w:rPr>
                      <w:rFonts w:ascii="Cambria Math" w:hAnsi="Cambria Math"/>
                      <w:color w:val="700000"/>
                    </w:rPr>
                    <m:t>it-1</m:t>
                  </m:r>
                </m:sub>
              </m:sSub>
            </m:den>
          </m:f>
          <m:r>
            <w:rPr>
              <w:rFonts w:ascii="Cambria Math" w:hAnsi="Cambria Math"/>
              <w:color w:val="700000"/>
            </w:rPr>
            <m:t>=</m:t>
          </m:r>
          <m:f>
            <m:fPr>
              <m:ctrlPr>
                <w:rPr>
                  <w:rFonts w:ascii="Cambria Math" w:hAnsi="Cambria Math"/>
                  <w:i/>
                  <w:color w:val="700000"/>
                </w:rPr>
              </m:ctrlPr>
            </m:fPr>
            <m:num>
              <m:sSub>
                <m:sSubPr>
                  <m:ctrlPr>
                    <w:rPr>
                      <w:rFonts w:ascii="Cambria Math" w:hAnsi="Cambria Math"/>
                      <w:i/>
                      <w:color w:val="700000"/>
                    </w:rPr>
                  </m:ctrlPr>
                </m:sSubPr>
                <m:e>
                  <m:r>
                    <w:rPr>
                      <w:rFonts w:ascii="Cambria Math" w:hAnsi="Cambria Math"/>
                      <w:color w:val="700000"/>
                    </w:rPr>
                    <m:t>TA</m:t>
                  </m:r>
                </m:e>
                <m:sub>
                  <m:r>
                    <w:rPr>
                      <w:rFonts w:ascii="Cambria Math" w:hAnsi="Cambria Math"/>
                      <w:color w:val="700000"/>
                    </w:rPr>
                    <m:t>it</m:t>
                  </m:r>
                </m:sub>
              </m:sSub>
            </m:num>
            <m:den>
              <m:sSub>
                <m:sSubPr>
                  <m:ctrlPr>
                    <w:rPr>
                      <w:rFonts w:ascii="Cambria Math" w:hAnsi="Cambria Math"/>
                      <w:i/>
                      <w:color w:val="700000"/>
                    </w:rPr>
                  </m:ctrlPr>
                </m:sSubPr>
                <m:e>
                  <m:r>
                    <w:rPr>
                      <w:rFonts w:ascii="Cambria Math" w:hAnsi="Cambria Math"/>
                      <w:color w:val="700000"/>
                    </w:rPr>
                    <m:t>A</m:t>
                  </m:r>
                </m:e>
                <m:sub>
                  <m:r>
                    <w:rPr>
                      <w:rFonts w:ascii="Cambria Math" w:hAnsi="Cambria Math"/>
                      <w:color w:val="700000"/>
                    </w:rPr>
                    <m:t>it-1</m:t>
                  </m:r>
                </m:sub>
              </m:sSub>
            </m:den>
          </m:f>
          <m:r>
            <w:rPr>
              <w:rFonts w:ascii="Cambria Math" w:hAnsi="Cambria Math"/>
              <w:color w:val="700000"/>
            </w:rPr>
            <m:t xml:space="preserve">= </m:t>
          </m:r>
          <m:sSub>
            <m:sSubPr>
              <m:ctrlPr>
                <w:rPr>
                  <w:rFonts w:ascii="Cambria Math" w:hAnsi="Cambria Math"/>
                  <w:i/>
                  <w:color w:val="700000"/>
                </w:rPr>
              </m:ctrlPr>
            </m:sSubPr>
            <m:e>
              <m:acc>
                <m:accPr>
                  <m:ctrlPr>
                    <w:rPr>
                      <w:rFonts w:ascii="Cambria Math" w:hAnsi="Cambria Math"/>
                      <w:i/>
                      <w:color w:val="700000"/>
                    </w:rPr>
                  </m:ctrlPr>
                </m:accPr>
                <m:e>
                  <m:r>
                    <w:rPr>
                      <w:rFonts w:ascii="Cambria Math" w:hAnsi="Cambria Math"/>
                      <w:color w:val="700000"/>
                    </w:rPr>
                    <m:t>α</m:t>
                  </m:r>
                </m:e>
              </m:acc>
            </m:e>
            <m:sub>
              <m:r>
                <w:rPr>
                  <w:rFonts w:ascii="Cambria Math" w:hAnsi="Cambria Math"/>
                  <w:color w:val="700000"/>
                </w:rPr>
                <m:t>i</m:t>
              </m:r>
            </m:sub>
          </m:sSub>
          <m:d>
            <m:dPr>
              <m:begChr m:val="["/>
              <m:endChr m:val="]"/>
              <m:ctrlPr>
                <w:rPr>
                  <w:rFonts w:ascii="Cambria Math" w:hAnsi="Cambria Math"/>
                  <w:i/>
                  <w:color w:val="700000"/>
                </w:rPr>
              </m:ctrlPr>
            </m:dPr>
            <m:e>
              <m:f>
                <m:fPr>
                  <m:ctrlPr>
                    <w:rPr>
                      <w:rFonts w:ascii="Cambria Math" w:hAnsi="Cambria Math"/>
                      <w:i/>
                      <w:color w:val="700000"/>
                    </w:rPr>
                  </m:ctrlPr>
                </m:fPr>
                <m:num>
                  <m:r>
                    <w:rPr>
                      <w:rFonts w:ascii="Cambria Math" w:hAnsi="Cambria Math"/>
                      <w:color w:val="700000"/>
                    </w:rPr>
                    <m:t>1</m:t>
                  </m:r>
                </m:num>
                <m:den>
                  <m:sSub>
                    <m:sSubPr>
                      <m:ctrlPr>
                        <w:rPr>
                          <w:rFonts w:ascii="Cambria Math" w:hAnsi="Cambria Math"/>
                          <w:i/>
                          <w:color w:val="700000"/>
                        </w:rPr>
                      </m:ctrlPr>
                    </m:sSubPr>
                    <m:e>
                      <m:r>
                        <w:rPr>
                          <w:rFonts w:ascii="Cambria Math" w:hAnsi="Cambria Math"/>
                          <w:color w:val="700000"/>
                        </w:rPr>
                        <m:t>A</m:t>
                      </m:r>
                    </m:e>
                    <m:sub>
                      <m:r>
                        <w:rPr>
                          <w:rFonts w:ascii="Cambria Math" w:hAnsi="Cambria Math"/>
                          <w:color w:val="700000"/>
                        </w:rPr>
                        <m:t>it-1</m:t>
                      </m:r>
                    </m:sub>
                  </m:sSub>
                </m:den>
              </m:f>
            </m:e>
          </m:d>
          <m:r>
            <w:rPr>
              <w:rFonts w:ascii="Cambria Math" w:hAnsi="Cambria Math"/>
              <w:color w:val="700000"/>
            </w:rPr>
            <m:t xml:space="preserve">+ </m:t>
          </m:r>
          <m:sSub>
            <m:sSubPr>
              <m:ctrlPr>
                <w:rPr>
                  <w:rFonts w:ascii="Cambria Math" w:hAnsi="Cambria Math"/>
                  <w:i/>
                  <w:color w:val="700000"/>
                </w:rPr>
              </m:ctrlPr>
            </m:sSubPr>
            <m:e>
              <m:acc>
                <m:accPr>
                  <m:ctrlPr>
                    <w:rPr>
                      <w:rFonts w:ascii="Cambria Math" w:hAnsi="Cambria Math"/>
                      <w:i/>
                      <w:color w:val="700000"/>
                    </w:rPr>
                  </m:ctrlPr>
                </m:accPr>
                <m:e>
                  <m:r>
                    <w:rPr>
                      <w:rFonts w:ascii="Cambria Math" w:hAnsi="Cambria Math"/>
                      <w:color w:val="700000"/>
                    </w:rPr>
                    <m:t>β</m:t>
                  </m:r>
                </m:e>
              </m:acc>
            </m:e>
            <m:sub>
              <m:r>
                <w:rPr>
                  <w:rFonts w:ascii="Cambria Math" w:hAnsi="Cambria Math"/>
                  <w:color w:val="700000"/>
                </w:rPr>
                <m:t>1i</m:t>
              </m:r>
            </m:sub>
          </m:sSub>
          <m:d>
            <m:dPr>
              <m:begChr m:val="["/>
              <m:endChr m:val="]"/>
              <m:ctrlPr>
                <w:rPr>
                  <w:rFonts w:ascii="Cambria Math" w:hAnsi="Cambria Math"/>
                  <w:i/>
                  <w:color w:val="700000"/>
                </w:rPr>
              </m:ctrlPr>
            </m:dPr>
            <m:e>
              <m:f>
                <m:fPr>
                  <m:ctrlPr>
                    <w:rPr>
                      <w:rFonts w:ascii="Cambria Math" w:hAnsi="Cambria Math"/>
                      <w:i/>
                      <w:color w:val="700000"/>
                    </w:rPr>
                  </m:ctrlPr>
                </m:fPr>
                <m:num>
                  <m:r>
                    <w:rPr>
                      <w:rFonts w:ascii="Cambria Math" w:hAnsi="Cambria Math"/>
                      <w:color w:val="700000"/>
                    </w:rPr>
                    <m:t>Δ</m:t>
                  </m:r>
                  <m:sSub>
                    <m:sSubPr>
                      <m:ctrlPr>
                        <w:rPr>
                          <w:rFonts w:ascii="Cambria Math" w:hAnsi="Cambria Math"/>
                          <w:i/>
                          <w:color w:val="700000"/>
                        </w:rPr>
                      </m:ctrlPr>
                    </m:sSubPr>
                    <m:e>
                      <m:r>
                        <w:rPr>
                          <w:rFonts w:ascii="Cambria Math" w:hAnsi="Cambria Math"/>
                          <w:color w:val="700000"/>
                        </w:rPr>
                        <m:t>REV</m:t>
                      </m:r>
                    </m:e>
                    <m:sub>
                      <m:r>
                        <w:rPr>
                          <w:rFonts w:ascii="Cambria Math" w:hAnsi="Cambria Math"/>
                          <w:color w:val="700000"/>
                        </w:rPr>
                        <m:t>it</m:t>
                      </m:r>
                    </m:sub>
                  </m:sSub>
                </m:num>
                <m:den>
                  <m:sSub>
                    <m:sSubPr>
                      <m:ctrlPr>
                        <w:rPr>
                          <w:rFonts w:ascii="Cambria Math" w:hAnsi="Cambria Math"/>
                          <w:i/>
                          <w:color w:val="700000"/>
                        </w:rPr>
                      </m:ctrlPr>
                    </m:sSubPr>
                    <m:e>
                      <m:r>
                        <w:rPr>
                          <w:rFonts w:ascii="Cambria Math" w:hAnsi="Cambria Math"/>
                          <w:color w:val="700000"/>
                        </w:rPr>
                        <m:t>A</m:t>
                      </m:r>
                    </m:e>
                    <m:sub>
                      <m:r>
                        <w:rPr>
                          <w:rFonts w:ascii="Cambria Math" w:hAnsi="Cambria Math"/>
                          <w:color w:val="700000"/>
                        </w:rPr>
                        <m:t>it-1</m:t>
                      </m:r>
                    </m:sub>
                  </m:sSub>
                </m:den>
              </m:f>
            </m:e>
          </m:d>
          <m:r>
            <w:rPr>
              <w:rFonts w:ascii="Cambria Math" w:hAnsi="Cambria Math"/>
              <w:color w:val="700000"/>
            </w:rPr>
            <m:t xml:space="preserve">+ </m:t>
          </m:r>
          <m:sSub>
            <m:sSubPr>
              <m:ctrlPr>
                <w:rPr>
                  <w:rFonts w:ascii="Cambria Math" w:hAnsi="Cambria Math"/>
                  <w:i/>
                  <w:color w:val="700000"/>
                </w:rPr>
              </m:ctrlPr>
            </m:sSubPr>
            <m:e>
              <m:acc>
                <m:accPr>
                  <m:ctrlPr>
                    <w:rPr>
                      <w:rFonts w:ascii="Cambria Math" w:hAnsi="Cambria Math"/>
                      <w:i/>
                      <w:color w:val="700000"/>
                    </w:rPr>
                  </m:ctrlPr>
                </m:accPr>
                <m:e>
                  <m:r>
                    <w:rPr>
                      <w:rFonts w:ascii="Cambria Math" w:hAnsi="Cambria Math"/>
                      <w:color w:val="700000"/>
                    </w:rPr>
                    <m:t>β</m:t>
                  </m:r>
                </m:e>
              </m:acc>
            </m:e>
            <m:sub>
              <m:r>
                <w:rPr>
                  <w:rFonts w:ascii="Cambria Math" w:hAnsi="Cambria Math"/>
                  <w:color w:val="700000"/>
                </w:rPr>
                <m:t>2i</m:t>
              </m:r>
            </m:sub>
          </m:sSub>
          <m:d>
            <m:dPr>
              <m:begChr m:val="["/>
              <m:endChr m:val="]"/>
              <m:ctrlPr>
                <w:rPr>
                  <w:rFonts w:ascii="Cambria Math" w:hAnsi="Cambria Math"/>
                  <w:i/>
                  <w:color w:val="700000"/>
                </w:rPr>
              </m:ctrlPr>
            </m:dPr>
            <m:e>
              <m:f>
                <m:fPr>
                  <m:ctrlPr>
                    <w:rPr>
                      <w:rFonts w:ascii="Cambria Math" w:hAnsi="Cambria Math"/>
                      <w:i/>
                      <w:color w:val="700000"/>
                    </w:rPr>
                  </m:ctrlPr>
                </m:fPr>
                <m:num>
                  <m:sSub>
                    <m:sSubPr>
                      <m:ctrlPr>
                        <w:rPr>
                          <w:rFonts w:ascii="Cambria Math" w:hAnsi="Cambria Math"/>
                          <w:i/>
                          <w:color w:val="700000"/>
                        </w:rPr>
                      </m:ctrlPr>
                    </m:sSubPr>
                    <m:e>
                      <m:r>
                        <w:rPr>
                          <w:rFonts w:ascii="Cambria Math" w:hAnsi="Cambria Math"/>
                          <w:color w:val="700000"/>
                        </w:rPr>
                        <m:t>PPE</m:t>
                      </m:r>
                    </m:e>
                    <m:sub>
                      <m:r>
                        <w:rPr>
                          <w:rFonts w:ascii="Cambria Math" w:hAnsi="Cambria Math"/>
                          <w:color w:val="700000"/>
                        </w:rPr>
                        <m:t>it</m:t>
                      </m:r>
                    </m:sub>
                  </m:sSub>
                </m:num>
                <m:den>
                  <m:sSub>
                    <m:sSubPr>
                      <m:ctrlPr>
                        <w:rPr>
                          <w:rFonts w:ascii="Cambria Math" w:hAnsi="Cambria Math"/>
                          <w:i/>
                          <w:color w:val="700000"/>
                        </w:rPr>
                      </m:ctrlPr>
                    </m:sSubPr>
                    <m:e>
                      <m:r>
                        <w:rPr>
                          <w:rFonts w:ascii="Cambria Math" w:hAnsi="Cambria Math"/>
                          <w:color w:val="700000"/>
                        </w:rPr>
                        <m:t>A</m:t>
                      </m:r>
                    </m:e>
                    <m:sub>
                      <m:r>
                        <w:rPr>
                          <w:rFonts w:ascii="Cambria Math" w:hAnsi="Cambria Math"/>
                          <w:color w:val="700000"/>
                        </w:rPr>
                        <m:t>it-1</m:t>
                      </m:r>
                    </m:sub>
                  </m:sSub>
                </m:den>
              </m:f>
            </m:e>
          </m:d>
          <m:r>
            <w:rPr>
              <w:rFonts w:ascii="Cambria Math" w:hAnsi="Cambria Math"/>
              <w:color w:val="700000"/>
            </w:rPr>
            <m:t xml:space="preserve">+ </m:t>
          </m:r>
          <m:sSub>
            <m:sSubPr>
              <m:ctrlPr>
                <w:rPr>
                  <w:rFonts w:ascii="Cambria Math" w:hAnsi="Cambria Math"/>
                  <w:i/>
                  <w:color w:val="700000"/>
                </w:rPr>
              </m:ctrlPr>
            </m:sSubPr>
            <m:e>
              <m:r>
                <w:rPr>
                  <w:rFonts w:ascii="Cambria Math" w:hAnsi="Cambria Math"/>
                  <w:color w:val="700000"/>
                </w:rPr>
                <m:t>ε</m:t>
              </m:r>
            </m:e>
            <m:sub>
              <m:r>
                <w:rPr>
                  <w:rFonts w:ascii="Cambria Math" w:hAnsi="Cambria Math"/>
                  <w:color w:val="700000"/>
                </w:rPr>
                <m:t xml:space="preserve">it  </m:t>
              </m:r>
            </m:sub>
          </m:sSub>
          <m:r>
            <w:rPr>
              <w:rFonts w:ascii="Cambria Math" w:hAnsi="Cambria Math"/>
            </w:rPr>
            <m:t xml:space="preserve">   (Eq.1)</m:t>
          </m:r>
        </m:oMath>
      </m:oMathPara>
    </w:p>
    <w:p w:rsidR="00432023" w:rsidRDefault="00432023" w:rsidP="00432023">
      <w:pPr>
        <w:spacing w:line="360" w:lineRule="auto"/>
        <w:contextualSpacing/>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Where</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NDA</w:t>
      </w:r>
      <w:r w:rsidRPr="00597713">
        <w:rPr>
          <w:rFonts w:ascii="Times New Roman" w:hAnsi="Times New Roman" w:cs="Times New Roman"/>
          <w:sz w:val="24"/>
          <w:szCs w:val="24"/>
          <w:lang w:val="en-GB"/>
        </w:rPr>
        <w:tab/>
        <w:t>=</w:t>
      </w:r>
      <w:r w:rsidRPr="00597713">
        <w:rPr>
          <w:rFonts w:ascii="Times New Roman" w:hAnsi="Times New Roman" w:cs="Times New Roman"/>
          <w:sz w:val="24"/>
          <w:szCs w:val="24"/>
          <w:lang w:val="en-GB"/>
        </w:rPr>
        <w:tab/>
        <w:t>normal accruals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TA </w:t>
      </w:r>
      <w:r w:rsidRPr="00597713">
        <w:rPr>
          <w:rFonts w:ascii="Times New Roman" w:hAnsi="Times New Roman" w:cs="Times New Roman"/>
          <w:sz w:val="24"/>
          <w:szCs w:val="24"/>
          <w:lang w:val="en-GB"/>
        </w:rPr>
        <w:tab/>
        <w:t xml:space="preserve">= </w:t>
      </w:r>
      <w:r w:rsidRPr="00597713">
        <w:rPr>
          <w:rFonts w:ascii="Times New Roman" w:hAnsi="Times New Roman" w:cs="Times New Roman"/>
          <w:sz w:val="24"/>
          <w:szCs w:val="24"/>
          <w:lang w:val="en-GB"/>
        </w:rPr>
        <w:tab/>
        <w:t>total accruals;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Cs/>
          <w:sz w:val="24"/>
          <w:szCs w:val="24"/>
          <w:lang w:val="en-GB"/>
        </w:rPr>
        <w:t xml:space="preserve">A </w:t>
      </w:r>
      <w:r w:rsidRPr="00597713">
        <w:rPr>
          <w:rFonts w:ascii="Times New Roman" w:hAnsi="Times New Roman" w:cs="Times New Roman"/>
          <w:iCs/>
          <w:sz w:val="24"/>
          <w:szCs w:val="24"/>
          <w:lang w:val="en-GB"/>
        </w:rPr>
        <w:tab/>
      </w:r>
      <w:r w:rsidRPr="00597713">
        <w:rPr>
          <w:rFonts w:ascii="Times New Roman" w:hAnsi="Times New Roman" w:cs="Times New Roman"/>
          <w:sz w:val="24"/>
          <w:szCs w:val="24"/>
          <w:lang w:val="en-GB"/>
        </w:rPr>
        <w:t xml:space="preserve">= </w:t>
      </w:r>
      <w:r w:rsidRPr="00597713">
        <w:rPr>
          <w:rFonts w:ascii="Times New Roman" w:hAnsi="Times New Roman" w:cs="Times New Roman"/>
          <w:sz w:val="24"/>
          <w:szCs w:val="24"/>
          <w:lang w:val="en-GB"/>
        </w:rPr>
        <w:tab/>
        <w:t>assets;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REV</w:t>
      </w:r>
      <w:r w:rsidRPr="00597713">
        <w:rPr>
          <w:rFonts w:ascii="Times New Roman" w:hAnsi="Times New Roman" w:cs="Times New Roman"/>
          <w:sz w:val="24"/>
          <w:szCs w:val="24"/>
          <w:lang w:val="en-GB"/>
        </w:rPr>
        <w:tab/>
        <w:t xml:space="preserve"> =    </w:t>
      </w:r>
      <w:r w:rsidRPr="00597713">
        <w:rPr>
          <w:rFonts w:ascii="Times New Roman" w:hAnsi="Times New Roman" w:cs="Times New Roman"/>
          <w:sz w:val="24"/>
          <w:szCs w:val="24"/>
          <w:lang w:val="en-GB"/>
        </w:rPr>
        <w:tab/>
        <w:t>revenues;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PPE</w:t>
      </w:r>
      <w:r w:rsidRPr="00597713">
        <w:rPr>
          <w:rFonts w:ascii="Times New Roman" w:hAnsi="Times New Roman" w:cs="Times New Roman"/>
          <w:sz w:val="24"/>
          <w:szCs w:val="24"/>
          <w:lang w:val="en-GB"/>
        </w:rPr>
        <w:tab/>
        <w:t xml:space="preserve"> = </w:t>
      </w:r>
      <w:r w:rsidRPr="00597713">
        <w:rPr>
          <w:rFonts w:ascii="Times New Roman" w:hAnsi="Times New Roman" w:cs="Times New Roman"/>
          <w:sz w:val="24"/>
          <w:szCs w:val="24"/>
          <w:lang w:val="en-GB"/>
        </w:rPr>
        <w:tab/>
        <w:t>gross property, plant, and equipment;</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rPr>
        <w:t>ε</w:t>
      </w:r>
      <w:r w:rsidRPr="00597713">
        <w:rPr>
          <w:rFonts w:ascii="Times New Roman" w:hAnsi="Times New Roman" w:cs="Times New Roman"/>
          <w:sz w:val="24"/>
          <w:szCs w:val="24"/>
          <w:lang w:val="en-GB"/>
        </w:rPr>
        <w:t xml:space="preserve"> </w:t>
      </w:r>
      <w:r w:rsidRPr="00597713">
        <w:rPr>
          <w:rFonts w:ascii="Times New Roman" w:hAnsi="Times New Roman" w:cs="Times New Roman"/>
          <w:sz w:val="24"/>
          <w:szCs w:val="24"/>
          <w:lang w:val="en-GB"/>
        </w:rPr>
        <w:tab/>
        <w:t xml:space="preserve">= </w:t>
      </w:r>
      <w:r w:rsidRPr="00597713">
        <w:rPr>
          <w:rFonts w:ascii="Times New Roman" w:hAnsi="Times New Roman" w:cs="Times New Roman"/>
          <w:sz w:val="24"/>
          <w:szCs w:val="24"/>
          <w:lang w:val="en-GB"/>
        </w:rPr>
        <w:tab/>
        <w:t>error term;</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
          <w:iCs/>
          <w:sz w:val="24"/>
          <w:szCs w:val="24"/>
          <w:lang w:val="en-GB"/>
        </w:rPr>
        <w:t xml:space="preserve">i </w:t>
      </w:r>
      <w:r w:rsidRPr="00597713">
        <w:rPr>
          <w:rFonts w:ascii="Times New Roman" w:hAnsi="Times New Roman" w:cs="Times New Roman"/>
          <w:i/>
          <w:iCs/>
          <w:sz w:val="24"/>
          <w:szCs w:val="24"/>
          <w:lang w:val="en-GB"/>
        </w:rPr>
        <w:tab/>
      </w:r>
      <w:r w:rsidRPr="00597713">
        <w:rPr>
          <w:rFonts w:ascii="Times New Roman" w:hAnsi="Times New Roman" w:cs="Times New Roman"/>
          <w:sz w:val="24"/>
          <w:szCs w:val="24"/>
          <w:lang w:val="en-GB"/>
        </w:rPr>
        <w:t xml:space="preserve">= </w:t>
      </w:r>
      <w:r w:rsidRPr="00597713">
        <w:rPr>
          <w:rFonts w:ascii="Times New Roman" w:hAnsi="Times New Roman" w:cs="Times New Roman"/>
          <w:sz w:val="24"/>
          <w:szCs w:val="24"/>
          <w:lang w:val="en-GB"/>
        </w:rPr>
        <w:tab/>
        <w:t>index for firm, i=1, 2…</w:t>
      </w:r>
      <w:r w:rsidRPr="00597713">
        <w:rPr>
          <w:rFonts w:ascii="Times New Roman" w:hAnsi="Times New Roman" w:cs="Times New Roman"/>
          <w:i/>
          <w:iCs/>
          <w:sz w:val="24"/>
          <w:szCs w:val="24"/>
          <w:lang w:val="en-GB"/>
        </w:rPr>
        <w:t xml:space="preserve"> N</w:t>
      </w:r>
      <w:r w:rsidRPr="00597713">
        <w:rPr>
          <w:rFonts w:ascii="Times New Roman" w:hAnsi="Times New Roman" w:cs="Times New Roman"/>
          <w:sz w:val="24"/>
          <w:szCs w:val="24"/>
          <w:lang w:val="en-GB"/>
        </w:rPr>
        <w:t>.</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
          <w:iCs/>
          <w:sz w:val="24"/>
          <w:szCs w:val="24"/>
          <w:lang w:val="en-GB"/>
        </w:rPr>
        <w:t xml:space="preserve">T </w:t>
      </w:r>
      <w:r w:rsidRPr="00597713">
        <w:rPr>
          <w:rFonts w:ascii="Times New Roman" w:hAnsi="Times New Roman" w:cs="Times New Roman"/>
          <w:i/>
          <w:iCs/>
          <w:sz w:val="24"/>
          <w:szCs w:val="24"/>
          <w:lang w:val="en-GB"/>
        </w:rPr>
        <w:tab/>
      </w:r>
      <w:r w:rsidRPr="00597713">
        <w:rPr>
          <w:rFonts w:ascii="Times New Roman" w:hAnsi="Times New Roman" w:cs="Times New Roman"/>
          <w:sz w:val="24"/>
          <w:szCs w:val="24"/>
          <w:lang w:val="en-GB"/>
        </w:rPr>
        <w:t xml:space="preserve">= </w:t>
      </w:r>
      <w:r w:rsidRPr="00597713">
        <w:rPr>
          <w:rFonts w:ascii="Times New Roman" w:hAnsi="Times New Roman" w:cs="Times New Roman"/>
          <w:sz w:val="24"/>
          <w:szCs w:val="24"/>
          <w:lang w:val="en-GB"/>
        </w:rPr>
        <w:tab/>
        <w:t>index for the period (year) in the estimation period,</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
          <w:iCs/>
          <w:sz w:val="24"/>
          <w:szCs w:val="24"/>
          <w:lang w:val="en-GB"/>
        </w:rPr>
        <w:t xml:space="preserve">t </w:t>
      </w:r>
      <w:r w:rsidRPr="00597713">
        <w:rPr>
          <w:rFonts w:ascii="Times New Roman" w:hAnsi="Times New Roman" w:cs="Times New Roman"/>
          <w:i/>
          <w:iCs/>
          <w:sz w:val="24"/>
          <w:szCs w:val="24"/>
          <w:lang w:val="en-GB"/>
        </w:rPr>
        <w:tab/>
      </w:r>
      <w:r w:rsidRPr="00597713">
        <w:rPr>
          <w:rFonts w:ascii="Times New Roman" w:hAnsi="Times New Roman" w:cs="Times New Roman"/>
          <w:sz w:val="24"/>
          <w:szCs w:val="24"/>
          <w:lang w:val="en-GB"/>
        </w:rPr>
        <w:t>=</w:t>
      </w:r>
      <w:r w:rsidRPr="00597713">
        <w:rPr>
          <w:rFonts w:ascii="Times New Roman" w:hAnsi="Times New Roman" w:cs="Times New Roman"/>
          <w:sz w:val="24"/>
          <w:szCs w:val="24"/>
          <w:lang w:val="en-GB"/>
        </w:rPr>
        <w:tab/>
        <w:t>1, 2…</w:t>
      </w:r>
      <w:r w:rsidRPr="00597713">
        <w:rPr>
          <w:rFonts w:ascii="Times New Roman" w:hAnsi="Times New Roman" w:cs="Times New Roman"/>
          <w:i/>
          <w:iCs/>
          <w:sz w:val="24"/>
          <w:szCs w:val="24"/>
          <w:lang w:val="en-GB"/>
        </w:rPr>
        <w:t xml:space="preserve"> T</w:t>
      </w:r>
      <w:r w:rsidRPr="00597713">
        <w:rPr>
          <w:rFonts w:ascii="Times New Roman" w:hAnsi="Times New Roman" w:cs="Times New Roman"/>
          <w:sz w:val="24"/>
          <w:szCs w:val="24"/>
          <w:lang w:val="en-GB"/>
        </w:rPr>
        <w:t>.</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rPr>
        <w:lastRenderedPageBreak/>
        <w:t>Δ</w:t>
      </w:r>
      <w:r w:rsidRPr="00597713">
        <w:rPr>
          <w:rFonts w:ascii="Times New Roman" w:hAnsi="Times New Roman" w:cs="Times New Roman"/>
          <w:sz w:val="24"/>
          <w:szCs w:val="24"/>
        </w:rPr>
        <w:tab/>
      </w:r>
      <w:r w:rsidRPr="00597713">
        <w:rPr>
          <w:rFonts w:ascii="Times New Roman" w:hAnsi="Times New Roman" w:cs="Times New Roman"/>
          <w:sz w:val="24"/>
          <w:szCs w:val="24"/>
          <w:lang w:val="en-GB"/>
        </w:rPr>
        <w:t xml:space="preserve"> = </w:t>
      </w:r>
      <w:r w:rsidRPr="00597713">
        <w:rPr>
          <w:rFonts w:ascii="Times New Roman" w:hAnsi="Times New Roman" w:cs="Times New Roman"/>
          <w:sz w:val="24"/>
          <w:szCs w:val="24"/>
          <w:lang w:val="en-GB"/>
        </w:rPr>
        <w:tab/>
        <w:t>change in a given variable.</w:t>
      </w:r>
    </w:p>
    <w:p w:rsidR="00432023" w:rsidRPr="00F342A1" w:rsidRDefault="00432023" w:rsidP="00432023">
      <w:pPr>
        <w:spacing w:line="360" w:lineRule="auto"/>
        <w:contextualSpacing/>
        <w:rPr>
          <w:lang w:val="en-GB"/>
        </w:rPr>
      </w:pP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The regression produces estimates of the coefficients </w:t>
      </w:r>
      <m:oMath>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α</m:t>
                </m:r>
              </m:e>
            </m:acc>
          </m:e>
          <m:sub>
            <m:r>
              <w:rPr>
                <w:rFonts w:ascii="Cambria Math" w:hAnsi="Cambria Math" w:cs="Times New Roman"/>
                <w:sz w:val="24"/>
                <w:szCs w:val="24"/>
              </w:rPr>
              <m:t>i</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β</m:t>
                </m:r>
              </m:e>
            </m:acc>
          </m:e>
          <m:sub>
            <m:r>
              <w:rPr>
                <w:rFonts w:ascii="Cambria Math" w:hAnsi="Times New Roman" w:cs="Times New Roman"/>
                <w:sz w:val="24"/>
                <w:szCs w:val="24"/>
              </w:rPr>
              <m:t>1</m:t>
            </m:r>
            <m:r>
              <w:rPr>
                <w:rFonts w:ascii="Cambria Math" w:hAnsi="Cambria Math" w:cs="Times New Roman"/>
                <w:sz w:val="24"/>
                <w:szCs w:val="24"/>
              </w:rPr>
              <m:t>i</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β</m:t>
                </m:r>
              </m:e>
            </m:acc>
          </m:e>
          <m:sub>
            <m:r>
              <w:rPr>
                <w:rFonts w:ascii="Cambria Math" w:hAnsi="Times New Roman" w:cs="Times New Roman"/>
                <w:sz w:val="24"/>
                <w:szCs w:val="24"/>
              </w:rPr>
              <m:t>2</m:t>
            </m:r>
            <m:r>
              <w:rPr>
                <w:rFonts w:ascii="Cambria Math" w:hAnsi="Cambria Math" w:cs="Times New Roman"/>
                <w:sz w:val="24"/>
                <w:szCs w:val="24"/>
              </w:rPr>
              <m:t>i</m:t>
            </m:r>
          </m:sub>
        </m:sSub>
      </m:oMath>
      <w:r w:rsidRPr="00597713">
        <w:rPr>
          <w:rFonts w:ascii="Times New Roman" w:hAnsi="Times New Roman" w:cs="Times New Roman"/>
          <w:sz w:val="24"/>
          <w:szCs w:val="24"/>
          <w:lang w:val="en-GB"/>
        </w:rPr>
        <w:t xml:space="preserve"> . The PP&amp;E (gross property, plant and equipment) coefficient is negative, because PP&amp;E determines the depreciation expense. Most researchers agree that the coefficient on change in sales should be positive (Ronen and Yaari, 2008, p. 405), because of the fact that there is a relationship between changes in accounts receivable and accounts payable. </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i/>
          <w:sz w:val="24"/>
          <w:szCs w:val="24"/>
          <w:u w:val="single"/>
          <w:lang w:val="en-GB"/>
        </w:rPr>
        <w:t>Phase 2</w:t>
      </w:r>
      <w:r w:rsidRPr="00597713">
        <w:rPr>
          <w:rFonts w:ascii="Times New Roman" w:hAnsi="Times New Roman" w:cs="Times New Roman"/>
          <w:sz w:val="24"/>
          <w:szCs w:val="24"/>
          <w:lang w:val="en-GB"/>
        </w:rPr>
        <w:t xml:space="preserve">: The parameters </w:t>
      </w:r>
      <m:oMath>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α</m:t>
                </m:r>
              </m:e>
            </m:acc>
          </m:e>
          <m:sub>
            <m:r>
              <w:rPr>
                <w:rFonts w:ascii="Cambria Math" w:hAnsi="Cambria Math" w:cs="Times New Roman"/>
                <w:sz w:val="24"/>
                <w:szCs w:val="24"/>
              </w:rPr>
              <m:t>i</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β</m:t>
                </m:r>
              </m:e>
            </m:acc>
          </m:e>
          <m:sub>
            <m:r>
              <w:rPr>
                <w:rFonts w:ascii="Cambria Math" w:hAnsi="Times New Roman" w:cs="Times New Roman"/>
                <w:sz w:val="24"/>
                <w:szCs w:val="24"/>
              </w:rPr>
              <m:t>1</m:t>
            </m:r>
            <m:r>
              <w:rPr>
                <w:rFonts w:ascii="Cambria Math" w:hAnsi="Cambria Math" w:cs="Times New Roman"/>
                <w:sz w:val="24"/>
                <w:szCs w:val="24"/>
              </w:rPr>
              <m:t>i</m:t>
            </m:r>
          </m:sub>
        </m:sSub>
        <m:r>
          <w:rPr>
            <w:rFonts w:ascii="Cambria Math" w:hAnsi="Times New Roman" w:cs="Times New Roman"/>
            <w:sz w:val="24"/>
            <w:szCs w:val="24"/>
          </w:rPr>
          <m:t xml:space="preserve">, </m:t>
        </m:r>
        <m:sSub>
          <m:sSubPr>
            <m:ctrlPr>
              <w:rPr>
                <w:rFonts w:ascii="Cambria Math" w:hAnsi="Times New Roman" w:cs="Times New Roman"/>
                <w:i/>
                <w:sz w:val="24"/>
                <w:szCs w:val="24"/>
              </w:rPr>
            </m:ctrlPr>
          </m:sSubPr>
          <m:e>
            <m:acc>
              <m:accPr>
                <m:ctrlPr>
                  <w:rPr>
                    <w:rFonts w:ascii="Cambria Math" w:hAnsi="Times New Roman" w:cs="Times New Roman"/>
                    <w:i/>
                    <w:sz w:val="24"/>
                    <w:szCs w:val="24"/>
                  </w:rPr>
                </m:ctrlPr>
              </m:accPr>
              <m:e>
                <m:r>
                  <w:rPr>
                    <w:rFonts w:ascii="Cambria Math" w:hAnsi="Cambria Math" w:cs="Times New Roman"/>
                    <w:sz w:val="24"/>
                    <w:szCs w:val="24"/>
                  </w:rPr>
                  <m:t>β</m:t>
                </m:r>
              </m:e>
            </m:acc>
          </m:e>
          <m:sub>
            <m:r>
              <w:rPr>
                <w:rFonts w:ascii="Cambria Math" w:hAnsi="Times New Roman" w:cs="Times New Roman"/>
                <w:sz w:val="24"/>
                <w:szCs w:val="24"/>
              </w:rPr>
              <m:t>2</m:t>
            </m:r>
            <m:r>
              <w:rPr>
                <w:rFonts w:ascii="Cambria Math" w:hAnsi="Cambria Math" w:cs="Times New Roman"/>
                <w:sz w:val="24"/>
                <w:szCs w:val="24"/>
              </w:rPr>
              <m:t>i</m:t>
            </m:r>
          </m:sub>
        </m:sSub>
      </m:oMath>
      <w:r w:rsidRPr="00597713">
        <w:rPr>
          <w:rFonts w:ascii="Times New Roman" w:hAnsi="Times New Roman" w:cs="Times New Roman"/>
          <w:sz w:val="24"/>
          <w:szCs w:val="24"/>
          <w:lang w:val="en-GB"/>
        </w:rPr>
        <w:t xml:space="preserve"> are put into Eq.1, in order to ultimately calculate the discretionary accruals.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
          <w:sz w:val="24"/>
          <w:szCs w:val="24"/>
          <w:lang w:val="en-GB"/>
        </w:rPr>
        <w:t>Total accruals</w:t>
      </w:r>
      <w:r w:rsidRPr="00597713">
        <w:rPr>
          <w:rFonts w:ascii="Times New Roman" w:hAnsi="Times New Roman" w:cs="Times New Roman"/>
          <w:sz w:val="24"/>
          <w:szCs w:val="24"/>
          <w:lang w:val="en-GB"/>
        </w:rPr>
        <w:t xml:space="preserve"> can be derived from the financial data of the firm, TA</w:t>
      </w:r>
      <w:r w:rsidRPr="00597713">
        <w:rPr>
          <w:rFonts w:ascii="Times New Roman" w:hAnsi="Times New Roman" w:cs="Times New Roman"/>
          <w:i/>
          <w:iCs/>
          <w:sz w:val="24"/>
          <w:szCs w:val="24"/>
          <w:lang w:val="en-GB"/>
        </w:rPr>
        <w:t>ip</w:t>
      </w:r>
      <w:r w:rsidRPr="00597713">
        <w:rPr>
          <w:rFonts w:ascii="Times New Roman" w:hAnsi="Times New Roman" w:cs="Times New Roman"/>
          <w:sz w:val="24"/>
          <w:szCs w:val="24"/>
          <w:lang w:val="en-GB"/>
        </w:rPr>
        <w:t>.</w:t>
      </w:r>
    </w:p>
    <w:p w:rsidR="00432023" w:rsidRPr="00597713" w:rsidRDefault="00432023" w:rsidP="00432023">
      <w:pPr>
        <w:autoSpaceDE w:val="0"/>
        <w:autoSpaceDN w:val="0"/>
        <w:adjustRightInd w:val="0"/>
        <w:spacing w:line="360" w:lineRule="auto"/>
        <w:contextualSpacing/>
        <w:jc w:val="center"/>
        <w:rPr>
          <w:rFonts w:ascii="Times New Roman" w:hAnsi="Times New Roman" w:cs="Times New Roman"/>
          <w:color w:val="761E28"/>
          <w:sz w:val="24"/>
          <w:szCs w:val="24"/>
          <w:lang w:val="en-GB"/>
        </w:rPr>
      </w:pPr>
    </w:p>
    <w:p w:rsidR="00432023" w:rsidRPr="00597713" w:rsidRDefault="00B7519E" w:rsidP="00432023">
      <w:pPr>
        <w:autoSpaceDE w:val="0"/>
        <w:autoSpaceDN w:val="0"/>
        <w:adjustRightInd w:val="0"/>
        <w:spacing w:line="360" w:lineRule="auto"/>
        <w:contextualSpacing/>
        <w:rPr>
          <w:rFonts w:ascii="Times New Roman" w:hAnsi="Times New Roman" w:cs="Times New Roman"/>
          <w:i/>
          <w:color w:val="761E28"/>
          <w:sz w:val="24"/>
          <w:szCs w:val="24"/>
        </w:rPr>
      </w:pPr>
      <m:oMathPara>
        <m:oMath>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TA</m:t>
              </m:r>
            </m:e>
            <m:sub>
              <m:r>
                <w:rPr>
                  <w:rFonts w:ascii="Cambria Math" w:hAnsi="Cambria Math" w:cs="Times New Roman"/>
                  <w:color w:val="700000"/>
                  <w:sz w:val="24"/>
                  <w:szCs w:val="24"/>
                </w:rPr>
                <m:t>ip</m:t>
              </m:r>
            </m:sub>
          </m:sSub>
          <m:r>
            <w:rPr>
              <w:rFonts w:ascii="Cambria Math" w:hAnsi="Times New Roman" w:cs="Times New Roman"/>
              <w:color w:val="700000"/>
              <w:sz w:val="24"/>
              <w:szCs w:val="24"/>
            </w:rPr>
            <m:t>=</m:t>
          </m:r>
          <m:d>
            <m:dPr>
              <m:ctrlPr>
                <w:rPr>
                  <w:rFonts w:ascii="Cambria Math" w:hAnsi="Times New Roman" w:cs="Times New Roman"/>
                  <w:i/>
                  <w:color w:val="700000"/>
                  <w:sz w:val="24"/>
                  <w:szCs w:val="24"/>
                </w:rPr>
              </m:ctrlPr>
            </m:dPr>
            <m:e>
              <m:r>
                <w:rPr>
                  <w:rFonts w:ascii="Cambria Math" w:hAnsi="Cambria Math" w:cs="Times New Roman"/>
                  <w:color w:val="700000"/>
                  <w:sz w:val="24"/>
                  <w:szCs w:val="24"/>
                </w:rPr>
                <m:t>Δtotal</m:t>
              </m:r>
              <m:r>
                <w:rPr>
                  <w:rFonts w:ascii="Cambria Math" w:hAnsi="Times New Roman" w:cs="Times New Roman"/>
                  <w:color w:val="700000"/>
                  <w:sz w:val="24"/>
                  <w:szCs w:val="24"/>
                </w:rPr>
                <m:t xml:space="preserve"> </m:t>
              </m:r>
              <m:r>
                <w:rPr>
                  <w:rFonts w:ascii="Cambria Math" w:hAnsi="Cambria Math" w:cs="Times New Roman"/>
                  <w:color w:val="700000"/>
                  <w:sz w:val="24"/>
                  <w:szCs w:val="24"/>
                </w:rPr>
                <m:t>current</m:t>
              </m:r>
              <m:r>
                <w:rPr>
                  <w:rFonts w:ascii="Cambria Math" w:hAnsi="Times New Roman" w:cs="Times New Roman"/>
                  <w:color w:val="700000"/>
                  <w:sz w:val="24"/>
                  <w:szCs w:val="24"/>
                </w:rPr>
                <m:t xml:space="preserve"> </m:t>
              </m:r>
              <m:r>
                <w:rPr>
                  <w:rFonts w:ascii="Cambria Math" w:hAnsi="Cambria Math" w:cs="Times New Roman"/>
                  <w:color w:val="700000"/>
                  <w:sz w:val="24"/>
                  <w:szCs w:val="24"/>
                </w:rPr>
                <m:t>assets</m:t>
              </m:r>
              <m:r>
                <w:rPr>
                  <w:rFonts w:ascii="Times New Roman" w:hAnsi="Times New Roman" w:cs="Times New Roman"/>
                  <w:color w:val="700000"/>
                  <w:sz w:val="24"/>
                  <w:szCs w:val="24"/>
                </w:rPr>
                <m:t>-</m:t>
              </m:r>
              <m:r>
                <w:rPr>
                  <w:rFonts w:ascii="Cambria Math" w:hAnsi="Cambria Math" w:cs="Times New Roman"/>
                  <w:color w:val="700000"/>
                  <w:sz w:val="24"/>
                  <w:szCs w:val="24"/>
                </w:rPr>
                <m:t>Δcas</m:t>
              </m:r>
              <m:r>
                <w:rPr>
                  <w:rFonts w:ascii="Times New Roman" w:hAnsi="Cambria Math" w:cs="Times New Roman"/>
                  <w:color w:val="700000"/>
                  <w:sz w:val="24"/>
                  <w:szCs w:val="24"/>
                </w:rPr>
                <m:t>h</m:t>
              </m:r>
            </m:e>
          </m:d>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d>
            <m:dPr>
              <m:ctrlPr>
                <w:rPr>
                  <w:rFonts w:ascii="Cambria Math" w:hAnsi="Times New Roman" w:cs="Times New Roman"/>
                  <w:i/>
                  <w:color w:val="700000"/>
                  <w:sz w:val="24"/>
                  <w:szCs w:val="24"/>
                </w:rPr>
              </m:ctrlPr>
            </m:dPr>
            <m:e>
              <m:r>
                <w:rPr>
                  <w:rFonts w:ascii="Cambria Math" w:hAnsi="Cambria Math" w:cs="Times New Roman"/>
                  <w:color w:val="700000"/>
                  <w:sz w:val="24"/>
                  <w:szCs w:val="24"/>
                </w:rPr>
                <m:t>Δtotal</m:t>
              </m:r>
              <m:r>
                <w:rPr>
                  <w:rFonts w:ascii="Cambria Math" w:hAnsi="Times New Roman" w:cs="Times New Roman"/>
                  <w:color w:val="700000"/>
                  <w:sz w:val="24"/>
                  <w:szCs w:val="24"/>
                </w:rPr>
                <m:t xml:space="preserve"> </m:t>
              </m:r>
              <m:r>
                <w:rPr>
                  <w:rFonts w:ascii="Cambria Math" w:hAnsi="Cambria Math" w:cs="Times New Roman"/>
                  <w:color w:val="700000"/>
                  <w:sz w:val="24"/>
                  <w:szCs w:val="24"/>
                </w:rPr>
                <m:t>current</m:t>
              </m:r>
              <m:r>
                <w:rPr>
                  <w:rFonts w:ascii="Cambria Math" w:hAnsi="Times New Roman" w:cs="Times New Roman"/>
                  <w:color w:val="700000"/>
                  <w:sz w:val="24"/>
                  <w:szCs w:val="24"/>
                </w:rPr>
                <m:t xml:space="preserve"> </m:t>
              </m:r>
              <m:r>
                <w:rPr>
                  <w:rFonts w:ascii="Cambria Math" w:hAnsi="Cambria Math" w:cs="Times New Roman"/>
                  <w:color w:val="700000"/>
                  <w:sz w:val="24"/>
                  <w:szCs w:val="24"/>
                </w:rPr>
                <m:t>liabilities</m:t>
              </m:r>
              <m:r>
                <w:rPr>
                  <w:rFonts w:ascii="Times New Roman" w:hAnsi="Times New Roman" w:cs="Times New Roman"/>
                  <w:color w:val="700000"/>
                  <w:sz w:val="24"/>
                  <w:szCs w:val="24"/>
                </w:rPr>
                <m:t>-</m:t>
              </m:r>
              <m:r>
                <w:rPr>
                  <w:rFonts w:ascii="Cambria Math" w:hAnsi="Cambria Math" w:cs="Times New Roman"/>
                  <w:color w:val="700000"/>
                  <w:sz w:val="24"/>
                  <w:szCs w:val="24"/>
                </w:rPr>
                <m:t>Δs</m:t>
              </m:r>
              <m:r>
                <w:rPr>
                  <w:rFonts w:ascii="Times New Roman" w:hAnsi="Cambria Math" w:cs="Times New Roman"/>
                  <w:color w:val="700000"/>
                  <w:sz w:val="24"/>
                  <w:szCs w:val="24"/>
                </w:rPr>
                <m:t>h</m:t>
              </m:r>
              <m:r>
                <w:rPr>
                  <w:rFonts w:ascii="Cambria Math" w:hAnsi="Cambria Math" w:cs="Times New Roman"/>
                  <w:color w:val="700000"/>
                  <w:sz w:val="24"/>
                  <w:szCs w:val="24"/>
                </w:rPr>
                <m:t>ort</m:t>
              </m:r>
              <m:r>
                <w:rPr>
                  <w:rFonts w:ascii="Cambria Math" w:hAnsi="Times New Roman" w:cs="Times New Roman"/>
                  <w:color w:val="700000"/>
                  <w:sz w:val="24"/>
                  <w:szCs w:val="24"/>
                </w:rPr>
                <m:t xml:space="preserve"> </m:t>
              </m:r>
              <m:r>
                <w:rPr>
                  <w:rFonts w:ascii="Cambria Math" w:hAnsi="Cambria Math" w:cs="Times New Roman"/>
                  <w:color w:val="700000"/>
                  <w:sz w:val="24"/>
                  <w:szCs w:val="24"/>
                </w:rPr>
                <m:t>term</m:t>
              </m:r>
              <m:r>
                <w:rPr>
                  <w:rFonts w:ascii="Cambria Math" w:hAnsi="Times New Roman" w:cs="Times New Roman"/>
                  <w:color w:val="700000"/>
                  <w:sz w:val="24"/>
                  <w:szCs w:val="24"/>
                </w:rPr>
                <m:t xml:space="preserve"> </m:t>
              </m:r>
              <m:r>
                <w:rPr>
                  <w:rFonts w:ascii="Cambria Math" w:hAnsi="Cambria Math" w:cs="Times New Roman"/>
                  <w:color w:val="700000"/>
                  <w:sz w:val="24"/>
                  <w:szCs w:val="24"/>
                </w:rPr>
                <m:t>debt</m:t>
              </m:r>
              <m:r>
                <w:rPr>
                  <w:rFonts w:ascii="Times New Roman" w:hAnsi="Times New Roman" w:cs="Times New Roman"/>
                  <w:color w:val="700000"/>
                  <w:sz w:val="24"/>
                  <w:szCs w:val="24"/>
                </w:rPr>
                <m:t>-</m:t>
              </m:r>
              <m:r>
                <w:rPr>
                  <w:rFonts w:ascii="Cambria Math" w:hAnsi="Cambria Math" w:cs="Times New Roman"/>
                  <w:color w:val="700000"/>
                  <w:sz w:val="24"/>
                  <w:szCs w:val="24"/>
                </w:rPr>
                <m:t>Δtaxes</m:t>
              </m:r>
              <m:r>
                <w:rPr>
                  <w:rFonts w:ascii="Cambria Math" w:hAnsi="Times New Roman" w:cs="Times New Roman"/>
                  <w:color w:val="700000"/>
                  <w:sz w:val="24"/>
                  <w:szCs w:val="24"/>
                </w:rPr>
                <m:t xml:space="preserve"> </m:t>
              </m:r>
              <m:r>
                <w:rPr>
                  <w:rFonts w:ascii="Cambria Math" w:hAnsi="Cambria Math" w:cs="Times New Roman"/>
                  <w:color w:val="700000"/>
                  <w:sz w:val="24"/>
                  <w:szCs w:val="24"/>
                </w:rPr>
                <m:t>payable</m:t>
              </m:r>
            </m:e>
          </m:d>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Cambria Math" w:cs="Times New Roman"/>
              <w:color w:val="700000"/>
              <w:sz w:val="24"/>
              <w:szCs w:val="24"/>
            </w:rPr>
            <m:t>depreciation</m:t>
          </m:r>
          <m:r>
            <w:rPr>
              <w:rFonts w:ascii="Cambria Math" w:hAnsi="Times New Roman" w:cs="Times New Roman"/>
              <w:color w:val="700000"/>
              <w:sz w:val="24"/>
              <w:szCs w:val="24"/>
            </w:rPr>
            <m:t xml:space="preserve"> </m:t>
          </m:r>
          <m:r>
            <w:rPr>
              <w:rFonts w:ascii="Cambria Math" w:hAnsi="Cambria Math" w:cs="Times New Roman"/>
              <w:color w:val="700000"/>
              <w:sz w:val="24"/>
              <w:szCs w:val="24"/>
            </w:rPr>
            <m:t>expense</m:t>
          </m:r>
          <m:r>
            <w:rPr>
              <w:rFonts w:ascii="Cambria Math" w:hAnsi="Times New Roman" w:cs="Times New Roman"/>
              <w:color w:val="761E28"/>
              <w:sz w:val="24"/>
              <w:szCs w:val="24"/>
            </w:rPr>
            <m:t xml:space="preserve">   </m:t>
          </m:r>
          <m:r>
            <w:rPr>
              <w:rFonts w:ascii="Cambria Math" w:hAnsi="Times New Roman" w:cs="Times New Roman"/>
              <w:sz w:val="24"/>
              <w:szCs w:val="24"/>
            </w:rPr>
            <m:t>(</m:t>
          </m:r>
          <m:r>
            <w:rPr>
              <w:rFonts w:ascii="Cambria Math" w:hAnsi="Cambria Math" w:cs="Times New Roman"/>
              <w:sz w:val="24"/>
              <w:szCs w:val="24"/>
            </w:rPr>
            <m:t>Eq</m:t>
          </m:r>
          <m:r>
            <w:rPr>
              <w:rFonts w:ascii="Cambria Math" w:hAnsi="Times New Roman" w:cs="Times New Roman"/>
              <w:sz w:val="24"/>
              <w:szCs w:val="24"/>
            </w:rPr>
            <m:t>.2)</m:t>
          </m:r>
        </m:oMath>
      </m:oMathPara>
    </w:p>
    <w:p w:rsidR="00432023" w:rsidRPr="00597713" w:rsidRDefault="00432023" w:rsidP="00432023">
      <w:pPr>
        <w:autoSpaceDE w:val="0"/>
        <w:autoSpaceDN w:val="0"/>
        <w:adjustRightInd w:val="0"/>
        <w:spacing w:line="360" w:lineRule="auto"/>
        <w:contextualSpacing/>
        <w:rPr>
          <w:rFonts w:ascii="Times New Roman" w:hAnsi="Times New Roman" w:cs="Times New Roman"/>
          <w:color w:val="761E28"/>
          <w:sz w:val="24"/>
          <w:szCs w:val="24"/>
        </w:rPr>
      </w:pP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i/>
          <w:sz w:val="24"/>
          <w:szCs w:val="24"/>
          <w:lang w:val="en-GB"/>
        </w:rPr>
        <w:t>Normal accruals</w:t>
      </w:r>
      <w:r w:rsidRPr="00597713">
        <w:rPr>
          <w:rFonts w:ascii="Times New Roman" w:hAnsi="Times New Roman" w:cs="Times New Roman"/>
          <w:sz w:val="24"/>
          <w:szCs w:val="24"/>
          <w:lang w:val="en-GB"/>
        </w:rPr>
        <w:t xml:space="preserve"> are estimated from the change in sales and PP&amp;E, deflated by the beginning-of-the-period assets, given the coefficients estimated in Eq. 1:</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p>
    <w:p w:rsidR="00432023" w:rsidRPr="00597713" w:rsidRDefault="00B7519E" w:rsidP="00432023">
      <w:pPr>
        <w:autoSpaceDE w:val="0"/>
        <w:autoSpaceDN w:val="0"/>
        <w:adjustRightInd w:val="0"/>
        <w:spacing w:line="360" w:lineRule="auto"/>
        <w:contextualSpacing/>
        <w:jc w:val="center"/>
        <w:rPr>
          <w:rFonts w:ascii="Times New Roman" w:hAnsi="Times New Roman" w:cs="Times New Roman"/>
          <w:sz w:val="24"/>
          <w:szCs w:val="24"/>
        </w:rPr>
      </w:pPr>
      <m:oMathPara>
        <m:oMath>
          <m:f>
            <m:fPr>
              <m:ctrlPr>
                <w:rPr>
                  <w:rFonts w:ascii="Cambria Math" w:hAnsi="Times New Roman" w:cs="Times New Roman"/>
                  <w:i/>
                  <w:color w:val="700000"/>
                  <w:sz w:val="24"/>
                  <w:szCs w:val="24"/>
                </w:rPr>
              </m:ctrlPr>
            </m:fPr>
            <m:num>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T</m:t>
                  </m:r>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A</m:t>
                      </m:r>
                    </m:e>
                  </m:acc>
                </m:e>
                <m:sub>
                  <m:r>
                    <w:rPr>
                      <w:rFonts w:ascii="Cambria Math" w:hAnsi="Cambria Math" w:cs="Times New Roman"/>
                      <w:color w:val="700000"/>
                      <w:sz w:val="24"/>
                      <w:szCs w:val="24"/>
                    </w:rPr>
                    <m:t>ip</m:t>
                  </m:r>
                </m:sub>
              </m:sSub>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r>
            <w:rPr>
              <w:rFonts w:ascii="Cambria Math" w:hAnsi="Times New Roman" w:cs="Times New Roman"/>
              <w:color w:val="700000"/>
              <w:sz w:val="24"/>
              <w:szCs w:val="24"/>
            </w:rPr>
            <m:t>=</m:t>
          </m:r>
          <m:sSub>
            <m:sSubPr>
              <m:ctrlPr>
                <w:rPr>
                  <w:rFonts w:ascii="Cambria Math" w:hAnsi="Times New Roman" w:cs="Times New Roman"/>
                  <w:i/>
                  <w:color w:val="700000"/>
                  <w:sz w:val="24"/>
                  <w:szCs w:val="24"/>
                </w:rPr>
              </m:ctrlPr>
            </m:sSubPr>
            <m:e>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α</m:t>
                  </m:r>
                </m:e>
              </m:acc>
            </m:e>
            <m:sub>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r>
                    <w:rPr>
                      <w:rFonts w:ascii="Cambria Math" w:hAnsi="Times New Roman" w:cs="Times New Roman"/>
                      <w:color w:val="700000"/>
                      <w:sz w:val="24"/>
                      <w:szCs w:val="24"/>
                    </w:rPr>
                    <m:t>1</m:t>
                  </m:r>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β</m:t>
              </m:r>
            </m:e>
            <m:sub>
              <m:r>
                <w:rPr>
                  <w:rFonts w:ascii="Cambria Math" w:hAnsi="Times New Roman" w:cs="Times New Roman"/>
                  <w:color w:val="700000"/>
                  <w:sz w:val="24"/>
                  <w:szCs w:val="24"/>
                </w:rPr>
                <m:t>1</m:t>
              </m:r>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r>
                    <w:rPr>
                      <w:rFonts w:ascii="Cambria Math" w:hAnsi="Cambria Math" w:cs="Times New Roman"/>
                      <w:color w:val="700000"/>
                      <w:sz w:val="24"/>
                      <w:szCs w:val="24"/>
                    </w:rPr>
                    <m:t>Δ</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REV</m:t>
                      </m:r>
                    </m:e>
                    <m:sub>
                      <m:r>
                        <w:rPr>
                          <w:rFonts w:ascii="Cambria Math" w:hAnsi="Cambria Math" w:cs="Times New Roman"/>
                          <w:color w:val="700000"/>
                          <w:sz w:val="24"/>
                          <w:szCs w:val="24"/>
                        </w:rPr>
                        <m:t>ip</m:t>
                      </m:r>
                    </m:sub>
                  </m:sSub>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sSub>
            <m:sSubPr>
              <m:ctrlPr>
                <w:rPr>
                  <w:rFonts w:ascii="Cambria Math" w:hAnsi="Times New Roman" w:cs="Times New Roman"/>
                  <w:i/>
                  <w:color w:val="700000"/>
                  <w:sz w:val="24"/>
                  <w:szCs w:val="24"/>
                </w:rPr>
              </m:ctrlPr>
            </m:sSubPr>
            <m:e>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β</m:t>
                  </m:r>
                </m:e>
              </m:acc>
            </m:e>
            <m:sub>
              <m:r>
                <w:rPr>
                  <w:rFonts w:ascii="Cambria Math" w:hAnsi="Times New Roman" w:cs="Times New Roman"/>
                  <w:color w:val="700000"/>
                  <w:sz w:val="24"/>
                  <w:szCs w:val="24"/>
                </w:rPr>
                <m:t>2</m:t>
              </m:r>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PPE</m:t>
                      </m:r>
                    </m:e>
                    <m:sub>
                      <m:r>
                        <w:rPr>
                          <w:rFonts w:ascii="Cambria Math" w:hAnsi="Cambria Math" w:cs="Times New Roman"/>
                          <w:color w:val="700000"/>
                          <w:sz w:val="24"/>
                          <w:szCs w:val="24"/>
                        </w:rPr>
                        <m:t>ip</m:t>
                      </m:r>
                    </m:sub>
                  </m:sSub>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r>
            <w:rPr>
              <w:rFonts w:ascii="Cambria Math" w:hAnsi="Times New Roman" w:cs="Times New Roman"/>
              <w:color w:val="761E28"/>
              <w:sz w:val="24"/>
              <w:szCs w:val="24"/>
            </w:rPr>
            <m:t xml:space="preserve"> </m:t>
          </m:r>
          <m:r>
            <w:rPr>
              <w:rFonts w:ascii="Cambria Math" w:hAnsi="Times New Roman" w:cs="Times New Roman"/>
              <w:sz w:val="24"/>
              <w:szCs w:val="24"/>
            </w:rPr>
            <m:t>(</m:t>
          </m:r>
          <m:r>
            <w:rPr>
              <w:rFonts w:ascii="Cambria Math" w:hAnsi="Cambria Math" w:cs="Times New Roman"/>
              <w:sz w:val="24"/>
              <w:szCs w:val="24"/>
            </w:rPr>
            <m:t>Eq</m:t>
          </m:r>
          <m:r>
            <w:rPr>
              <w:rFonts w:ascii="Cambria Math" w:hAnsi="Times New Roman" w:cs="Times New Roman"/>
              <w:sz w:val="24"/>
              <w:szCs w:val="24"/>
            </w:rPr>
            <m:t>.3)</m:t>
          </m:r>
        </m:oMath>
      </m:oMathPara>
    </w:p>
    <w:p w:rsidR="00432023" w:rsidRPr="00597713" w:rsidRDefault="00432023" w:rsidP="00432023">
      <w:pPr>
        <w:autoSpaceDE w:val="0"/>
        <w:autoSpaceDN w:val="0"/>
        <w:adjustRightInd w:val="0"/>
        <w:spacing w:line="360" w:lineRule="auto"/>
        <w:contextualSpacing/>
        <w:jc w:val="center"/>
        <w:rPr>
          <w:rFonts w:ascii="Times New Roman" w:hAnsi="Times New Roman" w:cs="Times New Roman"/>
          <w:color w:val="761E28"/>
          <w:sz w:val="24"/>
          <w:szCs w:val="24"/>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The abnormal accruals are fully equated with discretionary accruals. The </w:t>
      </w:r>
      <w:r w:rsidRPr="00597713">
        <w:rPr>
          <w:rFonts w:ascii="Times New Roman" w:hAnsi="Times New Roman" w:cs="Times New Roman"/>
          <w:i/>
          <w:sz w:val="24"/>
          <w:szCs w:val="24"/>
          <w:lang w:val="en-GB"/>
        </w:rPr>
        <w:t>discretionary accruals</w:t>
      </w:r>
      <w:r w:rsidRPr="00597713">
        <w:rPr>
          <w:rFonts w:ascii="Times New Roman" w:hAnsi="Times New Roman" w:cs="Times New Roman"/>
          <w:sz w:val="24"/>
          <w:szCs w:val="24"/>
          <w:lang w:val="en-GB"/>
        </w:rPr>
        <w:t xml:space="preserve"> can be calculated by deducting the normal accruals from the total accruals:</w:t>
      </w:r>
    </w:p>
    <w:p w:rsidR="00432023" w:rsidRPr="00597713" w:rsidRDefault="00432023" w:rsidP="00432023">
      <w:pPr>
        <w:spacing w:line="360" w:lineRule="auto"/>
        <w:contextualSpacing/>
        <w:rPr>
          <w:rFonts w:ascii="Times New Roman" w:hAnsi="Times New Roman" w:cs="Times New Roman"/>
          <w:i/>
          <w:iCs/>
          <w:sz w:val="24"/>
          <w:szCs w:val="24"/>
          <w:lang w:val="en-GB"/>
        </w:rPr>
      </w:pPr>
    </w:p>
    <w:p w:rsidR="00432023" w:rsidRPr="00597713" w:rsidRDefault="00B7519E" w:rsidP="00432023">
      <w:pPr>
        <w:spacing w:line="360" w:lineRule="auto"/>
        <w:contextualSpacing/>
        <w:jc w:val="center"/>
        <w:rPr>
          <w:rFonts w:ascii="Times New Roman" w:hAnsi="Times New Roman" w:cs="Times New Roman"/>
          <w:i/>
          <w:iCs/>
          <w:sz w:val="24"/>
          <w:szCs w:val="24"/>
        </w:rPr>
      </w:pPr>
      <m:oMathPara>
        <m:oMath>
          <m:sSub>
            <m:sSubPr>
              <m:ctrlPr>
                <w:rPr>
                  <w:rFonts w:ascii="Cambria Math" w:hAnsi="Times New Roman" w:cs="Times New Roman"/>
                  <w:i/>
                  <w:iCs/>
                  <w:color w:val="700000"/>
                  <w:sz w:val="24"/>
                  <w:szCs w:val="24"/>
                </w:rPr>
              </m:ctrlPr>
            </m:sSubPr>
            <m:e>
              <m:r>
                <w:rPr>
                  <w:rFonts w:ascii="Cambria Math" w:hAnsi="Cambria Math" w:cs="Times New Roman"/>
                  <w:color w:val="700000"/>
                  <w:sz w:val="24"/>
                  <w:szCs w:val="24"/>
                </w:rPr>
                <m:t>u</m:t>
              </m:r>
            </m:e>
            <m:sub>
              <m:r>
                <w:rPr>
                  <w:rFonts w:ascii="Cambria Math" w:hAnsi="Cambria Math" w:cs="Times New Roman"/>
                  <w:color w:val="700000"/>
                  <w:sz w:val="24"/>
                  <w:szCs w:val="24"/>
                </w:rPr>
                <m:t>ip</m:t>
              </m:r>
            </m:sub>
          </m:sSub>
          <m:r>
            <w:rPr>
              <w:rFonts w:ascii="Cambria Math" w:hAnsi="Times New Roman" w:cs="Times New Roman"/>
              <w:color w:val="700000"/>
              <w:sz w:val="24"/>
              <w:szCs w:val="24"/>
            </w:rPr>
            <m:t>=</m:t>
          </m:r>
          <m:sSub>
            <m:sSubPr>
              <m:ctrlPr>
                <w:rPr>
                  <w:rFonts w:ascii="Cambria Math" w:hAnsi="Times New Roman" w:cs="Times New Roman"/>
                  <w:i/>
                  <w:iCs/>
                  <w:color w:val="700000"/>
                  <w:sz w:val="24"/>
                  <w:szCs w:val="24"/>
                </w:rPr>
              </m:ctrlPr>
            </m:sSubPr>
            <m:e>
              <m:r>
                <w:rPr>
                  <w:rFonts w:ascii="Cambria Math" w:hAnsi="Cambria Math" w:cs="Times New Roman"/>
                  <w:color w:val="700000"/>
                  <w:sz w:val="24"/>
                  <w:szCs w:val="24"/>
                </w:rPr>
                <m:t>TA</m:t>
              </m:r>
            </m:e>
            <m:sub>
              <m:r>
                <w:rPr>
                  <w:rFonts w:ascii="Cambria Math" w:hAnsi="Cambria Math" w:cs="Times New Roman"/>
                  <w:color w:val="700000"/>
                  <w:sz w:val="24"/>
                  <w:szCs w:val="24"/>
                </w:rPr>
                <m:t>ip</m:t>
              </m:r>
            </m:sub>
          </m:sSub>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sSub>
            <m:sSubPr>
              <m:ctrlPr>
                <w:rPr>
                  <w:rFonts w:ascii="Cambria Math" w:hAnsi="Times New Roman" w:cs="Times New Roman"/>
                  <w:i/>
                  <w:iCs/>
                  <w:color w:val="700000"/>
                  <w:sz w:val="24"/>
                  <w:szCs w:val="24"/>
                </w:rPr>
              </m:ctrlPr>
            </m:sSubPr>
            <m:e>
              <m:r>
                <w:rPr>
                  <w:rFonts w:ascii="Cambria Math" w:hAnsi="Cambria Math" w:cs="Times New Roman"/>
                  <w:color w:val="700000"/>
                  <w:sz w:val="24"/>
                  <w:szCs w:val="24"/>
                </w:rPr>
                <m:t>T</m:t>
              </m:r>
              <m:acc>
                <m:accPr>
                  <m:ctrlPr>
                    <w:rPr>
                      <w:rFonts w:ascii="Cambria Math" w:hAnsi="Times New Roman" w:cs="Times New Roman"/>
                      <w:i/>
                      <w:iCs/>
                      <w:color w:val="700000"/>
                      <w:sz w:val="24"/>
                      <w:szCs w:val="24"/>
                    </w:rPr>
                  </m:ctrlPr>
                </m:accPr>
                <m:e>
                  <m:r>
                    <w:rPr>
                      <w:rFonts w:ascii="Cambria Math" w:hAnsi="Cambria Math" w:cs="Times New Roman"/>
                      <w:color w:val="700000"/>
                      <w:sz w:val="24"/>
                      <w:szCs w:val="24"/>
                    </w:rPr>
                    <m:t>A</m:t>
                  </m:r>
                </m:e>
              </m:acc>
            </m:e>
            <m:sub>
              <m:r>
                <w:rPr>
                  <w:rFonts w:ascii="Cambria Math" w:hAnsi="Cambria Math" w:cs="Times New Roman"/>
                  <w:color w:val="700000"/>
                  <w:sz w:val="24"/>
                  <w:szCs w:val="24"/>
                </w:rPr>
                <m:t>ip</m:t>
              </m:r>
            </m:sub>
          </m:sSub>
          <m:r>
            <w:rPr>
              <w:rFonts w:ascii="Cambria Math" w:hAnsi="Times New Roman" w:cs="Times New Roman"/>
              <w:color w:val="700000"/>
              <w:sz w:val="24"/>
              <w:szCs w:val="24"/>
            </w:rPr>
            <m:t xml:space="preserve">   </m:t>
          </m:r>
          <m:r>
            <w:rPr>
              <w:rFonts w:ascii="Cambria Math" w:hAnsi="Times New Roman" w:cs="Times New Roman"/>
              <w:sz w:val="24"/>
              <w:szCs w:val="24"/>
            </w:rPr>
            <m:t>(</m:t>
          </m:r>
          <m:r>
            <w:rPr>
              <w:rFonts w:ascii="Cambria Math" w:hAnsi="Cambria Math" w:cs="Times New Roman"/>
              <w:sz w:val="24"/>
              <w:szCs w:val="24"/>
            </w:rPr>
            <m:t>Eq</m:t>
          </m:r>
          <m:r>
            <w:rPr>
              <w:rFonts w:ascii="Cambria Math" w:hAnsi="Times New Roman" w:cs="Times New Roman"/>
              <w:sz w:val="24"/>
              <w:szCs w:val="24"/>
            </w:rPr>
            <m:t>.4)</m:t>
          </m:r>
        </m:oMath>
      </m:oMathPara>
    </w:p>
    <w:p w:rsidR="00432023" w:rsidRPr="00597713" w:rsidRDefault="00432023" w:rsidP="00432023">
      <w:pPr>
        <w:spacing w:line="360" w:lineRule="auto"/>
        <w:contextualSpacing/>
        <w:rPr>
          <w:rFonts w:ascii="Times New Roman" w:hAnsi="Times New Roman" w:cs="Times New Roman"/>
          <w:iCs/>
          <w:sz w:val="24"/>
          <w:szCs w:val="24"/>
          <w:lang w:val="en-GB"/>
        </w:rPr>
      </w:pPr>
      <w:r w:rsidRPr="00597713">
        <w:rPr>
          <w:rFonts w:ascii="Times New Roman" w:hAnsi="Times New Roman" w:cs="Times New Roman"/>
          <w:iCs/>
          <w:sz w:val="24"/>
          <w:szCs w:val="24"/>
          <w:lang w:val="en-GB"/>
        </w:rPr>
        <w:t>Where</w:t>
      </w:r>
    </w:p>
    <w:p w:rsidR="00432023" w:rsidRPr="00597713" w:rsidRDefault="00432023" w:rsidP="00432023">
      <w:pPr>
        <w:spacing w:line="360" w:lineRule="auto"/>
        <w:contextualSpacing/>
        <w:rPr>
          <w:rFonts w:ascii="Times New Roman" w:hAnsi="Times New Roman" w:cs="Times New Roman"/>
          <w:iCs/>
          <w:sz w:val="24"/>
          <w:szCs w:val="24"/>
          <w:lang w:val="en-GB"/>
        </w:rPr>
      </w:pPr>
      <w:r w:rsidRPr="00597713">
        <w:rPr>
          <w:rFonts w:ascii="Times New Roman" w:hAnsi="Times New Roman" w:cs="Times New Roman"/>
          <w:iCs/>
          <w:sz w:val="24"/>
          <w:szCs w:val="24"/>
          <w:lang w:val="en-GB"/>
        </w:rPr>
        <w:t>TA = Total accruals</w:t>
      </w:r>
    </w:p>
    <w:p w:rsidR="00432023" w:rsidRPr="00597713" w:rsidRDefault="00432023" w:rsidP="00432023">
      <w:pPr>
        <w:spacing w:line="360" w:lineRule="auto"/>
        <w:contextualSpacing/>
        <w:rPr>
          <w:rFonts w:ascii="Times New Roman" w:hAnsi="Times New Roman" w:cs="Times New Roman"/>
          <w:iCs/>
          <w:sz w:val="24"/>
          <w:szCs w:val="24"/>
          <w:lang w:val="en-GB"/>
        </w:rPr>
      </w:pPr>
      <w:r w:rsidRPr="00597713">
        <w:rPr>
          <w:rFonts w:ascii="Times New Roman" w:hAnsi="Times New Roman" w:cs="Times New Roman"/>
          <w:iCs/>
          <w:sz w:val="24"/>
          <w:szCs w:val="24"/>
          <w:lang w:val="en-GB"/>
        </w:rPr>
        <w:t>TÂ = Normal accruals</w:t>
      </w:r>
      <w:bookmarkStart w:id="20" w:name="_Toc254909669"/>
    </w:p>
    <w:p w:rsidR="00432023" w:rsidRDefault="00432023" w:rsidP="00432023">
      <w:pPr>
        <w:spacing w:line="360" w:lineRule="auto"/>
        <w:contextualSpacing/>
        <w:rPr>
          <w:iCs/>
          <w:lang w:val="en-GB"/>
        </w:rPr>
      </w:pPr>
    </w:p>
    <w:p w:rsidR="00597713" w:rsidRDefault="00597713" w:rsidP="00432023">
      <w:pPr>
        <w:spacing w:line="360" w:lineRule="auto"/>
        <w:contextualSpacing/>
        <w:rPr>
          <w:iCs/>
          <w:lang w:val="en-GB"/>
        </w:rPr>
      </w:pPr>
    </w:p>
    <w:p w:rsidR="00597713" w:rsidRDefault="00597713" w:rsidP="00432023">
      <w:pPr>
        <w:spacing w:line="360" w:lineRule="auto"/>
        <w:contextualSpacing/>
        <w:rPr>
          <w:iCs/>
          <w:lang w:val="en-GB"/>
        </w:rPr>
      </w:pPr>
    </w:p>
    <w:p w:rsidR="00432023" w:rsidRDefault="00432023" w:rsidP="00432023">
      <w:pPr>
        <w:spacing w:line="360" w:lineRule="auto"/>
        <w:contextualSpacing/>
        <w:rPr>
          <w:iCs/>
          <w:lang w:val="en-GB"/>
        </w:rPr>
      </w:pPr>
    </w:p>
    <w:p w:rsidR="00432023" w:rsidRDefault="00432023" w:rsidP="00432023">
      <w:pPr>
        <w:spacing w:line="360" w:lineRule="auto"/>
        <w:contextualSpacing/>
        <w:rPr>
          <w:iCs/>
          <w:lang w:val="en-GB"/>
        </w:rPr>
      </w:pPr>
    </w:p>
    <w:p w:rsidR="00432023" w:rsidRPr="00597713" w:rsidRDefault="00432023" w:rsidP="00432023">
      <w:pPr>
        <w:pStyle w:val="Heading4"/>
        <w:spacing w:line="360" w:lineRule="auto"/>
        <w:contextualSpacing/>
        <w:rPr>
          <w:rFonts w:ascii="Calibri" w:hAnsi="Calibri"/>
        </w:rPr>
      </w:pPr>
      <w:bookmarkStart w:id="21" w:name="_Toc268669729"/>
      <w:r w:rsidRPr="00597713">
        <w:rPr>
          <w:rFonts w:ascii="Calibri" w:hAnsi="Calibri"/>
        </w:rPr>
        <w:lastRenderedPageBreak/>
        <w:t>3.2.1</w:t>
      </w:r>
      <w:r w:rsidRPr="00597713">
        <w:rPr>
          <w:rFonts w:ascii="Calibri" w:hAnsi="Calibri"/>
        </w:rPr>
        <w:tab/>
      </w:r>
      <w:r w:rsidRPr="00597713">
        <w:rPr>
          <w:rFonts w:ascii="Calibri" w:hAnsi="Calibri"/>
        </w:rPr>
        <w:tab/>
        <w:t>Concerns regarding the Jones Model</w:t>
      </w:r>
      <w:bookmarkEnd w:id="20"/>
      <w:bookmarkEnd w:id="21"/>
    </w:p>
    <w:p w:rsidR="00432023" w:rsidRPr="00F342A1" w:rsidRDefault="00432023" w:rsidP="00432023">
      <w:pPr>
        <w:spacing w:line="360" w:lineRule="auto"/>
        <w:contextualSpacing/>
        <w:rPr>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A number of researchers have questioned the Jones model, among which Ronen and Yaari (2008). They placed question marks on the assumption that firms do not engage in earnings management in the estimation period. They wonder whether it is realistic to assume that earnings have not been managed. In order to find out whether earnings management during the estimation period taints the tests, they conducted simulations of the Jones model assuming that firms manage depreciation during estimation periods. Their results confirm that if earnings management occurs during the estimation period it will indeed contaminate the tests. Their evidence, however, proves that the Jones model is efficient in testing whether there is an </w:t>
      </w:r>
      <w:r w:rsidRPr="00597713">
        <w:rPr>
          <w:rFonts w:ascii="Times New Roman" w:hAnsi="Times New Roman" w:cs="Times New Roman"/>
          <w:i/>
          <w:sz w:val="24"/>
          <w:szCs w:val="24"/>
          <w:lang w:val="en-GB"/>
        </w:rPr>
        <w:t>existence</w:t>
      </w:r>
      <w:r w:rsidRPr="00597713">
        <w:rPr>
          <w:rFonts w:ascii="Times New Roman" w:hAnsi="Times New Roman" w:cs="Times New Roman"/>
          <w:sz w:val="24"/>
          <w:szCs w:val="24"/>
          <w:lang w:val="en-GB"/>
        </w:rPr>
        <w:t xml:space="preserve"> of earnings management (Ronen and Yaari, 2008, p. 410).</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Some research questions the validity of equating abnormal accruals with discretionary accruals. Healy stated that variations in accruals can be a result from changing business conditions and change in strategy and operating decisions rather than from earnings management (Healy 1996). </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Another concern regards the sample size. A small sample increases the chance of a type II error, which occurs when there’s an erroneous acceptance of the null hypothesis that firms do not manage earnings (Ronen and Yaari, 2008, p. 415). Jones used a small sample of 23 firms in her study. According to Bartov et al. (2002) the median number of observations for estimating normal accruals is 140 in a cross-sectional analysis compared to 8 observations in a time-series analysis.</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 Incomplete and contaminated data also pose as a threat. An error in the calculation of total accruals can lead to an erroneous measurement of discretionary accruals. Researchers cannot always prevent this from happening, since they rely on public data.</w:t>
      </w: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Several researchers have developed accruals models in order to try to improve the Jones Model</w:t>
      </w:r>
      <w:r w:rsidRPr="00597713">
        <w:rPr>
          <w:rStyle w:val="FootnoteReference"/>
          <w:rFonts w:ascii="Times New Roman" w:hAnsi="Times New Roman" w:cs="Times New Roman"/>
          <w:sz w:val="24"/>
          <w:szCs w:val="24"/>
        </w:rPr>
        <w:footnoteReference w:id="5"/>
      </w:r>
      <w:r w:rsidRPr="00597713">
        <w:rPr>
          <w:rFonts w:ascii="Times New Roman" w:hAnsi="Times New Roman" w:cs="Times New Roman"/>
          <w:sz w:val="24"/>
          <w:szCs w:val="24"/>
          <w:lang w:val="en-GB"/>
        </w:rPr>
        <w:t>.  Many researchers make comparisons with tests using the Jones model and the Modified Jones model (Kothari et al. 2005, Holthausen et al. 1995); from which I concluded that it is an important alternative to the Jones model. Therefore, this paper will only discuss the modified Jones model by Dechow, Sloan and Sweeney in the next section.</w:t>
      </w:r>
    </w:p>
    <w:p w:rsidR="00432023" w:rsidRPr="00597713" w:rsidRDefault="00432023" w:rsidP="00432023">
      <w:pPr>
        <w:pStyle w:val="Heading4"/>
        <w:spacing w:line="360" w:lineRule="auto"/>
        <w:contextualSpacing/>
        <w:rPr>
          <w:rFonts w:ascii="Calibri" w:hAnsi="Calibri"/>
        </w:rPr>
      </w:pPr>
      <w:bookmarkStart w:id="22" w:name="_Toc254909670"/>
      <w:bookmarkStart w:id="23" w:name="_Toc268669730"/>
      <w:r w:rsidRPr="00597713">
        <w:rPr>
          <w:rFonts w:ascii="Calibri" w:hAnsi="Calibri"/>
        </w:rPr>
        <w:lastRenderedPageBreak/>
        <w:t>3.3</w:t>
      </w:r>
      <w:r w:rsidRPr="00597713">
        <w:rPr>
          <w:rFonts w:ascii="Calibri" w:hAnsi="Calibri"/>
        </w:rPr>
        <w:tab/>
        <w:t>The Modified Jones Model</w:t>
      </w:r>
      <w:bookmarkEnd w:id="22"/>
      <w:bookmarkEnd w:id="23"/>
    </w:p>
    <w:p w:rsidR="00432023" w:rsidRPr="00F342A1" w:rsidRDefault="00432023" w:rsidP="00432023">
      <w:pPr>
        <w:spacing w:line="360" w:lineRule="auto"/>
        <w:contextualSpacing/>
        <w:rPr>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In the previous section it was mentioned that a small sample increases the chance of a type II </w:t>
      </w:r>
      <w:r w:rsidR="00630808">
        <w:rPr>
          <w:rFonts w:ascii="Times New Roman" w:hAnsi="Times New Roman" w:cs="Times New Roman"/>
          <w:sz w:val="24"/>
          <w:szCs w:val="24"/>
          <w:lang w:val="en-GB"/>
        </w:rPr>
        <w:t xml:space="preserve">error </w:t>
      </w:r>
      <w:r w:rsidRPr="00597713">
        <w:rPr>
          <w:rFonts w:ascii="Times New Roman" w:hAnsi="Times New Roman" w:cs="Times New Roman"/>
          <w:sz w:val="24"/>
          <w:szCs w:val="24"/>
          <w:lang w:val="en-GB"/>
        </w:rPr>
        <w:t xml:space="preserve">in the results of the Jones model. The focus, however, does not lay on this type of error, but on the type I error. This is an erroneous rejection of the null hypothesis that the firm does not manage earnings. Major concern lays with this type I error because it incorrectly indicates that earrings have been managed (Ronen and Yaari, 2008, p. 433). Because of these errors there was need for improvement of the Jones model. Dechow, Sloan and Sweeney (1995) developed the modified Jones model. The difference between the Jones model and the modified Jones model is the treatment of accounts receivable. In the estimation period the same procedure is used as in the standard Jones model. The difference between these two models becomes apparent in the second stage (the event period) when estimating normal accruals. The normal accruals are computed by multiplying the estimated coefficient of the change in sales by the change in cash sales instead of the change in sales. So the change in accounts receivable is deducted from the change in revenues. </w:t>
      </w:r>
    </w:p>
    <w:p w:rsidR="00432023" w:rsidRPr="00597713" w:rsidRDefault="00432023" w:rsidP="00432023">
      <w:pPr>
        <w:spacing w:line="360" w:lineRule="auto"/>
        <w:contextualSpacing/>
        <w:rPr>
          <w:rFonts w:ascii="Times New Roman" w:hAnsi="Times New Roman" w:cs="Times New Roman"/>
          <w:sz w:val="24"/>
          <w:szCs w:val="24"/>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The normal accruals in the event period are calculated by applying the following equation:</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p>
    <w:p w:rsidR="00432023" w:rsidRPr="00597713" w:rsidRDefault="00B7519E" w:rsidP="00432023">
      <w:pPr>
        <w:autoSpaceDE w:val="0"/>
        <w:autoSpaceDN w:val="0"/>
        <w:adjustRightInd w:val="0"/>
        <w:spacing w:line="360" w:lineRule="auto"/>
        <w:contextualSpacing/>
        <w:rPr>
          <w:rFonts w:ascii="Times New Roman" w:hAnsi="Times New Roman" w:cs="Times New Roman"/>
          <w:sz w:val="24"/>
          <w:szCs w:val="24"/>
        </w:rPr>
      </w:pPr>
      <m:oMathPara>
        <m:oMath>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NDA</m:t>
              </m:r>
            </m:e>
            <m:sub>
              <m:r>
                <w:rPr>
                  <w:rFonts w:ascii="Cambria Math" w:hAnsi="Cambria Math" w:cs="Times New Roman"/>
                  <w:color w:val="700000"/>
                  <w:sz w:val="24"/>
                  <w:szCs w:val="24"/>
                </w:rPr>
                <m:t>ip</m:t>
              </m:r>
            </m:sub>
          </m:sSub>
          <m:r>
            <w:rPr>
              <w:rFonts w:ascii="Cambria Math" w:hAnsi="Times New Roman" w:cs="Times New Roman"/>
              <w:color w:val="700000"/>
              <w:sz w:val="24"/>
              <w:szCs w:val="24"/>
            </w:rPr>
            <m:t>=</m:t>
          </m:r>
          <m:sSub>
            <m:sSubPr>
              <m:ctrlPr>
                <w:rPr>
                  <w:rFonts w:ascii="Cambria Math" w:hAnsi="Times New Roman" w:cs="Times New Roman"/>
                  <w:i/>
                  <w:color w:val="700000"/>
                  <w:sz w:val="24"/>
                  <w:szCs w:val="24"/>
                </w:rPr>
              </m:ctrlPr>
            </m:sSubPr>
            <m:e>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α</m:t>
                  </m:r>
                </m:e>
              </m:acc>
            </m:e>
            <m:sub>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r>
                    <w:rPr>
                      <w:rFonts w:ascii="Cambria Math" w:hAnsi="Times New Roman" w:cs="Times New Roman"/>
                      <w:color w:val="700000"/>
                      <w:sz w:val="24"/>
                      <w:szCs w:val="24"/>
                    </w:rPr>
                    <m:t>1</m:t>
                  </m:r>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sSub>
            <m:sSubPr>
              <m:ctrlPr>
                <w:rPr>
                  <w:rFonts w:ascii="Cambria Math" w:hAnsi="Times New Roman" w:cs="Times New Roman"/>
                  <w:i/>
                  <w:color w:val="700000"/>
                  <w:sz w:val="24"/>
                  <w:szCs w:val="24"/>
                </w:rPr>
              </m:ctrlPr>
            </m:sSubPr>
            <m:e>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β</m:t>
                  </m:r>
                </m:e>
              </m:acc>
            </m:e>
            <m:sub>
              <m:r>
                <w:rPr>
                  <w:rFonts w:ascii="Cambria Math" w:hAnsi="Times New Roman" w:cs="Times New Roman"/>
                  <w:color w:val="700000"/>
                  <w:sz w:val="24"/>
                  <w:szCs w:val="24"/>
                </w:rPr>
                <m:t>1</m:t>
              </m:r>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r>
                    <w:rPr>
                      <w:rFonts w:ascii="Cambria Math" w:hAnsi="Cambria Math" w:cs="Times New Roman"/>
                      <w:color w:val="700000"/>
                      <w:sz w:val="24"/>
                      <w:szCs w:val="24"/>
                    </w:rPr>
                    <m:t>Δ</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REV</m:t>
                      </m:r>
                    </m:e>
                    <m:sub>
                      <m:r>
                        <w:rPr>
                          <w:rFonts w:ascii="Cambria Math" w:hAnsi="Cambria Math" w:cs="Times New Roman"/>
                          <w:color w:val="700000"/>
                          <w:sz w:val="24"/>
                          <w:szCs w:val="24"/>
                        </w:rPr>
                        <m:t>ip</m:t>
                      </m:r>
                    </m:sub>
                  </m:sSub>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Cambria Math" w:cs="Times New Roman"/>
                      <w:color w:val="700000"/>
                      <w:sz w:val="24"/>
                      <w:szCs w:val="24"/>
                    </w:rPr>
                    <m:t>Δ</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AR</m:t>
                      </m:r>
                    </m:e>
                    <m:sub>
                      <m:r>
                        <w:rPr>
                          <w:rFonts w:ascii="Cambria Math" w:hAnsi="Cambria Math" w:cs="Times New Roman"/>
                          <w:color w:val="700000"/>
                          <w:sz w:val="24"/>
                          <w:szCs w:val="24"/>
                        </w:rPr>
                        <m:t>ip</m:t>
                      </m:r>
                    </m:sub>
                  </m:sSub>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sSub>
            <m:sSubPr>
              <m:ctrlPr>
                <w:rPr>
                  <w:rFonts w:ascii="Cambria Math" w:hAnsi="Times New Roman" w:cs="Times New Roman"/>
                  <w:i/>
                  <w:color w:val="700000"/>
                  <w:sz w:val="24"/>
                  <w:szCs w:val="24"/>
                </w:rPr>
              </m:ctrlPr>
            </m:sSubPr>
            <m:e>
              <m:acc>
                <m:accPr>
                  <m:ctrlPr>
                    <w:rPr>
                      <w:rFonts w:ascii="Cambria Math" w:hAnsi="Times New Roman" w:cs="Times New Roman"/>
                      <w:i/>
                      <w:color w:val="700000"/>
                      <w:sz w:val="24"/>
                      <w:szCs w:val="24"/>
                    </w:rPr>
                  </m:ctrlPr>
                </m:accPr>
                <m:e>
                  <m:r>
                    <w:rPr>
                      <w:rFonts w:ascii="Cambria Math" w:hAnsi="Cambria Math" w:cs="Times New Roman"/>
                      <w:color w:val="700000"/>
                      <w:sz w:val="24"/>
                      <w:szCs w:val="24"/>
                    </w:rPr>
                    <m:t>β</m:t>
                  </m:r>
                </m:e>
              </m:acc>
            </m:e>
            <m:sub>
              <m:r>
                <w:rPr>
                  <w:rFonts w:ascii="Cambria Math" w:hAnsi="Times New Roman" w:cs="Times New Roman"/>
                  <w:color w:val="700000"/>
                  <w:sz w:val="24"/>
                  <w:szCs w:val="24"/>
                </w:rPr>
                <m:t>2</m:t>
              </m:r>
              <m:r>
                <w:rPr>
                  <w:rFonts w:ascii="Cambria Math" w:hAnsi="Cambria Math" w:cs="Times New Roman"/>
                  <w:color w:val="700000"/>
                  <w:sz w:val="24"/>
                  <w:szCs w:val="24"/>
                </w:rPr>
                <m:t>i</m:t>
              </m:r>
            </m:sub>
          </m:sSub>
          <m:d>
            <m:dPr>
              <m:begChr m:val="["/>
              <m:endChr m:val="]"/>
              <m:ctrlPr>
                <w:rPr>
                  <w:rFonts w:ascii="Cambria Math" w:hAnsi="Times New Roman" w:cs="Times New Roman"/>
                  <w:i/>
                  <w:color w:val="700000"/>
                  <w:sz w:val="24"/>
                  <w:szCs w:val="24"/>
                </w:rPr>
              </m:ctrlPr>
            </m:dPr>
            <m:e>
              <m:f>
                <m:fPr>
                  <m:ctrlPr>
                    <w:rPr>
                      <w:rFonts w:ascii="Cambria Math" w:hAnsi="Times New Roman" w:cs="Times New Roman"/>
                      <w:i/>
                      <w:color w:val="700000"/>
                      <w:sz w:val="24"/>
                      <w:szCs w:val="24"/>
                    </w:rPr>
                  </m:ctrlPr>
                </m:fPr>
                <m:num>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PPE</m:t>
                      </m:r>
                    </m:e>
                    <m:sub>
                      <m:r>
                        <w:rPr>
                          <w:rFonts w:ascii="Cambria Math" w:hAnsi="Cambria Math" w:cs="Times New Roman"/>
                          <w:color w:val="700000"/>
                          <w:sz w:val="24"/>
                          <w:szCs w:val="24"/>
                        </w:rPr>
                        <m:t>ip</m:t>
                      </m:r>
                    </m:sub>
                  </m:sSub>
                </m:num>
                <m:den>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A</m:t>
                      </m:r>
                    </m:e>
                    <m:sub>
                      <m:r>
                        <w:rPr>
                          <w:rFonts w:ascii="Cambria Math" w:hAnsi="Cambria Math" w:cs="Times New Roman"/>
                          <w:color w:val="700000"/>
                          <w:sz w:val="24"/>
                          <w:szCs w:val="24"/>
                        </w:rPr>
                        <m:t>ip</m:t>
                      </m:r>
                      <m:r>
                        <w:rPr>
                          <w:rFonts w:ascii="Times New Roman" w:hAnsi="Times New Roman" w:cs="Times New Roman"/>
                          <w:color w:val="700000"/>
                          <w:sz w:val="24"/>
                          <w:szCs w:val="24"/>
                        </w:rPr>
                        <m:t>-</m:t>
                      </m:r>
                      <m:r>
                        <w:rPr>
                          <w:rFonts w:ascii="Cambria Math" w:hAnsi="Times New Roman" w:cs="Times New Roman"/>
                          <w:color w:val="700000"/>
                          <w:sz w:val="24"/>
                          <w:szCs w:val="24"/>
                        </w:rPr>
                        <m:t>1</m:t>
                      </m:r>
                    </m:sub>
                  </m:sSub>
                </m:den>
              </m:f>
            </m:e>
          </m:d>
          <m:r>
            <w:rPr>
              <w:rFonts w:ascii="Cambria Math" w:hAnsi="Times New Roman" w:cs="Times New Roman"/>
              <w:color w:val="700000"/>
              <w:sz w:val="24"/>
              <w:szCs w:val="24"/>
            </w:rPr>
            <m:t xml:space="preserve">   </m:t>
          </m:r>
          <m:r>
            <w:rPr>
              <w:rFonts w:ascii="Cambria Math" w:hAnsi="Times New Roman" w:cs="Times New Roman"/>
              <w:color w:val="761E28"/>
              <w:sz w:val="24"/>
              <w:szCs w:val="24"/>
            </w:rPr>
            <m:t xml:space="preserve">  </m:t>
          </m:r>
          <m:r>
            <w:rPr>
              <w:rFonts w:ascii="Cambria Math" w:hAnsi="Times New Roman" w:cs="Times New Roman"/>
              <w:sz w:val="24"/>
              <w:szCs w:val="24"/>
            </w:rPr>
            <m:t>(</m:t>
          </m:r>
          <m:r>
            <w:rPr>
              <w:rFonts w:ascii="Cambria Math" w:hAnsi="Cambria Math" w:cs="Times New Roman"/>
              <w:sz w:val="24"/>
              <w:szCs w:val="24"/>
            </w:rPr>
            <m:t>Eq</m:t>
          </m:r>
          <m:r>
            <w:rPr>
              <w:rFonts w:ascii="Cambria Math" w:hAnsi="Times New Roman" w:cs="Times New Roman"/>
              <w:sz w:val="24"/>
              <w:szCs w:val="24"/>
            </w:rPr>
            <m:t>.5)</m:t>
          </m:r>
        </m:oMath>
      </m:oMathPara>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rPr>
      </w:pP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Where</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p>
    <w:p w:rsidR="00432023" w:rsidRPr="00597713" w:rsidRDefault="00B7519E" w:rsidP="00432023">
      <w:pPr>
        <w:autoSpaceDE w:val="0"/>
        <w:autoSpaceDN w:val="0"/>
        <w:adjustRightInd w:val="0"/>
        <w:spacing w:line="360" w:lineRule="auto"/>
        <w:contextualSpacing/>
        <w:rPr>
          <w:rFonts w:ascii="Times New Roman" w:hAnsi="Times New Roman" w:cs="Times New Roman"/>
          <w:sz w:val="24"/>
          <w:szCs w:val="24"/>
          <w:lang w:val="en-GB"/>
        </w:rPr>
      </w:pPr>
      <m:oMath>
        <m:sSub>
          <m:sSubPr>
            <m:ctrlPr>
              <w:rPr>
                <w:rFonts w:ascii="Cambria Math" w:hAnsi="Times New Roman" w:cs="Times New Roman"/>
                <w:i/>
                <w:sz w:val="24"/>
                <w:szCs w:val="24"/>
              </w:rPr>
            </m:ctrlPr>
          </m:sSubPr>
          <m:e>
            <m:r>
              <w:rPr>
                <w:rFonts w:ascii="Cambria Math" w:hAnsi="Cambria Math" w:cs="Times New Roman"/>
                <w:sz w:val="24"/>
                <w:szCs w:val="24"/>
              </w:rPr>
              <m:t>NDA</m:t>
            </m:r>
          </m:e>
          <m:sub>
            <m:r>
              <w:rPr>
                <w:rFonts w:ascii="Cambria Math" w:hAnsi="Cambria Math" w:cs="Times New Roman"/>
                <w:sz w:val="24"/>
                <w:szCs w:val="24"/>
              </w:rPr>
              <m:t>ip</m:t>
            </m:r>
            <m:r>
              <w:rPr>
                <w:rFonts w:ascii="Cambria Math" w:hAnsi="Times New Roman" w:cs="Times New Roman"/>
                <w:sz w:val="24"/>
                <w:szCs w:val="24"/>
              </w:rPr>
              <m:t xml:space="preserve"> </m:t>
            </m:r>
          </m:sub>
        </m:sSub>
      </m:oMath>
      <w:r w:rsidR="00432023" w:rsidRPr="00597713">
        <w:rPr>
          <w:rFonts w:ascii="Times New Roman" w:hAnsi="Times New Roman" w:cs="Times New Roman"/>
          <w:sz w:val="24"/>
          <w:szCs w:val="24"/>
          <w:lang w:val="en-GB"/>
        </w:rPr>
        <w:t xml:space="preserve">= </w:t>
      </w:r>
      <w:r w:rsidR="00432023" w:rsidRPr="00597713">
        <w:rPr>
          <w:rFonts w:ascii="Times New Roman" w:hAnsi="Times New Roman" w:cs="Times New Roman"/>
          <w:sz w:val="24"/>
          <w:szCs w:val="24"/>
          <w:lang w:val="en-GB"/>
        </w:rPr>
        <w:tab/>
        <w:t xml:space="preserve">normal, non-discretionary accruals of firm </w:t>
      </w:r>
      <w:r w:rsidR="00432023" w:rsidRPr="00597713">
        <w:rPr>
          <w:rFonts w:ascii="Times New Roman" w:hAnsi="Times New Roman" w:cs="Times New Roman"/>
          <w:i/>
          <w:iCs/>
          <w:sz w:val="24"/>
          <w:szCs w:val="24"/>
          <w:lang w:val="en-GB"/>
        </w:rPr>
        <w:t xml:space="preserve">i </w:t>
      </w:r>
      <w:r w:rsidR="00432023" w:rsidRPr="00597713">
        <w:rPr>
          <w:rFonts w:ascii="Times New Roman" w:hAnsi="Times New Roman" w:cs="Times New Roman"/>
          <w:sz w:val="24"/>
          <w:szCs w:val="24"/>
          <w:lang w:val="en-GB"/>
        </w:rPr>
        <w:t>in period p;</w:t>
      </w:r>
    </w:p>
    <w:p w:rsidR="00432023" w:rsidRPr="00597713" w:rsidRDefault="00B7519E" w:rsidP="00432023">
      <w:pPr>
        <w:autoSpaceDE w:val="0"/>
        <w:autoSpaceDN w:val="0"/>
        <w:adjustRightInd w:val="0"/>
        <w:spacing w:line="360" w:lineRule="auto"/>
        <w:contextualSpacing/>
        <w:rPr>
          <w:rFonts w:ascii="Times New Roman" w:hAnsi="Times New Roman" w:cs="Times New Roman"/>
          <w:sz w:val="24"/>
          <w:szCs w:val="24"/>
          <w:lang w:val="en-GB"/>
        </w:rPr>
      </w:pPr>
      <m:oMath>
        <m:sSub>
          <m:sSubPr>
            <m:ctrlPr>
              <w:rPr>
                <w:rFonts w:ascii="Cambria Math" w:hAnsi="Times New Roman"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ip</m:t>
            </m:r>
            <m:r>
              <w:rPr>
                <w:rFonts w:ascii="Times New Roman" w:hAnsi="Times New Roman" w:cs="Times New Roman"/>
                <w:sz w:val="24"/>
                <w:szCs w:val="24"/>
              </w:rPr>
              <m:t>-</m:t>
            </m:r>
            <m:r>
              <w:rPr>
                <w:rFonts w:ascii="Cambria Math" w:hAnsi="Times New Roman" w:cs="Times New Roman"/>
                <w:sz w:val="24"/>
                <w:szCs w:val="24"/>
              </w:rPr>
              <m:t>1</m:t>
            </m:r>
          </m:sub>
        </m:sSub>
        <m:r>
          <w:rPr>
            <w:rFonts w:ascii="Cambria Math" w:hAnsi="Times New Roman" w:cs="Times New Roman"/>
            <w:sz w:val="24"/>
            <w:szCs w:val="24"/>
          </w:rPr>
          <m:t xml:space="preserve"> </m:t>
        </m:r>
      </m:oMath>
      <w:r w:rsidR="00432023" w:rsidRPr="00597713">
        <w:rPr>
          <w:rFonts w:ascii="Times New Roman" w:hAnsi="Times New Roman" w:cs="Times New Roman"/>
          <w:sz w:val="24"/>
          <w:szCs w:val="24"/>
          <w:lang w:val="en-GB"/>
        </w:rPr>
        <w:t xml:space="preserve">= </w:t>
      </w:r>
      <w:r w:rsidR="00432023" w:rsidRPr="00597713">
        <w:rPr>
          <w:rFonts w:ascii="Times New Roman" w:hAnsi="Times New Roman" w:cs="Times New Roman"/>
          <w:sz w:val="24"/>
          <w:szCs w:val="24"/>
          <w:lang w:val="en-GB"/>
        </w:rPr>
        <w:tab/>
        <w:t xml:space="preserve">lagged assets of firm </w:t>
      </w:r>
      <w:r w:rsidR="00432023" w:rsidRPr="00597713">
        <w:rPr>
          <w:rFonts w:ascii="Times New Roman" w:hAnsi="Times New Roman" w:cs="Times New Roman"/>
          <w:i/>
          <w:iCs/>
          <w:sz w:val="24"/>
          <w:szCs w:val="24"/>
          <w:lang w:val="en-GB"/>
        </w:rPr>
        <w:t>i</w:t>
      </w:r>
      <w:r w:rsidR="00432023" w:rsidRPr="00597713">
        <w:rPr>
          <w:rFonts w:ascii="Times New Roman" w:hAnsi="Times New Roman" w:cs="Times New Roman"/>
          <w:sz w:val="24"/>
          <w:szCs w:val="24"/>
          <w:lang w:val="en-GB"/>
        </w:rPr>
        <w:t>;</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REV = </w:t>
      </w:r>
      <w:r w:rsidRPr="00597713">
        <w:rPr>
          <w:rFonts w:ascii="Times New Roman" w:hAnsi="Times New Roman" w:cs="Times New Roman"/>
          <w:sz w:val="24"/>
          <w:szCs w:val="24"/>
          <w:lang w:val="en-GB"/>
        </w:rPr>
        <w:tab/>
        <w:t>revenues;</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AR = </w:t>
      </w:r>
      <w:r w:rsidRPr="00597713">
        <w:rPr>
          <w:rFonts w:ascii="Times New Roman" w:hAnsi="Times New Roman" w:cs="Times New Roman"/>
          <w:sz w:val="24"/>
          <w:szCs w:val="24"/>
          <w:lang w:val="en-GB"/>
        </w:rPr>
        <w:tab/>
      </w:r>
      <w:r w:rsidRPr="00597713">
        <w:rPr>
          <w:rFonts w:ascii="Times New Roman" w:hAnsi="Times New Roman" w:cs="Times New Roman"/>
          <w:sz w:val="24"/>
          <w:szCs w:val="24"/>
          <w:lang w:val="en-GB"/>
        </w:rPr>
        <w:tab/>
        <w:t>accounts receivable;</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 xml:space="preserve">PPE = </w:t>
      </w:r>
      <w:r w:rsidRPr="00597713">
        <w:rPr>
          <w:rFonts w:ascii="Times New Roman" w:hAnsi="Times New Roman" w:cs="Times New Roman"/>
          <w:sz w:val="24"/>
          <w:szCs w:val="24"/>
          <w:lang w:val="en-GB"/>
        </w:rPr>
        <w:tab/>
      </w:r>
      <w:r w:rsidRPr="00597713">
        <w:rPr>
          <w:rFonts w:ascii="Times New Roman" w:hAnsi="Times New Roman" w:cs="Times New Roman"/>
          <w:sz w:val="24"/>
          <w:szCs w:val="24"/>
          <w:lang w:val="en-GB"/>
        </w:rPr>
        <w:tab/>
        <w:t>PP&amp;E;</w:t>
      </w:r>
    </w:p>
    <w:p w:rsidR="00432023" w:rsidRPr="00597713"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rPr>
        <w:t>Δ</w:t>
      </w:r>
      <w:r w:rsidRPr="00597713">
        <w:rPr>
          <w:rFonts w:ascii="Times New Roman" w:hAnsi="Times New Roman" w:cs="Times New Roman"/>
          <w:sz w:val="24"/>
          <w:szCs w:val="24"/>
          <w:lang w:val="en-GB"/>
        </w:rPr>
        <w:t xml:space="preserve"> = </w:t>
      </w:r>
      <w:r w:rsidRPr="00597713">
        <w:rPr>
          <w:rFonts w:ascii="Times New Roman" w:hAnsi="Times New Roman" w:cs="Times New Roman"/>
          <w:sz w:val="24"/>
          <w:szCs w:val="24"/>
          <w:lang w:val="en-GB"/>
        </w:rPr>
        <w:tab/>
      </w:r>
      <w:r w:rsidRPr="00597713">
        <w:rPr>
          <w:rFonts w:ascii="Times New Roman" w:hAnsi="Times New Roman" w:cs="Times New Roman"/>
          <w:sz w:val="24"/>
          <w:szCs w:val="24"/>
          <w:lang w:val="en-GB"/>
        </w:rPr>
        <w:tab/>
        <w:t>change;</w:t>
      </w:r>
    </w:p>
    <w:p w:rsidR="00432023" w:rsidRPr="00597713" w:rsidRDefault="00B7519E" w:rsidP="00432023">
      <w:pPr>
        <w:autoSpaceDE w:val="0"/>
        <w:autoSpaceDN w:val="0"/>
        <w:adjustRightInd w:val="0"/>
        <w:spacing w:line="360" w:lineRule="auto"/>
        <w:ind w:left="1440" w:hanging="1440"/>
        <w:contextualSpacing/>
        <w:rPr>
          <w:rFonts w:ascii="Times New Roman" w:hAnsi="Times New Roman" w:cs="Times New Roman"/>
          <w:sz w:val="24"/>
          <w:szCs w:val="24"/>
          <w:lang w:val="en-GB"/>
        </w:rPr>
      </w:pPr>
      <m:oMath>
        <m:sSub>
          <m:sSubPr>
            <m:ctrlPr>
              <w:rPr>
                <w:rFonts w:ascii="Cambria Math" w:hAnsi="Times New Roman" w:cs="Times New Roman"/>
                <w:i/>
                <w:iCs/>
                <w:sz w:val="24"/>
                <w:szCs w:val="24"/>
              </w:rPr>
            </m:ctrlPr>
          </m:sSubPr>
          <m:e>
            <m:acc>
              <m:accPr>
                <m:ctrlPr>
                  <w:rPr>
                    <w:rFonts w:ascii="Cambria Math" w:hAnsi="Times New Roman" w:cs="Times New Roman"/>
                    <w:i/>
                    <w:iCs/>
                    <w:sz w:val="24"/>
                    <w:szCs w:val="24"/>
                  </w:rPr>
                </m:ctrlPr>
              </m:accPr>
              <m:e>
                <m:r>
                  <w:rPr>
                    <w:rFonts w:ascii="Cambria Math" w:hAnsi="Cambria Math" w:cs="Times New Roman"/>
                    <w:sz w:val="24"/>
                    <w:szCs w:val="24"/>
                  </w:rPr>
                  <m:t>β</m:t>
                </m:r>
              </m:e>
            </m:acc>
          </m:e>
          <m:sub>
            <m:r>
              <w:rPr>
                <w:rFonts w:ascii="Cambria Math" w:hAnsi="Times New Roman" w:cs="Times New Roman"/>
                <w:sz w:val="24"/>
                <w:szCs w:val="24"/>
              </w:rPr>
              <m:t>1</m:t>
            </m:r>
            <m:r>
              <w:rPr>
                <w:rFonts w:ascii="Cambria Math" w:hAnsi="Cambria Math" w:cs="Times New Roman"/>
                <w:sz w:val="24"/>
                <w:szCs w:val="24"/>
              </w:rPr>
              <m:t>i</m:t>
            </m:r>
          </m:sub>
        </m:sSub>
      </m:oMath>
      <w:r w:rsidR="00432023" w:rsidRPr="00597713">
        <w:rPr>
          <w:rFonts w:ascii="Times New Roman" w:hAnsi="Times New Roman" w:cs="Times New Roman"/>
          <w:i/>
          <w:iCs/>
          <w:sz w:val="24"/>
          <w:szCs w:val="24"/>
          <w:lang w:val="en-GB"/>
        </w:rPr>
        <w:t xml:space="preserve"> </w:t>
      </w:r>
      <w:r w:rsidR="00432023" w:rsidRPr="00597713">
        <w:rPr>
          <w:rFonts w:ascii="Times New Roman" w:hAnsi="Times New Roman" w:cs="Times New Roman"/>
          <w:sz w:val="24"/>
          <w:szCs w:val="24"/>
          <w:lang w:val="en-GB"/>
        </w:rPr>
        <w:t xml:space="preserve">= </w:t>
      </w:r>
      <w:r w:rsidR="00432023" w:rsidRPr="00597713">
        <w:rPr>
          <w:rFonts w:ascii="Times New Roman" w:hAnsi="Times New Roman" w:cs="Times New Roman"/>
          <w:sz w:val="24"/>
          <w:szCs w:val="24"/>
          <w:lang w:val="en-GB"/>
        </w:rPr>
        <w:tab/>
        <w:t xml:space="preserve">the coefficient of total revenues in the estimation period. It is estimated from the regression of accruals on </w:t>
      </w:r>
      <w:r w:rsidR="00432023" w:rsidRPr="00597713">
        <w:rPr>
          <w:rFonts w:ascii="Times New Roman" w:hAnsi="Times New Roman" w:cs="Times New Roman"/>
          <w:sz w:val="24"/>
          <w:szCs w:val="24"/>
        </w:rPr>
        <w:t>Δ</w:t>
      </w:r>
      <m:oMath>
        <m:sSub>
          <m:sSubPr>
            <m:ctrlPr>
              <w:rPr>
                <w:rFonts w:ascii="Cambria Math" w:eastAsia="SymbolMT" w:hAnsi="Times New Roman" w:cs="Times New Roman"/>
                <w:i/>
                <w:sz w:val="24"/>
                <w:szCs w:val="24"/>
              </w:rPr>
            </m:ctrlPr>
          </m:sSubPr>
          <m:e>
            <m:r>
              <w:rPr>
                <w:rFonts w:ascii="Cambria Math" w:eastAsia="SymbolMT" w:hAnsi="Cambria Math" w:cs="Times New Roman"/>
                <w:sz w:val="24"/>
                <w:szCs w:val="24"/>
              </w:rPr>
              <m:t>REV</m:t>
            </m:r>
          </m:e>
          <m:sub>
            <m:r>
              <w:rPr>
                <w:rFonts w:ascii="Cambria Math" w:eastAsia="SymbolMT" w:hAnsi="Cambria Math" w:cs="Times New Roman"/>
                <w:sz w:val="24"/>
                <w:szCs w:val="24"/>
              </w:rPr>
              <m:t>i</m:t>
            </m:r>
          </m:sub>
        </m:sSub>
      </m:oMath>
      <w:r w:rsidR="00432023" w:rsidRPr="00597713">
        <w:rPr>
          <w:rFonts w:ascii="Times New Roman" w:hAnsi="Times New Roman" w:cs="Times New Roman"/>
          <w:i/>
          <w:iCs/>
          <w:sz w:val="24"/>
          <w:szCs w:val="24"/>
          <w:lang w:val="en-GB"/>
        </w:rPr>
        <w:t xml:space="preserve"> </w:t>
      </w:r>
      <w:r w:rsidR="00432023" w:rsidRPr="00597713">
        <w:rPr>
          <w:rFonts w:ascii="Times New Roman" w:hAnsi="Times New Roman" w:cs="Times New Roman"/>
          <w:sz w:val="24"/>
          <w:szCs w:val="24"/>
          <w:lang w:val="en-GB"/>
        </w:rPr>
        <w:t>and</w:t>
      </w:r>
      <m:oMath>
        <m:sSub>
          <m:sSubPr>
            <m:ctrlPr>
              <w:rPr>
                <w:rFonts w:ascii="Cambria Math" w:hAnsi="Times New Roman" w:cs="Times New Roman"/>
                <w:i/>
                <w:sz w:val="24"/>
                <w:szCs w:val="24"/>
              </w:rPr>
            </m:ctrlPr>
          </m:sSubPr>
          <m:e>
            <m:r>
              <w:rPr>
                <w:rFonts w:ascii="Cambria Math" w:hAnsi="Times New Roman" w:cs="Times New Roman"/>
                <w:sz w:val="24"/>
                <w:szCs w:val="24"/>
              </w:rPr>
              <m:t xml:space="preserve"> </m:t>
            </m:r>
            <m:r>
              <w:rPr>
                <w:rFonts w:ascii="Cambria Math" w:hAnsi="Cambria Math" w:cs="Times New Roman"/>
                <w:sz w:val="24"/>
                <w:szCs w:val="24"/>
              </w:rPr>
              <m:t>PPE</m:t>
            </m:r>
          </m:e>
          <m:sub>
            <m:r>
              <w:rPr>
                <w:rFonts w:ascii="Cambria Math" w:hAnsi="Cambria Math" w:cs="Times New Roman"/>
                <w:sz w:val="24"/>
                <w:szCs w:val="24"/>
              </w:rPr>
              <m:t>i</m:t>
            </m:r>
          </m:sub>
        </m:sSub>
      </m:oMath>
      <w:r w:rsidR="00432023" w:rsidRPr="00597713">
        <w:rPr>
          <w:rFonts w:ascii="Times New Roman" w:hAnsi="Times New Roman" w:cs="Times New Roman"/>
          <w:sz w:val="24"/>
          <w:szCs w:val="24"/>
          <w:lang w:val="en-GB"/>
        </w:rPr>
        <w:t>.</w:t>
      </w:r>
    </w:p>
    <w:p w:rsidR="00432023" w:rsidRPr="00597713" w:rsidRDefault="00432023" w:rsidP="00432023">
      <w:pPr>
        <w:spacing w:line="360" w:lineRule="auto"/>
        <w:contextualSpacing/>
        <w:rPr>
          <w:rFonts w:ascii="Times New Roman" w:hAnsi="Times New Roman" w:cs="Times New Roman"/>
          <w:sz w:val="24"/>
          <w:szCs w:val="24"/>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lastRenderedPageBreak/>
        <w:t>Evidence provided by Ronen and Yaari proves that both models detect attempts to manage earnings. The modified Jones model, however, is less susceptible to type II error than the Jones model.</w:t>
      </w:r>
    </w:p>
    <w:p w:rsidR="00432023" w:rsidRPr="00597713" w:rsidRDefault="00432023" w:rsidP="00432023">
      <w:pPr>
        <w:pStyle w:val="Heading4"/>
        <w:rPr>
          <w:rFonts w:ascii="Calibri" w:hAnsi="Calibri"/>
        </w:rPr>
      </w:pPr>
      <w:bookmarkStart w:id="24" w:name="_Toc268669731"/>
      <w:r w:rsidRPr="00597713">
        <w:rPr>
          <w:rFonts w:ascii="Calibri" w:hAnsi="Calibri"/>
        </w:rPr>
        <w:t>3.4</w:t>
      </w:r>
      <w:r w:rsidRPr="00597713">
        <w:rPr>
          <w:rFonts w:ascii="Calibri" w:hAnsi="Calibri"/>
        </w:rPr>
        <w:tab/>
        <w:t>Conclusion</w:t>
      </w:r>
      <w:bookmarkEnd w:id="24"/>
    </w:p>
    <w:p w:rsidR="00432023" w:rsidRDefault="00432023" w:rsidP="00432023">
      <w:pPr>
        <w:spacing w:line="360" w:lineRule="auto"/>
        <w:contextualSpacing/>
        <w:rPr>
          <w:lang w:val="en-GB"/>
        </w:rPr>
      </w:pPr>
    </w:p>
    <w:p w:rsidR="00432023" w:rsidRPr="00597713" w:rsidRDefault="00432023" w:rsidP="00432023">
      <w:pPr>
        <w:spacing w:line="360" w:lineRule="auto"/>
        <w:contextualSpacing/>
        <w:rPr>
          <w:rFonts w:ascii="Times New Roman" w:hAnsi="Times New Roman" w:cs="Times New Roman"/>
          <w:sz w:val="24"/>
          <w:szCs w:val="24"/>
          <w:lang w:val="en-GB"/>
        </w:rPr>
      </w:pPr>
      <w:r w:rsidRPr="00597713">
        <w:rPr>
          <w:rFonts w:ascii="Times New Roman" w:hAnsi="Times New Roman" w:cs="Times New Roman"/>
          <w:sz w:val="24"/>
          <w:szCs w:val="24"/>
          <w:lang w:val="en-GB"/>
        </w:rPr>
        <w:t>This chapter discussed the several models available to researchers. Generally, the Jones and Modified Jones model are the most common models used to measure earnings management. These models are not used to measure income smoothing, however. The Imhoff and Eckel model is mostly used to measure income smoothing, but there are alternatives. These alternatives will not be further elaborated on in the remainder of this thesis. The aforementioned model will be discussed in the following chapter.</w:t>
      </w:r>
    </w:p>
    <w:p w:rsidR="00432023" w:rsidRDefault="00432023" w:rsidP="00432023">
      <w:pPr>
        <w:spacing w:line="360" w:lineRule="auto"/>
        <w:contextualSpacing/>
        <w:rPr>
          <w:lang w:val="en-GB"/>
        </w:rPr>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432023" w:rsidRDefault="00432023" w:rsidP="00432023">
      <w:pPr>
        <w:pStyle w:val="Heading4"/>
      </w:pPr>
    </w:p>
    <w:p w:rsidR="006B00B3" w:rsidRPr="006B00B3" w:rsidRDefault="006B00B3" w:rsidP="006B00B3"/>
    <w:p w:rsidR="00432023" w:rsidRDefault="00432023" w:rsidP="00432023">
      <w:pPr>
        <w:pStyle w:val="Heading4"/>
      </w:pPr>
    </w:p>
    <w:p w:rsidR="00432023" w:rsidRPr="006B00B3" w:rsidRDefault="00432023" w:rsidP="00432023">
      <w:pPr>
        <w:pStyle w:val="Heading4"/>
        <w:rPr>
          <w:rFonts w:ascii="Calibri" w:hAnsi="Calibri"/>
        </w:rPr>
      </w:pPr>
      <w:bookmarkStart w:id="25" w:name="_Toc268669732"/>
      <w:r w:rsidRPr="006B00B3">
        <w:rPr>
          <w:rFonts w:ascii="Calibri" w:hAnsi="Calibri"/>
        </w:rPr>
        <w:lastRenderedPageBreak/>
        <w:t>4</w:t>
      </w:r>
      <w:r w:rsidRPr="006B00B3">
        <w:rPr>
          <w:rFonts w:ascii="Calibri" w:hAnsi="Calibri"/>
        </w:rPr>
        <w:tab/>
        <w:t>Other Models</w:t>
      </w:r>
      <w:bookmarkEnd w:id="25"/>
    </w:p>
    <w:p w:rsidR="00432023" w:rsidRDefault="00432023" w:rsidP="00432023">
      <w:pPr>
        <w:spacing w:line="360" w:lineRule="auto"/>
        <w:contextualSpacing/>
        <w:rPr>
          <w:lang w:val="en-GB"/>
        </w:rPr>
      </w:pPr>
    </w:p>
    <w:p w:rsidR="00432023" w:rsidRPr="006B00B3" w:rsidRDefault="00432023" w:rsidP="00432023">
      <w:pPr>
        <w:spacing w:line="360" w:lineRule="auto"/>
        <w:contextualSpacing/>
        <w:rPr>
          <w:rFonts w:ascii="Times New Roman" w:hAnsi="Times New Roman" w:cs="Times New Roman"/>
          <w:sz w:val="24"/>
          <w:szCs w:val="24"/>
          <w:lang w:val="en-GB"/>
        </w:rPr>
      </w:pPr>
      <w:r w:rsidRPr="006B00B3">
        <w:rPr>
          <w:rFonts w:ascii="Times New Roman" w:hAnsi="Times New Roman" w:cs="Times New Roman"/>
          <w:sz w:val="24"/>
          <w:szCs w:val="24"/>
          <w:lang w:val="en-GB"/>
        </w:rPr>
        <w:t xml:space="preserve">In the previous chapter the accruals models were discussed. There are however, many models to measure earnings management without the help of accruals. This chapter will focus on only one of such non-accruals models. This is the model developed by Burgstahler and Dichev and will be the first one to be discussed. The second model to be discussed is the Imhoff and Eckel model, which is a framework developed especially to detect or identify income smoothing. </w:t>
      </w:r>
    </w:p>
    <w:p w:rsidR="00432023" w:rsidRDefault="00432023" w:rsidP="00432023">
      <w:pPr>
        <w:spacing w:line="360" w:lineRule="auto"/>
        <w:contextualSpacing/>
        <w:rPr>
          <w:lang w:val="en-GB"/>
        </w:rPr>
      </w:pPr>
    </w:p>
    <w:p w:rsidR="00432023" w:rsidRPr="006B00B3" w:rsidRDefault="00432023" w:rsidP="00432023">
      <w:pPr>
        <w:pStyle w:val="Heading4"/>
        <w:spacing w:line="360" w:lineRule="auto"/>
        <w:rPr>
          <w:rFonts w:ascii="Calibri" w:hAnsi="Calibri"/>
        </w:rPr>
      </w:pPr>
      <w:bookmarkStart w:id="26" w:name="_Toc254909666"/>
      <w:bookmarkStart w:id="27" w:name="_Toc268669733"/>
      <w:r w:rsidRPr="006B00B3">
        <w:rPr>
          <w:rFonts w:ascii="Calibri" w:hAnsi="Calibri"/>
        </w:rPr>
        <w:t>4.1</w:t>
      </w:r>
      <w:r w:rsidRPr="006B00B3">
        <w:rPr>
          <w:rFonts w:ascii="Calibri" w:hAnsi="Calibri"/>
        </w:rPr>
        <w:tab/>
        <w:t>Burgstahler and Dichev</w:t>
      </w:r>
      <w:bookmarkEnd w:id="26"/>
      <w:bookmarkEnd w:id="27"/>
      <w:r w:rsidRPr="006B00B3">
        <w:rPr>
          <w:rFonts w:ascii="Calibri" w:hAnsi="Calibri"/>
        </w:rPr>
        <w:t xml:space="preserve">  </w:t>
      </w:r>
    </w:p>
    <w:p w:rsidR="00432023" w:rsidRPr="00F342A1" w:rsidRDefault="00432023" w:rsidP="00432023">
      <w:pPr>
        <w:spacing w:line="360" w:lineRule="auto"/>
        <w:contextualSpacing/>
        <w:rPr>
          <w:lang w:val="en-GB"/>
        </w:rPr>
      </w:pPr>
    </w:p>
    <w:p w:rsidR="00432023" w:rsidRPr="006B00B3" w:rsidRDefault="00432023" w:rsidP="00432023">
      <w:pPr>
        <w:spacing w:line="360" w:lineRule="auto"/>
        <w:contextualSpacing/>
        <w:rPr>
          <w:rFonts w:ascii="Times New Roman" w:hAnsi="Times New Roman" w:cs="Times New Roman"/>
          <w:sz w:val="24"/>
          <w:szCs w:val="24"/>
          <w:lang w:val="en-GB"/>
        </w:rPr>
      </w:pPr>
      <w:r w:rsidRPr="006B00B3">
        <w:rPr>
          <w:rFonts w:ascii="Times New Roman" w:hAnsi="Times New Roman" w:cs="Times New Roman"/>
          <w:sz w:val="24"/>
          <w:szCs w:val="24"/>
          <w:lang w:val="en-GB"/>
        </w:rPr>
        <w:t xml:space="preserve">Several studies showed that managers have incentives to report systematic increases in earnings and positive earnings (Barth et al. 1995). Burgstahler and Dichev provide evidence that managers avoid reporting decreases in earnings and losses. With the help of pooled cross-sectional distributions they showed that the frequencies of small earnings decreases and small losses are abnormally low, while the frequencies of small earnings increases and small positive earnings are abnormally high. This is evidence that earnings are being managed. According to Burgstahler and Dichev (1997) about 8-12 % of firms with small pre-managed earnings decreases manipulate earnings in order to report earnings increases, and 30-44% of firms with small pre-managed losses manage earnings to report positive earnings (Burgstahler and Dichev, 1997, p. 101). Earnings are manipulated through both cash flow from operations and adjustments in working capital. Earnings management to avoid earnings decreases is likely to be reflected in cross-sectional distributions of earnings changes in the form of unusually low frequencies of small earning decreases and unusually high frequencies of small earnings increases. The same goes for small losses and small positive earnings. This is an alternative way to determine whether earnings are being manipulated. </w:t>
      </w:r>
    </w:p>
    <w:p w:rsidR="00432023" w:rsidRPr="006B00B3" w:rsidRDefault="00432023" w:rsidP="00432023">
      <w:pPr>
        <w:autoSpaceDE w:val="0"/>
        <w:autoSpaceDN w:val="0"/>
        <w:adjustRightInd w:val="0"/>
        <w:spacing w:line="360" w:lineRule="auto"/>
        <w:rPr>
          <w:rFonts w:ascii="Times New Roman" w:hAnsi="Times New Roman" w:cs="Times New Roman"/>
          <w:sz w:val="24"/>
          <w:szCs w:val="24"/>
          <w:lang w:val="en-GB"/>
        </w:rPr>
      </w:pPr>
      <w:r w:rsidRPr="006B00B3">
        <w:rPr>
          <w:rFonts w:ascii="Times New Roman" w:hAnsi="Times New Roman" w:cs="Times New Roman"/>
          <w:sz w:val="24"/>
          <w:szCs w:val="24"/>
          <w:lang w:val="en-GB"/>
        </w:rPr>
        <w:t>A discussion followed after Burgstahler and Dichev (1997) pointed out that the discontinuities in earnings distributions around zero is evidence of earnings management. Even though there are researchers who acknowledge the findings by Burgstahler and Dichev (Jacob and Jorgensen 2007), there are also opponents. Durtschi and Easton (2004), for instance, say that the discontinuities cannot be solely explained by earnings management. They also provide evidence that there are other factors contributing to the discontinuities, such as scaling and sample selection (Durtschi and Easton 2004</w:t>
      </w:r>
      <w:r w:rsidR="00DB3F51">
        <w:rPr>
          <w:rFonts w:ascii="Times New Roman" w:hAnsi="Times New Roman" w:cs="Times New Roman"/>
          <w:sz w:val="24"/>
          <w:szCs w:val="24"/>
          <w:lang w:val="en-GB"/>
        </w:rPr>
        <w:t>, 2009</w:t>
      </w:r>
      <w:r w:rsidRPr="006B00B3">
        <w:rPr>
          <w:rFonts w:ascii="Times New Roman" w:hAnsi="Times New Roman" w:cs="Times New Roman"/>
          <w:sz w:val="24"/>
          <w:szCs w:val="24"/>
          <w:lang w:val="en-GB"/>
        </w:rPr>
        <w:t>).</w:t>
      </w:r>
    </w:p>
    <w:p w:rsidR="00432023" w:rsidRPr="006B00B3" w:rsidRDefault="00432023" w:rsidP="00432023">
      <w:pPr>
        <w:autoSpaceDE w:val="0"/>
        <w:autoSpaceDN w:val="0"/>
        <w:adjustRightInd w:val="0"/>
        <w:spacing w:line="360" w:lineRule="auto"/>
        <w:rPr>
          <w:rFonts w:ascii="Times New Roman" w:hAnsi="Times New Roman" w:cs="Times New Roman"/>
          <w:sz w:val="24"/>
          <w:szCs w:val="24"/>
        </w:rPr>
      </w:pPr>
      <w:r w:rsidRPr="006B00B3">
        <w:rPr>
          <w:rFonts w:ascii="Times New Roman" w:hAnsi="Times New Roman" w:cs="Times New Roman"/>
          <w:sz w:val="24"/>
          <w:szCs w:val="24"/>
        </w:rPr>
        <w:lastRenderedPageBreak/>
        <w:t xml:space="preserve">Dechow, Richardson and Tuna (2003) and Beaver, McNichols and Nelson (2003) mention that discontinuity in earnings distribution may be driven by other factors, such as exchange listing requirement and different tax treatment of profits and losses. </w:t>
      </w:r>
    </w:p>
    <w:p w:rsidR="00432023" w:rsidRPr="00B149FB" w:rsidRDefault="00432023" w:rsidP="00432023">
      <w:pPr>
        <w:autoSpaceDE w:val="0"/>
        <w:autoSpaceDN w:val="0"/>
        <w:adjustRightInd w:val="0"/>
        <w:spacing w:line="360" w:lineRule="auto"/>
        <w:rPr>
          <w:lang w:val="en-GB"/>
        </w:rPr>
      </w:pPr>
    </w:p>
    <w:p w:rsidR="00432023" w:rsidRPr="006B00B3" w:rsidRDefault="00432023" w:rsidP="00432023">
      <w:pPr>
        <w:pStyle w:val="Heading4"/>
        <w:numPr>
          <w:ilvl w:val="1"/>
          <w:numId w:val="35"/>
        </w:numPr>
        <w:rPr>
          <w:rFonts w:ascii="Calibri" w:hAnsi="Calibri"/>
        </w:rPr>
      </w:pPr>
      <w:bookmarkStart w:id="28" w:name="_Toc254909664"/>
      <w:r w:rsidRPr="006B00B3">
        <w:rPr>
          <w:rFonts w:ascii="Calibri" w:hAnsi="Calibri"/>
        </w:rPr>
        <w:t xml:space="preserve">       </w:t>
      </w:r>
      <w:bookmarkStart w:id="29" w:name="_Toc268669734"/>
      <w:r w:rsidRPr="006B00B3">
        <w:rPr>
          <w:rFonts w:ascii="Calibri" w:hAnsi="Calibri"/>
        </w:rPr>
        <w:t>The Imhoff and Eckel Model</w:t>
      </w:r>
      <w:bookmarkEnd w:id="28"/>
      <w:bookmarkEnd w:id="29"/>
      <w:r w:rsidRPr="006B00B3">
        <w:rPr>
          <w:rFonts w:ascii="Calibri" w:hAnsi="Calibri"/>
        </w:rPr>
        <w:t xml:space="preserve">  </w:t>
      </w:r>
    </w:p>
    <w:p w:rsidR="00432023" w:rsidRDefault="00432023" w:rsidP="00432023"/>
    <w:p w:rsidR="00432023" w:rsidRPr="00A6610A" w:rsidRDefault="00432023" w:rsidP="00432023">
      <w:pPr>
        <w:autoSpaceDE w:val="0"/>
        <w:autoSpaceDN w:val="0"/>
        <w:adjustRightInd w:val="0"/>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The great majority of researchers examine ex post data in order to identify income smoothing behaviour. Those researchers examining ex post data have assumed the same conceptual framework; if the variability of normalized earnings generated by a specified expectancy model is lessened by the inclusion of a potential smoothing variable utilized by the firm, then the firm has 'smoothed income' (Eckel 1981).</w:t>
      </w:r>
    </w:p>
    <w:p w:rsidR="00432023" w:rsidRPr="00A6610A"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Eckel (1981) developed a conceptual framework in which he suggests that firms can choose accounting variables in order to minimize the variability of their net income. The study by Eckel was based on earlier work by Imhoff (1977). Imhoff (1977) was the first one that suggested that income smoothing could be measured by comparing the variance of sales to the variance of income. The type of income smoothing behaviour that Eckel is attempting to identify is artificial smoothing. Because of the fact that real smoothing represents an underlying economic reality it is not relevant to his study.  </w:t>
      </w:r>
    </w:p>
    <w:p w:rsidR="00432023" w:rsidRPr="00A6610A" w:rsidRDefault="00432023" w:rsidP="000F2488">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In an attempt to distinguish firms that smooth their income artificially from real smoothing firms, he wanted to create a measure that can be used to do empirical research on this topic.  He stated that a firm is classified as an income smoother when the coefficient of variation for the one-period change in sales in is greater than the coefficient of variation for the one-period change in income; this is the first part of the testing procedure. In symbols: </w:t>
      </w:r>
    </w:p>
    <w:p w:rsidR="00432023" w:rsidRPr="00A6610A" w:rsidRDefault="00B7519E" w:rsidP="00432023">
      <w:pPr>
        <w:spacing w:line="312" w:lineRule="auto"/>
        <w:rPr>
          <w:rFonts w:ascii="Times New Roman" w:hAnsi="Times New Roman" w:cs="Times New Roman"/>
          <w:sz w:val="24"/>
          <w:szCs w:val="24"/>
        </w:rPr>
      </w:pPr>
      <m:oMathPara>
        <m:oMath>
          <m:sSub>
            <m:sSubPr>
              <m:ctrlPr>
                <w:rPr>
                  <w:rFonts w:ascii="Cambria Math" w:hAnsi="Times New Roman" w:cs="Times New Roman"/>
                  <w:i/>
                  <w:color w:val="700000"/>
                  <w:sz w:val="24"/>
                  <w:szCs w:val="24"/>
                  <w:lang w:val="en-GB"/>
                </w:rPr>
              </m:ctrlPr>
            </m:sSubPr>
            <m:e>
              <m:r>
                <w:rPr>
                  <w:rFonts w:ascii="Cambria Math" w:hAnsi="Cambria Math" w:cs="Times New Roman"/>
                  <w:color w:val="700000"/>
                  <w:sz w:val="24"/>
                  <w:szCs w:val="24"/>
                  <w:lang w:val="en-GB"/>
                </w:rPr>
                <m:t>CV</m:t>
              </m:r>
            </m:e>
            <m:sub>
              <m:r>
                <w:rPr>
                  <w:rFonts w:ascii="Cambria Math" w:hAnsi="Cambria Math" w:cs="Times New Roman"/>
                  <w:color w:val="700000"/>
                  <w:sz w:val="24"/>
                  <w:szCs w:val="24"/>
                  <w:lang w:val="en-GB"/>
                </w:rPr>
                <m:t>ΔS</m:t>
              </m:r>
            </m:sub>
          </m:sSub>
          <m:r>
            <w:rPr>
              <w:rFonts w:ascii="Cambria Math" w:hAnsi="Times New Roman" w:cs="Times New Roman"/>
              <w:color w:val="700000"/>
              <w:sz w:val="24"/>
              <w:szCs w:val="24"/>
              <w:lang w:val="en-GB"/>
            </w:rPr>
            <m:t xml:space="preserve">&gt; </m:t>
          </m:r>
          <m:sSub>
            <m:sSubPr>
              <m:ctrlPr>
                <w:rPr>
                  <w:rFonts w:ascii="Cambria Math" w:hAnsi="Times New Roman" w:cs="Times New Roman"/>
                  <w:i/>
                  <w:color w:val="700000"/>
                  <w:sz w:val="24"/>
                  <w:szCs w:val="24"/>
                  <w:lang w:val="en-GB"/>
                </w:rPr>
              </m:ctrlPr>
            </m:sSubPr>
            <m:e>
              <m:r>
                <w:rPr>
                  <w:rFonts w:ascii="Cambria Math" w:hAnsi="Cambria Math" w:cs="Times New Roman"/>
                  <w:color w:val="700000"/>
                  <w:sz w:val="24"/>
                  <w:szCs w:val="24"/>
                  <w:lang w:val="en-GB"/>
                </w:rPr>
                <m:t>CV</m:t>
              </m:r>
            </m:e>
            <m:sub>
              <m:r>
                <w:rPr>
                  <w:rFonts w:ascii="Cambria Math" w:hAnsi="Cambria Math" w:cs="Times New Roman"/>
                  <w:color w:val="700000"/>
                  <w:sz w:val="24"/>
                  <w:szCs w:val="24"/>
                  <w:lang w:val="en-GB"/>
                </w:rPr>
                <m:t>ΔI</m:t>
              </m:r>
            </m:sub>
          </m:sSub>
          <m:r>
            <w:rPr>
              <w:rFonts w:ascii="Cambria Math" w:hAnsi="Times New Roman" w:cs="Times New Roman"/>
              <w:color w:val="700000"/>
              <w:sz w:val="24"/>
              <w:szCs w:val="24"/>
              <w:lang w:val="en-GB"/>
            </w:rPr>
            <m:t xml:space="preserve">  </m:t>
          </m:r>
          <m:r>
            <w:rPr>
              <w:rFonts w:ascii="Cambria Math" w:hAnsi="Times New Roman" w:cs="Times New Roman"/>
              <w:color w:val="761E28"/>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.6)</m:t>
          </m:r>
        </m:oMath>
      </m:oMathPara>
    </w:p>
    <w:p w:rsidR="00432023" w:rsidRPr="00A6610A" w:rsidRDefault="00432023" w:rsidP="00432023">
      <w:pPr>
        <w:spacing w:line="312" w:lineRule="auto"/>
        <w:rPr>
          <w:rFonts w:ascii="Times New Roman" w:hAnsi="Times New Roman" w:cs="Times New Roman"/>
          <w:color w:val="761E28"/>
          <w:sz w:val="24"/>
          <w:szCs w:val="24"/>
          <w:lang w:val="en-GB"/>
        </w:rPr>
      </w:pPr>
    </w:p>
    <w:p w:rsidR="00432023" w:rsidRPr="00A6610A" w:rsidRDefault="00432023" w:rsidP="00432023">
      <w:pPr>
        <w:spacing w:line="312"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Where:</w:t>
      </w:r>
    </w:p>
    <w:p w:rsidR="00432023" w:rsidRPr="00A6610A" w:rsidRDefault="00B7519E" w:rsidP="00432023">
      <w:pPr>
        <w:spacing w:line="312" w:lineRule="auto"/>
        <w:ind w:firstLine="708"/>
        <w:rPr>
          <w:rFonts w:ascii="Times New Roman" w:hAnsi="Times New Roman" w:cs="Times New Roman"/>
          <w:sz w:val="24"/>
          <w:szCs w:val="24"/>
        </w:rPr>
      </w:pPr>
      <m:oMathPara>
        <m:oMath>
          <m:sSub>
            <m:sSubPr>
              <m:ctrlPr>
                <w:rPr>
                  <w:rFonts w:ascii="Cambria Math" w:hAnsi="Times New Roman" w:cs="Times New Roman"/>
                  <w:i/>
                  <w:color w:val="700000"/>
                  <w:sz w:val="24"/>
                  <w:szCs w:val="24"/>
                  <w:lang w:val="en-GB"/>
                </w:rPr>
              </m:ctrlPr>
            </m:sSubPr>
            <m:e>
              <m:r>
                <w:rPr>
                  <w:rFonts w:ascii="Cambria Math" w:hAnsi="Cambria Math" w:cs="Times New Roman"/>
                  <w:color w:val="700000"/>
                  <w:sz w:val="24"/>
                  <w:szCs w:val="24"/>
                  <w:lang w:val="en-GB"/>
                </w:rPr>
                <m:t>CV</m:t>
              </m:r>
            </m:e>
            <m:sub>
              <m:r>
                <w:rPr>
                  <w:rFonts w:ascii="Cambria Math" w:hAnsi="Cambria Math" w:cs="Times New Roman"/>
                  <w:color w:val="700000"/>
                  <w:sz w:val="24"/>
                  <w:szCs w:val="24"/>
                  <w:lang w:val="en-GB"/>
                </w:rPr>
                <m:t>ΔS</m:t>
              </m:r>
            </m:sub>
          </m:sSub>
          <m:r>
            <w:rPr>
              <w:rFonts w:ascii="Cambria Math" w:hAnsi="Times New Roman" w:cs="Times New Roman"/>
              <w:color w:val="700000"/>
              <w:sz w:val="24"/>
              <w:szCs w:val="24"/>
              <w:lang w:val="en-GB"/>
            </w:rPr>
            <m:t>=</m:t>
          </m:r>
          <m:f>
            <m:fPr>
              <m:ctrlPr>
                <w:rPr>
                  <w:rFonts w:ascii="Cambria Math" w:hAnsi="Times New Roman" w:cs="Times New Roman"/>
                  <w:i/>
                  <w:color w:val="700000"/>
                  <w:sz w:val="24"/>
                  <w:szCs w:val="24"/>
                  <w:lang w:val="en-GB"/>
                </w:rPr>
              </m:ctrlPr>
            </m:fPr>
            <m:num>
              <m:rad>
                <m:radPr>
                  <m:degHide m:val="on"/>
                  <m:ctrlPr>
                    <w:rPr>
                      <w:rFonts w:ascii="Cambria Math" w:hAnsi="Times New Roman" w:cs="Times New Roman"/>
                      <w:i/>
                      <w:color w:val="700000"/>
                      <w:sz w:val="24"/>
                      <w:szCs w:val="24"/>
                      <w:lang w:val="en-GB"/>
                    </w:rPr>
                  </m:ctrlPr>
                </m:radPr>
                <m:deg/>
                <m:e>
                  <m:r>
                    <w:rPr>
                      <w:rFonts w:ascii="Cambria Math" w:hAnsi="Cambria Math" w:cs="Times New Roman"/>
                      <w:color w:val="700000"/>
                      <w:sz w:val="24"/>
                      <w:szCs w:val="24"/>
                      <w:lang w:val="en-GB"/>
                    </w:rPr>
                    <m:t>Variance</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ΔS</m:t>
                  </m:r>
                </m:e>
              </m:rad>
            </m:num>
            <m:den>
              <m:r>
                <w:rPr>
                  <w:rFonts w:ascii="Cambria Math" w:hAnsi="Cambria Math" w:cs="Times New Roman"/>
                  <w:color w:val="700000"/>
                  <w:sz w:val="24"/>
                  <w:szCs w:val="24"/>
                  <w:lang w:val="en-GB"/>
                </w:rPr>
                <m:t>Mean</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ValueΔS</m:t>
              </m:r>
            </m:den>
          </m:f>
          <m:r>
            <w:rPr>
              <w:rFonts w:ascii="Cambria Math" w:hAnsi="Times New Roman" w:cs="Times New Roman"/>
              <w:color w:val="700000"/>
              <w:sz w:val="24"/>
              <w:szCs w:val="24"/>
              <w:lang w:val="en-GB"/>
            </w:rPr>
            <m:t xml:space="preserve">  </m:t>
          </m:r>
          <m:r>
            <w:rPr>
              <w:rFonts w:ascii="Cambria Math" w:hAnsi="Times New Roman" w:cs="Times New Roman"/>
              <w:color w:val="761E28"/>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.7)</m:t>
          </m:r>
        </m:oMath>
      </m:oMathPara>
    </w:p>
    <w:p w:rsidR="00432023" w:rsidRPr="00A6610A" w:rsidRDefault="00432023" w:rsidP="00432023">
      <w:pPr>
        <w:spacing w:line="312" w:lineRule="auto"/>
        <w:rPr>
          <w:rFonts w:ascii="Times New Roman" w:hAnsi="Times New Roman" w:cs="Times New Roman"/>
          <w:color w:val="761E28"/>
          <w:sz w:val="24"/>
          <w:szCs w:val="24"/>
          <w:lang w:val="en-GB"/>
        </w:rPr>
      </w:pPr>
    </w:p>
    <w:p w:rsidR="00432023" w:rsidRPr="00A6610A" w:rsidRDefault="00B7519E" w:rsidP="00432023">
      <w:pPr>
        <w:spacing w:line="312" w:lineRule="auto"/>
        <w:ind w:firstLine="708"/>
        <w:rPr>
          <w:rFonts w:ascii="Times New Roman" w:hAnsi="Times New Roman" w:cs="Times New Roman"/>
          <w:sz w:val="24"/>
          <w:szCs w:val="24"/>
        </w:rPr>
      </w:pPr>
      <m:oMathPara>
        <m:oMath>
          <m:sSub>
            <m:sSubPr>
              <m:ctrlPr>
                <w:rPr>
                  <w:rFonts w:ascii="Cambria Math" w:hAnsi="Times New Roman" w:cs="Times New Roman"/>
                  <w:i/>
                  <w:color w:val="700000"/>
                  <w:sz w:val="24"/>
                  <w:szCs w:val="24"/>
                  <w:lang w:val="en-GB"/>
                </w:rPr>
              </m:ctrlPr>
            </m:sSubPr>
            <m:e>
              <m:r>
                <w:rPr>
                  <w:rFonts w:ascii="Cambria Math" w:hAnsi="Cambria Math" w:cs="Times New Roman"/>
                  <w:color w:val="700000"/>
                  <w:sz w:val="24"/>
                  <w:szCs w:val="24"/>
                  <w:lang w:val="en-GB"/>
                </w:rPr>
                <m:t>CV</m:t>
              </m:r>
            </m:e>
            <m:sub>
              <m:r>
                <w:rPr>
                  <w:rFonts w:ascii="Cambria Math" w:hAnsi="Cambria Math" w:cs="Times New Roman"/>
                  <w:color w:val="700000"/>
                  <w:sz w:val="24"/>
                  <w:szCs w:val="24"/>
                  <w:lang w:val="en-GB"/>
                </w:rPr>
                <m:t>ΔI</m:t>
              </m:r>
            </m:sub>
          </m:sSub>
          <m:r>
            <w:rPr>
              <w:rFonts w:ascii="Cambria Math" w:hAnsi="Times New Roman" w:cs="Times New Roman"/>
              <w:color w:val="700000"/>
              <w:sz w:val="24"/>
              <w:szCs w:val="24"/>
              <w:lang w:val="en-GB"/>
            </w:rPr>
            <m:t>=</m:t>
          </m:r>
          <m:f>
            <m:fPr>
              <m:ctrlPr>
                <w:rPr>
                  <w:rFonts w:ascii="Cambria Math" w:hAnsi="Times New Roman" w:cs="Times New Roman"/>
                  <w:i/>
                  <w:color w:val="700000"/>
                  <w:sz w:val="24"/>
                  <w:szCs w:val="24"/>
                  <w:lang w:val="en-GB"/>
                </w:rPr>
              </m:ctrlPr>
            </m:fPr>
            <m:num>
              <m:rad>
                <m:radPr>
                  <m:degHide m:val="on"/>
                  <m:ctrlPr>
                    <w:rPr>
                      <w:rFonts w:ascii="Cambria Math" w:hAnsi="Times New Roman" w:cs="Times New Roman"/>
                      <w:i/>
                      <w:color w:val="700000"/>
                      <w:sz w:val="24"/>
                      <w:szCs w:val="24"/>
                      <w:lang w:val="en-GB"/>
                    </w:rPr>
                  </m:ctrlPr>
                </m:radPr>
                <m:deg/>
                <m:e>
                  <m:r>
                    <w:rPr>
                      <w:rFonts w:ascii="Cambria Math" w:hAnsi="Cambria Math" w:cs="Times New Roman"/>
                      <w:color w:val="700000"/>
                      <w:sz w:val="24"/>
                      <w:szCs w:val="24"/>
                      <w:lang w:val="en-GB"/>
                    </w:rPr>
                    <m:t>Variance</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ΔI</m:t>
                  </m:r>
                </m:e>
              </m:rad>
            </m:num>
            <m:den>
              <m:r>
                <w:rPr>
                  <w:rFonts w:ascii="Cambria Math" w:hAnsi="Cambria Math" w:cs="Times New Roman"/>
                  <w:color w:val="700000"/>
                  <w:sz w:val="24"/>
                  <w:szCs w:val="24"/>
                  <w:lang w:val="en-GB"/>
                </w:rPr>
                <m:t>Mean</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Value</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ΔS</m:t>
              </m:r>
            </m:den>
          </m:f>
          <m:r>
            <w:rPr>
              <w:rFonts w:ascii="Cambria Math" w:hAnsi="Times New Roman" w:cs="Times New Roman"/>
              <w:color w:val="700000"/>
              <w:sz w:val="24"/>
              <w:szCs w:val="24"/>
              <w:lang w:val="en-GB"/>
            </w:rPr>
            <m:t xml:space="preserve">  </m:t>
          </m:r>
          <m:r>
            <w:rPr>
              <w:rFonts w:ascii="Cambria Math" w:hAnsi="Times New Roman" w:cs="Times New Roman"/>
              <w:color w:val="761E28"/>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.8)</m:t>
          </m:r>
        </m:oMath>
      </m:oMathPara>
    </w:p>
    <w:p w:rsidR="005A70B0" w:rsidRDefault="005A70B0" w:rsidP="00432023">
      <w:pPr>
        <w:spacing w:line="360" w:lineRule="auto"/>
        <w:rPr>
          <w:rFonts w:ascii="Times New Roman" w:hAnsi="Times New Roman" w:cs="Times New Roman"/>
          <w:sz w:val="24"/>
          <w:szCs w:val="24"/>
          <w:lang w:val="en-GB"/>
        </w:rPr>
      </w:pPr>
    </w:p>
    <w:p w:rsidR="00432023" w:rsidRPr="00A6610A"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If the variance of ∆S throughout the years in relation to the mean ∆S of the industry is greater than the variance of ∆I throughout the years in relation to the mean ∆I of the industry, a firm can be identified as an income smoother. </w:t>
      </w:r>
    </w:p>
    <w:p w:rsidR="00432023" w:rsidRPr="00A6610A"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The second part of the dual testing procedure then is to determine whether or not the firm’s </w:t>
      </w:r>
      <m:oMath>
        <m:f>
          <m:fPr>
            <m:ctrlPr>
              <w:rPr>
                <w:rFonts w:ascii="Cambria Math" w:hAnsi="Times New Roman" w:cs="Times New Roman"/>
                <w:i/>
                <w:sz w:val="24"/>
                <w:szCs w:val="24"/>
              </w:rPr>
            </m:ctrlPr>
          </m:fPr>
          <m:num>
            <m:sSub>
              <m:sSubPr>
                <m:ctrlPr>
                  <w:rPr>
                    <w:rFonts w:ascii="Cambria Math" w:hAnsi="Times New Roman" w:cs="Times New Roman"/>
                    <w:i/>
                    <w:sz w:val="24"/>
                    <w:szCs w:val="24"/>
                  </w:rPr>
                </m:ctrlPr>
              </m:sSubPr>
              <m:e>
                <m:r>
                  <w:rPr>
                    <w:rFonts w:ascii="Cambria Math" w:hAnsi="Cambria Math" w:cs="Times New Roman"/>
                    <w:sz w:val="24"/>
                    <w:szCs w:val="24"/>
                  </w:rPr>
                  <m:t>CV</m:t>
                </m:r>
              </m:e>
              <m:sub>
                <m:r>
                  <w:rPr>
                    <w:rFonts w:ascii="Cambria Math" w:hAnsi="Cambria Math" w:cs="Times New Roman"/>
                    <w:sz w:val="24"/>
                    <w:szCs w:val="24"/>
                  </w:rPr>
                  <m:t>ΔI</m:t>
                </m:r>
              </m:sub>
            </m:sSub>
          </m:num>
          <m:den>
            <m:sSub>
              <m:sSubPr>
                <m:ctrlPr>
                  <w:rPr>
                    <w:rFonts w:ascii="Cambria Math" w:hAnsi="Times New Roman" w:cs="Times New Roman"/>
                    <w:i/>
                    <w:sz w:val="24"/>
                    <w:szCs w:val="24"/>
                  </w:rPr>
                </m:ctrlPr>
              </m:sSubPr>
              <m:e>
                <m:r>
                  <w:rPr>
                    <w:rFonts w:ascii="Cambria Math" w:hAnsi="Cambria Math" w:cs="Times New Roman"/>
                    <w:sz w:val="24"/>
                    <w:szCs w:val="24"/>
                  </w:rPr>
                  <m:t>CV</m:t>
                </m:r>
              </m:e>
              <m:sub>
                <m:r>
                  <w:rPr>
                    <w:rFonts w:ascii="Cambria Math" w:hAnsi="Cambria Math" w:cs="Times New Roman"/>
                    <w:sz w:val="24"/>
                    <w:szCs w:val="24"/>
                  </w:rPr>
                  <m:t>ΔS</m:t>
                </m:r>
              </m:sub>
            </m:sSub>
          </m:den>
        </m:f>
        <m:r>
          <w:rPr>
            <w:rFonts w:ascii="Cambria Math" w:hAnsi="Times New Roman" w:cs="Times New Roman"/>
            <w:sz w:val="24"/>
            <w:szCs w:val="24"/>
          </w:rPr>
          <m:t xml:space="preserve"> </m:t>
        </m:r>
      </m:oMath>
      <w:r w:rsidRPr="00A6610A">
        <w:rPr>
          <w:rFonts w:ascii="Times New Roman" w:hAnsi="Times New Roman" w:cs="Times New Roman"/>
          <w:sz w:val="24"/>
          <w:szCs w:val="24"/>
          <w:lang w:val="en-GB"/>
        </w:rPr>
        <w:t>is significantly less than the industry average. If this indeed is the case, the firm would be identified as an income smoother (Eckel 1981). I will not elaborate on the model of Eckel, because it is not relevant for my further research.</w:t>
      </w:r>
    </w:p>
    <w:p w:rsidR="00432023" w:rsidRDefault="00432023" w:rsidP="00432023">
      <w:pPr>
        <w:autoSpaceDE w:val="0"/>
        <w:autoSpaceDN w:val="0"/>
        <w:adjustRightInd w:val="0"/>
        <w:spacing w:line="360" w:lineRule="auto"/>
        <w:rPr>
          <w:lang w:val="en-GB"/>
        </w:rPr>
      </w:pPr>
    </w:p>
    <w:p w:rsidR="00432023" w:rsidRPr="00A6610A" w:rsidRDefault="00432023" w:rsidP="00432023">
      <w:pPr>
        <w:pStyle w:val="Heading4"/>
        <w:rPr>
          <w:rFonts w:ascii="Calibri" w:hAnsi="Calibri"/>
        </w:rPr>
      </w:pPr>
      <w:bookmarkStart w:id="30" w:name="_Toc268669735"/>
      <w:r w:rsidRPr="00A6610A">
        <w:rPr>
          <w:rFonts w:ascii="Calibri" w:hAnsi="Calibri"/>
        </w:rPr>
        <w:t>4.3</w:t>
      </w:r>
      <w:r w:rsidRPr="00A6610A">
        <w:rPr>
          <w:rFonts w:ascii="Calibri" w:hAnsi="Calibri"/>
        </w:rPr>
        <w:tab/>
        <w:t>Conclusion</w:t>
      </w:r>
      <w:bookmarkEnd w:id="30"/>
    </w:p>
    <w:p w:rsidR="00432023" w:rsidRDefault="00432023" w:rsidP="00432023">
      <w:pPr>
        <w:spacing w:line="360" w:lineRule="auto"/>
        <w:contextualSpacing/>
        <w:rPr>
          <w:lang w:val="en-GB"/>
        </w:rPr>
      </w:pPr>
    </w:p>
    <w:p w:rsidR="00432023" w:rsidRPr="00A6610A" w:rsidRDefault="00432023" w:rsidP="00432023">
      <w:pPr>
        <w:autoSpaceDE w:val="0"/>
        <w:autoSpaceDN w:val="0"/>
        <w:adjustRightInd w:val="0"/>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Burgstahler and Dichev argued that by looking at pooled cross-sectional distributions they could determine whether earnings were being manipulated or not. Burgstahler and Dichev’s method however, was considered highly controversial, because several researchers proved that other factors contributed to the discontinuities. </w:t>
      </w:r>
    </w:p>
    <w:p w:rsidR="00432023" w:rsidRPr="00A6610A" w:rsidRDefault="00432023" w:rsidP="00432023">
      <w:pPr>
        <w:autoSpaceDE w:val="0"/>
        <w:autoSpaceDN w:val="0"/>
        <w:adjustRightInd w:val="0"/>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Before Eckel a number of researchers had conducted studies; however, the conceptual framework for most of these studies tended to be similar with differences limited to the sample of firms, the expectancy model used, the time-frame studied, or the soothing objects and smoothing variables considered (Eckel 1981). Therefore he developed his own model which is widely used in the field of detecting income smoothing. These two models, however, will not be discussed in the remainder of this thesis, because I will be using the measurements developed by Leuz et al. (2003). The objective is to determine whether income smoothing decreases in high investor protection countries while using the anti-self-dealing index. Also, I will be looking at a pre-IFRS and post-IFRS period.</w:t>
      </w:r>
    </w:p>
    <w:p w:rsidR="00432023" w:rsidRDefault="00432023" w:rsidP="00432023">
      <w:pPr>
        <w:autoSpaceDE w:val="0"/>
        <w:autoSpaceDN w:val="0"/>
        <w:adjustRightInd w:val="0"/>
        <w:spacing w:line="360" w:lineRule="auto"/>
        <w:rPr>
          <w:rFonts w:ascii="Times New Roman" w:hAnsi="Times New Roman" w:cs="Times New Roman"/>
          <w:sz w:val="24"/>
          <w:szCs w:val="24"/>
          <w:lang w:val="en-GB"/>
        </w:rPr>
      </w:pPr>
    </w:p>
    <w:p w:rsidR="000F2488" w:rsidRDefault="000F2488" w:rsidP="00432023">
      <w:pPr>
        <w:autoSpaceDE w:val="0"/>
        <w:autoSpaceDN w:val="0"/>
        <w:adjustRightInd w:val="0"/>
        <w:spacing w:line="360" w:lineRule="auto"/>
        <w:rPr>
          <w:rFonts w:ascii="Times New Roman" w:hAnsi="Times New Roman" w:cs="Times New Roman"/>
          <w:sz w:val="24"/>
          <w:szCs w:val="24"/>
          <w:lang w:val="en-GB"/>
        </w:rPr>
      </w:pPr>
    </w:p>
    <w:p w:rsidR="005A70B0" w:rsidRPr="00A6610A" w:rsidRDefault="005A70B0" w:rsidP="00432023">
      <w:pPr>
        <w:autoSpaceDE w:val="0"/>
        <w:autoSpaceDN w:val="0"/>
        <w:adjustRightInd w:val="0"/>
        <w:spacing w:line="360" w:lineRule="auto"/>
        <w:rPr>
          <w:rFonts w:ascii="Times New Roman" w:hAnsi="Times New Roman" w:cs="Times New Roman"/>
          <w:sz w:val="24"/>
          <w:szCs w:val="24"/>
          <w:lang w:val="en-GB"/>
        </w:rPr>
      </w:pPr>
    </w:p>
    <w:p w:rsidR="00432023" w:rsidRPr="00A6610A" w:rsidRDefault="00432023" w:rsidP="000F2488">
      <w:pPr>
        <w:pStyle w:val="Heading4"/>
        <w:spacing w:line="360" w:lineRule="auto"/>
        <w:contextualSpacing/>
        <w:rPr>
          <w:rFonts w:ascii="Calibri" w:hAnsi="Calibri"/>
        </w:rPr>
      </w:pPr>
      <w:bookmarkStart w:id="31" w:name="_Toc254909671"/>
      <w:bookmarkStart w:id="32" w:name="_Toc268669736"/>
      <w:r w:rsidRPr="00A6610A">
        <w:rPr>
          <w:rFonts w:ascii="Calibri" w:hAnsi="Calibri"/>
        </w:rPr>
        <w:lastRenderedPageBreak/>
        <w:t>5</w:t>
      </w:r>
      <w:r w:rsidRPr="00A6610A">
        <w:rPr>
          <w:rFonts w:ascii="Calibri" w:hAnsi="Calibri"/>
        </w:rPr>
        <w:tab/>
        <w:t>Corporate Governance</w:t>
      </w:r>
      <w:bookmarkEnd w:id="31"/>
      <w:bookmarkEnd w:id="32"/>
    </w:p>
    <w:p w:rsidR="00432023" w:rsidRPr="00F342A1" w:rsidRDefault="00432023" w:rsidP="000F2488">
      <w:pPr>
        <w:spacing w:line="360" w:lineRule="auto"/>
        <w:contextualSpacing/>
        <w:rPr>
          <w:lang w:val="en-GB"/>
        </w:rPr>
      </w:pPr>
    </w:p>
    <w:p w:rsidR="00432023" w:rsidRPr="00A6610A" w:rsidRDefault="00432023" w:rsidP="00432023">
      <w:pPr>
        <w:spacing w:line="360" w:lineRule="auto"/>
        <w:contextualSpacing/>
        <w:rPr>
          <w:rFonts w:ascii="Times New Roman" w:hAnsi="Times New Roman" w:cs="Times New Roman"/>
          <w:sz w:val="24"/>
          <w:szCs w:val="24"/>
        </w:rPr>
      </w:pPr>
      <w:r w:rsidRPr="00A6610A">
        <w:rPr>
          <w:rFonts w:ascii="Times New Roman" w:hAnsi="Times New Roman" w:cs="Times New Roman"/>
          <w:sz w:val="24"/>
          <w:szCs w:val="24"/>
          <w:lang w:val="en-GB"/>
        </w:rPr>
        <w:t xml:space="preserve">According to Gillan and Starks (1998), corporate governance can be defined as the system of laws, rules and factors that control the operations of a company. Corporate governance can be divided into two distinct groups, internal and external corporate governance (Gillan 2006). Management, who is required to act in the interests of stakeholders, and the board of directors are the basic parts of internal governance. External corporate governance is concerned with the company’s need to raise capital; shareholders and debt holders provide firms with capital. Laws and regulations as well as markets are elements of external governance that are of most interest to researchers (Gillan 2006). The distinction between internal and external governance defines the fact that there is a separation in publicly traded firms between the individuals that manage the firm’s capital and the ones that provide capital. </w:t>
      </w:r>
      <w:r w:rsidRPr="00A6610A">
        <w:rPr>
          <w:rFonts w:ascii="Times New Roman" w:hAnsi="Times New Roman" w:cs="Times New Roman"/>
          <w:sz w:val="24"/>
          <w:szCs w:val="24"/>
        </w:rPr>
        <w:t xml:space="preserve">Gillan (2006) divides external corporate governance further into five groups: </w:t>
      </w:r>
    </w:p>
    <w:p w:rsidR="00432023" w:rsidRPr="00A6610A" w:rsidRDefault="00432023" w:rsidP="00432023">
      <w:pPr>
        <w:pStyle w:val="ListParagraph"/>
        <w:numPr>
          <w:ilvl w:val="0"/>
          <w:numId w:val="25"/>
        </w:numPr>
        <w:spacing w:line="360" w:lineRule="auto"/>
        <w:rPr>
          <w:rFonts w:ascii="Times New Roman" w:hAnsi="Times New Roman" w:cs="Times New Roman"/>
          <w:sz w:val="24"/>
          <w:szCs w:val="24"/>
        </w:rPr>
      </w:pPr>
      <w:r w:rsidRPr="00A6610A">
        <w:rPr>
          <w:rFonts w:ascii="Times New Roman" w:hAnsi="Times New Roman" w:cs="Times New Roman"/>
          <w:i/>
          <w:sz w:val="24"/>
          <w:szCs w:val="24"/>
        </w:rPr>
        <w:t>Law/Regulation: federal law, self regulatory organizations</w:t>
      </w:r>
      <w:r w:rsidRPr="00A6610A">
        <w:rPr>
          <w:rFonts w:ascii="Times New Roman" w:hAnsi="Times New Roman" w:cs="Times New Roman"/>
          <w:sz w:val="24"/>
          <w:szCs w:val="24"/>
        </w:rPr>
        <w:t>:</w:t>
      </w:r>
    </w:p>
    <w:p w:rsidR="00432023"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rPr>
        <w:t>The impact of law on shareholder wealth; the impact of the SOX implementation on governance and wealth</w:t>
      </w:r>
    </w:p>
    <w:p w:rsidR="003E0623" w:rsidRPr="00A6610A" w:rsidRDefault="003E0623" w:rsidP="00432023">
      <w:pPr>
        <w:pStyle w:val="ListParagraph"/>
        <w:spacing w:line="360" w:lineRule="auto"/>
        <w:rPr>
          <w:rFonts w:ascii="Times New Roman" w:hAnsi="Times New Roman" w:cs="Times New Roman"/>
          <w:sz w:val="24"/>
          <w:szCs w:val="24"/>
        </w:rPr>
      </w:pPr>
    </w:p>
    <w:p w:rsidR="00432023" w:rsidRPr="00A6610A" w:rsidRDefault="00432023" w:rsidP="00432023">
      <w:pPr>
        <w:pStyle w:val="ListParagraph"/>
        <w:numPr>
          <w:ilvl w:val="0"/>
          <w:numId w:val="25"/>
        </w:numPr>
        <w:spacing w:line="360" w:lineRule="auto"/>
        <w:rPr>
          <w:rFonts w:ascii="Times New Roman" w:hAnsi="Times New Roman" w:cs="Times New Roman"/>
          <w:i/>
          <w:sz w:val="24"/>
          <w:szCs w:val="24"/>
        </w:rPr>
      </w:pPr>
      <w:r w:rsidRPr="00A6610A">
        <w:rPr>
          <w:rFonts w:ascii="Times New Roman" w:hAnsi="Times New Roman" w:cs="Times New Roman"/>
          <w:i/>
          <w:sz w:val="24"/>
          <w:szCs w:val="24"/>
        </w:rPr>
        <w:t>Markets (1): capital markets, the market for corporate control, labor markets, product markets</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u w:val="single"/>
        </w:rPr>
        <w:t>Capital markets</w:t>
      </w:r>
      <w:r w:rsidRPr="00A6610A">
        <w:rPr>
          <w:rFonts w:ascii="Times New Roman" w:hAnsi="Times New Roman" w:cs="Times New Roman"/>
          <w:sz w:val="24"/>
          <w:szCs w:val="24"/>
        </w:rPr>
        <w:t>: Gillan discusses the importance of ownership structure to corporate governance. For example, concentrated institutional ownership moderates executive compensation (Hartzell and Starks 2003, stated in Gillan 2006).</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u w:val="single"/>
        </w:rPr>
        <w:t>Market for corporate control</w:t>
      </w:r>
      <w:r w:rsidRPr="00A6610A">
        <w:rPr>
          <w:rFonts w:ascii="Times New Roman" w:hAnsi="Times New Roman" w:cs="Times New Roman"/>
          <w:sz w:val="24"/>
          <w:szCs w:val="24"/>
        </w:rPr>
        <w:t>: Looks at the association between aspects of governance and the market for corporate control. For example, CEOs of firms that are acquired receive compensation in line with what they would have eraned had they remained in the CEO position (Hartzell et al 2004, stated in Gillan 2006).</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u w:val="single"/>
        </w:rPr>
        <w:t>Labor markets</w:t>
      </w:r>
      <w:r w:rsidRPr="00A6610A">
        <w:rPr>
          <w:rFonts w:ascii="Times New Roman" w:hAnsi="Times New Roman" w:cs="Times New Roman"/>
          <w:sz w:val="24"/>
          <w:szCs w:val="24"/>
        </w:rPr>
        <w:t>: This particular group focuses on CEOs, board members and members of senior executive teams. For instance, both managers and board members’ behavior is regulated by labor market forces and reputation concerns. Good performance can lead to better career opportunities (Fama and Jensen 1983, stated in Gillan 2006).</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u w:val="single"/>
        </w:rPr>
        <w:lastRenderedPageBreak/>
        <w:t>Product markets</w:t>
      </w:r>
      <w:r w:rsidRPr="00A6610A">
        <w:rPr>
          <w:rFonts w:ascii="Times New Roman" w:hAnsi="Times New Roman" w:cs="Times New Roman"/>
          <w:sz w:val="24"/>
          <w:szCs w:val="24"/>
        </w:rPr>
        <w:t>: This category looks at product market competition and its relation to different aspects of corporate governance, including compensation structure and CEO turnover. E.g. researchers found that the frequency of CEO turnover is greater in more competitive industries (DeFond and Park 1999, stated in Gillan 2006).</w:t>
      </w:r>
    </w:p>
    <w:p w:rsidR="00432023" w:rsidRPr="00A6610A" w:rsidRDefault="00432023" w:rsidP="00432023">
      <w:pPr>
        <w:pStyle w:val="ListParagraph"/>
        <w:spacing w:line="360" w:lineRule="auto"/>
        <w:rPr>
          <w:rFonts w:ascii="Times New Roman" w:hAnsi="Times New Roman" w:cs="Times New Roman"/>
          <w:sz w:val="24"/>
          <w:szCs w:val="24"/>
        </w:rPr>
      </w:pPr>
    </w:p>
    <w:p w:rsidR="00432023" w:rsidRPr="00A6610A" w:rsidRDefault="00432023" w:rsidP="00432023">
      <w:pPr>
        <w:pStyle w:val="ListParagraph"/>
        <w:numPr>
          <w:ilvl w:val="0"/>
          <w:numId w:val="25"/>
        </w:numPr>
        <w:spacing w:line="360" w:lineRule="auto"/>
        <w:rPr>
          <w:rFonts w:ascii="Times New Roman" w:hAnsi="Times New Roman" w:cs="Times New Roman"/>
          <w:i/>
          <w:sz w:val="24"/>
          <w:szCs w:val="24"/>
        </w:rPr>
      </w:pPr>
      <w:r w:rsidRPr="00A6610A">
        <w:rPr>
          <w:rFonts w:ascii="Times New Roman" w:hAnsi="Times New Roman" w:cs="Times New Roman"/>
          <w:i/>
          <w:sz w:val="24"/>
          <w:szCs w:val="24"/>
        </w:rPr>
        <w:t>Markets (2) Capital Market Information:</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rPr>
        <w:t xml:space="preserve">This group focuses on the connection between capital market information providers and corporate governance. For example, certain parties such as securities analysts provide the market with information about firms. </w:t>
      </w:r>
    </w:p>
    <w:p w:rsidR="00432023" w:rsidRPr="00A6610A" w:rsidRDefault="00432023" w:rsidP="00432023">
      <w:pPr>
        <w:pStyle w:val="ListParagraph"/>
        <w:spacing w:line="360" w:lineRule="auto"/>
        <w:rPr>
          <w:rFonts w:ascii="Times New Roman" w:hAnsi="Times New Roman" w:cs="Times New Roman"/>
          <w:sz w:val="24"/>
          <w:szCs w:val="24"/>
        </w:rPr>
      </w:pPr>
    </w:p>
    <w:p w:rsidR="00432023" w:rsidRPr="00A6610A" w:rsidRDefault="00432023" w:rsidP="00432023">
      <w:pPr>
        <w:pStyle w:val="ListParagraph"/>
        <w:numPr>
          <w:ilvl w:val="0"/>
          <w:numId w:val="25"/>
        </w:numPr>
        <w:spacing w:line="360" w:lineRule="auto"/>
        <w:rPr>
          <w:rFonts w:ascii="Times New Roman" w:hAnsi="Times New Roman" w:cs="Times New Roman"/>
          <w:i/>
          <w:sz w:val="24"/>
          <w:szCs w:val="24"/>
        </w:rPr>
      </w:pPr>
      <w:r w:rsidRPr="00A6610A">
        <w:rPr>
          <w:rFonts w:ascii="Times New Roman" w:hAnsi="Times New Roman" w:cs="Times New Roman"/>
          <w:i/>
          <w:sz w:val="24"/>
          <w:szCs w:val="24"/>
        </w:rPr>
        <w:t>Markets (3) Accounting, Financial and Legal services: services from parties external to the firm:</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rPr>
        <w:t>The focus of this group lies on the link between the market for services and corporate governance. A good example is the relationship between firms and their external auditor.</w:t>
      </w:r>
    </w:p>
    <w:p w:rsidR="00432023" w:rsidRPr="00A6610A" w:rsidRDefault="00432023" w:rsidP="00432023">
      <w:pPr>
        <w:pStyle w:val="ListParagraph"/>
        <w:spacing w:line="360" w:lineRule="auto"/>
        <w:rPr>
          <w:rFonts w:ascii="Times New Roman" w:hAnsi="Times New Roman" w:cs="Times New Roman"/>
          <w:sz w:val="24"/>
          <w:szCs w:val="24"/>
        </w:rPr>
      </w:pPr>
    </w:p>
    <w:p w:rsidR="00432023" w:rsidRPr="00A6610A" w:rsidRDefault="00432023" w:rsidP="00432023">
      <w:pPr>
        <w:pStyle w:val="ListParagraph"/>
        <w:numPr>
          <w:ilvl w:val="0"/>
          <w:numId w:val="25"/>
        </w:numPr>
        <w:spacing w:line="360" w:lineRule="auto"/>
        <w:rPr>
          <w:rFonts w:ascii="Times New Roman" w:hAnsi="Times New Roman" w:cs="Times New Roman"/>
          <w:i/>
          <w:sz w:val="24"/>
          <w:szCs w:val="24"/>
        </w:rPr>
      </w:pPr>
      <w:r w:rsidRPr="00A6610A">
        <w:rPr>
          <w:rFonts w:ascii="Times New Roman" w:hAnsi="Times New Roman" w:cs="Times New Roman"/>
          <w:i/>
          <w:sz w:val="24"/>
          <w:szCs w:val="24"/>
        </w:rPr>
        <w:t>Private sources of External Oversight: media and external lawsuits:</w:t>
      </w:r>
    </w:p>
    <w:p w:rsidR="00432023" w:rsidRPr="00A6610A" w:rsidRDefault="00432023" w:rsidP="00432023">
      <w:pPr>
        <w:pStyle w:val="ListParagraph"/>
        <w:spacing w:line="360" w:lineRule="auto"/>
        <w:rPr>
          <w:rFonts w:ascii="Times New Roman" w:hAnsi="Times New Roman" w:cs="Times New Roman"/>
          <w:sz w:val="24"/>
          <w:szCs w:val="24"/>
        </w:rPr>
      </w:pPr>
      <w:r w:rsidRPr="00A6610A">
        <w:rPr>
          <w:rFonts w:ascii="Times New Roman" w:hAnsi="Times New Roman" w:cs="Times New Roman"/>
          <w:sz w:val="24"/>
          <w:szCs w:val="24"/>
        </w:rPr>
        <w:t>The media and external lawsuits are the two private sources of external oversight. The media takes in a primary role in reporting on firms’ corporate behavior. This media oversight urges managers and directors to employ “socially correct behavior”.</w:t>
      </w:r>
    </w:p>
    <w:p w:rsidR="00432023" w:rsidRPr="00A6610A" w:rsidRDefault="00432023" w:rsidP="00432023">
      <w:pPr>
        <w:pStyle w:val="ListParagraph"/>
        <w:spacing w:line="360" w:lineRule="auto"/>
        <w:rPr>
          <w:rFonts w:ascii="Times New Roman" w:hAnsi="Times New Roman" w:cs="Times New Roman"/>
          <w:sz w:val="24"/>
          <w:szCs w:val="24"/>
        </w:rPr>
      </w:pPr>
    </w:p>
    <w:p w:rsidR="00432023" w:rsidRDefault="00432023" w:rsidP="00432023">
      <w:pPr>
        <w:spacing w:line="360" w:lineRule="auto"/>
        <w:contextualSpacing/>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 The relationship between earnings management, especially income smoothing, and corporate governance is often the result of the principal-agent relationship between owners and managers (Ronen and Yaari 2008). Managers are hired to act in the interests of the owners; this however is not always how it turns out in reality. Managers tend to act in their own interest, at the expense of the other stakeholders. Therefore, owners and regulators are challenged to implement a system that obliges managers to act in the interests of all stakeholders and make the “right decisions”. In this thesis the focus will lie on laws and regulations which are in place to protect investors against the selfish behaviour of managers and other controlling insiders.</w:t>
      </w:r>
    </w:p>
    <w:p w:rsidR="003E0623" w:rsidRPr="00A6610A" w:rsidRDefault="003E0623" w:rsidP="00432023">
      <w:pPr>
        <w:spacing w:line="360" w:lineRule="auto"/>
        <w:contextualSpacing/>
        <w:rPr>
          <w:rFonts w:ascii="Times New Roman" w:hAnsi="Times New Roman" w:cs="Times New Roman"/>
          <w:sz w:val="24"/>
          <w:szCs w:val="24"/>
          <w:lang w:val="en-GB"/>
        </w:rPr>
      </w:pPr>
    </w:p>
    <w:p w:rsidR="00432023" w:rsidRPr="00A6610A" w:rsidRDefault="00432023" w:rsidP="003E0623">
      <w:pPr>
        <w:pStyle w:val="Heading4"/>
        <w:spacing w:line="360" w:lineRule="auto"/>
        <w:contextualSpacing/>
        <w:rPr>
          <w:rFonts w:ascii="Calibri" w:hAnsi="Calibri"/>
        </w:rPr>
      </w:pPr>
      <w:bookmarkStart w:id="33" w:name="_Toc254909672"/>
      <w:bookmarkStart w:id="34" w:name="_Toc268669737"/>
      <w:r w:rsidRPr="00A6610A">
        <w:rPr>
          <w:rFonts w:ascii="Calibri" w:hAnsi="Calibri"/>
        </w:rPr>
        <w:lastRenderedPageBreak/>
        <w:t>5.1</w:t>
      </w:r>
      <w:r w:rsidRPr="00A6610A">
        <w:rPr>
          <w:rFonts w:ascii="Calibri" w:hAnsi="Calibri"/>
        </w:rPr>
        <w:tab/>
        <w:t>Investor Protection</w:t>
      </w:r>
      <w:bookmarkEnd w:id="33"/>
      <w:bookmarkEnd w:id="34"/>
    </w:p>
    <w:p w:rsidR="00432023" w:rsidRPr="00692F2E" w:rsidRDefault="00432023" w:rsidP="003E0623">
      <w:pPr>
        <w:spacing w:line="360" w:lineRule="auto"/>
        <w:contextualSpacing/>
        <w:rPr>
          <w:lang w:val="en-GB"/>
        </w:rPr>
      </w:pPr>
    </w:p>
    <w:p w:rsidR="00432023" w:rsidRPr="00A6610A" w:rsidRDefault="00432023" w:rsidP="003E0623">
      <w:pPr>
        <w:autoSpaceDE w:val="0"/>
        <w:autoSpaceDN w:val="0"/>
        <w:adjustRightInd w:val="0"/>
        <w:spacing w:line="360" w:lineRule="auto"/>
        <w:contextualSpacing/>
        <w:rPr>
          <w:rFonts w:ascii="Times New Roman" w:hAnsi="Times New Roman" w:cs="Times New Roman"/>
          <w:sz w:val="24"/>
          <w:szCs w:val="24"/>
          <w:lang w:val="en-GB"/>
        </w:rPr>
      </w:pPr>
      <w:r w:rsidRPr="00A6610A">
        <w:rPr>
          <w:rFonts w:ascii="Times New Roman" w:hAnsi="Times New Roman" w:cs="Times New Roman"/>
          <w:sz w:val="24"/>
          <w:szCs w:val="24"/>
          <w:lang w:val="en-GB"/>
        </w:rPr>
        <w:t>Investor protection refers to how well investors are protected by law from expropriation by managers and controlling shareholders of firms (Cahan et al. 2008). Previous research has established that earnings smoothing is less prevalent in strong investor-protection countries (Leuz et al. 2003, Boonlert-U-Thai et al. 2006). A country’s laws and regulations provide the underlying framework upon which its financial system functions. The legal system establishes clear ownership rights, contract laws, commercial codes, and bankruptcy procedures. Uncertainty is also reduced through effective enforcement. Such a legal environment minimizes information asymmetry and investor uncertainty. Because the legal and regulatory environment largely determines the reliability of publicly-available information, information asymmetry will be lower for firms operating in stronger investor protection environments (Brockman and Chung 2008). Rules can come from different sources such as company, security, bankruptcy, takeover and compensation laws. When investors finance a firm, they face the risk that they will not see returns on their investments because controlling shareholders or managers expropriate them. This is one of the reasons why investors should be protected. Examples of actions they should be shielded against include insiders who steal profits; insiders who sell the assets, the output or additional securities they own in the firm to another firm they own, below market prices; overpaying executives;  insiders who install unqualified family members in managerial positions (La</w:t>
      </w:r>
      <w:r w:rsidR="00200E9F">
        <w:rPr>
          <w:rFonts w:ascii="Times New Roman" w:hAnsi="Times New Roman" w:cs="Times New Roman"/>
          <w:sz w:val="24"/>
          <w:szCs w:val="24"/>
          <w:lang w:val="en-GB"/>
        </w:rPr>
        <w:t xml:space="preserve"> </w:t>
      </w:r>
      <w:r w:rsidRPr="00A6610A">
        <w:rPr>
          <w:rFonts w:ascii="Times New Roman" w:hAnsi="Times New Roman" w:cs="Times New Roman"/>
          <w:sz w:val="24"/>
          <w:szCs w:val="24"/>
          <w:lang w:val="en-GB"/>
        </w:rPr>
        <w:t xml:space="preserve">Porta et al. 2000). It comes down to the fact that outside investors should be protected against insiders who rather benefit themselves than return the money to investors. Investors obtain certain rights or powers that are protected through laws and regulations. Voting for directors, receiving dividends on pro-rata terms, participation in shareholders meetings are some of the protected shareholders rights. Several researchers have studied corporate governance and its relationship to the legal protections afforded shareholders and creditors. The introduction of the Sarbanes-Oxley Act demonstrates that law and regulation do have influences on corporate governance (Linck et al 2005, Cohen et al. 2005). To a large extent shareholders and creditors finance firms because their rights are protected by the law. Laws are necessary to shield investors from insiders’ selfish behaviour, but </w:t>
      </w:r>
      <w:r w:rsidRPr="00A6610A">
        <w:rPr>
          <w:rFonts w:ascii="Times New Roman" w:hAnsi="Times New Roman" w:cs="Times New Roman"/>
          <w:i/>
          <w:sz w:val="24"/>
          <w:szCs w:val="24"/>
          <w:lang w:val="en-GB"/>
        </w:rPr>
        <w:t>enforcement of laws</w:t>
      </w:r>
      <w:r w:rsidRPr="00A6610A">
        <w:rPr>
          <w:rFonts w:ascii="Times New Roman" w:hAnsi="Times New Roman" w:cs="Times New Roman"/>
          <w:sz w:val="24"/>
          <w:szCs w:val="24"/>
          <w:lang w:val="en-GB"/>
        </w:rPr>
        <w:t xml:space="preserve"> is equally important as their contents. India and Pakistan are examples of countries where the investor protection laws are strong, but the de facto strength is weak. Without a good functioning legal system which protects investors, external finance would not work well (La</w:t>
      </w:r>
      <w:r w:rsidR="00200E9F">
        <w:rPr>
          <w:rFonts w:ascii="Times New Roman" w:hAnsi="Times New Roman" w:cs="Times New Roman"/>
          <w:sz w:val="24"/>
          <w:szCs w:val="24"/>
          <w:lang w:val="en-GB"/>
        </w:rPr>
        <w:t xml:space="preserve"> </w:t>
      </w:r>
      <w:r w:rsidRPr="00A6610A">
        <w:rPr>
          <w:rFonts w:ascii="Times New Roman" w:hAnsi="Times New Roman" w:cs="Times New Roman"/>
          <w:sz w:val="24"/>
          <w:szCs w:val="24"/>
          <w:lang w:val="en-GB"/>
        </w:rPr>
        <w:t>Porta et al. 1997).</w:t>
      </w:r>
    </w:p>
    <w:p w:rsidR="00432023" w:rsidRPr="00A6610A" w:rsidRDefault="00432023" w:rsidP="00432023">
      <w:pPr>
        <w:autoSpaceDE w:val="0"/>
        <w:autoSpaceDN w:val="0"/>
        <w:adjustRightInd w:val="0"/>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lastRenderedPageBreak/>
        <w:t>In most countries laws and regulations are enforced in part by market regulators, in part by courts and in part by market participants. The extent, to which these laws protect investors however, can vary between countries because of differences in corporate law and the enforcement of the law (La</w:t>
      </w:r>
      <w:r w:rsidR="00200E9F">
        <w:rPr>
          <w:rFonts w:ascii="Times New Roman" w:hAnsi="Times New Roman" w:cs="Times New Roman"/>
          <w:sz w:val="24"/>
          <w:szCs w:val="24"/>
          <w:lang w:val="en-GB"/>
        </w:rPr>
        <w:t xml:space="preserve"> </w:t>
      </w:r>
      <w:r w:rsidRPr="00A6610A">
        <w:rPr>
          <w:rFonts w:ascii="Times New Roman" w:hAnsi="Times New Roman" w:cs="Times New Roman"/>
          <w:sz w:val="24"/>
          <w:szCs w:val="24"/>
          <w:lang w:val="en-GB"/>
        </w:rPr>
        <w:t>Porta et al. 1998). Prior research documents greater financial transparency in countries with strong investor protection (Bhattacharya et al. 2003).</w:t>
      </w:r>
    </w:p>
    <w:p w:rsidR="00432023" w:rsidRPr="00A6610A" w:rsidRDefault="00432023" w:rsidP="00432023">
      <w:pPr>
        <w:spacing w:line="360" w:lineRule="auto"/>
        <w:contextualSpacing/>
        <w:rPr>
          <w:rFonts w:ascii="Times New Roman" w:hAnsi="Times New Roman" w:cs="Times New Roman"/>
          <w:sz w:val="24"/>
          <w:szCs w:val="24"/>
          <w:lang w:val="en-GB"/>
        </w:rPr>
      </w:pPr>
      <w:r w:rsidRPr="00A6610A">
        <w:rPr>
          <w:rFonts w:ascii="Times New Roman" w:hAnsi="Times New Roman" w:cs="Times New Roman"/>
          <w:sz w:val="24"/>
          <w:szCs w:val="24"/>
          <w:lang w:val="en-GB"/>
        </w:rPr>
        <w:t>The earlier discussed index by La Porta et al. (1998) is not the only index available to researchers. Other indexes have been developed over the years.</w:t>
      </w:r>
    </w:p>
    <w:p w:rsidR="00432023" w:rsidRPr="00A6610A" w:rsidRDefault="00432023" w:rsidP="00432023">
      <w:pPr>
        <w:pStyle w:val="Heading4"/>
        <w:rPr>
          <w:rFonts w:ascii="Calibri" w:hAnsi="Calibri"/>
        </w:rPr>
      </w:pPr>
      <w:bookmarkStart w:id="35" w:name="_Toc268669738"/>
      <w:r w:rsidRPr="00A6610A">
        <w:rPr>
          <w:rFonts w:ascii="Calibri" w:hAnsi="Calibri"/>
        </w:rPr>
        <w:t>5.1.1</w:t>
      </w:r>
      <w:r w:rsidRPr="00A6610A">
        <w:rPr>
          <w:rFonts w:ascii="Calibri" w:hAnsi="Calibri"/>
        </w:rPr>
        <w:tab/>
        <w:t>Anti-self-dealing index</w:t>
      </w:r>
      <w:bookmarkEnd w:id="35"/>
      <w:r w:rsidRPr="00A6610A">
        <w:rPr>
          <w:rFonts w:ascii="Calibri" w:hAnsi="Calibri"/>
        </w:rPr>
        <w:t xml:space="preserve"> </w:t>
      </w:r>
    </w:p>
    <w:p w:rsidR="00432023" w:rsidRPr="00047DF5" w:rsidRDefault="00432023" w:rsidP="00432023">
      <w:pPr>
        <w:spacing w:line="360" w:lineRule="auto"/>
        <w:contextualSpacing/>
        <w:rPr>
          <w:lang w:val="en-GB"/>
        </w:rPr>
      </w:pPr>
    </w:p>
    <w:p w:rsidR="00432023" w:rsidRPr="00A6610A" w:rsidRDefault="00432023" w:rsidP="00432023">
      <w:pPr>
        <w:spacing w:line="360" w:lineRule="auto"/>
        <w:contextualSpacing/>
        <w:rPr>
          <w:rFonts w:ascii="Times New Roman" w:hAnsi="Times New Roman" w:cs="Times New Roman"/>
          <w:sz w:val="24"/>
          <w:szCs w:val="24"/>
          <w:lang w:val="en-GB"/>
        </w:rPr>
      </w:pPr>
      <w:r w:rsidRPr="00A6610A">
        <w:rPr>
          <w:rFonts w:ascii="Times New Roman" w:hAnsi="Times New Roman" w:cs="Times New Roman"/>
          <w:sz w:val="24"/>
          <w:szCs w:val="24"/>
          <w:lang w:val="en-GB"/>
        </w:rPr>
        <w:t>Djankov et al. (2007) developed the anti-self-dealing index, which relies on the same basic dimensions of corporate law, but defines them with more precision. This index is calculated for 72 countries based on legal rules prevailing in 2003. These 72 countries are classified by their legal origin. Both the original and the revised anti-director rights indices summarize the protection of minority shareholders in the corporate decision-making process, including the right to vote. The index covers the following six areas: (1) vote by mail; (2) obstacles to the actual exercise of the right to vote (i.e., the requirement that shares be deposited before the shareholders’ meeting); (3) minority representation on the board of directors through cumulative voting or proportional representation; (4) an oppressed minority mechanism to seek redress in case of expropriation; (5) preemptive rights to subscribe to new securities issued by the company; and (6) the right to call a special shareholder meeting (Djankov et al.</w:t>
      </w:r>
      <w:r w:rsidR="005D58C2">
        <w:rPr>
          <w:rFonts w:ascii="Times New Roman" w:hAnsi="Times New Roman" w:cs="Times New Roman"/>
          <w:sz w:val="24"/>
          <w:szCs w:val="24"/>
          <w:lang w:val="en-GB"/>
        </w:rPr>
        <w:t xml:space="preserve"> </w:t>
      </w:r>
      <w:r w:rsidRPr="00A6610A">
        <w:rPr>
          <w:rFonts w:ascii="Times New Roman" w:hAnsi="Times New Roman" w:cs="Times New Roman"/>
          <w:sz w:val="24"/>
          <w:szCs w:val="24"/>
          <w:lang w:val="en-GB"/>
        </w:rPr>
        <w:t>2007).</w:t>
      </w:r>
    </w:p>
    <w:p w:rsidR="00432023" w:rsidRPr="00A6610A" w:rsidRDefault="00432023" w:rsidP="00432023">
      <w:pPr>
        <w:spacing w:line="360" w:lineRule="auto"/>
        <w:contextualSpacing/>
        <w:rPr>
          <w:rFonts w:ascii="Times New Roman" w:hAnsi="Times New Roman" w:cs="Times New Roman"/>
          <w:sz w:val="24"/>
          <w:szCs w:val="24"/>
          <w:lang w:val="en-GB"/>
        </w:rPr>
      </w:pPr>
    </w:p>
    <w:p w:rsidR="00432023" w:rsidRPr="00A6610A"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Djankov et al. (2007) examine several areas of law relevant to the transaction and summarize them with two indices: an index of </w:t>
      </w:r>
      <w:r w:rsidRPr="00A6610A">
        <w:rPr>
          <w:rFonts w:ascii="Times New Roman" w:hAnsi="Times New Roman" w:cs="Times New Roman"/>
          <w:i/>
          <w:sz w:val="24"/>
          <w:szCs w:val="24"/>
          <w:lang w:val="en-GB"/>
        </w:rPr>
        <w:t>public enforcement</w:t>
      </w:r>
      <w:r w:rsidRPr="00A6610A">
        <w:rPr>
          <w:rFonts w:ascii="Times New Roman" w:hAnsi="Times New Roman" w:cs="Times New Roman"/>
          <w:sz w:val="24"/>
          <w:szCs w:val="24"/>
          <w:lang w:val="en-GB"/>
        </w:rPr>
        <w:t xml:space="preserve"> and an index of the </w:t>
      </w:r>
      <w:r w:rsidRPr="00A6610A">
        <w:rPr>
          <w:rFonts w:ascii="Times New Roman" w:hAnsi="Times New Roman" w:cs="Times New Roman"/>
          <w:i/>
          <w:sz w:val="24"/>
          <w:szCs w:val="24"/>
          <w:lang w:val="en-GB"/>
        </w:rPr>
        <w:t>private control of self-dealing.</w:t>
      </w:r>
      <w:r w:rsidRPr="00A6610A">
        <w:rPr>
          <w:rFonts w:ascii="Times New Roman" w:hAnsi="Times New Roman" w:cs="Times New Roman"/>
          <w:sz w:val="24"/>
          <w:szCs w:val="24"/>
          <w:lang w:val="en-GB"/>
        </w:rPr>
        <w:t xml:space="preserve"> The latter index can be divided into two components; an index of </w:t>
      </w:r>
      <w:r w:rsidRPr="00A6610A">
        <w:rPr>
          <w:rFonts w:ascii="Times New Roman" w:hAnsi="Times New Roman" w:cs="Times New Roman"/>
          <w:i/>
          <w:sz w:val="24"/>
          <w:szCs w:val="24"/>
          <w:lang w:val="en-GB"/>
        </w:rPr>
        <w:t>ex ante private control of self-dealing</w:t>
      </w:r>
      <w:r w:rsidRPr="00A6610A">
        <w:rPr>
          <w:rFonts w:ascii="Times New Roman" w:hAnsi="Times New Roman" w:cs="Times New Roman"/>
          <w:sz w:val="24"/>
          <w:szCs w:val="24"/>
          <w:lang w:val="en-GB"/>
        </w:rPr>
        <w:t xml:space="preserve"> and an index of </w:t>
      </w:r>
      <w:r w:rsidRPr="00A6610A">
        <w:rPr>
          <w:rFonts w:ascii="Times New Roman" w:hAnsi="Times New Roman" w:cs="Times New Roman"/>
          <w:i/>
          <w:sz w:val="24"/>
          <w:szCs w:val="24"/>
          <w:lang w:val="en-GB"/>
        </w:rPr>
        <w:t xml:space="preserve">ex post private control of self-dealing. </w:t>
      </w:r>
    </w:p>
    <w:p w:rsidR="00432023" w:rsidRPr="00A6610A"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According to Djankov et al. (2007) the first major area that the law can seek to regulate is the approval process. The law can also seek to regulate the approval process by mandating extensive disclosure by the company and the related party. Data on approval requirements and immediate disclosures is summarized through an </w:t>
      </w:r>
      <w:r w:rsidRPr="00A6610A">
        <w:rPr>
          <w:rFonts w:ascii="Times New Roman" w:hAnsi="Times New Roman" w:cs="Times New Roman"/>
          <w:i/>
          <w:sz w:val="24"/>
          <w:szCs w:val="24"/>
          <w:lang w:val="en-GB"/>
        </w:rPr>
        <w:t>ex ante private control of self-dealing</w:t>
      </w:r>
      <w:r w:rsidRPr="00A6610A">
        <w:rPr>
          <w:rFonts w:ascii="Times New Roman" w:hAnsi="Times New Roman" w:cs="Times New Roman"/>
          <w:sz w:val="24"/>
          <w:szCs w:val="24"/>
          <w:lang w:val="en-GB"/>
        </w:rPr>
        <w:t xml:space="preserve">. </w:t>
      </w:r>
    </w:p>
    <w:p w:rsidR="00432023" w:rsidRPr="00A6610A" w:rsidRDefault="00432023" w:rsidP="00432023">
      <w:pPr>
        <w:spacing w:line="360" w:lineRule="auto"/>
        <w:rPr>
          <w:rFonts w:ascii="Times New Roman" w:hAnsi="Times New Roman" w:cs="Times New Roman"/>
          <w:i/>
          <w:sz w:val="24"/>
          <w:szCs w:val="24"/>
          <w:lang w:val="en-GB"/>
        </w:rPr>
      </w:pPr>
      <w:r w:rsidRPr="00A6610A">
        <w:rPr>
          <w:rFonts w:ascii="Times New Roman" w:hAnsi="Times New Roman" w:cs="Times New Roman"/>
          <w:sz w:val="24"/>
          <w:szCs w:val="24"/>
          <w:lang w:val="en-GB"/>
        </w:rPr>
        <w:lastRenderedPageBreak/>
        <w:t xml:space="preserve">Djankov et al. (2007) consider the ease with which minority shareholders can prove wrongdoing to be the second major area that the law can regulate. The disclosure requirements after the transaction is approved and the ease of proving wrongdoing are combined into an index of </w:t>
      </w:r>
      <w:r w:rsidRPr="00A6610A">
        <w:rPr>
          <w:rFonts w:ascii="Times New Roman" w:hAnsi="Times New Roman" w:cs="Times New Roman"/>
          <w:i/>
          <w:sz w:val="24"/>
          <w:szCs w:val="24"/>
          <w:lang w:val="en-GB"/>
        </w:rPr>
        <w:t>ex post private control of self-dealing.</w:t>
      </w:r>
    </w:p>
    <w:p w:rsidR="00432023" w:rsidRDefault="00432023" w:rsidP="00432023">
      <w:pPr>
        <w:spacing w:line="360" w:lineRule="auto"/>
        <w:rPr>
          <w:rFonts w:ascii="Times New Roman" w:hAnsi="Times New Roman" w:cs="Times New Roman"/>
          <w:sz w:val="24"/>
          <w:szCs w:val="24"/>
          <w:lang w:val="en-GB"/>
        </w:rPr>
      </w:pPr>
      <w:r w:rsidRPr="00A6610A">
        <w:rPr>
          <w:rFonts w:ascii="Times New Roman" w:hAnsi="Times New Roman" w:cs="Times New Roman"/>
          <w:sz w:val="24"/>
          <w:szCs w:val="24"/>
          <w:lang w:val="en-GB"/>
        </w:rPr>
        <w:t xml:space="preserve">The </w:t>
      </w:r>
      <w:r w:rsidRPr="00A6610A">
        <w:rPr>
          <w:rFonts w:ascii="Times New Roman" w:hAnsi="Times New Roman" w:cs="Times New Roman"/>
          <w:i/>
          <w:sz w:val="24"/>
          <w:szCs w:val="24"/>
          <w:lang w:val="en-GB"/>
        </w:rPr>
        <w:t xml:space="preserve">anti-self-dealing index </w:t>
      </w:r>
      <w:r w:rsidRPr="00A6610A">
        <w:rPr>
          <w:rFonts w:ascii="Times New Roman" w:hAnsi="Times New Roman" w:cs="Times New Roman"/>
          <w:sz w:val="24"/>
          <w:szCs w:val="24"/>
          <w:lang w:val="en-GB"/>
        </w:rPr>
        <w:t>is then created by averaging the indices of ex ante and ex post private control of self-dealing.</w:t>
      </w:r>
    </w:p>
    <w:p w:rsidR="00A6610A" w:rsidRDefault="00A6610A" w:rsidP="00432023">
      <w:pPr>
        <w:spacing w:line="360" w:lineRule="auto"/>
        <w:rPr>
          <w:lang w:val="en-GB"/>
        </w:rPr>
      </w:pPr>
    </w:p>
    <w:p w:rsidR="00432023" w:rsidRPr="00A6610A" w:rsidRDefault="00432023" w:rsidP="003E0623">
      <w:pPr>
        <w:pStyle w:val="Heading4"/>
        <w:numPr>
          <w:ilvl w:val="1"/>
          <w:numId w:val="41"/>
        </w:numPr>
        <w:spacing w:line="360" w:lineRule="auto"/>
        <w:contextualSpacing/>
        <w:rPr>
          <w:rFonts w:ascii="Calibri" w:hAnsi="Calibri"/>
        </w:rPr>
      </w:pPr>
      <w:r w:rsidRPr="00A6610A">
        <w:rPr>
          <w:rFonts w:ascii="Calibri" w:hAnsi="Calibri"/>
        </w:rPr>
        <w:t xml:space="preserve">     </w:t>
      </w:r>
      <w:bookmarkStart w:id="36" w:name="_Toc268669739"/>
      <w:r w:rsidRPr="00A6610A">
        <w:rPr>
          <w:rFonts w:ascii="Calibri" w:hAnsi="Calibri"/>
        </w:rPr>
        <w:t>Conclusion</w:t>
      </w:r>
      <w:bookmarkEnd w:id="36"/>
    </w:p>
    <w:p w:rsidR="00432023" w:rsidRPr="00ED4145" w:rsidRDefault="00432023" w:rsidP="003E0623">
      <w:pPr>
        <w:contextualSpacing/>
      </w:pPr>
    </w:p>
    <w:p w:rsidR="00432023" w:rsidRPr="00A6610A" w:rsidRDefault="00432023" w:rsidP="003E0623">
      <w:pPr>
        <w:spacing w:line="360" w:lineRule="auto"/>
        <w:contextualSpacing/>
        <w:rPr>
          <w:rFonts w:ascii="Times New Roman" w:hAnsi="Times New Roman" w:cs="Times New Roman"/>
          <w:sz w:val="24"/>
          <w:szCs w:val="24"/>
        </w:rPr>
      </w:pPr>
      <w:r w:rsidRPr="00A6610A">
        <w:rPr>
          <w:rFonts w:ascii="Times New Roman" w:hAnsi="Times New Roman" w:cs="Times New Roman"/>
          <w:sz w:val="24"/>
          <w:szCs w:val="24"/>
        </w:rPr>
        <w:t>Investor protection is a form of external corporate governance. The objective is to protect investors from expropriation by controlling insiders. These insiders tend to put their own interests before those of the shareholders. In order to prevent this from happening legislators need to put mechanisms in place which will keep managers from behaving opportunistically. Laws regarding investor protection are not necessarily the same in different countries. Djankov et al. (2007) acknowledged these differences and developed investor protection indices for 72 countries. Previous work by La</w:t>
      </w:r>
      <w:r w:rsidR="00200E9F">
        <w:rPr>
          <w:rFonts w:ascii="Times New Roman" w:hAnsi="Times New Roman" w:cs="Times New Roman"/>
          <w:sz w:val="24"/>
          <w:szCs w:val="24"/>
        </w:rPr>
        <w:t xml:space="preserve"> </w:t>
      </w:r>
      <w:r w:rsidRPr="00A6610A">
        <w:rPr>
          <w:rFonts w:ascii="Times New Roman" w:hAnsi="Times New Roman" w:cs="Times New Roman"/>
          <w:sz w:val="24"/>
          <w:szCs w:val="24"/>
        </w:rPr>
        <w:t>Porta et al. (2000) is considered to be outdated and flawed. Therefore this research will use the anti-self-dealing index.</w:t>
      </w:r>
    </w:p>
    <w:p w:rsidR="00432023" w:rsidRPr="00A6610A" w:rsidRDefault="00432023" w:rsidP="00432023">
      <w:pPr>
        <w:spacing w:line="360" w:lineRule="auto"/>
        <w:rPr>
          <w:rFonts w:ascii="Times New Roman" w:hAnsi="Times New Roman" w:cs="Times New Roman"/>
          <w:sz w:val="24"/>
          <w:szCs w:val="24"/>
        </w:rPr>
      </w:pPr>
    </w:p>
    <w:p w:rsidR="00432023" w:rsidRPr="00A6610A" w:rsidRDefault="00432023" w:rsidP="00432023">
      <w:pPr>
        <w:spacing w:line="360" w:lineRule="auto"/>
        <w:rPr>
          <w:rFonts w:ascii="Times New Roman" w:hAnsi="Times New Roman" w:cs="Times New Roman"/>
          <w:sz w:val="24"/>
          <w:szCs w:val="24"/>
        </w:rPr>
      </w:pPr>
    </w:p>
    <w:p w:rsidR="00432023" w:rsidRPr="00A6610A" w:rsidRDefault="00432023" w:rsidP="00432023">
      <w:pPr>
        <w:spacing w:line="360" w:lineRule="auto"/>
        <w:rPr>
          <w:rFonts w:ascii="Times New Roman" w:hAnsi="Times New Roman" w:cs="Times New Roman"/>
          <w:sz w:val="24"/>
          <w:szCs w:val="24"/>
        </w:rPr>
      </w:pPr>
    </w:p>
    <w:p w:rsidR="00432023" w:rsidRPr="00A6610A" w:rsidRDefault="00432023" w:rsidP="00432023">
      <w:pPr>
        <w:spacing w:line="360" w:lineRule="auto"/>
        <w:rPr>
          <w:rFonts w:ascii="Times New Roman" w:hAnsi="Times New Roman" w:cs="Times New Roman"/>
          <w:sz w:val="24"/>
          <w:szCs w:val="24"/>
        </w:rPr>
      </w:pPr>
    </w:p>
    <w:p w:rsidR="00432023" w:rsidRPr="00A6610A" w:rsidRDefault="00432023" w:rsidP="00432023">
      <w:pPr>
        <w:spacing w:line="360" w:lineRule="auto"/>
        <w:rPr>
          <w:rFonts w:ascii="Times New Roman" w:hAnsi="Times New Roman" w:cs="Times New Roman"/>
          <w:sz w:val="24"/>
          <w:szCs w:val="24"/>
        </w:rPr>
      </w:pPr>
    </w:p>
    <w:p w:rsidR="00432023" w:rsidRDefault="00432023" w:rsidP="00432023">
      <w:pPr>
        <w:spacing w:line="360" w:lineRule="auto"/>
        <w:rPr>
          <w:rFonts w:ascii="Times New Roman" w:hAnsi="Times New Roman" w:cs="Times New Roman"/>
          <w:sz w:val="24"/>
          <w:szCs w:val="24"/>
        </w:rPr>
      </w:pPr>
    </w:p>
    <w:p w:rsidR="00177954" w:rsidRDefault="00177954" w:rsidP="00432023">
      <w:pPr>
        <w:spacing w:line="360" w:lineRule="auto"/>
        <w:rPr>
          <w:rFonts w:ascii="Times New Roman" w:hAnsi="Times New Roman" w:cs="Times New Roman"/>
          <w:sz w:val="24"/>
          <w:szCs w:val="24"/>
        </w:rPr>
      </w:pPr>
    </w:p>
    <w:p w:rsidR="00177954" w:rsidRDefault="00177954" w:rsidP="00432023">
      <w:pPr>
        <w:spacing w:line="360" w:lineRule="auto"/>
        <w:rPr>
          <w:rFonts w:ascii="Times New Roman" w:hAnsi="Times New Roman" w:cs="Times New Roman"/>
          <w:sz w:val="24"/>
          <w:szCs w:val="24"/>
        </w:rPr>
      </w:pPr>
    </w:p>
    <w:p w:rsidR="00177954" w:rsidRPr="00A6610A" w:rsidRDefault="00177954" w:rsidP="00432023">
      <w:pPr>
        <w:spacing w:line="360" w:lineRule="auto"/>
        <w:rPr>
          <w:rFonts w:ascii="Times New Roman" w:hAnsi="Times New Roman" w:cs="Times New Roman"/>
          <w:sz w:val="24"/>
          <w:szCs w:val="24"/>
        </w:rPr>
      </w:pPr>
    </w:p>
    <w:p w:rsidR="00432023" w:rsidRPr="00A6610A" w:rsidRDefault="00432023" w:rsidP="00432023">
      <w:pPr>
        <w:spacing w:line="360" w:lineRule="auto"/>
        <w:rPr>
          <w:rFonts w:ascii="Times New Roman" w:hAnsi="Times New Roman" w:cs="Times New Roman"/>
          <w:sz w:val="24"/>
          <w:szCs w:val="24"/>
        </w:rPr>
      </w:pPr>
    </w:p>
    <w:p w:rsidR="00432023" w:rsidRPr="00A6610A" w:rsidRDefault="00432023" w:rsidP="00177954">
      <w:pPr>
        <w:pStyle w:val="ListParagraph"/>
        <w:ind w:left="0"/>
        <w:rPr>
          <w:rStyle w:val="Heading4Char"/>
          <w:rFonts w:ascii="Calibri" w:hAnsi="Calibri"/>
        </w:rPr>
      </w:pPr>
      <w:bookmarkStart w:id="37" w:name="_Toc254909673"/>
      <w:r w:rsidRPr="00A6610A">
        <w:rPr>
          <w:rFonts w:ascii="Calibri" w:hAnsi="Calibri"/>
          <w:lang w:val="en-GB"/>
        </w:rPr>
        <w:lastRenderedPageBreak/>
        <w:t>6</w:t>
      </w:r>
      <w:r w:rsidRPr="00A6610A">
        <w:rPr>
          <w:rFonts w:ascii="Calibri" w:hAnsi="Calibri"/>
          <w:lang w:val="en-GB"/>
        </w:rPr>
        <w:tab/>
        <w:t xml:space="preserve"> </w:t>
      </w:r>
      <w:r w:rsidRPr="00A6610A">
        <w:rPr>
          <w:rStyle w:val="Heading4Char"/>
          <w:rFonts w:ascii="Calibri" w:hAnsi="Calibri"/>
        </w:rPr>
        <w:t>Introduction of IFRS</w:t>
      </w:r>
    </w:p>
    <w:p w:rsidR="00432023" w:rsidRPr="00887EA1" w:rsidRDefault="00432023" w:rsidP="00177954">
      <w:pPr>
        <w:pStyle w:val="ListParagraph"/>
        <w:ind w:left="0"/>
        <w:rPr>
          <w:lang w:val="en-GB"/>
        </w:rPr>
      </w:pPr>
    </w:p>
    <w:p w:rsidR="00432023" w:rsidRPr="009370C3" w:rsidRDefault="00432023" w:rsidP="00177954">
      <w:pPr>
        <w:spacing w:line="360" w:lineRule="auto"/>
        <w:contextualSpacing/>
        <w:rPr>
          <w:rFonts w:ascii="Times New Roman" w:hAnsi="Times New Roman" w:cs="Times New Roman"/>
          <w:sz w:val="24"/>
          <w:szCs w:val="24"/>
          <w:lang w:val="en-GB"/>
        </w:rPr>
      </w:pPr>
      <w:r w:rsidRPr="009370C3">
        <w:rPr>
          <w:rFonts w:ascii="Times New Roman" w:hAnsi="Times New Roman" w:cs="Times New Roman"/>
          <w:sz w:val="24"/>
          <w:szCs w:val="24"/>
          <w:lang w:val="en-GB"/>
        </w:rPr>
        <w:t>With the globalization of financial markets in sight, regulators came up with the notion that adopting common standards for financial reporting would lead to harmonization of corporate accounting practices. The International Financial Reporting Standards (from here on IFRS), which were formerly known as International Accounting Standards (IAS), were chosen as the common language for financial reporting by Europe and several other countries. Many countries have agreed to require or allow adoption of IFRS. Japan, for instance, will converge to IFRS in 2011. Brazil, Canada, China and India have all set formal timelines by which they wish to converge to IFRS (</w:t>
      </w:r>
      <w:r w:rsidR="002A66A3">
        <w:rPr>
          <w:rFonts w:ascii="Times New Roman" w:hAnsi="Times New Roman" w:cs="Times New Roman"/>
          <w:sz w:val="24"/>
          <w:szCs w:val="24"/>
          <w:lang w:val="en-GB"/>
        </w:rPr>
        <w:t xml:space="preserve">Jeanjean and Stolowy 2008). Table </w:t>
      </w:r>
      <w:r w:rsidR="006A0E9B">
        <w:rPr>
          <w:rFonts w:ascii="Times New Roman" w:hAnsi="Times New Roman" w:cs="Times New Roman"/>
          <w:sz w:val="24"/>
          <w:szCs w:val="24"/>
          <w:lang w:val="en-GB"/>
        </w:rPr>
        <w:t>2</w:t>
      </w:r>
      <w:r w:rsidR="002A66A3">
        <w:rPr>
          <w:rFonts w:ascii="Times New Roman" w:hAnsi="Times New Roman" w:cs="Times New Roman"/>
          <w:sz w:val="24"/>
          <w:szCs w:val="24"/>
          <w:lang w:val="en-GB"/>
        </w:rPr>
        <w:t xml:space="preserve"> gives an overview of the IFRS adopters. </w:t>
      </w:r>
      <w:r w:rsidRPr="009370C3">
        <w:rPr>
          <w:rFonts w:ascii="Times New Roman" w:hAnsi="Times New Roman" w:cs="Times New Roman"/>
          <w:sz w:val="24"/>
          <w:szCs w:val="24"/>
          <w:lang w:val="en-GB"/>
        </w:rPr>
        <w:t>As of January 1</w:t>
      </w:r>
      <w:r w:rsidRPr="009370C3">
        <w:rPr>
          <w:rFonts w:ascii="Times New Roman" w:hAnsi="Times New Roman" w:cs="Times New Roman"/>
          <w:sz w:val="24"/>
          <w:szCs w:val="24"/>
          <w:vertAlign w:val="superscript"/>
          <w:lang w:val="en-GB"/>
        </w:rPr>
        <w:t>st</w:t>
      </w:r>
      <w:r w:rsidRPr="009370C3">
        <w:rPr>
          <w:rFonts w:ascii="Times New Roman" w:hAnsi="Times New Roman" w:cs="Times New Roman"/>
          <w:sz w:val="24"/>
          <w:szCs w:val="24"/>
          <w:lang w:val="en-GB"/>
        </w:rPr>
        <w:t>, 2005 all firms listed in the European Union are required to prepare their consolidated financial statements conform the International Financial Reporting Standards.</w:t>
      </w:r>
    </w:p>
    <w:p w:rsidR="00432023" w:rsidRPr="009370C3" w:rsidRDefault="00432023" w:rsidP="00432023">
      <w:pPr>
        <w:spacing w:line="360" w:lineRule="auto"/>
        <w:rPr>
          <w:rFonts w:ascii="Times New Roman" w:hAnsi="Times New Roman" w:cs="Times New Roman"/>
          <w:sz w:val="24"/>
          <w:szCs w:val="24"/>
          <w:lang w:val="en-GB"/>
        </w:rPr>
      </w:pPr>
    </w:p>
    <w:p w:rsidR="00432023" w:rsidRPr="009370C3" w:rsidRDefault="00432023" w:rsidP="0043202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One of the aspects that welcomed IFRS is the fact that IFRS are the product of one independent, private-sector body, and have arisen in response to demand, from capital markets and not as a result of specific political initiatives by governments (Whittington 2005).</w:t>
      </w:r>
    </w:p>
    <w:p w:rsidR="0043202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IFRS are more “principles-based” than “rules-based”. Principles-based systems issue generic accounting standards. This means that not every controversial issue is discussed but ambiguity about major processes as record keeping and measurement is kept (Carmona and Trombetta 2008). Nelson (2003) stated that “principles-based” refers to fundamental understandings that inform transactions and economic events. This is in clear contrast to “rules-based” standards which include specific criteria, examples, scopes, restrictions, exceptions etc. According to Carmona and Trombetta (2008) the global acceptance of IFRS resulted from its openness and flexibility. Both of which are fundamental in accommodating diverse institutional settings and traditions (common-law and civil law) under shared standards.</w:t>
      </w:r>
    </w:p>
    <w:p w:rsidR="009370C3" w:rsidRDefault="009370C3" w:rsidP="00432023">
      <w:pPr>
        <w:spacing w:line="360" w:lineRule="auto"/>
        <w:rPr>
          <w:rFonts w:ascii="Times New Roman" w:hAnsi="Times New Roman" w:cs="Times New Roman"/>
          <w:sz w:val="24"/>
          <w:szCs w:val="24"/>
          <w:lang w:val="en-GB"/>
        </w:rPr>
      </w:pPr>
    </w:p>
    <w:p w:rsidR="009370C3" w:rsidRDefault="009370C3" w:rsidP="00432023">
      <w:pPr>
        <w:spacing w:line="360" w:lineRule="auto"/>
        <w:rPr>
          <w:rFonts w:ascii="Times New Roman" w:hAnsi="Times New Roman" w:cs="Times New Roman"/>
          <w:sz w:val="24"/>
          <w:szCs w:val="24"/>
          <w:lang w:val="en-GB"/>
        </w:rPr>
      </w:pPr>
    </w:p>
    <w:p w:rsidR="009370C3" w:rsidRPr="009370C3" w:rsidRDefault="009370C3" w:rsidP="00432023">
      <w:pPr>
        <w:spacing w:line="360" w:lineRule="auto"/>
        <w:rPr>
          <w:rFonts w:ascii="Times New Roman" w:hAnsi="Times New Roman" w:cs="Times New Roman"/>
          <w:sz w:val="24"/>
          <w:szCs w:val="24"/>
          <w:lang w:val="en-GB"/>
        </w:rPr>
      </w:pPr>
    </w:p>
    <w:p w:rsidR="00432023" w:rsidRDefault="00432023" w:rsidP="00177954">
      <w:pPr>
        <w:pStyle w:val="ListParagraph"/>
        <w:ind w:left="0"/>
        <w:rPr>
          <w:rStyle w:val="Heading4Char"/>
          <w:rFonts w:ascii="Calibri" w:hAnsi="Calibri"/>
        </w:rPr>
      </w:pPr>
      <w:r w:rsidRPr="009370C3">
        <w:rPr>
          <w:rFonts w:ascii="Calibri" w:hAnsi="Calibri"/>
          <w:lang w:val="en-GB"/>
        </w:rPr>
        <w:lastRenderedPageBreak/>
        <w:t>6.1</w:t>
      </w:r>
      <w:r w:rsidRPr="009370C3">
        <w:rPr>
          <w:rFonts w:ascii="Calibri" w:hAnsi="Calibri"/>
          <w:lang w:val="en-GB"/>
        </w:rPr>
        <w:tab/>
        <w:t xml:space="preserve"> </w:t>
      </w:r>
      <w:r w:rsidRPr="009370C3">
        <w:rPr>
          <w:rStyle w:val="Heading4Char"/>
          <w:rFonts w:ascii="Calibri" w:hAnsi="Calibri"/>
        </w:rPr>
        <w:t>IFRS in Europe</w:t>
      </w:r>
    </w:p>
    <w:p w:rsidR="00177954" w:rsidRPr="009370C3" w:rsidRDefault="00177954" w:rsidP="00177954">
      <w:pPr>
        <w:pStyle w:val="ListParagraph"/>
        <w:ind w:left="0"/>
        <w:rPr>
          <w:rFonts w:ascii="Times New Roman" w:hAnsi="Times New Roman" w:cs="Times New Roman"/>
          <w:sz w:val="24"/>
          <w:szCs w:val="24"/>
          <w:lang w:val="en-GB"/>
        </w:rPr>
      </w:pPr>
    </w:p>
    <w:p w:rsidR="00432023" w:rsidRPr="009370C3" w:rsidRDefault="00432023" w:rsidP="00177954">
      <w:pPr>
        <w:spacing w:line="360" w:lineRule="auto"/>
        <w:contextualSpacing/>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In contrast to current standards, the original International Accounting Standards were descriptive and provided several alternative treatments (Van Tendeloo en Vanstraelen 2005). As a result comparison between countries was made difficult. For this reason and the additional flexibility of IAS, many criticized these standards. In cooperation with the international Organization of Securities Commission (IOSCO) the IASC made substantial revisions to the IAS, which are nowadays widely used (Carmona and Trombetta 2008). The European Parliament issued a regulation (1606/2002/EC) which requires all EU listed firms to prepare consolidated financial statements based on IFRS by 2005. However, it was allowed to prepare the </w:t>
      </w:r>
      <w:r w:rsidRPr="009370C3">
        <w:rPr>
          <w:rFonts w:ascii="Times New Roman" w:hAnsi="Times New Roman" w:cs="Times New Roman"/>
          <w:i/>
          <w:sz w:val="24"/>
          <w:szCs w:val="24"/>
          <w:lang w:val="en-GB"/>
        </w:rPr>
        <w:t>subsidiary financial statements</w:t>
      </w:r>
      <w:r w:rsidRPr="009370C3">
        <w:rPr>
          <w:rFonts w:ascii="Times New Roman" w:hAnsi="Times New Roman" w:cs="Times New Roman"/>
          <w:sz w:val="24"/>
          <w:szCs w:val="24"/>
          <w:lang w:val="en-GB"/>
        </w:rPr>
        <w:t xml:space="preserve"> in accordance with IFRS before the mandatory introduction in 2005. In some countries, among which Germany, Austria, Belgium, France, Italy and Switzerland, it was possible for firms to adopt IFRS before the mandatory introduction. </w:t>
      </w:r>
    </w:p>
    <w:p w:rsidR="00432023" w:rsidRPr="009370C3" w:rsidRDefault="00432023" w:rsidP="00432023">
      <w:pPr>
        <w:spacing w:line="360" w:lineRule="auto"/>
        <w:rPr>
          <w:rFonts w:ascii="Times New Roman" w:hAnsi="Times New Roman" w:cs="Times New Roman"/>
          <w:sz w:val="24"/>
          <w:szCs w:val="24"/>
          <w:lang w:val="en-GB"/>
        </w:rPr>
      </w:pP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IAS (International Accounting Standards), which are the predecessors of IFRS, were issued by the International Accounting Standards Committee (IASC) during the period 1973 until 2000. The successor body to the IASC, The International Accounting Standards Board (IASB), issued International Financial Reporting Standards, which include standards issued not only by the IASB but also by the IASC, some of which have been amended by the predecessor</w:t>
      </w:r>
      <w:r w:rsidRPr="009370C3">
        <w:rPr>
          <w:rStyle w:val="FootnoteReference"/>
          <w:rFonts w:ascii="Times New Roman" w:hAnsi="Times New Roman" w:cs="Times New Roman"/>
          <w:sz w:val="24"/>
          <w:szCs w:val="24"/>
          <w:lang w:val="en-GB"/>
        </w:rPr>
        <w:footnoteReference w:id="6"/>
      </w:r>
      <w:r w:rsidRPr="009370C3">
        <w:rPr>
          <w:rFonts w:ascii="Times New Roman" w:hAnsi="Times New Roman" w:cs="Times New Roman"/>
          <w:sz w:val="24"/>
          <w:szCs w:val="24"/>
          <w:lang w:val="en-GB"/>
        </w:rPr>
        <w:t>. The board of IASC formed the Standing Interpretations Committee (SIC) in 1997. It was founded with the objective of developing interpretations of International Accounting Standards (IASs) to be applied where the standards are silent or unclear.</w:t>
      </w:r>
      <w:r w:rsidR="006D004D">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The International Financial Reporting Interpretations Committee</w:t>
      </w:r>
      <w:r w:rsidRPr="009370C3">
        <w:rPr>
          <w:rFonts w:ascii="Times New Roman" w:hAnsi="Times New Roman" w:cs="Times New Roman"/>
          <w:color w:val="555555"/>
          <w:sz w:val="24"/>
          <w:szCs w:val="24"/>
          <w:lang w:val="en-GB"/>
        </w:rPr>
        <w:t xml:space="preserve"> </w:t>
      </w:r>
      <w:r w:rsidRPr="009370C3">
        <w:rPr>
          <w:rFonts w:ascii="Times New Roman" w:hAnsi="Times New Roman" w:cs="Times New Roman"/>
          <w:sz w:val="24"/>
          <w:szCs w:val="24"/>
          <w:lang w:val="en-GB"/>
        </w:rPr>
        <w:t xml:space="preserve">replaced the former Standing Interpretations Committee (SIC) in March 2002. IFRS enclose all standards and interpretations. </w:t>
      </w:r>
    </w:p>
    <w:p w:rsidR="00432023" w:rsidRPr="009370C3" w:rsidRDefault="00432023" w:rsidP="00432023">
      <w:pPr>
        <w:spacing w:line="360" w:lineRule="auto"/>
        <w:rPr>
          <w:rFonts w:ascii="Times New Roman" w:hAnsi="Times New Roman" w:cs="Times New Roman"/>
          <w:color w:val="FF0000"/>
          <w:sz w:val="24"/>
          <w:szCs w:val="24"/>
          <w:lang w:val="en-GB"/>
        </w:rPr>
      </w:pPr>
      <w:r w:rsidRPr="009370C3">
        <w:rPr>
          <w:rFonts w:ascii="Times New Roman" w:hAnsi="Times New Roman" w:cs="Times New Roman"/>
          <w:sz w:val="24"/>
          <w:szCs w:val="24"/>
          <w:lang w:val="en-GB"/>
        </w:rPr>
        <w:t>Countries with diverse national cultures equally applied the IFRS standards. In Europe countries with rules-based systems (Germany) as well as principles-based systems (the UK) have adopted IFRS. At the same time, a common-law country like the UK and code-law countries like Belgium and the Netherlands have also adopted these standards. This global acceptance of IFRS results from its principles-based nature as well as its openness and flexibility.</w:t>
      </w:r>
    </w:p>
    <w:p w:rsidR="00432023" w:rsidRPr="009370C3" w:rsidRDefault="00432023" w:rsidP="00D00E82">
      <w:pPr>
        <w:pStyle w:val="ListParagraph"/>
        <w:ind w:left="0"/>
        <w:rPr>
          <w:rFonts w:ascii="Calibri" w:hAnsi="Calibri"/>
          <w:lang w:val="en-GB"/>
        </w:rPr>
      </w:pPr>
      <w:r w:rsidRPr="009370C3">
        <w:rPr>
          <w:rFonts w:ascii="Calibri" w:hAnsi="Calibri"/>
          <w:lang w:val="en-GB"/>
        </w:rPr>
        <w:lastRenderedPageBreak/>
        <w:t>6.2</w:t>
      </w:r>
      <w:r w:rsidRPr="009370C3">
        <w:rPr>
          <w:rFonts w:ascii="Calibri" w:hAnsi="Calibri"/>
          <w:lang w:val="en-GB"/>
        </w:rPr>
        <w:tab/>
        <w:t xml:space="preserve"> </w:t>
      </w:r>
      <w:r w:rsidRPr="009370C3">
        <w:rPr>
          <w:rStyle w:val="Heading4Char"/>
          <w:rFonts w:ascii="Calibri" w:hAnsi="Calibri"/>
        </w:rPr>
        <w:t>Proponents vs. Opponents</w:t>
      </w:r>
    </w:p>
    <w:p w:rsidR="00432023" w:rsidRDefault="00432023" w:rsidP="00D00E82">
      <w:pPr>
        <w:spacing w:line="360" w:lineRule="auto"/>
        <w:contextualSpacing/>
        <w:rPr>
          <w:lang w:val="en-GB"/>
        </w:rPr>
      </w:pPr>
    </w:p>
    <w:p w:rsidR="00432023" w:rsidRPr="009370C3" w:rsidRDefault="00432023" w:rsidP="00D00E82">
      <w:pPr>
        <w:spacing w:line="360" w:lineRule="auto"/>
        <w:contextualSpacing/>
        <w:rPr>
          <w:rFonts w:ascii="Times New Roman" w:hAnsi="Times New Roman" w:cs="Times New Roman"/>
          <w:sz w:val="24"/>
          <w:szCs w:val="24"/>
          <w:lang w:val="en-GB"/>
        </w:rPr>
      </w:pPr>
      <w:r w:rsidRPr="009370C3">
        <w:rPr>
          <w:rFonts w:ascii="Times New Roman" w:hAnsi="Times New Roman" w:cs="Times New Roman"/>
          <w:sz w:val="24"/>
          <w:szCs w:val="24"/>
          <w:lang w:val="en-GB"/>
        </w:rPr>
        <w:t>Academics and practitioners have argued exhaustively about the actual benefits of mandatory adoption of new standards across countries. There are arguments which are in favour of IFRS adoption and back up the idea that IFRS would improve accounting quality. But there are also arguments to the contrary.</w:t>
      </w:r>
    </w:p>
    <w:p w:rsidR="00432023" w:rsidRPr="009370C3" w:rsidRDefault="00432023" w:rsidP="00432023">
      <w:pPr>
        <w:spacing w:line="360" w:lineRule="auto"/>
        <w:rPr>
          <w:rFonts w:ascii="Times New Roman" w:hAnsi="Times New Roman" w:cs="Times New Roman"/>
          <w:sz w:val="24"/>
          <w:szCs w:val="24"/>
          <w:lang w:val="en-GB"/>
        </w:rPr>
      </w:pP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As mentioned earlier, companies in the European Union are obliged to prepare their </w:t>
      </w:r>
      <w:r w:rsidR="0032729A">
        <w:rPr>
          <w:rFonts w:ascii="Times New Roman" w:hAnsi="Times New Roman" w:cs="Times New Roman"/>
          <w:sz w:val="24"/>
          <w:szCs w:val="24"/>
          <w:lang w:val="en-GB"/>
        </w:rPr>
        <w:t xml:space="preserve">consolidated </w:t>
      </w:r>
      <w:r w:rsidRPr="009370C3">
        <w:rPr>
          <w:rFonts w:ascii="Times New Roman" w:hAnsi="Times New Roman" w:cs="Times New Roman"/>
          <w:sz w:val="24"/>
          <w:szCs w:val="24"/>
          <w:lang w:val="en-GB"/>
        </w:rPr>
        <w:t>financial statements in accordance with IFRS starting January 1</w:t>
      </w:r>
      <w:r w:rsidRPr="009370C3">
        <w:rPr>
          <w:rFonts w:ascii="Times New Roman" w:hAnsi="Times New Roman" w:cs="Times New Roman"/>
          <w:sz w:val="24"/>
          <w:szCs w:val="24"/>
          <w:vertAlign w:val="superscript"/>
          <w:lang w:val="en-GB"/>
        </w:rPr>
        <w:t>st</w:t>
      </w:r>
      <w:r w:rsidRPr="009370C3">
        <w:rPr>
          <w:rFonts w:ascii="Times New Roman" w:hAnsi="Times New Roman" w:cs="Times New Roman"/>
          <w:sz w:val="24"/>
          <w:szCs w:val="24"/>
          <w:lang w:val="en-GB"/>
        </w:rPr>
        <w:t xml:space="preserve"> 2005. The European Commission had the following arguments for mandating one set of accounting rules across the entire EU (European Union 2002):</w:t>
      </w:r>
    </w:p>
    <w:p w:rsidR="00432023" w:rsidRPr="009370C3" w:rsidRDefault="00432023" w:rsidP="00432023">
      <w:pPr>
        <w:numPr>
          <w:ilvl w:val="0"/>
          <w:numId w:val="42"/>
        </w:numPr>
        <w:spacing w:after="0"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The establishment of a single set of internationally accepted high quality financial reporting standards (compared to the many different local standard in force). The key target of this harmonization is firms listed on financial markets.</w:t>
      </w:r>
    </w:p>
    <w:p w:rsidR="00432023" w:rsidRPr="009370C3" w:rsidRDefault="00432023" w:rsidP="00432023">
      <w:pPr>
        <w:numPr>
          <w:ilvl w:val="0"/>
          <w:numId w:val="42"/>
        </w:numPr>
        <w:spacing w:after="0"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To contribute “to the efficient and cost-effective functioning of the capital market”. The Commission’s goal is to protect investors, by maintaining (or increasing) confidence in the financial markets, which would then reduce the cost of capital for firms in the EU.</w:t>
      </w:r>
    </w:p>
    <w:p w:rsidR="00432023" w:rsidRPr="009370C3" w:rsidRDefault="00432023" w:rsidP="00432023">
      <w:pPr>
        <w:numPr>
          <w:ilvl w:val="0"/>
          <w:numId w:val="42"/>
        </w:numPr>
        <w:spacing w:after="0"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To increase the overall global competitiveness of firms within the EU and thereby improve the EU economy.</w:t>
      </w:r>
    </w:p>
    <w:p w:rsidR="00432023" w:rsidRPr="009370C3" w:rsidRDefault="00432023" w:rsidP="00432023">
      <w:pPr>
        <w:spacing w:line="360" w:lineRule="auto"/>
        <w:rPr>
          <w:rFonts w:ascii="Times New Roman" w:hAnsi="Times New Roman" w:cs="Times New Roman"/>
          <w:sz w:val="24"/>
          <w:szCs w:val="24"/>
          <w:lang w:val="en-GB"/>
        </w:rPr>
      </w:pP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Proponents of adopting IFRS argued that common standards will improve the comparability of financial statements of firms across different countries. This would result in more efficient competition between international funds. The proponents however, are basing these benefits on the assumption that mandatory use of IFRS increases transparency and reporting quality. Several studies show that this is not necessarily the case. Callao et al. (2007) investigated whether IFRS increased the usefulness of financial statement information in Spain. Their findings show that local comparability of financial statements has diminished after the adoption of IFRS. Their results also showed that the relevance of financial reporting did not improve after adopting IFRS. Even though there’s no significant short-term improvement, Callao et al. acknowledge that improved value may be gained in the medium to long-term. Ewert and Wagenhofer’s (2005) research </w:t>
      </w:r>
      <w:r w:rsidRPr="009370C3">
        <w:rPr>
          <w:rFonts w:ascii="Times New Roman" w:hAnsi="Times New Roman" w:cs="Times New Roman"/>
          <w:sz w:val="24"/>
          <w:szCs w:val="24"/>
          <w:lang w:val="en-GB"/>
        </w:rPr>
        <w:lastRenderedPageBreak/>
        <w:t>shows that tightened accounting standards increase the quality of earnings, but it also increases real and accounting earnings management.</w:t>
      </w:r>
      <w:r w:rsidR="00CE0506">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Panaanen and Lin (2009) found evidence which indicates that accounting quality has not improved but worsened after the mandatory adoption of IFRS in Europe.</w:t>
      </w: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Research by Hail and Leuz (200</w:t>
      </w:r>
      <w:r w:rsidR="00487B7A">
        <w:rPr>
          <w:rFonts w:ascii="Times New Roman" w:hAnsi="Times New Roman" w:cs="Times New Roman"/>
          <w:sz w:val="24"/>
          <w:szCs w:val="24"/>
          <w:lang w:val="en-GB"/>
        </w:rPr>
        <w:t>6</w:t>
      </w:r>
      <w:r w:rsidRPr="009370C3">
        <w:rPr>
          <w:rFonts w:ascii="Times New Roman" w:hAnsi="Times New Roman" w:cs="Times New Roman"/>
          <w:sz w:val="24"/>
          <w:szCs w:val="24"/>
          <w:lang w:val="en-GB"/>
        </w:rPr>
        <w:t>) showed that the documented benefits of first-time voluntary adopters were short-lived; it is possible that these benefits can be enjoyed for a short period of time for first-time mandatory adopters as well.</w:t>
      </w:r>
    </w:p>
    <w:p w:rsidR="00432023" w:rsidRPr="009370C3" w:rsidRDefault="00432023" w:rsidP="00432023">
      <w:pPr>
        <w:autoSpaceDE w:val="0"/>
        <w:autoSpaceDN w:val="0"/>
        <w:adjustRightInd w:val="0"/>
        <w:spacing w:line="360" w:lineRule="auto"/>
        <w:rPr>
          <w:rFonts w:ascii="Times New Roman" w:hAnsi="Times New Roman" w:cs="Times New Roman"/>
          <w:sz w:val="24"/>
          <w:szCs w:val="24"/>
        </w:rPr>
      </w:pPr>
      <w:r w:rsidRPr="009370C3">
        <w:rPr>
          <w:rFonts w:ascii="Times New Roman" w:hAnsi="Times New Roman" w:cs="Times New Roman"/>
          <w:sz w:val="24"/>
          <w:szCs w:val="24"/>
          <w:lang w:val="en-GB"/>
        </w:rPr>
        <w:t xml:space="preserve">Proponents who argue that IFRS adoption will increase </w:t>
      </w:r>
      <w:r w:rsidRPr="009370C3">
        <w:rPr>
          <w:rFonts w:ascii="Times New Roman" w:hAnsi="Times New Roman" w:cs="Times New Roman"/>
          <w:i/>
          <w:sz w:val="24"/>
          <w:szCs w:val="24"/>
          <w:lang w:val="en-GB"/>
        </w:rPr>
        <w:t xml:space="preserve">transparency </w:t>
      </w:r>
      <w:r w:rsidRPr="009370C3">
        <w:rPr>
          <w:rFonts w:ascii="Times New Roman" w:hAnsi="Times New Roman" w:cs="Times New Roman"/>
          <w:sz w:val="24"/>
          <w:szCs w:val="24"/>
          <w:lang w:val="en-GB"/>
        </w:rPr>
        <w:t xml:space="preserve">say so because IFRS reduce the amount of reporting discretion relative to many local GAAP and, in particular, push firms to improve their financial reporting (Jeanjean and Stolowy 2008). As mentioned above, Ewert and Wagenhofer 2005 found evidence to support this argument. </w:t>
      </w:r>
      <w:r w:rsidRPr="009370C3">
        <w:rPr>
          <w:rFonts w:ascii="Times New Roman" w:hAnsi="Times New Roman" w:cs="Times New Roman"/>
          <w:sz w:val="24"/>
          <w:szCs w:val="24"/>
        </w:rPr>
        <w:t>Daske et al. (2008) found evidence that market liquidity increases around the time of the introduction of IFRS and that firms’ cost of capital decreases.</w:t>
      </w: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iCs/>
          <w:sz w:val="24"/>
          <w:szCs w:val="24"/>
        </w:rPr>
        <w:t>They also discovered that only</w:t>
      </w:r>
      <w:r w:rsidRPr="009370C3">
        <w:rPr>
          <w:rFonts w:ascii="Times New Roman" w:hAnsi="Times New Roman" w:cs="Times New Roman"/>
          <w:sz w:val="24"/>
          <w:szCs w:val="24"/>
        </w:rPr>
        <w:t xml:space="preserve"> in countries where firms have incentives to be transparent and where there is a strong legal enforcement, the capital-market benefits occur. </w:t>
      </w: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Reducing the reporting discretion however, can restrain firms from making information public through their financial statements (Watts and Zimmerman 1986). Another argument of opponents is that a single set of standards might not represent the different national institutional settings and traditions. This is the main reason why different accounting standards emanated in the first place. </w:t>
      </w:r>
    </w:p>
    <w:p w:rsidR="0043202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Another frequently used argument by proponents is the increased </w:t>
      </w:r>
      <w:r w:rsidRPr="009370C3">
        <w:rPr>
          <w:rFonts w:ascii="Times New Roman" w:hAnsi="Times New Roman" w:cs="Times New Roman"/>
          <w:i/>
          <w:sz w:val="24"/>
          <w:szCs w:val="24"/>
          <w:lang w:val="en-GB"/>
        </w:rPr>
        <w:t>comparability</w:t>
      </w:r>
      <w:r w:rsidRPr="009370C3">
        <w:rPr>
          <w:rFonts w:ascii="Times New Roman" w:hAnsi="Times New Roman" w:cs="Times New Roman"/>
          <w:sz w:val="24"/>
          <w:szCs w:val="24"/>
          <w:lang w:val="en-GB"/>
        </w:rPr>
        <w:t xml:space="preserve"> of financial statements after adoption of IFRS. This assumption is based on the notion that IFRS reporting will decrease costs for investors to compare firms across markets and countries (Armstrong et al. 200</w:t>
      </w:r>
      <w:r w:rsidR="00F222D9">
        <w:rPr>
          <w:rFonts w:ascii="Times New Roman" w:hAnsi="Times New Roman" w:cs="Times New Roman"/>
          <w:sz w:val="24"/>
          <w:szCs w:val="24"/>
          <w:lang w:val="en-GB"/>
        </w:rPr>
        <w:t>6</w:t>
      </w:r>
      <w:r w:rsidRPr="009370C3">
        <w:rPr>
          <w:rFonts w:ascii="Times New Roman" w:hAnsi="Times New Roman" w:cs="Times New Roman"/>
          <w:sz w:val="24"/>
          <w:szCs w:val="24"/>
          <w:lang w:val="en-GB"/>
        </w:rPr>
        <w:t xml:space="preserve">). So, common use of IFRS would enable investors to differentiate between lower and higher quality firms. The ease of comparison persuades managers to reduce earnings management. Having common standards could facilitate cross-border investment and the integration of capital markets (Jeanjean and Stolowy 2008). As a result of this, firms’ investor base could be expanded (Merton 1987). Opponents are doubtful about the notion that IFRS alone is sufficient in improving informativeness or comparability. As long as firms have different reporting incentives, reporting behaviour is expected to differ (Leuz and Oberholzer-Gee 2006, Ball et al. </w:t>
      </w:r>
      <w:r w:rsidRPr="009370C3">
        <w:rPr>
          <w:rFonts w:ascii="Times New Roman" w:hAnsi="Times New Roman" w:cs="Times New Roman"/>
          <w:sz w:val="24"/>
          <w:szCs w:val="24"/>
          <w:lang w:val="en-GB"/>
        </w:rPr>
        <w:lastRenderedPageBreak/>
        <w:t xml:space="preserve">2003). The application of accounting standards involves considerable judgement and the use of private information. Consequently, IFRS provide firms with substantial discretion, just like any other set of accounting standards. To what extent managers make use of this discretion depends on firm-specific characteristics (reporting incentives and operating characteristics), and countries’ legal institutions. Countries’ legal institutions take in a primary role in explaining accounting quality after IFRS adoption. Strict enforcement regimes and institutional structures provide strong incentives for high-quality financial reports after the introduction of IFRS reporting (Jeanjean and Stolowy 2008).  </w:t>
      </w:r>
    </w:p>
    <w:p w:rsidR="00EB7EBB" w:rsidRDefault="00EB7EBB" w:rsidP="00432023">
      <w:pPr>
        <w:spacing w:line="360" w:lineRule="auto"/>
        <w:rPr>
          <w:lang w:val="en-GB"/>
        </w:rPr>
      </w:pPr>
    </w:p>
    <w:p w:rsidR="00432023" w:rsidRPr="009370C3" w:rsidRDefault="00432023" w:rsidP="00432023">
      <w:pPr>
        <w:pStyle w:val="ListParagraph"/>
        <w:numPr>
          <w:ilvl w:val="1"/>
          <w:numId w:val="43"/>
        </w:numPr>
        <w:rPr>
          <w:rStyle w:val="Heading4Char"/>
          <w:rFonts w:ascii="Calibri" w:hAnsi="Calibri"/>
          <w:smallCaps w:val="0"/>
          <w:lang w:val="en-GB"/>
        </w:rPr>
      </w:pPr>
      <w:bookmarkStart w:id="38" w:name="_Toc268669740"/>
      <w:r w:rsidRPr="009370C3">
        <w:rPr>
          <w:rStyle w:val="Heading4Char"/>
          <w:rFonts w:ascii="Calibri" w:hAnsi="Calibri"/>
        </w:rPr>
        <w:t>Common-law vs. Code-law</w:t>
      </w:r>
      <w:bookmarkEnd w:id="38"/>
      <w:r w:rsidRPr="009370C3">
        <w:rPr>
          <w:rStyle w:val="Heading4Char"/>
          <w:rFonts w:ascii="Calibri" w:hAnsi="Calibri"/>
        </w:rPr>
        <w:t xml:space="preserve"> </w:t>
      </w:r>
    </w:p>
    <w:p w:rsidR="00432023" w:rsidRPr="009370C3" w:rsidRDefault="00432023" w:rsidP="00432023">
      <w:pPr>
        <w:pStyle w:val="ListParagraph"/>
        <w:ind w:left="0"/>
        <w:rPr>
          <w:rFonts w:ascii="Calibri" w:hAnsi="Calibri"/>
          <w:lang w:val="en-GB"/>
        </w:rPr>
      </w:pPr>
    </w:p>
    <w:p w:rsidR="00432023" w:rsidRPr="009370C3" w:rsidRDefault="00432023" w:rsidP="0043202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Historically, legal systems, combined with other political and economical differences, created much diversity within accounting systems. As a result meaningful comparison of financial reports across borders was difficult. Europe is the origin of many legal systems: English, German, French and Scandinavian, and thus, prior to harmonization, there were extremely diverse, country-specific accounting systems</w:t>
      </w:r>
      <w:r w:rsidR="00CE0506">
        <w:rPr>
          <w:rFonts w:ascii="Times New Roman" w:hAnsi="Times New Roman" w:cs="Times New Roman"/>
          <w:sz w:val="24"/>
          <w:szCs w:val="24"/>
          <w:lang w:val="en-GB"/>
        </w:rPr>
        <w:t xml:space="preserve"> (Soderstrom and Sun, 2007)</w:t>
      </w:r>
      <w:r w:rsidRPr="009370C3">
        <w:rPr>
          <w:rFonts w:ascii="Times New Roman" w:hAnsi="Times New Roman" w:cs="Times New Roman"/>
          <w:sz w:val="24"/>
          <w:szCs w:val="24"/>
          <w:lang w:val="en-GB"/>
        </w:rPr>
        <w:t>.</w:t>
      </w:r>
    </w:p>
    <w:p w:rsidR="00432023" w:rsidRPr="009370C3" w:rsidRDefault="00432023" w:rsidP="0043202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Rules differ systematically by legal origin, which can be English, French, German, or Scandinavian. English law is common-law, made by judges and subsequently incorporated into legislature. French, German, and Scandinavian laws, however, are part of the scholar and legislator-made civil-law tradition (La</w:t>
      </w:r>
      <w:r w:rsidR="00200E9F">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Porta et al. 1997). Legal rules from the several traditions differ in content as w</w:t>
      </w:r>
      <w:r w:rsidR="00F83E32">
        <w:rPr>
          <w:rFonts w:ascii="Times New Roman" w:hAnsi="Times New Roman" w:cs="Times New Roman"/>
          <w:sz w:val="24"/>
          <w:szCs w:val="24"/>
          <w:lang w:val="en-GB"/>
        </w:rPr>
        <w:t xml:space="preserve">ell as in the history of their </w:t>
      </w:r>
      <w:r w:rsidRPr="009370C3">
        <w:rPr>
          <w:rFonts w:ascii="Times New Roman" w:hAnsi="Times New Roman" w:cs="Times New Roman"/>
          <w:sz w:val="24"/>
          <w:szCs w:val="24"/>
          <w:lang w:val="en-GB"/>
        </w:rPr>
        <w:t>adoption. In the protection against expropriation by insiders, common-law countries protect both shareholders and creditors the most, French civil-law countries the least, and German civil-law and Scandinavian civil-law countries somewhere in the middle.</w:t>
      </w:r>
    </w:p>
    <w:p w:rsidR="00432023" w:rsidRPr="009370C3" w:rsidRDefault="00432023" w:rsidP="00432023">
      <w:pPr>
        <w:autoSpaceDE w:val="0"/>
        <w:autoSpaceDN w:val="0"/>
        <w:adjustRightInd w:val="0"/>
        <w:spacing w:line="360" w:lineRule="auto"/>
        <w:rPr>
          <w:rFonts w:ascii="Times New Roman" w:hAnsi="Times New Roman" w:cs="Times New Roman"/>
          <w:color w:val="231F20"/>
          <w:sz w:val="24"/>
          <w:szCs w:val="24"/>
          <w:lang w:val="en-GB"/>
        </w:rPr>
      </w:pPr>
      <w:r w:rsidRPr="009370C3">
        <w:rPr>
          <w:rFonts w:ascii="Times New Roman" w:hAnsi="Times New Roman" w:cs="Times New Roman"/>
          <w:sz w:val="24"/>
          <w:szCs w:val="24"/>
          <w:lang w:val="en-GB"/>
        </w:rPr>
        <w:t>Common-law arises from individual action in the private sector (Ball et al. 2000). Legal rules in the common-law system are usually made by judges, based on precedents and inspired by general principles such as fairness (La</w:t>
      </w:r>
      <w:r w:rsidR="00200E9F">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Porta et al. 2002, p.1158; La</w:t>
      </w:r>
      <w:r w:rsidR="00200E9F">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 xml:space="preserve">Porta et al. 2000, p.9). Judges are expected to rule on new situations by applying these general principles even when specific conduct has not yet been described or prohibited in the statutes. </w:t>
      </w:r>
      <w:r w:rsidRPr="009370C3">
        <w:rPr>
          <w:rFonts w:ascii="Times New Roman" w:hAnsi="Times New Roman" w:cs="Times New Roman"/>
          <w:color w:val="231F20"/>
          <w:sz w:val="24"/>
          <w:szCs w:val="24"/>
          <w:lang w:val="en-GB"/>
        </w:rPr>
        <w:t>Accounting standards in common-law countries are mostly set by private organizations such as the FASB in the United States. The purpose of these standard setters is to satisfy investor needs for information (Soderstrom and Sun 2007).</w:t>
      </w:r>
    </w:p>
    <w:p w:rsidR="00432023" w:rsidRPr="009370C3" w:rsidRDefault="00432023" w:rsidP="0043202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lastRenderedPageBreak/>
        <w:t>While common-law systems allow for individual judgement, laws in code-law systems are made by legislatures; it</w:t>
      </w:r>
      <w:r w:rsidRPr="009370C3">
        <w:rPr>
          <w:rFonts w:ascii="Times New Roman" w:hAnsi="Times New Roman" w:cs="Times New Roman"/>
          <w:color w:val="231F20"/>
          <w:sz w:val="24"/>
          <w:szCs w:val="24"/>
          <w:lang w:val="en-GB"/>
        </w:rPr>
        <w:t xml:space="preserve"> allows governments to control setting and interpretation of laws. Accounting standards in these countries are a part of commercial </w:t>
      </w:r>
      <w:r w:rsidRPr="009370C3">
        <w:rPr>
          <w:rFonts w:ascii="Times New Roman" w:hAnsi="Times New Roman" w:cs="Times New Roman"/>
          <w:sz w:val="24"/>
          <w:szCs w:val="24"/>
          <w:lang w:val="en-GB"/>
        </w:rPr>
        <w:t>law instituted by courts and are therefore primarily influenced by governmental priorities. In code-law countries judges are not supposed to go beyond the statutes and apply fairness opinions (La</w:t>
      </w:r>
      <w:r w:rsidR="00200E9F">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Porta et al. 2002).</w:t>
      </w:r>
    </w:p>
    <w:p w:rsidR="00432023" w:rsidRPr="009370C3" w:rsidRDefault="00432023" w:rsidP="0043202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So when a corporate insider finds a loophole in the statutes which allows him to expropriate outside investors can do so without fear of an adverse judicial ruling.</w:t>
      </w:r>
    </w:p>
    <w:p w:rsidR="002867B3" w:rsidRDefault="00432023" w:rsidP="002867B3">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Common-law countries have the strongest protection of outside investors, which includes shareholders as well as creditors (La</w:t>
      </w:r>
      <w:r w:rsidR="00200E9F">
        <w:rPr>
          <w:rFonts w:ascii="Times New Roman" w:hAnsi="Times New Roman" w:cs="Times New Roman"/>
          <w:sz w:val="24"/>
          <w:szCs w:val="24"/>
          <w:lang w:val="en-GB"/>
        </w:rPr>
        <w:t xml:space="preserve"> </w:t>
      </w:r>
      <w:r w:rsidRPr="009370C3">
        <w:rPr>
          <w:rFonts w:ascii="Times New Roman" w:hAnsi="Times New Roman" w:cs="Times New Roman"/>
          <w:sz w:val="24"/>
          <w:szCs w:val="24"/>
          <w:lang w:val="en-GB"/>
        </w:rPr>
        <w:t xml:space="preserve">Porta et al. 2000). Previous research provides evidence that the magnitude of earnings management is on average higher in code-law countries with low investor protection rights, compared to common-law countries with high investor protection rights (Leuz et al., 2003). </w:t>
      </w:r>
    </w:p>
    <w:p w:rsidR="002867B3" w:rsidRDefault="002867B3" w:rsidP="002867B3">
      <w:pPr>
        <w:autoSpaceDE w:val="0"/>
        <w:autoSpaceDN w:val="0"/>
        <w:adjustRightInd w:val="0"/>
        <w:spacing w:line="360" w:lineRule="auto"/>
        <w:rPr>
          <w:rFonts w:ascii="Times New Roman" w:hAnsi="Times New Roman" w:cs="Times New Roman"/>
          <w:sz w:val="24"/>
          <w:szCs w:val="24"/>
          <w:lang w:val="en-GB"/>
        </w:rPr>
      </w:pPr>
    </w:p>
    <w:p w:rsidR="00432023" w:rsidRPr="009370C3" w:rsidRDefault="00432023" w:rsidP="002867B3">
      <w:pPr>
        <w:autoSpaceDE w:val="0"/>
        <w:autoSpaceDN w:val="0"/>
        <w:adjustRightInd w:val="0"/>
        <w:spacing w:line="360" w:lineRule="auto"/>
        <w:rPr>
          <w:rFonts w:ascii="Calibri" w:hAnsi="Calibri"/>
          <w:lang w:val="en-GB"/>
        </w:rPr>
      </w:pPr>
      <w:r w:rsidRPr="009370C3">
        <w:rPr>
          <w:rFonts w:ascii="Calibri" w:hAnsi="Calibri"/>
          <w:lang w:val="en-GB"/>
        </w:rPr>
        <w:t>6.4</w:t>
      </w:r>
      <w:r w:rsidRPr="009370C3">
        <w:rPr>
          <w:rFonts w:ascii="Calibri" w:hAnsi="Calibri"/>
          <w:lang w:val="en-GB"/>
        </w:rPr>
        <w:tab/>
        <w:t xml:space="preserve"> </w:t>
      </w:r>
      <w:r w:rsidRPr="009370C3">
        <w:rPr>
          <w:rStyle w:val="Heading4Char"/>
          <w:rFonts w:ascii="Calibri" w:hAnsi="Calibri"/>
        </w:rPr>
        <w:t>Previous Studies</w:t>
      </w:r>
    </w:p>
    <w:p w:rsidR="00432023" w:rsidRPr="006740B0" w:rsidRDefault="00432023" w:rsidP="006740B0">
      <w:pPr>
        <w:pStyle w:val="Heading4"/>
        <w:spacing w:line="360" w:lineRule="auto"/>
        <w:rPr>
          <w:rFonts w:ascii="Calibri" w:hAnsi="Calibri"/>
          <w:u w:val="single"/>
          <w:lang w:val="en-GB"/>
        </w:rPr>
      </w:pPr>
      <w:bookmarkStart w:id="39" w:name="_Toc268669741"/>
      <w:r w:rsidRPr="006740B0">
        <w:rPr>
          <w:rFonts w:ascii="Calibri" w:hAnsi="Calibri"/>
          <w:u w:val="single"/>
          <w:lang w:val="en-GB"/>
        </w:rPr>
        <w:t>Barth, Landsman and Lang (2008)</w:t>
      </w:r>
      <w:bookmarkEnd w:id="39"/>
    </w:p>
    <w:p w:rsidR="00432023" w:rsidRPr="009370C3" w:rsidRDefault="00432023" w:rsidP="006740B0">
      <w:pPr>
        <w:spacing w:line="360" w:lineRule="auto"/>
        <w:contextualSpacing/>
        <w:rPr>
          <w:rFonts w:ascii="Times New Roman" w:hAnsi="Times New Roman" w:cs="Times New Roman"/>
          <w:sz w:val="24"/>
          <w:szCs w:val="24"/>
          <w:lang w:val="en-GB"/>
        </w:rPr>
      </w:pPr>
      <w:r w:rsidRPr="009370C3">
        <w:rPr>
          <w:rFonts w:ascii="Times New Roman" w:hAnsi="Times New Roman" w:cs="Times New Roman"/>
          <w:sz w:val="24"/>
          <w:szCs w:val="24"/>
          <w:lang w:val="en-GB"/>
        </w:rPr>
        <w:t>These researchers examined the accounting quality before and after the introduction of IFRS for a sample of 327 firms that voluntarily adopted IAS between 1994 and 2003. According to Barth et al. (2008) improvement of accounting quality is possible if the standard setters succeed in limiting management’s opportunistic discretion in determining accounting amounts by removing allowable accounting alternatives. More stringent enforcement could also lead to an increase of accounting quality. They do acknowledge however, that there are two limitations to their assumption that financial statements based on IAS are of higher quality than those based on domestic standards. The first one is that the domestic standards may be of higher quality than IAS. Secondly, weak enforcement of standards could lead to lower quality. Their evidence showed that firms which adopted IAS engaged less in earnings management compared to the pre-adoption period. They also found evidence showing more timely loss recognition and more value relevance of accounting amounts. Barth et al. (2008) suggested that their findings could party be attributed to differences in firms’ incentives as well as the varying economic environments of the sample firms.</w:t>
      </w: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lastRenderedPageBreak/>
        <w:t>Barth et al. (2008) included in their sample firms which voluntarily adopted IFRS (this was possible in some countries such as Germany). Therefore their study suffers from a sample selection bias, because only firms which saw an advantage in the adoption of IFRS would actually adopt it voluntarily. Van Tendeloo and Vanstraelen (2005) investigated whether firms in Germany that voluntary adopted IFRS showed lower earnings management. Their results indicated that there is no difference in earnings management behaviour of IFRS-adopters and companies reporting under German GAAP. This research, like the study by Barth et al. (2008), suffers from a sample bias.</w:t>
      </w:r>
    </w:p>
    <w:p w:rsidR="00432023" w:rsidRPr="006740B0" w:rsidRDefault="00432023" w:rsidP="006740B0">
      <w:pPr>
        <w:pStyle w:val="Heading4"/>
        <w:spacing w:line="360" w:lineRule="auto"/>
        <w:rPr>
          <w:rFonts w:ascii="Calibri" w:hAnsi="Calibri"/>
          <w:u w:val="single"/>
          <w:lang w:val="en-GB"/>
        </w:rPr>
      </w:pPr>
      <w:bookmarkStart w:id="40" w:name="_Toc268669742"/>
      <w:r w:rsidRPr="006740B0">
        <w:rPr>
          <w:rFonts w:ascii="Calibri" w:hAnsi="Calibri"/>
          <w:u w:val="single"/>
          <w:lang w:val="en-GB"/>
        </w:rPr>
        <w:t>Jeanjean and Stolowy (2008)</w:t>
      </w:r>
      <w:bookmarkEnd w:id="40"/>
    </w:p>
    <w:p w:rsidR="00432023" w:rsidRPr="009370C3" w:rsidRDefault="00432023" w:rsidP="006740B0">
      <w:pPr>
        <w:autoSpaceDE w:val="0"/>
        <w:autoSpaceDN w:val="0"/>
        <w:adjustRightInd w:val="0"/>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Contrary </w:t>
      </w:r>
      <w:r w:rsidR="007E4862">
        <w:rPr>
          <w:rFonts w:ascii="Times New Roman" w:hAnsi="Times New Roman" w:cs="Times New Roman"/>
          <w:sz w:val="24"/>
          <w:szCs w:val="24"/>
          <w:lang w:val="en-GB"/>
        </w:rPr>
        <w:t>to the earlier discussed study</w:t>
      </w:r>
      <w:r w:rsidRPr="009370C3">
        <w:rPr>
          <w:rFonts w:ascii="Times New Roman" w:hAnsi="Times New Roman" w:cs="Times New Roman"/>
          <w:sz w:val="24"/>
          <w:szCs w:val="24"/>
          <w:lang w:val="en-GB"/>
        </w:rPr>
        <w:t xml:space="preserve"> by Barth et al. (2008), Jeanjean and Stolowy (2008) did research on the effect of the mandatory introduction of IFRS standards on accounting quality. They specifically looked at earnings management. These researchers employed the Burgstahler and Dichev (1997) methodology.  So irregularities in distributions will be an indication of earnings management. This is one of the caveats of their paper, but according to them using another model was not an option because adoption of IFRS was at the moment of their research too recent to provide enough data for researchers. Australia, France and the UK were included in their study, because all three countries first adopted IFRS in 2005. Australia however is a non-European common-law country, whereas France is a code-law European country and the UK a common-law European country. Their evidence showed that after the transition to IFRS, the pervasiveness of earnings management increased in France (code-law) and remained stable in the UK (common-law) and Australia (common-law). Concluding, the evidence shows that sharing rules is not a sufficient condition to create a common reporting language. Management incentives and national institutional factors play a key role in setting financial reporting standards. This conclusion overlaps with the argument by Ball et al. (2003) that the adoption of a common set of standards is a necessary condition for high quality information, but not necessarily a sufficient one.</w:t>
      </w:r>
    </w:p>
    <w:p w:rsidR="00432023" w:rsidRDefault="00432023" w:rsidP="00432023">
      <w:pPr>
        <w:spacing w:line="360" w:lineRule="auto"/>
        <w:rPr>
          <w:lang w:val="en-GB"/>
        </w:rPr>
      </w:pPr>
    </w:p>
    <w:p w:rsidR="00432023" w:rsidRPr="009370C3" w:rsidRDefault="00432023" w:rsidP="00432023">
      <w:pPr>
        <w:pStyle w:val="ListParagraph"/>
        <w:ind w:left="0"/>
        <w:rPr>
          <w:rStyle w:val="Heading4Char"/>
          <w:rFonts w:ascii="Calibri" w:hAnsi="Calibri"/>
        </w:rPr>
      </w:pPr>
      <w:r w:rsidRPr="009370C3">
        <w:rPr>
          <w:rFonts w:ascii="Calibri" w:hAnsi="Calibri"/>
          <w:lang w:val="en-GB"/>
        </w:rPr>
        <w:t>6.5</w:t>
      </w:r>
      <w:r w:rsidRPr="009370C3">
        <w:rPr>
          <w:rFonts w:ascii="Calibri" w:hAnsi="Calibri"/>
          <w:lang w:val="en-GB"/>
        </w:rPr>
        <w:tab/>
        <w:t xml:space="preserve"> </w:t>
      </w:r>
      <w:r w:rsidRPr="009370C3">
        <w:rPr>
          <w:rStyle w:val="Heading4Char"/>
          <w:rFonts w:ascii="Calibri" w:hAnsi="Calibri"/>
        </w:rPr>
        <w:t>Summary</w:t>
      </w:r>
    </w:p>
    <w:p w:rsidR="00432023" w:rsidRPr="003A3E07" w:rsidRDefault="00432023" w:rsidP="00432023">
      <w:pPr>
        <w:pStyle w:val="ListParagraph"/>
        <w:ind w:left="0"/>
        <w:rPr>
          <w:lang w:val="en-GB"/>
        </w:rPr>
      </w:pP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This chapter discussed the adoption of IFRS in order to harmonize the global accounting practices. More than 100 countries have agreed to either allow or require companies to </w:t>
      </w:r>
      <w:r w:rsidRPr="009370C3">
        <w:rPr>
          <w:rFonts w:ascii="Times New Roman" w:hAnsi="Times New Roman" w:cs="Times New Roman"/>
          <w:sz w:val="24"/>
          <w:szCs w:val="24"/>
          <w:lang w:val="en-GB"/>
        </w:rPr>
        <w:lastRenderedPageBreak/>
        <w:t>prepare their financial statements in accordance with IFRS. Even though many practitioners and regulators expect that the adoption of these standards will lead to increased comparability and transparency of financial statements, there are experts who are doubtful. Several studies have attempted to research the effect, but there is no unanimous outcome. There are however expectations that in the long-run the effects will be more valuable.</w:t>
      </w:r>
    </w:p>
    <w:p w:rsidR="00432023" w:rsidRPr="009370C3" w:rsidRDefault="00432023" w:rsidP="00432023">
      <w:pPr>
        <w:spacing w:line="360" w:lineRule="auto"/>
        <w:rPr>
          <w:rFonts w:ascii="Times New Roman" w:hAnsi="Times New Roman" w:cs="Times New Roman"/>
          <w:sz w:val="24"/>
          <w:szCs w:val="24"/>
          <w:lang w:val="en-GB"/>
        </w:rPr>
      </w:pPr>
      <w:r w:rsidRPr="009370C3">
        <w:rPr>
          <w:rFonts w:ascii="Times New Roman" w:hAnsi="Times New Roman" w:cs="Times New Roman"/>
          <w:sz w:val="24"/>
          <w:szCs w:val="24"/>
          <w:lang w:val="en-GB"/>
        </w:rPr>
        <w:t xml:space="preserve">From the results of previous studies one can conclude that in order to conduct proper research on the link between IFRS adoption and earnings management the legal tradition of countries must be taken into account. Jeanjean and Stolowy (2008) detected an increase in earnings management in France, a code-law country. </w:t>
      </w:r>
      <w:r w:rsidRPr="009370C3">
        <w:rPr>
          <w:rFonts w:ascii="Times New Roman" w:hAnsi="Times New Roman" w:cs="Times New Roman"/>
          <w:sz w:val="24"/>
          <w:szCs w:val="24"/>
        </w:rPr>
        <w:t>La Porta et al. (1998), who were the first to conduct research on the legal system’s effect on a country’s financial system, found that common-law countries have better accounting systems and better protection of investors than code-law countries. Mandatory or voluntary adoption can also influence the outcome of IFRS adoption. Barth et al. (2008) did research on voluntary adoption of IFRS in Germany and found that earnings management decreased. This is in clear contrast to the results from Jeanjean and Stolowy, who conducted research on the mandatory adoption of IFRS. The difference between the results can be caused by firms’ incentives; it is likely that only firms which saw an advantage in the IFRS adopted it voluntarily (Leuz and Verrechia 2000).</w:t>
      </w:r>
    </w:p>
    <w:p w:rsidR="00432023" w:rsidRPr="009370C3" w:rsidRDefault="00432023" w:rsidP="00432023">
      <w:pPr>
        <w:spacing w:line="360" w:lineRule="auto"/>
        <w:rPr>
          <w:rFonts w:ascii="Times New Roman" w:hAnsi="Times New Roman" w:cs="Times New Roman"/>
          <w:sz w:val="24"/>
          <w:szCs w:val="24"/>
          <w:lang w:val="en-GB"/>
        </w:rPr>
      </w:pPr>
    </w:p>
    <w:p w:rsidR="00432023" w:rsidRDefault="00432023" w:rsidP="00432023">
      <w:pPr>
        <w:spacing w:line="360" w:lineRule="auto"/>
        <w:rPr>
          <w:lang w:val="en-GB"/>
        </w:rPr>
      </w:pPr>
    </w:p>
    <w:p w:rsidR="00432023" w:rsidRDefault="00432023" w:rsidP="00432023">
      <w:pPr>
        <w:spacing w:line="360" w:lineRule="auto"/>
        <w:rPr>
          <w:lang w:val="en-GB"/>
        </w:rPr>
      </w:pPr>
    </w:p>
    <w:p w:rsidR="00432023" w:rsidRDefault="00432023" w:rsidP="00432023">
      <w:pPr>
        <w:spacing w:line="360" w:lineRule="auto"/>
        <w:rPr>
          <w:lang w:val="en-GB"/>
        </w:rPr>
      </w:pPr>
    </w:p>
    <w:p w:rsidR="00432023" w:rsidRDefault="00432023" w:rsidP="00432023">
      <w:pPr>
        <w:spacing w:line="360" w:lineRule="auto"/>
        <w:rPr>
          <w:lang w:val="en-GB"/>
        </w:rPr>
      </w:pPr>
    </w:p>
    <w:p w:rsidR="00432023" w:rsidRDefault="00432023" w:rsidP="00432023">
      <w:pPr>
        <w:spacing w:line="360" w:lineRule="auto"/>
        <w:rPr>
          <w:lang w:val="en-GB"/>
        </w:rPr>
      </w:pPr>
    </w:p>
    <w:p w:rsidR="00432023" w:rsidRDefault="00432023" w:rsidP="00432023">
      <w:pPr>
        <w:spacing w:line="360" w:lineRule="auto"/>
        <w:rPr>
          <w:lang w:val="en-GB"/>
        </w:rPr>
      </w:pPr>
    </w:p>
    <w:p w:rsidR="00432023" w:rsidRPr="00A24096" w:rsidRDefault="00432023" w:rsidP="00432023">
      <w:pPr>
        <w:spacing w:line="360" w:lineRule="auto"/>
        <w:rPr>
          <w:lang w:val="en-GB"/>
        </w:rPr>
      </w:pPr>
    </w:p>
    <w:p w:rsidR="00432023" w:rsidRDefault="00432023" w:rsidP="00432023">
      <w:pPr>
        <w:pStyle w:val="Heading4"/>
        <w:spacing w:line="360" w:lineRule="auto"/>
        <w:contextualSpacing/>
      </w:pPr>
    </w:p>
    <w:p w:rsidR="00432023" w:rsidRDefault="00432023" w:rsidP="00432023">
      <w:pPr>
        <w:pStyle w:val="Heading4"/>
        <w:spacing w:line="360" w:lineRule="auto"/>
        <w:contextualSpacing/>
      </w:pPr>
    </w:p>
    <w:p w:rsidR="00432023" w:rsidRDefault="00432023" w:rsidP="00432023">
      <w:pPr>
        <w:pStyle w:val="Heading4"/>
        <w:spacing w:line="360" w:lineRule="auto"/>
        <w:contextualSpacing/>
      </w:pPr>
    </w:p>
    <w:p w:rsidR="00432023" w:rsidRPr="0046135F" w:rsidRDefault="00432023" w:rsidP="00432023">
      <w:pPr>
        <w:pStyle w:val="Heading4"/>
        <w:spacing w:line="360" w:lineRule="auto"/>
        <w:contextualSpacing/>
        <w:rPr>
          <w:rFonts w:ascii="Calibri" w:hAnsi="Calibri"/>
        </w:rPr>
      </w:pPr>
      <w:bookmarkStart w:id="41" w:name="_Toc268669743"/>
      <w:r w:rsidRPr="0046135F">
        <w:rPr>
          <w:rFonts w:ascii="Calibri" w:hAnsi="Calibri"/>
        </w:rPr>
        <w:lastRenderedPageBreak/>
        <w:t>7</w:t>
      </w:r>
      <w:r w:rsidRPr="0046135F">
        <w:rPr>
          <w:rFonts w:ascii="Calibri" w:hAnsi="Calibri"/>
        </w:rPr>
        <w:tab/>
        <w:t>Studies on Earnings Management and Investor Protection</w:t>
      </w:r>
      <w:bookmarkEnd w:id="37"/>
      <w:bookmarkEnd w:id="41"/>
    </w:p>
    <w:p w:rsidR="00432023" w:rsidRPr="0046135F" w:rsidRDefault="00432023" w:rsidP="00D00E82">
      <w:pPr>
        <w:pStyle w:val="Heading4"/>
        <w:spacing w:line="360" w:lineRule="auto"/>
        <w:contextualSpacing/>
        <w:rPr>
          <w:rFonts w:ascii="Calibri" w:hAnsi="Calibri"/>
        </w:rPr>
      </w:pPr>
      <w:bookmarkStart w:id="42" w:name="_Toc254909674"/>
      <w:bookmarkStart w:id="43" w:name="_Toc268669744"/>
      <w:r w:rsidRPr="0046135F">
        <w:rPr>
          <w:rFonts w:ascii="Calibri" w:hAnsi="Calibri"/>
        </w:rPr>
        <w:t xml:space="preserve">7.1 </w:t>
      </w:r>
      <w:r w:rsidRPr="0046135F">
        <w:rPr>
          <w:rFonts w:ascii="Calibri" w:hAnsi="Calibri"/>
        </w:rPr>
        <w:tab/>
        <w:t>Earnings Management and Investor Protection</w:t>
      </w:r>
      <w:bookmarkEnd w:id="42"/>
      <w:bookmarkEnd w:id="43"/>
    </w:p>
    <w:p w:rsidR="00432023" w:rsidRPr="00F342A1" w:rsidRDefault="00432023" w:rsidP="00D00E82">
      <w:pPr>
        <w:spacing w:line="360" w:lineRule="auto"/>
        <w:contextualSpacing/>
        <w:rPr>
          <w:lang w:val="en-GB"/>
        </w:rPr>
      </w:pPr>
    </w:p>
    <w:p w:rsidR="00432023" w:rsidRPr="0046135F" w:rsidRDefault="00432023" w:rsidP="00D00E82">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Research identified investor protection as a key factor in earnings management activities (La Porta et al. 2000). Studies showed that earnings management will decrease in a strong investor protection environment, because strong protection constrains insiders’ private control benefits. Also, managers in weak investor protection countries will use earnings management for more opportunistic motives (Cahan et al. 2008). This is in contrast to managers in strong investor protection countries, who want to communicate private information about future earnings to outsiders (Leuz et al. 2003, Cahan et al. 2008). Company insiders can use their control over the firm to gain personal benefits at the expense of stakeholders (Watts and Zimmerman 1990). They can choose accounting methods that are beneficial to their interests. Since insiders have this advantage over outsiders, they need to mask/cover these private control benefits, because if detected outsiders will take disciplinary actions (Leuz et al. 2003). This is an incentive for managers to mislead stakeholders through earnings management. </w:t>
      </w:r>
    </w:p>
    <w:p w:rsidR="00432023" w:rsidRPr="002333B6" w:rsidRDefault="00432023" w:rsidP="00432023">
      <w:pPr>
        <w:pStyle w:val="Heading4"/>
        <w:spacing w:line="360" w:lineRule="auto"/>
        <w:rPr>
          <w:rFonts w:ascii="Calibri" w:hAnsi="Calibri" w:cs="Times New Roman"/>
          <w:sz w:val="20"/>
          <w:szCs w:val="20"/>
          <w:u w:val="single"/>
        </w:rPr>
      </w:pPr>
      <w:bookmarkStart w:id="44" w:name="_Toc254909675"/>
      <w:bookmarkStart w:id="45" w:name="_Toc268669745"/>
      <w:r w:rsidRPr="002333B6">
        <w:rPr>
          <w:rFonts w:ascii="Calibri" w:hAnsi="Calibri" w:cs="Times New Roman"/>
          <w:sz w:val="20"/>
          <w:szCs w:val="20"/>
          <w:u w:val="single"/>
        </w:rPr>
        <w:t>Leuz, Nanda and Wysocki (2003)</w:t>
      </w:r>
      <w:bookmarkEnd w:id="44"/>
      <w:bookmarkEnd w:id="45"/>
    </w:p>
    <w:p w:rsidR="00432023" w:rsidRPr="0046135F" w:rsidRDefault="00432023" w:rsidP="00432023">
      <w:pPr>
        <w:spacing w:line="360" w:lineRule="auto"/>
        <w:rPr>
          <w:rFonts w:ascii="Times New Roman" w:hAnsi="Times New Roman" w:cs="Times New Roman"/>
          <w:sz w:val="24"/>
          <w:szCs w:val="24"/>
          <w:lang w:val="en-GB"/>
        </w:rPr>
      </w:pPr>
    </w:p>
    <w:p w:rsidR="00432023" w:rsidRPr="0046135F" w:rsidRDefault="00432023" w:rsidP="00432023">
      <w:pPr>
        <w:spacing w:line="360" w:lineRule="auto"/>
        <w:rPr>
          <w:rFonts w:ascii="Times New Roman" w:hAnsi="Times New Roman" w:cs="Times New Roman"/>
          <w:sz w:val="24"/>
          <w:szCs w:val="24"/>
        </w:rPr>
      </w:pPr>
      <w:r w:rsidRPr="0046135F">
        <w:rPr>
          <w:rFonts w:ascii="Times New Roman" w:hAnsi="Times New Roman" w:cs="Times New Roman"/>
          <w:sz w:val="24"/>
          <w:szCs w:val="24"/>
          <w:lang w:val="en-GB"/>
        </w:rPr>
        <w:t>A number of studies have conducted research on the relationship between earnings management, specifically income smoothing, and investor protection. Leuz, Nanda and Wysocki (2003) were among the first ones to present evidence that the level of outside investor protection determines the quality of financial information reported to outsiders. They examined the differences in earnings management in 31 countries. Prior to their research there were studies that identified investor protection as a key factor in corporate policy choices (La</w:t>
      </w:r>
      <w:r w:rsidR="00200E9F">
        <w:rPr>
          <w:rFonts w:ascii="Times New Roman" w:hAnsi="Times New Roman" w:cs="Times New Roman"/>
          <w:sz w:val="24"/>
          <w:szCs w:val="24"/>
          <w:lang w:val="en-GB"/>
        </w:rPr>
        <w:t xml:space="preserve"> </w:t>
      </w:r>
      <w:r w:rsidRPr="0046135F">
        <w:rPr>
          <w:rFonts w:ascii="Times New Roman" w:hAnsi="Times New Roman" w:cs="Times New Roman"/>
          <w:sz w:val="24"/>
          <w:szCs w:val="24"/>
          <w:lang w:val="en-GB"/>
        </w:rPr>
        <w:t xml:space="preserve">Porta et al. 2000). For this reason they decided to test the influence of investor protection on earnings management. They reasoned that insiders’ private control benefits can be limited by strong and well-enforced outsider rights. Thus insiders will be less motivated to manage earnings. Managers have incentives to manage earnings so that their private control benefits will be concealed from the outside world and the true performance of the company will not be revealed. In their study the researchers suggest that the occurrence of earnings management is higher in countries with weak legal protection of outsiders, than in countries with strong outsider rights protection. In order to investigate to which extent this proposition is accurate, they performed an analysis and </w:t>
      </w:r>
      <w:r w:rsidRPr="0046135F">
        <w:rPr>
          <w:rFonts w:ascii="Times New Roman" w:hAnsi="Times New Roman" w:cs="Times New Roman"/>
          <w:sz w:val="24"/>
          <w:szCs w:val="24"/>
          <w:lang w:val="en-GB"/>
        </w:rPr>
        <w:lastRenderedPageBreak/>
        <w:t xml:space="preserve">created four proxies that capture the extent to which insiders use their accounting discretion to conceal their firm’s performance. </w:t>
      </w:r>
      <w:r w:rsidRPr="0046135F">
        <w:rPr>
          <w:rFonts w:ascii="Times New Roman" w:hAnsi="Times New Roman" w:cs="Times New Roman"/>
          <w:sz w:val="24"/>
          <w:szCs w:val="24"/>
        </w:rPr>
        <w:t xml:space="preserve">The following proxies were used: </w:t>
      </w:r>
    </w:p>
    <w:p w:rsidR="00432023" w:rsidRPr="0046135F" w:rsidRDefault="00432023" w:rsidP="00432023">
      <w:pPr>
        <w:pStyle w:val="ListParagraph"/>
        <w:numPr>
          <w:ilvl w:val="0"/>
          <w:numId w:val="26"/>
        </w:numPr>
        <w:spacing w:line="360" w:lineRule="auto"/>
        <w:rPr>
          <w:rFonts w:ascii="Times New Roman" w:hAnsi="Times New Roman" w:cs="Times New Roman"/>
          <w:i/>
          <w:sz w:val="24"/>
          <w:szCs w:val="24"/>
        </w:rPr>
      </w:pPr>
      <w:r w:rsidRPr="0046135F">
        <w:rPr>
          <w:rFonts w:ascii="Times New Roman" w:hAnsi="Times New Roman" w:cs="Times New Roman"/>
          <w:i/>
          <w:sz w:val="24"/>
          <w:szCs w:val="24"/>
        </w:rPr>
        <w:t>The country’s median ratio of firm-level standard deviation of operating income and operating cash flow</w:t>
      </w:r>
    </w:p>
    <w:p w:rsidR="00432023" w:rsidRPr="0046135F" w:rsidRDefault="00432023" w:rsidP="00432023">
      <w:pPr>
        <w:pStyle w:val="ListParagraph"/>
        <w:numPr>
          <w:ilvl w:val="0"/>
          <w:numId w:val="26"/>
        </w:numPr>
        <w:spacing w:line="360" w:lineRule="auto"/>
        <w:rPr>
          <w:rFonts w:ascii="Times New Roman" w:hAnsi="Times New Roman" w:cs="Times New Roman"/>
          <w:i/>
          <w:sz w:val="24"/>
          <w:szCs w:val="24"/>
        </w:rPr>
      </w:pPr>
      <w:r w:rsidRPr="0046135F">
        <w:rPr>
          <w:rFonts w:ascii="Times New Roman" w:hAnsi="Times New Roman" w:cs="Times New Roman"/>
          <w:i/>
          <w:sz w:val="24"/>
          <w:szCs w:val="24"/>
        </w:rPr>
        <w:t>The country’s Spearman correlation between change in accruals and change in operating cash flow</w:t>
      </w:r>
    </w:p>
    <w:p w:rsidR="00432023" w:rsidRPr="0046135F" w:rsidRDefault="00432023" w:rsidP="00432023">
      <w:pPr>
        <w:pStyle w:val="ListParagraph"/>
        <w:numPr>
          <w:ilvl w:val="0"/>
          <w:numId w:val="26"/>
        </w:numPr>
        <w:spacing w:line="360" w:lineRule="auto"/>
        <w:rPr>
          <w:rFonts w:ascii="Times New Roman" w:hAnsi="Times New Roman" w:cs="Times New Roman"/>
          <w:i/>
          <w:sz w:val="24"/>
          <w:szCs w:val="24"/>
        </w:rPr>
      </w:pPr>
      <w:r w:rsidRPr="0046135F">
        <w:rPr>
          <w:rFonts w:ascii="Times New Roman" w:hAnsi="Times New Roman" w:cs="Times New Roman"/>
          <w:i/>
          <w:sz w:val="24"/>
          <w:szCs w:val="24"/>
        </w:rPr>
        <w:t>The country’s median ratio of absolute value of accruals to absolute value of operating cash flow</w:t>
      </w:r>
    </w:p>
    <w:p w:rsidR="00432023" w:rsidRPr="0046135F" w:rsidRDefault="00432023" w:rsidP="00432023">
      <w:pPr>
        <w:pStyle w:val="ListParagraph"/>
        <w:numPr>
          <w:ilvl w:val="0"/>
          <w:numId w:val="26"/>
        </w:numPr>
        <w:spacing w:line="360" w:lineRule="auto"/>
        <w:rPr>
          <w:rFonts w:ascii="Times New Roman" w:hAnsi="Times New Roman" w:cs="Times New Roman"/>
          <w:i/>
          <w:sz w:val="24"/>
          <w:szCs w:val="24"/>
        </w:rPr>
      </w:pPr>
      <w:r w:rsidRPr="0046135F">
        <w:rPr>
          <w:rFonts w:ascii="Times New Roman" w:hAnsi="Times New Roman" w:cs="Times New Roman"/>
          <w:i/>
          <w:sz w:val="24"/>
          <w:szCs w:val="24"/>
        </w:rPr>
        <w:t>The country’s ratio of the number of small profits to small losses where small is less than 1 percent of lagged total assets</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Since earnings management manifests itself in different forms, Leuz et al. (2003) designed these four proxies to capture various earnings management practices, including income smoothing. The first two proxies (</w:t>
      </w:r>
      <w:r w:rsidRPr="0046135F">
        <w:rPr>
          <w:rFonts w:ascii="Times New Roman" w:hAnsi="Times New Roman" w:cs="Times New Roman"/>
          <w:i/>
          <w:sz w:val="24"/>
          <w:szCs w:val="24"/>
          <w:lang w:val="en-GB"/>
        </w:rPr>
        <w:t xml:space="preserve">i </w:t>
      </w:r>
      <w:r w:rsidRPr="0046135F">
        <w:rPr>
          <w:rFonts w:ascii="Times New Roman" w:hAnsi="Times New Roman" w:cs="Times New Roman"/>
          <w:sz w:val="24"/>
          <w:szCs w:val="24"/>
          <w:lang w:val="en-GB"/>
        </w:rPr>
        <w:t>and</w:t>
      </w:r>
      <w:r w:rsidRPr="0046135F">
        <w:rPr>
          <w:rFonts w:ascii="Times New Roman" w:hAnsi="Times New Roman" w:cs="Times New Roman"/>
          <w:i/>
          <w:sz w:val="24"/>
          <w:szCs w:val="24"/>
          <w:lang w:val="en-GB"/>
        </w:rPr>
        <w:t xml:space="preserve"> ii</w:t>
      </w:r>
      <w:r w:rsidRPr="0046135F">
        <w:rPr>
          <w:rFonts w:ascii="Times New Roman" w:hAnsi="Times New Roman" w:cs="Times New Roman"/>
          <w:sz w:val="24"/>
          <w:szCs w:val="24"/>
          <w:lang w:val="en-GB"/>
        </w:rPr>
        <w:t>) measure earnings smoothing and the latter two (</w:t>
      </w:r>
      <w:r w:rsidRPr="0046135F">
        <w:rPr>
          <w:rFonts w:ascii="Times New Roman" w:hAnsi="Times New Roman" w:cs="Times New Roman"/>
          <w:i/>
          <w:sz w:val="24"/>
          <w:szCs w:val="24"/>
          <w:lang w:val="en-GB"/>
        </w:rPr>
        <w:t xml:space="preserve">iii </w:t>
      </w:r>
      <w:r w:rsidRPr="0046135F">
        <w:rPr>
          <w:rFonts w:ascii="Times New Roman" w:hAnsi="Times New Roman" w:cs="Times New Roman"/>
          <w:sz w:val="24"/>
          <w:szCs w:val="24"/>
          <w:lang w:val="en-GB"/>
        </w:rPr>
        <w:t>and</w:t>
      </w:r>
      <w:r w:rsidRPr="0046135F">
        <w:rPr>
          <w:rFonts w:ascii="Times New Roman" w:hAnsi="Times New Roman" w:cs="Times New Roman"/>
          <w:i/>
          <w:sz w:val="24"/>
          <w:szCs w:val="24"/>
          <w:lang w:val="en-GB"/>
        </w:rPr>
        <w:t xml:space="preserve"> iv</w:t>
      </w:r>
      <w:r w:rsidRPr="0046135F">
        <w:rPr>
          <w:rFonts w:ascii="Times New Roman" w:hAnsi="Times New Roman" w:cs="Times New Roman"/>
          <w:sz w:val="24"/>
          <w:szCs w:val="24"/>
          <w:lang w:val="en-GB"/>
        </w:rPr>
        <w:t xml:space="preserve">) measure earnings discretion. An </w:t>
      </w:r>
      <w:r w:rsidRPr="0046135F">
        <w:rPr>
          <w:rFonts w:ascii="Times New Roman" w:hAnsi="Times New Roman" w:cs="Times New Roman"/>
          <w:i/>
          <w:sz w:val="24"/>
          <w:szCs w:val="24"/>
          <w:lang w:val="en-GB"/>
        </w:rPr>
        <w:t>aggregate earnings management score</w:t>
      </w:r>
      <w:r w:rsidRPr="0046135F">
        <w:rPr>
          <w:rFonts w:ascii="Times New Roman" w:hAnsi="Times New Roman" w:cs="Times New Roman"/>
          <w:sz w:val="24"/>
          <w:szCs w:val="24"/>
          <w:lang w:val="en-GB"/>
        </w:rPr>
        <w:t xml:space="preserve"> was constructed to mitigate potential measurement error; the four earnings management measures were ranked and aggregated. This score is the average of a country’s earnings smoothing score and earnings discretion score.</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In order to provide evidence on the patterns in earnings management among countries, the 31 countries were classified in three categories: 1. Outsider economies with large stock markets, dispersed ownership, strong investor rights, and strong legal enforcement; 2. Insider economies with less-developed stock markets, concentrated ownership, weak investor rights, but strong legal enforcement and, 3. Insider economies with weak legal enforcement.</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 Leuz et al. (2003) used the institutional variables from La Porta et al. (1997, 1998), as their primary measure of investor protection, among which are the following: legal origin, legal tradition, outside investor rights, legal enforcement, importance of the equity market, ownership concentration and the disclosure index. This index measures the inclusion or omission of 90 accounting items in firms’ 1990 annual reports, and hence captures firms’ disclosure policies at the country level. Now that the general set-up and methodology is explained, the findings of this study will be presented.</w:t>
      </w:r>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B45E5B">
      <w:pPr>
        <w:spacing w:line="360" w:lineRule="auto"/>
        <w:contextualSpacing/>
        <w:rPr>
          <w:rFonts w:ascii="Times New Roman" w:hAnsi="Times New Roman" w:cs="Times New Roman"/>
          <w:sz w:val="24"/>
          <w:szCs w:val="24"/>
          <w:u w:val="single"/>
        </w:rPr>
      </w:pPr>
      <w:r w:rsidRPr="0046135F">
        <w:rPr>
          <w:rFonts w:ascii="Times New Roman" w:hAnsi="Times New Roman" w:cs="Times New Roman"/>
          <w:sz w:val="24"/>
          <w:szCs w:val="24"/>
          <w:lang w:val="en-GB"/>
        </w:rPr>
        <w:t xml:space="preserve">Their empirical results reveal that investor protection plays an important role in international differences in corporate earnings management. The evidence suggest that </w:t>
      </w:r>
      <w:r w:rsidRPr="0046135F">
        <w:rPr>
          <w:rFonts w:ascii="Times New Roman" w:hAnsi="Times New Roman" w:cs="Times New Roman"/>
          <w:sz w:val="24"/>
          <w:szCs w:val="24"/>
          <w:lang w:val="en-GB"/>
        </w:rPr>
        <w:lastRenderedPageBreak/>
        <w:t xml:space="preserve">firms in countries with developed equity markets, dispersed ownership structures, strong investor rights, and legal enforcement engage in less earnings management. So, the pervasiveness of earnings management is increasing in private control benefits and decreasing in outside investor protection. The researchers argue that managers have incentives to manage earnings and that these incentives will vary with the level of investor protection in the country. Leuz et al. (2003), however, have one concern; the influence of other institutional variables, which are correlated with investor protection, on earnings management. One specific factor that is a cause for concern is the influence of accounting rules and firms’ ownership structures on earnings management. They admit that these institutional factors are complementary and therefore difficult to isolate. </w:t>
      </w:r>
      <w:bookmarkStart w:id="46" w:name="_Toc254909676"/>
    </w:p>
    <w:p w:rsidR="00432023" w:rsidRPr="002333B6" w:rsidRDefault="00432023" w:rsidP="00432023">
      <w:pPr>
        <w:pStyle w:val="Heading4"/>
        <w:spacing w:line="360" w:lineRule="auto"/>
        <w:contextualSpacing/>
        <w:rPr>
          <w:rFonts w:ascii="Calibri" w:hAnsi="Calibri" w:cs="Times New Roman"/>
          <w:sz w:val="20"/>
          <w:szCs w:val="20"/>
          <w:u w:val="single"/>
        </w:rPr>
      </w:pPr>
      <w:bookmarkStart w:id="47" w:name="_Toc268669746"/>
      <w:r w:rsidRPr="002333B6">
        <w:rPr>
          <w:rFonts w:ascii="Calibri" w:hAnsi="Calibri" w:cs="Times New Roman"/>
          <w:sz w:val="20"/>
          <w:szCs w:val="20"/>
          <w:u w:val="single"/>
        </w:rPr>
        <w:t>Cahan, Liu and Sun (2008)</w:t>
      </w:r>
      <w:bookmarkEnd w:id="46"/>
      <w:bookmarkEnd w:id="47"/>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The objective of this study is to investigate whether investor protection influences the efficient communication of private information through income smoothing. They posit that income smoothing increases earnings informativeness more for firms in countries with strong investor protection than for firms in countries with weak investor protection. Earnings informativeness refers to the informativeness of current and past earnings about future earnings and cash flows (Tucker and Zarowin 2005). As Leuz et al. (2003) proved, the level of earnings management varies between high and low investor protection countries. Cahan et al. (2008) examine whether the incentives for earnings management varies between high and low investor protection countries. Leuz et al. (2003) examined the level of earnings management in different countries and argued that managers have incentives to engage in earnings management. Cahan et al. (2008) coincide with this statement and expand the underlying motive for earnings management. They are of the opinion that there are two interpretations regarding the underlying motive for earnings management; </w:t>
      </w:r>
      <w:r w:rsidRPr="0046135F">
        <w:rPr>
          <w:rFonts w:ascii="Times New Roman" w:hAnsi="Times New Roman" w:cs="Times New Roman"/>
          <w:i/>
          <w:sz w:val="24"/>
          <w:szCs w:val="24"/>
          <w:lang w:val="en-GB"/>
        </w:rPr>
        <w:t>opportunism is the primary motivation in both low and high investor protection countries</w:t>
      </w:r>
      <w:r w:rsidRPr="0046135F">
        <w:rPr>
          <w:rFonts w:ascii="Times New Roman" w:hAnsi="Times New Roman" w:cs="Times New Roman"/>
          <w:sz w:val="24"/>
          <w:szCs w:val="24"/>
          <w:lang w:val="en-GB"/>
        </w:rPr>
        <w:t xml:space="preserve"> or </w:t>
      </w:r>
      <w:r w:rsidRPr="0046135F">
        <w:rPr>
          <w:rFonts w:ascii="Times New Roman" w:hAnsi="Times New Roman" w:cs="Times New Roman"/>
          <w:i/>
          <w:sz w:val="24"/>
          <w:szCs w:val="24"/>
          <w:lang w:val="en-GB"/>
        </w:rPr>
        <w:t>earnings management is motivated by opportunism in low investor protection countries, but is motivated by the efficient communication of private information in high investor protection countries</w:t>
      </w:r>
      <w:r w:rsidRPr="0046135F">
        <w:rPr>
          <w:rFonts w:ascii="Times New Roman" w:hAnsi="Times New Roman" w:cs="Times New Roman"/>
          <w:sz w:val="24"/>
          <w:szCs w:val="24"/>
          <w:lang w:val="en-GB"/>
        </w:rPr>
        <w:t>. In order to investigate this view they examined the informativeness of income smoothing.</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Since this study focuses on income smoothing alone and not earnings management as a whole, Cahan et al. (2008) only used the second proxy defined by Leuz et al. (2003). They calculated the Spearman correlation between changes in total accounting accruals and </w:t>
      </w:r>
      <w:r w:rsidRPr="0046135F">
        <w:rPr>
          <w:rFonts w:ascii="Times New Roman" w:hAnsi="Times New Roman" w:cs="Times New Roman"/>
          <w:sz w:val="24"/>
          <w:szCs w:val="24"/>
          <w:lang w:val="en-GB"/>
        </w:rPr>
        <w:lastRenderedPageBreak/>
        <w:t xml:space="preserve">changes in operating cash flows and used the negative correlation as a measure of income smoothing. In order to measure investor protection they only used the </w:t>
      </w:r>
      <w:r w:rsidRPr="0046135F">
        <w:rPr>
          <w:rFonts w:ascii="Times New Roman" w:hAnsi="Times New Roman" w:cs="Times New Roman"/>
          <w:i/>
          <w:sz w:val="24"/>
          <w:szCs w:val="24"/>
          <w:lang w:val="en-GB"/>
        </w:rPr>
        <w:t>legal enforcement index</w:t>
      </w:r>
      <w:r w:rsidRPr="0046135F">
        <w:rPr>
          <w:rFonts w:ascii="Times New Roman" w:hAnsi="Times New Roman" w:cs="Times New Roman"/>
          <w:sz w:val="24"/>
          <w:szCs w:val="24"/>
          <w:lang w:val="en-GB"/>
        </w:rPr>
        <w:t xml:space="preserve"> from La Porta et al. (1998), contrary to Leuz et al. (2003) who used all 9 variables from La Porta et al. (1998). The legal enforcement index is measured as the mean score across three legal variables used in La Porta et al</w:t>
      </w:r>
      <w:r w:rsidR="006B5C98">
        <w:rPr>
          <w:rFonts w:ascii="Times New Roman" w:hAnsi="Times New Roman" w:cs="Times New Roman"/>
          <w:sz w:val="24"/>
          <w:szCs w:val="24"/>
          <w:lang w:val="en-GB"/>
        </w:rPr>
        <w:t>.</w:t>
      </w:r>
      <w:r w:rsidRPr="0046135F">
        <w:rPr>
          <w:rFonts w:ascii="Times New Roman" w:hAnsi="Times New Roman" w:cs="Times New Roman"/>
          <w:sz w:val="24"/>
          <w:szCs w:val="24"/>
          <w:lang w:val="en-GB"/>
        </w:rPr>
        <w:t>:</w:t>
      </w:r>
      <w:r w:rsidR="006B5C98">
        <w:rPr>
          <w:rFonts w:ascii="Times New Roman" w:hAnsi="Times New Roman" w:cs="Times New Roman"/>
          <w:sz w:val="24"/>
          <w:szCs w:val="24"/>
          <w:lang w:val="en-GB"/>
        </w:rPr>
        <w:t xml:space="preserve">  </w:t>
      </w:r>
      <w:r w:rsidRPr="0046135F">
        <w:rPr>
          <w:rFonts w:ascii="Times New Roman" w:hAnsi="Times New Roman" w:cs="Times New Roman"/>
          <w:sz w:val="24"/>
          <w:szCs w:val="24"/>
          <w:lang w:val="en-GB"/>
        </w:rPr>
        <w:t>(1) the efficiency of the judicial system, (2) an assessment of rule of law and (3) the corruption index.</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 By examining data from 44 countries, they came to the same conclusion as Leuz et al. (2003); the incidence of earnings management increases (decreases) in countries with weak (strong) investor protection. They found that the underlying motive for earnings management indeed differs between high and low investor protection countries: managers in weak investor protection countries are more likely to use income smoothing for opportunistic reasons while managers in strong investor protection countries are more likely to use income smoothing to convey their private information about future earnings. They also found evidence to substantiate their hypothesis that income smoothing improves earnings informativeness more greatly for firms in countries with strong investor protection than in countries with weak investor protection.</w:t>
      </w:r>
    </w:p>
    <w:p w:rsidR="00432023" w:rsidRPr="002333B6" w:rsidRDefault="00432023" w:rsidP="00432023">
      <w:pPr>
        <w:pStyle w:val="Heading4"/>
        <w:spacing w:line="360" w:lineRule="auto"/>
        <w:contextualSpacing/>
        <w:rPr>
          <w:rFonts w:ascii="Calibri" w:hAnsi="Calibri" w:cs="Times New Roman"/>
          <w:sz w:val="20"/>
          <w:szCs w:val="20"/>
          <w:u w:val="single"/>
        </w:rPr>
      </w:pPr>
      <w:bookmarkStart w:id="48" w:name="_Toc254909677"/>
      <w:bookmarkStart w:id="49" w:name="_Toc268669747"/>
      <w:r w:rsidRPr="002333B6">
        <w:rPr>
          <w:rFonts w:ascii="Calibri" w:hAnsi="Calibri" w:cs="Times New Roman"/>
          <w:sz w:val="20"/>
          <w:szCs w:val="20"/>
          <w:u w:val="single"/>
        </w:rPr>
        <w:t>Wright</w:t>
      </w:r>
      <w:r w:rsidR="001F5CDD">
        <w:rPr>
          <w:rFonts w:ascii="Calibri" w:hAnsi="Calibri" w:cs="Times New Roman"/>
          <w:sz w:val="20"/>
          <w:szCs w:val="20"/>
          <w:u w:val="single"/>
        </w:rPr>
        <w:t>,</w:t>
      </w:r>
      <w:r w:rsidRPr="002333B6">
        <w:rPr>
          <w:rFonts w:ascii="Calibri" w:hAnsi="Calibri" w:cs="Times New Roman"/>
          <w:sz w:val="20"/>
          <w:szCs w:val="20"/>
          <w:u w:val="single"/>
        </w:rPr>
        <w:t xml:space="preserve"> </w:t>
      </w:r>
      <w:r w:rsidR="001F5CDD" w:rsidRPr="002333B6">
        <w:rPr>
          <w:rFonts w:ascii="Calibri" w:hAnsi="Calibri" w:cs="Times New Roman"/>
          <w:sz w:val="20"/>
          <w:szCs w:val="20"/>
          <w:u w:val="single"/>
        </w:rPr>
        <w:t xml:space="preserve">Shaw </w:t>
      </w:r>
      <w:r w:rsidRPr="002333B6">
        <w:rPr>
          <w:rFonts w:ascii="Calibri" w:hAnsi="Calibri" w:cs="Times New Roman"/>
          <w:sz w:val="20"/>
          <w:szCs w:val="20"/>
          <w:u w:val="single"/>
        </w:rPr>
        <w:t>and Guan (2006)</w:t>
      </w:r>
      <w:bookmarkEnd w:id="48"/>
      <w:bookmarkEnd w:id="49"/>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The objective of this study is to extend the work by Leuz et al.</w:t>
      </w:r>
      <w:r w:rsidR="00B77274">
        <w:rPr>
          <w:rFonts w:ascii="Times New Roman" w:hAnsi="Times New Roman" w:cs="Times New Roman"/>
          <w:sz w:val="24"/>
          <w:szCs w:val="24"/>
          <w:lang w:val="en-GB"/>
        </w:rPr>
        <w:t xml:space="preserve"> </w:t>
      </w:r>
      <w:r w:rsidRPr="0046135F">
        <w:rPr>
          <w:rFonts w:ascii="Times New Roman" w:hAnsi="Times New Roman" w:cs="Times New Roman"/>
          <w:sz w:val="24"/>
          <w:szCs w:val="24"/>
          <w:lang w:val="en-GB"/>
        </w:rPr>
        <w:t>(2003) and to investigate whether Leuz et al.’s country clusters are overly broad. In contrast to the other studies discussed in this chapter, Wright, Shaw and Guan use the modified Jones model to detect earnings management. The U.K and the U.S. share similar legal environments, large stock markets, dispersed corporate ownership and strong investor rights (La</w:t>
      </w:r>
      <w:r w:rsidR="00200E9F">
        <w:rPr>
          <w:rFonts w:ascii="Times New Roman" w:hAnsi="Times New Roman" w:cs="Times New Roman"/>
          <w:sz w:val="24"/>
          <w:szCs w:val="24"/>
          <w:lang w:val="en-GB"/>
        </w:rPr>
        <w:t xml:space="preserve"> </w:t>
      </w:r>
      <w:r w:rsidRPr="0046135F">
        <w:rPr>
          <w:rFonts w:ascii="Times New Roman" w:hAnsi="Times New Roman" w:cs="Times New Roman"/>
          <w:sz w:val="24"/>
          <w:szCs w:val="24"/>
          <w:lang w:val="en-GB"/>
        </w:rPr>
        <w:t xml:space="preserve">Porta et al. 1997). So, they should be categorized in the same country cluster. According to theories provided by Leuz et al. (2003) earnings management should be similar and infrequent in both countries and their evidence supported this theory. However, this study by Wright, Shaw and Guan shows that their theory does not hold up. The evidence indicates that managers of MBO (management buy-outs) firms in the U.S. managed earnings to a greater extent than their colleagues in the U.K. Even though there are numerous similarities between the U.K. and the U.S., there are various cultural and organizational differences between these two countries as well (Hofstede 2001). </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lastRenderedPageBreak/>
        <w:t>There is one major limitation to Wright et al. study; they limited their sample to one specific group, management buy-outs (MBO’s). The researchers acknowledge that there is a possibility that earnings management in the U.K. would be different in other settings.</w:t>
      </w:r>
    </w:p>
    <w:p w:rsidR="00432023" w:rsidRPr="002333B6" w:rsidRDefault="00432023" w:rsidP="00432023">
      <w:pPr>
        <w:pStyle w:val="Heading4"/>
        <w:spacing w:line="360" w:lineRule="auto"/>
        <w:contextualSpacing/>
        <w:rPr>
          <w:rFonts w:ascii="Calibri" w:hAnsi="Calibri" w:cs="Times New Roman"/>
          <w:sz w:val="20"/>
          <w:szCs w:val="20"/>
          <w:u w:val="single"/>
        </w:rPr>
      </w:pPr>
      <w:bookmarkStart w:id="50" w:name="_Toc254909678"/>
      <w:bookmarkStart w:id="51" w:name="_Toc268669748"/>
      <w:r w:rsidRPr="002333B6">
        <w:rPr>
          <w:rFonts w:ascii="Calibri" w:hAnsi="Calibri" w:cs="Times New Roman"/>
          <w:sz w:val="20"/>
          <w:szCs w:val="20"/>
          <w:u w:val="single"/>
        </w:rPr>
        <w:t>Nabar and Boonlert-U-Thai (2007)</w:t>
      </w:r>
      <w:bookmarkEnd w:id="50"/>
      <w:bookmarkEnd w:id="51"/>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The two first discussed studies focused on the legal origin differences and corporate governance in earnings management in an international context. Nabar and Boonlert-U-Thai investigated the role of both investor protection </w:t>
      </w:r>
      <w:r w:rsidRPr="0046135F">
        <w:rPr>
          <w:rFonts w:ascii="Times New Roman" w:hAnsi="Times New Roman" w:cs="Times New Roman"/>
          <w:i/>
          <w:sz w:val="24"/>
          <w:szCs w:val="24"/>
          <w:lang w:val="en-GB"/>
        </w:rPr>
        <w:t>and national culture</w:t>
      </w:r>
      <w:r w:rsidRPr="0046135F">
        <w:rPr>
          <w:rFonts w:ascii="Times New Roman" w:hAnsi="Times New Roman" w:cs="Times New Roman"/>
          <w:sz w:val="24"/>
          <w:szCs w:val="24"/>
          <w:lang w:val="en-GB"/>
        </w:rPr>
        <w:t xml:space="preserve"> in explaining cross-national differences in earnings management. They examined if and how culture influences managers’ earnings management behavior. Leuz et al. (2003) admitted that other factors may also contribute to earnings management, Nabar and Boonler-U-Thai proposed and substantiated that national culture is one of these other factors.</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In their analysis they used the aggregate earnings management score developed by Leuz et al. (2003) as the proxy for earnings management. Their measurement for culture consists of four cultural variables developed by Hofstede (1980, 2001).</w:t>
      </w: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The evidence from their analysis shows that earnings management is influenced by both investor protection and culture. Their evidence confirms the findings from Leuz et al. (2003); earnings management is low in countries with high outside investor protection. Earnings management is high in high uncertainty-avoidance (one of the Hofstede proxies) countries and low in English-speaking countries. Also, their evidence proved that earnings management is influenced by both investor protection and culture. National culture affects managers’ earnings discretion but not earnings smoothing.</w:t>
      </w:r>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To measure investor protection, two institutional variables defined by La Porta et al. (1998) were used; outside investor rights and legal enforcement. The aggregate earning management scores in this study differ slightly from the ones reported by Leuz et al. (2003), because this sample consists of 30 countries whereas the sample used by Leuz et al. consisted of 31 countries. Both studies, however, yield the same empirical results.</w:t>
      </w:r>
    </w:p>
    <w:p w:rsidR="00432023" w:rsidRDefault="00432023" w:rsidP="00432023">
      <w:pPr>
        <w:spacing w:line="360" w:lineRule="auto"/>
        <w:contextualSpacing/>
        <w:rPr>
          <w:lang w:val="en-GB"/>
        </w:rPr>
      </w:pPr>
    </w:p>
    <w:p w:rsidR="00432023" w:rsidRDefault="00432023" w:rsidP="009766F5">
      <w:pPr>
        <w:pStyle w:val="Heading4"/>
        <w:spacing w:line="360" w:lineRule="auto"/>
        <w:contextualSpacing/>
        <w:rPr>
          <w:rFonts w:ascii="Calibri" w:hAnsi="Calibri"/>
        </w:rPr>
      </w:pPr>
      <w:bookmarkStart w:id="52" w:name="_Toc254909679"/>
      <w:bookmarkStart w:id="53" w:name="_Toc268669749"/>
      <w:r w:rsidRPr="0046135F">
        <w:rPr>
          <w:rFonts w:ascii="Calibri" w:hAnsi="Calibri"/>
        </w:rPr>
        <w:t>7.2</w:t>
      </w:r>
      <w:r w:rsidRPr="0046135F">
        <w:rPr>
          <w:rFonts w:ascii="Calibri" w:hAnsi="Calibri"/>
        </w:rPr>
        <w:tab/>
        <w:t>Conclusion</w:t>
      </w:r>
      <w:bookmarkEnd w:id="52"/>
      <w:bookmarkEnd w:id="53"/>
    </w:p>
    <w:p w:rsidR="00B45E5B" w:rsidRPr="00B45E5B" w:rsidRDefault="00B45E5B" w:rsidP="009766F5">
      <w:pPr>
        <w:contextualSpacing/>
      </w:pPr>
    </w:p>
    <w:p w:rsidR="00432023" w:rsidRPr="0046135F" w:rsidRDefault="00432023" w:rsidP="009766F5">
      <w:pPr>
        <w:spacing w:line="360" w:lineRule="auto"/>
        <w:contextualSpacing/>
        <w:rPr>
          <w:rFonts w:ascii="Times New Roman" w:hAnsi="Times New Roman" w:cs="Times New Roman"/>
          <w:sz w:val="24"/>
          <w:szCs w:val="24"/>
          <w:lang w:val="en-GB"/>
        </w:rPr>
      </w:pPr>
      <w:r w:rsidRPr="0046135F">
        <w:rPr>
          <w:rFonts w:ascii="Times New Roman" w:hAnsi="Times New Roman" w:cs="Times New Roman"/>
          <w:sz w:val="24"/>
          <w:szCs w:val="24"/>
          <w:lang w:val="en-GB"/>
        </w:rPr>
        <w:t xml:space="preserve">Leuz et al. (2003) argued that managers have incentives to manage earnings to obscure the firm’s true performance in order to hide their private control benefits from outsiders. </w:t>
      </w:r>
      <w:r w:rsidRPr="0046135F">
        <w:rPr>
          <w:rFonts w:ascii="Times New Roman" w:hAnsi="Times New Roman" w:cs="Times New Roman"/>
          <w:sz w:val="24"/>
          <w:szCs w:val="24"/>
          <w:lang w:val="en-GB"/>
        </w:rPr>
        <w:lastRenderedPageBreak/>
        <w:t>Investor protection reduces management’s ability to gain private benefits at the expense of outside shareholders; therefore the level of investor protection in a country will influence the incentives of managers. All four studies provided conclusive evidence that in countries with a strong investor protection environment, the incidence of earnings management is lower than in countries with weak investor protection. Cahan et al. (2008) argued and proved that opportunism is not always the reason for engaging in earnings management; their findings indicate that earnings management can be motivated by the efficient communication of private information in high investor protection countries (Cahan et al. 2008). Nabar et al. (2007) proved that there are indeed other factors contributing to earnings management, such as culture.</w:t>
      </w:r>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Pr="0046135F" w:rsidRDefault="00432023" w:rsidP="00432023">
      <w:pPr>
        <w:spacing w:line="360" w:lineRule="auto"/>
        <w:contextualSpacing/>
        <w:rPr>
          <w:rFonts w:ascii="Times New Roman" w:hAnsi="Times New Roman" w:cs="Times New Roman"/>
          <w:sz w:val="24"/>
          <w:szCs w:val="24"/>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432023" w:rsidRDefault="00432023" w:rsidP="00432023">
      <w:pPr>
        <w:spacing w:line="360" w:lineRule="auto"/>
        <w:contextualSpacing/>
        <w:rPr>
          <w:lang w:val="en-GB"/>
        </w:rPr>
      </w:pPr>
    </w:p>
    <w:p w:rsidR="00BC6B94" w:rsidRDefault="00BC6B94" w:rsidP="00432023">
      <w:pPr>
        <w:spacing w:line="360" w:lineRule="auto"/>
        <w:contextualSpacing/>
        <w:rPr>
          <w:lang w:val="en-GB"/>
        </w:rPr>
      </w:pPr>
    </w:p>
    <w:p w:rsidR="00BC6B94" w:rsidRDefault="00BC6B94" w:rsidP="00432023">
      <w:pPr>
        <w:spacing w:line="360" w:lineRule="auto"/>
        <w:contextualSpacing/>
        <w:rPr>
          <w:lang w:val="en-GB"/>
        </w:rPr>
      </w:pPr>
    </w:p>
    <w:p w:rsidR="00432023" w:rsidRDefault="00432023" w:rsidP="00432023">
      <w:pPr>
        <w:spacing w:line="360" w:lineRule="auto"/>
        <w:contextualSpacing/>
        <w:rPr>
          <w:lang w:val="en-GB"/>
        </w:rPr>
      </w:pPr>
    </w:p>
    <w:p w:rsidR="006A4BBB" w:rsidRDefault="006A4BBB" w:rsidP="00432023">
      <w:pPr>
        <w:spacing w:line="360" w:lineRule="auto"/>
        <w:contextualSpacing/>
        <w:rPr>
          <w:lang w:val="en-GB"/>
        </w:rPr>
      </w:pPr>
    </w:p>
    <w:p w:rsidR="006A4BBB" w:rsidRDefault="006A4BBB" w:rsidP="00432023">
      <w:pPr>
        <w:spacing w:line="360" w:lineRule="auto"/>
        <w:contextualSpacing/>
        <w:rPr>
          <w:lang w:val="en-GB"/>
        </w:rPr>
      </w:pPr>
    </w:p>
    <w:p w:rsidR="006A4BBB" w:rsidRDefault="006A4BBB" w:rsidP="00432023">
      <w:pPr>
        <w:spacing w:line="360" w:lineRule="auto"/>
        <w:contextualSpacing/>
        <w:rPr>
          <w:lang w:val="en-GB"/>
        </w:rPr>
      </w:pPr>
    </w:p>
    <w:p w:rsidR="00484783" w:rsidRDefault="00484783" w:rsidP="00432023">
      <w:pPr>
        <w:spacing w:line="360" w:lineRule="auto"/>
        <w:contextualSpacing/>
        <w:rPr>
          <w:lang w:val="en-GB"/>
        </w:rPr>
      </w:pPr>
    </w:p>
    <w:p w:rsidR="00432023" w:rsidRPr="00BC6B94" w:rsidRDefault="00432023" w:rsidP="00484783">
      <w:pPr>
        <w:pStyle w:val="Heading4"/>
        <w:contextualSpacing/>
        <w:rPr>
          <w:rFonts w:ascii="Calibri" w:hAnsi="Calibri"/>
        </w:rPr>
      </w:pPr>
      <w:bookmarkStart w:id="54" w:name="_Toc254909681"/>
      <w:bookmarkStart w:id="55" w:name="_Toc268669750"/>
      <w:r w:rsidRPr="00BC6B94">
        <w:rPr>
          <w:rFonts w:ascii="Calibri" w:hAnsi="Calibri"/>
        </w:rPr>
        <w:lastRenderedPageBreak/>
        <w:t>8</w:t>
      </w:r>
      <w:r w:rsidRPr="00BC6B94">
        <w:rPr>
          <w:rFonts w:ascii="Calibri" w:hAnsi="Calibri"/>
        </w:rPr>
        <w:tab/>
        <w:t>Hypotheses and Research Design</w:t>
      </w:r>
      <w:bookmarkEnd w:id="54"/>
      <w:bookmarkEnd w:id="55"/>
    </w:p>
    <w:p w:rsidR="00432023" w:rsidRPr="00B718DB" w:rsidRDefault="00432023" w:rsidP="00484783">
      <w:pPr>
        <w:contextualSpacing/>
      </w:pPr>
    </w:p>
    <w:p w:rsidR="00432023" w:rsidRPr="00BC6B94" w:rsidRDefault="00432023" w:rsidP="00484783">
      <w:pPr>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This chapter will explain the research design in detail. The objective of the empirical research is to determine whether firms in high investor protection countries engage less in income smoothing. In the previous chapters several studies were discussed, which focused on the relationship between investor protection and earnings management. These studies however, focused on all forms of earnings management whereas I will only measure the level of income smoothing. In most of these studies the La Porta index was used as a measurement for investor protection, this index however is based on legislation dating from 1993, which is outdated. Hence, my research. The following research question lies at the base of this thesis:</w:t>
      </w:r>
    </w:p>
    <w:p w:rsidR="00432023" w:rsidRPr="00BC6B94" w:rsidRDefault="00432023" w:rsidP="00432023">
      <w:pPr>
        <w:spacing w:line="360" w:lineRule="auto"/>
        <w:rPr>
          <w:rFonts w:ascii="Times New Roman" w:hAnsi="Times New Roman" w:cs="Times New Roman"/>
          <w:i/>
          <w:sz w:val="24"/>
          <w:szCs w:val="24"/>
        </w:rPr>
      </w:pPr>
      <w:r w:rsidRPr="00BC6B94">
        <w:rPr>
          <w:rFonts w:ascii="Times New Roman" w:hAnsi="Times New Roman" w:cs="Times New Roman"/>
          <w:sz w:val="24"/>
          <w:szCs w:val="24"/>
        </w:rPr>
        <w:t>“</w:t>
      </w:r>
      <w:r w:rsidRPr="00BC6B94">
        <w:rPr>
          <w:rFonts w:ascii="Times New Roman" w:hAnsi="Times New Roman" w:cs="Times New Roman"/>
          <w:i/>
          <w:sz w:val="24"/>
          <w:szCs w:val="24"/>
        </w:rPr>
        <w:t>Does a strong investor protection environment reduce the incidence of income smoothing in countries?”</w:t>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I expect the results of my empirical research to show that income smoothing indeed decreases due to a strong </w:t>
      </w:r>
      <w:r w:rsidR="00E41A1C">
        <w:rPr>
          <w:rFonts w:ascii="Times New Roman" w:hAnsi="Times New Roman" w:cs="Times New Roman"/>
          <w:sz w:val="24"/>
          <w:szCs w:val="24"/>
        </w:rPr>
        <w:t>investor protection environment, because previous research indicated that investor protection is an important factor in explaining income smoothing.</w:t>
      </w:r>
      <w:r w:rsidRPr="00BC6B94">
        <w:rPr>
          <w:rFonts w:ascii="Times New Roman" w:hAnsi="Times New Roman" w:cs="Times New Roman"/>
          <w:sz w:val="24"/>
          <w:szCs w:val="24"/>
        </w:rPr>
        <w:t xml:space="preserve"> </w:t>
      </w:r>
    </w:p>
    <w:p w:rsidR="00432023"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This chapter is divided in several sections, some with subsections. In the first section the hypotheses will be formulated. It will also contain my expectations for the empirical research, which are based on previous studies discussed throughout the chapters of this thesis. The second section will address the measurement of investor protection. As mentioned earlier, the La Porta indices were widely used to measure investor protection. I, however, will use a revised and more recent index, which is the anti-self-dealing index defined by Djankov et al. (2007). Section three will focus on the measurement of income smoothing. Followed by a fourth section, in which I will elaborate on the sample selection process. Finally, a summary will be given.</w:t>
      </w:r>
    </w:p>
    <w:p w:rsidR="00710EBF" w:rsidRDefault="00710EBF" w:rsidP="00484783">
      <w:pPr>
        <w:pStyle w:val="Heading4"/>
        <w:contextualSpacing/>
        <w:rPr>
          <w:rFonts w:ascii="Calibri" w:hAnsi="Calibri"/>
        </w:rPr>
      </w:pPr>
      <w:bookmarkStart w:id="56" w:name="_Toc254909682"/>
    </w:p>
    <w:p w:rsidR="00432023" w:rsidRPr="00BC6B94" w:rsidRDefault="00432023" w:rsidP="00484783">
      <w:pPr>
        <w:pStyle w:val="Heading4"/>
        <w:contextualSpacing/>
        <w:rPr>
          <w:rFonts w:ascii="Calibri" w:hAnsi="Calibri"/>
        </w:rPr>
      </w:pPr>
      <w:bookmarkStart w:id="57" w:name="_Toc268669751"/>
      <w:r w:rsidRPr="00BC6B94">
        <w:rPr>
          <w:rFonts w:ascii="Calibri" w:hAnsi="Calibri"/>
        </w:rPr>
        <w:t>8.1</w:t>
      </w:r>
      <w:r w:rsidRPr="00BC6B94">
        <w:rPr>
          <w:rFonts w:ascii="Calibri" w:hAnsi="Calibri"/>
        </w:rPr>
        <w:tab/>
        <w:t>Hypotheses</w:t>
      </w:r>
      <w:bookmarkEnd w:id="56"/>
      <w:bookmarkEnd w:id="57"/>
    </w:p>
    <w:p w:rsidR="00432023" w:rsidRPr="00B718DB" w:rsidRDefault="00432023" w:rsidP="00484783">
      <w:pPr>
        <w:contextualSpacing/>
      </w:pPr>
    </w:p>
    <w:p w:rsidR="00432023" w:rsidRPr="00BC6B94" w:rsidRDefault="00432023" w:rsidP="0048478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 xml:space="preserve">Real smoothing involves decisions that reduce the volatility of economic earnings, while artificial smoothing involves both overstatement and understatement of economic earnings: low earnings are overstated and high earnings are </w:t>
      </w:r>
      <w:r w:rsidR="000E5F31">
        <w:rPr>
          <w:rFonts w:ascii="Times New Roman" w:hAnsi="Times New Roman" w:cs="Times New Roman"/>
          <w:sz w:val="24"/>
          <w:szCs w:val="24"/>
        </w:rPr>
        <w:t>smoothed out</w:t>
      </w:r>
      <w:r w:rsidRPr="00BC6B94">
        <w:rPr>
          <w:rFonts w:ascii="Times New Roman" w:hAnsi="Times New Roman" w:cs="Times New Roman"/>
          <w:sz w:val="24"/>
          <w:szCs w:val="24"/>
        </w:rPr>
        <w:t xml:space="preserve">. Since accruals management does not reduce the firm’s value as much it seems more appealing to insiders than real smoothing. On the other hand, real smoothing has the added benefit that it is less </w:t>
      </w:r>
      <w:r w:rsidRPr="00BC6B94">
        <w:rPr>
          <w:rFonts w:ascii="Times New Roman" w:hAnsi="Times New Roman" w:cs="Times New Roman"/>
          <w:i/>
          <w:iCs/>
          <w:sz w:val="24"/>
          <w:szCs w:val="24"/>
        </w:rPr>
        <w:t xml:space="preserve">transparent </w:t>
      </w:r>
      <w:r w:rsidRPr="00BC6B94">
        <w:rPr>
          <w:rFonts w:ascii="Times New Roman" w:hAnsi="Times New Roman" w:cs="Times New Roman"/>
          <w:sz w:val="24"/>
          <w:szCs w:val="24"/>
        </w:rPr>
        <w:t xml:space="preserve">and thus much harder to detect and deter (Ewert and Wagenhofer, 2005). In </w:t>
      </w:r>
      <w:r w:rsidRPr="00BC6B94">
        <w:rPr>
          <w:rFonts w:ascii="Times New Roman" w:hAnsi="Times New Roman" w:cs="Times New Roman"/>
          <w:sz w:val="24"/>
          <w:szCs w:val="24"/>
        </w:rPr>
        <w:lastRenderedPageBreak/>
        <w:t>the study by Leuz et al. (2003) four different measures were defined in order to capture management of earnings. Real income smoothing is one of the forms earnings management manifests itself in, so it was necessary to determine a measure to capture this form of managing earnings. The measure is a country’s median ratio of the firm-level standard deviation of operating earnings divided by the firm-level standard deviation of cash flow from operations. Low values of this measure show that insiders use their accounting discretion to smooth income. The statistics of this measure in the study by Leuz et al. (2003) show that earnings are smoother in Continental Europe and Asia than in Anglo-American countries. Even though I will be using another index than the one used by them, I expect to find the same outcome. Based on the previous discussion I formulated the following hypothesis:</w:t>
      </w:r>
    </w:p>
    <w:p w:rsidR="00432023" w:rsidRPr="00BC6B94" w:rsidRDefault="00432023" w:rsidP="00432023">
      <w:pPr>
        <w:rPr>
          <w:rFonts w:ascii="Times New Roman" w:hAnsi="Times New Roman" w:cs="Times New Roman"/>
          <w:sz w:val="24"/>
          <w:szCs w:val="24"/>
        </w:rPr>
      </w:pPr>
    </w:p>
    <w:p w:rsidR="00432023" w:rsidRPr="00BC6B94" w:rsidRDefault="00432023" w:rsidP="00432023">
      <w:pPr>
        <w:shd w:val="clear" w:color="auto" w:fill="FFFFFF"/>
        <w:spacing w:line="360" w:lineRule="auto"/>
        <w:ind w:left="720" w:hanging="720"/>
        <w:rPr>
          <w:rFonts w:ascii="Times New Roman" w:hAnsi="Times New Roman" w:cs="Times New Roman"/>
          <w:i/>
          <w:sz w:val="24"/>
          <w:szCs w:val="24"/>
        </w:rPr>
      </w:pPr>
      <w:r w:rsidRPr="00BC6B94">
        <w:rPr>
          <w:rFonts w:ascii="Times New Roman" w:hAnsi="Times New Roman" w:cs="Times New Roman"/>
          <w:b/>
          <w:sz w:val="24"/>
          <w:szCs w:val="24"/>
        </w:rPr>
        <w:t>H1:</w:t>
      </w:r>
      <w:r w:rsidRPr="00BC6B94">
        <w:rPr>
          <w:rFonts w:ascii="Times New Roman" w:hAnsi="Times New Roman" w:cs="Times New Roman"/>
          <w:sz w:val="24"/>
          <w:szCs w:val="24"/>
        </w:rPr>
        <w:t xml:space="preserve"> </w:t>
      </w:r>
      <w:r w:rsidRPr="00BC6B94">
        <w:rPr>
          <w:rFonts w:ascii="Times New Roman" w:hAnsi="Times New Roman" w:cs="Times New Roman"/>
          <w:sz w:val="24"/>
          <w:szCs w:val="24"/>
        </w:rPr>
        <w:tab/>
      </w:r>
      <w:r w:rsidRPr="00BC6B94">
        <w:rPr>
          <w:rFonts w:ascii="Times New Roman" w:hAnsi="Times New Roman" w:cs="Times New Roman"/>
          <w:i/>
          <w:iCs/>
          <w:sz w:val="24"/>
          <w:szCs w:val="24"/>
        </w:rPr>
        <w:t>Real income smoothing is more pervasive in countries with weak investor protection than in countries with strong investor protection</w:t>
      </w:r>
    </w:p>
    <w:p w:rsidR="00432023" w:rsidRPr="00BC6B94" w:rsidRDefault="00432023" w:rsidP="00432023">
      <w:pPr>
        <w:spacing w:line="360" w:lineRule="auto"/>
        <w:ind w:left="720" w:hanging="720"/>
        <w:contextualSpacing/>
        <w:rPr>
          <w:rFonts w:ascii="Times New Roman" w:hAnsi="Times New Roman" w:cs="Times New Roman"/>
          <w:sz w:val="24"/>
          <w:szCs w:val="24"/>
        </w:rPr>
      </w:pPr>
    </w:p>
    <w:p w:rsidR="00432023" w:rsidRPr="00BC6B94" w:rsidRDefault="00432023" w:rsidP="00432023">
      <w:pPr>
        <w:tabs>
          <w:tab w:val="left" w:pos="810"/>
        </w:tabs>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 xml:space="preserve">Income smoothing consists of two types of smoothing, real and artificial. In previous research (Leuz et al. 2003) the pervasiveness of artificial smoothing in several countries has been researched. The measure which was used to get an indication of this form of earnings management is the contemporaneous Spearman correlation between changes in accounting accruals and changes in operating cash flows. The empirical results showed that earnings smoothing is more pervasive in countries like Greece and Japan than in countries like Japan and the U.S. In their research Greece and Japan are considered low investor protection countries, based on the indexes from La Porta et al. (1998). This research, however, will use another index to classify countries as either high or low investor environment countries. After having compared the La Porta index and the anti-self-dealing index that I will be using, I foresee no major changes in the classification of low and high investor protection countries. So, I expect my results not to differ significantly from the results by Leuz et al. (2003). </w:t>
      </w:r>
    </w:p>
    <w:p w:rsidR="00432023" w:rsidRPr="00BC6B94" w:rsidRDefault="00432023" w:rsidP="00432023">
      <w:pPr>
        <w:spacing w:line="360" w:lineRule="auto"/>
        <w:ind w:left="720" w:hanging="720"/>
        <w:contextualSpacing/>
        <w:rPr>
          <w:rFonts w:ascii="Times New Roman" w:hAnsi="Times New Roman" w:cs="Times New Roman"/>
          <w:sz w:val="24"/>
          <w:szCs w:val="24"/>
        </w:rPr>
      </w:pPr>
    </w:p>
    <w:p w:rsidR="00432023" w:rsidRPr="00BC6B94" w:rsidRDefault="00432023" w:rsidP="00432023">
      <w:pPr>
        <w:spacing w:line="360" w:lineRule="auto"/>
        <w:ind w:left="720" w:hanging="720"/>
        <w:contextualSpacing/>
        <w:rPr>
          <w:rFonts w:ascii="Times New Roman" w:hAnsi="Times New Roman" w:cs="Times New Roman"/>
          <w:sz w:val="24"/>
          <w:szCs w:val="24"/>
        </w:rPr>
      </w:pPr>
      <w:r w:rsidRPr="00BC6B94">
        <w:rPr>
          <w:rFonts w:ascii="Times New Roman" w:hAnsi="Times New Roman" w:cs="Times New Roman"/>
          <w:sz w:val="24"/>
          <w:szCs w:val="24"/>
        </w:rPr>
        <w:t>The foregone discussion led me to formulate the following hypothesis:</w:t>
      </w:r>
    </w:p>
    <w:p w:rsidR="00432023" w:rsidRPr="00BC6B94" w:rsidRDefault="00432023" w:rsidP="00432023">
      <w:pPr>
        <w:spacing w:line="360" w:lineRule="auto"/>
        <w:ind w:left="720" w:hanging="720"/>
        <w:contextualSpacing/>
        <w:rPr>
          <w:rFonts w:ascii="Times New Roman" w:hAnsi="Times New Roman" w:cs="Times New Roman"/>
          <w:sz w:val="24"/>
          <w:szCs w:val="24"/>
        </w:rPr>
      </w:pPr>
      <w:r w:rsidRPr="00BC6B94">
        <w:rPr>
          <w:rFonts w:ascii="Times New Roman" w:hAnsi="Times New Roman" w:cs="Times New Roman"/>
          <w:b/>
          <w:sz w:val="24"/>
          <w:szCs w:val="24"/>
        </w:rPr>
        <w:t>H2:</w:t>
      </w:r>
      <w:r w:rsidRPr="00BC6B94">
        <w:rPr>
          <w:rFonts w:ascii="Times New Roman" w:hAnsi="Times New Roman" w:cs="Times New Roman"/>
          <w:sz w:val="24"/>
          <w:szCs w:val="24"/>
        </w:rPr>
        <w:t xml:space="preserve"> </w:t>
      </w:r>
      <w:r w:rsidRPr="00BC6B94">
        <w:rPr>
          <w:rFonts w:ascii="Times New Roman" w:hAnsi="Times New Roman" w:cs="Times New Roman"/>
          <w:sz w:val="24"/>
          <w:szCs w:val="24"/>
        </w:rPr>
        <w:tab/>
      </w:r>
      <w:r w:rsidRPr="00BC6B94">
        <w:rPr>
          <w:rFonts w:ascii="Times New Roman" w:hAnsi="Times New Roman" w:cs="Times New Roman"/>
          <w:i/>
          <w:sz w:val="24"/>
          <w:szCs w:val="24"/>
        </w:rPr>
        <w:t xml:space="preserve">Artificial income smoothing is more pervasive in weak investor protection countries </w:t>
      </w:r>
    </w:p>
    <w:p w:rsidR="00432023" w:rsidRPr="00BC6B94" w:rsidRDefault="00432023" w:rsidP="00432023">
      <w:pPr>
        <w:spacing w:line="360" w:lineRule="auto"/>
        <w:ind w:firstLine="720"/>
        <w:contextualSpacing/>
        <w:rPr>
          <w:rFonts w:ascii="Times New Roman" w:hAnsi="Times New Roman" w:cs="Times New Roman"/>
          <w:sz w:val="24"/>
          <w:szCs w:val="24"/>
        </w:rPr>
      </w:pPr>
    </w:p>
    <w:p w:rsidR="00432023" w:rsidRPr="00BC6B94" w:rsidRDefault="00432023" w:rsidP="00432023">
      <w:pPr>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lastRenderedPageBreak/>
        <w:t>The aforementioned components of income smoothing will determine the aggregate measure for income smoothing.</w:t>
      </w:r>
    </w:p>
    <w:p w:rsidR="00432023" w:rsidRPr="00BC6B94" w:rsidRDefault="00432023" w:rsidP="00432023">
      <w:pPr>
        <w:spacing w:line="360" w:lineRule="auto"/>
        <w:contextualSpacing/>
        <w:rPr>
          <w:rFonts w:ascii="Times New Roman" w:hAnsi="Times New Roman" w:cs="Times New Roman"/>
          <w:sz w:val="24"/>
          <w:szCs w:val="24"/>
        </w:rPr>
      </w:pPr>
    </w:p>
    <w:p w:rsidR="00432023" w:rsidRPr="00BC6B94" w:rsidRDefault="00432023" w:rsidP="00432023">
      <w:pPr>
        <w:spacing w:line="360" w:lineRule="auto"/>
        <w:ind w:left="720" w:hanging="720"/>
        <w:contextualSpacing/>
        <w:rPr>
          <w:rFonts w:ascii="Times New Roman" w:hAnsi="Times New Roman" w:cs="Times New Roman"/>
          <w:i/>
          <w:sz w:val="24"/>
          <w:szCs w:val="24"/>
        </w:rPr>
      </w:pPr>
      <w:r w:rsidRPr="00BC6B94">
        <w:rPr>
          <w:rFonts w:ascii="Times New Roman" w:hAnsi="Times New Roman" w:cs="Times New Roman"/>
          <w:b/>
          <w:sz w:val="24"/>
          <w:szCs w:val="24"/>
        </w:rPr>
        <w:t>H3:</w:t>
      </w:r>
      <w:r w:rsidRPr="00BC6B94">
        <w:rPr>
          <w:rFonts w:ascii="Times New Roman" w:hAnsi="Times New Roman" w:cs="Times New Roman"/>
          <w:sz w:val="24"/>
          <w:szCs w:val="24"/>
        </w:rPr>
        <w:tab/>
        <w:t xml:space="preserve"> </w:t>
      </w:r>
      <w:r w:rsidRPr="00BC6B94">
        <w:rPr>
          <w:rFonts w:ascii="Times New Roman" w:hAnsi="Times New Roman" w:cs="Times New Roman"/>
          <w:i/>
          <w:sz w:val="24"/>
          <w:szCs w:val="24"/>
        </w:rPr>
        <w:t xml:space="preserve">Total income smoothing is negatively related to private enforcement and public enforcement </w:t>
      </w:r>
    </w:p>
    <w:p w:rsidR="00432023" w:rsidRPr="00BC6B94" w:rsidRDefault="00432023" w:rsidP="00432023">
      <w:pPr>
        <w:spacing w:line="360" w:lineRule="auto"/>
        <w:ind w:left="720" w:hanging="720"/>
        <w:contextualSpacing/>
        <w:rPr>
          <w:rFonts w:ascii="Times New Roman" w:hAnsi="Times New Roman" w:cs="Times New Roman"/>
          <w:sz w:val="24"/>
          <w:szCs w:val="24"/>
        </w:rPr>
      </w:pPr>
    </w:p>
    <w:p w:rsidR="00432023" w:rsidRPr="00BC6B94" w:rsidRDefault="00432023" w:rsidP="00432023">
      <w:pPr>
        <w:spacing w:line="360" w:lineRule="auto"/>
        <w:ind w:left="705" w:hanging="705"/>
        <w:rPr>
          <w:rFonts w:ascii="Times New Roman" w:hAnsi="Times New Roman" w:cs="Times New Roman"/>
          <w:i/>
          <w:sz w:val="24"/>
          <w:szCs w:val="24"/>
        </w:rPr>
      </w:pPr>
      <w:r w:rsidRPr="00BC6B94">
        <w:rPr>
          <w:rFonts w:ascii="Times New Roman" w:hAnsi="Times New Roman" w:cs="Times New Roman"/>
          <w:b/>
          <w:sz w:val="24"/>
          <w:szCs w:val="24"/>
        </w:rPr>
        <w:t xml:space="preserve">H4: </w:t>
      </w:r>
      <w:r w:rsidRPr="00BC6B94">
        <w:rPr>
          <w:rFonts w:ascii="Times New Roman" w:hAnsi="Times New Roman" w:cs="Times New Roman"/>
          <w:b/>
          <w:sz w:val="24"/>
          <w:szCs w:val="24"/>
        </w:rPr>
        <w:tab/>
      </w:r>
      <w:r w:rsidRPr="00BC6B94">
        <w:rPr>
          <w:rFonts w:ascii="Times New Roman" w:hAnsi="Times New Roman" w:cs="Times New Roman"/>
          <w:i/>
          <w:sz w:val="24"/>
          <w:szCs w:val="24"/>
        </w:rPr>
        <w:t xml:space="preserve">Real income smoothing in the post-IFRS period is low in countries with weak investor protection </w:t>
      </w:r>
    </w:p>
    <w:p w:rsidR="00432023" w:rsidRPr="00BC6B94" w:rsidRDefault="00432023" w:rsidP="00432023">
      <w:pPr>
        <w:spacing w:line="360" w:lineRule="auto"/>
        <w:ind w:left="705" w:hanging="705"/>
        <w:rPr>
          <w:rFonts w:ascii="Times New Roman" w:hAnsi="Times New Roman" w:cs="Times New Roman"/>
          <w:i/>
          <w:sz w:val="24"/>
          <w:szCs w:val="24"/>
        </w:rPr>
      </w:pPr>
      <w:r w:rsidRPr="00BC6B94">
        <w:rPr>
          <w:rFonts w:ascii="Times New Roman" w:hAnsi="Times New Roman" w:cs="Times New Roman"/>
          <w:b/>
          <w:sz w:val="24"/>
          <w:szCs w:val="24"/>
        </w:rPr>
        <w:t xml:space="preserve">H5: </w:t>
      </w:r>
      <w:r w:rsidRPr="00BC6B94">
        <w:rPr>
          <w:rFonts w:ascii="Times New Roman" w:hAnsi="Times New Roman" w:cs="Times New Roman"/>
          <w:i/>
          <w:sz w:val="24"/>
          <w:szCs w:val="24"/>
        </w:rPr>
        <w:tab/>
        <w:t xml:space="preserve">Artificial income smoothing </w:t>
      </w:r>
      <w:r w:rsidR="00360ABA">
        <w:rPr>
          <w:rFonts w:ascii="Times New Roman" w:hAnsi="Times New Roman" w:cs="Times New Roman"/>
          <w:i/>
          <w:sz w:val="24"/>
          <w:szCs w:val="24"/>
        </w:rPr>
        <w:t>i</w:t>
      </w:r>
      <w:r w:rsidRPr="00BC6B94">
        <w:rPr>
          <w:rFonts w:ascii="Times New Roman" w:hAnsi="Times New Roman" w:cs="Times New Roman"/>
          <w:i/>
          <w:sz w:val="24"/>
          <w:szCs w:val="24"/>
        </w:rPr>
        <w:t>n the post-IFRS period is more pervasive in weak investor protection countries</w:t>
      </w:r>
    </w:p>
    <w:p w:rsidR="00432023" w:rsidRPr="00BC6B94" w:rsidRDefault="00432023" w:rsidP="00432023">
      <w:pPr>
        <w:spacing w:line="360" w:lineRule="auto"/>
        <w:ind w:left="705" w:hanging="705"/>
        <w:rPr>
          <w:rFonts w:ascii="Times New Roman" w:hAnsi="Times New Roman" w:cs="Times New Roman"/>
          <w:i/>
          <w:sz w:val="24"/>
          <w:szCs w:val="24"/>
        </w:rPr>
      </w:pP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Today, there is enough data available to do a comparison between pre-IFRS period and a post-IFRS period in levels of income smoothing. This will show whether IFRS adoption has reduced the smoothing of earnings.</w:t>
      </w:r>
    </w:p>
    <w:p w:rsidR="00432023" w:rsidRDefault="00432023" w:rsidP="00432023">
      <w:pPr>
        <w:spacing w:line="360" w:lineRule="auto"/>
        <w:ind w:left="705" w:hanging="705"/>
        <w:rPr>
          <w:i/>
        </w:rPr>
      </w:pPr>
    </w:p>
    <w:p w:rsidR="00432023" w:rsidRPr="00BC6B94" w:rsidRDefault="00432023" w:rsidP="00432023">
      <w:pPr>
        <w:pStyle w:val="Heading4"/>
        <w:rPr>
          <w:rFonts w:ascii="Calibri" w:hAnsi="Calibri"/>
        </w:rPr>
      </w:pPr>
      <w:bookmarkStart w:id="58" w:name="_Toc254909683"/>
      <w:bookmarkStart w:id="59" w:name="_Toc268669752"/>
      <w:r w:rsidRPr="00BC6B94">
        <w:rPr>
          <w:rFonts w:ascii="Calibri" w:hAnsi="Calibri"/>
        </w:rPr>
        <w:t>8.2</w:t>
      </w:r>
      <w:r w:rsidRPr="00BC6B94">
        <w:rPr>
          <w:rFonts w:ascii="Calibri" w:hAnsi="Calibri"/>
        </w:rPr>
        <w:tab/>
        <w:t>Measuring investor protection</w:t>
      </w:r>
      <w:bookmarkEnd w:id="58"/>
      <w:bookmarkEnd w:id="59"/>
    </w:p>
    <w:p w:rsidR="00432023" w:rsidRPr="00BC6B94" w:rsidRDefault="00432023" w:rsidP="00432023">
      <w:pPr>
        <w:rPr>
          <w:rFonts w:ascii="Calibri" w:hAnsi="Calibri"/>
        </w:rPr>
      </w:pPr>
    </w:p>
    <w:p w:rsidR="00432023" w:rsidRPr="00BC6B94" w:rsidRDefault="00432023" w:rsidP="00432023">
      <w:pPr>
        <w:autoSpaceDE w:val="0"/>
        <w:autoSpaceDN w:val="0"/>
        <w:adjustRightInd w:val="0"/>
        <w:spacing w:line="360" w:lineRule="auto"/>
        <w:rPr>
          <w:rFonts w:ascii="Times New Roman" w:hAnsi="Times New Roman" w:cs="Times New Roman"/>
          <w:sz w:val="24"/>
          <w:szCs w:val="24"/>
        </w:rPr>
      </w:pPr>
      <w:r w:rsidRPr="00BC6B94">
        <w:rPr>
          <w:rFonts w:ascii="Times New Roman" w:hAnsi="Times New Roman" w:cs="Times New Roman"/>
          <w:sz w:val="24"/>
          <w:szCs w:val="24"/>
        </w:rPr>
        <w:t>In the available literature several researchers have established indices to measure investor protection. Leuz et al. (2003) used the La Porta index in their study, which focused on the relationship between earnings management and investor protection. The indices from La Porta et al. (1998) were based on</w:t>
      </w:r>
      <w:r w:rsidRPr="00BC6B94">
        <w:rPr>
          <w:rFonts w:ascii="Times New Roman" w:hAnsi="Times New Roman" w:cs="Times New Roman"/>
          <w:color w:val="000000"/>
          <w:sz w:val="24"/>
          <w:szCs w:val="24"/>
        </w:rPr>
        <w:t xml:space="preserve"> laws in force </w:t>
      </w:r>
      <w:r w:rsidR="00360ABA">
        <w:rPr>
          <w:rFonts w:ascii="Times New Roman" w:hAnsi="Times New Roman" w:cs="Times New Roman"/>
          <w:color w:val="000000"/>
          <w:sz w:val="24"/>
          <w:szCs w:val="24"/>
        </w:rPr>
        <w:t>around</w:t>
      </w:r>
      <w:r w:rsidRPr="00BC6B94">
        <w:rPr>
          <w:rFonts w:ascii="Times New Roman" w:hAnsi="Times New Roman" w:cs="Times New Roman"/>
          <w:color w:val="000000"/>
          <w:sz w:val="24"/>
          <w:szCs w:val="24"/>
        </w:rPr>
        <w:t xml:space="preserve"> 1993 and are available for 49 countries. Their </w:t>
      </w:r>
      <w:r w:rsidRPr="00BC6B94">
        <w:rPr>
          <w:rFonts w:ascii="Times New Roman" w:hAnsi="Times New Roman" w:cs="Times New Roman"/>
          <w:i/>
          <w:color w:val="000000"/>
          <w:sz w:val="24"/>
          <w:szCs w:val="24"/>
        </w:rPr>
        <w:t>anti-director rights</w:t>
      </w:r>
      <w:r w:rsidRPr="00BC6B94">
        <w:rPr>
          <w:rFonts w:ascii="Times New Roman" w:hAnsi="Times New Roman" w:cs="Times New Roman"/>
          <w:color w:val="000000"/>
          <w:sz w:val="24"/>
          <w:szCs w:val="24"/>
        </w:rPr>
        <w:t xml:space="preserve"> index, however, has been criticized by several researchers for its ad hoc nature, for mistakes in its coding, and most recently for conceptual ambiguity in the definitions of some of its components </w:t>
      </w:r>
      <w:r w:rsidRPr="00BC6B94">
        <w:rPr>
          <w:rFonts w:ascii="Times New Roman" w:hAnsi="Times New Roman" w:cs="Times New Roman"/>
          <w:sz w:val="24"/>
          <w:szCs w:val="24"/>
        </w:rPr>
        <w:t xml:space="preserve">(Pagano and Volpin, 2005). </w:t>
      </w:r>
    </w:p>
    <w:p w:rsidR="00432023" w:rsidRPr="00BC6B94" w:rsidRDefault="00432023" w:rsidP="00432023">
      <w:pPr>
        <w:autoSpaceDE w:val="0"/>
        <w:autoSpaceDN w:val="0"/>
        <w:adjustRightInd w:val="0"/>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There is an alternative index that can be used; the more recent and revised </w:t>
      </w:r>
      <w:r w:rsidRPr="00BC6B94">
        <w:rPr>
          <w:rFonts w:ascii="Times New Roman" w:hAnsi="Times New Roman" w:cs="Times New Roman"/>
          <w:i/>
          <w:sz w:val="24"/>
          <w:szCs w:val="24"/>
        </w:rPr>
        <w:t>anti-self-dealing index</w:t>
      </w:r>
      <w:r w:rsidRPr="00BC6B94">
        <w:rPr>
          <w:rFonts w:ascii="Times New Roman" w:hAnsi="Times New Roman" w:cs="Times New Roman"/>
          <w:sz w:val="24"/>
          <w:szCs w:val="24"/>
        </w:rPr>
        <w:t xml:space="preserve"> defined by Djankov, La Porta, Lopez-de-Silanes and Shleifer (2007). This index generally works better than the former anti-director rights index (Djankov et al. 2007). </w:t>
      </w:r>
    </w:p>
    <w:p w:rsidR="00432023" w:rsidRPr="00BC6B94" w:rsidRDefault="00432023" w:rsidP="00432023">
      <w:pPr>
        <w:autoSpaceDE w:val="0"/>
        <w:autoSpaceDN w:val="0"/>
        <w:adjustRightInd w:val="0"/>
        <w:spacing w:line="360" w:lineRule="auto"/>
        <w:rPr>
          <w:rFonts w:ascii="Times New Roman" w:hAnsi="Times New Roman" w:cs="Times New Roman"/>
          <w:sz w:val="24"/>
          <w:szCs w:val="24"/>
        </w:rPr>
      </w:pP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lastRenderedPageBreak/>
        <w:t>The following facts have led me to believe that the anti-self-dealing index is suitable for my research:</w:t>
      </w:r>
    </w:p>
    <w:p w:rsidR="00432023" w:rsidRPr="00BC6B94" w:rsidRDefault="00432023" w:rsidP="00432023">
      <w:pPr>
        <w:pStyle w:val="ListParagraph"/>
        <w:numPr>
          <w:ilvl w:val="0"/>
          <w:numId w:val="44"/>
        </w:numPr>
        <w:spacing w:line="360" w:lineRule="auto"/>
        <w:jc w:val="left"/>
        <w:rPr>
          <w:rFonts w:ascii="Times New Roman" w:hAnsi="Times New Roman" w:cs="Times New Roman"/>
          <w:sz w:val="24"/>
          <w:szCs w:val="24"/>
        </w:rPr>
      </w:pPr>
      <w:r w:rsidRPr="00BC6B94">
        <w:rPr>
          <w:rFonts w:ascii="Times New Roman" w:hAnsi="Times New Roman" w:cs="Times New Roman"/>
          <w:sz w:val="24"/>
          <w:szCs w:val="24"/>
        </w:rPr>
        <w:t>This index is more applicable for my research, because it is based on legal rules prevailing in 2003, in contrast to the anti-director rights index which is based on rules in effect around 1993.</w:t>
      </w:r>
    </w:p>
    <w:p w:rsidR="00432023" w:rsidRPr="00BC6B94" w:rsidRDefault="00432023" w:rsidP="00432023">
      <w:pPr>
        <w:pStyle w:val="ListParagraph"/>
        <w:spacing w:line="360" w:lineRule="auto"/>
        <w:jc w:val="left"/>
        <w:rPr>
          <w:rFonts w:ascii="Times New Roman" w:hAnsi="Times New Roman" w:cs="Times New Roman"/>
          <w:sz w:val="24"/>
          <w:szCs w:val="24"/>
        </w:rPr>
      </w:pPr>
    </w:p>
    <w:p w:rsidR="00432023" w:rsidRPr="00BC6B94" w:rsidRDefault="00432023" w:rsidP="00432023">
      <w:pPr>
        <w:pStyle w:val="ListParagraph"/>
        <w:numPr>
          <w:ilvl w:val="0"/>
          <w:numId w:val="44"/>
        </w:numPr>
        <w:spacing w:line="360" w:lineRule="auto"/>
        <w:jc w:val="left"/>
        <w:rPr>
          <w:rFonts w:ascii="Times New Roman" w:hAnsi="Times New Roman" w:cs="Times New Roman"/>
          <w:sz w:val="24"/>
          <w:szCs w:val="24"/>
        </w:rPr>
      </w:pPr>
      <w:r w:rsidRPr="00BC6B94">
        <w:rPr>
          <w:rFonts w:ascii="Times New Roman" w:hAnsi="Times New Roman" w:cs="Times New Roman"/>
          <w:sz w:val="24"/>
          <w:szCs w:val="24"/>
        </w:rPr>
        <w:t>The investor protection indices are constructed for 72 countries, which enables me to conduct research on the 31 countries my thesis will focus on.</w:t>
      </w:r>
    </w:p>
    <w:p w:rsidR="00432023" w:rsidRPr="00BC6B94" w:rsidRDefault="00432023" w:rsidP="00432023">
      <w:pPr>
        <w:pStyle w:val="ListParagraph"/>
        <w:spacing w:line="360" w:lineRule="auto"/>
        <w:jc w:val="left"/>
        <w:rPr>
          <w:rFonts w:ascii="Times New Roman" w:hAnsi="Times New Roman" w:cs="Times New Roman"/>
          <w:sz w:val="24"/>
          <w:szCs w:val="24"/>
        </w:rPr>
      </w:pPr>
    </w:p>
    <w:p w:rsidR="00432023" w:rsidRPr="00BC6B94" w:rsidRDefault="00432023" w:rsidP="00432023">
      <w:pPr>
        <w:pStyle w:val="ListParagraph"/>
        <w:numPr>
          <w:ilvl w:val="0"/>
          <w:numId w:val="44"/>
        </w:numPr>
        <w:spacing w:line="360" w:lineRule="auto"/>
        <w:jc w:val="left"/>
        <w:rPr>
          <w:rFonts w:ascii="Times New Roman" w:hAnsi="Times New Roman" w:cs="Times New Roman"/>
          <w:sz w:val="24"/>
          <w:szCs w:val="24"/>
        </w:rPr>
      </w:pPr>
      <w:r w:rsidRPr="00BC6B94">
        <w:rPr>
          <w:rFonts w:ascii="Times New Roman" w:hAnsi="Times New Roman" w:cs="Times New Roman"/>
          <w:sz w:val="24"/>
          <w:szCs w:val="24"/>
        </w:rPr>
        <w:t xml:space="preserve">Djankov et al. (2007) clearly state that their index is based on controllers of companies who act in their own interest at the expense of other investors, </w:t>
      </w:r>
      <w:r w:rsidRPr="00BC6B94">
        <w:rPr>
          <w:rFonts w:ascii="Times New Roman" w:hAnsi="Times New Roman" w:cs="Times New Roman"/>
          <w:i/>
          <w:sz w:val="24"/>
          <w:szCs w:val="24"/>
        </w:rPr>
        <w:t xml:space="preserve">but </w:t>
      </w:r>
      <w:r w:rsidRPr="00BC6B94">
        <w:rPr>
          <w:rFonts w:ascii="Times New Roman" w:hAnsi="Times New Roman" w:cs="Times New Roman"/>
          <w:sz w:val="24"/>
          <w:szCs w:val="24"/>
        </w:rPr>
        <w:t>who follow the law regarding disclosure and approval procedures. This means that the index is based on interests that are relevant for earnings management. They do not address cases of corporate crime.</w:t>
      </w:r>
    </w:p>
    <w:p w:rsidR="00432023" w:rsidRPr="00BC6B94" w:rsidRDefault="00432023" w:rsidP="00432023">
      <w:pPr>
        <w:pStyle w:val="Heading4"/>
        <w:rPr>
          <w:rFonts w:ascii="Calibri" w:hAnsi="Calibri"/>
        </w:rPr>
      </w:pPr>
      <w:bookmarkStart w:id="60" w:name="_Toc254909684"/>
      <w:bookmarkStart w:id="61" w:name="_Toc268669753"/>
      <w:r w:rsidRPr="00BC6B94">
        <w:rPr>
          <w:rFonts w:ascii="Calibri" w:hAnsi="Calibri"/>
        </w:rPr>
        <w:t>8.3</w:t>
      </w:r>
      <w:r w:rsidRPr="00BC6B94">
        <w:rPr>
          <w:rFonts w:ascii="Calibri" w:hAnsi="Calibri"/>
        </w:rPr>
        <w:tab/>
        <w:t xml:space="preserve"> Measuring income smoothing</w:t>
      </w:r>
      <w:bookmarkEnd w:id="60"/>
      <w:bookmarkEnd w:id="61"/>
    </w:p>
    <w:p w:rsidR="00432023" w:rsidRPr="00B718DB" w:rsidRDefault="00432023" w:rsidP="00432023"/>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As I mentioned earlier, insiders can conceal changes in the economic performance of the firm in two ways:</w:t>
      </w:r>
    </w:p>
    <w:p w:rsidR="00432023" w:rsidRPr="00BC6B94" w:rsidRDefault="00432023" w:rsidP="00432023">
      <w:pPr>
        <w:pStyle w:val="ListParagraph"/>
        <w:numPr>
          <w:ilvl w:val="0"/>
          <w:numId w:val="45"/>
        </w:numPr>
        <w:spacing w:line="360" w:lineRule="auto"/>
        <w:jc w:val="left"/>
        <w:rPr>
          <w:rFonts w:ascii="Times New Roman" w:hAnsi="Times New Roman" w:cs="Times New Roman"/>
          <w:sz w:val="24"/>
          <w:szCs w:val="24"/>
        </w:rPr>
      </w:pPr>
      <w:r w:rsidRPr="00BC6B94">
        <w:rPr>
          <w:rFonts w:ascii="Times New Roman" w:hAnsi="Times New Roman" w:cs="Times New Roman"/>
          <w:sz w:val="24"/>
          <w:szCs w:val="24"/>
        </w:rPr>
        <w:t>By their real operating decisions (</w:t>
      </w:r>
      <w:r w:rsidRPr="00BC6B94">
        <w:rPr>
          <w:rFonts w:ascii="Times New Roman" w:hAnsi="Times New Roman" w:cs="Times New Roman"/>
          <w:i/>
          <w:sz w:val="24"/>
          <w:szCs w:val="24"/>
        </w:rPr>
        <w:t>real smoothing</w:t>
      </w:r>
      <w:r w:rsidRPr="00BC6B94">
        <w:rPr>
          <w:rFonts w:ascii="Times New Roman" w:hAnsi="Times New Roman" w:cs="Times New Roman"/>
          <w:sz w:val="24"/>
          <w:szCs w:val="24"/>
        </w:rPr>
        <w:t>) and,</w:t>
      </w:r>
    </w:p>
    <w:p w:rsidR="00432023" w:rsidRPr="00BC6B94" w:rsidRDefault="00432023" w:rsidP="00432023">
      <w:pPr>
        <w:pStyle w:val="ListParagraph"/>
        <w:numPr>
          <w:ilvl w:val="0"/>
          <w:numId w:val="45"/>
        </w:numPr>
        <w:spacing w:line="360" w:lineRule="auto"/>
        <w:jc w:val="left"/>
        <w:rPr>
          <w:rFonts w:ascii="Times New Roman" w:hAnsi="Times New Roman" w:cs="Times New Roman"/>
          <w:sz w:val="24"/>
          <w:szCs w:val="24"/>
        </w:rPr>
      </w:pPr>
      <w:r w:rsidRPr="00BC6B94">
        <w:rPr>
          <w:rFonts w:ascii="Times New Roman" w:hAnsi="Times New Roman" w:cs="Times New Roman"/>
          <w:sz w:val="24"/>
          <w:szCs w:val="24"/>
        </w:rPr>
        <w:t>By their financial reporting choices (</w:t>
      </w:r>
      <w:r w:rsidRPr="00BC6B94">
        <w:rPr>
          <w:rFonts w:ascii="Times New Roman" w:hAnsi="Times New Roman" w:cs="Times New Roman"/>
          <w:i/>
          <w:sz w:val="24"/>
          <w:szCs w:val="24"/>
        </w:rPr>
        <w:t>artificial smoothing</w:t>
      </w:r>
      <w:r w:rsidRPr="00BC6B94">
        <w:rPr>
          <w:rFonts w:ascii="Times New Roman" w:hAnsi="Times New Roman" w:cs="Times New Roman"/>
          <w:sz w:val="24"/>
          <w:szCs w:val="24"/>
        </w:rPr>
        <w:t>)</w:t>
      </w:r>
    </w:p>
    <w:p w:rsidR="00432023" w:rsidRPr="00BC6B94" w:rsidRDefault="00432023" w:rsidP="00432023">
      <w:pPr>
        <w:autoSpaceDE w:val="0"/>
        <w:autoSpaceDN w:val="0"/>
        <w:adjustRightInd w:val="0"/>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For both forms of smoothing, measurements have been developed by Leuz et al. (2003), which I will use in my statistical analysis. For managers and other controlling insiders, real smoothing has the added benefit that it is less </w:t>
      </w:r>
      <w:r w:rsidRPr="00BC6B94">
        <w:rPr>
          <w:rFonts w:ascii="Times New Roman" w:hAnsi="Times New Roman" w:cs="Times New Roman"/>
          <w:i/>
          <w:iCs/>
          <w:sz w:val="24"/>
          <w:szCs w:val="24"/>
        </w:rPr>
        <w:t xml:space="preserve">transparent </w:t>
      </w:r>
      <w:r w:rsidRPr="00BC6B94">
        <w:rPr>
          <w:rFonts w:ascii="Times New Roman" w:hAnsi="Times New Roman" w:cs="Times New Roman"/>
          <w:sz w:val="24"/>
          <w:szCs w:val="24"/>
        </w:rPr>
        <w:t>and thus much harder to detect and deter than artificial smoothing (Ewert and Wagenhofer, 2005).</w:t>
      </w:r>
      <w:r w:rsidRPr="00BC6B94">
        <w:rPr>
          <w:rFonts w:ascii="Times New Roman" w:hAnsi="Times New Roman" w:cs="Times New Roman"/>
          <w:color w:val="FF0000"/>
          <w:sz w:val="24"/>
          <w:szCs w:val="24"/>
        </w:rPr>
        <w:t xml:space="preserve"> </w:t>
      </w:r>
      <w:r w:rsidRPr="00BC6B94">
        <w:rPr>
          <w:rFonts w:ascii="Times New Roman" w:hAnsi="Times New Roman" w:cs="Times New Roman"/>
          <w:sz w:val="24"/>
          <w:szCs w:val="24"/>
        </w:rPr>
        <w:t xml:space="preserve">Real smoothing involves making production and investment decisions so that the variability of earnings can be reduced. </w:t>
      </w:r>
    </w:p>
    <w:p w:rsidR="00432023" w:rsidRPr="00BC6B94" w:rsidRDefault="00432023" w:rsidP="00432023">
      <w:pPr>
        <w:autoSpaceDE w:val="0"/>
        <w:autoSpaceDN w:val="0"/>
        <w:adjustRightInd w:val="0"/>
        <w:spacing w:line="360" w:lineRule="auto"/>
        <w:rPr>
          <w:rFonts w:ascii="Times New Roman" w:hAnsi="Times New Roman" w:cs="Times New Roman"/>
          <w:color w:val="FF0000"/>
          <w:sz w:val="24"/>
          <w:szCs w:val="24"/>
        </w:rPr>
      </w:pPr>
      <w:r w:rsidRPr="00BC6B94">
        <w:rPr>
          <w:rFonts w:ascii="Times New Roman" w:hAnsi="Times New Roman" w:cs="Times New Roman"/>
          <w:sz w:val="24"/>
          <w:szCs w:val="24"/>
        </w:rPr>
        <w:t>The analytical literature offers insights into the incidence of artificial smoothing in principal–agent relationships. When the agent knows current earnings and has an imperfect signal on future earnings, the agent smoothes the first-period report around the future signal when he is restricted to communicating only the current period’s outcome.</w:t>
      </w:r>
    </w:p>
    <w:p w:rsidR="00432023" w:rsidRPr="00BC6B94" w:rsidRDefault="00432023" w:rsidP="00432023">
      <w:pPr>
        <w:spacing w:line="312" w:lineRule="auto"/>
        <w:outlineLvl w:val="0"/>
        <w:rPr>
          <w:rFonts w:ascii="Times New Roman" w:hAnsi="Times New Roman" w:cs="Times New Roman"/>
          <w:sz w:val="24"/>
          <w:szCs w:val="24"/>
          <w:lang w:val="en-GB"/>
        </w:rPr>
      </w:pPr>
      <w:bookmarkStart w:id="62" w:name="_Toc254909685"/>
      <w:bookmarkStart w:id="63" w:name="_Toc267969361"/>
      <w:bookmarkStart w:id="64" w:name="_Toc268230052"/>
      <w:bookmarkStart w:id="65" w:name="_Toc268634850"/>
      <w:bookmarkStart w:id="66" w:name="_Toc268639940"/>
      <w:bookmarkStart w:id="67" w:name="_Toc268655787"/>
      <w:bookmarkStart w:id="68" w:name="_Toc268669754"/>
      <w:r w:rsidRPr="00BC6B94">
        <w:rPr>
          <w:rFonts w:ascii="Times New Roman" w:hAnsi="Times New Roman" w:cs="Times New Roman"/>
          <w:sz w:val="24"/>
          <w:szCs w:val="24"/>
          <w:lang w:val="en-GB"/>
        </w:rPr>
        <w:lastRenderedPageBreak/>
        <w:t>The smoothing objects are the variables whose variations over time are to be controlled (Kamin &amp; Ronen, 1978; pp. 141, 145). The objects are chosen by the management regarding aimed at their incentives for income smoothing. Empirical studies which investigated income smoothing show that the most used object is income.</w:t>
      </w:r>
      <w:bookmarkEnd w:id="62"/>
      <w:bookmarkEnd w:id="63"/>
      <w:bookmarkEnd w:id="64"/>
      <w:bookmarkEnd w:id="65"/>
      <w:bookmarkEnd w:id="66"/>
      <w:bookmarkEnd w:id="67"/>
      <w:bookmarkEnd w:id="68"/>
      <w:r w:rsidRPr="00BC6B94">
        <w:rPr>
          <w:rFonts w:ascii="Times New Roman" w:hAnsi="Times New Roman" w:cs="Times New Roman"/>
          <w:sz w:val="24"/>
          <w:szCs w:val="24"/>
          <w:lang w:val="en-GB"/>
        </w:rPr>
        <w:t xml:space="preserve"> </w:t>
      </w:r>
    </w:p>
    <w:p w:rsidR="00432023" w:rsidRDefault="00432023" w:rsidP="00432023"/>
    <w:p w:rsidR="00432023" w:rsidRPr="00BC6B94" w:rsidRDefault="00432023" w:rsidP="00484783">
      <w:pPr>
        <w:pStyle w:val="Heading4"/>
        <w:contextualSpacing/>
        <w:rPr>
          <w:rFonts w:ascii="Calibri" w:hAnsi="Calibri"/>
        </w:rPr>
      </w:pPr>
      <w:bookmarkStart w:id="69" w:name="_Toc254909686"/>
      <w:bookmarkStart w:id="70" w:name="_Toc268669755"/>
      <w:r w:rsidRPr="00BC6B94">
        <w:rPr>
          <w:rFonts w:ascii="Calibri" w:hAnsi="Calibri"/>
        </w:rPr>
        <w:t xml:space="preserve">8.3.1 </w:t>
      </w:r>
      <w:r w:rsidRPr="00BC6B94">
        <w:rPr>
          <w:rFonts w:ascii="Calibri" w:hAnsi="Calibri"/>
        </w:rPr>
        <w:tab/>
        <w:t>Measuring real smoothing</w:t>
      </w:r>
      <w:bookmarkEnd w:id="69"/>
      <w:bookmarkEnd w:id="70"/>
    </w:p>
    <w:p w:rsidR="00432023" w:rsidRDefault="00432023" w:rsidP="00484783">
      <w:pPr>
        <w:autoSpaceDE w:val="0"/>
        <w:autoSpaceDN w:val="0"/>
        <w:adjustRightInd w:val="0"/>
        <w:spacing w:line="360" w:lineRule="auto"/>
        <w:contextualSpacing/>
        <w:rPr>
          <w:lang w:val="en-GB"/>
        </w:rPr>
      </w:pPr>
    </w:p>
    <w:p w:rsidR="00432023" w:rsidRPr="00BC6B94" w:rsidRDefault="00432023" w:rsidP="00484783">
      <w:pPr>
        <w:spacing w:line="360" w:lineRule="auto"/>
        <w:contextualSpacing/>
        <w:outlineLvl w:val="0"/>
        <w:rPr>
          <w:rFonts w:ascii="Times New Roman" w:hAnsi="Times New Roman" w:cs="Times New Roman"/>
          <w:sz w:val="24"/>
          <w:szCs w:val="24"/>
          <w:lang w:val="en-GB"/>
        </w:rPr>
      </w:pPr>
      <w:bookmarkStart w:id="71" w:name="_Toc254909687"/>
      <w:bookmarkStart w:id="72" w:name="_Toc267969363"/>
      <w:bookmarkStart w:id="73" w:name="_Toc268230054"/>
      <w:bookmarkStart w:id="74" w:name="_Toc268634852"/>
      <w:bookmarkStart w:id="75" w:name="_Toc268639942"/>
      <w:bookmarkStart w:id="76" w:name="_Toc268655789"/>
      <w:bookmarkStart w:id="77" w:name="_Toc268669756"/>
      <w:r w:rsidRPr="00BC6B94">
        <w:rPr>
          <w:rFonts w:ascii="Times New Roman" w:hAnsi="Times New Roman" w:cs="Times New Roman"/>
          <w:sz w:val="24"/>
          <w:szCs w:val="24"/>
          <w:lang w:val="en-GB"/>
        </w:rPr>
        <w:t>Real income smoothing measures the degree to which insiders reduce the variability of reported earnings by altering the accounting component of earnings. The measure is a country’s median ratio of the firm-level standard deviation of operating earnings divided by the firm-level standard deviation of cash flow from operations. The equation is as follows:</w:t>
      </w:r>
      <w:bookmarkEnd w:id="71"/>
      <w:bookmarkEnd w:id="72"/>
      <w:bookmarkEnd w:id="73"/>
      <w:bookmarkEnd w:id="74"/>
      <w:bookmarkEnd w:id="75"/>
      <w:bookmarkEnd w:id="76"/>
      <w:bookmarkEnd w:id="77"/>
    </w:p>
    <w:p w:rsidR="00432023" w:rsidRPr="00BC6B94" w:rsidRDefault="00432023" w:rsidP="00432023">
      <w:pPr>
        <w:spacing w:line="360" w:lineRule="auto"/>
        <w:outlineLvl w:val="0"/>
        <w:rPr>
          <w:rFonts w:ascii="Times New Roman" w:hAnsi="Times New Roman" w:cs="Times New Roman"/>
          <w:sz w:val="24"/>
          <w:szCs w:val="24"/>
          <w:lang w:val="en-GB"/>
        </w:rPr>
      </w:pP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color w:val="595959" w:themeColor="accent2" w:themeShade="80"/>
          <w:sz w:val="24"/>
          <w:szCs w:val="24"/>
          <w:lang w:val="en-GB"/>
        </w:rPr>
      </w:pPr>
      <m:oMathPara>
        <m:oMath>
          <m:r>
            <w:rPr>
              <w:rFonts w:ascii="Cambria Math" w:hAnsi="Cambria Math" w:cs="Times New Roman"/>
              <w:color w:val="700000"/>
              <w:sz w:val="24"/>
              <w:szCs w:val="24"/>
              <w:lang w:val="en-GB"/>
            </w:rPr>
            <m:t>IS</m:t>
          </m:r>
          <m:r>
            <w:rPr>
              <w:rFonts w:ascii="Cambria Math" w:hAnsi="Times New Roman" w:cs="Times New Roman"/>
              <w:color w:val="700000"/>
              <w:sz w:val="24"/>
              <w:szCs w:val="24"/>
              <w:lang w:val="en-GB"/>
            </w:rPr>
            <m:t>1=</m:t>
          </m:r>
          <m:f>
            <m:fPr>
              <m:ctrlPr>
                <w:rPr>
                  <w:rFonts w:ascii="Cambria Math" w:eastAsiaTheme="minorHAnsi" w:hAnsi="Times New Roman" w:cs="Times New Roman"/>
                  <w:i/>
                  <w:color w:val="700000"/>
                  <w:sz w:val="24"/>
                  <w:szCs w:val="24"/>
                  <w:lang w:val="en-GB"/>
                </w:rPr>
              </m:ctrlPr>
            </m:fPr>
            <m:num>
              <m:r>
                <w:rPr>
                  <w:rFonts w:ascii="Cambria Math" w:hAnsi="Cambria Math" w:cs="Times New Roman"/>
                  <w:color w:val="700000"/>
                  <w:sz w:val="24"/>
                  <w:szCs w:val="24"/>
                  <w:lang w:val="en-GB"/>
                </w:rPr>
                <m:t>σ</m:t>
              </m:r>
              <m:r>
                <w:rPr>
                  <w:rFonts w:ascii="Cambria Math" w:hAnsi="Times New Roman" w:cs="Times New Roman"/>
                  <w:color w:val="700000"/>
                  <w:sz w:val="24"/>
                  <w:szCs w:val="24"/>
                  <w:lang w:val="en-GB"/>
                </w:rPr>
                <m:t>(</m:t>
              </m:r>
              <m:r>
                <w:rPr>
                  <w:rFonts w:ascii="Cambria Math" w:hAnsi="Cambria Math" w:cs="Times New Roman"/>
                  <w:color w:val="700000"/>
                  <w:sz w:val="24"/>
                  <w:szCs w:val="24"/>
                  <w:lang w:val="en-GB"/>
                </w:rPr>
                <m:t>operating</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earnings</m:t>
              </m:r>
              <m:r>
                <w:rPr>
                  <w:rFonts w:ascii="Cambria Math" w:hAnsi="Times New Roman" w:cs="Times New Roman"/>
                  <w:color w:val="700000"/>
                  <w:sz w:val="24"/>
                  <w:szCs w:val="24"/>
                  <w:lang w:val="en-GB"/>
                </w:rPr>
                <m:t>)</m:t>
              </m:r>
            </m:num>
            <m:den>
              <m:r>
                <w:rPr>
                  <w:rFonts w:ascii="Cambria Math" w:hAnsi="Cambria Math" w:cs="Times New Roman"/>
                  <w:color w:val="700000"/>
                  <w:sz w:val="24"/>
                  <w:szCs w:val="24"/>
                  <w:lang w:val="en-GB"/>
                </w:rPr>
                <m:t>σ</m:t>
              </m:r>
              <m:r>
                <w:rPr>
                  <w:rFonts w:ascii="Cambria Math" w:hAnsi="Times New Roman" w:cs="Times New Roman"/>
                  <w:color w:val="700000"/>
                  <w:sz w:val="24"/>
                  <w:szCs w:val="24"/>
                  <w:lang w:val="en-GB"/>
                </w:rPr>
                <m:t>(</m:t>
              </m:r>
              <m:r>
                <w:rPr>
                  <w:rFonts w:ascii="Cambria Math" w:hAnsi="Cambria Math" w:cs="Times New Roman"/>
                  <w:color w:val="700000"/>
                  <w:sz w:val="24"/>
                  <w:szCs w:val="24"/>
                  <w:lang w:val="en-GB"/>
                </w:rPr>
                <m:t>operating</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cas</m:t>
              </m:r>
              <m:r>
                <w:rPr>
                  <w:rFonts w:ascii="Times New Roman" w:hAnsi="Cambria Math" w:cs="Times New Roman"/>
                  <w:color w:val="700000"/>
                  <w:sz w:val="24"/>
                  <w:szCs w:val="24"/>
                  <w:lang w:val="en-GB"/>
                </w:rPr>
                <m:t>h</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flow</m:t>
              </m:r>
              <m:r>
                <w:rPr>
                  <w:rFonts w:ascii="Cambria Math" w:hAnsi="Times New Roman" w:cs="Times New Roman"/>
                  <w:color w:val="700000"/>
                  <w:sz w:val="24"/>
                  <w:szCs w:val="24"/>
                  <w:lang w:val="en-GB"/>
                </w:rPr>
                <m:t>)</m:t>
              </m:r>
            </m:den>
          </m:f>
          <m:r>
            <w:rPr>
              <w:rFonts w:ascii="Cambria Math" w:hAnsi="Times New Roman" w:cs="Times New Roman"/>
              <w:color w:val="700000"/>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.9)</m:t>
          </m:r>
        </m:oMath>
      </m:oMathPara>
    </w:p>
    <w:p w:rsidR="00432023" w:rsidRPr="00BC6B94" w:rsidRDefault="00432023" w:rsidP="00432023">
      <w:pPr>
        <w:rPr>
          <w:rFonts w:ascii="Times New Roman" w:hAnsi="Times New Roman" w:cs="Times New Roman"/>
          <w:sz w:val="24"/>
          <w:szCs w:val="24"/>
        </w:rPr>
      </w:pP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The following calculations will enable me to calculate the outcome for the measure of real income smoothing (IS1):</w:t>
      </w:r>
    </w:p>
    <w:p w:rsidR="00432023" w:rsidRPr="00BC6B94" w:rsidRDefault="00432023" w:rsidP="00432023">
      <w:pPr>
        <w:autoSpaceDE w:val="0"/>
        <w:autoSpaceDN w:val="0"/>
        <w:adjustRightInd w:val="0"/>
        <w:spacing w:line="360" w:lineRule="auto"/>
        <w:contextualSpacing/>
        <w:jc w:val="center"/>
        <w:rPr>
          <w:rFonts w:ascii="Times New Roman" w:hAnsi="Times New Roman" w:cs="Times New Roman"/>
          <w:sz w:val="24"/>
          <w:szCs w:val="24"/>
          <w:lang w:val="en-GB"/>
        </w:rPr>
      </w:pPr>
      <m:oMathPara>
        <m:oMath>
          <m:r>
            <w:rPr>
              <w:rFonts w:ascii="Cambria Math" w:hAnsi="Cambria Math" w:cs="Times New Roman"/>
              <w:color w:val="700000"/>
              <w:sz w:val="24"/>
              <w:szCs w:val="24"/>
              <w:lang w:val="en-GB"/>
            </w:rPr>
            <m:t>Operating</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Earnings</m:t>
          </m:r>
          <m:r>
            <w:rPr>
              <w:rFonts w:ascii="Cambria Math" w:hAnsi="Times New Roman" w:cs="Times New Roman"/>
              <w:color w:val="700000"/>
              <w:sz w:val="24"/>
              <w:szCs w:val="24"/>
              <w:lang w:val="en-GB"/>
            </w:rPr>
            <m:t>=</m:t>
          </m:r>
          <m:f>
            <m:fPr>
              <m:ctrlPr>
                <w:rPr>
                  <w:rFonts w:ascii="Cambria Math" w:eastAsiaTheme="minorHAnsi" w:hAnsi="Times New Roman" w:cs="Times New Roman"/>
                  <w:i/>
                  <w:color w:val="700000"/>
                  <w:sz w:val="24"/>
                  <w:szCs w:val="24"/>
                  <w:lang w:val="en-GB"/>
                </w:rPr>
              </m:ctrlPr>
            </m:fPr>
            <m:num>
              <m:r>
                <w:rPr>
                  <w:rFonts w:ascii="Cambria Math" w:hAnsi="Cambria Math" w:cs="Times New Roman"/>
                  <w:color w:val="700000"/>
                  <w:sz w:val="24"/>
                  <w:szCs w:val="24"/>
                  <w:lang w:val="en-GB"/>
                </w:rPr>
                <m:t>Op</m:t>
              </m:r>
              <m:r>
                <w:rPr>
                  <w:rFonts w:ascii="Cambria Math" w:hAnsi="Cambria Math" w:cs="Times New Roman"/>
                  <w:color w:val="700000"/>
                  <w:sz w:val="24"/>
                  <w:szCs w:val="24"/>
                  <w:lang w:val="en-GB"/>
                </w:rPr>
                <m:t>erating</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Income</m:t>
              </m:r>
            </m:num>
            <m:den>
              <m:r>
                <w:rPr>
                  <w:rFonts w:ascii="Cambria Math" w:hAnsi="Cambria Math" w:cs="Times New Roman"/>
                  <w:color w:val="700000"/>
                  <w:sz w:val="24"/>
                  <w:szCs w:val="24"/>
                  <w:lang w:val="en-GB"/>
                </w:rPr>
                <m:t>Average</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Total</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Assets</m:t>
              </m:r>
            </m:den>
          </m:f>
          <m:r>
            <w:rPr>
              <w:rFonts w:ascii="Cambria Math" w:hAnsi="Times New Roman" w:cs="Times New Roman"/>
              <w:color w:val="9E0000"/>
              <w:sz w:val="24"/>
              <w:szCs w:val="24"/>
              <w:lang w:val="en-GB"/>
            </w:rPr>
            <m:t xml:space="preserve"> </m:t>
          </m:r>
          <m:r>
            <w:rPr>
              <w:rFonts w:ascii="Cambria Math" w:hAnsi="Times New Roman" w:cs="Times New Roman"/>
              <w:color w:val="595959" w:themeColor="accent2" w:themeShade="80"/>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.10)</m:t>
          </m:r>
        </m:oMath>
      </m:oMathPara>
    </w:p>
    <w:p w:rsidR="00432023" w:rsidRPr="00BC6B94" w:rsidRDefault="00432023" w:rsidP="00432023">
      <w:pPr>
        <w:autoSpaceDE w:val="0"/>
        <w:autoSpaceDN w:val="0"/>
        <w:adjustRightInd w:val="0"/>
        <w:spacing w:line="360" w:lineRule="auto"/>
        <w:contextualSpacing/>
        <w:jc w:val="center"/>
        <w:rPr>
          <w:rFonts w:ascii="Times New Roman" w:hAnsi="Times New Roman" w:cs="Times New Roman"/>
          <w:color w:val="595959" w:themeColor="accent2" w:themeShade="80"/>
          <w:sz w:val="24"/>
          <w:szCs w:val="24"/>
          <w:lang w:val="en-GB"/>
        </w:rPr>
      </w:pPr>
    </w:p>
    <w:p w:rsidR="00432023" w:rsidRPr="00BC6B94" w:rsidRDefault="00432023" w:rsidP="00432023">
      <w:pPr>
        <w:spacing w:line="360" w:lineRule="auto"/>
        <w:contextualSpacing/>
        <w:jc w:val="center"/>
        <w:rPr>
          <w:rFonts w:ascii="Times New Roman" w:hAnsi="Times New Roman" w:cs="Times New Roman"/>
          <w:i/>
          <w:color w:val="595959" w:themeColor="accent2" w:themeShade="80"/>
          <w:sz w:val="24"/>
          <w:szCs w:val="24"/>
          <w:lang w:val="en-GB"/>
        </w:rPr>
      </w:pPr>
      <m:oMathPara>
        <m:oMath>
          <m:r>
            <w:rPr>
              <w:rFonts w:ascii="Cambria Math" w:hAnsi="Cambria Math" w:cs="Times New Roman"/>
              <w:color w:val="700000"/>
              <w:sz w:val="24"/>
              <w:szCs w:val="24"/>
              <w:lang w:val="en-GB"/>
            </w:rPr>
            <m:t>Cas</m:t>
          </m:r>
          <m:r>
            <w:rPr>
              <w:rFonts w:ascii="Times New Roman" w:hAnsi="Cambria Math" w:cs="Times New Roman"/>
              <w:color w:val="700000"/>
              <w:sz w:val="24"/>
              <w:szCs w:val="24"/>
              <w:lang w:val="en-GB"/>
            </w:rPr>
            <m:t>h</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Flow</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Component</m:t>
          </m:r>
          <m:r>
            <w:rPr>
              <w:rFonts w:ascii="Cambria Math" w:hAnsi="Times New Roman" w:cs="Times New Roman"/>
              <w:color w:val="700000"/>
              <w:sz w:val="24"/>
              <w:szCs w:val="24"/>
              <w:lang w:val="en-GB"/>
            </w:rPr>
            <m:t>=</m:t>
          </m:r>
          <m:f>
            <m:fPr>
              <m:ctrlPr>
                <w:rPr>
                  <w:rFonts w:ascii="Cambria Math" w:eastAsiaTheme="minorHAnsi" w:hAnsi="Times New Roman" w:cs="Times New Roman"/>
                  <w:i/>
                  <w:color w:val="700000"/>
                  <w:sz w:val="24"/>
                  <w:szCs w:val="24"/>
                  <w:lang w:val="en-GB"/>
                </w:rPr>
              </m:ctrlPr>
            </m:fPr>
            <m:num>
              <m:r>
                <w:rPr>
                  <w:rFonts w:ascii="Cambria Math" w:hAnsi="Times New Roman" w:cs="Times New Roman"/>
                  <w:color w:val="700000"/>
                  <w:sz w:val="24"/>
                  <w:szCs w:val="24"/>
                  <w:lang w:val="en-GB"/>
                </w:rPr>
                <m:t>(</m:t>
              </m:r>
              <m:r>
                <w:rPr>
                  <w:rFonts w:ascii="Cambria Math" w:hAnsi="Cambria Math" w:cs="Times New Roman"/>
                  <w:color w:val="700000"/>
                  <w:sz w:val="24"/>
                  <w:szCs w:val="24"/>
                  <w:lang w:val="en-GB"/>
                </w:rPr>
                <m:t>Operating</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Income</m:t>
              </m:r>
              <m:r>
                <w:rPr>
                  <w:rFonts w:ascii="Times New Roman" w:hAnsi="Times New Roman" w:cs="Times New Roman"/>
                  <w:color w:val="700000"/>
                  <w:sz w:val="24"/>
                  <w:szCs w:val="24"/>
                  <w:lang w:val="en-GB"/>
                </w:rPr>
                <m:t>-</m:t>
              </m:r>
              <m:r>
                <w:rPr>
                  <w:rFonts w:ascii="Cambria Math" w:hAnsi="Cambria Math" w:cs="Times New Roman"/>
                  <w:color w:val="700000"/>
                  <w:sz w:val="24"/>
                  <w:szCs w:val="24"/>
                  <w:lang w:val="en-GB"/>
                </w:rPr>
                <m:t>Accruals</m:t>
              </m:r>
              <m:r>
                <w:rPr>
                  <w:rFonts w:ascii="Cambria Math" w:hAnsi="Times New Roman" w:cs="Times New Roman"/>
                  <w:color w:val="700000"/>
                  <w:sz w:val="24"/>
                  <w:szCs w:val="24"/>
                  <w:lang w:val="en-GB"/>
                </w:rPr>
                <m:t>)</m:t>
              </m:r>
            </m:num>
            <m:den>
              <m:r>
                <w:rPr>
                  <w:rFonts w:ascii="Cambria Math" w:hAnsi="Cambria Math" w:cs="Times New Roman"/>
                  <w:color w:val="700000"/>
                  <w:sz w:val="24"/>
                  <w:szCs w:val="24"/>
                  <w:lang w:val="en-GB"/>
                </w:rPr>
                <m:t>Average</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Total</m:t>
              </m:r>
              <m:r>
                <w:rPr>
                  <w:rFonts w:ascii="Cambria Math" w:hAnsi="Times New Roman" w:cs="Times New Roman"/>
                  <w:color w:val="700000"/>
                  <w:sz w:val="24"/>
                  <w:szCs w:val="24"/>
                  <w:lang w:val="en-GB"/>
                </w:rPr>
                <m:t xml:space="preserve"> </m:t>
              </m:r>
              <m:r>
                <w:rPr>
                  <w:rFonts w:ascii="Cambria Math" w:hAnsi="Cambria Math" w:cs="Times New Roman"/>
                  <w:color w:val="700000"/>
                  <w:sz w:val="24"/>
                  <w:szCs w:val="24"/>
                  <w:lang w:val="en-GB"/>
                </w:rPr>
                <m:t>Assets</m:t>
              </m:r>
            </m:den>
          </m:f>
          <m:r>
            <w:rPr>
              <w:rFonts w:ascii="Cambria Math" w:hAnsi="Times New Roman" w:cs="Times New Roman"/>
              <w:color w:val="595959" w:themeColor="accent2" w:themeShade="80"/>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.11)</m:t>
          </m:r>
          <m:r>
            <w:rPr>
              <w:rFonts w:ascii="Cambria Math" w:hAnsi="Times New Roman" w:cs="Times New Roman"/>
              <w:color w:val="595959" w:themeColor="accent2" w:themeShade="80"/>
              <w:sz w:val="24"/>
              <w:szCs w:val="24"/>
              <w:lang w:val="en-GB"/>
            </w:rPr>
            <m:t xml:space="preserve"> </m:t>
          </m:r>
        </m:oMath>
      </m:oMathPara>
    </w:p>
    <w:p w:rsidR="00432023" w:rsidRPr="00BC6B94" w:rsidRDefault="00432023" w:rsidP="00432023">
      <w:pPr>
        <w:spacing w:line="360" w:lineRule="auto"/>
        <w:contextualSpacing/>
        <w:jc w:val="center"/>
        <w:rPr>
          <w:rFonts w:ascii="Times New Roman" w:hAnsi="Times New Roman" w:cs="Times New Roman"/>
          <w:i/>
          <w:color w:val="595959" w:themeColor="accent2" w:themeShade="80"/>
          <w:sz w:val="24"/>
          <w:szCs w:val="24"/>
          <w:lang w:val="en-GB"/>
        </w:rPr>
      </w:pPr>
    </w:p>
    <w:p w:rsidR="00432023" w:rsidRDefault="00432023" w:rsidP="00432023">
      <w:pPr>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Cash flow from operations is computed indirectly by deducting the accrual component from earnings. This is done because of unavailability of direct information on firms’ cash flows in many countries.</w:t>
      </w:r>
    </w:p>
    <w:p w:rsidR="00E536A5" w:rsidRPr="00BC6B94" w:rsidRDefault="00E536A5" w:rsidP="00432023">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As mentioned earlier, the measure is the country’s median ratio </w:t>
      </w:r>
      <w:r w:rsidRPr="00BC6B94">
        <w:rPr>
          <w:rFonts w:ascii="Times New Roman" w:hAnsi="Times New Roman" w:cs="Times New Roman"/>
          <w:sz w:val="24"/>
          <w:szCs w:val="24"/>
          <w:lang w:val="en-GB"/>
        </w:rPr>
        <w:t xml:space="preserve">of the firm-level standard deviation of operating earnings divided by the firm-level standard deviation of cash flow from operations. </w:t>
      </w:r>
      <w:r>
        <w:rPr>
          <w:rFonts w:ascii="Times New Roman" w:hAnsi="Times New Roman" w:cs="Times New Roman"/>
          <w:sz w:val="24"/>
          <w:szCs w:val="24"/>
          <w:lang w:val="en-GB"/>
        </w:rPr>
        <w:t xml:space="preserve">First, the standard deviation of operating earnings divided by the standard deviation of operating cash flow is calculated for each firm per country. Afterwards the median of all the firm-level ratios is calculated and this </w:t>
      </w:r>
      <w:r w:rsidR="005D72B5">
        <w:rPr>
          <w:rFonts w:ascii="Times New Roman" w:hAnsi="Times New Roman" w:cs="Times New Roman"/>
          <w:sz w:val="24"/>
          <w:szCs w:val="24"/>
          <w:lang w:val="en-GB"/>
        </w:rPr>
        <w:t>number</w:t>
      </w:r>
      <w:r>
        <w:rPr>
          <w:rFonts w:ascii="Times New Roman" w:hAnsi="Times New Roman" w:cs="Times New Roman"/>
          <w:sz w:val="24"/>
          <w:szCs w:val="24"/>
          <w:lang w:val="en-GB"/>
        </w:rPr>
        <w:t xml:space="preserve"> is the country measure.</w:t>
      </w:r>
    </w:p>
    <w:p w:rsidR="00432023" w:rsidRPr="00BC6B94" w:rsidRDefault="00C116A1" w:rsidP="00C116A1">
      <w:pPr>
        <w:autoSpaceDE w:val="0"/>
        <w:autoSpaceDN w:val="0"/>
        <w:adjustRightInd w:val="0"/>
        <w:spacing w:line="360" w:lineRule="auto"/>
        <w:rPr>
          <w:rFonts w:ascii="Times New Roman" w:hAnsi="Times New Roman" w:cs="Times New Roman"/>
          <w:sz w:val="24"/>
          <w:szCs w:val="24"/>
          <w:lang w:val="en-GB"/>
        </w:rPr>
      </w:pPr>
      <w:r w:rsidRPr="0054701E">
        <w:rPr>
          <w:rFonts w:ascii="Times New Roman" w:hAnsi="Times New Roman" w:cs="Times New Roman"/>
          <w:sz w:val="24"/>
          <w:szCs w:val="24"/>
        </w:rPr>
        <w:lastRenderedPageBreak/>
        <w:t>The financial variables are scaled by the lagged value of total assets, because of the large differences in median firm size. By doing so a comparison across firm size can be made.</w:t>
      </w:r>
      <w:r w:rsidR="0054701E" w:rsidRPr="0054701E">
        <w:rPr>
          <w:rFonts w:ascii="Times New Roman" w:hAnsi="Times New Roman" w:cs="Times New Roman"/>
          <w:sz w:val="24"/>
          <w:szCs w:val="24"/>
        </w:rPr>
        <w:t xml:space="preserve"> </w:t>
      </w:r>
      <w:r w:rsidR="00432023" w:rsidRPr="0054701E">
        <w:rPr>
          <w:rFonts w:ascii="Times New Roman" w:hAnsi="Times New Roman" w:cs="Times New Roman"/>
          <w:sz w:val="24"/>
          <w:szCs w:val="24"/>
          <w:lang w:val="en-GB"/>
        </w:rPr>
        <w:t>When calculating the total earnings, the operating income</w:t>
      </w:r>
      <w:r w:rsidR="00432023" w:rsidRPr="00BC6B94">
        <w:rPr>
          <w:rFonts w:ascii="Times New Roman" w:hAnsi="Times New Roman" w:cs="Times New Roman"/>
          <w:sz w:val="24"/>
          <w:szCs w:val="24"/>
          <w:lang w:val="en-GB"/>
        </w:rPr>
        <w:t xml:space="preserve"> is used as a measure. Distinctive about this income is that items that only appear once, the so-called non-recurring items, are excluded by this income. This results only in elements of income that are related to the ordinary operations of a business. These non-recurring items are not related to the daily operations of a firm. By taking the income from continuing operations you are able to better compare the earnings from consecutive sample years, because the non-recurring items ‘disturb’ the annual earnings.</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BC6B94">
        <w:rPr>
          <w:rFonts w:ascii="Times New Roman" w:hAnsi="Times New Roman" w:cs="Times New Roman"/>
          <w:sz w:val="24"/>
          <w:szCs w:val="24"/>
          <w:lang w:val="en-GB"/>
        </w:rPr>
        <w:t xml:space="preserve">Before being able to calculate the cash flow component, the accruals need to be determined first. For this purpose, Dechow (1995) uses the following equation: </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lang w:val="en-GB"/>
        </w:rPr>
        <w:tab/>
      </w:r>
      <w:r w:rsidRPr="00BC6B94">
        <w:rPr>
          <w:rFonts w:ascii="Times New Roman" w:hAnsi="Times New Roman" w:cs="Times New Roman"/>
          <w:sz w:val="24"/>
          <w:szCs w:val="24"/>
          <w:lang w:val="en-GB"/>
        </w:rPr>
        <w:tab/>
      </w:r>
      <m:oMath>
        <m:r>
          <w:rPr>
            <w:rFonts w:ascii="Cambria Math" w:hAnsi="Cambria Math" w:cs="Times New Roman"/>
            <w:color w:val="700000"/>
            <w:sz w:val="24"/>
            <w:szCs w:val="24"/>
          </w:rPr>
          <m:t>Accruals</m:t>
        </m:r>
        <m:r>
          <w:rPr>
            <w:rFonts w:ascii="Cambria Math" w:hAnsi="Times New Roman" w:cs="Times New Roman"/>
            <w:color w:val="700000"/>
            <w:sz w:val="24"/>
            <w:szCs w:val="24"/>
          </w:rPr>
          <m:t>=</m:t>
        </m:r>
        <m:d>
          <m:dPr>
            <m:ctrlPr>
              <w:rPr>
                <w:rFonts w:ascii="Cambria Math" w:hAnsi="Times New Roman" w:cs="Times New Roman"/>
                <w:i/>
                <w:color w:val="700000"/>
                <w:sz w:val="24"/>
                <w:szCs w:val="24"/>
              </w:rPr>
            </m:ctrlPr>
          </m:dPr>
          <m:e>
            <m:r>
              <w:rPr>
                <w:rFonts w:ascii="Times New Roman" w:hAnsi="Times New Roman" w:cs="Times New Roman"/>
                <w:color w:val="700000"/>
                <w:sz w:val="24"/>
                <w:szCs w:val="24"/>
              </w:rPr>
              <m:t>∆</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CA</m:t>
                </m:r>
              </m:e>
              <m:sub>
                <m:r>
                  <w:rPr>
                    <w:rFonts w:ascii="Cambria Math" w:hAnsi="Cambria Math" w:cs="Times New Roman"/>
                    <w:color w:val="700000"/>
                    <w:sz w:val="24"/>
                    <w:szCs w:val="24"/>
                  </w:rPr>
                  <m:t>it</m:t>
                </m:r>
                <m:r>
                  <w:rPr>
                    <w:rFonts w:ascii="Cambria Math" w:hAnsi="Times New Roman" w:cs="Times New Roman"/>
                    <w:color w:val="700000"/>
                    <w:sz w:val="24"/>
                    <w:szCs w:val="24"/>
                  </w:rPr>
                  <m:t xml:space="preserve">  </m:t>
                </m:r>
              </m:sub>
            </m:sSub>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Times New Roman" w:cs="Times New Roman"/>
                <w:color w:val="700000"/>
                <w:sz w:val="24"/>
                <w:szCs w:val="24"/>
              </w:rPr>
              <m:t>∆</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Cas</m:t>
                </m:r>
                <m:r>
                  <w:rPr>
                    <w:rFonts w:ascii="Times New Roman" w:hAnsi="Cambria Math" w:cs="Times New Roman"/>
                    <w:color w:val="700000"/>
                    <w:sz w:val="24"/>
                    <w:szCs w:val="24"/>
                  </w:rPr>
                  <m:t>h</m:t>
                </m:r>
              </m:e>
              <m:sub>
                <m:r>
                  <w:rPr>
                    <w:rFonts w:ascii="Cambria Math" w:hAnsi="Cambria Math" w:cs="Times New Roman"/>
                    <w:color w:val="700000"/>
                    <w:sz w:val="24"/>
                    <w:szCs w:val="24"/>
                  </w:rPr>
                  <m:t>it</m:t>
                </m:r>
              </m:sub>
            </m:sSub>
          </m:e>
        </m:d>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d>
          <m:dPr>
            <m:ctrlPr>
              <w:rPr>
                <w:rFonts w:ascii="Cambria Math" w:hAnsi="Times New Roman" w:cs="Times New Roman"/>
                <w:i/>
                <w:color w:val="700000"/>
                <w:sz w:val="24"/>
                <w:szCs w:val="24"/>
              </w:rPr>
            </m:ctrlPr>
          </m:dPr>
          <m:e>
            <m:r>
              <w:rPr>
                <w:rFonts w:ascii="Times New Roman" w:hAnsi="Times New Roman" w:cs="Times New Roman"/>
                <w:color w:val="700000"/>
                <w:sz w:val="24"/>
                <w:szCs w:val="24"/>
              </w:rPr>
              <m:t>∆</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CL</m:t>
                </m:r>
              </m:e>
              <m:sub>
                <m:r>
                  <w:rPr>
                    <w:rFonts w:ascii="Cambria Math" w:hAnsi="Cambria Math" w:cs="Times New Roman"/>
                    <w:color w:val="700000"/>
                    <w:sz w:val="24"/>
                    <w:szCs w:val="24"/>
                  </w:rPr>
                  <m:t>it</m:t>
                </m:r>
              </m:sub>
            </m:sSub>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Times New Roman" w:cs="Times New Roman"/>
                <w:color w:val="700000"/>
                <w:sz w:val="24"/>
                <w:szCs w:val="24"/>
              </w:rPr>
              <m:t>∆</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STD</m:t>
                </m:r>
              </m:e>
              <m:sub>
                <m:r>
                  <w:rPr>
                    <w:rFonts w:ascii="Cambria Math" w:hAnsi="Cambria Math" w:cs="Times New Roman"/>
                    <w:color w:val="700000"/>
                    <w:sz w:val="24"/>
                    <w:szCs w:val="24"/>
                  </w:rPr>
                  <m:t>it</m:t>
                </m:r>
              </m:sub>
            </m:sSub>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Times New Roman" w:cs="Times New Roman"/>
                <w:color w:val="700000"/>
                <w:sz w:val="24"/>
                <w:szCs w:val="24"/>
              </w:rPr>
              <m:t>∆</m:t>
            </m:r>
            <m:sSub>
              <m:sSubPr>
                <m:ctrlPr>
                  <w:rPr>
                    <w:rFonts w:ascii="Cambria Math" w:hAnsi="Times New Roman" w:cs="Times New Roman"/>
                    <w:i/>
                    <w:color w:val="700000"/>
                    <w:sz w:val="24"/>
                    <w:szCs w:val="24"/>
                  </w:rPr>
                </m:ctrlPr>
              </m:sSubPr>
              <m:e>
                <m:r>
                  <w:rPr>
                    <w:rFonts w:ascii="Cambria Math" w:hAnsi="Cambria Math" w:cs="Times New Roman"/>
                    <w:color w:val="700000"/>
                    <w:sz w:val="24"/>
                    <w:szCs w:val="24"/>
                  </w:rPr>
                  <m:t>TP</m:t>
                </m:r>
              </m:e>
              <m:sub>
                <m:r>
                  <w:rPr>
                    <w:rFonts w:ascii="Cambria Math" w:hAnsi="Cambria Math" w:cs="Times New Roman"/>
                    <w:color w:val="700000"/>
                    <w:sz w:val="24"/>
                    <w:szCs w:val="24"/>
                  </w:rPr>
                  <m:t>it</m:t>
                </m:r>
              </m:sub>
            </m:sSub>
          </m:e>
        </m:d>
        <m:r>
          <w:rPr>
            <w:rFonts w:ascii="Times New Roman" w:hAnsi="Times New Roman" w:cs="Times New Roman"/>
            <w:color w:val="700000"/>
            <w:sz w:val="24"/>
            <w:szCs w:val="24"/>
          </w:rPr>
          <m:t>-</m:t>
        </m:r>
        <m:r>
          <w:rPr>
            <w:rFonts w:ascii="Cambria Math" w:hAnsi="Times New Roman" w:cs="Times New Roman"/>
            <w:color w:val="700000"/>
            <w:sz w:val="24"/>
            <w:szCs w:val="24"/>
          </w:rPr>
          <m:t xml:space="preserve"> </m:t>
        </m:r>
        <m:sSub>
          <m:sSubPr>
            <m:ctrlPr>
              <w:rPr>
                <w:rFonts w:ascii="Cambria Math" w:hAnsi="Times New Roman" w:cs="Times New Roman"/>
                <w:i/>
                <w:color w:val="700000"/>
                <w:sz w:val="24"/>
                <w:szCs w:val="24"/>
              </w:rPr>
            </m:ctrlPr>
          </m:sSubPr>
          <m:e>
            <m:r>
              <w:rPr>
                <w:rFonts w:ascii="Cambria Math" w:hAnsi="Times New Roman" w:cs="Times New Roman"/>
                <w:color w:val="700000"/>
                <w:sz w:val="24"/>
                <w:szCs w:val="24"/>
              </w:rPr>
              <m:t xml:space="preserve">                                                  </m:t>
            </m:r>
            <m:r>
              <w:rPr>
                <w:rFonts w:ascii="Cambria Math" w:hAnsi="Cambria Math" w:cs="Times New Roman"/>
                <w:color w:val="700000"/>
                <w:sz w:val="24"/>
                <w:szCs w:val="24"/>
              </w:rPr>
              <m:t>Dept</m:t>
            </m:r>
          </m:e>
          <m:sub>
            <m:r>
              <w:rPr>
                <w:rFonts w:ascii="Cambria Math" w:hAnsi="Cambria Math" w:cs="Times New Roman"/>
                <w:color w:val="700000"/>
                <w:sz w:val="24"/>
                <w:szCs w:val="24"/>
              </w:rPr>
              <m:t>it</m:t>
            </m:r>
          </m:sub>
        </m:sSub>
        <m:r>
          <w:rPr>
            <w:rStyle w:val="FootnoteReference"/>
            <w:rFonts w:ascii="Cambria Math" w:hAnsi="Times New Roman" w:cs="Times New Roman"/>
            <w:i/>
            <w:color w:val="700000"/>
            <w:sz w:val="24"/>
            <w:szCs w:val="24"/>
          </w:rPr>
          <w:footnoteReference w:id="7"/>
        </m:r>
        <m:r>
          <w:rPr>
            <w:rFonts w:ascii="Cambria Math" w:hAnsi="Times New Roman" w:cs="Times New Roman"/>
            <w:color w:val="700000"/>
            <w:sz w:val="24"/>
            <w:szCs w:val="24"/>
          </w:rPr>
          <m:t xml:space="preserve"> </m:t>
        </m:r>
        <m:r>
          <w:rPr>
            <w:rFonts w:ascii="Cambria Math" w:hAnsi="Times New Roman" w:cs="Times New Roman"/>
            <w:sz w:val="24"/>
            <w:szCs w:val="24"/>
          </w:rPr>
          <m:t xml:space="preserve"> (</m:t>
        </m:r>
        <m:r>
          <w:rPr>
            <w:rFonts w:ascii="Cambria Math" w:hAnsi="Cambria Math" w:cs="Times New Roman"/>
            <w:sz w:val="24"/>
            <w:szCs w:val="24"/>
          </w:rPr>
          <m:t>Eq</m:t>
        </m:r>
        <m:r>
          <w:rPr>
            <w:rFonts w:ascii="Cambria Math" w:hAnsi="Times New Roman" w:cs="Times New Roman"/>
            <w:sz w:val="24"/>
            <w:szCs w:val="24"/>
          </w:rPr>
          <m:t>.12)</m:t>
        </m:r>
      </m:oMath>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lang w:val="en-GB"/>
        </w:rPr>
        <w:t>Where</w:t>
      </w:r>
      <w:r w:rsidRPr="00BC6B94">
        <w:rPr>
          <w:rFonts w:ascii="Times New Roman" w:hAnsi="Times New Roman" w:cs="Times New Roman"/>
          <w:sz w:val="24"/>
          <w:szCs w:val="24"/>
          <w:lang w:val="en-GB"/>
        </w:rPr>
        <w:tab/>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ΔCA</w:t>
      </w:r>
      <w:r w:rsidRPr="00BC6B94">
        <w:rPr>
          <w:rFonts w:ascii="Times New Roman" w:hAnsi="Times New Roman" w:cs="Times New Roman"/>
          <w:sz w:val="24"/>
          <w:szCs w:val="24"/>
        </w:rPr>
        <w:tab/>
      </w:r>
      <w:r w:rsidRPr="00BC6B94">
        <w:rPr>
          <w:rFonts w:ascii="Times New Roman" w:hAnsi="Times New Roman" w:cs="Times New Roman"/>
          <w:sz w:val="24"/>
          <w:szCs w:val="24"/>
        </w:rPr>
        <w:tab/>
        <w:t>=</w:t>
      </w:r>
      <w:r w:rsidRPr="00BC6B94">
        <w:rPr>
          <w:rFonts w:ascii="Times New Roman" w:hAnsi="Times New Roman" w:cs="Times New Roman"/>
          <w:sz w:val="24"/>
          <w:szCs w:val="24"/>
          <w:lang w:val="en-GB"/>
        </w:rPr>
        <w:t xml:space="preserve"> change in current assets</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BC6B94">
        <w:rPr>
          <w:rFonts w:ascii="Times New Roman" w:hAnsi="Times New Roman" w:cs="Times New Roman"/>
          <w:sz w:val="24"/>
          <w:szCs w:val="24"/>
        </w:rPr>
        <w:t>ΔCASH</w:t>
      </w:r>
      <w:r w:rsidRPr="00BC6B94">
        <w:rPr>
          <w:rFonts w:ascii="Times New Roman" w:hAnsi="Times New Roman" w:cs="Times New Roman"/>
          <w:sz w:val="24"/>
          <w:szCs w:val="24"/>
        </w:rPr>
        <w:tab/>
        <w:t>=</w:t>
      </w:r>
      <w:r w:rsidRPr="00BC6B94">
        <w:rPr>
          <w:rFonts w:ascii="Times New Roman" w:hAnsi="Times New Roman" w:cs="Times New Roman"/>
          <w:sz w:val="24"/>
          <w:szCs w:val="24"/>
          <w:lang w:val="en-GB"/>
        </w:rPr>
        <w:t xml:space="preserve"> change in cash</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BC6B94">
        <w:rPr>
          <w:rFonts w:ascii="Times New Roman" w:hAnsi="Times New Roman" w:cs="Times New Roman"/>
          <w:sz w:val="24"/>
          <w:szCs w:val="24"/>
          <w:lang w:val="en-GB"/>
        </w:rPr>
        <w:t>ΔCL</w:t>
      </w:r>
      <w:r w:rsidRPr="00BC6B94">
        <w:rPr>
          <w:rFonts w:ascii="Times New Roman" w:hAnsi="Times New Roman" w:cs="Times New Roman"/>
          <w:sz w:val="24"/>
          <w:szCs w:val="24"/>
          <w:lang w:val="en-GB"/>
        </w:rPr>
        <w:tab/>
      </w:r>
      <w:r w:rsidRPr="00BC6B94">
        <w:rPr>
          <w:rFonts w:ascii="Times New Roman" w:hAnsi="Times New Roman" w:cs="Times New Roman"/>
          <w:sz w:val="24"/>
          <w:szCs w:val="24"/>
          <w:lang w:val="en-GB"/>
        </w:rPr>
        <w:tab/>
        <w:t>= change in current liabilities</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lang w:val="en-GB"/>
        </w:rPr>
        <w:t>ΔSTD</w:t>
      </w:r>
      <w:r w:rsidRPr="00BC6B94">
        <w:rPr>
          <w:rFonts w:ascii="Times New Roman" w:hAnsi="Times New Roman" w:cs="Times New Roman"/>
          <w:sz w:val="24"/>
          <w:szCs w:val="24"/>
          <w:lang w:val="en-GB"/>
        </w:rPr>
        <w:tab/>
      </w:r>
      <w:r w:rsidRPr="00BC6B94">
        <w:rPr>
          <w:rFonts w:ascii="Times New Roman" w:hAnsi="Times New Roman" w:cs="Times New Roman"/>
          <w:sz w:val="24"/>
          <w:szCs w:val="24"/>
          <w:lang w:val="en-GB"/>
        </w:rPr>
        <w:tab/>
        <w:t>= change in debt included in current liabilities (short term debt)</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lang w:val="en-GB"/>
        </w:rPr>
      </w:pPr>
      <w:r w:rsidRPr="00BC6B94">
        <w:rPr>
          <w:rFonts w:ascii="Times New Roman" w:hAnsi="Times New Roman" w:cs="Times New Roman"/>
          <w:sz w:val="24"/>
          <w:szCs w:val="24"/>
        </w:rPr>
        <w:t>ΔTP</w:t>
      </w:r>
      <w:r w:rsidRPr="00BC6B94">
        <w:rPr>
          <w:rFonts w:ascii="Times New Roman" w:hAnsi="Times New Roman" w:cs="Times New Roman"/>
          <w:sz w:val="24"/>
          <w:szCs w:val="24"/>
        </w:rPr>
        <w:tab/>
      </w:r>
      <w:r w:rsidRPr="00BC6B94">
        <w:rPr>
          <w:rFonts w:ascii="Times New Roman" w:hAnsi="Times New Roman" w:cs="Times New Roman"/>
          <w:sz w:val="24"/>
          <w:szCs w:val="24"/>
        </w:rPr>
        <w:tab/>
        <w:t xml:space="preserve">= </w:t>
      </w:r>
      <w:r w:rsidRPr="00BC6B94">
        <w:rPr>
          <w:rFonts w:ascii="Times New Roman" w:hAnsi="Times New Roman" w:cs="Times New Roman"/>
          <w:sz w:val="24"/>
          <w:szCs w:val="24"/>
          <w:lang w:val="en-GB"/>
        </w:rPr>
        <w:t>changes in income taxes payable</w:t>
      </w:r>
    </w:p>
    <w:p w:rsidR="00432023" w:rsidRPr="00BC6B94" w:rsidRDefault="00432023" w:rsidP="00432023">
      <w:pPr>
        <w:autoSpaceDE w:val="0"/>
        <w:autoSpaceDN w:val="0"/>
        <w:adjustRightInd w:val="0"/>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lang w:val="en-GB"/>
        </w:rPr>
        <w:t>Dept</w:t>
      </w:r>
      <w:r w:rsidRPr="00BC6B94">
        <w:rPr>
          <w:rFonts w:ascii="Times New Roman" w:hAnsi="Times New Roman" w:cs="Times New Roman"/>
          <w:sz w:val="24"/>
          <w:szCs w:val="24"/>
          <w:lang w:val="en-GB"/>
        </w:rPr>
        <w:tab/>
      </w:r>
      <w:r w:rsidRPr="00BC6B94">
        <w:rPr>
          <w:rFonts w:ascii="Times New Roman" w:hAnsi="Times New Roman" w:cs="Times New Roman"/>
          <w:sz w:val="24"/>
          <w:szCs w:val="24"/>
          <w:lang w:val="en-GB"/>
        </w:rPr>
        <w:tab/>
        <w:t>= depreciation and amortization expense</w:t>
      </w:r>
    </w:p>
    <w:p w:rsidR="00432023" w:rsidRPr="00BC6B94" w:rsidRDefault="00432023" w:rsidP="00432023">
      <w:pPr>
        <w:tabs>
          <w:tab w:val="left" w:pos="4320"/>
          <w:tab w:val="left" w:pos="5760"/>
          <w:tab w:val="left" w:pos="5940"/>
        </w:tabs>
        <w:autoSpaceDE w:val="0"/>
        <w:autoSpaceDN w:val="0"/>
        <w:adjustRightInd w:val="0"/>
        <w:spacing w:line="360" w:lineRule="auto"/>
        <w:contextualSpacing/>
        <w:rPr>
          <w:rFonts w:ascii="Times New Roman" w:hAnsi="Times New Roman" w:cs="Times New Roman"/>
          <w:sz w:val="24"/>
          <w:szCs w:val="24"/>
          <w:lang w:val="en-GB"/>
        </w:rPr>
      </w:pP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The purpose of this equation is to calculate the change in earnings by taking current assets as starting point. Since accruals measure the difference between earnings and the cash flow, it is interesting to measure the difference between the changes in both elements. In order to calculate the accruals, the change in cash (</w:t>
      </w:r>
      <w:r w:rsidRPr="00BC6B94">
        <w:rPr>
          <w:rFonts w:ascii="Times New Roman" w:hAnsi="Times New Roman" w:cs="Times New Roman"/>
          <w:sz w:val="24"/>
          <w:szCs w:val="24"/>
        </w:rPr>
        <w:t>ΔCASH</w:t>
      </w:r>
      <w:r w:rsidRPr="00BC6B94">
        <w:rPr>
          <w:rFonts w:ascii="Times New Roman" w:hAnsi="Times New Roman" w:cs="Times New Roman"/>
          <w:sz w:val="24"/>
          <w:szCs w:val="24"/>
          <w:lang w:val="en-GB"/>
        </w:rPr>
        <w:t>) has to be excluded from the current assets. The change in debt included in current liabilities (ΔSTD) is excluded from accruals since this is related to financing transactions and therefore is no part of the operating transactions. The change in income taxes payable (</w:t>
      </w:r>
      <w:r w:rsidRPr="00BC6B94">
        <w:rPr>
          <w:rFonts w:ascii="Times New Roman" w:hAnsi="Times New Roman" w:cs="Times New Roman"/>
          <w:sz w:val="24"/>
          <w:szCs w:val="24"/>
        </w:rPr>
        <w:t>ΔTP</w:t>
      </w:r>
      <w:r w:rsidRPr="00BC6B94">
        <w:rPr>
          <w:rFonts w:ascii="Times New Roman" w:hAnsi="Times New Roman" w:cs="Times New Roman"/>
          <w:sz w:val="24"/>
          <w:szCs w:val="24"/>
          <w:lang w:val="en-GB"/>
        </w:rPr>
        <w:t xml:space="preserve">) is excluded since this also is not a part of the operating income. Finally, the depreciation and amortization </w:t>
      </w:r>
      <w:r w:rsidRPr="00BC6B94">
        <w:rPr>
          <w:rFonts w:ascii="Times New Roman" w:hAnsi="Times New Roman" w:cs="Times New Roman"/>
          <w:sz w:val="24"/>
          <w:szCs w:val="24"/>
          <w:lang w:val="en-GB"/>
        </w:rPr>
        <w:lastRenderedPageBreak/>
        <w:t>expenses are also excluded. If a firm does not report information on taxes payable or short-term debt, the change in both variables is assumed to be zero.</w:t>
      </w:r>
    </w:p>
    <w:p w:rsidR="005A3D32" w:rsidRDefault="005A3D32" w:rsidP="00432023">
      <w:pPr>
        <w:pStyle w:val="Heading4"/>
        <w:rPr>
          <w:rFonts w:ascii="Calibri" w:hAnsi="Calibri"/>
        </w:rPr>
      </w:pPr>
      <w:bookmarkStart w:id="78" w:name="_Toc254909688"/>
    </w:p>
    <w:p w:rsidR="00432023" w:rsidRPr="00BC6B94" w:rsidRDefault="00432023" w:rsidP="00432023">
      <w:pPr>
        <w:pStyle w:val="Heading4"/>
        <w:rPr>
          <w:rFonts w:ascii="Calibri" w:hAnsi="Calibri"/>
        </w:rPr>
      </w:pPr>
      <w:bookmarkStart w:id="79" w:name="_Toc268669757"/>
      <w:r w:rsidRPr="00BC6B94">
        <w:rPr>
          <w:rFonts w:ascii="Calibri" w:hAnsi="Calibri"/>
        </w:rPr>
        <w:t xml:space="preserve">8.3.2 </w:t>
      </w:r>
      <w:r w:rsidRPr="00BC6B94">
        <w:rPr>
          <w:rFonts w:ascii="Calibri" w:hAnsi="Calibri"/>
        </w:rPr>
        <w:tab/>
        <w:t>Measuring artificial smoothing</w:t>
      </w:r>
      <w:bookmarkEnd w:id="78"/>
      <w:bookmarkEnd w:id="79"/>
    </w:p>
    <w:p w:rsidR="00432023" w:rsidRPr="00B718DB" w:rsidRDefault="00432023" w:rsidP="00432023"/>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If insiders want to smooth earnings they can also do so by smoothing earnings artificially. The discretion permitted by accounting policies introduces flexibility that allows managers to adjust reported earnings to produce a smoother income stream. Managers or controlling shareholders are in the position to accelerate the reporting of future revenues or delay the reporting of current costs to hide poor current performance. Previous research has shown us that as long as managers have discretion over accounting choices, they smooth reported income and the rate of growth in income (Tucker and Zarowin, 2006).</w:t>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Accounting accruals buffer cash flow shocks and result in a negative correlation between changes in accruals and operating cash flows. Large magnitudes of this correlation indicate smoothing of reported earnings that does not reflect a firm’s underlying performance. Therefore, Leuz et al. (2003) used the contemporaneous Spearman correlation between changes in total accounting accruals and changes in operating cash flows as a measure for earnings smoothing. </w:t>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The measure for artificial income smoothing (IS2) that I will be using is the following:</w:t>
      </w:r>
    </w:p>
    <w:p w:rsidR="00432023" w:rsidRPr="00BC6B94" w:rsidRDefault="00432023" w:rsidP="00432023">
      <w:pPr>
        <w:spacing w:line="360" w:lineRule="auto"/>
        <w:rPr>
          <w:rFonts w:ascii="Times New Roman" w:hAnsi="Times New Roman" w:cs="Times New Roman"/>
          <w:sz w:val="24"/>
          <w:szCs w:val="24"/>
        </w:rPr>
      </w:pPr>
    </w:p>
    <w:p w:rsidR="00432023" w:rsidRPr="00BC6B94" w:rsidRDefault="00432023" w:rsidP="00432023">
      <w:pPr>
        <w:spacing w:line="360" w:lineRule="auto"/>
        <w:rPr>
          <w:rFonts w:ascii="Times New Roman" w:hAnsi="Times New Roman" w:cs="Times New Roman"/>
          <w:sz w:val="24"/>
          <w:szCs w:val="24"/>
        </w:rPr>
      </w:pPr>
      <m:oMathPara>
        <m:oMath>
          <m:r>
            <w:rPr>
              <w:rFonts w:ascii="Cambria Math" w:hAnsi="Cambria Math" w:cs="Times New Roman"/>
              <w:color w:val="700000"/>
              <w:sz w:val="24"/>
              <w:szCs w:val="24"/>
            </w:rPr>
            <m:t>IS</m:t>
          </m:r>
          <m:r>
            <w:rPr>
              <w:rFonts w:ascii="Cambria Math" w:hAnsi="Times New Roman" w:cs="Times New Roman"/>
              <w:color w:val="700000"/>
              <w:sz w:val="24"/>
              <w:szCs w:val="24"/>
            </w:rPr>
            <m:t>2=</m:t>
          </m:r>
          <m:r>
            <w:rPr>
              <w:rFonts w:ascii="Cambria Math" w:hAnsi="Cambria Math" w:cs="Times New Roman"/>
              <w:color w:val="700000"/>
              <w:sz w:val="24"/>
              <w:szCs w:val="24"/>
            </w:rPr>
            <m:t>ρ</m:t>
          </m:r>
          <m:d>
            <m:dPr>
              <m:ctrlPr>
                <w:rPr>
                  <w:rFonts w:ascii="Cambria Math" w:hAnsi="Times New Roman" w:cs="Times New Roman"/>
                  <w:i/>
                  <w:color w:val="700000"/>
                  <w:sz w:val="24"/>
                  <w:szCs w:val="24"/>
                </w:rPr>
              </m:ctrlPr>
            </m:dPr>
            <m:e>
              <m:r>
                <w:rPr>
                  <w:rFonts w:ascii="Times New Roman" w:hAnsi="Times New Roman" w:cs="Times New Roman"/>
                  <w:color w:val="700000"/>
                  <w:sz w:val="24"/>
                  <w:szCs w:val="24"/>
                </w:rPr>
                <m:t>∆</m:t>
              </m:r>
              <m:r>
                <w:rPr>
                  <w:rFonts w:ascii="Cambria Math" w:hAnsi="Cambria Math" w:cs="Times New Roman"/>
                  <w:color w:val="700000"/>
                  <w:sz w:val="24"/>
                  <w:szCs w:val="24"/>
                </w:rPr>
                <m:t>accruals</m:t>
              </m:r>
              <m:r>
                <w:rPr>
                  <w:rFonts w:ascii="Cambria Math" w:hAnsi="Times New Roman" w:cs="Times New Roman"/>
                  <w:color w:val="700000"/>
                  <w:sz w:val="24"/>
                  <w:szCs w:val="24"/>
                </w:rPr>
                <m:t xml:space="preserve">, </m:t>
              </m:r>
              <m:r>
                <w:rPr>
                  <w:rFonts w:ascii="Cambria Math" w:hAnsi="Times New Roman" w:cs="Times New Roman"/>
                  <w:color w:val="700000"/>
                  <w:sz w:val="24"/>
                  <w:szCs w:val="24"/>
                </w:rPr>
                <m:t>∆</m:t>
              </m:r>
              <m:r>
                <w:rPr>
                  <w:rFonts w:ascii="Cambria Math" w:hAnsi="Times New Roman" w:cs="Times New Roman"/>
                  <w:color w:val="700000"/>
                  <w:sz w:val="24"/>
                  <w:szCs w:val="24"/>
                </w:rPr>
                <m:t xml:space="preserve"> </m:t>
              </m:r>
              <m:r>
                <w:rPr>
                  <w:rFonts w:ascii="Cambria Math" w:hAnsi="Cambria Math" w:cs="Times New Roman"/>
                  <w:color w:val="700000"/>
                  <w:sz w:val="24"/>
                  <w:szCs w:val="24"/>
                </w:rPr>
                <m:t>cas</m:t>
              </m:r>
              <m:r>
                <w:rPr>
                  <w:rFonts w:ascii="Times New Roman" w:hAnsi="Cambria Math" w:cs="Times New Roman"/>
                  <w:color w:val="700000"/>
                  <w:sz w:val="24"/>
                  <w:szCs w:val="24"/>
                </w:rPr>
                <m:t>h</m:t>
              </m:r>
              <m:r>
                <w:rPr>
                  <w:rFonts w:ascii="Cambria Math" w:hAnsi="Times New Roman" w:cs="Times New Roman"/>
                  <w:color w:val="700000"/>
                  <w:sz w:val="24"/>
                  <w:szCs w:val="24"/>
                </w:rPr>
                <m:t xml:space="preserve"> </m:t>
              </m:r>
              <m:r>
                <w:rPr>
                  <w:rFonts w:ascii="Cambria Math" w:hAnsi="Cambria Math" w:cs="Times New Roman"/>
                  <w:color w:val="700000"/>
                  <w:sz w:val="24"/>
                  <w:szCs w:val="24"/>
                </w:rPr>
                <m:t>flow</m:t>
              </m:r>
              <m:r>
                <w:rPr>
                  <w:rFonts w:ascii="Cambria Math" w:hAnsi="Times New Roman" w:cs="Times New Roman"/>
                  <w:color w:val="700000"/>
                  <w:sz w:val="24"/>
                  <w:szCs w:val="24"/>
                </w:rPr>
                <m:t xml:space="preserve"> </m:t>
              </m:r>
              <m:r>
                <w:rPr>
                  <w:rFonts w:ascii="Cambria Math" w:hAnsi="Cambria Math" w:cs="Times New Roman"/>
                  <w:color w:val="700000"/>
                  <w:sz w:val="24"/>
                  <w:szCs w:val="24"/>
                </w:rPr>
                <m:t>from</m:t>
              </m:r>
              <m:r>
                <w:rPr>
                  <w:rFonts w:ascii="Cambria Math" w:hAnsi="Times New Roman" w:cs="Times New Roman"/>
                  <w:color w:val="700000"/>
                  <w:sz w:val="24"/>
                  <w:szCs w:val="24"/>
                </w:rPr>
                <m:t xml:space="preserve"> </m:t>
              </m:r>
              <m:r>
                <w:rPr>
                  <w:rFonts w:ascii="Cambria Math" w:hAnsi="Cambria Math" w:cs="Times New Roman"/>
                  <w:color w:val="700000"/>
                  <w:sz w:val="24"/>
                  <w:szCs w:val="24"/>
                </w:rPr>
                <m:t>operations</m:t>
              </m:r>
            </m:e>
          </m:d>
          <m:r>
            <w:rPr>
              <w:rFonts w:ascii="Cambria Math" w:hAnsi="Times New Roman" w:cs="Times New Roman"/>
              <w:sz w:val="24"/>
              <w:szCs w:val="24"/>
            </w:rPr>
            <m:t xml:space="preserve">  (</m:t>
          </m:r>
          <m:r>
            <w:rPr>
              <w:rFonts w:ascii="Cambria Math" w:hAnsi="Cambria Math" w:cs="Times New Roman"/>
              <w:sz w:val="24"/>
              <w:szCs w:val="24"/>
            </w:rPr>
            <m:t>Eq</m:t>
          </m:r>
          <m:r>
            <w:rPr>
              <w:rFonts w:ascii="Cambria Math" w:hAnsi="Times New Roman" w:cs="Times New Roman"/>
              <w:sz w:val="24"/>
              <w:szCs w:val="24"/>
            </w:rPr>
            <m:t>.13)</m:t>
          </m:r>
        </m:oMath>
      </m:oMathPara>
    </w:p>
    <w:p w:rsidR="00432023" w:rsidRDefault="00432023" w:rsidP="00432023">
      <w:pPr>
        <w:pStyle w:val="Heading4"/>
      </w:pPr>
    </w:p>
    <w:p w:rsidR="00432023" w:rsidRPr="00BC6B94" w:rsidRDefault="00432023" w:rsidP="00653B4E">
      <w:pPr>
        <w:pStyle w:val="Heading4"/>
        <w:spacing w:line="360" w:lineRule="auto"/>
        <w:contextualSpacing/>
        <w:rPr>
          <w:rFonts w:ascii="Calibri" w:hAnsi="Calibri"/>
        </w:rPr>
      </w:pPr>
      <w:bookmarkStart w:id="80" w:name="_Toc254909689"/>
      <w:bookmarkStart w:id="81" w:name="_Toc268669758"/>
      <w:r w:rsidRPr="00BC6B94">
        <w:rPr>
          <w:rFonts w:ascii="Calibri" w:hAnsi="Calibri"/>
        </w:rPr>
        <w:t xml:space="preserve">8.3.3 </w:t>
      </w:r>
      <w:r w:rsidRPr="00BC6B94">
        <w:rPr>
          <w:rFonts w:ascii="Calibri" w:hAnsi="Calibri"/>
        </w:rPr>
        <w:tab/>
        <w:t>Measuring total income smoothing</w:t>
      </w:r>
      <w:bookmarkEnd w:id="80"/>
      <w:bookmarkEnd w:id="81"/>
    </w:p>
    <w:p w:rsidR="00432023" w:rsidRPr="00B718DB" w:rsidRDefault="00432023" w:rsidP="00653B4E">
      <w:pPr>
        <w:spacing w:line="360" w:lineRule="auto"/>
        <w:contextualSpacing/>
      </w:pPr>
    </w:p>
    <w:p w:rsidR="00432023" w:rsidRPr="00BC6B94" w:rsidRDefault="00432023" w:rsidP="00653B4E">
      <w:pPr>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An overall summary measure of income smoothing can be constructed for each country. For both income smoothing measures, countries are ranked such that a higher score suggest</w:t>
      </w:r>
      <w:r w:rsidR="00C00794">
        <w:rPr>
          <w:rFonts w:ascii="Times New Roman" w:hAnsi="Times New Roman" w:cs="Times New Roman"/>
          <w:sz w:val="24"/>
          <w:szCs w:val="24"/>
        </w:rPr>
        <w:t>s</w:t>
      </w:r>
      <w:r w:rsidRPr="00BC6B94">
        <w:rPr>
          <w:rFonts w:ascii="Times New Roman" w:hAnsi="Times New Roman" w:cs="Times New Roman"/>
          <w:sz w:val="24"/>
          <w:szCs w:val="24"/>
        </w:rPr>
        <w:t xml:space="preserve"> a higher level of earnings management. This means that the outcomes of the real smoothing measure (IS1) and the artificial smoothing measure (IS2) for all 31 countries will be ranked. Both rankings will then be averaged, which will result in the aggregate income smoothing measure. This score will determine the level of smoothing in a country, </w:t>
      </w:r>
      <w:r w:rsidRPr="00BC6B94">
        <w:rPr>
          <w:rFonts w:ascii="Times New Roman" w:hAnsi="Times New Roman" w:cs="Times New Roman"/>
          <w:sz w:val="24"/>
          <w:szCs w:val="24"/>
        </w:rPr>
        <w:lastRenderedPageBreak/>
        <w:t>i.e. a high score indicates a high level of income smoothing, while a low score indicates a lower level of income smoothing in that particular country.</w:t>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To test the last hypothesis, I will employ the multiple regression stated below.</w:t>
      </w:r>
    </w:p>
    <w:p w:rsidR="00432023" w:rsidRPr="00BC6B94" w:rsidRDefault="00432023" w:rsidP="00432023">
      <w:pPr>
        <w:spacing w:line="360" w:lineRule="auto"/>
        <w:rPr>
          <w:rFonts w:ascii="Times New Roman" w:hAnsi="Times New Roman" w:cs="Times New Roman"/>
          <w:sz w:val="24"/>
          <w:szCs w:val="24"/>
        </w:rPr>
      </w:pPr>
    </w:p>
    <w:p w:rsidR="00432023" w:rsidRPr="00BC6B94" w:rsidRDefault="00B7519E" w:rsidP="00432023">
      <w:pPr>
        <w:tabs>
          <w:tab w:val="left" w:pos="4320"/>
          <w:tab w:val="left" w:pos="5760"/>
          <w:tab w:val="left" w:pos="5940"/>
        </w:tabs>
        <w:autoSpaceDE w:val="0"/>
        <w:autoSpaceDN w:val="0"/>
        <w:adjustRightInd w:val="0"/>
        <w:spacing w:line="360" w:lineRule="auto"/>
        <w:rPr>
          <w:rFonts w:ascii="Times New Roman" w:hAnsi="Times New Roman" w:cs="Times New Roman"/>
          <w:b/>
          <w:sz w:val="24"/>
          <w:szCs w:val="24"/>
          <w:lang w:val="en-GB"/>
        </w:rPr>
      </w:pPr>
      <m:oMathPara>
        <m:oMath>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Y</m:t>
              </m:r>
            </m:e>
            <m:sub>
              <m:r>
                <m:rPr>
                  <m:sty m:val="bi"/>
                </m:rPr>
                <w:rPr>
                  <w:rFonts w:ascii="Cambria Math" w:hAnsi="Cambria Math" w:cs="Times New Roman"/>
                  <w:sz w:val="24"/>
                  <w:szCs w:val="24"/>
                  <w:lang w:val="en-GB"/>
                </w:rPr>
                <m:t>t</m:t>
              </m:r>
            </m:sub>
          </m:sSub>
          <m:r>
            <m:rPr>
              <m:sty m:val="bi"/>
            </m:rPr>
            <w:rPr>
              <w:rFonts w:ascii="Cambria Math" w:hAnsi="Times New Roman" w:cs="Times New Roman"/>
              <w:sz w:val="24"/>
              <w:szCs w:val="24"/>
              <w:lang w:val="en-GB"/>
            </w:rPr>
            <m:t>=</m:t>
          </m:r>
          <m:d>
            <m:dPr>
              <m:ctrlPr>
                <w:rPr>
                  <w:rFonts w:ascii="Cambria Math" w:hAnsi="Times New Roman" w:cs="Times New Roman"/>
                  <w:b/>
                  <w:i/>
                  <w:sz w:val="24"/>
                  <w:szCs w:val="24"/>
                  <w:lang w:val="en-GB"/>
                </w:rPr>
              </m:ctrlPr>
            </m:dPr>
            <m:e>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β</m:t>
                  </m:r>
                </m:e>
                <m:sub>
                  <m:r>
                    <m:rPr>
                      <m:sty m:val="bi"/>
                    </m:rPr>
                    <w:rPr>
                      <w:rFonts w:ascii="Cambria Math" w:hAnsi="Cambria Math" w:cs="Times New Roman"/>
                      <w:sz w:val="24"/>
                      <w:szCs w:val="24"/>
                      <w:lang w:val="en-GB"/>
                    </w:rPr>
                    <m:t>0</m:t>
                  </m:r>
                </m:sub>
              </m:sSub>
              <m:r>
                <m:rPr>
                  <m:sty m:val="bi"/>
                </m:rPr>
                <w:rPr>
                  <w:rFonts w:ascii="Cambria Math" w:hAnsi="Times New Roman" w:cs="Times New Roman"/>
                  <w:sz w:val="24"/>
                  <w:szCs w:val="24"/>
                  <w:lang w:val="en-GB"/>
                </w:rPr>
                <m:t xml:space="preserve">+ </m:t>
              </m:r>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β</m:t>
                  </m:r>
                </m:e>
                <m:sub>
                  <m:r>
                    <m:rPr>
                      <m:sty m:val="bi"/>
                    </m:rPr>
                    <w:rPr>
                      <w:rFonts w:ascii="Cambria Math" w:hAnsi="Cambria Math" w:cs="Times New Roman"/>
                      <w:sz w:val="24"/>
                      <w:szCs w:val="24"/>
                      <w:lang w:val="en-GB"/>
                    </w:rPr>
                    <m:t>1</m:t>
                  </m:r>
                </m:sub>
              </m:sSub>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X</m:t>
                  </m:r>
                </m:e>
                <m:sub>
                  <m:r>
                    <m:rPr>
                      <m:sty m:val="bi"/>
                    </m:rPr>
                    <w:rPr>
                      <w:rFonts w:ascii="Cambria Math" w:hAnsi="Cambria Math" w:cs="Times New Roman"/>
                      <w:sz w:val="24"/>
                      <w:szCs w:val="24"/>
                      <w:lang w:val="en-GB"/>
                    </w:rPr>
                    <m:t>1</m:t>
                  </m:r>
                </m:sub>
              </m:sSub>
              <m:r>
                <m:rPr>
                  <m:sty m:val="bi"/>
                </m:rPr>
                <w:rPr>
                  <w:rFonts w:ascii="Cambria Math" w:hAnsi="Times New Roman" w:cs="Times New Roman"/>
                  <w:sz w:val="24"/>
                  <w:szCs w:val="24"/>
                  <w:lang w:val="en-GB"/>
                </w:rPr>
                <m:t>+</m:t>
              </m:r>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β</m:t>
                  </m:r>
                </m:e>
                <m:sub>
                  <m:r>
                    <m:rPr>
                      <m:sty m:val="bi"/>
                    </m:rPr>
                    <w:rPr>
                      <w:rFonts w:ascii="Cambria Math" w:hAnsi="Cambria Math" w:cs="Times New Roman"/>
                      <w:sz w:val="24"/>
                      <w:szCs w:val="24"/>
                      <w:lang w:val="en-GB"/>
                    </w:rPr>
                    <m:t>2</m:t>
                  </m:r>
                </m:sub>
              </m:sSub>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X</m:t>
                  </m:r>
                </m:e>
                <m:sub>
                  <m:r>
                    <m:rPr>
                      <m:sty m:val="bi"/>
                    </m:rPr>
                    <w:rPr>
                      <w:rFonts w:ascii="Cambria Math" w:hAnsi="Cambria Math" w:cs="Times New Roman"/>
                      <w:sz w:val="24"/>
                      <w:szCs w:val="24"/>
                      <w:lang w:val="en-GB"/>
                    </w:rPr>
                    <m:t>2</m:t>
                  </m:r>
                </m:sub>
              </m:sSub>
              <m:r>
                <m:rPr>
                  <m:sty m:val="bi"/>
                </m:rPr>
                <w:rPr>
                  <w:rFonts w:ascii="Cambria Math" w:hAnsi="Times New Roman" w:cs="Times New Roman"/>
                  <w:sz w:val="24"/>
                  <w:szCs w:val="24"/>
                  <w:lang w:val="en-GB"/>
                </w:rPr>
                <m:t xml:space="preserve">+ </m:t>
              </m:r>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β</m:t>
                  </m:r>
                </m:e>
                <m:sub>
                  <m:r>
                    <m:rPr>
                      <m:sty m:val="bi"/>
                    </m:rPr>
                    <w:rPr>
                      <w:rFonts w:ascii="Cambria Math" w:hAnsi="Cambria Math" w:cs="Times New Roman"/>
                      <w:sz w:val="24"/>
                      <w:szCs w:val="24"/>
                      <w:lang w:val="en-GB"/>
                    </w:rPr>
                    <m:t>3</m:t>
                  </m:r>
                </m:sub>
              </m:sSub>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X</m:t>
                  </m:r>
                </m:e>
                <m:sub>
                  <m:r>
                    <m:rPr>
                      <m:sty m:val="bi"/>
                    </m:rPr>
                    <w:rPr>
                      <w:rFonts w:ascii="Cambria Math" w:hAnsi="Cambria Math" w:cs="Times New Roman"/>
                      <w:sz w:val="24"/>
                      <w:szCs w:val="24"/>
                      <w:lang w:val="en-GB"/>
                    </w:rPr>
                    <m:t>3</m:t>
                  </m:r>
                </m:sub>
              </m:sSub>
            </m:e>
          </m:d>
          <m:r>
            <m:rPr>
              <m:sty m:val="bi"/>
            </m:rPr>
            <w:rPr>
              <w:rFonts w:ascii="Cambria Math" w:hAnsi="Times New Roman" w:cs="Times New Roman"/>
              <w:sz w:val="24"/>
              <w:szCs w:val="24"/>
              <w:lang w:val="en-GB"/>
            </w:rPr>
            <m:t xml:space="preserve">+ </m:t>
          </m:r>
          <m:sSub>
            <m:sSubPr>
              <m:ctrlPr>
                <w:rPr>
                  <w:rFonts w:ascii="Cambria Math" w:hAnsi="Times New Roman" w:cs="Times New Roman"/>
                  <w:b/>
                  <w:i/>
                  <w:sz w:val="24"/>
                  <w:szCs w:val="24"/>
                  <w:lang w:val="en-GB"/>
                </w:rPr>
              </m:ctrlPr>
            </m:sSubPr>
            <m:e>
              <m:r>
                <m:rPr>
                  <m:sty m:val="bi"/>
                </m:rPr>
                <w:rPr>
                  <w:rFonts w:ascii="Cambria Math" w:hAnsi="Cambria Math" w:cs="Times New Roman"/>
                  <w:sz w:val="24"/>
                  <w:szCs w:val="24"/>
                  <w:lang w:val="en-GB"/>
                </w:rPr>
                <m:t>ε</m:t>
              </m:r>
            </m:e>
            <m:sub>
              <m:r>
                <m:rPr>
                  <m:sty m:val="bi"/>
                </m:rPr>
                <w:rPr>
                  <w:rFonts w:ascii="Cambria Math" w:hAnsi="Cambria Math" w:cs="Times New Roman"/>
                  <w:sz w:val="24"/>
                  <w:szCs w:val="24"/>
                  <w:lang w:val="en-GB"/>
                </w:rPr>
                <m:t>i</m:t>
              </m:r>
            </m:sub>
          </m:sSub>
          <m:r>
            <m:rPr>
              <m:sty m:val="bi"/>
            </m:rPr>
            <w:rPr>
              <w:rFonts w:ascii="Cambria Math" w:hAnsi="Times New Roman" w:cs="Times New Roman"/>
              <w:sz w:val="24"/>
              <w:szCs w:val="24"/>
              <w:lang w:val="en-GB"/>
            </w:rPr>
            <m:t xml:space="preserve">    </m:t>
          </m:r>
          <m:r>
            <w:rPr>
              <w:rFonts w:ascii="Cambria Math" w:hAnsi="Times New Roman" w:cs="Times New Roman"/>
              <w:sz w:val="24"/>
              <w:szCs w:val="24"/>
              <w:lang w:val="en-GB"/>
            </w:rPr>
            <m:t>(</m:t>
          </m:r>
          <m:r>
            <w:rPr>
              <w:rFonts w:ascii="Cambria Math" w:hAnsi="Cambria Math" w:cs="Times New Roman"/>
              <w:sz w:val="24"/>
              <w:szCs w:val="24"/>
              <w:lang w:val="en-GB"/>
            </w:rPr>
            <m:t>Eq</m:t>
          </m:r>
          <m:r>
            <w:rPr>
              <w:rFonts w:ascii="Cambria Math" w:hAnsi="Times New Roman" w:cs="Times New Roman"/>
              <w:sz w:val="24"/>
              <w:szCs w:val="24"/>
              <w:lang w:val="en-GB"/>
            </w:rPr>
            <m:t>.14)</m:t>
          </m:r>
          <m:r>
            <m:rPr>
              <m:sty m:val="bi"/>
            </m:rPr>
            <w:rPr>
              <w:rFonts w:ascii="Cambria Math" w:hAnsi="Times New Roman" w:cs="Times New Roman"/>
              <w:sz w:val="24"/>
              <w:szCs w:val="24"/>
              <w:lang w:val="en-GB"/>
            </w:rPr>
            <m:t xml:space="preserve"> </m:t>
          </m:r>
        </m:oMath>
      </m:oMathPara>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b/>
          <w:sz w:val="24"/>
          <w:szCs w:val="24"/>
          <w:lang w:val="en-GB"/>
        </w:rPr>
      </w:pP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 xml:space="preserve">Where </w:t>
      </w:r>
      <m:oMath>
        <m:r>
          <w:rPr>
            <w:rFonts w:ascii="Cambria Math" w:hAnsi="Times New Roman" w:cs="Times New Roman"/>
            <w:sz w:val="24"/>
            <w:szCs w:val="24"/>
            <w:lang w:val="en-GB"/>
          </w:rPr>
          <m:t xml:space="preserve">          </m:t>
        </m:r>
        <m:r>
          <m:rPr>
            <m:sty m:val="bi"/>
          </m:rPr>
          <w:rPr>
            <w:rFonts w:ascii="Cambria Math" w:hAnsi="Times New Roman" w:cs="Times New Roman"/>
            <w:sz w:val="24"/>
            <w:szCs w:val="24"/>
            <w:lang w:val="en-GB"/>
          </w:rPr>
          <m:t xml:space="preserve">  </m:t>
        </m:r>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Y</m:t>
            </m:r>
            <m:r>
              <w:rPr>
                <w:rFonts w:ascii="Cambria Math" w:hAnsi="Times New Roman" w:cs="Times New Roman"/>
                <w:sz w:val="24"/>
                <w:szCs w:val="24"/>
                <w:lang w:val="en-GB"/>
              </w:rPr>
              <m:t xml:space="preserve"> </m:t>
            </m:r>
          </m:e>
          <m:sub>
            <m:r>
              <w:rPr>
                <w:rFonts w:ascii="Cambria Math" w:hAnsi="Cambria Math" w:cs="Times New Roman"/>
                <w:sz w:val="24"/>
                <w:szCs w:val="24"/>
                <w:lang w:val="en-GB"/>
              </w:rPr>
              <m:t>t</m:t>
            </m:r>
          </m:sub>
        </m:sSub>
      </m:oMath>
      <w:r w:rsidRPr="00BC6B94">
        <w:rPr>
          <w:rFonts w:ascii="Times New Roman" w:hAnsi="Times New Roman" w:cs="Times New Roman"/>
          <w:sz w:val="24"/>
          <w:szCs w:val="24"/>
          <w:lang w:val="en-GB"/>
        </w:rPr>
        <w:t xml:space="preserve"> = Aggregate income smoothing for year t </w:t>
      </w:r>
    </w:p>
    <w:p w:rsidR="00432023" w:rsidRPr="00BC6B94" w:rsidRDefault="00432023" w:rsidP="00432023">
      <w:pPr>
        <w:tabs>
          <w:tab w:val="left" w:pos="4320"/>
          <w:tab w:val="left" w:pos="5760"/>
          <w:tab w:val="left" w:pos="5940"/>
        </w:tabs>
        <w:autoSpaceDE w:val="0"/>
        <w:autoSpaceDN w:val="0"/>
        <w:adjustRightInd w:val="0"/>
        <w:spacing w:line="360" w:lineRule="auto"/>
        <w:ind w:left="4410" w:hanging="4410"/>
        <w:rPr>
          <w:rFonts w:ascii="Times New Roman" w:hAnsi="Times New Roman" w:cs="Times New Roman"/>
          <w:sz w:val="24"/>
          <w:szCs w:val="24"/>
          <w:lang w:val="en-GB"/>
        </w:rPr>
      </w:pPr>
      <w:r w:rsidRPr="00BC6B94">
        <w:rPr>
          <w:rFonts w:ascii="Times New Roman" w:hAnsi="Times New Roman" w:cs="Times New Roman"/>
          <w:sz w:val="24"/>
          <w:szCs w:val="24"/>
          <w:lang w:val="en-GB"/>
        </w:rPr>
        <w:t xml:space="preserve">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Times New Roman" w:cs="Times New Roman"/>
                <w:sz w:val="24"/>
                <w:szCs w:val="24"/>
                <w:lang w:val="en-GB"/>
              </w:rPr>
              <m:t xml:space="preserve">1 </m:t>
            </m:r>
          </m:sub>
        </m:sSub>
      </m:oMath>
      <w:r w:rsidRPr="00BC6B94">
        <w:rPr>
          <w:rFonts w:ascii="Times New Roman" w:hAnsi="Times New Roman" w:cs="Times New Roman"/>
          <w:sz w:val="24"/>
          <w:szCs w:val="24"/>
          <w:lang w:val="en-GB"/>
        </w:rPr>
        <w:t xml:space="preserve">= Ex ante private control of self-dealing </w:t>
      </w: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 xml:space="preserve">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Times New Roman" w:cs="Times New Roman"/>
                <w:sz w:val="24"/>
                <w:szCs w:val="24"/>
                <w:lang w:val="en-GB"/>
              </w:rPr>
              <m:t>2</m:t>
            </m:r>
          </m:sub>
        </m:sSub>
      </m:oMath>
      <w:r w:rsidRPr="00BC6B94">
        <w:rPr>
          <w:rFonts w:ascii="Times New Roman" w:hAnsi="Times New Roman" w:cs="Times New Roman"/>
          <w:sz w:val="24"/>
          <w:szCs w:val="24"/>
          <w:lang w:val="en-GB"/>
        </w:rPr>
        <w:t xml:space="preserve"> = Ex post private control of self-dealing</w:t>
      </w:r>
    </w:p>
    <w:p w:rsidR="00432023" w:rsidRPr="00BC6B94" w:rsidRDefault="00432023" w:rsidP="00432023">
      <w:pPr>
        <w:tabs>
          <w:tab w:val="left" w:pos="4320"/>
          <w:tab w:val="left" w:pos="5760"/>
          <w:tab w:val="left" w:pos="5940"/>
        </w:tabs>
        <w:autoSpaceDE w:val="0"/>
        <w:autoSpaceDN w:val="0"/>
        <w:adjustRightInd w:val="0"/>
        <w:spacing w:line="360" w:lineRule="auto"/>
        <w:rPr>
          <w:rFonts w:ascii="Times New Roman" w:hAnsi="Times New Roman" w:cs="Times New Roman"/>
          <w:sz w:val="24"/>
          <w:szCs w:val="24"/>
          <w:lang w:val="en-GB"/>
        </w:rPr>
      </w:pPr>
      <w:r w:rsidRPr="00BC6B94">
        <w:rPr>
          <w:rFonts w:ascii="Times New Roman" w:hAnsi="Times New Roman" w:cs="Times New Roman"/>
          <w:sz w:val="24"/>
          <w:szCs w:val="24"/>
          <w:lang w:val="en-GB"/>
        </w:rPr>
        <w:t xml:space="preserve">                      </w:t>
      </w:r>
      <m:oMath>
        <m:sSub>
          <m:sSubPr>
            <m:ctrlPr>
              <w:rPr>
                <w:rFonts w:ascii="Cambria Math" w:hAnsi="Times New Roman" w:cs="Times New Roman"/>
                <w:i/>
                <w:sz w:val="24"/>
                <w:szCs w:val="24"/>
                <w:lang w:val="en-GB"/>
              </w:rPr>
            </m:ctrlPr>
          </m:sSubPr>
          <m:e>
            <m:r>
              <w:rPr>
                <w:rFonts w:ascii="Cambria Math" w:hAnsi="Cambria Math" w:cs="Times New Roman"/>
                <w:sz w:val="24"/>
                <w:szCs w:val="24"/>
                <w:lang w:val="en-GB"/>
              </w:rPr>
              <m:t>X</m:t>
            </m:r>
          </m:e>
          <m:sub>
            <m:r>
              <w:rPr>
                <w:rFonts w:ascii="Cambria Math" w:hAnsi="Times New Roman" w:cs="Times New Roman"/>
                <w:sz w:val="24"/>
                <w:szCs w:val="24"/>
                <w:lang w:val="en-GB"/>
              </w:rPr>
              <m:t>3</m:t>
            </m:r>
          </m:sub>
        </m:sSub>
      </m:oMath>
      <w:r w:rsidRPr="00BC6B94">
        <w:rPr>
          <w:rFonts w:ascii="Times New Roman" w:hAnsi="Times New Roman" w:cs="Times New Roman"/>
          <w:sz w:val="24"/>
          <w:szCs w:val="24"/>
          <w:lang w:val="en-GB"/>
        </w:rPr>
        <w:t xml:space="preserve"> = Public enforcement </w:t>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ab/>
        <w:t xml:space="preserve">          </w:t>
      </w:r>
      <m:oMath>
        <m:sSub>
          <m:sSubPr>
            <m:ctrlPr>
              <w:rPr>
                <w:rFonts w:ascii="Cambria Math" w:eastAsiaTheme="minorHAnsi" w:hAnsi="Times New Roman" w:cs="Times New Roman"/>
                <w:i/>
                <w:sz w:val="24"/>
                <w:szCs w:val="24"/>
              </w:rPr>
            </m:ctrlPr>
          </m:sSubPr>
          <m:e>
            <m:r>
              <w:rPr>
                <w:rFonts w:ascii="Cambria Math" w:hAnsi="Cambria Math" w:cs="Times New Roman"/>
                <w:sz w:val="24"/>
                <w:szCs w:val="24"/>
              </w:rPr>
              <m:t>ε</m:t>
            </m:r>
          </m:e>
          <m:sub>
            <m:r>
              <w:rPr>
                <w:rFonts w:ascii="Cambria Math" w:hAnsi="Cambria Math" w:cs="Times New Roman"/>
                <w:sz w:val="24"/>
                <w:szCs w:val="24"/>
              </w:rPr>
              <m:t>i</m:t>
            </m:r>
          </m:sub>
        </m:sSub>
      </m:oMath>
      <w:r w:rsidRPr="00BC6B94">
        <w:rPr>
          <w:rFonts w:ascii="Times New Roman" w:hAnsi="Times New Roman" w:cs="Times New Roman"/>
          <w:sz w:val="24"/>
          <w:szCs w:val="24"/>
        </w:rPr>
        <w:t xml:space="preserve"> = Error</w:t>
      </w:r>
      <w:r w:rsidRPr="00BC6B94">
        <w:rPr>
          <w:rFonts w:ascii="Times New Roman" w:hAnsi="Times New Roman" w:cs="Times New Roman"/>
          <w:sz w:val="24"/>
          <w:szCs w:val="24"/>
          <w:lang w:val="en-GB"/>
        </w:rPr>
        <w:t xml:space="preserve"> term </w:t>
      </w:r>
      <w:r w:rsidRPr="00BC6B94">
        <w:rPr>
          <w:rFonts w:ascii="Times New Roman" w:eastAsia="Calibri" w:hAnsi="Times New Roman" w:cs="Times New Roman"/>
          <w:sz w:val="24"/>
          <w:szCs w:val="24"/>
          <w:lang w:val="en-GB"/>
        </w:rPr>
        <w:t>represents unexplained variation in the dependent variable</w:t>
      </w:r>
      <w:r w:rsidRPr="00BC6B94">
        <w:rPr>
          <w:rFonts w:ascii="Times New Roman" w:hAnsi="Times New Roman" w:cs="Times New Roman"/>
          <w:sz w:val="24"/>
          <w:szCs w:val="24"/>
        </w:rPr>
        <w:tab/>
      </w:r>
      <w:r w:rsidRPr="00BC6B94">
        <w:rPr>
          <w:rFonts w:ascii="Times New Roman" w:hAnsi="Times New Roman" w:cs="Times New Roman"/>
          <w:sz w:val="24"/>
          <w:szCs w:val="24"/>
        </w:rPr>
        <w:tab/>
      </w:r>
      <w:r w:rsidRPr="00BC6B94">
        <w:rPr>
          <w:rFonts w:ascii="Times New Roman" w:hAnsi="Times New Roman" w:cs="Times New Roman"/>
          <w:sz w:val="24"/>
          <w:szCs w:val="24"/>
        </w:rPr>
        <w:tab/>
      </w:r>
      <w:r w:rsidRPr="00BC6B94">
        <w:rPr>
          <w:rFonts w:ascii="Times New Roman" w:hAnsi="Times New Roman" w:cs="Times New Roman"/>
          <w:sz w:val="24"/>
          <w:szCs w:val="24"/>
        </w:rPr>
        <w:tab/>
      </w:r>
    </w:p>
    <w:p w:rsidR="00432023" w:rsidRPr="00BC6B94"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The dependent variable, aggregate income smoothing, can be predicted by three independent variables. Two of these variables form the anti-self-dealing index. This index consists of the average of two indexes, which are the </w:t>
      </w:r>
      <w:r w:rsidRPr="00BC6B94">
        <w:rPr>
          <w:rFonts w:ascii="Times New Roman" w:hAnsi="Times New Roman" w:cs="Times New Roman"/>
          <w:sz w:val="24"/>
          <w:szCs w:val="24"/>
          <w:lang w:val="en-GB"/>
        </w:rPr>
        <w:t>ex ante private control of self-dealing and ex post control of self-dealing. The third variable that I will use is the public enforcement index from Djankov et al.</w:t>
      </w:r>
      <w:r w:rsidR="00BE634C">
        <w:rPr>
          <w:rFonts w:ascii="Times New Roman" w:hAnsi="Times New Roman" w:cs="Times New Roman"/>
          <w:sz w:val="24"/>
          <w:szCs w:val="24"/>
          <w:lang w:val="en-GB"/>
        </w:rPr>
        <w:t xml:space="preserve"> (2007).</w:t>
      </w:r>
      <w:r w:rsidRPr="00BC6B94">
        <w:rPr>
          <w:rFonts w:ascii="Times New Roman" w:hAnsi="Times New Roman" w:cs="Times New Roman"/>
          <w:sz w:val="24"/>
          <w:szCs w:val="24"/>
          <w:lang w:val="en-GB"/>
        </w:rPr>
        <w:t xml:space="preserve"> These indices have been defined by Djankov et al. (2007) for 72 countries classified by their legal origin. </w:t>
      </w:r>
      <w:r w:rsidRPr="00BC6B94">
        <w:rPr>
          <w:rFonts w:ascii="Times New Roman" w:hAnsi="Times New Roman" w:cs="Times New Roman"/>
          <w:sz w:val="24"/>
          <w:szCs w:val="24"/>
        </w:rPr>
        <w:tab/>
      </w:r>
    </w:p>
    <w:p w:rsidR="00432023" w:rsidRDefault="00432023" w:rsidP="00432023">
      <w:pPr>
        <w:pStyle w:val="Heading4"/>
      </w:pPr>
    </w:p>
    <w:p w:rsidR="00432023" w:rsidRPr="00BC6B94" w:rsidRDefault="00432023" w:rsidP="00FC5742">
      <w:pPr>
        <w:pStyle w:val="Heading4"/>
        <w:spacing w:line="360" w:lineRule="auto"/>
        <w:contextualSpacing/>
        <w:rPr>
          <w:rFonts w:ascii="Calibri" w:hAnsi="Calibri"/>
        </w:rPr>
      </w:pPr>
      <w:bookmarkStart w:id="82" w:name="_Toc254909690"/>
      <w:bookmarkStart w:id="83" w:name="_Toc268669759"/>
      <w:r w:rsidRPr="00BC6B94">
        <w:rPr>
          <w:rFonts w:ascii="Calibri" w:hAnsi="Calibri"/>
        </w:rPr>
        <w:t>8.4</w:t>
      </w:r>
      <w:r w:rsidRPr="00BC6B94">
        <w:rPr>
          <w:rFonts w:ascii="Calibri" w:hAnsi="Calibri"/>
        </w:rPr>
        <w:tab/>
        <w:t xml:space="preserve"> Sample selection</w:t>
      </w:r>
      <w:bookmarkEnd w:id="82"/>
      <w:bookmarkEnd w:id="83"/>
    </w:p>
    <w:p w:rsidR="00432023" w:rsidRPr="00B718DB" w:rsidRDefault="00432023" w:rsidP="00FC5742">
      <w:pPr>
        <w:spacing w:line="360" w:lineRule="auto"/>
        <w:contextualSpacing/>
      </w:pPr>
    </w:p>
    <w:p w:rsidR="00432023" w:rsidRDefault="00432023" w:rsidP="00FC5742">
      <w:pPr>
        <w:spacing w:line="360" w:lineRule="auto"/>
        <w:contextualSpacing/>
        <w:rPr>
          <w:rFonts w:ascii="Times New Roman" w:hAnsi="Times New Roman" w:cs="Times New Roman"/>
          <w:sz w:val="24"/>
          <w:szCs w:val="24"/>
        </w:rPr>
      </w:pPr>
      <w:r w:rsidRPr="00BC6B94">
        <w:rPr>
          <w:rFonts w:ascii="Times New Roman" w:hAnsi="Times New Roman" w:cs="Times New Roman"/>
          <w:sz w:val="24"/>
          <w:szCs w:val="24"/>
        </w:rPr>
        <w:t xml:space="preserve">The sample will consist of observations in 31 countries, in the period 2000 till 2008. The countries which will be included in this study are the same 31 countries investigated by Leuz et al.(2003). In order to be included in the sample they must have at least 300 firm-year observations for a number of accounting variables, such as total assets, sales, net income and operating income. Each firm must have income statement and balance sheet information for at least three consecutive years. The data is drawn from the Thomson One Banker database. Banks and financial institutions are excluded from the empirical </w:t>
      </w:r>
      <w:r w:rsidRPr="00BC6B94">
        <w:rPr>
          <w:rFonts w:ascii="Times New Roman" w:hAnsi="Times New Roman" w:cs="Times New Roman"/>
          <w:sz w:val="24"/>
          <w:szCs w:val="24"/>
        </w:rPr>
        <w:lastRenderedPageBreak/>
        <w:t>research. The final sample consists of 21.297 non-financial firms. The firms included operate in different industries which can be identified by the following codes.</w:t>
      </w:r>
    </w:p>
    <w:p w:rsidR="00FC1EA3" w:rsidRDefault="00FC1EA3" w:rsidP="00FC5742">
      <w:pPr>
        <w:spacing w:line="360" w:lineRule="auto"/>
        <w:contextualSpacing/>
        <w:rPr>
          <w:rFonts w:ascii="Times New Roman" w:hAnsi="Times New Roman" w:cs="Times New Roman"/>
          <w:sz w:val="24"/>
          <w:szCs w:val="24"/>
        </w:rPr>
      </w:pPr>
    </w:p>
    <w:p w:rsidR="00432023" w:rsidRPr="00FC5742" w:rsidRDefault="00432023" w:rsidP="00432023">
      <w:pPr>
        <w:spacing w:line="360" w:lineRule="auto"/>
        <w:rPr>
          <w:rFonts w:ascii="Times New Roman" w:hAnsi="Times New Roman" w:cs="Times New Roman"/>
          <w:i/>
          <w:sz w:val="24"/>
          <w:szCs w:val="24"/>
        </w:rPr>
      </w:pPr>
      <w:r w:rsidRPr="00FC5742">
        <w:rPr>
          <w:rFonts w:ascii="Times New Roman" w:hAnsi="Times New Roman" w:cs="Times New Roman"/>
          <w:i/>
          <w:sz w:val="24"/>
          <w:szCs w:val="24"/>
        </w:rPr>
        <w:t>Table 1</w:t>
      </w:r>
    </w:p>
    <w:tbl>
      <w:tblPr>
        <w:tblStyle w:val="TableList5"/>
        <w:tblW w:w="0" w:type="auto"/>
        <w:tblInd w:w="1476" w:type="dxa"/>
        <w:tblLook w:val="04A0"/>
      </w:tblPr>
      <w:tblGrid>
        <w:gridCol w:w="2358"/>
        <w:gridCol w:w="3780"/>
      </w:tblGrid>
      <w:tr w:rsidR="00432023" w:rsidRPr="00BC6B94" w:rsidTr="00363483">
        <w:trPr>
          <w:cnfStyle w:val="100000000000"/>
        </w:trPr>
        <w:tc>
          <w:tcPr>
            <w:cnfStyle w:val="001000000000"/>
            <w:tcW w:w="2358" w:type="dxa"/>
          </w:tcPr>
          <w:p w:rsidR="00432023" w:rsidRPr="00BC6B94" w:rsidRDefault="00432023" w:rsidP="00363483">
            <w:pPr>
              <w:spacing w:line="360" w:lineRule="auto"/>
              <w:jc w:val="center"/>
              <w:rPr>
                <w:sz w:val="24"/>
                <w:szCs w:val="24"/>
              </w:rPr>
            </w:pPr>
            <w:r w:rsidRPr="00BC6B94">
              <w:rPr>
                <w:sz w:val="24"/>
                <w:szCs w:val="24"/>
              </w:rPr>
              <w:t>IBC Code</w:t>
            </w:r>
          </w:p>
        </w:tc>
        <w:tc>
          <w:tcPr>
            <w:tcW w:w="3780" w:type="dxa"/>
          </w:tcPr>
          <w:p w:rsidR="00432023" w:rsidRPr="00BC6B94" w:rsidRDefault="00432023" w:rsidP="00363483">
            <w:pPr>
              <w:spacing w:line="360" w:lineRule="auto"/>
              <w:jc w:val="center"/>
              <w:cnfStyle w:val="100000000000"/>
              <w:rPr>
                <w:sz w:val="24"/>
                <w:szCs w:val="24"/>
              </w:rPr>
            </w:pPr>
            <w:r w:rsidRPr="00BC6B94">
              <w:rPr>
                <w:sz w:val="24"/>
                <w:szCs w:val="24"/>
              </w:rPr>
              <w:t>Industry</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1000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Basic Materials</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3000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Consumer Goods</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5000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Consumer Services</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4000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Health Care</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2000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Industrials</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9000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Technology</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6000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Telecommunications</w:t>
            </w:r>
          </w:p>
        </w:tc>
      </w:tr>
      <w:tr w:rsidR="00432023" w:rsidRPr="00BC6B94" w:rsidTr="00363483">
        <w:tc>
          <w:tcPr>
            <w:cnfStyle w:val="001000000000"/>
            <w:tcW w:w="2358" w:type="dxa"/>
          </w:tcPr>
          <w:p w:rsidR="00432023" w:rsidRPr="00BC6B94" w:rsidRDefault="00432023" w:rsidP="00363483">
            <w:pPr>
              <w:spacing w:line="360" w:lineRule="auto"/>
              <w:rPr>
                <w:b w:val="0"/>
                <w:sz w:val="24"/>
                <w:szCs w:val="24"/>
              </w:rPr>
            </w:pPr>
            <w:r w:rsidRPr="00BC6B94">
              <w:rPr>
                <w:b w:val="0"/>
                <w:sz w:val="24"/>
                <w:szCs w:val="24"/>
              </w:rPr>
              <w:t>7000</w:t>
            </w:r>
          </w:p>
        </w:tc>
        <w:tc>
          <w:tcPr>
            <w:tcW w:w="3780" w:type="dxa"/>
          </w:tcPr>
          <w:p w:rsidR="00432023" w:rsidRPr="00BC6B94" w:rsidRDefault="00432023" w:rsidP="00363483">
            <w:pPr>
              <w:spacing w:line="360" w:lineRule="auto"/>
              <w:cnfStyle w:val="000000000000"/>
              <w:rPr>
                <w:sz w:val="24"/>
                <w:szCs w:val="24"/>
              </w:rPr>
            </w:pPr>
            <w:r w:rsidRPr="00BC6B94">
              <w:rPr>
                <w:sz w:val="24"/>
                <w:szCs w:val="24"/>
              </w:rPr>
              <w:t>Utilities</w:t>
            </w:r>
          </w:p>
        </w:tc>
      </w:tr>
    </w:tbl>
    <w:p w:rsidR="00432023" w:rsidRPr="00BC6B94" w:rsidRDefault="00432023" w:rsidP="00432023">
      <w:pPr>
        <w:spacing w:line="360" w:lineRule="auto"/>
        <w:rPr>
          <w:rFonts w:ascii="Times New Roman" w:hAnsi="Times New Roman" w:cs="Times New Roman"/>
          <w:sz w:val="24"/>
          <w:szCs w:val="24"/>
        </w:rPr>
      </w:pPr>
    </w:p>
    <w:p w:rsidR="00432023" w:rsidRPr="00BC6B94" w:rsidRDefault="00432023" w:rsidP="00432023">
      <w:pPr>
        <w:spacing w:line="360" w:lineRule="auto"/>
        <w:rPr>
          <w:rFonts w:ascii="Times New Roman" w:hAnsi="Times New Roman" w:cs="Times New Roman"/>
          <w:sz w:val="24"/>
          <w:szCs w:val="24"/>
        </w:rPr>
      </w:pPr>
    </w:p>
    <w:p w:rsidR="00824E42"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The 31 countries that will be used are selected for two main reasons. First, because my research focuses on complementing and extending the research of Leuz et al.</w:t>
      </w:r>
      <w:r w:rsidR="00FC1EA3">
        <w:rPr>
          <w:rFonts w:ascii="Times New Roman" w:hAnsi="Times New Roman" w:cs="Times New Roman"/>
          <w:sz w:val="24"/>
          <w:szCs w:val="24"/>
        </w:rPr>
        <w:t xml:space="preserve"> </w:t>
      </w:r>
      <w:r w:rsidRPr="00BC6B94">
        <w:rPr>
          <w:rFonts w:ascii="Times New Roman" w:hAnsi="Times New Roman" w:cs="Times New Roman"/>
          <w:sz w:val="24"/>
          <w:szCs w:val="24"/>
        </w:rPr>
        <w:t>(2003), therefore the same 31 countries they included in their sample are selected. Secondly, all of these countries are hyperinflation-free in the sample period. High inflation may affect the income smoothing measurements used.</w:t>
      </w:r>
      <w:r w:rsidR="00BC6B94">
        <w:rPr>
          <w:rFonts w:ascii="Times New Roman" w:hAnsi="Times New Roman" w:cs="Times New Roman"/>
          <w:sz w:val="24"/>
          <w:szCs w:val="24"/>
        </w:rPr>
        <w:t xml:space="preserve"> </w:t>
      </w:r>
    </w:p>
    <w:p w:rsidR="00432023" w:rsidRDefault="00432023" w:rsidP="00432023">
      <w:pPr>
        <w:spacing w:line="360" w:lineRule="auto"/>
        <w:rPr>
          <w:rFonts w:ascii="Times New Roman" w:hAnsi="Times New Roman" w:cs="Times New Roman"/>
          <w:sz w:val="24"/>
          <w:szCs w:val="24"/>
        </w:rPr>
      </w:pPr>
      <w:r w:rsidRPr="00BC6B94">
        <w:rPr>
          <w:rFonts w:ascii="Times New Roman" w:hAnsi="Times New Roman" w:cs="Times New Roman"/>
          <w:sz w:val="24"/>
          <w:szCs w:val="24"/>
        </w:rPr>
        <w:t xml:space="preserve">Because of the large sample, it is useful to cluster the companies so that the patterns in earnings management among countries can emerge. By employing a country cluster analysis the countries can be categorized in three clusters, each containing countries with similar legal and institutional characteristics: </w:t>
      </w:r>
    </w:p>
    <w:p w:rsidR="00432023" w:rsidRPr="00BC6B94" w:rsidRDefault="00432023" w:rsidP="00432023">
      <w:pPr>
        <w:pStyle w:val="ListParagraph"/>
        <w:numPr>
          <w:ilvl w:val="0"/>
          <w:numId w:val="46"/>
        </w:numPr>
        <w:spacing w:line="360" w:lineRule="auto"/>
        <w:rPr>
          <w:rFonts w:ascii="Times New Roman" w:hAnsi="Times New Roman" w:cs="Times New Roman"/>
          <w:sz w:val="24"/>
          <w:szCs w:val="24"/>
        </w:rPr>
      </w:pPr>
      <w:r w:rsidRPr="00BC6B94">
        <w:rPr>
          <w:rFonts w:ascii="Times New Roman" w:hAnsi="Times New Roman" w:cs="Times New Roman"/>
          <w:sz w:val="24"/>
          <w:szCs w:val="24"/>
        </w:rPr>
        <w:t>Countries with high investor protection;</w:t>
      </w:r>
    </w:p>
    <w:p w:rsidR="00432023" w:rsidRPr="00BC6B94" w:rsidRDefault="00432023" w:rsidP="00432023">
      <w:pPr>
        <w:pStyle w:val="ListParagraph"/>
        <w:numPr>
          <w:ilvl w:val="0"/>
          <w:numId w:val="46"/>
        </w:numPr>
        <w:spacing w:line="360" w:lineRule="auto"/>
        <w:rPr>
          <w:rFonts w:ascii="Times New Roman" w:hAnsi="Times New Roman" w:cs="Times New Roman"/>
          <w:sz w:val="24"/>
          <w:szCs w:val="24"/>
        </w:rPr>
      </w:pPr>
      <w:r w:rsidRPr="00BC6B94">
        <w:rPr>
          <w:rFonts w:ascii="Times New Roman" w:hAnsi="Times New Roman" w:cs="Times New Roman"/>
          <w:sz w:val="24"/>
          <w:szCs w:val="24"/>
        </w:rPr>
        <w:t>Countries with medium investor protection,</w:t>
      </w:r>
    </w:p>
    <w:p w:rsidR="00432023" w:rsidRPr="00BC6B94" w:rsidRDefault="00432023" w:rsidP="00432023">
      <w:pPr>
        <w:pStyle w:val="ListParagraph"/>
        <w:numPr>
          <w:ilvl w:val="0"/>
          <w:numId w:val="46"/>
        </w:numPr>
        <w:spacing w:line="360" w:lineRule="auto"/>
        <w:rPr>
          <w:rFonts w:ascii="Times New Roman" w:hAnsi="Times New Roman" w:cs="Times New Roman"/>
          <w:sz w:val="24"/>
          <w:szCs w:val="24"/>
        </w:rPr>
      </w:pPr>
      <w:r w:rsidRPr="00BC6B94">
        <w:rPr>
          <w:rFonts w:ascii="Times New Roman" w:hAnsi="Times New Roman" w:cs="Times New Roman"/>
          <w:sz w:val="24"/>
          <w:szCs w:val="24"/>
        </w:rPr>
        <w:t>Countries with low legal enforcement.</w:t>
      </w:r>
    </w:p>
    <w:p w:rsidR="00E12142" w:rsidRDefault="00E12142" w:rsidP="00E12142">
      <w:pPr>
        <w:pStyle w:val="Heading4"/>
        <w:spacing w:line="360" w:lineRule="auto"/>
        <w:contextualSpacing/>
        <w:rPr>
          <w:rFonts w:ascii="Calibri" w:hAnsi="Calibri"/>
        </w:rPr>
      </w:pPr>
    </w:p>
    <w:p w:rsidR="009B31B0" w:rsidRDefault="009B31B0" w:rsidP="009B31B0"/>
    <w:p w:rsidR="009B31B0" w:rsidRPr="009B31B0" w:rsidRDefault="009B31B0" w:rsidP="009B31B0"/>
    <w:p w:rsidR="00432023" w:rsidRDefault="00432023" w:rsidP="00E12142">
      <w:pPr>
        <w:pStyle w:val="Heading4"/>
        <w:spacing w:line="360" w:lineRule="auto"/>
        <w:contextualSpacing/>
        <w:rPr>
          <w:rFonts w:ascii="Calibri" w:hAnsi="Calibri"/>
        </w:rPr>
      </w:pPr>
      <w:bookmarkStart w:id="84" w:name="_Toc268669760"/>
      <w:r w:rsidRPr="00F450E9">
        <w:rPr>
          <w:rFonts w:ascii="Calibri" w:hAnsi="Calibri"/>
        </w:rPr>
        <w:lastRenderedPageBreak/>
        <w:t>8.5</w:t>
      </w:r>
      <w:r w:rsidRPr="00F450E9">
        <w:rPr>
          <w:rFonts w:ascii="Calibri" w:hAnsi="Calibri"/>
        </w:rPr>
        <w:tab/>
        <w:t>Earnings Management Pre-IFRS and Post-IFRS</w:t>
      </w:r>
      <w:bookmarkEnd w:id="84"/>
    </w:p>
    <w:p w:rsidR="00E12142" w:rsidRPr="00E12142" w:rsidRDefault="00E12142" w:rsidP="00E12142"/>
    <w:p w:rsidR="00432023" w:rsidRPr="00F450E9" w:rsidRDefault="00432023" w:rsidP="00FC5742">
      <w:pPr>
        <w:spacing w:line="360" w:lineRule="auto"/>
        <w:contextualSpacing/>
        <w:rPr>
          <w:rFonts w:ascii="Times New Roman" w:hAnsi="Times New Roman" w:cs="Times New Roman"/>
          <w:sz w:val="24"/>
          <w:szCs w:val="24"/>
        </w:rPr>
      </w:pPr>
      <w:r w:rsidRPr="00F450E9">
        <w:rPr>
          <w:rFonts w:ascii="Times New Roman" w:hAnsi="Times New Roman" w:cs="Times New Roman"/>
          <w:sz w:val="24"/>
          <w:szCs w:val="24"/>
        </w:rPr>
        <w:t xml:space="preserve">As of January </w:t>
      </w:r>
      <m:oMath>
        <m:sSup>
          <m:sSupPr>
            <m:ctrlPr>
              <w:rPr>
                <w:rFonts w:ascii="Cambria Math" w:hAnsi="Times New Roman" w:cs="Times New Roman"/>
                <w:sz w:val="24"/>
                <w:szCs w:val="24"/>
              </w:rPr>
            </m:ctrlPr>
          </m:sSupPr>
          <m:e>
            <m:r>
              <m:rPr>
                <m:sty m:val="p"/>
              </m:rPr>
              <w:rPr>
                <w:rFonts w:ascii="Cambria Math" w:hAnsi="Times New Roman" w:cs="Times New Roman"/>
                <w:sz w:val="24"/>
                <w:szCs w:val="24"/>
              </w:rPr>
              <m:t>1</m:t>
            </m:r>
          </m:e>
          <m:sup>
            <m:r>
              <m:rPr>
                <m:sty m:val="p"/>
              </m:rPr>
              <w:rPr>
                <w:rFonts w:ascii="Cambria Math" w:hAnsi="Times New Roman" w:cs="Times New Roman"/>
                <w:sz w:val="24"/>
                <w:szCs w:val="24"/>
              </w:rPr>
              <m:t>st</m:t>
            </m:r>
          </m:sup>
        </m:sSup>
      </m:oMath>
      <w:r w:rsidRPr="00F450E9">
        <w:rPr>
          <w:rFonts w:ascii="Times New Roman" w:hAnsi="Times New Roman" w:cs="Times New Roman"/>
          <w:sz w:val="24"/>
          <w:szCs w:val="24"/>
        </w:rPr>
        <w:t xml:space="preserve"> 2005 all European Union member countries have adopted IFRS. These standards reduce the amount of reporting discretion and therefore improve transparency and comparability. Also, managing earnings will be more difficult and if done, easier to detect. In order to test this argument made by proponents of IFRS, I will be looking at the level of income smoothing in the pre-IFRS period (2000-2004) and the post-IFRS period (2005-2008) in certain EU member states. Within the sample of 31 countries there are 14 EU member states.</w:t>
      </w:r>
    </w:p>
    <w:p w:rsidR="00432023" w:rsidRPr="00F450E9" w:rsidRDefault="00432023" w:rsidP="00432023">
      <w:pPr>
        <w:spacing w:line="360" w:lineRule="auto"/>
        <w:rPr>
          <w:rFonts w:ascii="Times New Roman" w:hAnsi="Times New Roman" w:cs="Times New Roman"/>
          <w:sz w:val="24"/>
          <w:szCs w:val="24"/>
        </w:rPr>
      </w:pPr>
    </w:p>
    <w:p w:rsidR="00432023" w:rsidRDefault="00432023" w:rsidP="00432023"/>
    <w:p w:rsidR="00432023" w:rsidRDefault="00432023" w:rsidP="00432023">
      <w:pPr>
        <w:spacing w:line="360" w:lineRule="auto"/>
        <w:contextualSpacing/>
        <w:rPr>
          <w:lang w:val="en-GB"/>
        </w:rPr>
      </w:pPr>
    </w:p>
    <w:p w:rsidR="00432023" w:rsidRDefault="00432023" w:rsidP="00CC10E3">
      <w:pPr>
        <w:pStyle w:val="BodyText"/>
        <w:spacing w:line="360" w:lineRule="auto"/>
        <w:contextualSpacing/>
        <w:rPr>
          <w:rStyle w:val="SubtleReference"/>
          <w:rFonts w:ascii="Calibri" w:hAnsi="Calibri"/>
        </w:rPr>
      </w:pPr>
    </w:p>
    <w:p w:rsidR="00432023" w:rsidRDefault="00432023">
      <w:pPr>
        <w:rPr>
          <w:rStyle w:val="SubtleReference"/>
          <w:rFonts w:ascii="Calibri" w:hAnsi="Calibri"/>
        </w:rPr>
      </w:pPr>
      <w:r>
        <w:rPr>
          <w:rStyle w:val="SubtleReference"/>
          <w:rFonts w:ascii="Calibri" w:hAnsi="Calibri"/>
        </w:rPr>
        <w:br w:type="page"/>
      </w:r>
    </w:p>
    <w:p w:rsidR="00CC10E3" w:rsidRPr="00F450E9" w:rsidRDefault="005F2F05" w:rsidP="00A7583D">
      <w:pPr>
        <w:pStyle w:val="Heading4"/>
        <w:spacing w:line="360" w:lineRule="auto"/>
        <w:contextualSpacing/>
        <w:rPr>
          <w:rStyle w:val="SubtleReference"/>
          <w:rFonts w:ascii="Calibri" w:hAnsi="Calibri"/>
          <w:b w:val="0"/>
        </w:rPr>
      </w:pPr>
      <w:bookmarkStart w:id="85" w:name="_Toc268669761"/>
      <w:r>
        <w:rPr>
          <w:rStyle w:val="SubtleReference"/>
          <w:rFonts w:ascii="Calibri" w:hAnsi="Calibri"/>
          <w:b w:val="0"/>
        </w:rPr>
        <w:lastRenderedPageBreak/>
        <w:t>9</w:t>
      </w:r>
      <w:r w:rsidR="00860998" w:rsidRPr="00F450E9">
        <w:rPr>
          <w:rStyle w:val="SubtleReference"/>
          <w:rFonts w:ascii="Calibri" w:hAnsi="Calibri"/>
          <w:b w:val="0"/>
        </w:rPr>
        <w:tab/>
        <w:t xml:space="preserve"> Empirical study: Influence of investor protection on</w:t>
      </w:r>
      <w:r w:rsidR="001E259D">
        <w:rPr>
          <w:rStyle w:val="SubtleReference"/>
          <w:rFonts w:ascii="Calibri" w:hAnsi="Calibri"/>
          <w:b w:val="0"/>
        </w:rPr>
        <w:t xml:space="preserve"> Income Smoothing</w:t>
      </w:r>
      <w:bookmarkEnd w:id="85"/>
    </w:p>
    <w:p w:rsidR="00860998" w:rsidRPr="00F450E9" w:rsidRDefault="00FD1D19" w:rsidP="00A7583D">
      <w:pPr>
        <w:pStyle w:val="Heading4"/>
        <w:spacing w:line="360" w:lineRule="auto"/>
        <w:contextualSpacing/>
        <w:rPr>
          <w:rStyle w:val="SubtleReference"/>
          <w:rFonts w:ascii="Calibri" w:hAnsi="Calibri"/>
          <w:b w:val="0"/>
        </w:rPr>
      </w:pPr>
      <w:bookmarkStart w:id="86" w:name="_Toc268669762"/>
      <w:r w:rsidRPr="00F450E9">
        <w:rPr>
          <w:rStyle w:val="SubtleReference"/>
          <w:rFonts w:ascii="Calibri" w:hAnsi="Calibri"/>
          <w:b w:val="0"/>
        </w:rPr>
        <w:t>9</w:t>
      </w:r>
      <w:r w:rsidR="00860998" w:rsidRPr="00F450E9">
        <w:rPr>
          <w:rStyle w:val="SubtleReference"/>
          <w:rFonts w:ascii="Calibri" w:hAnsi="Calibri"/>
          <w:b w:val="0"/>
        </w:rPr>
        <w:t>.1</w:t>
      </w:r>
      <w:r w:rsidR="00860998" w:rsidRPr="00F450E9">
        <w:rPr>
          <w:rStyle w:val="SubtleReference"/>
          <w:rFonts w:ascii="Calibri" w:hAnsi="Calibri"/>
          <w:b w:val="0"/>
        </w:rPr>
        <w:tab/>
        <w:t>Introduction</w:t>
      </w:r>
      <w:bookmarkEnd w:id="86"/>
    </w:p>
    <w:p w:rsidR="00CC10E3" w:rsidRPr="00CC10E3" w:rsidRDefault="00CC10E3" w:rsidP="00A7583D">
      <w:pPr>
        <w:pStyle w:val="BodyText"/>
        <w:spacing w:line="360" w:lineRule="auto"/>
        <w:contextualSpacing/>
        <w:rPr>
          <w:rStyle w:val="SubtleReference"/>
          <w:rFonts w:ascii="Calibri" w:hAnsi="Calibri"/>
        </w:rPr>
      </w:pPr>
    </w:p>
    <w:p w:rsidR="00860998" w:rsidRDefault="0051011A" w:rsidP="00A7583D">
      <w:pPr>
        <w:pStyle w:val="BodyText"/>
        <w:spacing w:line="360" w:lineRule="auto"/>
        <w:contextualSpacing/>
        <w:rPr>
          <w:rFonts w:ascii="Times New Roman" w:hAnsi="Times New Roman" w:cs="Times New Roman"/>
          <w:sz w:val="24"/>
          <w:szCs w:val="24"/>
        </w:rPr>
      </w:pPr>
      <w:r w:rsidRPr="00200CEB">
        <w:rPr>
          <w:rFonts w:ascii="Times New Roman" w:hAnsi="Times New Roman" w:cs="Times New Roman"/>
          <w:sz w:val="24"/>
          <w:szCs w:val="24"/>
        </w:rPr>
        <w:t>The first part of the empirical study, the influence of investor protection on earnings management, is performed in this chapter.  Several sub questions discussed in chapter</w:t>
      </w:r>
      <w:r w:rsidR="00623249">
        <w:rPr>
          <w:rFonts w:ascii="Times New Roman" w:hAnsi="Times New Roman" w:cs="Times New Roman"/>
          <w:sz w:val="24"/>
          <w:szCs w:val="24"/>
        </w:rPr>
        <w:t xml:space="preserve"> 1</w:t>
      </w:r>
      <w:r w:rsidRPr="00200CEB">
        <w:rPr>
          <w:rFonts w:ascii="Times New Roman" w:hAnsi="Times New Roman" w:cs="Times New Roman"/>
          <w:sz w:val="24"/>
          <w:szCs w:val="24"/>
        </w:rPr>
        <w:t xml:space="preserve"> will</w:t>
      </w:r>
      <w:r w:rsidR="004B3D20">
        <w:rPr>
          <w:rFonts w:ascii="Times New Roman" w:hAnsi="Times New Roman" w:cs="Times New Roman"/>
          <w:sz w:val="24"/>
          <w:szCs w:val="24"/>
        </w:rPr>
        <w:t xml:space="preserve"> be answered. First</w:t>
      </w:r>
      <w:r w:rsidR="00FD1D19">
        <w:rPr>
          <w:rFonts w:ascii="Times New Roman" w:hAnsi="Times New Roman" w:cs="Times New Roman"/>
          <w:sz w:val="24"/>
          <w:szCs w:val="24"/>
        </w:rPr>
        <w:t xml:space="preserve"> the hypotheses </w:t>
      </w:r>
      <w:r w:rsidR="00623249">
        <w:rPr>
          <w:rFonts w:ascii="Times New Roman" w:hAnsi="Times New Roman" w:cs="Times New Roman"/>
          <w:sz w:val="24"/>
          <w:szCs w:val="24"/>
        </w:rPr>
        <w:t xml:space="preserve">researched in this chapter </w:t>
      </w:r>
      <w:r w:rsidRPr="00200CEB">
        <w:rPr>
          <w:rFonts w:ascii="Times New Roman" w:hAnsi="Times New Roman" w:cs="Times New Roman"/>
          <w:sz w:val="24"/>
          <w:szCs w:val="24"/>
        </w:rPr>
        <w:t xml:space="preserve">will be shortly reviewed again.  The parameters for the 31 countries will also be presented. </w:t>
      </w:r>
      <w:r w:rsidR="000B71F3" w:rsidRPr="00200CEB">
        <w:rPr>
          <w:rFonts w:ascii="Times New Roman" w:hAnsi="Times New Roman" w:cs="Times New Roman"/>
          <w:sz w:val="24"/>
          <w:szCs w:val="24"/>
        </w:rPr>
        <w:t xml:space="preserve"> </w:t>
      </w:r>
      <w:r w:rsidR="00E02964">
        <w:rPr>
          <w:rFonts w:ascii="Times New Roman" w:hAnsi="Times New Roman" w:cs="Times New Roman"/>
          <w:sz w:val="24"/>
          <w:szCs w:val="24"/>
        </w:rPr>
        <w:t>Afterwards t</w:t>
      </w:r>
      <w:r w:rsidR="000B71F3" w:rsidRPr="00200CEB">
        <w:rPr>
          <w:rFonts w:ascii="Times New Roman" w:hAnsi="Times New Roman" w:cs="Times New Roman"/>
          <w:sz w:val="24"/>
          <w:szCs w:val="24"/>
        </w:rPr>
        <w:t xml:space="preserve">he results and conclusions regarding hypotheses 1 to 3 will be presented. </w:t>
      </w:r>
    </w:p>
    <w:p w:rsidR="00CC10E3" w:rsidRPr="00200CEB" w:rsidRDefault="00CC10E3" w:rsidP="00CC10E3">
      <w:pPr>
        <w:pStyle w:val="BodyText"/>
        <w:spacing w:line="360" w:lineRule="auto"/>
        <w:contextualSpacing/>
        <w:rPr>
          <w:rFonts w:ascii="Times New Roman" w:hAnsi="Times New Roman" w:cs="Times New Roman"/>
          <w:sz w:val="24"/>
          <w:szCs w:val="24"/>
        </w:rPr>
      </w:pPr>
    </w:p>
    <w:p w:rsidR="000B71F3" w:rsidRDefault="000B71F3" w:rsidP="00A7583D">
      <w:pPr>
        <w:pStyle w:val="Heading4"/>
        <w:spacing w:line="360" w:lineRule="auto"/>
        <w:contextualSpacing/>
        <w:rPr>
          <w:rStyle w:val="SubtleReference"/>
          <w:rFonts w:ascii="Calibri" w:hAnsi="Calibri"/>
          <w:b w:val="0"/>
        </w:rPr>
      </w:pPr>
      <w:bookmarkStart w:id="87" w:name="_Toc268669763"/>
      <w:r w:rsidRPr="00F450E9">
        <w:rPr>
          <w:rStyle w:val="SubtleReference"/>
          <w:rFonts w:ascii="Calibri" w:hAnsi="Calibri"/>
          <w:b w:val="0"/>
        </w:rPr>
        <w:t>9.2</w:t>
      </w:r>
      <w:r w:rsidRPr="00F450E9">
        <w:rPr>
          <w:rStyle w:val="SubtleReference"/>
          <w:rFonts w:ascii="Calibri" w:hAnsi="Calibri"/>
          <w:b w:val="0"/>
        </w:rPr>
        <w:tab/>
        <w:t>Hypotheses</w:t>
      </w:r>
      <w:bookmarkEnd w:id="87"/>
    </w:p>
    <w:p w:rsidR="00A7583D" w:rsidRPr="00A7583D" w:rsidRDefault="00A7583D" w:rsidP="00A7583D">
      <w:pPr>
        <w:spacing w:line="360" w:lineRule="auto"/>
        <w:contextualSpacing/>
      </w:pPr>
    </w:p>
    <w:p w:rsidR="000B71F3" w:rsidRDefault="00F73ADA" w:rsidP="00A7583D">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first three hypotheses that were formulated in the previous chapter will be </w:t>
      </w:r>
      <w:r w:rsidR="005C7DDC">
        <w:rPr>
          <w:rFonts w:ascii="Times New Roman" w:hAnsi="Times New Roman" w:cs="Times New Roman"/>
          <w:sz w:val="24"/>
          <w:szCs w:val="24"/>
        </w:rPr>
        <w:t>tested</w:t>
      </w:r>
      <w:r>
        <w:rPr>
          <w:rFonts w:ascii="Times New Roman" w:hAnsi="Times New Roman" w:cs="Times New Roman"/>
          <w:sz w:val="24"/>
          <w:szCs w:val="24"/>
        </w:rPr>
        <w:t xml:space="preserve"> in this chapter. </w:t>
      </w:r>
      <w:r w:rsidR="005C7DDC">
        <w:rPr>
          <w:rFonts w:ascii="Times New Roman" w:hAnsi="Times New Roman" w:cs="Times New Roman"/>
          <w:sz w:val="24"/>
          <w:szCs w:val="24"/>
        </w:rPr>
        <w:t xml:space="preserve">As </w:t>
      </w:r>
      <w:r w:rsidR="00FC1EA3">
        <w:rPr>
          <w:rFonts w:ascii="Times New Roman" w:hAnsi="Times New Roman" w:cs="Times New Roman"/>
          <w:sz w:val="24"/>
          <w:szCs w:val="24"/>
        </w:rPr>
        <w:t>noted</w:t>
      </w:r>
      <w:r w:rsidR="005C7DDC">
        <w:rPr>
          <w:rFonts w:ascii="Times New Roman" w:hAnsi="Times New Roman" w:cs="Times New Roman"/>
          <w:sz w:val="24"/>
          <w:szCs w:val="24"/>
        </w:rPr>
        <w:t xml:space="preserve"> earlier, e</w:t>
      </w:r>
      <w:r w:rsidR="00734FA0" w:rsidRPr="00200CEB">
        <w:rPr>
          <w:rFonts w:ascii="Times New Roman" w:hAnsi="Times New Roman" w:cs="Times New Roman"/>
          <w:sz w:val="24"/>
          <w:szCs w:val="24"/>
        </w:rPr>
        <w:t>arnings management can present itself in the form of real smoothing</w:t>
      </w:r>
      <w:r w:rsidR="00FD1D19">
        <w:rPr>
          <w:rFonts w:ascii="Times New Roman" w:hAnsi="Times New Roman" w:cs="Times New Roman"/>
          <w:sz w:val="24"/>
          <w:szCs w:val="24"/>
        </w:rPr>
        <w:t xml:space="preserve"> as well as artificial smoothing</w:t>
      </w:r>
      <w:r w:rsidR="00734FA0" w:rsidRPr="00200CEB">
        <w:rPr>
          <w:rFonts w:ascii="Times New Roman" w:hAnsi="Times New Roman" w:cs="Times New Roman"/>
          <w:sz w:val="24"/>
          <w:szCs w:val="24"/>
        </w:rPr>
        <w:t>. T</w:t>
      </w:r>
      <w:r w:rsidR="00FD1D19">
        <w:rPr>
          <w:rFonts w:ascii="Times New Roman" w:hAnsi="Times New Roman" w:cs="Times New Roman"/>
          <w:sz w:val="24"/>
          <w:szCs w:val="24"/>
        </w:rPr>
        <w:t>he standard used to measure the former</w:t>
      </w:r>
      <w:r w:rsidR="00734FA0" w:rsidRPr="00200CEB">
        <w:rPr>
          <w:rFonts w:ascii="Times New Roman" w:hAnsi="Times New Roman" w:cs="Times New Roman"/>
          <w:sz w:val="24"/>
          <w:szCs w:val="24"/>
        </w:rPr>
        <w:t xml:space="preserve"> is a country’s median ratio of the firm-level standard deviation of operating earnings divided by the firm-level standard deviation of cash flow from operations. </w:t>
      </w:r>
      <w:r w:rsidR="005C7DDC">
        <w:rPr>
          <w:rFonts w:ascii="Times New Roman" w:hAnsi="Times New Roman" w:cs="Times New Roman"/>
          <w:sz w:val="24"/>
          <w:szCs w:val="24"/>
        </w:rPr>
        <w:t>The first hypothesis will test whether investor protection affects real smoothing. This leads to the first hypothesis to be tested.</w:t>
      </w:r>
    </w:p>
    <w:p w:rsidR="00CC10E3" w:rsidRPr="00200CEB" w:rsidRDefault="00CC10E3" w:rsidP="00CC10E3">
      <w:pPr>
        <w:spacing w:line="360" w:lineRule="auto"/>
        <w:contextualSpacing/>
        <w:rPr>
          <w:rFonts w:ascii="Times New Roman" w:hAnsi="Times New Roman" w:cs="Times New Roman"/>
          <w:sz w:val="24"/>
          <w:szCs w:val="24"/>
        </w:rPr>
      </w:pPr>
    </w:p>
    <w:p w:rsidR="000B71F3" w:rsidRDefault="000B71F3" w:rsidP="00CC10E3">
      <w:pPr>
        <w:shd w:val="clear" w:color="auto" w:fill="FFFFFF"/>
        <w:spacing w:line="360" w:lineRule="auto"/>
        <w:ind w:left="720" w:hanging="720"/>
        <w:contextualSpacing/>
        <w:rPr>
          <w:rFonts w:ascii="Times New Roman" w:hAnsi="Times New Roman" w:cs="Times New Roman"/>
          <w:i/>
          <w:iCs/>
          <w:sz w:val="24"/>
          <w:szCs w:val="24"/>
        </w:rPr>
      </w:pPr>
      <w:r w:rsidRPr="00200CEB">
        <w:rPr>
          <w:rFonts w:ascii="Times New Roman" w:hAnsi="Times New Roman" w:cs="Times New Roman"/>
          <w:b/>
          <w:sz w:val="24"/>
          <w:szCs w:val="24"/>
        </w:rPr>
        <w:t>H1:</w:t>
      </w:r>
      <w:r w:rsidRPr="00200CEB">
        <w:rPr>
          <w:rFonts w:ascii="Times New Roman" w:hAnsi="Times New Roman" w:cs="Times New Roman"/>
          <w:sz w:val="24"/>
          <w:szCs w:val="24"/>
        </w:rPr>
        <w:t xml:space="preserve"> </w:t>
      </w:r>
      <w:r w:rsidRPr="00200CEB">
        <w:rPr>
          <w:rFonts w:ascii="Times New Roman" w:hAnsi="Times New Roman" w:cs="Times New Roman"/>
          <w:sz w:val="24"/>
          <w:szCs w:val="24"/>
        </w:rPr>
        <w:tab/>
      </w:r>
      <w:r w:rsidRPr="00200CEB">
        <w:rPr>
          <w:rFonts w:ascii="Times New Roman" w:hAnsi="Times New Roman" w:cs="Times New Roman"/>
          <w:i/>
          <w:iCs/>
          <w:sz w:val="24"/>
          <w:szCs w:val="24"/>
        </w:rPr>
        <w:t xml:space="preserve">Real income smoothing is </w:t>
      </w:r>
      <w:r w:rsidR="006C7629">
        <w:rPr>
          <w:rFonts w:ascii="Times New Roman" w:hAnsi="Times New Roman" w:cs="Times New Roman"/>
          <w:i/>
          <w:iCs/>
          <w:sz w:val="24"/>
          <w:szCs w:val="24"/>
        </w:rPr>
        <w:t>more pervasive</w:t>
      </w:r>
      <w:r w:rsidRPr="00200CEB">
        <w:rPr>
          <w:rFonts w:ascii="Times New Roman" w:hAnsi="Times New Roman" w:cs="Times New Roman"/>
          <w:i/>
          <w:iCs/>
          <w:sz w:val="24"/>
          <w:szCs w:val="24"/>
        </w:rPr>
        <w:t xml:space="preserve"> in countries with weak investor protection</w:t>
      </w:r>
      <w:r w:rsidR="006C7629">
        <w:rPr>
          <w:rFonts w:ascii="Times New Roman" w:hAnsi="Times New Roman" w:cs="Times New Roman"/>
          <w:i/>
          <w:iCs/>
          <w:sz w:val="24"/>
          <w:szCs w:val="24"/>
        </w:rPr>
        <w:t xml:space="preserve"> than in countries with strong investor protection</w:t>
      </w:r>
    </w:p>
    <w:p w:rsidR="00CC10E3" w:rsidRPr="00200CEB" w:rsidRDefault="00CC10E3" w:rsidP="00CC10E3">
      <w:pPr>
        <w:shd w:val="clear" w:color="auto" w:fill="FFFFFF"/>
        <w:spacing w:line="360" w:lineRule="auto"/>
        <w:ind w:left="720" w:hanging="720"/>
        <w:contextualSpacing/>
        <w:rPr>
          <w:rFonts w:ascii="Times New Roman" w:hAnsi="Times New Roman" w:cs="Times New Roman"/>
          <w:i/>
          <w:iCs/>
          <w:sz w:val="24"/>
          <w:szCs w:val="24"/>
        </w:rPr>
      </w:pPr>
    </w:p>
    <w:p w:rsidR="00734FA0" w:rsidRDefault="00734FA0" w:rsidP="00CC10E3">
      <w:pPr>
        <w:shd w:val="clear" w:color="auto" w:fill="FFFFFF"/>
        <w:spacing w:line="360" w:lineRule="auto"/>
        <w:contextualSpacing/>
        <w:rPr>
          <w:rFonts w:ascii="Times New Roman" w:hAnsi="Times New Roman" w:cs="Times New Roman"/>
          <w:sz w:val="24"/>
          <w:szCs w:val="24"/>
        </w:rPr>
      </w:pPr>
      <w:r w:rsidRPr="00200CEB">
        <w:rPr>
          <w:rFonts w:ascii="Times New Roman" w:hAnsi="Times New Roman" w:cs="Times New Roman"/>
          <w:sz w:val="24"/>
          <w:szCs w:val="24"/>
        </w:rPr>
        <w:t xml:space="preserve">Besides real smoothing I will also measure </w:t>
      </w:r>
      <w:r w:rsidR="002A66CC">
        <w:rPr>
          <w:rFonts w:ascii="Times New Roman" w:hAnsi="Times New Roman" w:cs="Times New Roman"/>
          <w:sz w:val="24"/>
          <w:szCs w:val="24"/>
        </w:rPr>
        <w:t xml:space="preserve">the impact of investor protection on </w:t>
      </w:r>
      <w:r w:rsidRPr="00200CEB">
        <w:rPr>
          <w:rFonts w:ascii="Times New Roman" w:hAnsi="Times New Roman" w:cs="Times New Roman"/>
          <w:sz w:val="24"/>
          <w:szCs w:val="24"/>
        </w:rPr>
        <w:t xml:space="preserve">artificial smoothing. The measure </w:t>
      </w:r>
      <w:r w:rsidR="00163453">
        <w:rPr>
          <w:rFonts w:ascii="Times New Roman" w:hAnsi="Times New Roman" w:cs="Times New Roman"/>
          <w:sz w:val="24"/>
          <w:szCs w:val="24"/>
        </w:rPr>
        <w:t>used</w:t>
      </w:r>
      <w:r w:rsidRPr="00200CEB">
        <w:rPr>
          <w:rFonts w:ascii="Times New Roman" w:hAnsi="Times New Roman" w:cs="Times New Roman"/>
          <w:sz w:val="24"/>
          <w:szCs w:val="24"/>
        </w:rPr>
        <w:t xml:space="preserve"> </w:t>
      </w:r>
      <w:r w:rsidR="00FD1D19" w:rsidRPr="00200CEB">
        <w:rPr>
          <w:rFonts w:ascii="Times New Roman" w:hAnsi="Times New Roman" w:cs="Times New Roman"/>
          <w:sz w:val="24"/>
          <w:szCs w:val="24"/>
        </w:rPr>
        <w:t>is the</w:t>
      </w:r>
      <w:r w:rsidRPr="00200CEB">
        <w:rPr>
          <w:rFonts w:ascii="Times New Roman" w:hAnsi="Times New Roman" w:cs="Times New Roman"/>
          <w:sz w:val="24"/>
          <w:szCs w:val="24"/>
        </w:rPr>
        <w:t xml:space="preserve"> contemporaneous Spearman correlation between changes in accounting accruals and changes in operating cash flows. </w:t>
      </w:r>
      <w:r w:rsidR="00811A30" w:rsidRPr="00200CEB">
        <w:rPr>
          <w:rFonts w:ascii="Times New Roman" w:hAnsi="Times New Roman" w:cs="Times New Roman"/>
          <w:sz w:val="24"/>
          <w:szCs w:val="24"/>
        </w:rPr>
        <w:t xml:space="preserve">The data is not normally </w:t>
      </w:r>
      <w:r w:rsidR="00FD1D19" w:rsidRPr="00200CEB">
        <w:rPr>
          <w:rFonts w:ascii="Times New Roman" w:hAnsi="Times New Roman" w:cs="Times New Roman"/>
          <w:sz w:val="24"/>
          <w:szCs w:val="24"/>
        </w:rPr>
        <w:t>distributed;</w:t>
      </w:r>
      <w:r w:rsidR="00811A30" w:rsidRPr="00200CEB">
        <w:rPr>
          <w:rFonts w:ascii="Times New Roman" w:hAnsi="Times New Roman" w:cs="Times New Roman"/>
          <w:sz w:val="24"/>
          <w:szCs w:val="24"/>
        </w:rPr>
        <w:t xml:space="preserve"> therefore it is necessary to use the Spearman correlation, which deals with non-parametric data.</w:t>
      </w:r>
      <w:r w:rsidR="00697D47">
        <w:rPr>
          <w:rFonts w:ascii="Times New Roman" w:hAnsi="Times New Roman" w:cs="Times New Roman"/>
          <w:sz w:val="24"/>
          <w:szCs w:val="24"/>
        </w:rPr>
        <w:t xml:space="preserve"> The following hypothesis is formulated.</w:t>
      </w:r>
    </w:p>
    <w:p w:rsidR="00CC10E3" w:rsidRPr="00200CEB" w:rsidRDefault="00CC10E3" w:rsidP="00CC10E3">
      <w:pPr>
        <w:shd w:val="clear" w:color="auto" w:fill="FFFFFF"/>
        <w:spacing w:line="360" w:lineRule="auto"/>
        <w:contextualSpacing/>
        <w:rPr>
          <w:rFonts w:ascii="Times New Roman" w:hAnsi="Times New Roman" w:cs="Times New Roman"/>
          <w:sz w:val="24"/>
          <w:szCs w:val="24"/>
        </w:rPr>
      </w:pPr>
    </w:p>
    <w:p w:rsidR="000B71F3" w:rsidRPr="00200CEB" w:rsidRDefault="000B71F3" w:rsidP="00CC10E3">
      <w:pPr>
        <w:spacing w:line="360" w:lineRule="auto"/>
        <w:ind w:left="720" w:hanging="720"/>
        <w:contextualSpacing/>
        <w:rPr>
          <w:rFonts w:ascii="Times New Roman" w:hAnsi="Times New Roman" w:cs="Times New Roman"/>
          <w:i/>
          <w:sz w:val="24"/>
          <w:szCs w:val="24"/>
        </w:rPr>
      </w:pPr>
      <w:r w:rsidRPr="00200CEB">
        <w:rPr>
          <w:rFonts w:ascii="Times New Roman" w:hAnsi="Times New Roman" w:cs="Times New Roman"/>
          <w:b/>
          <w:sz w:val="24"/>
          <w:szCs w:val="24"/>
        </w:rPr>
        <w:t>H2:</w:t>
      </w:r>
      <w:r w:rsidRPr="00200CEB">
        <w:rPr>
          <w:rFonts w:ascii="Times New Roman" w:hAnsi="Times New Roman" w:cs="Times New Roman"/>
          <w:sz w:val="24"/>
          <w:szCs w:val="24"/>
        </w:rPr>
        <w:t xml:space="preserve"> </w:t>
      </w:r>
      <w:r w:rsidRPr="00200CEB">
        <w:rPr>
          <w:rFonts w:ascii="Times New Roman" w:hAnsi="Times New Roman" w:cs="Times New Roman"/>
          <w:sz w:val="24"/>
          <w:szCs w:val="24"/>
        </w:rPr>
        <w:tab/>
      </w:r>
      <w:r w:rsidRPr="00200CEB">
        <w:rPr>
          <w:rFonts w:ascii="Times New Roman" w:hAnsi="Times New Roman" w:cs="Times New Roman"/>
          <w:i/>
          <w:sz w:val="24"/>
          <w:szCs w:val="24"/>
        </w:rPr>
        <w:t xml:space="preserve">Artificial income smoothing is more pervasive in weak investor protection countries </w:t>
      </w:r>
    </w:p>
    <w:p w:rsidR="00734FA0" w:rsidRPr="00200CEB" w:rsidRDefault="00D57D32" w:rsidP="00CC10E3">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first two measures can be ranked in such a way that a higher score implies a higher level of income smoothing. These rankings of the aforementioned </w:t>
      </w:r>
      <w:r w:rsidR="00734FA0" w:rsidRPr="00200CEB">
        <w:rPr>
          <w:rFonts w:ascii="Times New Roman" w:hAnsi="Times New Roman" w:cs="Times New Roman"/>
          <w:sz w:val="24"/>
          <w:szCs w:val="24"/>
        </w:rPr>
        <w:t xml:space="preserve">components of income </w:t>
      </w:r>
      <w:r w:rsidR="00734FA0" w:rsidRPr="00200CEB">
        <w:rPr>
          <w:rFonts w:ascii="Times New Roman" w:hAnsi="Times New Roman" w:cs="Times New Roman"/>
          <w:sz w:val="24"/>
          <w:szCs w:val="24"/>
        </w:rPr>
        <w:lastRenderedPageBreak/>
        <w:t xml:space="preserve">smoothing will </w:t>
      </w:r>
      <w:r>
        <w:rPr>
          <w:rFonts w:ascii="Times New Roman" w:hAnsi="Times New Roman" w:cs="Times New Roman"/>
          <w:sz w:val="24"/>
          <w:szCs w:val="24"/>
        </w:rPr>
        <w:t xml:space="preserve">then </w:t>
      </w:r>
      <w:r w:rsidR="00E6088D">
        <w:rPr>
          <w:rFonts w:ascii="Times New Roman" w:hAnsi="Times New Roman" w:cs="Times New Roman"/>
          <w:sz w:val="24"/>
          <w:szCs w:val="24"/>
        </w:rPr>
        <w:t xml:space="preserve">be used to </w:t>
      </w:r>
      <w:r w:rsidR="00734FA0" w:rsidRPr="00200CEB">
        <w:rPr>
          <w:rFonts w:ascii="Times New Roman" w:hAnsi="Times New Roman" w:cs="Times New Roman"/>
          <w:sz w:val="24"/>
          <w:szCs w:val="24"/>
        </w:rPr>
        <w:t>determine the aggregate measure for income smoothing.</w:t>
      </w:r>
      <w:r w:rsidR="00EA4DDF">
        <w:rPr>
          <w:rFonts w:ascii="Times New Roman" w:hAnsi="Times New Roman" w:cs="Times New Roman"/>
          <w:sz w:val="24"/>
          <w:szCs w:val="24"/>
        </w:rPr>
        <w:t xml:space="preserve"> This leads to the third hypothesis to be tested in this chapter.</w:t>
      </w:r>
    </w:p>
    <w:p w:rsidR="00EA4DDF" w:rsidRDefault="00EA4DDF" w:rsidP="00CC10E3">
      <w:pPr>
        <w:spacing w:line="360" w:lineRule="auto"/>
        <w:ind w:left="720" w:hanging="720"/>
        <w:contextualSpacing/>
        <w:rPr>
          <w:rFonts w:ascii="Times New Roman" w:hAnsi="Times New Roman" w:cs="Times New Roman"/>
          <w:b/>
          <w:sz w:val="24"/>
          <w:szCs w:val="24"/>
        </w:rPr>
      </w:pPr>
    </w:p>
    <w:p w:rsidR="000B71F3" w:rsidRPr="00200CEB" w:rsidRDefault="000B71F3" w:rsidP="00CC10E3">
      <w:pPr>
        <w:spacing w:line="360" w:lineRule="auto"/>
        <w:ind w:left="720" w:hanging="720"/>
        <w:contextualSpacing/>
        <w:rPr>
          <w:rFonts w:ascii="Times New Roman" w:hAnsi="Times New Roman" w:cs="Times New Roman"/>
          <w:i/>
          <w:sz w:val="24"/>
          <w:szCs w:val="24"/>
        </w:rPr>
      </w:pPr>
      <w:r w:rsidRPr="00200CEB">
        <w:rPr>
          <w:rFonts w:ascii="Times New Roman" w:hAnsi="Times New Roman" w:cs="Times New Roman"/>
          <w:b/>
          <w:sz w:val="24"/>
          <w:szCs w:val="24"/>
        </w:rPr>
        <w:t>H3:</w:t>
      </w:r>
      <w:r w:rsidRPr="00200CEB">
        <w:rPr>
          <w:rFonts w:ascii="Times New Roman" w:hAnsi="Times New Roman" w:cs="Times New Roman"/>
          <w:sz w:val="24"/>
          <w:szCs w:val="24"/>
        </w:rPr>
        <w:tab/>
        <w:t xml:space="preserve"> </w:t>
      </w:r>
      <w:r w:rsidR="000F3E78">
        <w:rPr>
          <w:rFonts w:ascii="Times New Roman" w:hAnsi="Times New Roman" w:cs="Times New Roman"/>
          <w:i/>
          <w:sz w:val="24"/>
          <w:szCs w:val="24"/>
        </w:rPr>
        <w:t>Aggregate</w:t>
      </w:r>
      <w:r w:rsidRPr="00200CEB">
        <w:rPr>
          <w:rFonts w:ascii="Times New Roman" w:hAnsi="Times New Roman" w:cs="Times New Roman"/>
          <w:i/>
          <w:sz w:val="24"/>
          <w:szCs w:val="24"/>
        </w:rPr>
        <w:t xml:space="preserve"> income smoothing is negatively related to private enforcement and public enforcement </w:t>
      </w:r>
    </w:p>
    <w:p w:rsidR="000B71F3" w:rsidRDefault="00D74160" w:rsidP="005E6BFB">
      <w:pPr>
        <w:pStyle w:val="Heading4"/>
        <w:spacing w:line="360" w:lineRule="auto"/>
        <w:contextualSpacing/>
        <w:rPr>
          <w:rStyle w:val="SubtleReference"/>
          <w:rFonts w:ascii="Calibri" w:hAnsi="Calibri"/>
          <w:b w:val="0"/>
        </w:rPr>
      </w:pPr>
      <w:bookmarkStart w:id="88" w:name="_Toc268669764"/>
      <w:r w:rsidRPr="00F450E9">
        <w:rPr>
          <w:rStyle w:val="SubtleReference"/>
          <w:rFonts w:ascii="Calibri" w:hAnsi="Calibri"/>
          <w:b w:val="0"/>
        </w:rPr>
        <w:t>9</w:t>
      </w:r>
      <w:r w:rsidR="00A46183" w:rsidRPr="00F450E9">
        <w:rPr>
          <w:rStyle w:val="SubtleReference"/>
          <w:rFonts w:ascii="Calibri" w:hAnsi="Calibri"/>
          <w:b w:val="0"/>
        </w:rPr>
        <w:t>.3</w:t>
      </w:r>
      <w:r w:rsidR="00A46183" w:rsidRPr="00F450E9">
        <w:rPr>
          <w:rStyle w:val="SubtleReference"/>
          <w:rFonts w:ascii="Calibri" w:hAnsi="Calibri"/>
          <w:b w:val="0"/>
        </w:rPr>
        <w:tab/>
        <w:t>Sample</w:t>
      </w:r>
      <w:bookmarkEnd w:id="88"/>
    </w:p>
    <w:p w:rsidR="005E6BFB" w:rsidRPr="005E6BFB" w:rsidRDefault="005E6BFB" w:rsidP="005E6BFB"/>
    <w:p w:rsidR="00A46183" w:rsidRDefault="00A46183" w:rsidP="005E6BFB">
      <w:pPr>
        <w:pStyle w:val="BodyText"/>
        <w:spacing w:line="360" w:lineRule="auto"/>
        <w:contextualSpacing/>
        <w:rPr>
          <w:rFonts w:ascii="Times New Roman" w:hAnsi="Times New Roman" w:cs="Times New Roman"/>
          <w:sz w:val="24"/>
          <w:szCs w:val="24"/>
        </w:rPr>
      </w:pPr>
      <w:r w:rsidRPr="00200CEB">
        <w:rPr>
          <w:rFonts w:ascii="Times New Roman" w:hAnsi="Times New Roman" w:cs="Times New Roman"/>
          <w:sz w:val="24"/>
          <w:szCs w:val="24"/>
        </w:rPr>
        <w:t xml:space="preserve">From the Thomson One Banker database I retrieved data for 21.492 companies </w:t>
      </w:r>
      <w:r w:rsidR="003F5FAC">
        <w:rPr>
          <w:rFonts w:ascii="Times New Roman" w:hAnsi="Times New Roman" w:cs="Times New Roman"/>
          <w:sz w:val="24"/>
          <w:szCs w:val="24"/>
        </w:rPr>
        <w:t xml:space="preserve">across </w:t>
      </w:r>
      <w:r w:rsidRPr="00200CEB">
        <w:rPr>
          <w:rFonts w:ascii="Times New Roman" w:hAnsi="Times New Roman" w:cs="Times New Roman"/>
          <w:sz w:val="24"/>
          <w:szCs w:val="24"/>
        </w:rPr>
        <w:t>31 countries. Not all companies are includ</w:t>
      </w:r>
      <w:r w:rsidR="003F5FAC">
        <w:rPr>
          <w:rFonts w:ascii="Times New Roman" w:hAnsi="Times New Roman" w:cs="Times New Roman"/>
          <w:sz w:val="24"/>
          <w:szCs w:val="24"/>
        </w:rPr>
        <w:t xml:space="preserve">ed in the final sample however, because in order to be included in the sample each firm must have financial data available for at least three consecutive years. </w:t>
      </w:r>
      <w:r w:rsidRPr="00200CEB">
        <w:rPr>
          <w:rFonts w:ascii="Times New Roman" w:hAnsi="Times New Roman" w:cs="Times New Roman"/>
          <w:sz w:val="24"/>
          <w:szCs w:val="24"/>
        </w:rPr>
        <w:t xml:space="preserve">Due to a lack </w:t>
      </w:r>
      <w:r w:rsidR="00DB73BD" w:rsidRPr="00200CEB">
        <w:rPr>
          <w:rFonts w:ascii="Times New Roman" w:hAnsi="Times New Roman" w:cs="Times New Roman"/>
          <w:sz w:val="24"/>
          <w:szCs w:val="24"/>
        </w:rPr>
        <w:t>of information</w:t>
      </w:r>
      <w:r w:rsidRPr="00200CEB">
        <w:rPr>
          <w:rFonts w:ascii="Times New Roman" w:hAnsi="Times New Roman" w:cs="Times New Roman"/>
          <w:sz w:val="24"/>
          <w:szCs w:val="24"/>
        </w:rPr>
        <w:t xml:space="preserve"> on total current assets, cash and investments, total current liabilities, short term debt</w:t>
      </w:r>
      <w:r w:rsidR="00DB73BD" w:rsidRPr="00200CEB">
        <w:rPr>
          <w:rFonts w:ascii="Times New Roman" w:hAnsi="Times New Roman" w:cs="Times New Roman"/>
          <w:sz w:val="24"/>
          <w:szCs w:val="24"/>
        </w:rPr>
        <w:t>, income</w:t>
      </w:r>
      <w:r w:rsidRPr="00200CEB">
        <w:rPr>
          <w:rFonts w:ascii="Times New Roman" w:hAnsi="Times New Roman" w:cs="Times New Roman"/>
          <w:sz w:val="24"/>
          <w:szCs w:val="24"/>
        </w:rPr>
        <w:t xml:space="preserve"> taxes and depreciation many were excluded.</w:t>
      </w:r>
      <w:r w:rsidR="00DB73BD" w:rsidRPr="00200CEB">
        <w:rPr>
          <w:rFonts w:ascii="Times New Roman" w:hAnsi="Times New Roman" w:cs="Times New Roman"/>
          <w:sz w:val="24"/>
          <w:szCs w:val="24"/>
        </w:rPr>
        <w:t xml:space="preserve"> Also</w:t>
      </w:r>
      <w:r w:rsidR="00F73ADA">
        <w:rPr>
          <w:rFonts w:ascii="Times New Roman" w:hAnsi="Times New Roman" w:cs="Times New Roman"/>
          <w:sz w:val="24"/>
          <w:szCs w:val="24"/>
        </w:rPr>
        <w:t>,</w:t>
      </w:r>
      <w:r w:rsidR="00DB73BD" w:rsidRPr="00200CEB">
        <w:rPr>
          <w:rFonts w:ascii="Times New Roman" w:hAnsi="Times New Roman" w:cs="Times New Roman"/>
          <w:sz w:val="24"/>
          <w:szCs w:val="24"/>
        </w:rPr>
        <w:t xml:space="preserve"> financial institutions were excluded.</w:t>
      </w:r>
      <w:r w:rsidR="00F73ADA">
        <w:rPr>
          <w:rFonts w:ascii="Times New Roman" w:hAnsi="Times New Roman" w:cs="Times New Roman"/>
          <w:sz w:val="24"/>
          <w:szCs w:val="24"/>
        </w:rPr>
        <w:t xml:space="preserve"> The final sample consists of</w:t>
      </w:r>
      <w:r w:rsidR="003F5FAC">
        <w:rPr>
          <w:rFonts w:ascii="Times New Roman" w:hAnsi="Times New Roman" w:cs="Times New Roman"/>
          <w:sz w:val="24"/>
          <w:szCs w:val="24"/>
        </w:rPr>
        <w:t xml:space="preserve"> 20.367 firms.</w:t>
      </w:r>
    </w:p>
    <w:p w:rsidR="00CC10E3" w:rsidRPr="00200CEB" w:rsidRDefault="00CC10E3" w:rsidP="00CC10E3">
      <w:pPr>
        <w:pStyle w:val="BodyText"/>
        <w:spacing w:line="360" w:lineRule="auto"/>
        <w:contextualSpacing/>
        <w:rPr>
          <w:rFonts w:ascii="Times New Roman" w:hAnsi="Times New Roman" w:cs="Times New Roman"/>
          <w:sz w:val="24"/>
          <w:szCs w:val="24"/>
        </w:rPr>
      </w:pPr>
    </w:p>
    <w:p w:rsidR="009C4823" w:rsidRPr="00F450E9" w:rsidRDefault="00D74160" w:rsidP="00F450E9">
      <w:pPr>
        <w:pStyle w:val="Heading4"/>
        <w:rPr>
          <w:rStyle w:val="SubtleReference"/>
          <w:rFonts w:ascii="Calibri" w:hAnsi="Calibri"/>
          <w:b w:val="0"/>
        </w:rPr>
      </w:pPr>
      <w:bookmarkStart w:id="89" w:name="_Toc268669765"/>
      <w:r w:rsidRPr="00F450E9">
        <w:rPr>
          <w:rStyle w:val="SubtleReference"/>
          <w:rFonts w:ascii="Calibri" w:hAnsi="Calibri"/>
          <w:b w:val="0"/>
        </w:rPr>
        <w:t>9</w:t>
      </w:r>
      <w:r w:rsidR="009C4823" w:rsidRPr="00F450E9">
        <w:rPr>
          <w:rStyle w:val="SubtleReference"/>
          <w:rFonts w:ascii="Calibri" w:hAnsi="Calibri"/>
          <w:b w:val="0"/>
        </w:rPr>
        <w:t>.4</w:t>
      </w:r>
      <w:r w:rsidR="009C4823" w:rsidRPr="00F450E9">
        <w:rPr>
          <w:rStyle w:val="SubtleReference"/>
          <w:rFonts w:ascii="Calibri" w:hAnsi="Calibri"/>
          <w:b w:val="0"/>
        </w:rPr>
        <w:tab/>
      </w:r>
      <w:r w:rsidR="00621A54" w:rsidRPr="00F450E9">
        <w:rPr>
          <w:rStyle w:val="SubtleReference"/>
          <w:rFonts w:ascii="Calibri" w:hAnsi="Calibri"/>
          <w:b w:val="0"/>
        </w:rPr>
        <w:t>Descriptive statistics</w:t>
      </w:r>
      <w:bookmarkEnd w:id="89"/>
    </w:p>
    <w:p w:rsidR="00CC10E3" w:rsidRPr="00CC10E3" w:rsidRDefault="00CC10E3" w:rsidP="00CC10E3">
      <w:pPr>
        <w:pStyle w:val="BodyText"/>
        <w:spacing w:line="360" w:lineRule="auto"/>
        <w:contextualSpacing/>
        <w:rPr>
          <w:rStyle w:val="SubtleReference"/>
          <w:rFonts w:ascii="Calibri" w:hAnsi="Calibri"/>
        </w:rPr>
      </w:pPr>
    </w:p>
    <w:p w:rsidR="00216DC4" w:rsidRPr="006F489C" w:rsidRDefault="006A0E9B"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i/>
          <w:sz w:val="24"/>
          <w:szCs w:val="24"/>
        </w:rPr>
        <w:t>Table 2</w:t>
      </w:r>
      <w:r>
        <w:rPr>
          <w:rFonts w:ascii="Times New Roman" w:hAnsi="Times New Roman" w:cs="Times New Roman"/>
          <w:i/>
          <w:sz w:val="24"/>
          <w:szCs w:val="24"/>
        </w:rPr>
        <w:tab/>
      </w:r>
      <w:r w:rsidR="009B7121" w:rsidRPr="006F489C">
        <w:rPr>
          <w:rFonts w:ascii="Times New Roman" w:hAnsi="Times New Roman" w:cs="Times New Roman"/>
          <w:i/>
          <w:sz w:val="24"/>
          <w:szCs w:val="24"/>
        </w:rPr>
        <w:t xml:space="preserve"> Descriptive statistics</w:t>
      </w:r>
    </w:p>
    <w:tbl>
      <w:tblPr>
        <w:tblStyle w:val="MediumShading1-Accent11"/>
        <w:tblW w:w="7380" w:type="dxa"/>
        <w:tblBorders>
          <w:bottom w:val="none" w:sz="0" w:space="0" w:color="auto"/>
        </w:tblBorders>
        <w:tblLook w:val="04A0"/>
      </w:tblPr>
      <w:tblGrid>
        <w:gridCol w:w="1900"/>
        <w:gridCol w:w="1420"/>
        <w:gridCol w:w="1740"/>
        <w:gridCol w:w="2320"/>
      </w:tblGrid>
      <w:tr w:rsidR="000275FE" w:rsidRPr="006C67C4" w:rsidTr="00404994">
        <w:trPr>
          <w:cnfStyle w:val="100000000000"/>
          <w:trHeight w:val="300"/>
        </w:trPr>
        <w:tc>
          <w:tcPr>
            <w:cnfStyle w:val="001000000000"/>
            <w:tcW w:w="1900" w:type="dxa"/>
            <w:tcBorders>
              <w:top w:val="none" w:sz="0" w:space="0" w:color="auto"/>
              <w:left w:val="none" w:sz="0" w:space="0" w:color="auto"/>
              <w:bottom w:val="none" w:sz="0" w:space="0" w:color="auto"/>
              <w:right w:val="none" w:sz="0" w:space="0" w:color="auto"/>
            </w:tcBorders>
            <w:noWrap/>
            <w:hideMark/>
          </w:tcPr>
          <w:p w:rsidR="000275FE" w:rsidRPr="006C67C4" w:rsidRDefault="000275FE" w:rsidP="00CC10E3">
            <w:pPr>
              <w:spacing w:line="360" w:lineRule="auto"/>
              <w:contextualSpacing/>
              <w:rPr>
                <w:rFonts w:ascii="Times New Roman" w:hAnsi="Times New Roman" w:cs="Times New Roman"/>
                <w:color w:val="000000"/>
                <w:sz w:val="22"/>
                <w:szCs w:val="22"/>
              </w:rPr>
            </w:pPr>
            <w:bookmarkStart w:id="90" w:name="_Hlk267129777"/>
            <w:r w:rsidRPr="006C67C4">
              <w:rPr>
                <w:rFonts w:ascii="Times New Roman" w:hAnsi="Times New Roman" w:cs="Times New Roman"/>
                <w:color w:val="000000"/>
                <w:sz w:val="22"/>
                <w:szCs w:val="22"/>
              </w:rPr>
              <w:t>Country</w:t>
            </w:r>
          </w:p>
        </w:tc>
        <w:tc>
          <w:tcPr>
            <w:tcW w:w="1420" w:type="dxa"/>
            <w:tcBorders>
              <w:top w:val="none" w:sz="0" w:space="0" w:color="auto"/>
              <w:left w:val="none" w:sz="0" w:space="0" w:color="auto"/>
              <w:bottom w:val="none" w:sz="0" w:space="0" w:color="auto"/>
              <w:right w:val="none" w:sz="0" w:space="0" w:color="auto"/>
            </w:tcBorders>
            <w:noWrap/>
            <w:hideMark/>
          </w:tcPr>
          <w:p w:rsidR="000275FE" w:rsidRPr="006C67C4" w:rsidRDefault="000275FE" w:rsidP="00CC10E3">
            <w:pPr>
              <w:spacing w:line="360" w:lineRule="auto"/>
              <w:contextualSpacing/>
              <w:jc w:val="center"/>
              <w:cnfStyle w:val="100000000000"/>
              <w:rPr>
                <w:rFonts w:ascii="Times New Roman" w:hAnsi="Times New Roman" w:cs="Times New Roman"/>
                <w:color w:val="000000"/>
                <w:sz w:val="22"/>
                <w:szCs w:val="22"/>
              </w:rPr>
            </w:pPr>
            <w:r w:rsidRPr="006C67C4">
              <w:rPr>
                <w:rFonts w:ascii="Times New Roman" w:hAnsi="Times New Roman" w:cs="Times New Roman"/>
                <w:color w:val="000000"/>
                <w:sz w:val="22"/>
                <w:szCs w:val="22"/>
              </w:rPr>
              <w:t># Firms</w:t>
            </w:r>
          </w:p>
        </w:tc>
        <w:tc>
          <w:tcPr>
            <w:tcW w:w="1740" w:type="dxa"/>
            <w:tcBorders>
              <w:top w:val="none" w:sz="0" w:space="0" w:color="auto"/>
              <w:left w:val="none" w:sz="0" w:space="0" w:color="auto"/>
              <w:bottom w:val="none" w:sz="0" w:space="0" w:color="auto"/>
              <w:right w:val="none" w:sz="0" w:space="0" w:color="auto"/>
            </w:tcBorders>
            <w:noWrap/>
            <w:hideMark/>
          </w:tcPr>
          <w:p w:rsidR="000275FE" w:rsidRPr="008E0902" w:rsidRDefault="000275FE" w:rsidP="00CC10E3">
            <w:pPr>
              <w:spacing w:line="360" w:lineRule="auto"/>
              <w:contextualSpacing/>
              <w:jc w:val="center"/>
              <w:cnfStyle w:val="100000000000"/>
              <w:rPr>
                <w:rFonts w:ascii="Times New Roman" w:hAnsi="Times New Roman" w:cs="Times New Roman"/>
                <w:color w:val="000000"/>
                <w:sz w:val="22"/>
                <w:szCs w:val="22"/>
              </w:rPr>
            </w:pPr>
            <w:r w:rsidRPr="008E0902">
              <w:rPr>
                <w:rFonts w:ascii="Times New Roman" w:hAnsi="Times New Roman" w:cs="Times New Roman"/>
                <w:color w:val="000000"/>
                <w:sz w:val="22"/>
                <w:szCs w:val="22"/>
              </w:rPr>
              <w:t>IFRS adopter</w:t>
            </w:r>
          </w:p>
        </w:tc>
        <w:tc>
          <w:tcPr>
            <w:tcW w:w="2320" w:type="dxa"/>
            <w:tcBorders>
              <w:top w:val="none" w:sz="0" w:space="0" w:color="auto"/>
              <w:left w:val="none" w:sz="0" w:space="0" w:color="auto"/>
              <w:bottom w:val="none" w:sz="0" w:space="0" w:color="auto"/>
              <w:right w:val="none" w:sz="0" w:space="0" w:color="auto"/>
            </w:tcBorders>
            <w:noWrap/>
            <w:hideMark/>
          </w:tcPr>
          <w:p w:rsidR="000275FE" w:rsidRPr="006C67C4" w:rsidRDefault="000275FE" w:rsidP="00CC10E3">
            <w:pPr>
              <w:spacing w:line="360" w:lineRule="auto"/>
              <w:contextualSpacing/>
              <w:jc w:val="center"/>
              <w:cnfStyle w:val="100000000000"/>
              <w:rPr>
                <w:rFonts w:ascii="Times New Roman" w:hAnsi="Times New Roman" w:cs="Times New Roman"/>
                <w:color w:val="000000"/>
                <w:sz w:val="22"/>
                <w:szCs w:val="22"/>
              </w:rPr>
            </w:pPr>
            <w:r w:rsidRPr="006C67C4">
              <w:rPr>
                <w:rFonts w:ascii="Times New Roman" w:hAnsi="Times New Roman" w:cs="Times New Roman"/>
                <w:color w:val="000000"/>
                <w:sz w:val="22"/>
                <w:szCs w:val="22"/>
              </w:rPr>
              <w:t>Median firm sales in $</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Australia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1.346</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336.432</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Sweden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282</w:t>
            </w:r>
          </w:p>
        </w:tc>
        <w:tc>
          <w:tcPr>
            <w:tcW w:w="1740" w:type="dxa"/>
            <w:tcBorders>
              <w:left w:val="none" w:sz="0" w:space="0" w:color="auto"/>
              <w:right w:val="none" w:sz="0" w:space="0" w:color="auto"/>
            </w:tcBorders>
            <w:noWrap/>
            <w:hideMark/>
          </w:tcPr>
          <w:p w:rsidR="000275FE" w:rsidRPr="00E94A5C" w:rsidRDefault="00CC479F" w:rsidP="00CC479F">
            <w:pPr>
              <w:spacing w:line="360" w:lineRule="auto"/>
              <w:contextualSpacing/>
              <w:jc w:val="center"/>
              <w:cnfStyle w:val="000000010000"/>
              <w:rPr>
                <w:rFonts w:ascii="Times New Roman" w:hAnsi="Times New Roman" w:cs="Times New Roman"/>
                <w:color w:val="000000"/>
              </w:rPr>
            </w:pPr>
            <w:r>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360.521</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Finland</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108</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401.123</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Canada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893</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8"/>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350.632</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United States</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4.573</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9"/>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4.597.532</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Norway</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110</w:t>
            </w:r>
          </w:p>
        </w:tc>
        <w:tc>
          <w:tcPr>
            <w:tcW w:w="1740" w:type="dxa"/>
            <w:tcBorders>
              <w:left w:val="none" w:sz="0" w:space="0" w:color="auto"/>
              <w:right w:val="none" w:sz="0" w:space="0" w:color="auto"/>
            </w:tcBorders>
            <w:noWrap/>
            <w:hideMark/>
          </w:tcPr>
          <w:p w:rsidR="000275FE" w:rsidRPr="00E94A5C" w:rsidRDefault="00CC479F" w:rsidP="00CC10E3">
            <w:pPr>
              <w:spacing w:line="360" w:lineRule="auto"/>
              <w:contextualSpacing/>
              <w:jc w:val="center"/>
              <w:cnfStyle w:val="000000010000"/>
              <w:rPr>
                <w:rFonts w:ascii="Times New Roman" w:hAnsi="Times New Roman" w:cs="Times New Roman"/>
                <w:color w:val="000000"/>
              </w:rPr>
            </w:pPr>
            <w:r>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190.812</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Denmark</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101</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210.567</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United Kingdom</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1.041</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223.365</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Netherlands</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121</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430.865</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France</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645</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260.932</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Switzerland</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164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0"/>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470.485</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lastRenderedPageBreak/>
              <w:t>Singapore</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507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1"/>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193.451</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Germany</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671</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424.641</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South Africa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223</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r w:rsidRPr="00E94A5C">
              <w:rPr>
                <w:rStyle w:val="FootnoteReference"/>
                <w:rFonts w:ascii="Times New Roman" w:hAnsi="Times New Roman" w:cs="Times New Roman"/>
                <w:color w:val="000000"/>
              </w:rPr>
              <w:footnoteReference w:id="12"/>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483.573</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Hong Kong</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749</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r w:rsidRPr="00E94A5C">
              <w:rPr>
                <w:rStyle w:val="FootnoteReference"/>
                <w:rFonts w:ascii="Times New Roman" w:hAnsi="Times New Roman" w:cs="Times New Roman"/>
                <w:color w:val="000000"/>
              </w:rPr>
              <w:footnoteReference w:id="13"/>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267.311</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Belgium</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94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362.115</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Austria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64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287.912</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Japan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3.354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4"/>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552.187</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Pakistan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99</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5"/>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30.423</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Thailand</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374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6"/>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59.603</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Philippines</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136</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r w:rsidRPr="00E94A5C">
              <w:rPr>
                <w:rStyle w:val="FootnoteReference"/>
                <w:rFonts w:ascii="Times New Roman" w:hAnsi="Times New Roman" w:cs="Times New Roman"/>
                <w:color w:val="000000"/>
              </w:rPr>
              <w:footnoteReference w:id="17"/>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65.841</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Taiwan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576</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8"/>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272.692</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Ireland</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48</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178.513</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Indonesia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267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19"/>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82.167</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Korea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997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20"/>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548.948</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Malaysia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792</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21"/>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101.567</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Italy</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216</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411.316</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Greece</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247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43.561</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Spain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94</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392.873</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Portugal</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52</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Yes</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190.654</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India</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1.432</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No</w:t>
            </w:r>
            <w:r w:rsidRPr="00E94A5C">
              <w:rPr>
                <w:rStyle w:val="FootnoteReference"/>
                <w:rFonts w:ascii="Times New Roman" w:hAnsi="Times New Roman" w:cs="Times New Roman"/>
                <w:color w:val="000000"/>
              </w:rPr>
              <w:footnoteReference w:id="22"/>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176.469</w:t>
            </w:r>
          </w:p>
        </w:tc>
      </w:tr>
      <w:bookmarkEnd w:id="90"/>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right"/>
              <w:cnfStyle w:val="000000010000"/>
              <w:rPr>
                <w:rFonts w:ascii="Times New Roman" w:hAnsi="Times New Roman" w:cs="Times New Roman"/>
                <w:color w:val="000000"/>
              </w:rPr>
            </w:pP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right"/>
              <w:cnfStyle w:val="000000100000"/>
              <w:rPr>
                <w:rFonts w:ascii="Times New Roman" w:hAnsi="Times New Roman" w:cs="Times New Roman"/>
                <w:color w:val="000000"/>
              </w:rPr>
            </w:pP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Mean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657.29</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278.72</w:t>
            </w:r>
            <w:r w:rsidR="00057376">
              <w:rPr>
                <w:rFonts w:ascii="Times New Roman" w:hAnsi="Times New Roman" w:cs="Times New Roman"/>
                <w:color w:val="000000"/>
              </w:rPr>
              <w:t>0</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Median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267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270.00</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Standard deviation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978.57</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152.06</w:t>
            </w:r>
          </w:p>
        </w:tc>
      </w:tr>
      <w:tr w:rsidR="000275FE" w:rsidRPr="006C67C4" w:rsidTr="00404994">
        <w:trPr>
          <w:cnfStyle w:val="00000010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Min</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48</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100000"/>
              <w:rPr>
                <w:rFonts w:ascii="Times New Roman" w:hAnsi="Times New Roman" w:cs="Times New Roman"/>
                <w:color w:val="000000"/>
              </w:rPr>
            </w:pPr>
            <w:r w:rsidRPr="00E94A5C">
              <w:rPr>
                <w:rFonts w:ascii="Times New Roman" w:hAnsi="Times New Roman" w:cs="Times New Roman"/>
                <w:color w:val="000000"/>
              </w:rPr>
              <w:t>30.42</w:t>
            </w:r>
          </w:p>
        </w:tc>
      </w:tr>
      <w:tr w:rsidR="000275FE" w:rsidRPr="006C67C4" w:rsidTr="00404994">
        <w:trPr>
          <w:cnfStyle w:val="000000010000"/>
          <w:trHeight w:val="300"/>
        </w:trPr>
        <w:tc>
          <w:tcPr>
            <w:cnfStyle w:val="001000000000"/>
            <w:tcW w:w="1900" w:type="dxa"/>
            <w:tcBorders>
              <w:right w:val="none" w:sz="0" w:space="0" w:color="auto"/>
            </w:tcBorders>
            <w:noWrap/>
            <w:hideMark/>
          </w:tcPr>
          <w:p w:rsidR="000275FE" w:rsidRPr="00E94A5C" w:rsidRDefault="000275FE" w:rsidP="00CC10E3">
            <w:pPr>
              <w:spacing w:line="360" w:lineRule="auto"/>
              <w:contextualSpacing/>
              <w:rPr>
                <w:rFonts w:ascii="Times New Roman" w:hAnsi="Times New Roman" w:cs="Times New Roman"/>
                <w:b w:val="0"/>
                <w:color w:val="000000"/>
              </w:rPr>
            </w:pPr>
            <w:r w:rsidRPr="00E94A5C">
              <w:rPr>
                <w:rFonts w:ascii="Times New Roman" w:hAnsi="Times New Roman" w:cs="Times New Roman"/>
                <w:b w:val="0"/>
                <w:color w:val="000000"/>
              </w:rPr>
              <w:t>Max</w:t>
            </w:r>
          </w:p>
        </w:tc>
        <w:tc>
          <w:tcPr>
            <w:tcW w:w="142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4573</w:t>
            </w:r>
          </w:p>
        </w:tc>
        <w:tc>
          <w:tcPr>
            <w:tcW w:w="1740" w:type="dxa"/>
            <w:tcBorders>
              <w:left w:val="none" w:sz="0" w:space="0" w:color="auto"/>
              <w:righ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w:t>
            </w:r>
          </w:p>
        </w:tc>
        <w:tc>
          <w:tcPr>
            <w:tcW w:w="2320" w:type="dxa"/>
            <w:tcBorders>
              <w:left w:val="none" w:sz="0" w:space="0" w:color="auto"/>
            </w:tcBorders>
            <w:noWrap/>
            <w:hideMark/>
          </w:tcPr>
          <w:p w:rsidR="000275FE" w:rsidRPr="00E94A5C" w:rsidRDefault="000275FE" w:rsidP="00CC10E3">
            <w:pPr>
              <w:spacing w:line="360" w:lineRule="auto"/>
              <w:contextualSpacing/>
              <w:jc w:val="center"/>
              <w:cnfStyle w:val="000000010000"/>
              <w:rPr>
                <w:rFonts w:ascii="Times New Roman" w:hAnsi="Times New Roman" w:cs="Times New Roman"/>
                <w:color w:val="000000"/>
              </w:rPr>
            </w:pPr>
            <w:r w:rsidRPr="00E94A5C">
              <w:rPr>
                <w:rFonts w:ascii="Times New Roman" w:hAnsi="Times New Roman" w:cs="Times New Roman"/>
                <w:color w:val="000000"/>
              </w:rPr>
              <w:t>552.19</w:t>
            </w:r>
          </w:p>
        </w:tc>
      </w:tr>
    </w:tbl>
    <w:p w:rsidR="000275FE" w:rsidRPr="006C67C4" w:rsidRDefault="000275FE" w:rsidP="00CC10E3">
      <w:pPr>
        <w:spacing w:line="360" w:lineRule="auto"/>
        <w:contextualSpacing/>
        <w:rPr>
          <w:rFonts w:ascii="Times New Roman" w:hAnsi="Times New Roman" w:cs="Times New Roman"/>
        </w:rPr>
      </w:pPr>
    </w:p>
    <w:p w:rsidR="009E6E2C" w:rsidRPr="00F450E9" w:rsidRDefault="00D74160" w:rsidP="00F450E9">
      <w:pPr>
        <w:pStyle w:val="Heading4"/>
        <w:rPr>
          <w:rStyle w:val="SubtleReference"/>
          <w:rFonts w:ascii="Calibri" w:hAnsi="Calibri"/>
          <w:b w:val="0"/>
        </w:rPr>
      </w:pPr>
      <w:bookmarkStart w:id="91" w:name="_Toc268669766"/>
      <w:r w:rsidRPr="00F450E9">
        <w:rPr>
          <w:rStyle w:val="SubtleReference"/>
          <w:rFonts w:ascii="Calibri" w:hAnsi="Calibri"/>
          <w:b w:val="0"/>
        </w:rPr>
        <w:t>9</w:t>
      </w:r>
      <w:r w:rsidR="00621A54" w:rsidRPr="00F450E9">
        <w:rPr>
          <w:rStyle w:val="SubtleReference"/>
          <w:rFonts w:ascii="Calibri" w:hAnsi="Calibri"/>
          <w:b w:val="0"/>
        </w:rPr>
        <w:t>.5</w:t>
      </w:r>
      <w:r w:rsidR="00621A54" w:rsidRPr="00F450E9">
        <w:rPr>
          <w:rStyle w:val="SubtleReference"/>
          <w:rFonts w:ascii="Calibri" w:hAnsi="Calibri"/>
          <w:b w:val="0"/>
        </w:rPr>
        <w:tab/>
        <w:t>Income smoothing measure</w:t>
      </w:r>
      <w:r w:rsidRPr="00F450E9">
        <w:rPr>
          <w:rStyle w:val="SubtleReference"/>
          <w:rFonts w:ascii="Calibri" w:hAnsi="Calibri"/>
          <w:b w:val="0"/>
        </w:rPr>
        <w:t>s</w:t>
      </w:r>
      <w:bookmarkEnd w:id="91"/>
      <w:r w:rsidR="00621A54" w:rsidRPr="00F450E9">
        <w:rPr>
          <w:rStyle w:val="SubtleReference"/>
          <w:rFonts w:ascii="Calibri" w:hAnsi="Calibri"/>
          <w:b w:val="0"/>
        </w:rPr>
        <w:t xml:space="preserve"> </w:t>
      </w:r>
    </w:p>
    <w:p w:rsidR="00CC10E3" w:rsidRPr="00CC10E3" w:rsidRDefault="00CC10E3" w:rsidP="00CC10E3">
      <w:pPr>
        <w:pStyle w:val="BodyText"/>
        <w:spacing w:line="360" w:lineRule="auto"/>
        <w:contextualSpacing/>
        <w:rPr>
          <w:rStyle w:val="SubtleReference"/>
          <w:rFonts w:ascii="Calibri" w:hAnsi="Calibri"/>
        </w:rPr>
      </w:pPr>
    </w:p>
    <w:p w:rsidR="00FA10B9" w:rsidRDefault="00DA79B6" w:rsidP="00CC10E3">
      <w:pPr>
        <w:pStyle w:val="BodyText"/>
        <w:spacing w:line="360" w:lineRule="auto"/>
        <w:contextualSpacing/>
        <w:rPr>
          <w:rFonts w:ascii="Times New Roman" w:hAnsi="Times New Roman" w:cs="Times New Roman"/>
          <w:sz w:val="24"/>
          <w:szCs w:val="24"/>
        </w:rPr>
      </w:pPr>
      <w:r w:rsidRPr="00804F7C">
        <w:rPr>
          <w:rFonts w:ascii="Times New Roman" w:hAnsi="Times New Roman" w:cs="Times New Roman"/>
          <w:sz w:val="24"/>
          <w:szCs w:val="24"/>
        </w:rPr>
        <w:t xml:space="preserve">This subsection will take a closer look at the real and artificial income smoothing measures for each of the 31 countries. </w:t>
      </w:r>
      <w:r w:rsidR="00031BE2">
        <w:rPr>
          <w:rFonts w:ascii="Times New Roman" w:hAnsi="Times New Roman" w:cs="Times New Roman"/>
          <w:sz w:val="24"/>
          <w:szCs w:val="24"/>
        </w:rPr>
        <w:t xml:space="preserve">Table </w:t>
      </w:r>
      <w:r w:rsidR="006A0E9B">
        <w:rPr>
          <w:rFonts w:ascii="Times New Roman" w:hAnsi="Times New Roman" w:cs="Times New Roman"/>
          <w:sz w:val="24"/>
          <w:szCs w:val="24"/>
        </w:rPr>
        <w:t>3</w:t>
      </w:r>
      <w:r w:rsidR="00031BE2">
        <w:rPr>
          <w:rFonts w:ascii="Times New Roman" w:hAnsi="Times New Roman" w:cs="Times New Roman"/>
          <w:sz w:val="24"/>
          <w:szCs w:val="24"/>
        </w:rPr>
        <w:t xml:space="preserve"> shows the values of both incomes smoothing measures as well as the aggregate income smoothing measure.  </w:t>
      </w:r>
    </w:p>
    <w:p w:rsidR="00495E3E" w:rsidRDefault="00495E3E"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Income smoothing measure 1 </w:t>
      </w:r>
      <w:r w:rsidR="00031BE2">
        <w:rPr>
          <w:rFonts w:ascii="Times New Roman" w:hAnsi="Times New Roman" w:cs="Times New Roman"/>
          <w:sz w:val="24"/>
          <w:szCs w:val="24"/>
        </w:rPr>
        <w:t>(IS 1) should be interpreted as follows: low values indicate tha</w:t>
      </w:r>
      <w:r w:rsidR="00500966">
        <w:rPr>
          <w:rFonts w:ascii="Times New Roman" w:hAnsi="Times New Roman" w:cs="Times New Roman"/>
          <w:sz w:val="24"/>
          <w:szCs w:val="24"/>
        </w:rPr>
        <w:t>t controlling insiders smooth</w:t>
      </w:r>
      <w:r w:rsidR="00031BE2">
        <w:rPr>
          <w:rFonts w:ascii="Times New Roman" w:hAnsi="Times New Roman" w:cs="Times New Roman"/>
          <w:sz w:val="24"/>
          <w:szCs w:val="24"/>
        </w:rPr>
        <w:t xml:space="preserve"> income. </w:t>
      </w:r>
      <w:r w:rsidR="00D74C03">
        <w:rPr>
          <w:rFonts w:ascii="Times New Roman" w:hAnsi="Times New Roman" w:cs="Times New Roman"/>
          <w:sz w:val="24"/>
          <w:szCs w:val="24"/>
        </w:rPr>
        <w:t>From the table can be concluded that India is the country with the</w:t>
      </w:r>
      <w:r w:rsidR="00695CA8">
        <w:rPr>
          <w:rFonts w:ascii="Times New Roman" w:hAnsi="Times New Roman" w:cs="Times New Roman"/>
          <w:sz w:val="24"/>
          <w:szCs w:val="24"/>
        </w:rPr>
        <w:t xml:space="preserve"> lowest value of this measure, which</w:t>
      </w:r>
      <w:r w:rsidR="00D74C03">
        <w:rPr>
          <w:rFonts w:ascii="Times New Roman" w:hAnsi="Times New Roman" w:cs="Times New Roman"/>
          <w:sz w:val="24"/>
          <w:szCs w:val="24"/>
        </w:rPr>
        <w:t xml:space="preserve"> means </w:t>
      </w:r>
      <w:r w:rsidR="00695CA8">
        <w:rPr>
          <w:rFonts w:ascii="Times New Roman" w:hAnsi="Times New Roman" w:cs="Times New Roman"/>
          <w:sz w:val="24"/>
          <w:szCs w:val="24"/>
        </w:rPr>
        <w:t>that insiders</w:t>
      </w:r>
      <w:r w:rsidR="00D74C03">
        <w:rPr>
          <w:rFonts w:ascii="Times New Roman" w:hAnsi="Times New Roman" w:cs="Times New Roman"/>
          <w:sz w:val="24"/>
          <w:szCs w:val="24"/>
        </w:rPr>
        <w:t xml:space="preserve"> use their accounting discretion to manage the firm’</w:t>
      </w:r>
      <w:r w:rsidR="00BC6E1A">
        <w:rPr>
          <w:rFonts w:ascii="Times New Roman" w:hAnsi="Times New Roman" w:cs="Times New Roman"/>
          <w:sz w:val="24"/>
          <w:szCs w:val="24"/>
        </w:rPr>
        <w:t>s income</w:t>
      </w:r>
      <w:r w:rsidR="00804F7C">
        <w:rPr>
          <w:rFonts w:ascii="Times New Roman" w:hAnsi="Times New Roman" w:cs="Times New Roman"/>
          <w:sz w:val="24"/>
          <w:szCs w:val="24"/>
        </w:rPr>
        <w:t>.</w:t>
      </w:r>
      <w:r w:rsidR="0017794F">
        <w:rPr>
          <w:rFonts w:ascii="Times New Roman" w:hAnsi="Times New Roman" w:cs="Times New Roman"/>
          <w:sz w:val="24"/>
          <w:szCs w:val="24"/>
        </w:rPr>
        <w:t xml:space="preserve"> </w:t>
      </w:r>
      <w:r w:rsidR="00031BE2">
        <w:rPr>
          <w:rFonts w:ascii="Times New Roman" w:hAnsi="Times New Roman" w:cs="Times New Roman"/>
          <w:sz w:val="24"/>
          <w:szCs w:val="24"/>
        </w:rPr>
        <w:t xml:space="preserve">IS 1 </w:t>
      </w:r>
      <w:r>
        <w:rPr>
          <w:rFonts w:ascii="Times New Roman" w:hAnsi="Times New Roman" w:cs="Times New Roman"/>
          <w:sz w:val="24"/>
          <w:szCs w:val="24"/>
        </w:rPr>
        <w:t xml:space="preserve">is computed by dividing the median ratio of the firm-level standard deviation of operating earnings by the firm-level standard deviation of cash flow from operations. </w:t>
      </w:r>
      <w:r w:rsidR="002F1327">
        <w:rPr>
          <w:rFonts w:ascii="Times New Roman" w:hAnsi="Times New Roman" w:cs="Times New Roman"/>
          <w:sz w:val="24"/>
          <w:szCs w:val="24"/>
        </w:rPr>
        <w:t xml:space="preserve">Dividing it by the cash flow from operations takes care of the problem with differences in variability of economic performance across firms. </w:t>
      </w:r>
      <w:r w:rsidR="0017794F">
        <w:rPr>
          <w:rFonts w:ascii="Times New Roman" w:hAnsi="Times New Roman" w:cs="Times New Roman"/>
          <w:sz w:val="24"/>
          <w:szCs w:val="24"/>
        </w:rPr>
        <w:t>IS 1 values for most EU countries lie around the mean (0.579). The values for the PIGS</w:t>
      </w:r>
      <w:r w:rsidR="0017794F">
        <w:rPr>
          <w:rStyle w:val="FootnoteReference"/>
          <w:rFonts w:ascii="Times New Roman" w:hAnsi="Times New Roman" w:cs="Times New Roman"/>
          <w:sz w:val="24"/>
          <w:szCs w:val="24"/>
        </w:rPr>
        <w:footnoteReference w:id="23"/>
      </w:r>
      <w:r w:rsidR="0017794F">
        <w:rPr>
          <w:rFonts w:ascii="Times New Roman" w:hAnsi="Times New Roman" w:cs="Times New Roman"/>
          <w:sz w:val="24"/>
          <w:szCs w:val="24"/>
        </w:rPr>
        <w:t xml:space="preserve"> and Austria however are well below the</w:t>
      </w:r>
      <w:r w:rsidR="00490748">
        <w:rPr>
          <w:rFonts w:ascii="Times New Roman" w:hAnsi="Times New Roman" w:cs="Times New Roman"/>
          <w:sz w:val="24"/>
          <w:szCs w:val="24"/>
        </w:rPr>
        <w:t xml:space="preserve"> mean and show strong evidence of</w:t>
      </w:r>
      <w:r w:rsidR="0017794F">
        <w:rPr>
          <w:rFonts w:ascii="Times New Roman" w:hAnsi="Times New Roman" w:cs="Times New Roman"/>
          <w:sz w:val="24"/>
          <w:szCs w:val="24"/>
        </w:rPr>
        <w:t xml:space="preserve"> income smoothing. </w:t>
      </w:r>
    </w:p>
    <w:p w:rsidR="00BC6E1A" w:rsidRDefault="00BC6E1A"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Income smoothing measure 2 (IS 2)</w:t>
      </w:r>
      <w:r w:rsidR="00FE61FA">
        <w:rPr>
          <w:rFonts w:ascii="Times New Roman" w:hAnsi="Times New Roman" w:cs="Times New Roman"/>
          <w:sz w:val="24"/>
          <w:szCs w:val="24"/>
        </w:rPr>
        <w:t xml:space="preserve"> measures the correlation between changes in accounting accruals and cash flows from operations.</w:t>
      </w:r>
      <w:r w:rsidR="007F2A6D">
        <w:rPr>
          <w:rFonts w:ascii="Times New Roman" w:hAnsi="Times New Roman" w:cs="Times New Roman"/>
          <w:sz w:val="24"/>
          <w:szCs w:val="24"/>
        </w:rPr>
        <w:t xml:space="preserve"> Controlling insiders are in the position to use accounting discretion to misrepresent the cash flow from operations. They can delay the recognition of current profit to create reserves for the future in case the future performance will not be as good as the current performance. </w:t>
      </w:r>
      <w:r w:rsidR="008756E2">
        <w:rPr>
          <w:rFonts w:ascii="Times New Roman" w:hAnsi="Times New Roman" w:cs="Times New Roman"/>
          <w:sz w:val="24"/>
          <w:szCs w:val="24"/>
        </w:rPr>
        <w:t xml:space="preserve">Large </w:t>
      </w:r>
      <w:r w:rsidR="002F1327">
        <w:rPr>
          <w:rFonts w:ascii="Times New Roman" w:hAnsi="Times New Roman" w:cs="Times New Roman"/>
          <w:sz w:val="24"/>
          <w:szCs w:val="24"/>
        </w:rPr>
        <w:t>negative correlations</w:t>
      </w:r>
      <w:r w:rsidR="008756E2">
        <w:rPr>
          <w:rFonts w:ascii="Times New Roman" w:hAnsi="Times New Roman" w:cs="Times New Roman"/>
          <w:sz w:val="24"/>
          <w:szCs w:val="24"/>
        </w:rPr>
        <w:t xml:space="preserve"> are an indication for income smoothing.</w:t>
      </w:r>
      <w:r w:rsidR="002F1327">
        <w:rPr>
          <w:rFonts w:ascii="Times New Roman" w:hAnsi="Times New Roman" w:cs="Times New Roman"/>
          <w:sz w:val="24"/>
          <w:szCs w:val="24"/>
        </w:rPr>
        <w:t xml:space="preserve"> </w:t>
      </w:r>
      <w:r w:rsidR="004F5273">
        <w:rPr>
          <w:rFonts w:ascii="Times New Roman" w:hAnsi="Times New Roman" w:cs="Times New Roman"/>
          <w:sz w:val="24"/>
          <w:szCs w:val="24"/>
        </w:rPr>
        <w:t xml:space="preserve">For example, income smoothing is more pervasive in Greece and Korea, than in the US and Canada. </w:t>
      </w:r>
      <w:r w:rsidR="002F1327">
        <w:rPr>
          <w:rFonts w:ascii="Times New Roman" w:hAnsi="Times New Roman" w:cs="Times New Roman"/>
          <w:sz w:val="24"/>
          <w:szCs w:val="24"/>
        </w:rPr>
        <w:t xml:space="preserve">The table below shows that India is the country with the largest IS 2 value. </w:t>
      </w:r>
      <w:r w:rsidR="00A9413C">
        <w:rPr>
          <w:rFonts w:ascii="Times New Roman" w:hAnsi="Times New Roman" w:cs="Times New Roman"/>
          <w:sz w:val="24"/>
          <w:szCs w:val="24"/>
        </w:rPr>
        <w:t>Once again, the PIGS have values that show strong evidence of income smoothing.</w:t>
      </w:r>
    </w:p>
    <w:p w:rsidR="00AE7B95" w:rsidRDefault="00315182"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 aggregate income smoothing measure is computed</w:t>
      </w:r>
      <w:r w:rsidR="00FE61FA">
        <w:rPr>
          <w:rFonts w:ascii="Times New Roman" w:hAnsi="Times New Roman" w:cs="Times New Roman"/>
          <w:sz w:val="24"/>
          <w:szCs w:val="24"/>
        </w:rPr>
        <w:t xml:space="preserve"> by adding up </w:t>
      </w:r>
      <w:r w:rsidR="004975D5">
        <w:rPr>
          <w:rFonts w:ascii="Times New Roman" w:hAnsi="Times New Roman" w:cs="Times New Roman"/>
          <w:sz w:val="24"/>
          <w:szCs w:val="24"/>
        </w:rPr>
        <w:t xml:space="preserve">the rankings of </w:t>
      </w:r>
      <w:r w:rsidR="00911F07">
        <w:rPr>
          <w:rFonts w:ascii="Times New Roman" w:hAnsi="Times New Roman" w:cs="Times New Roman"/>
          <w:sz w:val="24"/>
          <w:szCs w:val="24"/>
        </w:rPr>
        <w:t xml:space="preserve">IS 1 and IS </w:t>
      </w:r>
      <w:r w:rsidR="00FE61FA">
        <w:rPr>
          <w:rFonts w:ascii="Times New Roman" w:hAnsi="Times New Roman" w:cs="Times New Roman"/>
          <w:sz w:val="24"/>
          <w:szCs w:val="24"/>
        </w:rPr>
        <w:t>2 and dividing the total by two.</w:t>
      </w:r>
      <w:r w:rsidR="002F1327">
        <w:rPr>
          <w:rFonts w:ascii="Times New Roman" w:hAnsi="Times New Roman" w:cs="Times New Roman"/>
          <w:sz w:val="24"/>
          <w:szCs w:val="24"/>
        </w:rPr>
        <w:t xml:space="preserve"> The first two measures are ranked in such a way that a higher score indicates a higher level of earnings management.</w:t>
      </w:r>
      <w:r w:rsidR="002705C4">
        <w:rPr>
          <w:rFonts w:ascii="Times New Roman" w:hAnsi="Times New Roman" w:cs="Times New Roman"/>
          <w:sz w:val="24"/>
          <w:szCs w:val="24"/>
        </w:rPr>
        <w:t xml:space="preserve"> India had for both </w:t>
      </w:r>
    </w:p>
    <w:p w:rsidR="00FA10B9" w:rsidRDefault="002705C4"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IS</w:t>
      </w:r>
      <w:r w:rsidR="00911F07">
        <w:rPr>
          <w:rFonts w:ascii="Times New Roman" w:hAnsi="Times New Roman" w:cs="Times New Roman"/>
          <w:sz w:val="24"/>
          <w:szCs w:val="24"/>
        </w:rPr>
        <w:t xml:space="preserve"> </w:t>
      </w:r>
      <w:r>
        <w:rPr>
          <w:rFonts w:ascii="Times New Roman" w:hAnsi="Times New Roman" w:cs="Times New Roman"/>
          <w:sz w:val="24"/>
          <w:szCs w:val="24"/>
        </w:rPr>
        <w:t>1 and IS</w:t>
      </w:r>
      <w:r w:rsidR="00911F07">
        <w:rPr>
          <w:rFonts w:ascii="Times New Roman" w:hAnsi="Times New Roman" w:cs="Times New Roman"/>
          <w:sz w:val="24"/>
          <w:szCs w:val="24"/>
        </w:rPr>
        <w:t xml:space="preserve"> </w:t>
      </w:r>
      <w:r>
        <w:rPr>
          <w:rFonts w:ascii="Times New Roman" w:hAnsi="Times New Roman" w:cs="Times New Roman"/>
          <w:sz w:val="24"/>
          <w:szCs w:val="24"/>
        </w:rPr>
        <w:t>2 respectively the lowest and highest values, so it is only logical that India will have the highest aggregate income smoothing score.</w:t>
      </w:r>
    </w:p>
    <w:p w:rsidR="00A94950" w:rsidRDefault="00A94950" w:rsidP="00CC10E3">
      <w:pPr>
        <w:pStyle w:val="BodyText"/>
        <w:spacing w:line="360" w:lineRule="auto"/>
        <w:contextualSpacing/>
        <w:rPr>
          <w:rFonts w:ascii="Times New Roman" w:hAnsi="Times New Roman" w:cs="Times New Roman"/>
          <w:i/>
          <w:sz w:val="24"/>
          <w:szCs w:val="24"/>
        </w:rPr>
      </w:pPr>
    </w:p>
    <w:p w:rsidR="00A94950" w:rsidRDefault="00A94950" w:rsidP="00CC10E3">
      <w:pPr>
        <w:pStyle w:val="BodyText"/>
        <w:spacing w:line="360" w:lineRule="auto"/>
        <w:contextualSpacing/>
        <w:rPr>
          <w:rFonts w:ascii="Times New Roman" w:hAnsi="Times New Roman" w:cs="Times New Roman"/>
          <w:i/>
          <w:sz w:val="24"/>
          <w:szCs w:val="24"/>
        </w:rPr>
      </w:pPr>
    </w:p>
    <w:p w:rsidR="00AC059F" w:rsidRDefault="006F489C" w:rsidP="00CC10E3">
      <w:pPr>
        <w:pStyle w:val="BodyText"/>
        <w:spacing w:line="360" w:lineRule="auto"/>
        <w:contextualSpacing/>
        <w:rPr>
          <w:rFonts w:ascii="Times New Roman" w:hAnsi="Times New Roman" w:cs="Times New Roman"/>
          <w:i/>
          <w:sz w:val="24"/>
          <w:szCs w:val="24"/>
        </w:rPr>
      </w:pPr>
      <w:r w:rsidRPr="006F489C">
        <w:rPr>
          <w:rFonts w:ascii="Times New Roman" w:hAnsi="Times New Roman" w:cs="Times New Roman"/>
          <w:i/>
          <w:sz w:val="24"/>
          <w:szCs w:val="24"/>
        </w:rPr>
        <w:lastRenderedPageBreak/>
        <w:t xml:space="preserve">Table </w:t>
      </w:r>
      <w:r w:rsidR="006A0E9B">
        <w:rPr>
          <w:rFonts w:ascii="Times New Roman" w:hAnsi="Times New Roman" w:cs="Times New Roman"/>
          <w:i/>
          <w:sz w:val="24"/>
          <w:szCs w:val="24"/>
        </w:rPr>
        <w:t>3</w:t>
      </w:r>
      <w:r w:rsidR="006A0E9B">
        <w:rPr>
          <w:rFonts w:ascii="Times New Roman" w:hAnsi="Times New Roman" w:cs="Times New Roman"/>
          <w:i/>
          <w:sz w:val="24"/>
          <w:szCs w:val="24"/>
        </w:rPr>
        <w:tab/>
      </w:r>
      <w:r>
        <w:rPr>
          <w:rFonts w:ascii="Times New Roman" w:hAnsi="Times New Roman" w:cs="Times New Roman"/>
          <w:i/>
          <w:sz w:val="24"/>
          <w:szCs w:val="24"/>
        </w:rPr>
        <w:t xml:space="preserve"> Income smoothing measures</w:t>
      </w:r>
    </w:p>
    <w:tbl>
      <w:tblPr>
        <w:tblStyle w:val="MediumShading1-Accent2"/>
        <w:tblW w:w="7080" w:type="dxa"/>
        <w:tblLook w:val="04A0"/>
      </w:tblPr>
      <w:tblGrid>
        <w:gridCol w:w="2060"/>
        <w:gridCol w:w="1380"/>
        <w:gridCol w:w="1620"/>
        <w:gridCol w:w="2020"/>
      </w:tblGrid>
      <w:tr w:rsidR="00897E5C" w:rsidRPr="00897E5C" w:rsidTr="00A97063">
        <w:trPr>
          <w:cnfStyle w:val="100000000000"/>
          <w:trHeight w:val="300"/>
        </w:trPr>
        <w:tc>
          <w:tcPr>
            <w:cnfStyle w:val="001000000000"/>
            <w:tcW w:w="2060" w:type="dxa"/>
            <w:noWrap/>
            <w:hideMark/>
          </w:tcPr>
          <w:p w:rsidR="00897E5C" w:rsidRPr="00551834" w:rsidRDefault="00897E5C" w:rsidP="00CC10E3">
            <w:pPr>
              <w:spacing w:line="360" w:lineRule="auto"/>
              <w:contextualSpacing/>
              <w:jc w:val="center"/>
              <w:rPr>
                <w:rFonts w:ascii="Times New Roman" w:eastAsia="Times New Roman" w:hAnsi="Times New Roman" w:cs="Times New Roman"/>
                <w:b w:val="0"/>
                <w:bCs w:val="0"/>
                <w:color w:val="000000"/>
              </w:rPr>
            </w:pPr>
            <w:r w:rsidRPr="00551834">
              <w:rPr>
                <w:rFonts w:ascii="Times New Roman" w:eastAsia="Times New Roman" w:hAnsi="Times New Roman" w:cs="Times New Roman"/>
                <w:b w:val="0"/>
                <w:bCs w:val="0"/>
                <w:color w:val="000000"/>
              </w:rPr>
              <w:t>Country</w:t>
            </w:r>
          </w:p>
        </w:tc>
        <w:tc>
          <w:tcPr>
            <w:tcW w:w="1380" w:type="dxa"/>
            <w:noWrap/>
            <w:hideMark/>
          </w:tcPr>
          <w:p w:rsidR="00897E5C" w:rsidRPr="00551834" w:rsidRDefault="00897E5C" w:rsidP="00CC10E3">
            <w:pPr>
              <w:spacing w:line="360" w:lineRule="auto"/>
              <w:contextualSpacing/>
              <w:jc w:val="center"/>
              <w:cnfStyle w:val="100000000000"/>
              <w:rPr>
                <w:rFonts w:ascii="Times New Roman" w:eastAsia="Times New Roman" w:hAnsi="Times New Roman" w:cs="Times New Roman"/>
                <w:b w:val="0"/>
                <w:bCs w:val="0"/>
                <w:color w:val="000000"/>
              </w:rPr>
            </w:pPr>
            <w:r w:rsidRPr="00551834">
              <w:rPr>
                <w:rFonts w:ascii="Times New Roman" w:eastAsia="Times New Roman" w:hAnsi="Times New Roman" w:cs="Times New Roman"/>
                <w:b w:val="0"/>
                <w:bCs w:val="0"/>
                <w:color w:val="000000"/>
              </w:rPr>
              <w:t>IS 1</w:t>
            </w:r>
            <w:r w:rsidR="00830BA1" w:rsidRPr="00551834">
              <w:rPr>
                <w:rStyle w:val="FootnoteReference"/>
                <w:rFonts w:ascii="Times New Roman" w:eastAsia="Times New Roman" w:hAnsi="Times New Roman" w:cs="Times New Roman"/>
                <w:b w:val="0"/>
                <w:bCs w:val="0"/>
                <w:color w:val="000000"/>
              </w:rPr>
              <w:footnoteReference w:id="24"/>
            </w:r>
          </w:p>
        </w:tc>
        <w:tc>
          <w:tcPr>
            <w:tcW w:w="1620" w:type="dxa"/>
            <w:noWrap/>
            <w:hideMark/>
          </w:tcPr>
          <w:p w:rsidR="00897E5C" w:rsidRPr="00551834" w:rsidRDefault="00897E5C" w:rsidP="00CC10E3">
            <w:pPr>
              <w:spacing w:line="360" w:lineRule="auto"/>
              <w:contextualSpacing/>
              <w:jc w:val="center"/>
              <w:cnfStyle w:val="100000000000"/>
              <w:rPr>
                <w:rFonts w:ascii="Times New Roman" w:eastAsia="Times New Roman" w:hAnsi="Times New Roman" w:cs="Times New Roman"/>
                <w:b w:val="0"/>
                <w:bCs w:val="0"/>
                <w:color w:val="000000"/>
              </w:rPr>
            </w:pPr>
            <w:r w:rsidRPr="00551834">
              <w:rPr>
                <w:rFonts w:ascii="Times New Roman" w:eastAsia="Times New Roman" w:hAnsi="Times New Roman" w:cs="Times New Roman"/>
                <w:b w:val="0"/>
                <w:bCs w:val="0"/>
                <w:color w:val="000000"/>
              </w:rPr>
              <w:t>IS 2</w:t>
            </w:r>
            <w:r w:rsidR="00830BA1" w:rsidRPr="00551834">
              <w:rPr>
                <w:rStyle w:val="FootnoteReference"/>
                <w:rFonts w:ascii="Times New Roman" w:eastAsia="Times New Roman" w:hAnsi="Times New Roman" w:cs="Times New Roman"/>
                <w:b w:val="0"/>
                <w:bCs w:val="0"/>
                <w:color w:val="000000"/>
              </w:rPr>
              <w:footnoteReference w:id="25"/>
            </w:r>
          </w:p>
        </w:tc>
        <w:tc>
          <w:tcPr>
            <w:tcW w:w="2020" w:type="dxa"/>
            <w:noWrap/>
            <w:hideMark/>
          </w:tcPr>
          <w:p w:rsidR="00897E5C" w:rsidRPr="00551834" w:rsidRDefault="00897E5C" w:rsidP="00CC10E3">
            <w:pPr>
              <w:spacing w:line="360" w:lineRule="auto"/>
              <w:contextualSpacing/>
              <w:jc w:val="center"/>
              <w:cnfStyle w:val="100000000000"/>
              <w:rPr>
                <w:rFonts w:ascii="Times New Roman" w:eastAsia="Times New Roman" w:hAnsi="Times New Roman" w:cs="Times New Roman"/>
                <w:b w:val="0"/>
                <w:bCs w:val="0"/>
                <w:color w:val="000000"/>
              </w:rPr>
            </w:pPr>
            <w:r w:rsidRPr="00551834">
              <w:rPr>
                <w:rFonts w:ascii="Times New Roman" w:eastAsia="Times New Roman" w:hAnsi="Times New Roman" w:cs="Times New Roman"/>
                <w:b w:val="0"/>
                <w:bCs w:val="0"/>
                <w:color w:val="000000"/>
              </w:rPr>
              <w:t>Aggregate IS score</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India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0.328</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-0.901</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31</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Portugal</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0.398</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-0.898</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29.5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Indonesia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0.518</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-0.834</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24</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Spain</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0.430</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-0.83</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28</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Korea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0.507</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-0.819</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24.5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Italy</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0.489</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-0.812</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25.5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Greece</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0.365</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-0.805</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27.5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Malaysia</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0.486</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-0.804</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Taiwan</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0.508</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-0.802</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22</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Ireland</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0.500</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-0.790</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23</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Pakistan</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0.529</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-0.747</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19.5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Thailand</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0.515</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-0.740</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20</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Philippines</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0.501</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-0.738</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21</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Japan</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0.559</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-0.731</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16.5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 xml:space="preserve">South </w:t>
            </w:r>
            <w:r w:rsidR="00490748" w:rsidRPr="00551834">
              <w:rPr>
                <w:rFonts w:ascii="Times New Roman" w:eastAsia="Times New Roman" w:hAnsi="Times New Roman" w:cs="Times New Roman"/>
                <w:b w:val="0"/>
                <w:color w:val="000000"/>
              </w:rPr>
              <w:t>Africa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0.636</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-0.699</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13</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Switzerland</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0.677</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-0.691</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11.5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Singapore</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0.655</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-0.673</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11.5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Belgium</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0.557</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-0.657</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Germany</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0.608</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-0.656</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12</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Hong Kong</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0.552</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-0.654</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14.5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UK</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0.704</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-0.644</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8.5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USA</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0.847</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-0.637</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6</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Netherlands</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0.599</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-0.610</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11</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France</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0.574</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-0.605</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11</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Canada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0.835</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-0.594</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5.5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Austria</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0.437</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-0.571</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16.5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Norway</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0.625</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-0.553</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7.5</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Denmark</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0.602</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-0.512</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8</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Sweden</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0.844</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-0.472</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3</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Finland</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0.719</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-0.432</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3.5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Australia</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0.851</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-0.421</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p>
        </w:tc>
        <w:tc>
          <w:tcPr>
            <w:tcW w:w="2020" w:type="dxa"/>
            <w:noWrap/>
            <w:hideMark/>
          </w:tcPr>
          <w:p w:rsidR="00897E5C" w:rsidRPr="00551834" w:rsidRDefault="00897E5C" w:rsidP="00CC10E3">
            <w:pPr>
              <w:spacing w:line="360" w:lineRule="auto"/>
              <w:contextualSpacing/>
              <w:cnfStyle w:val="000000010000"/>
              <w:rPr>
                <w:rFonts w:ascii="Times New Roman" w:eastAsia="Times New Roman" w:hAnsi="Times New Roman" w:cs="Times New Roman"/>
                <w:color w:val="000000"/>
              </w:rPr>
            </w:pP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Mean</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0.579</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-0.688</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16</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lastRenderedPageBreak/>
              <w:t>Median</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0.557</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-0.691</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15</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Standard deviation</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0.138</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0.129</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8.57</w:t>
            </w:r>
          </w:p>
        </w:tc>
      </w:tr>
      <w:tr w:rsidR="00897E5C" w:rsidRPr="00897E5C" w:rsidTr="00A97063">
        <w:trPr>
          <w:cnfStyle w:val="00000001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Min</w:t>
            </w:r>
          </w:p>
        </w:tc>
        <w:tc>
          <w:tcPr>
            <w:tcW w:w="138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0.328</w:t>
            </w:r>
          </w:p>
        </w:tc>
        <w:tc>
          <w:tcPr>
            <w:tcW w:w="1620" w:type="dxa"/>
            <w:noWrap/>
            <w:hideMark/>
          </w:tcPr>
          <w:p w:rsidR="00897E5C" w:rsidRPr="00551834" w:rsidRDefault="00897E5C" w:rsidP="00CC10E3">
            <w:pPr>
              <w:spacing w:line="360" w:lineRule="auto"/>
              <w:contextualSpacing/>
              <w:jc w:val="center"/>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-0.901</w:t>
            </w:r>
          </w:p>
        </w:tc>
        <w:tc>
          <w:tcPr>
            <w:tcW w:w="2020" w:type="dxa"/>
            <w:noWrap/>
            <w:hideMark/>
          </w:tcPr>
          <w:p w:rsidR="00897E5C" w:rsidRPr="00551834" w:rsidRDefault="00897E5C" w:rsidP="00CC10E3">
            <w:pPr>
              <w:spacing w:line="360" w:lineRule="auto"/>
              <w:contextualSpacing/>
              <w:jc w:val="right"/>
              <w:cnfStyle w:val="00000001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1</w:t>
            </w:r>
          </w:p>
        </w:tc>
      </w:tr>
      <w:tr w:rsidR="00897E5C" w:rsidRPr="00897E5C" w:rsidTr="00A97063">
        <w:trPr>
          <w:cnfStyle w:val="000000100000"/>
          <w:trHeight w:val="300"/>
        </w:trPr>
        <w:tc>
          <w:tcPr>
            <w:cnfStyle w:val="001000000000"/>
            <w:tcW w:w="2060" w:type="dxa"/>
            <w:noWrap/>
            <w:hideMark/>
          </w:tcPr>
          <w:p w:rsidR="00897E5C" w:rsidRPr="00551834" w:rsidRDefault="00897E5C" w:rsidP="00CC10E3">
            <w:pPr>
              <w:spacing w:line="360" w:lineRule="auto"/>
              <w:contextualSpacing/>
              <w:rPr>
                <w:rFonts w:ascii="Times New Roman" w:eastAsia="Times New Roman" w:hAnsi="Times New Roman" w:cs="Times New Roman"/>
                <w:b w:val="0"/>
                <w:color w:val="000000"/>
              </w:rPr>
            </w:pPr>
            <w:r w:rsidRPr="00551834">
              <w:rPr>
                <w:rFonts w:ascii="Times New Roman" w:eastAsia="Times New Roman" w:hAnsi="Times New Roman" w:cs="Times New Roman"/>
                <w:b w:val="0"/>
                <w:color w:val="000000"/>
              </w:rPr>
              <w:t>Max</w:t>
            </w:r>
          </w:p>
        </w:tc>
        <w:tc>
          <w:tcPr>
            <w:tcW w:w="138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0.851</w:t>
            </w:r>
          </w:p>
        </w:tc>
        <w:tc>
          <w:tcPr>
            <w:tcW w:w="1620" w:type="dxa"/>
            <w:noWrap/>
            <w:hideMark/>
          </w:tcPr>
          <w:p w:rsidR="00897E5C" w:rsidRPr="00551834" w:rsidRDefault="00897E5C" w:rsidP="00CC10E3">
            <w:pPr>
              <w:spacing w:line="360" w:lineRule="auto"/>
              <w:contextualSpacing/>
              <w:jc w:val="center"/>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-0.421</w:t>
            </w:r>
          </w:p>
        </w:tc>
        <w:tc>
          <w:tcPr>
            <w:tcW w:w="2020" w:type="dxa"/>
            <w:noWrap/>
            <w:hideMark/>
          </w:tcPr>
          <w:p w:rsidR="00897E5C" w:rsidRPr="00551834" w:rsidRDefault="00897E5C" w:rsidP="00CC10E3">
            <w:pPr>
              <w:spacing w:line="360" w:lineRule="auto"/>
              <w:contextualSpacing/>
              <w:jc w:val="right"/>
              <w:cnfStyle w:val="000000100000"/>
              <w:rPr>
                <w:rFonts w:ascii="Times New Roman" w:eastAsia="Times New Roman" w:hAnsi="Times New Roman" w:cs="Times New Roman"/>
                <w:color w:val="000000"/>
              </w:rPr>
            </w:pPr>
            <w:r w:rsidRPr="00551834">
              <w:rPr>
                <w:rFonts w:ascii="Times New Roman" w:eastAsia="Times New Roman" w:hAnsi="Times New Roman" w:cs="Times New Roman"/>
                <w:color w:val="000000"/>
              </w:rPr>
              <w:t>31</w:t>
            </w:r>
          </w:p>
        </w:tc>
      </w:tr>
    </w:tbl>
    <w:p w:rsidR="00B42328" w:rsidRDefault="00B42328" w:rsidP="00CC10E3">
      <w:pPr>
        <w:pStyle w:val="BodyText"/>
        <w:spacing w:line="360" w:lineRule="auto"/>
        <w:contextualSpacing/>
        <w:rPr>
          <w:rFonts w:ascii="Times New Roman" w:hAnsi="Times New Roman" w:cs="Times New Roman"/>
          <w:sz w:val="24"/>
          <w:szCs w:val="24"/>
        </w:rPr>
      </w:pPr>
    </w:p>
    <w:p w:rsidR="00B42328" w:rsidRDefault="00B42328" w:rsidP="00CC10E3">
      <w:pPr>
        <w:pStyle w:val="BodyText"/>
        <w:spacing w:line="360" w:lineRule="auto"/>
        <w:contextualSpacing/>
        <w:rPr>
          <w:rFonts w:ascii="Times New Roman" w:hAnsi="Times New Roman" w:cs="Times New Roman"/>
          <w:sz w:val="24"/>
          <w:szCs w:val="24"/>
        </w:rPr>
      </w:pPr>
    </w:p>
    <w:p w:rsidR="00CC10E3" w:rsidRDefault="00623249" w:rsidP="005E6BFB">
      <w:pPr>
        <w:pStyle w:val="Heading4"/>
        <w:spacing w:line="360" w:lineRule="auto"/>
        <w:contextualSpacing/>
        <w:rPr>
          <w:rStyle w:val="SubtleReference"/>
          <w:rFonts w:ascii="Calibri" w:hAnsi="Calibri"/>
          <w:b w:val="0"/>
        </w:rPr>
      </w:pPr>
      <w:bookmarkStart w:id="92" w:name="_Toc268669767"/>
      <w:r w:rsidRPr="00F450E9">
        <w:rPr>
          <w:rStyle w:val="SubtleReference"/>
          <w:rFonts w:ascii="Calibri" w:hAnsi="Calibri"/>
          <w:b w:val="0"/>
        </w:rPr>
        <w:t>9</w:t>
      </w:r>
      <w:r w:rsidR="00F83CD3" w:rsidRPr="00F450E9">
        <w:rPr>
          <w:rStyle w:val="SubtleReference"/>
          <w:rFonts w:ascii="Calibri" w:hAnsi="Calibri"/>
          <w:b w:val="0"/>
        </w:rPr>
        <w:t>.</w:t>
      </w:r>
      <w:r w:rsidRPr="00F450E9">
        <w:rPr>
          <w:rStyle w:val="SubtleReference"/>
          <w:rFonts w:ascii="Calibri" w:hAnsi="Calibri"/>
          <w:b w:val="0"/>
        </w:rPr>
        <w:t>6</w:t>
      </w:r>
      <w:r w:rsidR="00F83CD3" w:rsidRPr="00F450E9">
        <w:rPr>
          <w:rStyle w:val="SubtleReference"/>
          <w:rFonts w:ascii="Calibri" w:hAnsi="Calibri"/>
          <w:b w:val="0"/>
        </w:rPr>
        <w:tab/>
        <w:t>Cluster analysis</w:t>
      </w:r>
      <w:bookmarkEnd w:id="92"/>
    </w:p>
    <w:p w:rsidR="005E6BFB" w:rsidRPr="005E6BFB" w:rsidRDefault="005E6BFB" w:rsidP="005E6BFB"/>
    <w:p w:rsidR="0030013D" w:rsidRDefault="00C83B22" w:rsidP="005E6BFB">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In order to provide evidence on the patterns of income smoothing within a group of countries with similar institutional characteristics, it is necessary to perform a </w:t>
      </w:r>
      <w:r w:rsidRPr="00E43F61">
        <w:rPr>
          <w:rFonts w:ascii="Times New Roman" w:hAnsi="Times New Roman" w:cs="Times New Roman"/>
          <w:i/>
          <w:sz w:val="24"/>
          <w:szCs w:val="24"/>
        </w:rPr>
        <w:t>k-means cluster analysis</w:t>
      </w:r>
      <w:r>
        <w:rPr>
          <w:rFonts w:ascii="Times New Roman" w:hAnsi="Times New Roman" w:cs="Times New Roman"/>
          <w:sz w:val="24"/>
          <w:szCs w:val="24"/>
        </w:rPr>
        <w:t xml:space="preserve">. By dividing the countries in three clusters based on </w:t>
      </w:r>
      <w:r w:rsidR="00E43F61">
        <w:rPr>
          <w:rFonts w:ascii="Times New Roman" w:hAnsi="Times New Roman" w:cs="Times New Roman"/>
          <w:sz w:val="24"/>
          <w:szCs w:val="24"/>
        </w:rPr>
        <w:t xml:space="preserve">the level of </w:t>
      </w:r>
      <w:r>
        <w:rPr>
          <w:rFonts w:ascii="Times New Roman" w:hAnsi="Times New Roman" w:cs="Times New Roman"/>
          <w:sz w:val="24"/>
          <w:szCs w:val="24"/>
        </w:rPr>
        <w:t>investor protection</w:t>
      </w:r>
      <w:r w:rsidR="00804F7C">
        <w:rPr>
          <w:rFonts w:ascii="Times New Roman" w:hAnsi="Times New Roman" w:cs="Times New Roman"/>
          <w:sz w:val="24"/>
          <w:szCs w:val="24"/>
        </w:rPr>
        <w:t xml:space="preserve"> in each country, I will be able to </w:t>
      </w:r>
      <w:r w:rsidR="00E43F61">
        <w:rPr>
          <w:rFonts w:ascii="Times New Roman" w:hAnsi="Times New Roman" w:cs="Times New Roman"/>
          <w:sz w:val="24"/>
          <w:szCs w:val="24"/>
        </w:rPr>
        <w:t xml:space="preserve">determine whether income smoothing is more pervasive in high or low investor protection countries. The k-means cluster analysis is based on three investor protection variables from Djankov et al. (2008) which are: </w:t>
      </w:r>
      <w:r w:rsidR="00E43F61" w:rsidRPr="00E43F61">
        <w:rPr>
          <w:rFonts w:ascii="Times New Roman" w:hAnsi="Times New Roman" w:cs="Times New Roman"/>
          <w:i/>
          <w:sz w:val="24"/>
          <w:szCs w:val="24"/>
        </w:rPr>
        <w:t>ex ante private control of self-dealing</w:t>
      </w:r>
      <w:r w:rsidR="00E43F61">
        <w:rPr>
          <w:rFonts w:ascii="Times New Roman" w:hAnsi="Times New Roman" w:cs="Times New Roman"/>
          <w:sz w:val="24"/>
          <w:szCs w:val="24"/>
        </w:rPr>
        <w:t xml:space="preserve">, </w:t>
      </w:r>
      <w:r w:rsidR="00E43F61" w:rsidRPr="00E43F61">
        <w:rPr>
          <w:rFonts w:ascii="Times New Roman" w:hAnsi="Times New Roman" w:cs="Times New Roman"/>
          <w:i/>
          <w:sz w:val="24"/>
          <w:szCs w:val="24"/>
        </w:rPr>
        <w:t>ex post private control of self dealing</w:t>
      </w:r>
      <w:r w:rsidR="00E43F61">
        <w:rPr>
          <w:rFonts w:ascii="Times New Roman" w:hAnsi="Times New Roman" w:cs="Times New Roman"/>
          <w:sz w:val="24"/>
          <w:szCs w:val="24"/>
        </w:rPr>
        <w:t xml:space="preserve"> and the </w:t>
      </w:r>
      <w:r w:rsidR="00E43F61" w:rsidRPr="00E43F61">
        <w:rPr>
          <w:rFonts w:ascii="Times New Roman" w:hAnsi="Times New Roman" w:cs="Times New Roman"/>
          <w:i/>
          <w:sz w:val="24"/>
          <w:szCs w:val="24"/>
        </w:rPr>
        <w:t>public enforcement index</w:t>
      </w:r>
      <w:r w:rsidR="00E43F61">
        <w:rPr>
          <w:rFonts w:ascii="Times New Roman" w:hAnsi="Times New Roman" w:cs="Times New Roman"/>
          <w:sz w:val="24"/>
          <w:szCs w:val="24"/>
        </w:rPr>
        <w:t>.</w:t>
      </w:r>
      <w:r w:rsidR="00AD476D">
        <w:rPr>
          <w:rFonts w:ascii="Times New Roman" w:hAnsi="Times New Roman" w:cs="Times New Roman"/>
          <w:sz w:val="24"/>
          <w:szCs w:val="24"/>
        </w:rPr>
        <w:t xml:space="preserve"> In order to get a good grasp of these variables I will elaborate more on them. </w:t>
      </w:r>
    </w:p>
    <w:p w:rsidR="00CC10E3" w:rsidRDefault="00CC10E3" w:rsidP="00CC10E3">
      <w:pPr>
        <w:pStyle w:val="BodyText"/>
        <w:spacing w:line="360" w:lineRule="auto"/>
        <w:contextualSpacing/>
        <w:rPr>
          <w:rFonts w:ascii="Times New Roman" w:hAnsi="Times New Roman" w:cs="Times New Roman"/>
          <w:sz w:val="24"/>
          <w:szCs w:val="24"/>
        </w:rPr>
      </w:pPr>
    </w:p>
    <w:p w:rsidR="006F2A1A" w:rsidRDefault="006F2A1A" w:rsidP="00CC10E3">
      <w:pPr>
        <w:pStyle w:val="BodyText"/>
        <w:spacing w:line="360" w:lineRule="auto"/>
        <w:contextualSpacing/>
        <w:rPr>
          <w:rFonts w:ascii="Times New Roman" w:hAnsi="Times New Roman" w:cs="Times New Roman"/>
          <w:i/>
          <w:sz w:val="24"/>
          <w:szCs w:val="24"/>
        </w:rPr>
      </w:pPr>
      <w:r w:rsidRPr="006F489C">
        <w:rPr>
          <w:rFonts w:ascii="Times New Roman" w:hAnsi="Times New Roman" w:cs="Times New Roman"/>
          <w:i/>
          <w:sz w:val="24"/>
          <w:szCs w:val="24"/>
        </w:rPr>
        <w:t xml:space="preserve">Table </w:t>
      </w:r>
      <w:r w:rsidR="00D460E8">
        <w:rPr>
          <w:rFonts w:ascii="Times New Roman" w:hAnsi="Times New Roman" w:cs="Times New Roman"/>
          <w:i/>
          <w:sz w:val="24"/>
          <w:szCs w:val="24"/>
        </w:rPr>
        <w:t>4</w:t>
      </w:r>
      <w:r w:rsidR="00D460E8">
        <w:rPr>
          <w:rFonts w:ascii="Times New Roman" w:hAnsi="Times New Roman" w:cs="Times New Roman"/>
          <w:i/>
          <w:sz w:val="24"/>
          <w:szCs w:val="24"/>
        </w:rPr>
        <w:tab/>
      </w:r>
      <w:r w:rsidRPr="006F489C">
        <w:rPr>
          <w:rFonts w:ascii="Times New Roman" w:hAnsi="Times New Roman" w:cs="Times New Roman"/>
          <w:i/>
          <w:sz w:val="24"/>
          <w:szCs w:val="24"/>
        </w:rPr>
        <w:t xml:space="preserve"> Investor protection variables</w:t>
      </w:r>
    </w:p>
    <w:p w:rsidR="009E3365" w:rsidRDefault="004702E0"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18"/>
          <w:szCs w:val="18"/>
        </w:rPr>
        <w:t>The anti-self dealing index is the average of ex ante and ex post private control of self-dealing</w:t>
      </w:r>
    </w:p>
    <w:tbl>
      <w:tblPr>
        <w:tblStyle w:val="MediumShading1-Accent11"/>
        <w:tblW w:w="7917" w:type="dxa"/>
        <w:tblLook w:val="04A0"/>
      </w:tblPr>
      <w:tblGrid>
        <w:gridCol w:w="1739"/>
        <w:gridCol w:w="1720"/>
        <w:gridCol w:w="1720"/>
        <w:gridCol w:w="1420"/>
        <w:gridCol w:w="1318"/>
      </w:tblGrid>
      <w:tr w:rsidR="00A074C2" w:rsidRPr="00C94C8E" w:rsidTr="0024508E">
        <w:trPr>
          <w:cnfStyle w:val="100000000000"/>
          <w:trHeight w:val="720"/>
        </w:trPr>
        <w:tc>
          <w:tcPr>
            <w:cnfStyle w:val="001000000000"/>
            <w:tcW w:w="1739" w:type="dxa"/>
            <w:noWrap/>
            <w:hideMark/>
          </w:tcPr>
          <w:p w:rsidR="00A074C2" w:rsidRPr="006911DA" w:rsidRDefault="00A074C2" w:rsidP="00CC10E3">
            <w:pPr>
              <w:spacing w:line="360" w:lineRule="auto"/>
              <w:contextualSpacing/>
              <w:rPr>
                <w:rFonts w:ascii="Times New Roman" w:hAnsi="Times New Roman" w:cs="Times New Roman"/>
                <w:b w:val="0"/>
                <w:bCs w:val="0"/>
                <w:color w:val="000000"/>
              </w:rPr>
            </w:pPr>
            <w:r w:rsidRPr="006911DA">
              <w:rPr>
                <w:rFonts w:ascii="Times New Roman" w:hAnsi="Times New Roman" w:cs="Times New Roman"/>
                <w:b w:val="0"/>
                <w:bCs w:val="0"/>
                <w:color w:val="000000"/>
              </w:rPr>
              <w:t>Country</w:t>
            </w:r>
          </w:p>
        </w:tc>
        <w:tc>
          <w:tcPr>
            <w:tcW w:w="1720" w:type="dxa"/>
            <w:noWrap/>
            <w:hideMark/>
          </w:tcPr>
          <w:p w:rsidR="00A074C2" w:rsidRPr="006911DA" w:rsidRDefault="00A074C2" w:rsidP="006D0F4C">
            <w:pPr>
              <w:spacing w:line="360" w:lineRule="auto"/>
              <w:contextualSpacing/>
              <w:jc w:val="left"/>
              <w:cnfStyle w:val="100000000000"/>
              <w:rPr>
                <w:rFonts w:ascii="Times New Roman" w:hAnsi="Times New Roman" w:cs="Times New Roman"/>
                <w:b w:val="0"/>
                <w:bCs w:val="0"/>
                <w:color w:val="000000"/>
              </w:rPr>
            </w:pPr>
            <w:r w:rsidRPr="006911DA">
              <w:rPr>
                <w:rFonts w:ascii="Times New Roman" w:hAnsi="Times New Roman" w:cs="Times New Roman"/>
                <w:b w:val="0"/>
                <w:bCs w:val="0"/>
                <w:color w:val="000000"/>
              </w:rPr>
              <w:t>Ex-ante private control of self-dealing</w:t>
            </w:r>
          </w:p>
        </w:tc>
        <w:tc>
          <w:tcPr>
            <w:tcW w:w="1720" w:type="dxa"/>
            <w:noWrap/>
            <w:hideMark/>
          </w:tcPr>
          <w:p w:rsidR="00A074C2" w:rsidRPr="006911DA" w:rsidRDefault="00A074C2" w:rsidP="006D0F4C">
            <w:pPr>
              <w:spacing w:line="360" w:lineRule="auto"/>
              <w:contextualSpacing/>
              <w:jc w:val="left"/>
              <w:cnfStyle w:val="100000000000"/>
              <w:rPr>
                <w:rFonts w:ascii="Times New Roman" w:hAnsi="Times New Roman" w:cs="Times New Roman"/>
                <w:b w:val="0"/>
                <w:bCs w:val="0"/>
                <w:color w:val="000000"/>
              </w:rPr>
            </w:pPr>
            <w:r w:rsidRPr="006911DA">
              <w:rPr>
                <w:rFonts w:ascii="Times New Roman" w:hAnsi="Times New Roman" w:cs="Times New Roman"/>
                <w:b w:val="0"/>
                <w:bCs w:val="0"/>
                <w:color w:val="000000"/>
              </w:rPr>
              <w:t>Ex-post private control of self dealing</w:t>
            </w:r>
          </w:p>
        </w:tc>
        <w:tc>
          <w:tcPr>
            <w:tcW w:w="1420" w:type="dxa"/>
            <w:noWrap/>
            <w:hideMark/>
          </w:tcPr>
          <w:p w:rsidR="00A074C2" w:rsidRPr="006911DA" w:rsidRDefault="00A074C2" w:rsidP="006D0F4C">
            <w:pPr>
              <w:spacing w:line="360" w:lineRule="auto"/>
              <w:contextualSpacing/>
              <w:jc w:val="left"/>
              <w:cnfStyle w:val="100000000000"/>
              <w:rPr>
                <w:rFonts w:ascii="Times New Roman" w:hAnsi="Times New Roman" w:cs="Times New Roman"/>
                <w:b w:val="0"/>
                <w:bCs w:val="0"/>
                <w:color w:val="000000"/>
              </w:rPr>
            </w:pPr>
            <w:r w:rsidRPr="006911DA">
              <w:rPr>
                <w:rFonts w:ascii="Times New Roman" w:hAnsi="Times New Roman" w:cs="Times New Roman"/>
                <w:b w:val="0"/>
                <w:bCs w:val="0"/>
                <w:color w:val="000000"/>
              </w:rPr>
              <w:t>Anti-self-dealing index</w:t>
            </w:r>
          </w:p>
        </w:tc>
        <w:tc>
          <w:tcPr>
            <w:tcW w:w="1318" w:type="dxa"/>
            <w:noWrap/>
            <w:hideMark/>
          </w:tcPr>
          <w:p w:rsidR="00A074C2" w:rsidRPr="006911DA" w:rsidRDefault="00A074C2" w:rsidP="006D0F4C">
            <w:pPr>
              <w:spacing w:line="360" w:lineRule="auto"/>
              <w:contextualSpacing/>
              <w:jc w:val="left"/>
              <w:cnfStyle w:val="100000000000"/>
              <w:rPr>
                <w:rFonts w:ascii="Times New Roman" w:hAnsi="Times New Roman" w:cs="Times New Roman"/>
                <w:b w:val="0"/>
                <w:bCs w:val="0"/>
                <w:color w:val="000000"/>
              </w:rPr>
            </w:pPr>
            <w:r w:rsidRPr="006911DA">
              <w:rPr>
                <w:rFonts w:ascii="Times New Roman" w:hAnsi="Times New Roman" w:cs="Times New Roman"/>
                <w:b w:val="0"/>
                <w:bCs w:val="0"/>
                <w:color w:val="000000"/>
              </w:rPr>
              <w:t>Public enforcement</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Austria</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0.42</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0.21</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Greece</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0.08</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0.37</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0.23</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Korea</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0.25</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0.67</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0.46</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Portugal</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0.22</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0.75</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0.49</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Italy</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0.08</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0.69</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0.39</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0.25</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Taiwan</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0.42</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0.70</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0.56</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Switzerland</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0.08</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0.45</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0.27</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Singapore</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Germany</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0.14</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0.42</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0.28</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Japan</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0.22</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0.74</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0.48</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Belgium</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0.39</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0.69</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0.54</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Hong Kong</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0.93</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0.96</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lastRenderedPageBreak/>
              <w:t>India</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0.33</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0.76</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0.55</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Spain</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0.22</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0.52</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0.37</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0.75</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Indonesia</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0.81</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0.56</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0.68</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Thailand</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0.70</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0.85</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Pakistan</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0.17</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0.65</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0.41</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0.75</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Netherlands</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0.06</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0.36</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0.21</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Denmark</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0.25</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0.68</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0.47</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0.75</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Malaysia</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0.90</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0.95</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France</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0.08</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0.68</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0.38</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Finland</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0.14</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0.78</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0.46</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Philippines</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0.06</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0.42</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0.24</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United Kingdom</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0.85</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0.93</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Sweden</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0.17</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0.51</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0.34</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Norway</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0.42</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0.45</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0.44</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South Africa</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1.00</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0.63</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0.81</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Canada</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0.33</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0.97</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0.65</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1.00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Ireland</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0.78</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0.80</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0.79</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r>
      <w:tr w:rsidR="00A074C2" w:rsidRPr="00C94C8E" w:rsidTr="0024508E">
        <w:trPr>
          <w:cnfStyle w:val="00000001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Australia</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0.89</w:t>
            </w:r>
          </w:p>
        </w:tc>
        <w:tc>
          <w:tcPr>
            <w:tcW w:w="17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0.69</w:t>
            </w:r>
          </w:p>
        </w:tc>
        <w:tc>
          <w:tcPr>
            <w:tcW w:w="1420"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0.79</w:t>
            </w:r>
          </w:p>
        </w:tc>
        <w:tc>
          <w:tcPr>
            <w:tcW w:w="1318" w:type="dxa"/>
            <w:noWrap/>
            <w:hideMark/>
          </w:tcPr>
          <w:p w:rsidR="00A074C2" w:rsidRPr="006911DA" w:rsidRDefault="00A074C2" w:rsidP="006D0F4C">
            <w:pPr>
              <w:spacing w:line="360" w:lineRule="auto"/>
              <w:contextualSpacing/>
              <w:jc w:val="left"/>
              <w:cnfStyle w:val="000000010000"/>
              <w:rPr>
                <w:rFonts w:ascii="Times New Roman" w:hAnsi="Times New Roman" w:cs="Times New Roman"/>
                <w:color w:val="000000"/>
              </w:rPr>
            </w:pPr>
            <w:r w:rsidRPr="006911DA">
              <w:rPr>
                <w:rFonts w:ascii="Times New Roman" w:hAnsi="Times New Roman" w:cs="Times New Roman"/>
                <w:color w:val="000000"/>
              </w:rPr>
              <w:t>0.50</w:t>
            </w:r>
          </w:p>
        </w:tc>
      </w:tr>
      <w:tr w:rsidR="00A074C2" w:rsidRPr="00C94C8E" w:rsidTr="0024508E">
        <w:trPr>
          <w:cnfStyle w:val="000000100000"/>
          <w:trHeight w:val="300"/>
        </w:trPr>
        <w:tc>
          <w:tcPr>
            <w:cnfStyle w:val="001000000000"/>
            <w:tcW w:w="1739" w:type="dxa"/>
            <w:noWrap/>
            <w:hideMark/>
          </w:tcPr>
          <w:p w:rsidR="00A074C2" w:rsidRPr="00A97063" w:rsidRDefault="00A074C2" w:rsidP="00CC10E3">
            <w:pPr>
              <w:spacing w:line="360" w:lineRule="auto"/>
              <w:contextualSpacing/>
              <w:rPr>
                <w:rFonts w:ascii="Times New Roman" w:hAnsi="Times New Roman" w:cs="Times New Roman"/>
                <w:b w:val="0"/>
                <w:color w:val="000000"/>
              </w:rPr>
            </w:pPr>
            <w:r w:rsidRPr="00A97063">
              <w:rPr>
                <w:rFonts w:ascii="Times New Roman" w:hAnsi="Times New Roman" w:cs="Times New Roman"/>
                <w:b w:val="0"/>
                <w:color w:val="000000"/>
              </w:rPr>
              <w:t>United States</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0.33</w:t>
            </w:r>
          </w:p>
        </w:tc>
        <w:tc>
          <w:tcPr>
            <w:tcW w:w="17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0.97</w:t>
            </w:r>
          </w:p>
        </w:tc>
        <w:tc>
          <w:tcPr>
            <w:tcW w:w="1420"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0.65</w:t>
            </w:r>
          </w:p>
        </w:tc>
        <w:tc>
          <w:tcPr>
            <w:tcW w:w="1318" w:type="dxa"/>
            <w:noWrap/>
            <w:hideMark/>
          </w:tcPr>
          <w:p w:rsidR="00A074C2" w:rsidRPr="006911DA" w:rsidRDefault="00A074C2" w:rsidP="006D0F4C">
            <w:pPr>
              <w:spacing w:line="360" w:lineRule="auto"/>
              <w:contextualSpacing/>
              <w:jc w:val="left"/>
              <w:cnfStyle w:val="000000100000"/>
              <w:rPr>
                <w:rFonts w:ascii="Times New Roman" w:hAnsi="Times New Roman" w:cs="Times New Roman"/>
                <w:color w:val="000000"/>
              </w:rPr>
            </w:pPr>
            <w:r w:rsidRPr="006911DA">
              <w:rPr>
                <w:rFonts w:ascii="Times New Roman" w:hAnsi="Times New Roman" w:cs="Times New Roman"/>
                <w:color w:val="000000"/>
              </w:rPr>
              <w:t>0.00</w:t>
            </w:r>
          </w:p>
        </w:tc>
      </w:tr>
    </w:tbl>
    <w:p w:rsidR="00266945" w:rsidRDefault="00266945" w:rsidP="00CC10E3">
      <w:pPr>
        <w:pStyle w:val="BodyText"/>
        <w:spacing w:line="360" w:lineRule="auto"/>
        <w:contextualSpacing/>
      </w:pPr>
    </w:p>
    <w:p w:rsidR="008A69E3" w:rsidRDefault="0011305B"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Self-dealing is often</w:t>
      </w:r>
      <w:r w:rsidR="00AD476D">
        <w:rPr>
          <w:rFonts w:ascii="Times New Roman" w:hAnsi="Times New Roman" w:cs="Times New Roman"/>
          <w:sz w:val="24"/>
          <w:szCs w:val="24"/>
        </w:rPr>
        <w:t xml:space="preserve"> referr</w:t>
      </w:r>
      <w:r w:rsidR="006B54FB">
        <w:rPr>
          <w:rFonts w:ascii="Times New Roman" w:hAnsi="Times New Roman" w:cs="Times New Roman"/>
          <w:sz w:val="24"/>
          <w:szCs w:val="24"/>
        </w:rPr>
        <w:t>ed to as investor expropriation;</w:t>
      </w:r>
      <w:r w:rsidR="00AD476D">
        <w:rPr>
          <w:rFonts w:ascii="Times New Roman" w:hAnsi="Times New Roman" w:cs="Times New Roman"/>
          <w:sz w:val="24"/>
          <w:szCs w:val="24"/>
        </w:rPr>
        <w:t xml:space="preserve"> </w:t>
      </w:r>
      <w:r w:rsidR="006B54FB">
        <w:rPr>
          <w:rFonts w:ascii="Times New Roman" w:hAnsi="Times New Roman" w:cs="Times New Roman"/>
          <w:sz w:val="24"/>
          <w:szCs w:val="24"/>
        </w:rPr>
        <w:t>t</w:t>
      </w:r>
      <w:r w:rsidR="00AD476D">
        <w:rPr>
          <w:rFonts w:ascii="Times New Roman" w:hAnsi="Times New Roman" w:cs="Times New Roman"/>
          <w:sz w:val="24"/>
          <w:szCs w:val="24"/>
        </w:rPr>
        <w:t xml:space="preserve">he individuals who control a corporation </w:t>
      </w:r>
      <w:r w:rsidR="006B54FB">
        <w:rPr>
          <w:rFonts w:ascii="Times New Roman" w:hAnsi="Times New Roman" w:cs="Times New Roman"/>
          <w:sz w:val="24"/>
          <w:szCs w:val="24"/>
        </w:rPr>
        <w:t>(managers</w:t>
      </w:r>
      <w:r w:rsidR="00AD476D">
        <w:rPr>
          <w:rFonts w:ascii="Times New Roman" w:hAnsi="Times New Roman" w:cs="Times New Roman"/>
          <w:sz w:val="24"/>
          <w:szCs w:val="24"/>
        </w:rPr>
        <w:t>, controlling shareholders</w:t>
      </w:r>
      <w:r w:rsidR="004B1A10">
        <w:rPr>
          <w:rFonts w:ascii="Times New Roman" w:hAnsi="Times New Roman" w:cs="Times New Roman"/>
          <w:sz w:val="24"/>
          <w:szCs w:val="24"/>
        </w:rPr>
        <w:t xml:space="preserve"> etc.</w:t>
      </w:r>
      <w:r w:rsidR="006B54FB">
        <w:rPr>
          <w:rFonts w:ascii="Times New Roman" w:hAnsi="Times New Roman" w:cs="Times New Roman"/>
          <w:sz w:val="24"/>
          <w:szCs w:val="24"/>
        </w:rPr>
        <w:t>)</w:t>
      </w:r>
      <w:r w:rsidR="00AD476D">
        <w:rPr>
          <w:rFonts w:ascii="Times New Roman" w:hAnsi="Times New Roman" w:cs="Times New Roman"/>
          <w:sz w:val="24"/>
          <w:szCs w:val="24"/>
        </w:rPr>
        <w:t xml:space="preserve"> </w:t>
      </w:r>
      <w:r w:rsidR="006B54FB">
        <w:rPr>
          <w:rFonts w:ascii="Times New Roman" w:hAnsi="Times New Roman" w:cs="Times New Roman"/>
          <w:sz w:val="24"/>
          <w:szCs w:val="24"/>
        </w:rPr>
        <w:t>are in the position to</w:t>
      </w:r>
      <w:r w:rsidR="00AD476D">
        <w:rPr>
          <w:rFonts w:ascii="Times New Roman" w:hAnsi="Times New Roman" w:cs="Times New Roman"/>
          <w:sz w:val="24"/>
          <w:szCs w:val="24"/>
        </w:rPr>
        <w:t xml:space="preserve"> use their power to </w:t>
      </w:r>
      <w:r w:rsidR="006B54FB">
        <w:rPr>
          <w:rFonts w:ascii="Times New Roman" w:hAnsi="Times New Roman" w:cs="Times New Roman"/>
          <w:sz w:val="24"/>
          <w:szCs w:val="24"/>
        </w:rPr>
        <w:t xml:space="preserve">benefit themselves instead of sharing corporate wealth with other investors. </w:t>
      </w:r>
      <w:r w:rsidR="00326534">
        <w:rPr>
          <w:rFonts w:ascii="Times New Roman" w:hAnsi="Times New Roman" w:cs="Times New Roman"/>
          <w:sz w:val="24"/>
          <w:szCs w:val="24"/>
        </w:rPr>
        <w:t xml:space="preserve">Such diversion of firm resources to their controllers is referred to in literature as ‘private benefits of control’. </w:t>
      </w:r>
      <w:r w:rsidR="0030013D">
        <w:rPr>
          <w:rFonts w:ascii="Times New Roman" w:hAnsi="Times New Roman" w:cs="Times New Roman"/>
          <w:sz w:val="24"/>
          <w:szCs w:val="24"/>
        </w:rPr>
        <w:t xml:space="preserve">The law plays a crucial role in controlling corporate self-dealing. There are various forms of self-dealing: excessive compensation, executive perquisites, transfer pricing, </w:t>
      </w:r>
      <w:r w:rsidR="00795D9E">
        <w:rPr>
          <w:rFonts w:ascii="Times New Roman" w:hAnsi="Times New Roman" w:cs="Times New Roman"/>
          <w:sz w:val="24"/>
          <w:szCs w:val="24"/>
        </w:rPr>
        <w:t>and appropriation</w:t>
      </w:r>
      <w:r w:rsidR="0030013D">
        <w:rPr>
          <w:rFonts w:ascii="Times New Roman" w:hAnsi="Times New Roman" w:cs="Times New Roman"/>
          <w:sz w:val="24"/>
          <w:szCs w:val="24"/>
        </w:rPr>
        <w:t xml:space="preserve"> of corporate opportunities and plain theft of corporate assets (Shleifer and Vishny, 1997). There are different ways to deal with corporate self-dealing. One extreme </w:t>
      </w:r>
      <w:r w:rsidR="00F50523">
        <w:rPr>
          <w:rFonts w:ascii="Times New Roman" w:hAnsi="Times New Roman" w:cs="Times New Roman"/>
          <w:sz w:val="24"/>
          <w:szCs w:val="24"/>
        </w:rPr>
        <w:t xml:space="preserve">solution </w:t>
      </w:r>
      <w:r w:rsidR="0030013D">
        <w:rPr>
          <w:rFonts w:ascii="Times New Roman" w:hAnsi="Times New Roman" w:cs="Times New Roman"/>
          <w:sz w:val="24"/>
          <w:szCs w:val="24"/>
        </w:rPr>
        <w:t xml:space="preserve">is to leave the problem to the market forces and hope that the problem will be sorted out. The other extreme </w:t>
      </w:r>
      <w:r w:rsidR="00F50523">
        <w:rPr>
          <w:rFonts w:ascii="Times New Roman" w:hAnsi="Times New Roman" w:cs="Times New Roman"/>
          <w:sz w:val="24"/>
          <w:szCs w:val="24"/>
        </w:rPr>
        <w:t xml:space="preserve">solution </w:t>
      </w:r>
      <w:r w:rsidR="0030013D">
        <w:rPr>
          <w:rFonts w:ascii="Times New Roman" w:hAnsi="Times New Roman" w:cs="Times New Roman"/>
          <w:sz w:val="24"/>
          <w:szCs w:val="24"/>
        </w:rPr>
        <w:t>is to prohibit all conflicted transactions. Both of these are not likely</w:t>
      </w:r>
      <w:r w:rsidR="00266945">
        <w:rPr>
          <w:rFonts w:ascii="Times New Roman" w:hAnsi="Times New Roman" w:cs="Times New Roman"/>
          <w:sz w:val="24"/>
          <w:szCs w:val="24"/>
        </w:rPr>
        <w:t xml:space="preserve"> to be implemented in societies, because of their extreme character.</w:t>
      </w:r>
      <w:r w:rsidR="0030013D">
        <w:rPr>
          <w:rFonts w:ascii="Times New Roman" w:hAnsi="Times New Roman" w:cs="Times New Roman"/>
          <w:sz w:val="24"/>
          <w:szCs w:val="24"/>
        </w:rPr>
        <w:t xml:space="preserve"> In between these two extreme</w:t>
      </w:r>
      <w:r w:rsidR="00365EC6">
        <w:rPr>
          <w:rFonts w:ascii="Times New Roman" w:hAnsi="Times New Roman" w:cs="Times New Roman"/>
          <w:sz w:val="24"/>
          <w:szCs w:val="24"/>
        </w:rPr>
        <w:t>s</w:t>
      </w:r>
      <w:r w:rsidR="0030013D">
        <w:rPr>
          <w:rFonts w:ascii="Times New Roman" w:hAnsi="Times New Roman" w:cs="Times New Roman"/>
          <w:sz w:val="24"/>
          <w:szCs w:val="24"/>
        </w:rPr>
        <w:t xml:space="preserve"> there are several options.</w:t>
      </w:r>
      <w:r w:rsidR="00365EC6">
        <w:rPr>
          <w:rFonts w:ascii="Times New Roman" w:hAnsi="Times New Roman" w:cs="Times New Roman"/>
          <w:sz w:val="24"/>
          <w:szCs w:val="24"/>
        </w:rPr>
        <w:t xml:space="preserve"> One of them is to facilitate priva</w:t>
      </w:r>
      <w:r w:rsidR="000062E9">
        <w:rPr>
          <w:rFonts w:ascii="Times New Roman" w:hAnsi="Times New Roman" w:cs="Times New Roman"/>
          <w:sz w:val="24"/>
          <w:szCs w:val="24"/>
        </w:rPr>
        <w:t xml:space="preserve">te enforcement of good behavior which basically focuses on extensive disclosure, </w:t>
      </w:r>
      <w:r w:rsidR="009C134E">
        <w:rPr>
          <w:rFonts w:ascii="Times New Roman" w:hAnsi="Times New Roman" w:cs="Times New Roman"/>
          <w:sz w:val="24"/>
          <w:szCs w:val="24"/>
        </w:rPr>
        <w:t>approval procedures</w:t>
      </w:r>
      <w:r w:rsidR="000062E9">
        <w:rPr>
          <w:rFonts w:ascii="Times New Roman" w:hAnsi="Times New Roman" w:cs="Times New Roman"/>
          <w:sz w:val="24"/>
          <w:szCs w:val="24"/>
        </w:rPr>
        <w:t xml:space="preserve"> for transactions and facilitation of private litigation when self-dealing is suspected.</w:t>
      </w:r>
      <w:r w:rsidR="009C134E">
        <w:rPr>
          <w:rFonts w:ascii="Times New Roman" w:hAnsi="Times New Roman" w:cs="Times New Roman"/>
          <w:sz w:val="24"/>
          <w:szCs w:val="24"/>
        </w:rPr>
        <w:t xml:space="preserve"> Society can also use the approach in which it relies on public enforcement which </w:t>
      </w:r>
      <w:r w:rsidR="00795D9E">
        <w:rPr>
          <w:rFonts w:ascii="Times New Roman" w:hAnsi="Times New Roman" w:cs="Times New Roman"/>
          <w:sz w:val="24"/>
          <w:szCs w:val="24"/>
        </w:rPr>
        <w:t>discourages wrongdoing through sanctions such as</w:t>
      </w:r>
      <w:r w:rsidR="009C134E">
        <w:rPr>
          <w:rFonts w:ascii="Times New Roman" w:hAnsi="Times New Roman" w:cs="Times New Roman"/>
          <w:sz w:val="24"/>
          <w:szCs w:val="24"/>
        </w:rPr>
        <w:t xml:space="preserve"> fines and prison </w:t>
      </w:r>
      <w:r w:rsidR="009C134E">
        <w:rPr>
          <w:rFonts w:ascii="Times New Roman" w:hAnsi="Times New Roman" w:cs="Times New Roman"/>
          <w:sz w:val="24"/>
          <w:szCs w:val="24"/>
        </w:rPr>
        <w:lastRenderedPageBreak/>
        <w:t xml:space="preserve">terms </w:t>
      </w:r>
      <w:r w:rsidR="00795D9E">
        <w:rPr>
          <w:rFonts w:ascii="Times New Roman" w:hAnsi="Times New Roman" w:cs="Times New Roman"/>
          <w:sz w:val="24"/>
          <w:szCs w:val="24"/>
        </w:rPr>
        <w:t>for the controlling shareholder(s).</w:t>
      </w:r>
      <w:r w:rsidR="009C134E">
        <w:rPr>
          <w:rFonts w:ascii="Times New Roman" w:hAnsi="Times New Roman" w:cs="Times New Roman"/>
          <w:sz w:val="24"/>
          <w:szCs w:val="24"/>
        </w:rPr>
        <w:t xml:space="preserve"> (Djankov et al. 2008)</w:t>
      </w:r>
      <w:r w:rsidR="00AC650B">
        <w:rPr>
          <w:rFonts w:ascii="Times New Roman" w:hAnsi="Times New Roman" w:cs="Times New Roman"/>
          <w:sz w:val="24"/>
          <w:szCs w:val="24"/>
        </w:rPr>
        <w:t xml:space="preserve">. The </w:t>
      </w:r>
      <w:r w:rsidR="00AC650B">
        <w:rPr>
          <w:rFonts w:ascii="Times New Roman" w:hAnsi="Times New Roman" w:cs="Times New Roman"/>
          <w:i/>
          <w:sz w:val="24"/>
          <w:szCs w:val="24"/>
        </w:rPr>
        <w:t xml:space="preserve">anti-self-dealing index </w:t>
      </w:r>
      <w:r w:rsidR="00F50523">
        <w:rPr>
          <w:rFonts w:ascii="Times New Roman" w:hAnsi="Times New Roman" w:cs="Times New Roman"/>
          <w:sz w:val="24"/>
          <w:szCs w:val="24"/>
        </w:rPr>
        <w:t xml:space="preserve">(average of the </w:t>
      </w:r>
      <w:r w:rsidR="00F50523">
        <w:rPr>
          <w:rFonts w:ascii="Times New Roman" w:hAnsi="Times New Roman" w:cs="Times New Roman"/>
          <w:i/>
          <w:sz w:val="24"/>
          <w:szCs w:val="24"/>
        </w:rPr>
        <w:t xml:space="preserve">ex ante </w:t>
      </w:r>
      <w:r w:rsidR="00F50523">
        <w:rPr>
          <w:rFonts w:ascii="Times New Roman" w:hAnsi="Times New Roman" w:cs="Times New Roman"/>
          <w:sz w:val="24"/>
          <w:szCs w:val="24"/>
        </w:rPr>
        <w:t xml:space="preserve">and </w:t>
      </w:r>
      <w:r w:rsidR="00F50523">
        <w:rPr>
          <w:rFonts w:ascii="Times New Roman" w:hAnsi="Times New Roman" w:cs="Times New Roman"/>
          <w:i/>
          <w:sz w:val="24"/>
          <w:szCs w:val="24"/>
        </w:rPr>
        <w:t xml:space="preserve">ex post private control of self-dealing </w:t>
      </w:r>
      <w:r w:rsidR="00F50523">
        <w:rPr>
          <w:rFonts w:ascii="Times New Roman" w:hAnsi="Times New Roman" w:cs="Times New Roman"/>
          <w:sz w:val="24"/>
          <w:szCs w:val="24"/>
        </w:rPr>
        <w:t>indexes</w:t>
      </w:r>
      <w:r w:rsidR="00F50523">
        <w:rPr>
          <w:rFonts w:ascii="Times New Roman" w:hAnsi="Times New Roman" w:cs="Times New Roman"/>
          <w:i/>
          <w:sz w:val="24"/>
          <w:szCs w:val="24"/>
        </w:rPr>
        <w:t xml:space="preserve">) </w:t>
      </w:r>
      <w:r w:rsidR="00AC650B">
        <w:rPr>
          <w:rFonts w:ascii="Times New Roman" w:hAnsi="Times New Roman" w:cs="Times New Roman"/>
          <w:sz w:val="24"/>
          <w:szCs w:val="24"/>
        </w:rPr>
        <w:t>measures the obstacles that the controlling shareholder must overcome in order to increase his own benefits. A higher ant</w:t>
      </w:r>
      <w:r w:rsidR="00C0242C">
        <w:rPr>
          <w:rFonts w:ascii="Times New Roman" w:hAnsi="Times New Roman" w:cs="Times New Roman"/>
          <w:sz w:val="24"/>
          <w:szCs w:val="24"/>
        </w:rPr>
        <w:t>i</w:t>
      </w:r>
      <w:r w:rsidR="00AC650B">
        <w:rPr>
          <w:rFonts w:ascii="Times New Roman" w:hAnsi="Times New Roman" w:cs="Times New Roman"/>
          <w:sz w:val="24"/>
          <w:szCs w:val="24"/>
        </w:rPr>
        <w:t>-self-dealing index means that mor</w:t>
      </w:r>
      <w:r w:rsidR="00C0242C">
        <w:rPr>
          <w:rFonts w:ascii="Times New Roman" w:hAnsi="Times New Roman" w:cs="Times New Roman"/>
          <w:sz w:val="24"/>
          <w:szCs w:val="24"/>
        </w:rPr>
        <w:t>e obstacles need to be overcome, so it is more difficult for controlling shareholders or managers to serve their own benefits.</w:t>
      </w:r>
    </w:p>
    <w:p w:rsidR="00540A81" w:rsidRDefault="00795F1F"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Transactions involving conflicts of interest can be regulated by the law in such a way that the terms and conditions are similar to the ones that would exist in an arm’s length transaction. The law can also facilitate expropriated minority shareholders who are seeking remedy through the courts or via fines and criminal sanctions on the ones who expropriated them. </w:t>
      </w:r>
    </w:p>
    <w:p w:rsidR="004542DF" w:rsidRDefault="00540A81"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After having performed the cluster analysis based on the three investor protection variables 3 clusters appeared. </w:t>
      </w:r>
      <w:r w:rsidR="008A69E3">
        <w:rPr>
          <w:rFonts w:ascii="Times New Roman" w:hAnsi="Times New Roman" w:cs="Times New Roman"/>
          <w:sz w:val="24"/>
          <w:szCs w:val="24"/>
        </w:rPr>
        <w:t xml:space="preserve">Table </w:t>
      </w:r>
      <w:r w:rsidR="00D460E8">
        <w:rPr>
          <w:rFonts w:ascii="Times New Roman" w:hAnsi="Times New Roman" w:cs="Times New Roman"/>
          <w:sz w:val="24"/>
          <w:szCs w:val="24"/>
        </w:rPr>
        <w:t>5</w:t>
      </w:r>
      <w:r w:rsidR="00A94950">
        <w:rPr>
          <w:rFonts w:ascii="Times New Roman" w:hAnsi="Times New Roman" w:cs="Times New Roman"/>
          <w:sz w:val="24"/>
          <w:szCs w:val="24"/>
        </w:rPr>
        <w:t>.1</w:t>
      </w:r>
      <w:r w:rsidR="008A69E3">
        <w:rPr>
          <w:rFonts w:ascii="Times New Roman" w:hAnsi="Times New Roman" w:cs="Times New Roman"/>
          <w:sz w:val="24"/>
          <w:szCs w:val="24"/>
        </w:rPr>
        <w:t xml:space="preserve"> shows the</w:t>
      </w:r>
      <w:r>
        <w:rPr>
          <w:rFonts w:ascii="Times New Roman" w:hAnsi="Times New Roman" w:cs="Times New Roman"/>
          <w:sz w:val="24"/>
          <w:szCs w:val="24"/>
        </w:rPr>
        <w:t>se</w:t>
      </w:r>
      <w:r w:rsidR="008A69E3">
        <w:rPr>
          <w:rFonts w:ascii="Times New Roman" w:hAnsi="Times New Roman" w:cs="Times New Roman"/>
          <w:sz w:val="24"/>
          <w:szCs w:val="24"/>
        </w:rPr>
        <w:t xml:space="preserve"> three clusters. The first cluster is defined by a high ex ante private control of self-dealing index. </w:t>
      </w:r>
      <w:r w:rsidR="0047416B">
        <w:rPr>
          <w:rFonts w:ascii="Times New Roman" w:hAnsi="Times New Roman" w:cs="Times New Roman"/>
          <w:sz w:val="24"/>
          <w:szCs w:val="24"/>
        </w:rPr>
        <w:t>This means that several disclosures have to be made by all parties in a transaction and that the transaction must be approved by disinterested shareholders.</w:t>
      </w:r>
      <w:r w:rsidR="00EE17C2">
        <w:rPr>
          <w:rFonts w:ascii="Times New Roman" w:hAnsi="Times New Roman" w:cs="Times New Roman"/>
          <w:sz w:val="24"/>
          <w:szCs w:val="24"/>
        </w:rPr>
        <w:t xml:space="preserve"> The ex post private control of self-dealing index is also fairly high for this cluster, which shows that the countries in cluster 1 empower shareholders to sue the parties in a transaction for damages. Shareholders </w:t>
      </w:r>
      <w:r w:rsidR="00BC377B">
        <w:rPr>
          <w:rFonts w:ascii="Times New Roman" w:hAnsi="Times New Roman" w:cs="Times New Roman"/>
          <w:sz w:val="24"/>
          <w:szCs w:val="24"/>
        </w:rPr>
        <w:t xml:space="preserve">are </w:t>
      </w:r>
      <w:r w:rsidR="00EE17C2">
        <w:rPr>
          <w:rFonts w:ascii="Times New Roman" w:hAnsi="Times New Roman" w:cs="Times New Roman"/>
          <w:sz w:val="24"/>
          <w:szCs w:val="24"/>
        </w:rPr>
        <w:t xml:space="preserve">also facilitated in proving wrongdoing. </w:t>
      </w:r>
      <w:r w:rsidR="008E7769">
        <w:rPr>
          <w:rFonts w:ascii="Times New Roman" w:hAnsi="Times New Roman" w:cs="Times New Roman"/>
          <w:sz w:val="24"/>
          <w:szCs w:val="24"/>
        </w:rPr>
        <w:t xml:space="preserve">Countries in cluster 1 score high on public enforcement; shareholders can seek justice through fines and jail sentences against expropriators. </w:t>
      </w:r>
      <w:r w:rsidR="005F3E47">
        <w:rPr>
          <w:rFonts w:ascii="Times New Roman" w:hAnsi="Times New Roman" w:cs="Times New Roman"/>
          <w:sz w:val="24"/>
          <w:szCs w:val="24"/>
        </w:rPr>
        <w:t xml:space="preserve">So, the countries in cluster 1 can be referred to as high investor protection countries. </w:t>
      </w:r>
      <w:r w:rsidR="00EE17C2">
        <w:rPr>
          <w:rFonts w:ascii="Times New Roman" w:hAnsi="Times New Roman" w:cs="Times New Roman"/>
          <w:sz w:val="24"/>
          <w:szCs w:val="24"/>
        </w:rPr>
        <w:t>T</w:t>
      </w:r>
      <w:r w:rsidR="00660C96">
        <w:rPr>
          <w:rFonts w:ascii="Times New Roman" w:hAnsi="Times New Roman" w:cs="Times New Roman"/>
          <w:sz w:val="24"/>
          <w:szCs w:val="24"/>
        </w:rPr>
        <w:t>he second cluster is characterized by</w:t>
      </w:r>
      <w:r w:rsidR="001E5873">
        <w:rPr>
          <w:rFonts w:ascii="Times New Roman" w:hAnsi="Times New Roman" w:cs="Times New Roman"/>
          <w:sz w:val="24"/>
          <w:szCs w:val="24"/>
        </w:rPr>
        <w:t xml:space="preserve"> rather low indices of ex ante private control of self-dealing and medium to high indices of ex post private control of self-dealing. </w:t>
      </w:r>
      <w:r w:rsidR="005F3E47">
        <w:rPr>
          <w:rFonts w:ascii="Times New Roman" w:hAnsi="Times New Roman" w:cs="Times New Roman"/>
          <w:sz w:val="24"/>
          <w:szCs w:val="24"/>
        </w:rPr>
        <w:t xml:space="preserve">The </w:t>
      </w:r>
      <w:r w:rsidR="004D4BF4">
        <w:rPr>
          <w:rFonts w:ascii="Times New Roman" w:hAnsi="Times New Roman" w:cs="Times New Roman"/>
          <w:sz w:val="24"/>
          <w:szCs w:val="24"/>
        </w:rPr>
        <w:t>economies</w:t>
      </w:r>
      <w:r w:rsidR="005F3E47">
        <w:rPr>
          <w:rFonts w:ascii="Times New Roman" w:hAnsi="Times New Roman" w:cs="Times New Roman"/>
          <w:sz w:val="24"/>
          <w:szCs w:val="24"/>
        </w:rPr>
        <w:t xml:space="preserve"> in cluster 2 can be identified as medium investor protection countries.</w:t>
      </w:r>
      <w:r w:rsidR="004D4BF4">
        <w:rPr>
          <w:rFonts w:ascii="Times New Roman" w:hAnsi="Times New Roman" w:cs="Times New Roman"/>
          <w:sz w:val="24"/>
          <w:szCs w:val="24"/>
        </w:rPr>
        <w:t xml:space="preserve"> The third cluster consists of countries with low to medium indices of both ex ante private control of self-dealing and ex post private control of self-dealing. The public enforcement index however, is very low for these countries. Therefore this cluster consists of the low investor protection countries.</w:t>
      </w:r>
      <w:r w:rsidR="00BE206B" w:rsidRPr="00BE206B">
        <w:rPr>
          <w:rFonts w:ascii="Times New Roman" w:hAnsi="Times New Roman" w:cs="Times New Roman"/>
          <w:sz w:val="24"/>
          <w:szCs w:val="24"/>
        </w:rPr>
        <w:t xml:space="preserve"> </w:t>
      </w:r>
      <w:r w:rsidR="004542DF">
        <w:rPr>
          <w:rFonts w:ascii="Times New Roman" w:hAnsi="Times New Roman" w:cs="Times New Roman"/>
          <w:sz w:val="24"/>
          <w:szCs w:val="24"/>
        </w:rPr>
        <w:t xml:space="preserve">It seems that cluster 2 lies in between the high and low investor protection countries respectively cluster 1 and cluster 3. But when looking at the Euclidean distances it </w:t>
      </w:r>
      <w:r w:rsidR="00B64D3B">
        <w:rPr>
          <w:rFonts w:ascii="Times New Roman" w:hAnsi="Times New Roman" w:cs="Times New Roman"/>
          <w:sz w:val="24"/>
          <w:szCs w:val="24"/>
        </w:rPr>
        <w:t xml:space="preserve">becomes clear </w:t>
      </w:r>
      <w:r w:rsidR="004542DF">
        <w:rPr>
          <w:rFonts w:ascii="Times New Roman" w:hAnsi="Times New Roman" w:cs="Times New Roman"/>
          <w:sz w:val="24"/>
          <w:szCs w:val="24"/>
        </w:rPr>
        <w:t>that cluster 1 and 2 are slightly closer to each other than cluster 2 and 3.</w:t>
      </w:r>
    </w:p>
    <w:p w:rsidR="00A94950" w:rsidRDefault="00A94950" w:rsidP="00CC10E3">
      <w:pPr>
        <w:pStyle w:val="BodyText"/>
        <w:spacing w:line="360" w:lineRule="auto"/>
        <w:contextualSpacing/>
        <w:rPr>
          <w:rFonts w:ascii="Times New Roman" w:hAnsi="Times New Roman" w:cs="Times New Roman"/>
          <w:sz w:val="24"/>
          <w:szCs w:val="24"/>
        </w:rPr>
      </w:pPr>
    </w:p>
    <w:p w:rsidR="00BE206B" w:rsidRDefault="00BE206B"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Table </w:t>
      </w:r>
      <w:r w:rsidR="00D460E8">
        <w:rPr>
          <w:rFonts w:ascii="Times New Roman" w:hAnsi="Times New Roman" w:cs="Times New Roman"/>
          <w:sz w:val="24"/>
          <w:szCs w:val="24"/>
        </w:rPr>
        <w:t>5</w:t>
      </w:r>
      <w:r w:rsidR="00A94950">
        <w:rPr>
          <w:rFonts w:ascii="Times New Roman" w:hAnsi="Times New Roman" w:cs="Times New Roman"/>
          <w:sz w:val="24"/>
          <w:szCs w:val="24"/>
        </w:rPr>
        <w:t>.</w:t>
      </w:r>
      <w:r w:rsidR="00641836">
        <w:rPr>
          <w:rFonts w:ascii="Times New Roman" w:hAnsi="Times New Roman" w:cs="Times New Roman"/>
          <w:sz w:val="24"/>
          <w:szCs w:val="24"/>
        </w:rPr>
        <w:t>1</w:t>
      </w:r>
      <w:r>
        <w:rPr>
          <w:rFonts w:ascii="Times New Roman" w:hAnsi="Times New Roman" w:cs="Times New Roman"/>
          <w:sz w:val="24"/>
          <w:szCs w:val="24"/>
        </w:rPr>
        <w:t xml:space="preserve"> shows the membership of the three clusters and table </w:t>
      </w:r>
      <w:r w:rsidR="00D460E8">
        <w:rPr>
          <w:rFonts w:ascii="Times New Roman" w:hAnsi="Times New Roman" w:cs="Times New Roman"/>
          <w:sz w:val="24"/>
          <w:szCs w:val="24"/>
        </w:rPr>
        <w:t>5</w:t>
      </w:r>
      <w:r>
        <w:rPr>
          <w:rFonts w:ascii="Times New Roman" w:hAnsi="Times New Roman" w:cs="Times New Roman"/>
          <w:sz w:val="24"/>
          <w:szCs w:val="24"/>
        </w:rPr>
        <w:t>.2 shows the mean values of investor protection variables per cluster.</w:t>
      </w:r>
    </w:p>
    <w:p w:rsidR="00CC10E3" w:rsidRDefault="00CC10E3" w:rsidP="00CC10E3">
      <w:pPr>
        <w:pStyle w:val="BodyText"/>
        <w:spacing w:line="360" w:lineRule="auto"/>
        <w:contextualSpacing/>
        <w:rPr>
          <w:rFonts w:ascii="Times New Roman" w:hAnsi="Times New Roman" w:cs="Times New Roman"/>
          <w:sz w:val="24"/>
          <w:szCs w:val="24"/>
        </w:rPr>
      </w:pPr>
    </w:p>
    <w:p w:rsidR="009E3365" w:rsidRDefault="00194772" w:rsidP="00CC10E3">
      <w:pPr>
        <w:pStyle w:val="BodyText"/>
        <w:spacing w:line="360" w:lineRule="auto"/>
        <w:contextualSpacing/>
        <w:rPr>
          <w:rFonts w:ascii="Times New Roman" w:hAnsi="Times New Roman" w:cs="Times New Roman"/>
          <w:i/>
          <w:sz w:val="24"/>
          <w:szCs w:val="24"/>
        </w:rPr>
      </w:pPr>
      <w:r w:rsidRPr="00BE206B">
        <w:rPr>
          <w:rFonts w:ascii="Times New Roman" w:hAnsi="Times New Roman" w:cs="Times New Roman"/>
          <w:i/>
          <w:sz w:val="24"/>
          <w:szCs w:val="24"/>
        </w:rPr>
        <w:lastRenderedPageBreak/>
        <w:t xml:space="preserve">Table </w:t>
      </w:r>
      <w:r w:rsidR="00D460E8">
        <w:rPr>
          <w:rFonts w:ascii="Times New Roman" w:hAnsi="Times New Roman" w:cs="Times New Roman"/>
          <w:i/>
          <w:sz w:val="24"/>
          <w:szCs w:val="24"/>
        </w:rPr>
        <w:t>5</w:t>
      </w:r>
      <w:r w:rsidR="005E39C4" w:rsidRPr="00BE206B">
        <w:rPr>
          <w:rFonts w:ascii="Times New Roman" w:hAnsi="Times New Roman" w:cs="Times New Roman"/>
          <w:i/>
          <w:sz w:val="24"/>
          <w:szCs w:val="24"/>
        </w:rPr>
        <w:t>.1</w:t>
      </w:r>
      <w:r w:rsidR="006F489C">
        <w:rPr>
          <w:rFonts w:ascii="Times New Roman" w:hAnsi="Times New Roman" w:cs="Times New Roman"/>
          <w:i/>
          <w:sz w:val="24"/>
          <w:szCs w:val="24"/>
        </w:rPr>
        <w:t xml:space="preserve"> Cluster membership</w:t>
      </w:r>
    </w:p>
    <w:p w:rsidR="000F0B0A" w:rsidRPr="00AC650B" w:rsidRDefault="000F0B0A"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Countries are sorted by aggregate income smoothing score.</w:t>
      </w:r>
    </w:p>
    <w:tbl>
      <w:tblPr>
        <w:tblStyle w:val="MediumShading1-Accent11"/>
        <w:tblW w:w="0" w:type="auto"/>
        <w:tblLook w:val="04A0"/>
      </w:tblPr>
      <w:tblGrid>
        <w:gridCol w:w="2237"/>
        <w:gridCol w:w="2237"/>
        <w:gridCol w:w="2237"/>
        <w:gridCol w:w="2237"/>
      </w:tblGrid>
      <w:tr w:rsidR="00CA718A" w:rsidRPr="00C52109" w:rsidTr="00FB3255">
        <w:trPr>
          <w:cnfStyle w:val="1000000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100000000000"/>
              <w:rPr>
                <w:rFonts w:ascii="Times New Roman" w:hAnsi="Times New Roman" w:cs="Times New Roman"/>
                <w:color w:val="auto"/>
              </w:rPr>
            </w:pPr>
            <w:r w:rsidRPr="00C52109">
              <w:rPr>
                <w:rFonts w:ascii="Times New Roman" w:hAnsi="Times New Roman" w:cs="Times New Roman"/>
                <w:color w:val="auto"/>
              </w:rPr>
              <w:t>Cluster 1</w:t>
            </w:r>
          </w:p>
        </w:tc>
        <w:tc>
          <w:tcPr>
            <w:tcW w:w="2237" w:type="dxa"/>
          </w:tcPr>
          <w:p w:rsidR="00CA718A" w:rsidRPr="00C52109" w:rsidRDefault="00CA718A" w:rsidP="000A18E8">
            <w:pPr>
              <w:pStyle w:val="BodyText"/>
              <w:spacing w:line="276" w:lineRule="auto"/>
              <w:contextualSpacing/>
              <w:cnfStyle w:val="100000000000"/>
              <w:rPr>
                <w:rFonts w:ascii="Times New Roman" w:hAnsi="Times New Roman" w:cs="Times New Roman"/>
                <w:color w:val="auto"/>
              </w:rPr>
            </w:pPr>
            <w:r w:rsidRPr="00C52109">
              <w:rPr>
                <w:rFonts w:ascii="Times New Roman" w:hAnsi="Times New Roman" w:cs="Times New Roman"/>
                <w:color w:val="auto"/>
              </w:rPr>
              <w:t>Cluster 2</w:t>
            </w:r>
          </w:p>
        </w:tc>
        <w:tc>
          <w:tcPr>
            <w:tcW w:w="2237" w:type="dxa"/>
          </w:tcPr>
          <w:p w:rsidR="00CA718A" w:rsidRPr="00C52109" w:rsidRDefault="00CA718A" w:rsidP="000A18E8">
            <w:pPr>
              <w:pStyle w:val="BodyText"/>
              <w:spacing w:line="276" w:lineRule="auto"/>
              <w:contextualSpacing/>
              <w:cnfStyle w:val="100000000000"/>
              <w:rPr>
                <w:rFonts w:ascii="Times New Roman" w:hAnsi="Times New Roman" w:cs="Times New Roman"/>
                <w:color w:val="auto"/>
              </w:rPr>
            </w:pPr>
            <w:r w:rsidRPr="00C52109">
              <w:rPr>
                <w:rFonts w:ascii="Times New Roman" w:hAnsi="Times New Roman" w:cs="Times New Roman"/>
                <w:color w:val="auto"/>
              </w:rPr>
              <w:t>Cluster 3</w:t>
            </w:r>
          </w:p>
        </w:tc>
      </w:tr>
      <w:tr w:rsidR="00CA718A" w:rsidRPr="00C52109" w:rsidTr="00FB3255">
        <w:trPr>
          <w:cnfStyle w:val="000000100000"/>
        </w:trPr>
        <w:tc>
          <w:tcPr>
            <w:cnfStyle w:val="001000000000"/>
            <w:tcW w:w="2237" w:type="dxa"/>
            <w:tcBorders>
              <w:right w:val="single" w:sz="4" w:space="0" w:color="E5E5E5" w:themeColor="accent1" w:themeTint="BF"/>
            </w:tcBorders>
          </w:tcPr>
          <w:p w:rsidR="00CA718A" w:rsidRPr="00C52109" w:rsidRDefault="001422A0" w:rsidP="000A18E8">
            <w:pPr>
              <w:pStyle w:val="BodyText"/>
              <w:spacing w:line="276" w:lineRule="auto"/>
              <w:contextualSpacing/>
              <w:rPr>
                <w:rFonts w:ascii="Times New Roman" w:hAnsi="Times New Roman" w:cs="Times New Roman"/>
                <w:b w:val="0"/>
              </w:rPr>
            </w:pPr>
            <w:r w:rsidRPr="00C52109">
              <w:rPr>
                <w:rFonts w:ascii="Times New Roman" w:hAnsi="Times New Roman" w:cs="Times New Roman"/>
                <w:b w:val="0"/>
              </w:rPr>
              <w:t>Country</w:t>
            </w:r>
          </w:p>
        </w:tc>
        <w:tc>
          <w:tcPr>
            <w:tcW w:w="2237" w:type="dxa"/>
            <w:tcBorders>
              <w:left w:val="single" w:sz="4" w:space="0" w:color="E5E5E5" w:themeColor="accent1" w:themeTint="BF"/>
            </w:tcBorders>
          </w:tcPr>
          <w:p w:rsidR="00CA718A" w:rsidRPr="00C52109" w:rsidRDefault="001C1D3E"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Australia </w:t>
            </w:r>
          </w:p>
        </w:tc>
        <w:tc>
          <w:tcPr>
            <w:tcW w:w="2237" w:type="dxa"/>
          </w:tcPr>
          <w:p w:rsidR="00CA718A" w:rsidRPr="00C52109" w:rsidRDefault="004831BF"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Sweden </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Finland </w:t>
            </w:r>
          </w:p>
        </w:tc>
      </w:tr>
      <w:tr w:rsidR="00CA718A" w:rsidRPr="00C52109" w:rsidTr="00FB3255">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1C1D3E"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Singapore</w:t>
            </w:r>
          </w:p>
        </w:tc>
        <w:tc>
          <w:tcPr>
            <w:tcW w:w="2237" w:type="dxa"/>
          </w:tcPr>
          <w:p w:rsidR="00CA718A" w:rsidRPr="00C52109" w:rsidRDefault="004831BF"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Canada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United States </w:t>
            </w:r>
          </w:p>
        </w:tc>
      </w:tr>
      <w:tr w:rsidR="00CA718A" w:rsidRPr="00C52109" w:rsidTr="00FB3255">
        <w:trPr>
          <w:cnfStyle w:val="000000100000"/>
        </w:trPr>
        <w:tc>
          <w:tcPr>
            <w:cnfStyle w:val="001000000000"/>
            <w:tcW w:w="2237" w:type="dxa"/>
            <w:tcBorders>
              <w:bottom w:val="single" w:sz="8" w:space="0" w:color="E5E5E5" w:themeColor="accent1" w:themeTint="BF"/>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1C1D3E"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Malaysia</w:t>
            </w: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Norway </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United Kingdom </w:t>
            </w:r>
          </w:p>
        </w:tc>
      </w:tr>
      <w:tr w:rsidR="00CA718A" w:rsidRPr="00C52109" w:rsidTr="00FB3255">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Denmark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Netherlands </w:t>
            </w:r>
          </w:p>
        </w:tc>
      </w:tr>
      <w:tr w:rsidR="00CA718A" w:rsidRPr="00C52109" w:rsidTr="00FB3255">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France </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South Africa </w:t>
            </w:r>
          </w:p>
        </w:tc>
      </w:tr>
      <w:tr w:rsidR="00CA718A" w:rsidRPr="00C52109" w:rsidTr="00FB3255">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Switzerland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Hong Kong </w:t>
            </w:r>
          </w:p>
        </w:tc>
      </w:tr>
      <w:tr w:rsidR="00CA718A" w:rsidRPr="00C52109" w:rsidTr="00FB3255">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Germany </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Japan</w:t>
            </w:r>
          </w:p>
        </w:tc>
      </w:tr>
      <w:tr w:rsidR="00CA718A" w:rsidRPr="00C52109" w:rsidTr="00FB3255">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Belgium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Thailand</w:t>
            </w:r>
          </w:p>
        </w:tc>
      </w:tr>
      <w:tr w:rsidR="00CA718A" w:rsidRPr="00C52109" w:rsidTr="00FB3255">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Austria </w:t>
            </w:r>
          </w:p>
        </w:tc>
        <w:tc>
          <w:tcPr>
            <w:tcW w:w="2237" w:type="dxa"/>
          </w:tcPr>
          <w:p w:rsidR="00CA718A" w:rsidRPr="00C52109" w:rsidRDefault="009D3E0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Philippines</w:t>
            </w:r>
          </w:p>
        </w:tc>
      </w:tr>
      <w:tr w:rsidR="00CA718A" w:rsidRPr="00C52109" w:rsidTr="00056B94">
        <w:trPr>
          <w:cnfStyle w:val="000000010000"/>
        </w:trPr>
        <w:tc>
          <w:tcPr>
            <w:cnfStyle w:val="001000000000"/>
            <w:tcW w:w="2237" w:type="dxa"/>
            <w:tcBorders>
              <w:bottom w:val="single" w:sz="8" w:space="0" w:color="E5E5E5" w:themeColor="accent1" w:themeTint="BF"/>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Pakistan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Taiwan</w:t>
            </w:r>
          </w:p>
        </w:tc>
      </w:tr>
      <w:tr w:rsidR="00CA718A" w:rsidRPr="00C52109" w:rsidTr="00056B94">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 xml:space="preserve">Korea </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Ireland</w:t>
            </w:r>
          </w:p>
        </w:tc>
      </w:tr>
      <w:tr w:rsidR="00CA718A" w:rsidRPr="00C52109" w:rsidTr="00056B94">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 xml:space="preserve">Greece </w:t>
            </w:r>
          </w:p>
        </w:tc>
        <w:tc>
          <w:tcPr>
            <w:tcW w:w="2237" w:type="dxa"/>
          </w:tcPr>
          <w:p w:rsidR="00CA718A" w:rsidRPr="00C52109" w:rsidRDefault="0042237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Indonesia</w:t>
            </w:r>
          </w:p>
        </w:tc>
      </w:tr>
      <w:tr w:rsidR="00CA718A" w:rsidRPr="00C52109" w:rsidTr="00056B94">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Spain</w:t>
            </w:r>
          </w:p>
        </w:tc>
        <w:tc>
          <w:tcPr>
            <w:tcW w:w="2237" w:type="dxa"/>
          </w:tcPr>
          <w:p w:rsidR="00CA718A" w:rsidRPr="00C52109" w:rsidRDefault="0042237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Italy</w:t>
            </w:r>
          </w:p>
        </w:tc>
      </w:tr>
      <w:tr w:rsidR="00CA718A" w:rsidRPr="00C52109" w:rsidTr="00056B94">
        <w:trPr>
          <w:cnfStyle w:val="00000001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01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010000"/>
              <w:rPr>
                <w:rFonts w:ascii="Times New Roman" w:hAnsi="Times New Roman" w:cs="Times New Roman"/>
              </w:rPr>
            </w:pPr>
            <w:r w:rsidRPr="00C52109">
              <w:rPr>
                <w:rFonts w:ascii="Times New Roman" w:hAnsi="Times New Roman" w:cs="Times New Roman"/>
              </w:rPr>
              <w:t>Portugal</w:t>
            </w:r>
          </w:p>
        </w:tc>
        <w:tc>
          <w:tcPr>
            <w:tcW w:w="2237" w:type="dxa"/>
          </w:tcPr>
          <w:p w:rsidR="00CA718A" w:rsidRPr="00C52109" w:rsidRDefault="00CA718A" w:rsidP="000A18E8">
            <w:pPr>
              <w:pStyle w:val="BodyText"/>
              <w:spacing w:line="276" w:lineRule="auto"/>
              <w:contextualSpacing/>
              <w:cnfStyle w:val="000000010000"/>
              <w:rPr>
                <w:rFonts w:ascii="Times New Roman" w:hAnsi="Times New Roman" w:cs="Times New Roman"/>
              </w:rPr>
            </w:pPr>
          </w:p>
        </w:tc>
      </w:tr>
      <w:tr w:rsidR="00CA718A" w:rsidRPr="00C52109" w:rsidTr="00056B94">
        <w:trPr>
          <w:cnfStyle w:val="000000100000"/>
        </w:trPr>
        <w:tc>
          <w:tcPr>
            <w:cnfStyle w:val="001000000000"/>
            <w:tcW w:w="2237" w:type="dxa"/>
            <w:tcBorders>
              <w:right w:val="single" w:sz="4" w:space="0" w:color="E5E5E5" w:themeColor="accent1" w:themeTint="BF"/>
            </w:tcBorders>
          </w:tcPr>
          <w:p w:rsidR="00CA718A" w:rsidRPr="00C52109" w:rsidRDefault="00CA718A" w:rsidP="000A18E8">
            <w:pPr>
              <w:pStyle w:val="BodyText"/>
              <w:spacing w:line="276" w:lineRule="auto"/>
              <w:contextualSpacing/>
              <w:rPr>
                <w:rFonts w:ascii="Times New Roman" w:hAnsi="Times New Roman" w:cs="Times New Roman"/>
              </w:rPr>
            </w:pPr>
          </w:p>
        </w:tc>
        <w:tc>
          <w:tcPr>
            <w:tcW w:w="2237" w:type="dxa"/>
            <w:tcBorders>
              <w:left w:val="single" w:sz="4" w:space="0" w:color="E5E5E5" w:themeColor="accent1" w:themeTint="BF"/>
            </w:tcBorders>
          </w:tcPr>
          <w:p w:rsidR="00CA718A" w:rsidRPr="00C52109" w:rsidRDefault="00CA718A" w:rsidP="000A18E8">
            <w:pPr>
              <w:pStyle w:val="BodyText"/>
              <w:spacing w:line="276" w:lineRule="auto"/>
              <w:contextualSpacing/>
              <w:cnfStyle w:val="000000100000"/>
              <w:rPr>
                <w:rFonts w:ascii="Times New Roman" w:hAnsi="Times New Roman" w:cs="Times New Roman"/>
              </w:rPr>
            </w:pPr>
          </w:p>
        </w:tc>
        <w:tc>
          <w:tcPr>
            <w:tcW w:w="2237" w:type="dxa"/>
          </w:tcPr>
          <w:p w:rsidR="00CA718A" w:rsidRPr="00C52109" w:rsidRDefault="008A4439" w:rsidP="000A18E8">
            <w:pPr>
              <w:pStyle w:val="BodyText"/>
              <w:spacing w:line="276" w:lineRule="auto"/>
              <w:contextualSpacing/>
              <w:cnfStyle w:val="000000100000"/>
              <w:rPr>
                <w:rFonts w:ascii="Times New Roman" w:hAnsi="Times New Roman" w:cs="Times New Roman"/>
              </w:rPr>
            </w:pPr>
            <w:r w:rsidRPr="00C52109">
              <w:rPr>
                <w:rFonts w:ascii="Times New Roman" w:hAnsi="Times New Roman" w:cs="Times New Roman"/>
              </w:rPr>
              <w:t>India</w:t>
            </w:r>
          </w:p>
        </w:tc>
        <w:tc>
          <w:tcPr>
            <w:tcW w:w="2237" w:type="dxa"/>
          </w:tcPr>
          <w:p w:rsidR="00CA718A" w:rsidRPr="00C52109" w:rsidRDefault="00CA718A" w:rsidP="000A18E8">
            <w:pPr>
              <w:pStyle w:val="BodyText"/>
              <w:spacing w:line="276" w:lineRule="auto"/>
              <w:contextualSpacing/>
              <w:cnfStyle w:val="000000100000"/>
              <w:rPr>
                <w:rFonts w:ascii="Times New Roman" w:hAnsi="Times New Roman" w:cs="Times New Roman"/>
              </w:rPr>
            </w:pPr>
          </w:p>
        </w:tc>
      </w:tr>
    </w:tbl>
    <w:p w:rsidR="00AD476D" w:rsidRPr="00C52109" w:rsidRDefault="00AD476D" w:rsidP="00CC10E3">
      <w:pPr>
        <w:pStyle w:val="BodyText"/>
        <w:spacing w:line="360" w:lineRule="auto"/>
        <w:contextualSpacing/>
        <w:rPr>
          <w:rFonts w:ascii="Times New Roman" w:hAnsi="Times New Roman" w:cs="Times New Roman"/>
        </w:rPr>
      </w:pPr>
    </w:p>
    <w:p w:rsidR="00511138" w:rsidRPr="00C52109" w:rsidRDefault="00511138" w:rsidP="00CC10E3">
      <w:pPr>
        <w:pStyle w:val="BodyText"/>
        <w:spacing w:line="360" w:lineRule="auto"/>
        <w:contextualSpacing/>
        <w:rPr>
          <w:rFonts w:ascii="Times New Roman" w:hAnsi="Times New Roman" w:cs="Times New Roman"/>
          <w:i/>
        </w:rPr>
      </w:pPr>
    </w:p>
    <w:p w:rsidR="000D2E49" w:rsidRPr="00C52109" w:rsidRDefault="005E39C4" w:rsidP="00CC10E3">
      <w:pPr>
        <w:pStyle w:val="BodyText"/>
        <w:spacing w:line="360" w:lineRule="auto"/>
        <w:contextualSpacing/>
        <w:rPr>
          <w:rFonts w:ascii="Times New Roman" w:hAnsi="Times New Roman" w:cs="Times New Roman"/>
          <w:i/>
        </w:rPr>
      </w:pPr>
      <w:r w:rsidRPr="00C52109">
        <w:rPr>
          <w:rFonts w:ascii="Times New Roman" w:hAnsi="Times New Roman" w:cs="Times New Roman"/>
          <w:i/>
        </w:rPr>
        <w:t xml:space="preserve">Table </w:t>
      </w:r>
      <w:r w:rsidR="00D460E8">
        <w:rPr>
          <w:rFonts w:ascii="Times New Roman" w:hAnsi="Times New Roman" w:cs="Times New Roman"/>
          <w:i/>
        </w:rPr>
        <w:t>5</w:t>
      </w:r>
      <w:r w:rsidRPr="00C52109">
        <w:rPr>
          <w:rFonts w:ascii="Times New Roman" w:hAnsi="Times New Roman" w:cs="Times New Roman"/>
          <w:i/>
        </w:rPr>
        <w:t>.2</w:t>
      </w:r>
      <w:r w:rsidR="006F489C" w:rsidRPr="00C52109">
        <w:rPr>
          <w:rFonts w:ascii="Times New Roman" w:hAnsi="Times New Roman" w:cs="Times New Roman"/>
          <w:i/>
        </w:rPr>
        <w:t xml:space="preserve"> Mean values of investor protection variables by cluster</w:t>
      </w:r>
    </w:p>
    <w:tbl>
      <w:tblPr>
        <w:tblStyle w:val="MediumShading1-Accent11"/>
        <w:tblW w:w="0" w:type="auto"/>
        <w:tblLook w:val="04A0"/>
      </w:tblPr>
      <w:tblGrid>
        <w:gridCol w:w="2808"/>
        <w:gridCol w:w="2160"/>
        <w:gridCol w:w="1980"/>
        <w:gridCol w:w="2000"/>
      </w:tblGrid>
      <w:tr w:rsidR="00C97946" w:rsidRPr="00C52109" w:rsidTr="0024508E">
        <w:trPr>
          <w:cnfStyle w:val="100000000000"/>
        </w:trPr>
        <w:tc>
          <w:tcPr>
            <w:cnfStyle w:val="001000000000"/>
            <w:tcW w:w="2808" w:type="dxa"/>
          </w:tcPr>
          <w:p w:rsidR="005E39C4" w:rsidRPr="00C52109" w:rsidRDefault="005E39C4" w:rsidP="002803D7">
            <w:pPr>
              <w:pStyle w:val="BodyText"/>
              <w:spacing w:line="276" w:lineRule="auto"/>
              <w:contextualSpacing/>
              <w:rPr>
                <w:rFonts w:ascii="Times New Roman" w:hAnsi="Times New Roman" w:cs="Times New Roman"/>
              </w:rPr>
            </w:pPr>
          </w:p>
        </w:tc>
        <w:tc>
          <w:tcPr>
            <w:tcW w:w="2160" w:type="dxa"/>
          </w:tcPr>
          <w:p w:rsidR="005E39C4" w:rsidRPr="00C52109" w:rsidRDefault="008B1B32" w:rsidP="002803D7">
            <w:pPr>
              <w:pStyle w:val="BodyText"/>
              <w:spacing w:line="276" w:lineRule="auto"/>
              <w:contextualSpacing/>
              <w:jc w:val="center"/>
              <w:cnfStyle w:val="100000000000"/>
              <w:rPr>
                <w:rFonts w:ascii="Times New Roman" w:hAnsi="Times New Roman" w:cs="Times New Roman"/>
                <w:color w:val="auto"/>
              </w:rPr>
            </w:pPr>
            <w:r w:rsidRPr="00C52109">
              <w:rPr>
                <w:rFonts w:ascii="Times New Roman" w:hAnsi="Times New Roman" w:cs="Times New Roman"/>
                <w:color w:val="auto"/>
              </w:rPr>
              <w:t>Cluster 1</w:t>
            </w:r>
          </w:p>
        </w:tc>
        <w:tc>
          <w:tcPr>
            <w:tcW w:w="1980" w:type="dxa"/>
          </w:tcPr>
          <w:p w:rsidR="005E39C4" w:rsidRPr="00C52109" w:rsidRDefault="008B1B32" w:rsidP="002803D7">
            <w:pPr>
              <w:pStyle w:val="BodyText"/>
              <w:spacing w:line="276" w:lineRule="auto"/>
              <w:contextualSpacing/>
              <w:jc w:val="center"/>
              <w:cnfStyle w:val="100000000000"/>
              <w:rPr>
                <w:rFonts w:ascii="Times New Roman" w:hAnsi="Times New Roman" w:cs="Times New Roman"/>
                <w:color w:val="auto"/>
              </w:rPr>
            </w:pPr>
            <w:r w:rsidRPr="00C52109">
              <w:rPr>
                <w:rFonts w:ascii="Times New Roman" w:hAnsi="Times New Roman" w:cs="Times New Roman"/>
                <w:color w:val="auto"/>
              </w:rPr>
              <w:t>Cluster 2</w:t>
            </w:r>
          </w:p>
        </w:tc>
        <w:tc>
          <w:tcPr>
            <w:tcW w:w="2000" w:type="dxa"/>
          </w:tcPr>
          <w:p w:rsidR="005E39C4" w:rsidRPr="00C52109" w:rsidRDefault="008B1B32" w:rsidP="002803D7">
            <w:pPr>
              <w:pStyle w:val="BodyText"/>
              <w:spacing w:line="276" w:lineRule="auto"/>
              <w:contextualSpacing/>
              <w:jc w:val="center"/>
              <w:cnfStyle w:val="100000000000"/>
              <w:rPr>
                <w:rFonts w:ascii="Times New Roman" w:hAnsi="Times New Roman" w:cs="Times New Roman"/>
                <w:color w:val="auto"/>
              </w:rPr>
            </w:pPr>
            <w:r w:rsidRPr="00C52109">
              <w:rPr>
                <w:rFonts w:ascii="Times New Roman" w:hAnsi="Times New Roman" w:cs="Times New Roman"/>
                <w:color w:val="auto"/>
              </w:rPr>
              <w:t>Cluster 3</w:t>
            </w:r>
          </w:p>
        </w:tc>
      </w:tr>
      <w:tr w:rsidR="00C97946" w:rsidRPr="00C52109" w:rsidTr="0024508E">
        <w:trPr>
          <w:cnfStyle w:val="000000100000"/>
        </w:trPr>
        <w:tc>
          <w:tcPr>
            <w:cnfStyle w:val="001000000000"/>
            <w:tcW w:w="2808" w:type="dxa"/>
          </w:tcPr>
          <w:p w:rsidR="005E39C4" w:rsidRPr="00C52109" w:rsidRDefault="008B1B32" w:rsidP="002803D7">
            <w:pPr>
              <w:pStyle w:val="BodyText"/>
              <w:spacing w:line="276" w:lineRule="auto"/>
              <w:contextualSpacing/>
              <w:rPr>
                <w:rFonts w:ascii="Times New Roman" w:hAnsi="Times New Roman" w:cs="Times New Roman"/>
                <w:b w:val="0"/>
                <w:i/>
              </w:rPr>
            </w:pPr>
            <w:r w:rsidRPr="00C52109">
              <w:rPr>
                <w:rFonts w:ascii="Times New Roman" w:hAnsi="Times New Roman" w:cs="Times New Roman"/>
                <w:b w:val="0"/>
                <w:i/>
              </w:rPr>
              <w:t>Ex ante private control of self-dealing</w:t>
            </w:r>
          </w:p>
        </w:tc>
        <w:tc>
          <w:tcPr>
            <w:tcW w:w="2160" w:type="dxa"/>
          </w:tcPr>
          <w:p w:rsidR="005E39C4" w:rsidRPr="00C52109" w:rsidRDefault="00101E85"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0.96</w:t>
            </w:r>
          </w:p>
        </w:tc>
        <w:tc>
          <w:tcPr>
            <w:tcW w:w="1980" w:type="dxa"/>
          </w:tcPr>
          <w:p w:rsidR="005E39C4" w:rsidRPr="00C52109" w:rsidRDefault="00101E85"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0.21</w:t>
            </w:r>
          </w:p>
        </w:tc>
        <w:tc>
          <w:tcPr>
            <w:tcW w:w="2000" w:type="dxa"/>
          </w:tcPr>
          <w:p w:rsidR="005E39C4" w:rsidRPr="00C52109" w:rsidRDefault="00C12FB2"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0.53</w:t>
            </w:r>
          </w:p>
        </w:tc>
      </w:tr>
      <w:tr w:rsidR="00C97946" w:rsidRPr="00C52109" w:rsidTr="0024508E">
        <w:trPr>
          <w:cnfStyle w:val="000000010000"/>
        </w:trPr>
        <w:tc>
          <w:tcPr>
            <w:cnfStyle w:val="001000000000"/>
            <w:tcW w:w="2808" w:type="dxa"/>
          </w:tcPr>
          <w:p w:rsidR="005E39C4" w:rsidRPr="00C52109" w:rsidRDefault="008B1B32" w:rsidP="002803D7">
            <w:pPr>
              <w:pStyle w:val="BodyText"/>
              <w:spacing w:line="276" w:lineRule="auto"/>
              <w:contextualSpacing/>
              <w:rPr>
                <w:rFonts w:ascii="Times New Roman" w:hAnsi="Times New Roman" w:cs="Times New Roman"/>
                <w:b w:val="0"/>
                <w:i/>
              </w:rPr>
            </w:pPr>
            <w:r w:rsidRPr="00C52109">
              <w:rPr>
                <w:rFonts w:ascii="Times New Roman" w:hAnsi="Times New Roman" w:cs="Times New Roman"/>
                <w:b w:val="0"/>
                <w:i/>
              </w:rPr>
              <w:t>Ex post private control of self-dealing</w:t>
            </w:r>
          </w:p>
        </w:tc>
        <w:tc>
          <w:tcPr>
            <w:tcW w:w="2160" w:type="dxa"/>
          </w:tcPr>
          <w:p w:rsidR="005E39C4" w:rsidRPr="00C52109" w:rsidRDefault="00101E85" w:rsidP="002803D7">
            <w:pPr>
              <w:pStyle w:val="BodyText"/>
              <w:spacing w:line="276" w:lineRule="auto"/>
              <w:contextualSpacing/>
              <w:jc w:val="center"/>
              <w:cnfStyle w:val="000000010000"/>
              <w:rPr>
                <w:rFonts w:ascii="Times New Roman" w:hAnsi="Times New Roman" w:cs="Times New Roman"/>
              </w:rPr>
            </w:pPr>
            <w:r w:rsidRPr="00C52109">
              <w:rPr>
                <w:rFonts w:ascii="Times New Roman" w:hAnsi="Times New Roman" w:cs="Times New Roman"/>
              </w:rPr>
              <w:t>0.86</w:t>
            </w:r>
          </w:p>
        </w:tc>
        <w:tc>
          <w:tcPr>
            <w:tcW w:w="1980" w:type="dxa"/>
          </w:tcPr>
          <w:p w:rsidR="005E39C4" w:rsidRPr="00C52109" w:rsidRDefault="00101E85" w:rsidP="002803D7">
            <w:pPr>
              <w:pStyle w:val="BodyText"/>
              <w:spacing w:line="276" w:lineRule="auto"/>
              <w:contextualSpacing/>
              <w:jc w:val="center"/>
              <w:cnfStyle w:val="000000010000"/>
              <w:rPr>
                <w:rFonts w:ascii="Times New Roman" w:hAnsi="Times New Roman" w:cs="Times New Roman"/>
              </w:rPr>
            </w:pPr>
            <w:r w:rsidRPr="00C52109">
              <w:rPr>
                <w:rFonts w:ascii="Times New Roman" w:hAnsi="Times New Roman" w:cs="Times New Roman"/>
              </w:rPr>
              <w:t>0.60</w:t>
            </w:r>
          </w:p>
        </w:tc>
        <w:tc>
          <w:tcPr>
            <w:tcW w:w="2000" w:type="dxa"/>
          </w:tcPr>
          <w:p w:rsidR="005E39C4" w:rsidRPr="00C52109" w:rsidRDefault="00C12FB2" w:rsidP="002803D7">
            <w:pPr>
              <w:pStyle w:val="BodyText"/>
              <w:spacing w:line="276" w:lineRule="auto"/>
              <w:contextualSpacing/>
              <w:jc w:val="center"/>
              <w:cnfStyle w:val="000000010000"/>
              <w:rPr>
                <w:rFonts w:ascii="Times New Roman" w:hAnsi="Times New Roman" w:cs="Times New Roman"/>
              </w:rPr>
            </w:pPr>
            <w:r w:rsidRPr="00C52109">
              <w:rPr>
                <w:rFonts w:ascii="Times New Roman" w:hAnsi="Times New Roman" w:cs="Times New Roman"/>
              </w:rPr>
              <w:t>0.70</w:t>
            </w:r>
          </w:p>
        </w:tc>
      </w:tr>
      <w:tr w:rsidR="00C97946" w:rsidRPr="00C52109" w:rsidTr="0024508E">
        <w:trPr>
          <w:cnfStyle w:val="000000100000"/>
        </w:trPr>
        <w:tc>
          <w:tcPr>
            <w:cnfStyle w:val="001000000000"/>
            <w:tcW w:w="2808" w:type="dxa"/>
          </w:tcPr>
          <w:p w:rsidR="005E39C4" w:rsidRPr="00C52109" w:rsidRDefault="008B1B32" w:rsidP="002803D7">
            <w:pPr>
              <w:pStyle w:val="BodyText"/>
              <w:spacing w:line="276" w:lineRule="auto"/>
              <w:contextualSpacing/>
              <w:rPr>
                <w:rFonts w:ascii="Times New Roman" w:hAnsi="Times New Roman" w:cs="Times New Roman"/>
                <w:b w:val="0"/>
                <w:i/>
              </w:rPr>
            </w:pPr>
            <w:r w:rsidRPr="00C52109">
              <w:rPr>
                <w:rFonts w:ascii="Times New Roman" w:hAnsi="Times New Roman" w:cs="Times New Roman"/>
                <w:b w:val="0"/>
                <w:i/>
              </w:rPr>
              <w:t>Public enforcement index</w:t>
            </w:r>
          </w:p>
        </w:tc>
        <w:tc>
          <w:tcPr>
            <w:tcW w:w="2160" w:type="dxa"/>
          </w:tcPr>
          <w:p w:rsidR="005E39C4" w:rsidRPr="00C52109" w:rsidRDefault="00101E85"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0.83</w:t>
            </w:r>
          </w:p>
        </w:tc>
        <w:tc>
          <w:tcPr>
            <w:tcW w:w="1980" w:type="dxa"/>
          </w:tcPr>
          <w:p w:rsidR="005E39C4" w:rsidRPr="00C52109" w:rsidRDefault="00101E85"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0.75</w:t>
            </w:r>
          </w:p>
        </w:tc>
        <w:tc>
          <w:tcPr>
            <w:tcW w:w="2000" w:type="dxa"/>
          </w:tcPr>
          <w:p w:rsidR="005E39C4" w:rsidRPr="00C52109" w:rsidRDefault="00C12FB2" w:rsidP="002803D7">
            <w:pPr>
              <w:pStyle w:val="BodyText"/>
              <w:spacing w:line="276" w:lineRule="auto"/>
              <w:contextualSpacing/>
              <w:jc w:val="center"/>
              <w:cnfStyle w:val="000000100000"/>
              <w:rPr>
                <w:rFonts w:ascii="Times New Roman" w:hAnsi="Times New Roman" w:cs="Times New Roman"/>
              </w:rPr>
            </w:pPr>
            <w:r w:rsidRPr="00C52109">
              <w:rPr>
                <w:rFonts w:ascii="Times New Roman" w:hAnsi="Times New Roman" w:cs="Times New Roman"/>
              </w:rPr>
              <w:t>0.02</w:t>
            </w:r>
          </w:p>
        </w:tc>
      </w:tr>
    </w:tbl>
    <w:p w:rsidR="005E39C4" w:rsidRDefault="005E39C4" w:rsidP="00CC10E3">
      <w:pPr>
        <w:pStyle w:val="BodyText"/>
        <w:spacing w:line="360" w:lineRule="auto"/>
        <w:contextualSpacing/>
        <w:rPr>
          <w:rFonts w:ascii="Times New Roman" w:hAnsi="Times New Roman" w:cs="Times New Roman"/>
          <w:sz w:val="24"/>
          <w:szCs w:val="24"/>
        </w:rPr>
      </w:pPr>
    </w:p>
    <w:p w:rsidR="00445F4E" w:rsidRDefault="00445F4E" w:rsidP="00F450E9">
      <w:pPr>
        <w:pStyle w:val="Heading4"/>
        <w:rPr>
          <w:rStyle w:val="SubtleReference"/>
          <w:rFonts w:ascii="Calibri" w:hAnsi="Calibri"/>
          <w:b w:val="0"/>
        </w:rPr>
      </w:pPr>
      <w:bookmarkStart w:id="93" w:name="_Toc268669768"/>
      <w:r w:rsidRPr="00F450E9">
        <w:rPr>
          <w:rStyle w:val="SubtleReference"/>
          <w:rFonts w:ascii="Calibri" w:hAnsi="Calibri"/>
          <w:b w:val="0"/>
        </w:rPr>
        <w:t xml:space="preserve">9.7 </w:t>
      </w:r>
      <w:r w:rsidRPr="00F450E9">
        <w:rPr>
          <w:rStyle w:val="SubtleReference"/>
          <w:rFonts w:ascii="Calibri" w:hAnsi="Calibri"/>
          <w:b w:val="0"/>
        </w:rPr>
        <w:tab/>
      </w:r>
      <w:r w:rsidR="00846F18" w:rsidRPr="00F450E9">
        <w:rPr>
          <w:rStyle w:val="SubtleReference"/>
          <w:rFonts w:ascii="Calibri" w:hAnsi="Calibri"/>
          <w:b w:val="0"/>
        </w:rPr>
        <w:t>Statistical</w:t>
      </w:r>
      <w:r w:rsidRPr="00F450E9">
        <w:rPr>
          <w:rStyle w:val="SubtleReference"/>
          <w:rFonts w:ascii="Calibri" w:hAnsi="Calibri"/>
          <w:b w:val="0"/>
        </w:rPr>
        <w:t xml:space="preserve"> analysis</w:t>
      </w:r>
      <w:bookmarkEnd w:id="93"/>
    </w:p>
    <w:p w:rsidR="0073687F" w:rsidRPr="0073687F" w:rsidRDefault="0073687F" w:rsidP="0073687F"/>
    <w:p w:rsidR="0073687F" w:rsidRDefault="00BF1A03"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At the beginning of this chapter the three hypotheses applicable to this chapter were stated. This section will start off by looking at the correlations and multiple regression </w:t>
      </w:r>
      <w:r w:rsidR="00F848BE">
        <w:rPr>
          <w:rFonts w:ascii="Times New Roman" w:hAnsi="Times New Roman" w:cs="Times New Roman"/>
          <w:sz w:val="24"/>
          <w:szCs w:val="24"/>
        </w:rPr>
        <w:t>in order to test the first and second hypothesis</w:t>
      </w:r>
      <w:r>
        <w:rPr>
          <w:rFonts w:ascii="Times New Roman" w:hAnsi="Times New Roman" w:cs="Times New Roman"/>
          <w:sz w:val="24"/>
          <w:szCs w:val="24"/>
        </w:rPr>
        <w:t xml:space="preserve">. Afterwards I will discuss </w:t>
      </w:r>
      <w:r w:rsidR="00F848BE">
        <w:rPr>
          <w:rFonts w:ascii="Times New Roman" w:hAnsi="Times New Roman" w:cs="Times New Roman"/>
          <w:sz w:val="24"/>
          <w:szCs w:val="24"/>
        </w:rPr>
        <w:t xml:space="preserve">the results of </w:t>
      </w:r>
      <w:r>
        <w:rPr>
          <w:rFonts w:ascii="Times New Roman" w:hAnsi="Times New Roman" w:cs="Times New Roman"/>
          <w:sz w:val="24"/>
          <w:szCs w:val="24"/>
        </w:rPr>
        <w:t xml:space="preserve">the multiple regression </w:t>
      </w:r>
      <w:r w:rsidR="00F848BE">
        <w:rPr>
          <w:rFonts w:ascii="Times New Roman" w:hAnsi="Times New Roman" w:cs="Times New Roman"/>
          <w:sz w:val="24"/>
          <w:szCs w:val="24"/>
        </w:rPr>
        <w:t>used to test the third hypothesis.</w:t>
      </w:r>
    </w:p>
    <w:p w:rsidR="00C52109" w:rsidRDefault="00C52109" w:rsidP="00CC10E3">
      <w:pPr>
        <w:pStyle w:val="BodyText"/>
        <w:spacing w:line="360" w:lineRule="auto"/>
        <w:contextualSpacing/>
        <w:rPr>
          <w:rFonts w:ascii="Times New Roman" w:hAnsi="Times New Roman" w:cs="Times New Roman"/>
          <w:sz w:val="24"/>
          <w:szCs w:val="24"/>
        </w:rPr>
      </w:pPr>
    </w:p>
    <w:p w:rsidR="0012582B" w:rsidRPr="0073687F" w:rsidRDefault="0012582B" w:rsidP="0073687F">
      <w:pPr>
        <w:pStyle w:val="Heading4"/>
        <w:rPr>
          <w:rFonts w:ascii="Calibri" w:hAnsi="Calibri"/>
        </w:rPr>
      </w:pPr>
      <w:bookmarkStart w:id="94" w:name="_Toc268669769"/>
      <w:r w:rsidRPr="0073687F">
        <w:rPr>
          <w:rFonts w:ascii="Calibri" w:hAnsi="Calibri"/>
        </w:rPr>
        <w:t>9.7.1</w:t>
      </w:r>
      <w:r w:rsidRPr="0073687F">
        <w:rPr>
          <w:rFonts w:ascii="Calibri" w:hAnsi="Calibri"/>
        </w:rPr>
        <w:tab/>
        <w:t>Real income smoothing and artificial income smoothing</w:t>
      </w:r>
      <w:bookmarkEnd w:id="94"/>
    </w:p>
    <w:p w:rsidR="0012582B" w:rsidRDefault="0012582B" w:rsidP="00CC10E3">
      <w:pPr>
        <w:pStyle w:val="BodyText"/>
        <w:spacing w:line="360" w:lineRule="auto"/>
        <w:contextualSpacing/>
        <w:rPr>
          <w:rFonts w:ascii="Times New Roman" w:hAnsi="Times New Roman" w:cs="Times New Roman"/>
          <w:sz w:val="24"/>
          <w:szCs w:val="24"/>
        </w:rPr>
      </w:pPr>
    </w:p>
    <w:p w:rsidR="00AB7B4B" w:rsidRDefault="00737E28"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multiple regressions includes three variables which are </w:t>
      </w:r>
      <w:r>
        <w:rPr>
          <w:rFonts w:ascii="Times New Roman" w:hAnsi="Times New Roman" w:cs="Times New Roman"/>
          <w:i/>
          <w:sz w:val="24"/>
          <w:szCs w:val="24"/>
        </w:rPr>
        <w:t>ex ante private control of self-dealing,</w:t>
      </w:r>
      <w:r>
        <w:rPr>
          <w:rFonts w:ascii="Times New Roman" w:hAnsi="Times New Roman" w:cs="Times New Roman"/>
          <w:sz w:val="24"/>
          <w:szCs w:val="24"/>
        </w:rPr>
        <w:t xml:space="preserve"> </w:t>
      </w:r>
      <w:r>
        <w:rPr>
          <w:rFonts w:ascii="Times New Roman" w:hAnsi="Times New Roman" w:cs="Times New Roman"/>
          <w:i/>
          <w:sz w:val="24"/>
          <w:szCs w:val="24"/>
        </w:rPr>
        <w:t xml:space="preserve">ex post private control of self-dealing </w:t>
      </w:r>
      <w:r>
        <w:rPr>
          <w:rFonts w:ascii="Times New Roman" w:hAnsi="Times New Roman" w:cs="Times New Roman"/>
          <w:sz w:val="24"/>
          <w:szCs w:val="24"/>
        </w:rPr>
        <w:t xml:space="preserve">and the </w:t>
      </w:r>
      <w:r w:rsidRPr="00554CB1">
        <w:rPr>
          <w:rFonts w:ascii="Times New Roman" w:hAnsi="Times New Roman" w:cs="Times New Roman"/>
          <w:i/>
          <w:sz w:val="24"/>
          <w:szCs w:val="24"/>
        </w:rPr>
        <w:t>public enforcement index</w:t>
      </w:r>
      <w:r>
        <w:rPr>
          <w:rFonts w:ascii="Times New Roman" w:hAnsi="Times New Roman" w:cs="Times New Roman"/>
          <w:sz w:val="24"/>
          <w:szCs w:val="24"/>
        </w:rPr>
        <w:t xml:space="preserve">. The first two variables are both entered into the model first, because previous research has led me </w:t>
      </w:r>
      <w:r>
        <w:rPr>
          <w:rFonts w:ascii="Times New Roman" w:hAnsi="Times New Roman" w:cs="Times New Roman"/>
          <w:sz w:val="24"/>
          <w:szCs w:val="24"/>
        </w:rPr>
        <w:lastRenderedPageBreak/>
        <w:t xml:space="preserve">to believe that these are important factors (predictors) in predicting income smoothing. The third variable, </w:t>
      </w:r>
      <w:r>
        <w:rPr>
          <w:rFonts w:ascii="Times New Roman" w:hAnsi="Times New Roman" w:cs="Times New Roman"/>
          <w:i/>
          <w:sz w:val="24"/>
          <w:szCs w:val="24"/>
        </w:rPr>
        <w:t>public enforcement</w:t>
      </w:r>
      <w:r>
        <w:rPr>
          <w:rFonts w:ascii="Times New Roman" w:hAnsi="Times New Roman" w:cs="Times New Roman"/>
          <w:sz w:val="24"/>
          <w:szCs w:val="24"/>
        </w:rPr>
        <w:t xml:space="preserve"> is entered last.</w:t>
      </w:r>
      <w:r w:rsidR="001B1949">
        <w:rPr>
          <w:rFonts w:ascii="Times New Roman" w:hAnsi="Times New Roman" w:cs="Times New Roman"/>
          <w:sz w:val="24"/>
          <w:szCs w:val="24"/>
        </w:rPr>
        <w:t xml:space="preserve"> </w:t>
      </w:r>
    </w:p>
    <w:p w:rsidR="00B00787" w:rsidRDefault="001B1949"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dependent variable is the real income smoothing measure (IS1). The correlation matrix can be found in appendix </w:t>
      </w:r>
      <w:r w:rsidR="004B21BC">
        <w:rPr>
          <w:rFonts w:ascii="Times New Roman" w:hAnsi="Times New Roman" w:cs="Times New Roman"/>
          <w:sz w:val="24"/>
          <w:szCs w:val="24"/>
        </w:rPr>
        <w:t>F</w:t>
      </w:r>
      <w:r>
        <w:rPr>
          <w:rFonts w:ascii="Times New Roman" w:hAnsi="Times New Roman" w:cs="Times New Roman"/>
          <w:sz w:val="24"/>
          <w:szCs w:val="24"/>
        </w:rPr>
        <w:t>. From this matrix I learned that there are no significant correlations between the aggregate income smoothing score and any one of the three predictors. Leaving this important aspect aside, the correlations are all positive, which is the exact opposite of my expectations.</w:t>
      </w:r>
      <w:r w:rsidR="00DD766E">
        <w:rPr>
          <w:rFonts w:ascii="Times New Roman" w:hAnsi="Times New Roman" w:cs="Times New Roman"/>
          <w:sz w:val="24"/>
          <w:szCs w:val="24"/>
        </w:rPr>
        <w:t xml:space="preserve"> A positive relationship would mean that whenever investor protection increases income smoothing increases as well.</w:t>
      </w:r>
    </w:p>
    <w:p w:rsidR="00B00787" w:rsidRDefault="00B00787"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model summary, which can also be found in appendix </w:t>
      </w:r>
      <w:r w:rsidR="004B21BC">
        <w:rPr>
          <w:rFonts w:ascii="Times New Roman" w:hAnsi="Times New Roman" w:cs="Times New Roman"/>
          <w:sz w:val="24"/>
          <w:szCs w:val="24"/>
        </w:rPr>
        <w:t>F</w:t>
      </w:r>
      <w:r>
        <w:rPr>
          <w:rFonts w:ascii="Times New Roman" w:hAnsi="Times New Roman" w:cs="Times New Roman"/>
          <w:sz w:val="24"/>
          <w:szCs w:val="24"/>
        </w:rPr>
        <w:t xml:space="preserve">, </w:t>
      </w:r>
      <w:r w:rsidR="003117EC">
        <w:rPr>
          <w:rFonts w:ascii="Times New Roman" w:hAnsi="Times New Roman" w:cs="Times New Roman"/>
          <w:sz w:val="24"/>
          <w:szCs w:val="24"/>
        </w:rPr>
        <w:t xml:space="preserve">presents the values of the multiple correlation </w:t>
      </w:r>
      <w:r w:rsidR="00DE3AC6">
        <w:rPr>
          <w:rFonts w:ascii="Times New Roman" w:hAnsi="Times New Roman" w:cs="Times New Roman"/>
          <w:sz w:val="24"/>
          <w:szCs w:val="24"/>
        </w:rPr>
        <w:t>coefficients</w:t>
      </w:r>
      <w:r w:rsidR="003117EC">
        <w:rPr>
          <w:rFonts w:ascii="Times New Roman" w:hAnsi="Times New Roman" w:cs="Times New Roman"/>
          <w:sz w:val="24"/>
          <w:szCs w:val="24"/>
        </w:rPr>
        <w:t xml:space="preserve"> between the predictors and real income smoothing. The first two predictors predict a measly 6.9% of the variation in income smoothing. When the third predictor is entered 7% is accounted for. So, these three predictors do </w:t>
      </w:r>
      <w:r w:rsidR="008B3861">
        <w:rPr>
          <w:rFonts w:ascii="Times New Roman" w:hAnsi="Times New Roman" w:cs="Times New Roman"/>
          <w:sz w:val="24"/>
          <w:szCs w:val="24"/>
        </w:rPr>
        <w:t xml:space="preserve">not </w:t>
      </w:r>
      <w:r w:rsidR="003117EC">
        <w:rPr>
          <w:rFonts w:ascii="Times New Roman" w:hAnsi="Times New Roman" w:cs="Times New Roman"/>
          <w:sz w:val="24"/>
          <w:szCs w:val="24"/>
        </w:rPr>
        <w:t>explain</w:t>
      </w:r>
      <w:r w:rsidR="008B3861">
        <w:rPr>
          <w:rFonts w:ascii="Times New Roman" w:hAnsi="Times New Roman" w:cs="Times New Roman"/>
          <w:sz w:val="24"/>
          <w:szCs w:val="24"/>
        </w:rPr>
        <w:t xml:space="preserve"> much of</w:t>
      </w:r>
      <w:r w:rsidR="003117EC">
        <w:rPr>
          <w:rFonts w:ascii="Times New Roman" w:hAnsi="Times New Roman" w:cs="Times New Roman"/>
          <w:sz w:val="24"/>
          <w:szCs w:val="24"/>
        </w:rPr>
        <w:t xml:space="preserve"> the variation in</w:t>
      </w:r>
      <w:r w:rsidR="00064591">
        <w:rPr>
          <w:rFonts w:ascii="Times New Roman" w:hAnsi="Times New Roman" w:cs="Times New Roman"/>
          <w:sz w:val="24"/>
          <w:szCs w:val="24"/>
        </w:rPr>
        <w:t xml:space="preserve"> real</w:t>
      </w:r>
      <w:r w:rsidR="003117EC">
        <w:rPr>
          <w:rFonts w:ascii="Times New Roman" w:hAnsi="Times New Roman" w:cs="Times New Roman"/>
          <w:sz w:val="24"/>
          <w:szCs w:val="24"/>
        </w:rPr>
        <w:t xml:space="preserve"> income smoothing.</w:t>
      </w:r>
    </w:p>
    <w:p w:rsidR="00AB7B4B" w:rsidRDefault="00AB7B4B" w:rsidP="00CC10E3">
      <w:pPr>
        <w:pStyle w:val="BodyText"/>
        <w:spacing w:line="360" w:lineRule="auto"/>
        <w:contextualSpacing/>
        <w:rPr>
          <w:rFonts w:ascii="Times New Roman" w:hAnsi="Times New Roman" w:cs="Times New Roman"/>
          <w:sz w:val="24"/>
          <w:szCs w:val="24"/>
        </w:rPr>
      </w:pPr>
    </w:p>
    <w:p w:rsidR="00574BB5" w:rsidRDefault="006725CE"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In order to test whether the level of investor protection in a country influences the occurrence of artificial income smoothing a hierarchical multiple regression is executed. The</w:t>
      </w:r>
      <w:r w:rsidR="00574BB5">
        <w:rPr>
          <w:rFonts w:ascii="Times New Roman" w:hAnsi="Times New Roman" w:cs="Times New Roman"/>
          <w:sz w:val="24"/>
          <w:szCs w:val="24"/>
        </w:rPr>
        <w:t xml:space="preserve"> SPSS output is presented in appendix </w:t>
      </w:r>
      <w:r w:rsidR="00770738">
        <w:rPr>
          <w:rFonts w:ascii="Times New Roman" w:hAnsi="Times New Roman" w:cs="Times New Roman"/>
          <w:sz w:val="24"/>
          <w:szCs w:val="24"/>
        </w:rPr>
        <w:t>G</w:t>
      </w:r>
      <w:r w:rsidR="00EC05B6">
        <w:rPr>
          <w:rFonts w:ascii="Times New Roman" w:hAnsi="Times New Roman" w:cs="Times New Roman"/>
          <w:sz w:val="24"/>
          <w:szCs w:val="24"/>
        </w:rPr>
        <w:t>.</w:t>
      </w:r>
      <w:r w:rsidR="00960BA7">
        <w:rPr>
          <w:rFonts w:ascii="Times New Roman" w:hAnsi="Times New Roman" w:cs="Times New Roman"/>
          <w:sz w:val="24"/>
          <w:szCs w:val="24"/>
        </w:rPr>
        <w:t xml:space="preserve"> The correlation matrix produces Pearson correlation coefficients between every pair of variables and reveals that there is no significant relationship between any of the variables.</w:t>
      </w:r>
      <w:r w:rsidR="008B3861">
        <w:rPr>
          <w:rFonts w:ascii="Times New Roman" w:hAnsi="Times New Roman" w:cs="Times New Roman"/>
          <w:sz w:val="24"/>
          <w:szCs w:val="24"/>
        </w:rPr>
        <w:t xml:space="preserve"> </w:t>
      </w:r>
      <w:r w:rsidR="008B4D32">
        <w:rPr>
          <w:rFonts w:ascii="Times New Roman" w:hAnsi="Times New Roman" w:cs="Times New Roman"/>
          <w:sz w:val="24"/>
          <w:szCs w:val="24"/>
        </w:rPr>
        <w:t>This means that i</w:t>
      </w:r>
      <w:r w:rsidR="008B3861">
        <w:rPr>
          <w:rFonts w:ascii="Times New Roman" w:hAnsi="Times New Roman" w:cs="Times New Roman"/>
          <w:sz w:val="24"/>
          <w:szCs w:val="24"/>
        </w:rPr>
        <w:t>n contrast to the correlations from the real income smoothing analysis, the correlations between artificial smoothing and two of the investor protection variabl</w:t>
      </w:r>
      <w:r w:rsidR="00DE3AC6">
        <w:rPr>
          <w:rFonts w:ascii="Times New Roman" w:hAnsi="Times New Roman" w:cs="Times New Roman"/>
          <w:sz w:val="24"/>
          <w:szCs w:val="24"/>
        </w:rPr>
        <w:t>es are negative. But I cannot draw any accurate conclusions from these correlations, because of the fact that they are not significant.</w:t>
      </w:r>
    </w:p>
    <w:p w:rsidR="00AD7D9D" w:rsidRDefault="00AD7D9D"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 model summary</w:t>
      </w:r>
      <w:r w:rsidR="00064591">
        <w:rPr>
          <w:rFonts w:ascii="Times New Roman" w:hAnsi="Times New Roman" w:cs="Times New Roman"/>
          <w:sz w:val="24"/>
          <w:szCs w:val="24"/>
        </w:rPr>
        <w:t xml:space="preserve"> shows that the three variables hardly explain 2% of the variation in artificial income smoothing.</w:t>
      </w:r>
      <w:r w:rsidR="000E33BC">
        <w:rPr>
          <w:rFonts w:ascii="Times New Roman" w:hAnsi="Times New Roman" w:cs="Times New Roman"/>
          <w:sz w:val="24"/>
          <w:szCs w:val="24"/>
        </w:rPr>
        <w:t xml:space="preserve"> So, the three predictors used in the model are not good at predicting the variation in the dependent variable.</w:t>
      </w:r>
      <w:r w:rsidR="005D5D01">
        <w:rPr>
          <w:rFonts w:ascii="Times New Roman" w:hAnsi="Times New Roman" w:cs="Times New Roman"/>
          <w:sz w:val="24"/>
          <w:szCs w:val="24"/>
        </w:rPr>
        <w:t xml:space="preserve"> </w:t>
      </w:r>
    </w:p>
    <w:p w:rsidR="00C52109" w:rsidRDefault="00C52109" w:rsidP="00CC10E3">
      <w:pPr>
        <w:pStyle w:val="BodyText"/>
        <w:spacing w:line="360" w:lineRule="auto"/>
        <w:contextualSpacing/>
        <w:rPr>
          <w:rFonts w:ascii="Times New Roman" w:hAnsi="Times New Roman" w:cs="Times New Roman"/>
          <w:sz w:val="24"/>
          <w:szCs w:val="24"/>
        </w:rPr>
      </w:pPr>
    </w:p>
    <w:p w:rsidR="0012582B" w:rsidRDefault="0012582B" w:rsidP="00DD7E4A">
      <w:pPr>
        <w:pStyle w:val="Heading4"/>
        <w:spacing w:line="360" w:lineRule="auto"/>
        <w:contextualSpacing/>
        <w:rPr>
          <w:rStyle w:val="SubtleReference"/>
          <w:rFonts w:ascii="Calibri" w:hAnsi="Calibri"/>
          <w:b w:val="0"/>
        </w:rPr>
      </w:pPr>
      <w:bookmarkStart w:id="95" w:name="_Toc268669770"/>
      <w:r w:rsidRPr="00F450E9">
        <w:rPr>
          <w:rStyle w:val="SubtleReference"/>
          <w:rFonts w:ascii="Calibri" w:hAnsi="Calibri"/>
          <w:b w:val="0"/>
        </w:rPr>
        <w:t>9.7.2</w:t>
      </w:r>
      <w:r w:rsidRPr="00F450E9">
        <w:rPr>
          <w:rStyle w:val="SubtleReference"/>
          <w:rFonts w:ascii="Calibri" w:hAnsi="Calibri"/>
          <w:b w:val="0"/>
        </w:rPr>
        <w:tab/>
        <w:t>Aggregate income smoothing</w:t>
      </w:r>
      <w:bookmarkEnd w:id="95"/>
    </w:p>
    <w:p w:rsidR="00DD7E4A" w:rsidRPr="00DD7E4A" w:rsidRDefault="00DD7E4A" w:rsidP="00DD7E4A"/>
    <w:p w:rsidR="001B1949" w:rsidRDefault="001B1949" w:rsidP="00DD7E4A">
      <w:pPr>
        <w:pStyle w:val="BodyText"/>
        <w:spacing w:line="360" w:lineRule="auto"/>
        <w:contextualSpacing/>
        <w:rPr>
          <w:rFonts w:ascii="Times New Roman" w:hAnsi="Times New Roman" w:cs="Times New Roman"/>
          <w:sz w:val="24"/>
          <w:szCs w:val="24"/>
        </w:rPr>
      </w:pPr>
      <w:r w:rsidRPr="00200CEB">
        <w:rPr>
          <w:rFonts w:ascii="Times New Roman" w:hAnsi="Times New Roman" w:cs="Times New Roman"/>
          <w:sz w:val="24"/>
          <w:szCs w:val="24"/>
        </w:rPr>
        <w:t>This section will discuss the</w:t>
      </w:r>
      <w:r>
        <w:rPr>
          <w:rFonts w:ascii="Times New Roman" w:hAnsi="Times New Roman" w:cs="Times New Roman"/>
          <w:sz w:val="24"/>
          <w:szCs w:val="24"/>
        </w:rPr>
        <w:t xml:space="preserve"> </w:t>
      </w:r>
      <w:r w:rsidR="0012582B">
        <w:rPr>
          <w:rFonts w:ascii="Times New Roman" w:hAnsi="Times New Roman" w:cs="Times New Roman"/>
          <w:sz w:val="24"/>
          <w:szCs w:val="24"/>
        </w:rPr>
        <w:t>statistical analysis</w:t>
      </w:r>
      <w:r w:rsidRPr="00200CEB">
        <w:rPr>
          <w:rFonts w:ascii="Times New Roman" w:hAnsi="Times New Roman" w:cs="Times New Roman"/>
          <w:sz w:val="24"/>
          <w:szCs w:val="24"/>
        </w:rPr>
        <w:t xml:space="preserve"> </w:t>
      </w:r>
      <w:r>
        <w:rPr>
          <w:rFonts w:ascii="Times New Roman" w:hAnsi="Times New Roman" w:cs="Times New Roman"/>
          <w:sz w:val="24"/>
          <w:szCs w:val="24"/>
        </w:rPr>
        <w:t xml:space="preserve">for the aggregate income smoothing </w:t>
      </w:r>
      <w:r w:rsidR="004F2A3F">
        <w:rPr>
          <w:rFonts w:ascii="Times New Roman" w:hAnsi="Times New Roman" w:cs="Times New Roman"/>
          <w:sz w:val="24"/>
          <w:szCs w:val="24"/>
        </w:rPr>
        <w:t>measure</w:t>
      </w:r>
      <w:r>
        <w:rPr>
          <w:rFonts w:ascii="Times New Roman" w:hAnsi="Times New Roman" w:cs="Times New Roman"/>
          <w:sz w:val="24"/>
          <w:szCs w:val="24"/>
        </w:rPr>
        <w:t xml:space="preserve"> </w:t>
      </w:r>
      <w:r w:rsidR="0012582B">
        <w:rPr>
          <w:rFonts w:ascii="Times New Roman" w:hAnsi="Times New Roman" w:cs="Times New Roman"/>
          <w:sz w:val="24"/>
          <w:szCs w:val="24"/>
        </w:rPr>
        <w:t>and its outcome in detail by looking at the</w:t>
      </w:r>
      <w:r w:rsidR="0012582B" w:rsidRPr="00472B83">
        <w:rPr>
          <w:rFonts w:ascii="Times New Roman" w:hAnsi="Times New Roman" w:cs="Times New Roman"/>
          <w:sz w:val="24"/>
          <w:szCs w:val="24"/>
        </w:rPr>
        <w:t xml:space="preserve"> results of the correlation matrix and the regression analysis.</w:t>
      </w:r>
    </w:p>
    <w:p w:rsidR="00E67CA6" w:rsidRDefault="00CA1960" w:rsidP="00F450E9">
      <w:pPr>
        <w:pStyle w:val="Heading4"/>
        <w:rPr>
          <w:rStyle w:val="SubtleReference"/>
          <w:rFonts w:ascii="Calibri" w:hAnsi="Calibri"/>
          <w:b w:val="0"/>
        </w:rPr>
      </w:pPr>
      <w:bookmarkStart w:id="96" w:name="_Toc268669771"/>
      <w:r w:rsidRPr="00F450E9">
        <w:rPr>
          <w:rStyle w:val="SubtleReference"/>
          <w:rFonts w:ascii="Calibri" w:hAnsi="Calibri"/>
          <w:b w:val="0"/>
        </w:rPr>
        <w:lastRenderedPageBreak/>
        <w:t>9.7.</w:t>
      </w:r>
      <w:r w:rsidR="00A3187F">
        <w:rPr>
          <w:rStyle w:val="SubtleReference"/>
          <w:rFonts w:ascii="Calibri" w:hAnsi="Calibri"/>
          <w:b w:val="0"/>
        </w:rPr>
        <w:t>2.</w:t>
      </w:r>
      <w:r w:rsidRPr="00F450E9">
        <w:rPr>
          <w:rStyle w:val="SubtleReference"/>
          <w:rFonts w:ascii="Calibri" w:hAnsi="Calibri"/>
          <w:b w:val="0"/>
        </w:rPr>
        <w:t>1</w:t>
      </w:r>
      <w:r w:rsidR="00A3187F">
        <w:rPr>
          <w:rStyle w:val="SubtleReference"/>
          <w:rFonts w:ascii="Calibri" w:hAnsi="Calibri"/>
          <w:b w:val="0"/>
        </w:rPr>
        <w:tab/>
      </w:r>
      <w:r w:rsidR="00A3187F">
        <w:rPr>
          <w:rStyle w:val="SubtleReference"/>
          <w:rFonts w:ascii="Calibri" w:hAnsi="Calibri"/>
          <w:b w:val="0"/>
        </w:rPr>
        <w:tab/>
      </w:r>
      <w:r w:rsidR="00846F18" w:rsidRPr="00F450E9">
        <w:rPr>
          <w:rStyle w:val="SubtleReference"/>
          <w:rFonts w:ascii="Calibri" w:hAnsi="Calibri"/>
          <w:b w:val="0"/>
        </w:rPr>
        <w:t>Correlation matrix</w:t>
      </w:r>
      <w:bookmarkEnd w:id="96"/>
    </w:p>
    <w:p w:rsidR="00DD7E4A" w:rsidRPr="00DD7E4A" w:rsidRDefault="00DD7E4A" w:rsidP="00DD7E4A"/>
    <w:p w:rsidR="00020919" w:rsidRPr="00472B83" w:rsidRDefault="001C5CE2" w:rsidP="00CC10E3">
      <w:pPr>
        <w:autoSpaceDE w:val="0"/>
        <w:autoSpaceDN w:val="0"/>
        <w:adjustRightInd w:val="0"/>
        <w:spacing w:after="0" w:line="360" w:lineRule="auto"/>
        <w:contextualSpacing/>
        <w:rPr>
          <w:rFonts w:ascii="Times New Roman" w:hAnsi="Times New Roman" w:cs="Times New Roman"/>
          <w:sz w:val="24"/>
          <w:szCs w:val="24"/>
        </w:rPr>
      </w:pPr>
      <w:r w:rsidRPr="00472B83">
        <w:rPr>
          <w:rFonts w:ascii="Times New Roman" w:hAnsi="Times New Roman" w:cs="Times New Roman"/>
          <w:sz w:val="24"/>
          <w:szCs w:val="24"/>
        </w:rPr>
        <w:t>We will first take a look at the correlation between the aggregate income smoothing score and investor protection variables.</w:t>
      </w:r>
      <w:r w:rsidR="00001521" w:rsidRPr="00472B83">
        <w:rPr>
          <w:rFonts w:ascii="Times New Roman" w:hAnsi="Times New Roman" w:cs="Times New Roman"/>
          <w:sz w:val="24"/>
          <w:szCs w:val="24"/>
        </w:rPr>
        <w:t xml:space="preserve"> The correlation </w:t>
      </w:r>
      <w:r w:rsidR="002B5C46" w:rsidRPr="00472B83">
        <w:rPr>
          <w:rFonts w:ascii="Times New Roman" w:hAnsi="Times New Roman" w:cs="Times New Roman"/>
          <w:sz w:val="24"/>
          <w:szCs w:val="24"/>
        </w:rPr>
        <w:t xml:space="preserve">matrix </w:t>
      </w:r>
      <w:r w:rsidR="00517EE1" w:rsidRPr="00472B83">
        <w:rPr>
          <w:rFonts w:ascii="Times New Roman" w:hAnsi="Times New Roman" w:cs="Times New Roman"/>
          <w:sz w:val="24"/>
          <w:szCs w:val="24"/>
        </w:rPr>
        <w:t xml:space="preserve">in </w:t>
      </w:r>
      <w:r w:rsidR="007316A0">
        <w:rPr>
          <w:rFonts w:ascii="Times New Roman" w:hAnsi="Times New Roman" w:cs="Times New Roman"/>
          <w:sz w:val="24"/>
          <w:szCs w:val="24"/>
        </w:rPr>
        <w:t xml:space="preserve">table </w:t>
      </w:r>
      <w:r w:rsidR="00982AB2">
        <w:rPr>
          <w:rFonts w:ascii="Times New Roman" w:hAnsi="Times New Roman" w:cs="Times New Roman"/>
          <w:sz w:val="24"/>
          <w:szCs w:val="24"/>
        </w:rPr>
        <w:t>6</w:t>
      </w:r>
      <w:r w:rsidR="00517EE1" w:rsidRPr="00472B83">
        <w:rPr>
          <w:rFonts w:ascii="Times New Roman" w:hAnsi="Times New Roman" w:cs="Times New Roman"/>
          <w:sz w:val="24"/>
          <w:szCs w:val="24"/>
        </w:rPr>
        <w:t xml:space="preserve"> </w:t>
      </w:r>
      <w:r w:rsidR="002B5C46" w:rsidRPr="00472B83">
        <w:rPr>
          <w:rFonts w:ascii="Times New Roman" w:hAnsi="Times New Roman" w:cs="Times New Roman"/>
          <w:sz w:val="24"/>
          <w:szCs w:val="24"/>
        </w:rPr>
        <w:t>shows</w:t>
      </w:r>
      <w:r w:rsidR="006B168B" w:rsidRPr="00472B83">
        <w:rPr>
          <w:rFonts w:ascii="Times New Roman" w:hAnsi="Times New Roman" w:cs="Times New Roman"/>
          <w:sz w:val="24"/>
          <w:szCs w:val="24"/>
        </w:rPr>
        <w:t xml:space="preserve"> that there are no significant correlations between the aggregate income smoothing score and any one of the investor protection variables.</w:t>
      </w:r>
      <w:r w:rsidR="0034727E" w:rsidRPr="00472B83">
        <w:rPr>
          <w:rFonts w:ascii="Times New Roman" w:hAnsi="Times New Roman" w:cs="Times New Roman"/>
          <w:sz w:val="24"/>
          <w:szCs w:val="24"/>
        </w:rPr>
        <w:t xml:space="preserve"> </w:t>
      </w:r>
      <w:r w:rsidR="00472B83" w:rsidRPr="00472B83">
        <w:rPr>
          <w:rFonts w:ascii="Times New Roman" w:hAnsi="Times New Roman" w:cs="Times New Roman"/>
          <w:sz w:val="24"/>
          <w:szCs w:val="24"/>
        </w:rPr>
        <w:t>Usually, social scientists accept any probability value below 0.05 as</w:t>
      </w:r>
      <w:r w:rsidR="00472B83">
        <w:rPr>
          <w:rFonts w:ascii="Times New Roman" w:hAnsi="Times New Roman" w:cs="Times New Roman"/>
          <w:sz w:val="24"/>
          <w:szCs w:val="24"/>
        </w:rPr>
        <w:t xml:space="preserve"> </w:t>
      </w:r>
      <w:r w:rsidR="00472B83" w:rsidRPr="00472B83">
        <w:rPr>
          <w:rFonts w:ascii="Times New Roman" w:hAnsi="Times New Roman" w:cs="Times New Roman"/>
          <w:sz w:val="24"/>
          <w:szCs w:val="24"/>
        </w:rPr>
        <w:t>being statistically meaningful and so any probability value below 0.05 is regarded as indicative of genuine effect</w:t>
      </w:r>
      <w:r w:rsidR="00472B83">
        <w:rPr>
          <w:rFonts w:ascii="Times New Roman" w:hAnsi="Times New Roman" w:cs="Times New Roman"/>
          <w:sz w:val="24"/>
          <w:szCs w:val="24"/>
        </w:rPr>
        <w:t xml:space="preserve"> (Field, 2005).</w:t>
      </w:r>
    </w:p>
    <w:p w:rsidR="0014182B" w:rsidRDefault="0014182B" w:rsidP="00CC10E3">
      <w:pPr>
        <w:autoSpaceDE w:val="0"/>
        <w:autoSpaceDN w:val="0"/>
        <w:adjustRightInd w:val="0"/>
        <w:spacing w:after="0" w:line="360" w:lineRule="auto"/>
        <w:contextualSpacing/>
        <w:rPr>
          <w:rFonts w:ascii="Times New Roman" w:hAnsi="Times New Roman" w:cs="Times New Roman"/>
          <w:sz w:val="24"/>
          <w:szCs w:val="24"/>
        </w:rPr>
      </w:pPr>
    </w:p>
    <w:p w:rsidR="0014182B" w:rsidRPr="0014182B" w:rsidRDefault="00864AD4" w:rsidP="00CC10E3">
      <w:pPr>
        <w:autoSpaceDE w:val="0"/>
        <w:autoSpaceDN w:val="0"/>
        <w:adjustRightInd w:val="0"/>
        <w:spacing w:after="0" w:line="360" w:lineRule="auto"/>
        <w:contextualSpacing/>
        <w:rPr>
          <w:rFonts w:ascii="Times New Roman" w:hAnsi="Times New Roman" w:cs="Times New Roman"/>
          <w:sz w:val="24"/>
          <w:szCs w:val="24"/>
        </w:rPr>
      </w:pPr>
      <w:r>
        <w:rPr>
          <w:rFonts w:ascii="Times New Roman" w:hAnsi="Times New Roman" w:cs="Times New Roman"/>
          <w:i/>
          <w:sz w:val="24"/>
          <w:szCs w:val="24"/>
        </w:rPr>
        <w:t>Table</w:t>
      </w:r>
      <w:r w:rsidR="0014182B" w:rsidRPr="00404C86">
        <w:rPr>
          <w:rFonts w:ascii="Times New Roman" w:hAnsi="Times New Roman" w:cs="Times New Roman"/>
          <w:i/>
          <w:sz w:val="24"/>
          <w:szCs w:val="24"/>
        </w:rPr>
        <w:t xml:space="preserve"> </w:t>
      </w:r>
      <w:r w:rsidR="00982AB2">
        <w:rPr>
          <w:rFonts w:ascii="Times New Roman" w:hAnsi="Times New Roman" w:cs="Times New Roman"/>
          <w:i/>
          <w:sz w:val="24"/>
          <w:szCs w:val="24"/>
        </w:rPr>
        <w:t>6</w:t>
      </w:r>
      <w:r w:rsidR="00984C2B">
        <w:rPr>
          <w:rFonts w:ascii="Times New Roman" w:hAnsi="Times New Roman" w:cs="Times New Roman"/>
          <w:sz w:val="24"/>
          <w:szCs w:val="24"/>
        </w:rPr>
        <w:tab/>
      </w:r>
      <w:r w:rsidR="00984C2B" w:rsidRPr="0014182B">
        <w:rPr>
          <w:rFonts w:ascii="Arial" w:hAnsi="Arial" w:cs="Arial"/>
          <w:b/>
          <w:bCs/>
          <w:color w:val="000000"/>
          <w:sz w:val="18"/>
          <w:szCs w:val="18"/>
        </w:rPr>
        <w:t>Correlations</w:t>
      </w:r>
    </w:p>
    <w:tbl>
      <w:tblPr>
        <w:tblW w:w="10080" w:type="dxa"/>
        <w:tblInd w:w="-4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4"/>
        <w:gridCol w:w="2429"/>
        <w:gridCol w:w="1308"/>
        <w:gridCol w:w="1455"/>
        <w:gridCol w:w="1457"/>
        <w:gridCol w:w="1457"/>
      </w:tblGrid>
      <w:tr w:rsidR="0014182B" w:rsidRPr="0014182B" w:rsidTr="0014182B">
        <w:trPr>
          <w:cantSplit/>
          <w:tblHeader/>
        </w:trPr>
        <w:tc>
          <w:tcPr>
            <w:tcW w:w="10080" w:type="dxa"/>
            <w:gridSpan w:val="6"/>
            <w:tcBorders>
              <w:top w:val="nil"/>
              <w:left w:val="nil"/>
              <w:bottom w:val="nil"/>
              <w:right w:val="nil"/>
            </w:tcBorders>
            <w:shd w:val="clear" w:color="auto" w:fill="FFFFFF"/>
            <w:vAlign w:val="center"/>
          </w:tcPr>
          <w:p w:rsidR="0014182B" w:rsidRPr="0014182B" w:rsidRDefault="0014182B" w:rsidP="00CC10E3">
            <w:pPr>
              <w:autoSpaceDE w:val="0"/>
              <w:autoSpaceDN w:val="0"/>
              <w:adjustRightInd w:val="0"/>
              <w:spacing w:after="0" w:line="360" w:lineRule="auto"/>
              <w:ind w:left="60" w:right="60"/>
              <w:contextualSpacing/>
              <w:jc w:val="center"/>
              <w:rPr>
                <w:rFonts w:ascii="Arial" w:hAnsi="Arial" w:cs="Arial"/>
                <w:color w:val="000000"/>
                <w:sz w:val="18"/>
                <w:szCs w:val="18"/>
              </w:rPr>
            </w:pPr>
          </w:p>
        </w:tc>
      </w:tr>
      <w:tr w:rsidR="0014182B" w:rsidRPr="0014182B" w:rsidTr="0014182B">
        <w:trPr>
          <w:cantSplit/>
          <w:tblHeader/>
        </w:trPr>
        <w:tc>
          <w:tcPr>
            <w:tcW w:w="440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14182B" w:rsidRPr="0014182B" w:rsidRDefault="0014182B" w:rsidP="00CC10E3">
            <w:pPr>
              <w:autoSpaceDE w:val="0"/>
              <w:autoSpaceDN w:val="0"/>
              <w:adjustRightInd w:val="0"/>
              <w:spacing w:after="0" w:line="360" w:lineRule="auto"/>
              <w:contextualSpacing/>
              <w:jc w:val="center"/>
              <w:rPr>
                <w:rFonts w:ascii="Times New Roman" w:hAnsi="Times New Roman" w:cs="Times New Roman"/>
                <w:sz w:val="24"/>
                <w:szCs w:val="24"/>
              </w:rPr>
            </w:pPr>
          </w:p>
        </w:tc>
        <w:tc>
          <w:tcPr>
            <w:tcW w:w="1308" w:type="dxa"/>
            <w:tcBorders>
              <w:top w:val="single" w:sz="16" w:space="0" w:color="000000"/>
              <w:left w:val="single" w:sz="16" w:space="0" w:color="000000"/>
              <w:bottom w:val="single" w:sz="16" w:space="0" w:color="000000"/>
            </w:tcBorders>
            <w:shd w:val="clear" w:color="auto" w:fill="FFFFFF"/>
            <w:vAlign w:val="bottom"/>
          </w:tcPr>
          <w:p w:rsidR="0014182B" w:rsidRPr="0014182B" w:rsidRDefault="0014182B" w:rsidP="00CC10E3">
            <w:pPr>
              <w:autoSpaceDE w:val="0"/>
              <w:autoSpaceDN w:val="0"/>
              <w:adjustRightInd w:val="0"/>
              <w:spacing w:after="0" w:line="360" w:lineRule="auto"/>
              <w:ind w:left="60" w:right="60"/>
              <w:contextualSpacing/>
              <w:jc w:val="center"/>
              <w:rPr>
                <w:rFonts w:ascii="Arial" w:hAnsi="Arial" w:cs="Arial"/>
                <w:color w:val="000000"/>
                <w:sz w:val="18"/>
                <w:szCs w:val="18"/>
              </w:rPr>
            </w:pPr>
            <w:r w:rsidRPr="0014182B">
              <w:rPr>
                <w:rFonts w:ascii="Arial" w:hAnsi="Arial" w:cs="Arial"/>
                <w:color w:val="000000"/>
                <w:sz w:val="18"/>
                <w:szCs w:val="18"/>
              </w:rPr>
              <w:t>Aggregate</w:t>
            </w:r>
            <w:r>
              <w:rPr>
                <w:rFonts w:ascii="Arial" w:hAnsi="Arial" w:cs="Arial"/>
                <w:color w:val="000000"/>
                <w:sz w:val="18"/>
                <w:szCs w:val="18"/>
              </w:rPr>
              <w:t xml:space="preserve"> </w:t>
            </w:r>
            <w:r w:rsidRPr="0014182B">
              <w:rPr>
                <w:rFonts w:ascii="Arial" w:hAnsi="Arial" w:cs="Arial"/>
                <w:color w:val="000000"/>
                <w:sz w:val="18"/>
                <w:szCs w:val="18"/>
              </w:rPr>
              <w:t>IS</w:t>
            </w:r>
          </w:p>
        </w:tc>
        <w:tc>
          <w:tcPr>
            <w:tcW w:w="1455" w:type="dxa"/>
            <w:tcBorders>
              <w:top w:val="single" w:sz="16" w:space="0" w:color="000000"/>
              <w:bottom w:val="single" w:sz="16" w:space="0" w:color="000000"/>
            </w:tcBorders>
            <w:shd w:val="clear" w:color="auto" w:fill="FFFFFF"/>
            <w:vAlign w:val="bottom"/>
          </w:tcPr>
          <w:p w:rsidR="0014182B" w:rsidRPr="0014182B" w:rsidRDefault="0014182B" w:rsidP="00CC10E3">
            <w:pPr>
              <w:autoSpaceDE w:val="0"/>
              <w:autoSpaceDN w:val="0"/>
              <w:adjustRightInd w:val="0"/>
              <w:spacing w:after="0" w:line="360" w:lineRule="auto"/>
              <w:ind w:left="60" w:right="60"/>
              <w:contextualSpacing/>
              <w:jc w:val="center"/>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ante</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457" w:type="dxa"/>
            <w:tcBorders>
              <w:top w:val="single" w:sz="16" w:space="0" w:color="000000"/>
              <w:bottom w:val="single" w:sz="16" w:space="0" w:color="000000"/>
            </w:tcBorders>
            <w:shd w:val="clear" w:color="auto" w:fill="FFFFFF"/>
            <w:vAlign w:val="bottom"/>
          </w:tcPr>
          <w:p w:rsidR="0014182B" w:rsidRPr="0014182B" w:rsidRDefault="0014182B" w:rsidP="00CC10E3">
            <w:pPr>
              <w:autoSpaceDE w:val="0"/>
              <w:autoSpaceDN w:val="0"/>
              <w:adjustRightInd w:val="0"/>
              <w:spacing w:after="0" w:line="360" w:lineRule="auto"/>
              <w:ind w:left="60" w:right="60"/>
              <w:contextualSpacing/>
              <w:jc w:val="center"/>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post</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457" w:type="dxa"/>
            <w:tcBorders>
              <w:top w:val="single" w:sz="16" w:space="0" w:color="000000"/>
              <w:bottom w:val="single" w:sz="16" w:space="0" w:color="000000"/>
              <w:right w:val="single" w:sz="16" w:space="0" w:color="000000"/>
            </w:tcBorders>
            <w:shd w:val="clear" w:color="auto" w:fill="FFFFFF"/>
            <w:vAlign w:val="bottom"/>
          </w:tcPr>
          <w:p w:rsidR="0014182B" w:rsidRPr="0014182B" w:rsidRDefault="0014182B" w:rsidP="00CC10E3">
            <w:pPr>
              <w:autoSpaceDE w:val="0"/>
              <w:autoSpaceDN w:val="0"/>
              <w:adjustRightInd w:val="0"/>
              <w:spacing w:after="0" w:line="360" w:lineRule="auto"/>
              <w:ind w:left="60" w:right="60"/>
              <w:contextualSpacing/>
              <w:jc w:val="center"/>
              <w:rPr>
                <w:rFonts w:ascii="Arial" w:hAnsi="Arial" w:cs="Arial"/>
                <w:color w:val="000000"/>
                <w:sz w:val="18"/>
                <w:szCs w:val="18"/>
              </w:rPr>
            </w:pPr>
            <w:r w:rsidRPr="0014182B">
              <w:rPr>
                <w:rFonts w:ascii="Arial" w:hAnsi="Arial" w:cs="Arial"/>
                <w:color w:val="000000"/>
                <w:sz w:val="18"/>
                <w:szCs w:val="18"/>
              </w:rPr>
              <w:t>Public</w:t>
            </w:r>
            <w:r>
              <w:rPr>
                <w:rFonts w:ascii="Arial" w:hAnsi="Arial" w:cs="Arial"/>
                <w:color w:val="000000"/>
                <w:sz w:val="18"/>
                <w:szCs w:val="18"/>
              </w:rPr>
              <w:t xml:space="preserve"> </w:t>
            </w:r>
            <w:r w:rsidRPr="0014182B">
              <w:rPr>
                <w:rFonts w:ascii="Arial" w:hAnsi="Arial" w:cs="Arial"/>
                <w:color w:val="000000"/>
                <w:sz w:val="18"/>
                <w:szCs w:val="18"/>
              </w:rPr>
              <w:t>enforcement</w:t>
            </w:r>
          </w:p>
        </w:tc>
      </w:tr>
      <w:tr w:rsidR="0014182B" w:rsidRPr="0014182B" w:rsidTr="0014182B">
        <w:trPr>
          <w:cantSplit/>
          <w:tblHeader/>
        </w:trPr>
        <w:tc>
          <w:tcPr>
            <w:tcW w:w="1974" w:type="dxa"/>
            <w:vMerge w:val="restart"/>
            <w:tcBorders>
              <w:top w:val="single" w:sz="16" w:space="0" w:color="000000"/>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Pearson Correlation</w:t>
            </w:r>
          </w:p>
        </w:tc>
        <w:tc>
          <w:tcPr>
            <w:tcW w:w="2429" w:type="dxa"/>
            <w:tcBorders>
              <w:top w:val="single" w:sz="16" w:space="0" w:color="000000"/>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Aggregate</w:t>
            </w:r>
            <w:r>
              <w:rPr>
                <w:rFonts w:ascii="Arial" w:hAnsi="Arial" w:cs="Arial"/>
                <w:color w:val="000000"/>
                <w:sz w:val="18"/>
                <w:szCs w:val="18"/>
              </w:rPr>
              <w:t xml:space="preserve"> </w:t>
            </w:r>
            <w:r w:rsidRPr="0014182B">
              <w:rPr>
                <w:rFonts w:ascii="Arial" w:hAnsi="Arial" w:cs="Arial"/>
                <w:color w:val="000000"/>
                <w:sz w:val="18"/>
                <w:szCs w:val="18"/>
              </w:rPr>
              <w:t>IS</w:t>
            </w:r>
          </w:p>
        </w:tc>
        <w:tc>
          <w:tcPr>
            <w:tcW w:w="1308" w:type="dxa"/>
            <w:tcBorders>
              <w:top w:val="single" w:sz="16" w:space="0" w:color="000000"/>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1.000</w:t>
            </w:r>
          </w:p>
        </w:tc>
        <w:tc>
          <w:tcPr>
            <w:tcW w:w="1455" w:type="dxa"/>
            <w:tcBorders>
              <w:top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-.288</w:t>
            </w:r>
          </w:p>
        </w:tc>
        <w:tc>
          <w:tcPr>
            <w:tcW w:w="1457" w:type="dxa"/>
            <w:tcBorders>
              <w:top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-.274</w:t>
            </w:r>
          </w:p>
        </w:tc>
        <w:tc>
          <w:tcPr>
            <w:tcW w:w="1457" w:type="dxa"/>
            <w:tcBorders>
              <w:top w:val="single" w:sz="16" w:space="0" w:color="000000"/>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.275</w:t>
            </w:r>
          </w:p>
        </w:tc>
      </w:tr>
      <w:tr w:rsidR="0014182B" w:rsidRPr="0014182B" w:rsidTr="0014182B">
        <w:trPr>
          <w:cantSplit/>
          <w:tblHeader/>
        </w:trPr>
        <w:tc>
          <w:tcPr>
            <w:tcW w:w="1974" w:type="dxa"/>
            <w:vMerge/>
            <w:tcBorders>
              <w:top w:val="single" w:sz="16" w:space="0" w:color="000000"/>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ante</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-.288</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1.000</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.540</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-.224</w:t>
            </w:r>
          </w:p>
        </w:tc>
      </w:tr>
      <w:tr w:rsidR="0014182B" w:rsidRPr="0014182B" w:rsidTr="0014182B">
        <w:trPr>
          <w:cantSplit/>
          <w:tblHeader/>
        </w:trPr>
        <w:tc>
          <w:tcPr>
            <w:tcW w:w="1974" w:type="dxa"/>
            <w:vMerge/>
            <w:tcBorders>
              <w:top w:val="single" w:sz="16" w:space="0" w:color="000000"/>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post</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-.274</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.540</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1.000</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-.095</w:t>
            </w:r>
          </w:p>
        </w:tc>
      </w:tr>
      <w:tr w:rsidR="0014182B" w:rsidRPr="0014182B" w:rsidTr="0014182B">
        <w:trPr>
          <w:cantSplit/>
          <w:tblHeader/>
        </w:trPr>
        <w:tc>
          <w:tcPr>
            <w:tcW w:w="1974" w:type="dxa"/>
            <w:vMerge/>
            <w:tcBorders>
              <w:top w:val="single" w:sz="16" w:space="0" w:color="000000"/>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Public</w:t>
            </w:r>
            <w:r>
              <w:rPr>
                <w:rFonts w:ascii="Arial" w:hAnsi="Arial" w:cs="Arial"/>
                <w:color w:val="000000"/>
                <w:sz w:val="18"/>
                <w:szCs w:val="18"/>
              </w:rPr>
              <w:t xml:space="preserve"> </w:t>
            </w:r>
            <w:r w:rsidRPr="0014182B">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.275</w:t>
            </w:r>
          </w:p>
        </w:tc>
        <w:tc>
          <w:tcPr>
            <w:tcW w:w="1455" w:type="dxa"/>
            <w:tcBorders>
              <w:top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-.224</w:t>
            </w:r>
          </w:p>
        </w:tc>
        <w:tc>
          <w:tcPr>
            <w:tcW w:w="1457" w:type="dxa"/>
            <w:tcBorders>
              <w:top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-.095</w:t>
            </w:r>
          </w:p>
        </w:tc>
        <w:tc>
          <w:tcPr>
            <w:tcW w:w="1457" w:type="dxa"/>
            <w:tcBorders>
              <w:top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1.000</w:t>
            </w:r>
          </w:p>
        </w:tc>
      </w:tr>
      <w:tr w:rsidR="0014182B" w:rsidRPr="0014182B" w:rsidTr="0014182B">
        <w:trPr>
          <w:cantSplit/>
          <w:tblHeader/>
        </w:trPr>
        <w:tc>
          <w:tcPr>
            <w:tcW w:w="1974" w:type="dxa"/>
            <w:vMerge w:val="restart"/>
            <w:tcBorders>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Sig. (1-tailed)</w:t>
            </w:r>
          </w:p>
        </w:tc>
        <w:tc>
          <w:tcPr>
            <w:tcW w:w="2429" w:type="dxa"/>
            <w:tcBorders>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Aggregate</w:t>
            </w:r>
            <w:r>
              <w:rPr>
                <w:rFonts w:ascii="Arial" w:hAnsi="Arial" w:cs="Arial"/>
                <w:color w:val="000000"/>
                <w:sz w:val="18"/>
                <w:szCs w:val="18"/>
              </w:rPr>
              <w:t xml:space="preserve"> </w:t>
            </w:r>
            <w:r w:rsidRPr="0014182B">
              <w:rPr>
                <w:rFonts w:ascii="Arial" w:hAnsi="Arial" w:cs="Arial"/>
                <w:color w:val="000000"/>
                <w:sz w:val="18"/>
                <w:szCs w:val="18"/>
              </w:rPr>
              <w:t>IS</w:t>
            </w:r>
          </w:p>
        </w:tc>
        <w:tc>
          <w:tcPr>
            <w:tcW w:w="1308" w:type="dxa"/>
            <w:tcBorders>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w:t>
            </w:r>
          </w:p>
        </w:tc>
        <w:tc>
          <w:tcPr>
            <w:tcW w:w="1455" w:type="dxa"/>
            <w:tcBorders>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.058</w:t>
            </w:r>
          </w:p>
        </w:tc>
        <w:tc>
          <w:tcPr>
            <w:tcW w:w="1457" w:type="dxa"/>
            <w:tcBorders>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.068</w:t>
            </w:r>
          </w:p>
        </w:tc>
        <w:tc>
          <w:tcPr>
            <w:tcW w:w="1457" w:type="dxa"/>
            <w:tcBorders>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.067</w:t>
            </w:r>
          </w:p>
        </w:tc>
      </w:tr>
      <w:tr w:rsidR="0014182B" w:rsidRPr="0014182B" w:rsidTr="0014182B">
        <w:trPr>
          <w:cantSplit/>
          <w:tblHeader/>
        </w:trPr>
        <w:tc>
          <w:tcPr>
            <w:tcW w:w="1974" w:type="dxa"/>
            <w:vMerge/>
            <w:tcBorders>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ante</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.058</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.001</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.113</w:t>
            </w:r>
          </w:p>
        </w:tc>
      </w:tr>
      <w:tr w:rsidR="0014182B" w:rsidRPr="0014182B" w:rsidTr="0014182B">
        <w:trPr>
          <w:cantSplit/>
          <w:tblHeader/>
        </w:trPr>
        <w:tc>
          <w:tcPr>
            <w:tcW w:w="1974" w:type="dxa"/>
            <w:vMerge/>
            <w:tcBorders>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post</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.068</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.001</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.306</w:t>
            </w:r>
          </w:p>
        </w:tc>
      </w:tr>
      <w:tr w:rsidR="0014182B" w:rsidRPr="0014182B" w:rsidTr="0014182B">
        <w:trPr>
          <w:cantSplit/>
          <w:tblHeader/>
        </w:trPr>
        <w:tc>
          <w:tcPr>
            <w:tcW w:w="1974" w:type="dxa"/>
            <w:vMerge/>
            <w:tcBorders>
              <w:left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Public</w:t>
            </w:r>
            <w:r>
              <w:rPr>
                <w:rFonts w:ascii="Arial" w:hAnsi="Arial" w:cs="Arial"/>
                <w:color w:val="000000"/>
                <w:sz w:val="18"/>
                <w:szCs w:val="18"/>
              </w:rPr>
              <w:t xml:space="preserve"> </w:t>
            </w:r>
            <w:r w:rsidRPr="0014182B">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.067</w:t>
            </w:r>
          </w:p>
        </w:tc>
        <w:tc>
          <w:tcPr>
            <w:tcW w:w="1455" w:type="dxa"/>
            <w:tcBorders>
              <w:top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.113</w:t>
            </w:r>
          </w:p>
        </w:tc>
        <w:tc>
          <w:tcPr>
            <w:tcW w:w="1457" w:type="dxa"/>
            <w:tcBorders>
              <w:top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.306</w:t>
            </w:r>
          </w:p>
        </w:tc>
        <w:tc>
          <w:tcPr>
            <w:tcW w:w="1457" w:type="dxa"/>
            <w:tcBorders>
              <w:top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w:t>
            </w:r>
          </w:p>
        </w:tc>
      </w:tr>
      <w:tr w:rsidR="0014182B" w:rsidRPr="0014182B" w:rsidTr="0014182B">
        <w:trPr>
          <w:cantSplit/>
          <w:tblHeader/>
        </w:trPr>
        <w:tc>
          <w:tcPr>
            <w:tcW w:w="1974" w:type="dxa"/>
            <w:vMerge w:val="restart"/>
            <w:tcBorders>
              <w:left w:val="single" w:sz="16" w:space="0" w:color="000000"/>
              <w:bottom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N</w:t>
            </w:r>
          </w:p>
        </w:tc>
        <w:tc>
          <w:tcPr>
            <w:tcW w:w="2429" w:type="dxa"/>
            <w:tcBorders>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Aggregate</w:t>
            </w:r>
            <w:r>
              <w:rPr>
                <w:rFonts w:ascii="Arial" w:hAnsi="Arial" w:cs="Arial"/>
                <w:color w:val="000000"/>
                <w:sz w:val="18"/>
                <w:szCs w:val="18"/>
              </w:rPr>
              <w:t xml:space="preserve"> </w:t>
            </w:r>
            <w:r w:rsidRPr="0014182B">
              <w:rPr>
                <w:rFonts w:ascii="Arial" w:hAnsi="Arial" w:cs="Arial"/>
                <w:color w:val="000000"/>
                <w:sz w:val="18"/>
                <w:szCs w:val="18"/>
              </w:rPr>
              <w:t>IS</w:t>
            </w:r>
          </w:p>
        </w:tc>
        <w:tc>
          <w:tcPr>
            <w:tcW w:w="1308" w:type="dxa"/>
            <w:tcBorders>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5" w:type="dxa"/>
            <w:tcBorders>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r>
      <w:tr w:rsidR="0014182B" w:rsidRPr="0014182B" w:rsidTr="0014182B">
        <w:trPr>
          <w:cantSplit/>
          <w:tblHeader/>
        </w:trPr>
        <w:tc>
          <w:tcPr>
            <w:tcW w:w="1974" w:type="dxa"/>
            <w:vMerge/>
            <w:tcBorders>
              <w:left w:val="single" w:sz="16" w:space="0" w:color="000000"/>
              <w:bottom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ante</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r>
      <w:tr w:rsidR="0014182B" w:rsidRPr="0014182B" w:rsidTr="0014182B">
        <w:trPr>
          <w:cantSplit/>
          <w:tblHeader/>
        </w:trPr>
        <w:tc>
          <w:tcPr>
            <w:tcW w:w="1974" w:type="dxa"/>
            <w:vMerge/>
            <w:tcBorders>
              <w:left w:val="single" w:sz="16" w:space="0" w:color="000000"/>
              <w:bottom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Ex</w:t>
            </w:r>
            <w:r>
              <w:rPr>
                <w:rFonts w:ascii="Arial" w:hAnsi="Arial" w:cs="Arial"/>
                <w:color w:val="000000"/>
                <w:sz w:val="18"/>
                <w:szCs w:val="18"/>
              </w:rPr>
              <w:t xml:space="preserve"> </w:t>
            </w:r>
            <w:r w:rsidRPr="0014182B">
              <w:rPr>
                <w:rFonts w:ascii="Arial" w:hAnsi="Arial" w:cs="Arial"/>
                <w:color w:val="000000"/>
                <w:sz w:val="18"/>
                <w:szCs w:val="18"/>
              </w:rPr>
              <w:t>post</w:t>
            </w:r>
            <w:r>
              <w:rPr>
                <w:rFonts w:ascii="Arial" w:hAnsi="Arial" w:cs="Arial"/>
                <w:color w:val="000000"/>
                <w:sz w:val="18"/>
                <w:szCs w:val="18"/>
              </w:rPr>
              <w:t xml:space="preserve"> </w:t>
            </w:r>
            <w:r w:rsidRPr="0014182B">
              <w:rPr>
                <w:rFonts w:ascii="Arial" w:hAnsi="Arial" w:cs="Arial"/>
                <w:color w:val="000000"/>
                <w:sz w:val="18"/>
                <w:szCs w:val="18"/>
              </w:rPr>
              <w:t>private</w:t>
            </w:r>
            <w:r>
              <w:rPr>
                <w:rFonts w:ascii="Arial" w:hAnsi="Arial" w:cs="Arial"/>
                <w:color w:val="000000"/>
                <w:sz w:val="18"/>
                <w:szCs w:val="18"/>
              </w:rPr>
              <w:t xml:space="preserve"> </w:t>
            </w:r>
            <w:r w:rsidRPr="0014182B">
              <w:rPr>
                <w:rFonts w:ascii="Arial" w:hAnsi="Arial" w:cs="Arial"/>
                <w:color w:val="000000"/>
                <w:sz w:val="18"/>
                <w:szCs w:val="18"/>
              </w:rPr>
              <w:t>control</w:t>
            </w:r>
            <w:r>
              <w:rPr>
                <w:rFonts w:ascii="Arial" w:hAnsi="Arial" w:cs="Arial"/>
                <w:color w:val="000000"/>
                <w:sz w:val="18"/>
                <w:szCs w:val="18"/>
              </w:rPr>
              <w:t xml:space="preserve"> </w:t>
            </w:r>
            <w:r w:rsidRPr="0014182B">
              <w:rPr>
                <w:rFonts w:ascii="Arial" w:hAnsi="Arial" w:cs="Arial"/>
                <w:color w:val="000000"/>
                <w:sz w:val="18"/>
                <w:szCs w:val="18"/>
              </w:rPr>
              <w:t>of</w:t>
            </w:r>
            <w:r>
              <w:rPr>
                <w:rFonts w:ascii="Arial" w:hAnsi="Arial" w:cs="Arial"/>
                <w:color w:val="000000"/>
                <w:sz w:val="18"/>
                <w:szCs w:val="18"/>
              </w:rPr>
              <w:t xml:space="preserve"> </w:t>
            </w:r>
            <w:r w:rsidRPr="0014182B">
              <w:rPr>
                <w:rFonts w:ascii="Arial" w:hAnsi="Arial" w:cs="Arial"/>
                <w:color w:val="000000"/>
                <w:sz w:val="18"/>
                <w:szCs w:val="18"/>
              </w:rPr>
              <w:t>self</w:t>
            </w:r>
            <w:r>
              <w:rPr>
                <w:rFonts w:ascii="Arial" w:hAnsi="Arial" w:cs="Arial"/>
                <w:color w:val="000000"/>
                <w:sz w:val="18"/>
                <w:szCs w:val="18"/>
              </w:rPr>
              <w:t>-</w:t>
            </w:r>
            <w:r w:rsidRPr="0014182B">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5"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nil"/>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nil"/>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r>
      <w:tr w:rsidR="0014182B" w:rsidRPr="0014182B" w:rsidTr="0014182B">
        <w:trPr>
          <w:cantSplit/>
        </w:trPr>
        <w:tc>
          <w:tcPr>
            <w:tcW w:w="1974" w:type="dxa"/>
            <w:vMerge/>
            <w:tcBorders>
              <w:left w:val="single" w:sz="16" w:space="0" w:color="000000"/>
              <w:bottom w:val="single" w:sz="16" w:space="0" w:color="000000"/>
              <w:right w:val="nil"/>
            </w:tcBorders>
            <w:shd w:val="clear" w:color="auto" w:fill="FFFFFF"/>
          </w:tcPr>
          <w:p w:rsidR="0014182B" w:rsidRPr="0014182B" w:rsidRDefault="0014182B" w:rsidP="00CC10E3">
            <w:pPr>
              <w:autoSpaceDE w:val="0"/>
              <w:autoSpaceDN w:val="0"/>
              <w:adjustRightInd w:val="0"/>
              <w:spacing w:after="0" w:line="360" w:lineRule="auto"/>
              <w:contextualSpacing/>
              <w:rPr>
                <w:rFonts w:ascii="Arial" w:hAnsi="Arial" w:cs="Arial"/>
                <w:color w:val="000000"/>
                <w:sz w:val="18"/>
                <w:szCs w:val="18"/>
              </w:rPr>
            </w:pPr>
          </w:p>
        </w:tc>
        <w:tc>
          <w:tcPr>
            <w:tcW w:w="2429" w:type="dxa"/>
            <w:tcBorders>
              <w:top w:val="nil"/>
              <w:left w:val="nil"/>
              <w:bottom w:val="single" w:sz="16" w:space="0" w:color="000000"/>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rPr>
                <w:rFonts w:ascii="Arial" w:hAnsi="Arial" w:cs="Arial"/>
                <w:color w:val="000000"/>
                <w:sz w:val="18"/>
                <w:szCs w:val="18"/>
              </w:rPr>
            </w:pPr>
            <w:r w:rsidRPr="0014182B">
              <w:rPr>
                <w:rFonts w:ascii="Arial" w:hAnsi="Arial" w:cs="Arial"/>
                <w:color w:val="000000"/>
                <w:sz w:val="18"/>
                <w:szCs w:val="18"/>
              </w:rPr>
              <w:t>Public</w:t>
            </w:r>
            <w:r>
              <w:rPr>
                <w:rFonts w:ascii="Arial" w:hAnsi="Arial" w:cs="Arial"/>
                <w:color w:val="000000"/>
                <w:sz w:val="18"/>
                <w:szCs w:val="18"/>
              </w:rPr>
              <w:t xml:space="preserve"> </w:t>
            </w:r>
            <w:r w:rsidRPr="0014182B">
              <w:rPr>
                <w:rFonts w:ascii="Arial" w:hAnsi="Arial" w:cs="Arial"/>
                <w:color w:val="000000"/>
                <w:sz w:val="18"/>
                <w:szCs w:val="18"/>
              </w:rPr>
              <w:t>enforcement</w:t>
            </w:r>
          </w:p>
        </w:tc>
        <w:tc>
          <w:tcPr>
            <w:tcW w:w="1308" w:type="dxa"/>
            <w:tcBorders>
              <w:top w:val="nil"/>
              <w:left w:val="single" w:sz="16" w:space="0" w:color="000000"/>
              <w:bottom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5" w:type="dxa"/>
            <w:tcBorders>
              <w:top w:val="nil"/>
              <w:bottom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c>
          <w:tcPr>
            <w:tcW w:w="1457" w:type="dxa"/>
            <w:tcBorders>
              <w:top w:val="nil"/>
              <w:bottom w:val="single" w:sz="16" w:space="0" w:color="000000"/>
              <w:right w:val="single" w:sz="16" w:space="0" w:color="000000"/>
            </w:tcBorders>
            <w:shd w:val="clear" w:color="auto" w:fill="FFFFFF"/>
          </w:tcPr>
          <w:p w:rsidR="0014182B" w:rsidRPr="0014182B" w:rsidRDefault="0014182B" w:rsidP="00CC10E3">
            <w:pPr>
              <w:autoSpaceDE w:val="0"/>
              <w:autoSpaceDN w:val="0"/>
              <w:adjustRightInd w:val="0"/>
              <w:spacing w:after="0" w:line="360" w:lineRule="auto"/>
              <w:ind w:left="60" w:right="60"/>
              <w:contextualSpacing/>
              <w:jc w:val="right"/>
              <w:rPr>
                <w:rFonts w:ascii="Arial" w:hAnsi="Arial" w:cs="Arial"/>
                <w:color w:val="000000"/>
                <w:sz w:val="18"/>
                <w:szCs w:val="18"/>
              </w:rPr>
            </w:pPr>
            <w:r w:rsidRPr="0014182B">
              <w:rPr>
                <w:rFonts w:ascii="Arial" w:hAnsi="Arial" w:cs="Arial"/>
                <w:color w:val="000000"/>
                <w:sz w:val="18"/>
                <w:szCs w:val="18"/>
              </w:rPr>
              <w:t>31</w:t>
            </w:r>
          </w:p>
        </w:tc>
      </w:tr>
    </w:tbl>
    <w:p w:rsidR="0014182B" w:rsidRPr="0014182B" w:rsidRDefault="0014182B" w:rsidP="00CC10E3">
      <w:pPr>
        <w:autoSpaceDE w:val="0"/>
        <w:autoSpaceDN w:val="0"/>
        <w:adjustRightInd w:val="0"/>
        <w:spacing w:after="0" w:line="360" w:lineRule="auto"/>
        <w:contextualSpacing/>
        <w:rPr>
          <w:rFonts w:ascii="Times New Roman" w:hAnsi="Times New Roman" w:cs="Times New Roman"/>
          <w:sz w:val="24"/>
          <w:szCs w:val="24"/>
        </w:rPr>
      </w:pPr>
    </w:p>
    <w:p w:rsidR="002B5C46" w:rsidRDefault="002B5C46" w:rsidP="00CC10E3">
      <w:pPr>
        <w:autoSpaceDE w:val="0"/>
        <w:autoSpaceDN w:val="0"/>
        <w:adjustRightInd w:val="0"/>
        <w:spacing w:after="0"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When we disregard </w:t>
      </w:r>
      <w:r w:rsidR="00A25AAA">
        <w:rPr>
          <w:rFonts w:ascii="Times New Roman" w:hAnsi="Times New Roman" w:cs="Times New Roman"/>
          <w:sz w:val="24"/>
          <w:szCs w:val="24"/>
        </w:rPr>
        <w:t xml:space="preserve">(for a moment) </w:t>
      </w:r>
      <w:r>
        <w:rPr>
          <w:rFonts w:ascii="Times New Roman" w:hAnsi="Times New Roman" w:cs="Times New Roman"/>
          <w:sz w:val="24"/>
          <w:szCs w:val="24"/>
        </w:rPr>
        <w:t>the fact that the correlations are not significant, and only look at the predictors, it becomes clear that the coefficients are rather small (R=0.224 and R=0.95). The only correlat</w:t>
      </w:r>
      <w:r w:rsidR="00AD12C6">
        <w:rPr>
          <w:rFonts w:ascii="Times New Roman" w:hAnsi="Times New Roman" w:cs="Times New Roman"/>
          <w:sz w:val="24"/>
          <w:szCs w:val="24"/>
        </w:rPr>
        <w:t>ion that is fairly high is the correlation between</w:t>
      </w:r>
      <w:r>
        <w:rPr>
          <w:rFonts w:ascii="Times New Roman" w:hAnsi="Times New Roman" w:cs="Times New Roman"/>
          <w:sz w:val="24"/>
          <w:szCs w:val="24"/>
        </w:rPr>
        <w:t xml:space="preserve"> ex post private control of self-dealing </w:t>
      </w:r>
      <w:r w:rsidR="00AD12C6">
        <w:rPr>
          <w:rFonts w:ascii="Times New Roman" w:hAnsi="Times New Roman" w:cs="Times New Roman"/>
          <w:sz w:val="24"/>
          <w:szCs w:val="24"/>
        </w:rPr>
        <w:t>and ex ante private control of self-dealing</w:t>
      </w:r>
      <w:r>
        <w:rPr>
          <w:rFonts w:ascii="Times New Roman" w:hAnsi="Times New Roman" w:cs="Times New Roman"/>
          <w:sz w:val="24"/>
          <w:szCs w:val="24"/>
        </w:rPr>
        <w:t xml:space="preserve">(R=0.540). It appears that, if the correlations were significant, the predictors are measuring different </w:t>
      </w:r>
      <w:r>
        <w:rPr>
          <w:rFonts w:ascii="Times New Roman" w:hAnsi="Times New Roman" w:cs="Times New Roman"/>
          <w:sz w:val="24"/>
          <w:szCs w:val="24"/>
        </w:rPr>
        <w:lastRenderedPageBreak/>
        <w:t>things. The first predictor, ex ante private control of self-dealing, comes close to being significant (p=0.058)</w:t>
      </w:r>
      <w:r w:rsidR="004F2A3F">
        <w:rPr>
          <w:rFonts w:ascii="Times New Roman" w:hAnsi="Times New Roman" w:cs="Times New Roman"/>
          <w:sz w:val="24"/>
          <w:szCs w:val="24"/>
        </w:rPr>
        <w:t xml:space="preserve"> and has the highest correlation with the aggregate income smoothing score</w:t>
      </w:r>
      <w:r>
        <w:rPr>
          <w:rFonts w:ascii="Times New Roman" w:hAnsi="Times New Roman" w:cs="Times New Roman"/>
          <w:sz w:val="24"/>
          <w:szCs w:val="24"/>
        </w:rPr>
        <w:t>. If it were significant it is this predictor that would predict income smoothing the best.</w:t>
      </w:r>
    </w:p>
    <w:p w:rsidR="00A3187F" w:rsidRDefault="001A5903" w:rsidP="00CC10E3">
      <w:pPr>
        <w:autoSpaceDE w:val="0"/>
        <w:autoSpaceDN w:val="0"/>
        <w:adjustRightInd w:val="0"/>
        <w:spacing w:after="0" w:line="360" w:lineRule="auto"/>
        <w:contextualSpacing/>
        <w:rPr>
          <w:rFonts w:ascii="Times New Roman" w:hAnsi="Times New Roman" w:cs="Times New Roman"/>
          <w:sz w:val="24"/>
          <w:szCs w:val="24"/>
        </w:rPr>
      </w:pPr>
      <w:r>
        <w:rPr>
          <w:rFonts w:ascii="Times New Roman" w:hAnsi="Times New Roman" w:cs="Times New Roman"/>
          <w:sz w:val="24"/>
          <w:szCs w:val="24"/>
        </w:rPr>
        <w:t>Furthermore, t</w:t>
      </w:r>
      <w:r w:rsidR="002B5C46">
        <w:rPr>
          <w:rFonts w:ascii="Times New Roman" w:hAnsi="Times New Roman" w:cs="Times New Roman"/>
          <w:sz w:val="24"/>
          <w:szCs w:val="24"/>
        </w:rPr>
        <w:t xml:space="preserve">his matrix shows that there is no multicollinearity; </w:t>
      </w:r>
      <w:r w:rsidR="00833989">
        <w:rPr>
          <w:rFonts w:ascii="Times New Roman" w:hAnsi="Times New Roman" w:cs="Times New Roman"/>
          <w:sz w:val="24"/>
          <w:szCs w:val="24"/>
        </w:rPr>
        <w:t xml:space="preserve">there are </w:t>
      </w:r>
      <w:r w:rsidR="002B5C46">
        <w:rPr>
          <w:rFonts w:ascii="Times New Roman" w:hAnsi="Times New Roman" w:cs="Times New Roman"/>
          <w:sz w:val="24"/>
          <w:szCs w:val="24"/>
        </w:rPr>
        <w:t>no correlations higher than 0.9.</w:t>
      </w:r>
    </w:p>
    <w:p w:rsidR="002B5C46" w:rsidRDefault="002B5C46" w:rsidP="00CC10E3">
      <w:pPr>
        <w:pStyle w:val="BodyText"/>
        <w:spacing w:line="360" w:lineRule="auto"/>
        <w:contextualSpacing/>
        <w:rPr>
          <w:rFonts w:ascii="Times New Roman" w:hAnsi="Times New Roman" w:cs="Times New Roman"/>
          <w:sz w:val="24"/>
          <w:szCs w:val="24"/>
        </w:rPr>
      </w:pPr>
    </w:p>
    <w:p w:rsidR="00846F18" w:rsidRDefault="00846F18" w:rsidP="00F450E9">
      <w:pPr>
        <w:pStyle w:val="Heading4"/>
        <w:rPr>
          <w:rStyle w:val="SubtleReference"/>
          <w:rFonts w:ascii="Calibri" w:hAnsi="Calibri"/>
          <w:b w:val="0"/>
        </w:rPr>
      </w:pPr>
      <w:bookmarkStart w:id="97" w:name="_Toc268669772"/>
      <w:r w:rsidRPr="00F450E9">
        <w:rPr>
          <w:rStyle w:val="SubtleReference"/>
          <w:rFonts w:ascii="Calibri" w:hAnsi="Calibri"/>
          <w:b w:val="0"/>
        </w:rPr>
        <w:t>9.7.2</w:t>
      </w:r>
      <w:r w:rsidR="00A3187F">
        <w:rPr>
          <w:rStyle w:val="SubtleReference"/>
          <w:rFonts w:ascii="Calibri" w:hAnsi="Calibri"/>
          <w:b w:val="0"/>
        </w:rPr>
        <w:t>.2</w:t>
      </w:r>
      <w:r w:rsidR="00A3187F">
        <w:rPr>
          <w:rStyle w:val="SubtleReference"/>
          <w:rFonts w:ascii="Calibri" w:hAnsi="Calibri"/>
          <w:b w:val="0"/>
        </w:rPr>
        <w:tab/>
      </w:r>
      <w:r w:rsidRPr="00F450E9">
        <w:rPr>
          <w:rStyle w:val="SubtleReference"/>
          <w:rFonts w:ascii="Calibri" w:hAnsi="Calibri"/>
          <w:b w:val="0"/>
        </w:rPr>
        <w:tab/>
        <w:t>Regression analysis</w:t>
      </w:r>
      <w:bookmarkEnd w:id="97"/>
    </w:p>
    <w:p w:rsidR="00DD7E4A" w:rsidRPr="00DD7E4A" w:rsidRDefault="00DD7E4A" w:rsidP="00DD7E4A"/>
    <w:p w:rsidR="00846F18" w:rsidRDefault="001E4E90"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 model used in my research</w:t>
      </w:r>
      <w:r w:rsidR="002D1649">
        <w:rPr>
          <w:rFonts w:ascii="Times New Roman" w:hAnsi="Times New Roman" w:cs="Times New Roman"/>
          <w:sz w:val="24"/>
          <w:szCs w:val="24"/>
        </w:rPr>
        <w:t xml:space="preserve"> is a hierarchical regression, see section 8.3.3.</w:t>
      </w:r>
      <w:r>
        <w:rPr>
          <w:rFonts w:ascii="Times New Roman" w:hAnsi="Times New Roman" w:cs="Times New Roman"/>
          <w:sz w:val="24"/>
          <w:szCs w:val="24"/>
        </w:rPr>
        <w:t xml:space="preserve"> As mentioned earlier the ex ante and ex post private control of self-dealing indexes are entered first. The model summary represents this</w:t>
      </w:r>
      <w:r w:rsidR="00E122F6">
        <w:rPr>
          <w:rFonts w:ascii="Times New Roman" w:hAnsi="Times New Roman" w:cs="Times New Roman"/>
          <w:sz w:val="24"/>
          <w:szCs w:val="24"/>
        </w:rPr>
        <w:t xml:space="preserve"> method</w:t>
      </w:r>
      <w:r>
        <w:rPr>
          <w:rFonts w:ascii="Times New Roman" w:hAnsi="Times New Roman" w:cs="Times New Roman"/>
          <w:sz w:val="24"/>
          <w:szCs w:val="24"/>
        </w:rPr>
        <w:t>. Model 1</w:t>
      </w:r>
      <w:r w:rsidR="00E122F6">
        <w:rPr>
          <w:rFonts w:ascii="Times New Roman" w:hAnsi="Times New Roman" w:cs="Times New Roman"/>
          <w:sz w:val="24"/>
          <w:szCs w:val="24"/>
        </w:rPr>
        <w:t xml:space="preserve"> refers to the first stage in which only the first two predictors are included in the model; this gives a correlation of 0.320. When all three predictors are included in the model (Model 2) the correlation</w:t>
      </w:r>
      <w:r w:rsidR="003A0F2C">
        <w:rPr>
          <w:rFonts w:ascii="Times New Roman" w:hAnsi="Times New Roman" w:cs="Times New Roman"/>
          <w:sz w:val="24"/>
          <w:szCs w:val="24"/>
        </w:rPr>
        <w:t xml:space="preserve"> increases to 0.389.</w:t>
      </w:r>
      <w:r w:rsidR="009E2A17">
        <w:rPr>
          <w:rFonts w:ascii="Times New Roman" w:hAnsi="Times New Roman" w:cs="Times New Roman"/>
          <w:sz w:val="24"/>
          <w:szCs w:val="24"/>
        </w:rPr>
        <w:t xml:space="preserve"> </w:t>
      </w:r>
    </w:p>
    <w:p w:rsidR="009E2A17" w:rsidRDefault="009E2A17"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From the model summary we can conclude that the ex ante and ex post private control of self-dealing indexes only account for 10.3% of the variability in the outcome. When the third predictor is added, 15.1% of the variability in the outcome is accounted for by the three predict</w:t>
      </w:r>
      <w:r w:rsidR="005616F3">
        <w:rPr>
          <w:rFonts w:ascii="Times New Roman" w:hAnsi="Times New Roman" w:cs="Times New Roman"/>
          <w:sz w:val="24"/>
          <w:szCs w:val="24"/>
        </w:rPr>
        <w:t>ors. Including the last predictor, public enforcement, did not give an outcome which explains a relatively large amount of the variation in income smoothing.</w:t>
      </w:r>
    </w:p>
    <w:tbl>
      <w:tblPr>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left w:w="0" w:type="dxa"/>
          <w:right w:w="0" w:type="dxa"/>
        </w:tblCellMar>
        <w:tblLook w:val="0000"/>
      </w:tblPr>
      <w:tblGrid>
        <w:gridCol w:w="82"/>
        <w:gridCol w:w="751"/>
        <w:gridCol w:w="726"/>
        <w:gridCol w:w="1116"/>
        <w:gridCol w:w="1949"/>
        <w:gridCol w:w="2499"/>
        <w:gridCol w:w="1609"/>
      </w:tblGrid>
      <w:tr w:rsidR="005A0162" w:rsidRPr="00FA3A37" w:rsidTr="00C66E85">
        <w:trPr>
          <w:cantSplit/>
          <w:tblHeader/>
        </w:trPr>
        <w:tc>
          <w:tcPr>
            <w:tcW w:w="0" w:type="auto"/>
            <w:gridSpan w:val="7"/>
            <w:tcBorders>
              <w:top w:val="nil"/>
              <w:left w:val="nil"/>
              <w:bottom w:val="nil"/>
              <w:right w:val="nil"/>
            </w:tcBorders>
            <w:shd w:val="clear" w:color="auto" w:fill="FFFFFF"/>
            <w:vAlign w:val="center"/>
          </w:tcPr>
          <w:p w:rsidR="005A0162" w:rsidRPr="00FA3A37" w:rsidRDefault="00612B6D" w:rsidP="00982AB2">
            <w:pPr>
              <w:autoSpaceDE w:val="0"/>
              <w:autoSpaceDN w:val="0"/>
              <w:adjustRightInd w:val="0"/>
              <w:spacing w:line="360" w:lineRule="auto"/>
              <w:ind w:left="60" w:right="60"/>
              <w:contextualSpacing/>
              <w:rPr>
                <w:rFonts w:ascii="Arial" w:hAnsi="Arial" w:cs="Arial"/>
                <w:color w:val="000000"/>
                <w:sz w:val="18"/>
                <w:szCs w:val="18"/>
              </w:rPr>
            </w:pPr>
            <w:r>
              <w:rPr>
                <w:rFonts w:ascii="Times New Roman" w:hAnsi="Times New Roman" w:cs="Times New Roman"/>
                <w:i/>
                <w:sz w:val="24"/>
                <w:szCs w:val="24"/>
              </w:rPr>
              <w:t xml:space="preserve">Table </w:t>
            </w:r>
            <w:r w:rsidR="00982AB2">
              <w:rPr>
                <w:rFonts w:ascii="Times New Roman" w:hAnsi="Times New Roman" w:cs="Times New Roman"/>
                <w:i/>
                <w:sz w:val="24"/>
                <w:szCs w:val="24"/>
              </w:rPr>
              <w:t>7</w:t>
            </w:r>
            <w:r w:rsidR="00984C2B">
              <w:rPr>
                <w:rFonts w:ascii="Times New Roman" w:hAnsi="Times New Roman" w:cs="Times New Roman"/>
                <w:sz w:val="24"/>
                <w:szCs w:val="24"/>
              </w:rPr>
              <w:tab/>
            </w:r>
            <w:r w:rsidR="00984C2B" w:rsidRPr="00FA3A37">
              <w:rPr>
                <w:rFonts w:ascii="Arial" w:hAnsi="Arial" w:cs="Arial"/>
                <w:b/>
                <w:bCs/>
                <w:color w:val="000000"/>
                <w:sz w:val="18"/>
                <w:szCs w:val="18"/>
              </w:rPr>
              <w:t>Model Summary</w:t>
            </w:r>
          </w:p>
        </w:tc>
      </w:tr>
      <w:tr w:rsidR="005A0162" w:rsidRPr="00FA3A37" w:rsidTr="00C66E85">
        <w:trPr>
          <w:cantSplit/>
          <w:tblHeader/>
        </w:trPr>
        <w:tc>
          <w:tcPr>
            <w:tcW w:w="0" w:type="auto"/>
            <w:gridSpan w:val="2"/>
            <w:tcBorders>
              <w:top w:val="single" w:sz="16" w:space="0" w:color="000000"/>
              <w:left w:val="single" w:sz="16" w:space="0" w:color="000000"/>
              <w:bottom w:val="single" w:sz="16" w:space="0" w:color="000000"/>
              <w:right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rPr>
                <w:rFonts w:ascii="Arial" w:hAnsi="Arial" w:cs="Arial"/>
                <w:color w:val="000000"/>
                <w:sz w:val="18"/>
                <w:szCs w:val="18"/>
              </w:rPr>
            </w:pPr>
            <w:r w:rsidRPr="00FA3A37">
              <w:rPr>
                <w:rFonts w:ascii="Arial" w:hAnsi="Arial" w:cs="Arial"/>
                <w:color w:val="000000"/>
                <w:sz w:val="18"/>
                <w:szCs w:val="18"/>
              </w:rPr>
              <w:t>Model</w:t>
            </w:r>
          </w:p>
        </w:tc>
        <w:tc>
          <w:tcPr>
            <w:tcW w:w="0" w:type="auto"/>
            <w:tcBorders>
              <w:top w:val="single" w:sz="16" w:space="0" w:color="000000"/>
              <w:left w:val="single" w:sz="16" w:space="0" w:color="000000"/>
              <w:bottom w:val="single" w:sz="16" w:space="0" w:color="000000"/>
            </w:tcBorders>
            <w:shd w:val="clear" w:color="auto" w:fill="FFFFFF"/>
            <w:vAlign w:val="bottom"/>
          </w:tcPr>
          <w:p w:rsidR="005A0162" w:rsidRPr="00FA3A37" w:rsidRDefault="005A0162"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FA3A37">
              <w:rPr>
                <w:rFonts w:ascii="Arial" w:hAnsi="Arial" w:cs="Arial"/>
                <w:color w:val="000000"/>
                <w:sz w:val="18"/>
                <w:szCs w:val="18"/>
              </w:rPr>
              <w:t>R</w:t>
            </w:r>
          </w:p>
        </w:tc>
        <w:tc>
          <w:tcPr>
            <w:tcW w:w="0" w:type="auto"/>
            <w:tcBorders>
              <w:top w:val="single" w:sz="16" w:space="0" w:color="000000"/>
              <w:bottom w:val="single" w:sz="16" w:space="0" w:color="000000"/>
            </w:tcBorders>
            <w:shd w:val="clear" w:color="auto" w:fill="FFFFFF"/>
            <w:vAlign w:val="bottom"/>
          </w:tcPr>
          <w:p w:rsidR="005A0162" w:rsidRPr="00FA3A37" w:rsidRDefault="005A0162"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FA3A37">
              <w:rPr>
                <w:rFonts w:ascii="Arial" w:hAnsi="Arial" w:cs="Arial"/>
                <w:color w:val="000000"/>
                <w:sz w:val="18"/>
                <w:szCs w:val="18"/>
              </w:rPr>
              <w:t>R Square</w:t>
            </w:r>
          </w:p>
        </w:tc>
        <w:tc>
          <w:tcPr>
            <w:tcW w:w="0" w:type="auto"/>
            <w:tcBorders>
              <w:top w:val="single" w:sz="16" w:space="0" w:color="000000"/>
              <w:bottom w:val="single" w:sz="16" w:space="0" w:color="000000"/>
            </w:tcBorders>
            <w:shd w:val="clear" w:color="auto" w:fill="FFFFFF"/>
            <w:vAlign w:val="bottom"/>
          </w:tcPr>
          <w:p w:rsidR="005A0162" w:rsidRPr="00FA3A37" w:rsidRDefault="005A0162"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FA3A37">
              <w:rPr>
                <w:rFonts w:ascii="Arial" w:hAnsi="Arial" w:cs="Arial"/>
                <w:color w:val="000000"/>
                <w:sz w:val="18"/>
                <w:szCs w:val="18"/>
              </w:rPr>
              <w:t>Adjusted R Square</w:t>
            </w:r>
          </w:p>
        </w:tc>
        <w:tc>
          <w:tcPr>
            <w:tcW w:w="0" w:type="auto"/>
            <w:tcBorders>
              <w:top w:val="single" w:sz="16" w:space="0" w:color="000000"/>
              <w:bottom w:val="single" w:sz="16" w:space="0" w:color="000000"/>
            </w:tcBorders>
            <w:shd w:val="clear" w:color="auto" w:fill="FFFFFF"/>
            <w:vAlign w:val="bottom"/>
          </w:tcPr>
          <w:p w:rsidR="005A0162" w:rsidRPr="00FA3A37" w:rsidRDefault="005A0162"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FA3A37">
              <w:rPr>
                <w:rFonts w:ascii="Arial" w:hAnsi="Arial" w:cs="Arial"/>
                <w:color w:val="000000"/>
                <w:sz w:val="18"/>
                <w:szCs w:val="18"/>
              </w:rPr>
              <w:t>Std. Error of the Estimate</w:t>
            </w:r>
          </w:p>
        </w:tc>
        <w:tc>
          <w:tcPr>
            <w:tcW w:w="0" w:type="auto"/>
            <w:tcBorders>
              <w:top w:val="single" w:sz="16" w:space="0" w:color="000000"/>
              <w:bottom w:val="single" w:sz="16" w:space="0" w:color="000000"/>
              <w:right w:val="single" w:sz="16" w:space="0" w:color="000000"/>
            </w:tcBorders>
            <w:shd w:val="clear" w:color="auto" w:fill="FFFFFF"/>
            <w:vAlign w:val="bottom"/>
          </w:tcPr>
          <w:p w:rsidR="005A0162" w:rsidRPr="00FA3A37" w:rsidRDefault="005A0162"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FA3A37">
              <w:rPr>
                <w:rFonts w:ascii="Arial" w:hAnsi="Arial" w:cs="Arial"/>
                <w:color w:val="000000"/>
                <w:sz w:val="18"/>
                <w:szCs w:val="18"/>
              </w:rPr>
              <w:t>Durbin-Watson</w:t>
            </w:r>
          </w:p>
        </w:tc>
      </w:tr>
      <w:tr w:rsidR="005A0162" w:rsidRPr="00FA3A37" w:rsidTr="00C66E85">
        <w:trPr>
          <w:cantSplit/>
          <w:tblHeader/>
        </w:trPr>
        <w:tc>
          <w:tcPr>
            <w:tcW w:w="0" w:type="auto"/>
            <w:vMerge w:val="restart"/>
            <w:tcBorders>
              <w:top w:val="single" w:sz="16" w:space="0" w:color="000000"/>
              <w:left w:val="single" w:sz="16" w:space="0" w:color="000000"/>
              <w:bottom w:val="single" w:sz="16" w:space="0" w:color="000000"/>
              <w:right w:val="nil"/>
            </w:tcBorders>
            <w:shd w:val="clear" w:color="auto" w:fill="FFFFFF"/>
            <w:vAlign w:val="center"/>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2"/>
                <w:szCs w:val="2"/>
              </w:rPr>
            </w:pPr>
          </w:p>
        </w:tc>
        <w:tc>
          <w:tcPr>
            <w:tcW w:w="0" w:type="auto"/>
            <w:tcBorders>
              <w:top w:val="single" w:sz="16" w:space="0" w:color="000000"/>
              <w:left w:val="nil"/>
              <w:bottom w:val="nil"/>
              <w:right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rPr>
                <w:rFonts w:ascii="Arial" w:hAnsi="Arial" w:cs="Arial"/>
                <w:color w:val="000000"/>
                <w:sz w:val="18"/>
                <w:szCs w:val="18"/>
              </w:rPr>
            </w:pPr>
            <w:r w:rsidRPr="00FA3A37">
              <w:rPr>
                <w:rFonts w:ascii="Arial" w:hAnsi="Arial" w:cs="Arial"/>
                <w:color w:val="000000"/>
                <w:sz w:val="18"/>
                <w:szCs w:val="18"/>
              </w:rPr>
              <w:t>1</w:t>
            </w:r>
          </w:p>
        </w:tc>
        <w:tc>
          <w:tcPr>
            <w:tcW w:w="0" w:type="auto"/>
            <w:tcBorders>
              <w:top w:val="single" w:sz="16" w:space="0" w:color="000000"/>
              <w:left w:val="single" w:sz="16" w:space="0" w:color="000000"/>
              <w:bottom w:val="nil"/>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.320</w:t>
            </w:r>
            <w:r w:rsidRPr="00FA3A37">
              <w:rPr>
                <w:rFonts w:ascii="Arial" w:hAnsi="Arial" w:cs="Arial"/>
                <w:color w:val="000000"/>
                <w:sz w:val="18"/>
                <w:szCs w:val="18"/>
                <w:vertAlign w:val="superscript"/>
              </w:rPr>
              <w:t>a</w:t>
            </w:r>
          </w:p>
        </w:tc>
        <w:tc>
          <w:tcPr>
            <w:tcW w:w="0" w:type="auto"/>
            <w:tcBorders>
              <w:top w:val="single" w:sz="16" w:space="0" w:color="000000"/>
              <w:bottom w:val="nil"/>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.103</w:t>
            </w:r>
          </w:p>
        </w:tc>
        <w:tc>
          <w:tcPr>
            <w:tcW w:w="0" w:type="auto"/>
            <w:tcBorders>
              <w:top w:val="single" w:sz="16" w:space="0" w:color="000000"/>
              <w:bottom w:val="nil"/>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.039</w:t>
            </w:r>
          </w:p>
        </w:tc>
        <w:tc>
          <w:tcPr>
            <w:tcW w:w="0" w:type="auto"/>
            <w:tcBorders>
              <w:top w:val="single" w:sz="16" w:space="0" w:color="000000"/>
              <w:bottom w:val="nil"/>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8.39986</w:t>
            </w:r>
          </w:p>
        </w:tc>
        <w:tc>
          <w:tcPr>
            <w:tcW w:w="0" w:type="auto"/>
            <w:tcBorders>
              <w:top w:val="single" w:sz="16" w:space="0" w:color="000000"/>
              <w:bottom w:val="nil"/>
              <w:right w:val="single" w:sz="16" w:space="0" w:color="000000"/>
            </w:tcBorders>
            <w:shd w:val="clear" w:color="auto" w:fill="FFFFFF"/>
            <w:vAlign w:val="center"/>
          </w:tcPr>
          <w:p w:rsidR="005A0162" w:rsidRPr="00FA3A37" w:rsidRDefault="005A0162" w:rsidP="00CC10E3">
            <w:pPr>
              <w:autoSpaceDE w:val="0"/>
              <w:autoSpaceDN w:val="0"/>
              <w:adjustRightInd w:val="0"/>
              <w:spacing w:line="360" w:lineRule="auto"/>
              <w:contextualSpacing/>
              <w:jc w:val="center"/>
              <w:rPr>
                <w:szCs w:val="24"/>
              </w:rPr>
            </w:pPr>
          </w:p>
        </w:tc>
      </w:tr>
      <w:tr w:rsidR="005A0162" w:rsidRPr="00FA3A37" w:rsidTr="00C66E85">
        <w:trPr>
          <w:cantSplit/>
          <w:trHeight w:val="842"/>
          <w:tblHeader/>
        </w:trPr>
        <w:tc>
          <w:tcPr>
            <w:tcW w:w="0" w:type="auto"/>
            <w:vMerge/>
            <w:tcBorders>
              <w:top w:val="single" w:sz="16" w:space="0" w:color="000000"/>
              <w:left w:val="single" w:sz="16" w:space="0" w:color="000000"/>
              <w:bottom w:val="single" w:sz="16" w:space="0" w:color="000000"/>
              <w:right w:val="nil"/>
            </w:tcBorders>
            <w:shd w:val="clear" w:color="auto" w:fill="FFFFFF"/>
            <w:vAlign w:val="center"/>
          </w:tcPr>
          <w:p w:rsidR="005A0162" w:rsidRPr="00FA3A37" w:rsidRDefault="005A0162" w:rsidP="00CC10E3">
            <w:pPr>
              <w:autoSpaceDE w:val="0"/>
              <w:autoSpaceDN w:val="0"/>
              <w:adjustRightInd w:val="0"/>
              <w:spacing w:line="360" w:lineRule="auto"/>
              <w:contextualSpacing/>
              <w:rPr>
                <w:szCs w:val="24"/>
              </w:rPr>
            </w:pPr>
          </w:p>
        </w:tc>
        <w:tc>
          <w:tcPr>
            <w:tcW w:w="0" w:type="auto"/>
            <w:tcBorders>
              <w:top w:val="nil"/>
              <w:left w:val="nil"/>
              <w:bottom w:val="single" w:sz="16" w:space="0" w:color="000000"/>
              <w:right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rPr>
                <w:rFonts w:ascii="Arial" w:hAnsi="Arial" w:cs="Arial"/>
                <w:color w:val="000000"/>
                <w:sz w:val="18"/>
                <w:szCs w:val="18"/>
              </w:rPr>
            </w:pPr>
            <w:r w:rsidRPr="00FA3A37">
              <w:rPr>
                <w:rFonts w:ascii="Arial" w:hAnsi="Arial" w:cs="Arial"/>
                <w:color w:val="000000"/>
                <w:sz w:val="18"/>
                <w:szCs w:val="18"/>
              </w:rPr>
              <w:t>2</w:t>
            </w:r>
          </w:p>
        </w:tc>
        <w:tc>
          <w:tcPr>
            <w:tcW w:w="0" w:type="auto"/>
            <w:tcBorders>
              <w:top w:val="nil"/>
              <w:left w:val="single" w:sz="16" w:space="0" w:color="000000"/>
              <w:bottom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.389</w:t>
            </w:r>
            <w:r w:rsidRPr="00FA3A37">
              <w:rPr>
                <w:rFonts w:ascii="Arial" w:hAnsi="Arial" w:cs="Arial"/>
                <w:color w:val="000000"/>
                <w:sz w:val="18"/>
                <w:szCs w:val="18"/>
                <w:vertAlign w:val="superscript"/>
              </w:rPr>
              <w:t>b</w:t>
            </w:r>
          </w:p>
        </w:tc>
        <w:tc>
          <w:tcPr>
            <w:tcW w:w="0" w:type="auto"/>
            <w:tcBorders>
              <w:top w:val="nil"/>
              <w:bottom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.151</w:t>
            </w:r>
          </w:p>
        </w:tc>
        <w:tc>
          <w:tcPr>
            <w:tcW w:w="0" w:type="auto"/>
            <w:tcBorders>
              <w:top w:val="nil"/>
              <w:bottom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.057</w:t>
            </w:r>
          </w:p>
        </w:tc>
        <w:tc>
          <w:tcPr>
            <w:tcW w:w="0" w:type="auto"/>
            <w:tcBorders>
              <w:top w:val="nil"/>
              <w:bottom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sidRPr="00FA3A37">
              <w:rPr>
                <w:rFonts w:ascii="Arial" w:hAnsi="Arial" w:cs="Arial"/>
                <w:color w:val="000000"/>
                <w:sz w:val="18"/>
                <w:szCs w:val="18"/>
              </w:rPr>
              <w:t>8.31817</w:t>
            </w:r>
          </w:p>
        </w:tc>
        <w:tc>
          <w:tcPr>
            <w:tcW w:w="0" w:type="auto"/>
            <w:tcBorders>
              <w:top w:val="nil"/>
              <w:bottom w:val="single" w:sz="16" w:space="0" w:color="000000"/>
              <w:right w:val="single" w:sz="16" w:space="0" w:color="000000"/>
            </w:tcBorders>
            <w:shd w:val="clear" w:color="auto" w:fill="FFFFFF"/>
          </w:tcPr>
          <w:p w:rsidR="005A0162" w:rsidRPr="00FA3A37" w:rsidRDefault="005A0162" w:rsidP="00CC10E3">
            <w:pPr>
              <w:autoSpaceDE w:val="0"/>
              <w:autoSpaceDN w:val="0"/>
              <w:adjustRightInd w:val="0"/>
              <w:spacing w:line="360" w:lineRule="auto"/>
              <w:ind w:left="60" w:right="60"/>
              <w:contextualSpacing/>
              <w:jc w:val="right"/>
              <w:rPr>
                <w:rFonts w:ascii="Arial" w:hAnsi="Arial" w:cs="Arial"/>
                <w:color w:val="000000"/>
                <w:sz w:val="18"/>
                <w:szCs w:val="18"/>
              </w:rPr>
            </w:pPr>
            <w:r>
              <w:rPr>
                <w:rFonts w:ascii="Arial" w:hAnsi="Arial" w:cs="Arial"/>
                <w:color w:val="000000"/>
                <w:sz w:val="18"/>
                <w:szCs w:val="18"/>
              </w:rPr>
              <w:t>1</w:t>
            </w:r>
            <w:r w:rsidRPr="00FA3A37">
              <w:rPr>
                <w:rFonts w:ascii="Arial" w:hAnsi="Arial" w:cs="Arial"/>
                <w:color w:val="000000"/>
                <w:sz w:val="18"/>
                <w:szCs w:val="18"/>
              </w:rPr>
              <w:t>.</w:t>
            </w:r>
            <w:r>
              <w:rPr>
                <w:rFonts w:ascii="Arial" w:hAnsi="Arial" w:cs="Arial"/>
                <w:color w:val="000000"/>
                <w:sz w:val="18"/>
                <w:szCs w:val="18"/>
              </w:rPr>
              <w:t>684</w:t>
            </w:r>
          </w:p>
        </w:tc>
      </w:tr>
      <w:tr w:rsidR="005A0162" w:rsidRPr="00FA3A37" w:rsidTr="00C66E85">
        <w:trPr>
          <w:cantSplit/>
          <w:tblHeader/>
        </w:trPr>
        <w:tc>
          <w:tcPr>
            <w:tcW w:w="0" w:type="auto"/>
            <w:gridSpan w:val="7"/>
            <w:tcBorders>
              <w:top w:val="nil"/>
              <w:left w:val="nil"/>
              <w:bottom w:val="nil"/>
              <w:right w:val="nil"/>
            </w:tcBorders>
            <w:shd w:val="clear" w:color="auto" w:fill="FFFFFF"/>
          </w:tcPr>
          <w:p w:rsidR="005A0162" w:rsidRPr="00FA3A37" w:rsidRDefault="005A0162" w:rsidP="00CC10E3">
            <w:pPr>
              <w:autoSpaceDE w:val="0"/>
              <w:autoSpaceDN w:val="0"/>
              <w:adjustRightInd w:val="0"/>
              <w:spacing w:line="360" w:lineRule="auto"/>
              <w:ind w:left="58" w:right="58"/>
              <w:contextualSpacing/>
              <w:rPr>
                <w:rFonts w:ascii="Arial" w:hAnsi="Arial" w:cs="Arial"/>
                <w:color w:val="000000"/>
                <w:sz w:val="18"/>
                <w:szCs w:val="18"/>
              </w:rPr>
            </w:pPr>
            <w:r w:rsidRPr="00FA3A37">
              <w:rPr>
                <w:rFonts w:ascii="Arial" w:hAnsi="Arial" w:cs="Arial"/>
                <w:color w:val="000000"/>
                <w:sz w:val="18"/>
                <w:szCs w:val="18"/>
              </w:rPr>
              <w:t>a. Predictors: (Constant), Ex</w:t>
            </w:r>
            <w:r>
              <w:rPr>
                <w:rFonts w:ascii="Arial" w:hAnsi="Arial" w:cs="Arial"/>
                <w:color w:val="000000"/>
                <w:sz w:val="18"/>
                <w:szCs w:val="18"/>
              </w:rPr>
              <w:t xml:space="preserve"> </w:t>
            </w:r>
            <w:r w:rsidRPr="00FA3A37">
              <w:rPr>
                <w:rFonts w:ascii="Arial" w:hAnsi="Arial" w:cs="Arial"/>
                <w:color w:val="000000"/>
                <w:sz w:val="18"/>
                <w:szCs w:val="18"/>
              </w:rPr>
              <w:t>post</w:t>
            </w:r>
            <w:r>
              <w:rPr>
                <w:rFonts w:ascii="Arial" w:hAnsi="Arial" w:cs="Arial"/>
                <w:color w:val="000000"/>
                <w:sz w:val="18"/>
                <w:szCs w:val="18"/>
              </w:rPr>
              <w:t xml:space="preserve"> </w:t>
            </w:r>
            <w:r w:rsidRPr="00FA3A37">
              <w:rPr>
                <w:rFonts w:ascii="Arial" w:hAnsi="Arial" w:cs="Arial"/>
                <w:color w:val="000000"/>
                <w:sz w:val="18"/>
                <w:szCs w:val="18"/>
              </w:rPr>
              <w:t>private</w:t>
            </w:r>
            <w:r>
              <w:rPr>
                <w:rFonts w:ascii="Arial" w:hAnsi="Arial" w:cs="Arial"/>
                <w:color w:val="000000"/>
                <w:sz w:val="18"/>
                <w:szCs w:val="18"/>
              </w:rPr>
              <w:t xml:space="preserve"> </w:t>
            </w:r>
            <w:r w:rsidRPr="00FA3A37">
              <w:rPr>
                <w:rFonts w:ascii="Arial" w:hAnsi="Arial" w:cs="Arial"/>
                <w:color w:val="000000"/>
                <w:sz w:val="18"/>
                <w:szCs w:val="18"/>
              </w:rPr>
              <w:t>control</w:t>
            </w:r>
            <w:r>
              <w:rPr>
                <w:rFonts w:ascii="Arial" w:hAnsi="Arial" w:cs="Arial"/>
                <w:color w:val="000000"/>
                <w:sz w:val="18"/>
                <w:szCs w:val="18"/>
              </w:rPr>
              <w:t xml:space="preserve"> </w:t>
            </w:r>
            <w:r w:rsidRPr="00FA3A37">
              <w:rPr>
                <w:rFonts w:ascii="Arial" w:hAnsi="Arial" w:cs="Arial"/>
                <w:color w:val="000000"/>
                <w:sz w:val="18"/>
                <w:szCs w:val="18"/>
              </w:rPr>
              <w:t>of</w:t>
            </w:r>
            <w:r>
              <w:rPr>
                <w:rFonts w:ascii="Arial" w:hAnsi="Arial" w:cs="Arial"/>
                <w:color w:val="000000"/>
                <w:sz w:val="18"/>
                <w:szCs w:val="18"/>
              </w:rPr>
              <w:t xml:space="preserve"> </w:t>
            </w:r>
            <w:r w:rsidRPr="00FA3A37">
              <w:rPr>
                <w:rFonts w:ascii="Arial" w:hAnsi="Arial" w:cs="Arial"/>
                <w:color w:val="000000"/>
                <w:sz w:val="18"/>
                <w:szCs w:val="18"/>
              </w:rPr>
              <w:t>self</w:t>
            </w:r>
            <w:r>
              <w:rPr>
                <w:rFonts w:ascii="Arial" w:hAnsi="Arial" w:cs="Arial"/>
                <w:color w:val="000000"/>
                <w:sz w:val="18"/>
                <w:szCs w:val="18"/>
              </w:rPr>
              <w:t>-</w:t>
            </w:r>
            <w:r w:rsidRPr="00FA3A37">
              <w:rPr>
                <w:rFonts w:ascii="Arial" w:hAnsi="Arial" w:cs="Arial"/>
                <w:color w:val="000000"/>
                <w:sz w:val="18"/>
                <w:szCs w:val="18"/>
              </w:rPr>
              <w:t>dealing, Ex</w:t>
            </w:r>
            <w:r>
              <w:rPr>
                <w:rFonts w:ascii="Arial" w:hAnsi="Arial" w:cs="Arial"/>
                <w:color w:val="000000"/>
                <w:sz w:val="18"/>
                <w:szCs w:val="18"/>
              </w:rPr>
              <w:t xml:space="preserve"> </w:t>
            </w:r>
            <w:r w:rsidRPr="00FA3A37">
              <w:rPr>
                <w:rFonts w:ascii="Arial" w:hAnsi="Arial" w:cs="Arial"/>
                <w:color w:val="000000"/>
                <w:sz w:val="18"/>
                <w:szCs w:val="18"/>
              </w:rPr>
              <w:t>ante</w:t>
            </w:r>
            <w:r>
              <w:rPr>
                <w:rFonts w:ascii="Arial" w:hAnsi="Arial" w:cs="Arial"/>
                <w:color w:val="000000"/>
                <w:sz w:val="18"/>
                <w:szCs w:val="18"/>
              </w:rPr>
              <w:t xml:space="preserve"> </w:t>
            </w:r>
            <w:r w:rsidRPr="00FA3A37">
              <w:rPr>
                <w:rFonts w:ascii="Arial" w:hAnsi="Arial" w:cs="Arial"/>
                <w:color w:val="000000"/>
                <w:sz w:val="18"/>
                <w:szCs w:val="18"/>
              </w:rPr>
              <w:t>private</w:t>
            </w:r>
            <w:r>
              <w:rPr>
                <w:rFonts w:ascii="Arial" w:hAnsi="Arial" w:cs="Arial"/>
                <w:color w:val="000000"/>
                <w:sz w:val="18"/>
                <w:szCs w:val="18"/>
              </w:rPr>
              <w:t xml:space="preserve"> </w:t>
            </w:r>
            <w:r w:rsidRPr="00FA3A37">
              <w:rPr>
                <w:rFonts w:ascii="Arial" w:hAnsi="Arial" w:cs="Arial"/>
                <w:color w:val="000000"/>
                <w:sz w:val="18"/>
                <w:szCs w:val="18"/>
              </w:rPr>
              <w:t>control</w:t>
            </w:r>
            <w:r>
              <w:rPr>
                <w:rFonts w:ascii="Arial" w:hAnsi="Arial" w:cs="Arial"/>
                <w:color w:val="000000"/>
                <w:sz w:val="18"/>
                <w:szCs w:val="18"/>
              </w:rPr>
              <w:t xml:space="preserve"> </w:t>
            </w:r>
            <w:r w:rsidRPr="00FA3A37">
              <w:rPr>
                <w:rFonts w:ascii="Arial" w:hAnsi="Arial" w:cs="Arial"/>
                <w:color w:val="000000"/>
                <w:sz w:val="18"/>
                <w:szCs w:val="18"/>
              </w:rPr>
              <w:t>of</w:t>
            </w:r>
            <w:r>
              <w:rPr>
                <w:rFonts w:ascii="Arial" w:hAnsi="Arial" w:cs="Arial"/>
                <w:color w:val="000000"/>
                <w:sz w:val="18"/>
                <w:szCs w:val="18"/>
              </w:rPr>
              <w:t xml:space="preserve"> </w:t>
            </w:r>
            <w:r w:rsidRPr="00FA3A37">
              <w:rPr>
                <w:rFonts w:ascii="Arial" w:hAnsi="Arial" w:cs="Arial"/>
                <w:color w:val="000000"/>
                <w:sz w:val="18"/>
                <w:szCs w:val="18"/>
              </w:rPr>
              <w:t>self</w:t>
            </w:r>
            <w:r>
              <w:rPr>
                <w:rFonts w:ascii="Arial" w:hAnsi="Arial" w:cs="Arial"/>
                <w:color w:val="000000"/>
                <w:sz w:val="18"/>
                <w:szCs w:val="18"/>
              </w:rPr>
              <w:t>-</w:t>
            </w:r>
            <w:r w:rsidRPr="00FA3A37">
              <w:rPr>
                <w:rFonts w:ascii="Arial" w:hAnsi="Arial" w:cs="Arial"/>
                <w:color w:val="000000"/>
                <w:sz w:val="18"/>
                <w:szCs w:val="18"/>
              </w:rPr>
              <w:t>dealing</w:t>
            </w:r>
          </w:p>
        </w:tc>
      </w:tr>
      <w:tr w:rsidR="005A0162" w:rsidRPr="00FA3A37" w:rsidTr="00C66E85">
        <w:trPr>
          <w:cantSplit/>
          <w:tblHeader/>
        </w:trPr>
        <w:tc>
          <w:tcPr>
            <w:tcW w:w="0" w:type="auto"/>
            <w:gridSpan w:val="7"/>
            <w:tcBorders>
              <w:top w:val="nil"/>
              <w:left w:val="nil"/>
              <w:bottom w:val="nil"/>
              <w:right w:val="nil"/>
            </w:tcBorders>
            <w:shd w:val="clear" w:color="auto" w:fill="FFFFFF"/>
          </w:tcPr>
          <w:p w:rsidR="005A0162" w:rsidRDefault="005A0162" w:rsidP="00CC10E3">
            <w:pPr>
              <w:autoSpaceDE w:val="0"/>
              <w:autoSpaceDN w:val="0"/>
              <w:adjustRightInd w:val="0"/>
              <w:spacing w:line="360" w:lineRule="auto"/>
              <w:ind w:left="58" w:right="58"/>
              <w:contextualSpacing/>
              <w:rPr>
                <w:rFonts w:ascii="Arial" w:hAnsi="Arial" w:cs="Arial"/>
                <w:color w:val="000000"/>
                <w:sz w:val="18"/>
                <w:szCs w:val="18"/>
              </w:rPr>
            </w:pPr>
            <w:r w:rsidRPr="00FA3A37">
              <w:rPr>
                <w:rFonts w:ascii="Arial" w:hAnsi="Arial" w:cs="Arial"/>
                <w:color w:val="000000"/>
                <w:sz w:val="18"/>
                <w:szCs w:val="18"/>
              </w:rPr>
              <w:t>b. Predictors: (Constant), Ex</w:t>
            </w:r>
            <w:r>
              <w:rPr>
                <w:rFonts w:ascii="Arial" w:hAnsi="Arial" w:cs="Arial"/>
                <w:color w:val="000000"/>
                <w:sz w:val="18"/>
                <w:szCs w:val="18"/>
              </w:rPr>
              <w:t xml:space="preserve"> </w:t>
            </w:r>
            <w:r w:rsidRPr="00FA3A37">
              <w:rPr>
                <w:rFonts w:ascii="Arial" w:hAnsi="Arial" w:cs="Arial"/>
                <w:color w:val="000000"/>
                <w:sz w:val="18"/>
                <w:szCs w:val="18"/>
              </w:rPr>
              <w:t>post</w:t>
            </w:r>
            <w:r>
              <w:rPr>
                <w:rFonts w:ascii="Arial" w:hAnsi="Arial" w:cs="Arial"/>
                <w:color w:val="000000"/>
                <w:sz w:val="18"/>
                <w:szCs w:val="18"/>
              </w:rPr>
              <w:t xml:space="preserve"> </w:t>
            </w:r>
            <w:r w:rsidRPr="00FA3A37">
              <w:rPr>
                <w:rFonts w:ascii="Arial" w:hAnsi="Arial" w:cs="Arial"/>
                <w:color w:val="000000"/>
                <w:sz w:val="18"/>
                <w:szCs w:val="18"/>
              </w:rPr>
              <w:t>private</w:t>
            </w:r>
            <w:r>
              <w:rPr>
                <w:rFonts w:ascii="Arial" w:hAnsi="Arial" w:cs="Arial"/>
                <w:color w:val="000000"/>
                <w:sz w:val="18"/>
                <w:szCs w:val="18"/>
              </w:rPr>
              <w:t xml:space="preserve"> </w:t>
            </w:r>
            <w:r w:rsidRPr="00FA3A37">
              <w:rPr>
                <w:rFonts w:ascii="Arial" w:hAnsi="Arial" w:cs="Arial"/>
                <w:color w:val="000000"/>
                <w:sz w:val="18"/>
                <w:szCs w:val="18"/>
              </w:rPr>
              <w:t>control</w:t>
            </w:r>
            <w:r>
              <w:rPr>
                <w:rFonts w:ascii="Arial" w:hAnsi="Arial" w:cs="Arial"/>
                <w:color w:val="000000"/>
                <w:sz w:val="18"/>
                <w:szCs w:val="18"/>
              </w:rPr>
              <w:t xml:space="preserve"> </w:t>
            </w:r>
            <w:r w:rsidRPr="00FA3A37">
              <w:rPr>
                <w:rFonts w:ascii="Arial" w:hAnsi="Arial" w:cs="Arial"/>
                <w:color w:val="000000"/>
                <w:sz w:val="18"/>
                <w:szCs w:val="18"/>
              </w:rPr>
              <w:t>of</w:t>
            </w:r>
            <w:r>
              <w:rPr>
                <w:rFonts w:ascii="Arial" w:hAnsi="Arial" w:cs="Arial"/>
                <w:color w:val="000000"/>
                <w:sz w:val="18"/>
                <w:szCs w:val="18"/>
              </w:rPr>
              <w:t xml:space="preserve"> </w:t>
            </w:r>
            <w:r w:rsidRPr="00FA3A37">
              <w:rPr>
                <w:rFonts w:ascii="Arial" w:hAnsi="Arial" w:cs="Arial"/>
                <w:color w:val="000000"/>
                <w:sz w:val="18"/>
                <w:szCs w:val="18"/>
              </w:rPr>
              <w:t>self</w:t>
            </w:r>
            <w:r>
              <w:rPr>
                <w:rFonts w:ascii="Arial" w:hAnsi="Arial" w:cs="Arial"/>
                <w:color w:val="000000"/>
                <w:sz w:val="18"/>
                <w:szCs w:val="18"/>
              </w:rPr>
              <w:t>-</w:t>
            </w:r>
            <w:r w:rsidRPr="00FA3A37">
              <w:rPr>
                <w:rFonts w:ascii="Arial" w:hAnsi="Arial" w:cs="Arial"/>
                <w:color w:val="000000"/>
                <w:sz w:val="18"/>
                <w:szCs w:val="18"/>
              </w:rPr>
              <w:t>dealing, Ex</w:t>
            </w:r>
            <w:r>
              <w:rPr>
                <w:rFonts w:ascii="Arial" w:hAnsi="Arial" w:cs="Arial"/>
                <w:color w:val="000000"/>
                <w:sz w:val="18"/>
                <w:szCs w:val="18"/>
              </w:rPr>
              <w:t xml:space="preserve"> </w:t>
            </w:r>
            <w:r w:rsidRPr="00FA3A37">
              <w:rPr>
                <w:rFonts w:ascii="Arial" w:hAnsi="Arial" w:cs="Arial"/>
                <w:color w:val="000000"/>
                <w:sz w:val="18"/>
                <w:szCs w:val="18"/>
              </w:rPr>
              <w:t>ante</w:t>
            </w:r>
            <w:r>
              <w:rPr>
                <w:rFonts w:ascii="Arial" w:hAnsi="Arial" w:cs="Arial"/>
                <w:color w:val="000000"/>
                <w:sz w:val="18"/>
                <w:szCs w:val="18"/>
              </w:rPr>
              <w:t xml:space="preserve"> </w:t>
            </w:r>
            <w:r w:rsidRPr="00FA3A37">
              <w:rPr>
                <w:rFonts w:ascii="Arial" w:hAnsi="Arial" w:cs="Arial"/>
                <w:color w:val="000000"/>
                <w:sz w:val="18"/>
                <w:szCs w:val="18"/>
              </w:rPr>
              <w:t>private</w:t>
            </w:r>
            <w:r>
              <w:rPr>
                <w:rFonts w:ascii="Arial" w:hAnsi="Arial" w:cs="Arial"/>
                <w:color w:val="000000"/>
                <w:sz w:val="18"/>
                <w:szCs w:val="18"/>
              </w:rPr>
              <w:t xml:space="preserve"> </w:t>
            </w:r>
            <w:r w:rsidRPr="00FA3A37">
              <w:rPr>
                <w:rFonts w:ascii="Arial" w:hAnsi="Arial" w:cs="Arial"/>
                <w:color w:val="000000"/>
                <w:sz w:val="18"/>
                <w:szCs w:val="18"/>
              </w:rPr>
              <w:t>control</w:t>
            </w:r>
            <w:r>
              <w:rPr>
                <w:rFonts w:ascii="Arial" w:hAnsi="Arial" w:cs="Arial"/>
                <w:color w:val="000000"/>
                <w:sz w:val="18"/>
                <w:szCs w:val="18"/>
              </w:rPr>
              <w:t xml:space="preserve"> </w:t>
            </w:r>
            <w:r w:rsidRPr="00FA3A37">
              <w:rPr>
                <w:rFonts w:ascii="Arial" w:hAnsi="Arial" w:cs="Arial"/>
                <w:color w:val="000000"/>
                <w:sz w:val="18"/>
                <w:szCs w:val="18"/>
              </w:rPr>
              <w:t>of</w:t>
            </w:r>
            <w:r>
              <w:rPr>
                <w:rFonts w:ascii="Arial" w:hAnsi="Arial" w:cs="Arial"/>
                <w:color w:val="000000"/>
                <w:sz w:val="18"/>
                <w:szCs w:val="18"/>
              </w:rPr>
              <w:t xml:space="preserve"> </w:t>
            </w:r>
            <w:r w:rsidRPr="00FA3A37">
              <w:rPr>
                <w:rFonts w:ascii="Arial" w:hAnsi="Arial" w:cs="Arial"/>
                <w:color w:val="000000"/>
                <w:sz w:val="18"/>
                <w:szCs w:val="18"/>
              </w:rPr>
              <w:t>self</w:t>
            </w:r>
            <w:r>
              <w:rPr>
                <w:rFonts w:ascii="Arial" w:hAnsi="Arial" w:cs="Arial"/>
                <w:color w:val="000000"/>
                <w:sz w:val="18"/>
                <w:szCs w:val="18"/>
              </w:rPr>
              <w:t>-</w:t>
            </w:r>
            <w:r w:rsidRPr="00FA3A37">
              <w:rPr>
                <w:rFonts w:ascii="Arial" w:hAnsi="Arial" w:cs="Arial"/>
                <w:color w:val="000000"/>
                <w:sz w:val="18"/>
                <w:szCs w:val="18"/>
              </w:rPr>
              <w:t>dealing, Public</w:t>
            </w:r>
            <w:r>
              <w:rPr>
                <w:rFonts w:ascii="Arial" w:hAnsi="Arial" w:cs="Arial"/>
                <w:color w:val="000000"/>
                <w:sz w:val="18"/>
                <w:szCs w:val="18"/>
              </w:rPr>
              <w:t xml:space="preserve"> </w:t>
            </w:r>
            <w:r w:rsidRPr="00FA3A37">
              <w:rPr>
                <w:rFonts w:ascii="Arial" w:hAnsi="Arial" w:cs="Arial"/>
                <w:color w:val="000000"/>
                <w:sz w:val="18"/>
                <w:szCs w:val="18"/>
              </w:rPr>
              <w:t>enforcement</w:t>
            </w:r>
          </w:p>
          <w:p w:rsidR="005A0162" w:rsidRDefault="005A0162" w:rsidP="00CC10E3">
            <w:pPr>
              <w:autoSpaceDE w:val="0"/>
              <w:autoSpaceDN w:val="0"/>
              <w:adjustRightInd w:val="0"/>
              <w:spacing w:line="360" w:lineRule="auto"/>
              <w:ind w:left="58" w:right="58"/>
              <w:contextualSpacing/>
              <w:rPr>
                <w:rFonts w:ascii="Arial" w:hAnsi="Arial" w:cs="Arial"/>
                <w:color w:val="000000"/>
                <w:sz w:val="18"/>
                <w:szCs w:val="18"/>
              </w:rPr>
            </w:pPr>
            <w:r>
              <w:rPr>
                <w:rFonts w:ascii="Arial" w:hAnsi="Arial" w:cs="Arial"/>
                <w:color w:val="000000"/>
                <w:sz w:val="18"/>
                <w:szCs w:val="18"/>
              </w:rPr>
              <w:t>c. Dependent Variable: Aggregate IS</w:t>
            </w:r>
          </w:p>
          <w:p w:rsidR="00CF6F35" w:rsidRPr="00CF6F35" w:rsidRDefault="00CF6F35" w:rsidP="00CC10E3">
            <w:pPr>
              <w:autoSpaceDE w:val="0"/>
              <w:autoSpaceDN w:val="0"/>
              <w:adjustRightInd w:val="0"/>
              <w:spacing w:line="360" w:lineRule="auto"/>
              <w:ind w:left="58" w:right="58"/>
              <w:contextualSpacing/>
              <w:rPr>
                <w:rFonts w:ascii="Times New Roman" w:hAnsi="Times New Roman" w:cs="Times New Roman"/>
                <w:color w:val="000000"/>
                <w:sz w:val="24"/>
                <w:szCs w:val="24"/>
              </w:rPr>
            </w:pPr>
          </w:p>
        </w:tc>
      </w:tr>
    </w:tbl>
    <w:p w:rsidR="009962BF" w:rsidRDefault="00CF6F35" w:rsidP="00CC10E3">
      <w:pPr>
        <w:pStyle w:val="BodyText"/>
        <w:spacing w:line="36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I already discussed whether</w:t>
      </w:r>
      <w:r w:rsidR="001B1C9F">
        <w:rPr>
          <w:rFonts w:ascii="Times New Roman" w:hAnsi="Times New Roman" w:cs="Times New Roman"/>
          <w:color w:val="000000"/>
          <w:sz w:val="24"/>
          <w:szCs w:val="24"/>
        </w:rPr>
        <w:t xml:space="preserve"> or not</w:t>
      </w:r>
      <w:r>
        <w:rPr>
          <w:rFonts w:ascii="Times New Roman" w:hAnsi="Times New Roman" w:cs="Times New Roman"/>
          <w:color w:val="000000"/>
          <w:sz w:val="24"/>
          <w:szCs w:val="24"/>
        </w:rPr>
        <w:t xml:space="preserve"> the model has improved the ability to predict the outcome variable. As we’ve seen this is not the case with this model, only 15.1% of the income smoothing in countries is explained by the three predictor variables. Now I will move on to</w:t>
      </w:r>
      <w:r w:rsidR="00C66E85">
        <w:rPr>
          <w:rFonts w:ascii="Times New Roman" w:hAnsi="Times New Roman" w:cs="Times New Roman"/>
          <w:color w:val="000000"/>
          <w:sz w:val="24"/>
          <w:szCs w:val="24"/>
        </w:rPr>
        <w:t xml:space="preserve"> address</w:t>
      </w:r>
      <w:r>
        <w:rPr>
          <w:rFonts w:ascii="Times New Roman" w:hAnsi="Times New Roman" w:cs="Times New Roman"/>
          <w:color w:val="000000"/>
          <w:sz w:val="24"/>
          <w:szCs w:val="24"/>
        </w:rPr>
        <w:t xml:space="preserve"> the parameters of the model.</w:t>
      </w:r>
      <w:r w:rsidR="00BD28CD">
        <w:rPr>
          <w:rFonts w:ascii="Times New Roman" w:hAnsi="Times New Roman" w:cs="Times New Roman"/>
          <w:color w:val="000000"/>
          <w:sz w:val="24"/>
          <w:szCs w:val="24"/>
        </w:rPr>
        <w:t xml:space="preserve"> The beta values are presented in </w:t>
      </w:r>
      <w:r w:rsidR="00A02D4D">
        <w:rPr>
          <w:rFonts w:ascii="Times New Roman" w:hAnsi="Times New Roman" w:cs="Times New Roman"/>
          <w:color w:val="000000"/>
          <w:sz w:val="24"/>
          <w:szCs w:val="24"/>
        </w:rPr>
        <w:t>table</w:t>
      </w:r>
      <w:r w:rsidR="00BD28CD">
        <w:rPr>
          <w:rFonts w:ascii="Times New Roman" w:hAnsi="Times New Roman" w:cs="Times New Roman"/>
          <w:color w:val="000000"/>
          <w:sz w:val="24"/>
          <w:szCs w:val="24"/>
        </w:rPr>
        <w:t xml:space="preserve"> </w:t>
      </w:r>
      <w:r w:rsidR="003B4FEF">
        <w:rPr>
          <w:rFonts w:ascii="Times New Roman" w:hAnsi="Times New Roman" w:cs="Times New Roman"/>
          <w:color w:val="000000"/>
          <w:sz w:val="24"/>
          <w:szCs w:val="24"/>
        </w:rPr>
        <w:t>8</w:t>
      </w:r>
      <w:r w:rsidR="00BD28CD">
        <w:rPr>
          <w:rFonts w:ascii="Times New Roman" w:hAnsi="Times New Roman" w:cs="Times New Roman"/>
          <w:color w:val="000000"/>
          <w:sz w:val="24"/>
          <w:szCs w:val="24"/>
        </w:rPr>
        <w:t xml:space="preserve"> </w:t>
      </w:r>
      <w:r w:rsidR="00BD28CD">
        <w:rPr>
          <w:rFonts w:ascii="Times New Roman" w:hAnsi="Times New Roman" w:cs="Times New Roman"/>
          <w:color w:val="000000"/>
          <w:sz w:val="24"/>
          <w:szCs w:val="24"/>
        </w:rPr>
        <w:lastRenderedPageBreak/>
        <w:t>and give information about the relationship between income smoothing and each investor protection variable.</w:t>
      </w:r>
    </w:p>
    <w:p w:rsidR="00370E18" w:rsidRDefault="00370E18"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values for ex ante private control of self dealing and ex post private control of self-dealing are both negative which represents a negative relationship between these </w:t>
      </w:r>
      <w:r w:rsidR="00E21B23">
        <w:rPr>
          <w:rFonts w:ascii="Times New Roman" w:hAnsi="Times New Roman" w:cs="Times New Roman"/>
          <w:sz w:val="24"/>
          <w:szCs w:val="24"/>
        </w:rPr>
        <w:t>p</w:t>
      </w:r>
      <w:r>
        <w:rPr>
          <w:rFonts w:ascii="Times New Roman" w:hAnsi="Times New Roman" w:cs="Times New Roman"/>
          <w:sz w:val="24"/>
          <w:szCs w:val="24"/>
        </w:rPr>
        <w:t>redictors</w:t>
      </w:r>
      <w:r w:rsidR="00E21B23">
        <w:rPr>
          <w:rFonts w:ascii="Times New Roman" w:hAnsi="Times New Roman" w:cs="Times New Roman"/>
          <w:sz w:val="24"/>
          <w:szCs w:val="24"/>
        </w:rPr>
        <w:t xml:space="preserve"> and income smoothing. The correlation between income smoothing and public enforcement however, has a positive sign. This is in clear contrast to wh</w:t>
      </w:r>
      <w:r w:rsidR="004059F7">
        <w:rPr>
          <w:rFonts w:ascii="Times New Roman" w:hAnsi="Times New Roman" w:cs="Times New Roman"/>
          <w:sz w:val="24"/>
          <w:szCs w:val="24"/>
        </w:rPr>
        <w:t>at</w:t>
      </w:r>
      <w:r w:rsidR="00E21B23">
        <w:rPr>
          <w:rFonts w:ascii="Times New Roman" w:hAnsi="Times New Roman" w:cs="Times New Roman"/>
          <w:sz w:val="24"/>
          <w:szCs w:val="24"/>
        </w:rPr>
        <w:t xml:space="preserve"> I expected.</w:t>
      </w:r>
    </w:p>
    <w:p w:rsidR="00F21B08" w:rsidRDefault="00F21B08" w:rsidP="00CC10E3">
      <w:pPr>
        <w:pStyle w:val="BodyText"/>
        <w:spacing w:line="360" w:lineRule="auto"/>
        <w:contextualSpacing/>
        <w:rPr>
          <w:rFonts w:ascii="Times New Roman" w:hAnsi="Times New Roman" w:cs="Times New Roman"/>
          <w:sz w:val="24"/>
          <w:szCs w:val="24"/>
        </w:rPr>
      </w:pPr>
    </w:p>
    <w:p w:rsidR="000A79CE" w:rsidRDefault="00FA700A"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i/>
          <w:sz w:val="24"/>
          <w:szCs w:val="24"/>
        </w:rPr>
        <w:t>Table</w:t>
      </w:r>
      <w:r w:rsidR="003B4FEF">
        <w:rPr>
          <w:rFonts w:ascii="Times New Roman" w:hAnsi="Times New Roman" w:cs="Times New Roman"/>
          <w:i/>
          <w:sz w:val="24"/>
          <w:szCs w:val="24"/>
        </w:rPr>
        <w:t xml:space="preserve"> 8</w:t>
      </w:r>
      <w:r w:rsidR="002320CD">
        <w:rPr>
          <w:rFonts w:ascii="Times New Roman" w:hAnsi="Times New Roman" w:cs="Times New Roman"/>
          <w:sz w:val="24"/>
          <w:szCs w:val="24"/>
        </w:rPr>
        <w:tab/>
      </w:r>
      <w:r w:rsidR="002320CD" w:rsidRPr="00B13C8C">
        <w:rPr>
          <w:rFonts w:ascii="Arial" w:hAnsi="Arial" w:cs="Arial"/>
          <w:b/>
          <w:bCs/>
          <w:color w:val="000000"/>
          <w:sz w:val="18"/>
          <w:szCs w:val="18"/>
        </w:rPr>
        <w:t>Coefficients</w:t>
      </w:r>
    </w:p>
    <w:tbl>
      <w:tblPr>
        <w:tblW w:w="145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25"/>
        <w:gridCol w:w="2421"/>
        <w:gridCol w:w="1321"/>
        <w:gridCol w:w="1321"/>
        <w:gridCol w:w="1453"/>
        <w:gridCol w:w="1009"/>
        <w:gridCol w:w="1009"/>
        <w:gridCol w:w="5321"/>
      </w:tblGrid>
      <w:tr w:rsidR="002320CD" w:rsidRPr="00B13C8C" w:rsidTr="00BE1ADC">
        <w:trPr>
          <w:gridAfter w:val="1"/>
          <w:wAfter w:w="5321" w:type="dxa"/>
          <w:cantSplit/>
          <w:tblHeader/>
        </w:trPr>
        <w:tc>
          <w:tcPr>
            <w:tcW w:w="3146"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Model</w:t>
            </w:r>
          </w:p>
        </w:tc>
        <w:tc>
          <w:tcPr>
            <w:tcW w:w="2642" w:type="dxa"/>
            <w:gridSpan w:val="2"/>
            <w:tcBorders>
              <w:top w:val="single" w:sz="16" w:space="0" w:color="000000"/>
              <w:left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Unstandardized Coefficients</w:t>
            </w:r>
          </w:p>
        </w:tc>
        <w:tc>
          <w:tcPr>
            <w:tcW w:w="1453" w:type="dxa"/>
            <w:tcBorders>
              <w:top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Standardized Coefficients</w:t>
            </w:r>
          </w:p>
        </w:tc>
        <w:tc>
          <w:tcPr>
            <w:tcW w:w="1009" w:type="dxa"/>
            <w:vMerge w:val="restart"/>
            <w:tcBorders>
              <w:top w:val="single" w:sz="16" w:space="0" w:color="000000"/>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t</w:t>
            </w:r>
          </w:p>
        </w:tc>
        <w:tc>
          <w:tcPr>
            <w:tcW w:w="1009" w:type="dxa"/>
            <w:vMerge w:val="restart"/>
            <w:tcBorders>
              <w:top w:val="single" w:sz="16" w:space="0" w:color="000000"/>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Sig.</w:t>
            </w:r>
          </w:p>
        </w:tc>
      </w:tr>
      <w:tr w:rsidR="002320CD" w:rsidRPr="00B13C8C" w:rsidTr="00BE1ADC">
        <w:trPr>
          <w:gridAfter w:val="1"/>
          <w:wAfter w:w="5321" w:type="dxa"/>
          <w:cantSplit/>
          <w:tblHeader/>
        </w:trPr>
        <w:tc>
          <w:tcPr>
            <w:tcW w:w="3146"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c>
          <w:tcPr>
            <w:tcW w:w="1321" w:type="dxa"/>
            <w:tcBorders>
              <w:left w:val="single" w:sz="16" w:space="0" w:color="000000"/>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B</w:t>
            </w:r>
          </w:p>
        </w:tc>
        <w:tc>
          <w:tcPr>
            <w:tcW w:w="1321" w:type="dxa"/>
            <w:tcBorders>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Std. Error</w:t>
            </w:r>
          </w:p>
        </w:tc>
        <w:tc>
          <w:tcPr>
            <w:tcW w:w="1453" w:type="dxa"/>
            <w:tcBorders>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ind w:left="60" w:right="60"/>
              <w:contextualSpacing/>
              <w:jc w:val="center"/>
              <w:rPr>
                <w:rFonts w:ascii="Arial" w:hAnsi="Arial" w:cs="Arial"/>
                <w:color w:val="000000"/>
                <w:sz w:val="18"/>
                <w:szCs w:val="18"/>
              </w:rPr>
            </w:pPr>
            <w:r w:rsidRPr="00B13C8C">
              <w:rPr>
                <w:rFonts w:ascii="Arial" w:hAnsi="Arial" w:cs="Arial"/>
                <w:color w:val="000000"/>
                <w:sz w:val="18"/>
                <w:szCs w:val="18"/>
              </w:rPr>
              <w:t>Beta</w:t>
            </w:r>
          </w:p>
        </w:tc>
        <w:tc>
          <w:tcPr>
            <w:tcW w:w="1009" w:type="dxa"/>
            <w:vMerge/>
            <w:tcBorders>
              <w:top w:val="single" w:sz="16" w:space="0" w:color="000000"/>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c>
          <w:tcPr>
            <w:tcW w:w="1009" w:type="dxa"/>
            <w:vMerge/>
            <w:tcBorders>
              <w:top w:val="single" w:sz="16" w:space="0" w:color="000000"/>
              <w:bottom w:val="single" w:sz="16" w:space="0" w:color="000000"/>
            </w:tcBorders>
            <w:shd w:val="clear" w:color="auto" w:fill="FFFFFF"/>
            <w:vAlign w:val="bottom"/>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r>
      <w:tr w:rsidR="002320CD" w:rsidRPr="00B13C8C" w:rsidTr="00BE1ADC">
        <w:trPr>
          <w:gridAfter w:val="1"/>
          <w:wAfter w:w="5321" w:type="dxa"/>
          <w:cantSplit/>
          <w:tblHeader/>
        </w:trPr>
        <w:tc>
          <w:tcPr>
            <w:tcW w:w="725" w:type="dxa"/>
            <w:vMerge w:val="restart"/>
            <w:tcBorders>
              <w:top w:val="single" w:sz="16" w:space="0" w:color="000000"/>
              <w:left w:val="single" w:sz="16" w:space="0" w:color="000000"/>
              <w:right w:val="nil"/>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1</w:t>
            </w:r>
          </w:p>
        </w:tc>
        <w:tc>
          <w:tcPr>
            <w:tcW w:w="2421" w:type="dxa"/>
            <w:tcBorders>
              <w:top w:val="single" w:sz="16" w:space="0" w:color="000000"/>
              <w:left w:val="nil"/>
              <w:bottom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(Constant)</w:t>
            </w:r>
          </w:p>
        </w:tc>
        <w:tc>
          <w:tcPr>
            <w:tcW w:w="1321" w:type="dxa"/>
            <w:tcBorders>
              <w:top w:val="single" w:sz="16" w:space="0" w:color="000000"/>
              <w:left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23.131</w:t>
            </w:r>
          </w:p>
        </w:tc>
        <w:tc>
          <w:tcPr>
            <w:tcW w:w="1321" w:type="dxa"/>
            <w:tcBorders>
              <w:top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5.922</w:t>
            </w:r>
          </w:p>
        </w:tc>
        <w:tc>
          <w:tcPr>
            <w:tcW w:w="1453" w:type="dxa"/>
            <w:tcBorders>
              <w:top w:val="single" w:sz="16" w:space="0" w:color="000000"/>
              <w:bottom w:val="nil"/>
            </w:tcBorders>
            <w:shd w:val="clear" w:color="auto" w:fill="FFFFFF"/>
            <w:vAlign w:val="center"/>
          </w:tcPr>
          <w:p w:rsidR="002320CD" w:rsidRPr="00B13C8C" w:rsidRDefault="002320CD" w:rsidP="00CC10E3">
            <w:pPr>
              <w:autoSpaceDE w:val="0"/>
              <w:autoSpaceDN w:val="0"/>
              <w:adjustRightInd w:val="0"/>
              <w:spacing w:line="360" w:lineRule="auto"/>
              <w:contextualSpacing/>
              <w:jc w:val="center"/>
              <w:rPr>
                <w:szCs w:val="24"/>
              </w:rPr>
            </w:pPr>
          </w:p>
        </w:tc>
        <w:tc>
          <w:tcPr>
            <w:tcW w:w="1009" w:type="dxa"/>
            <w:tcBorders>
              <w:top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3.906</w:t>
            </w:r>
          </w:p>
        </w:tc>
        <w:tc>
          <w:tcPr>
            <w:tcW w:w="1009" w:type="dxa"/>
            <w:tcBorders>
              <w:top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.001</w:t>
            </w:r>
          </w:p>
        </w:tc>
      </w:tr>
      <w:tr w:rsidR="002320CD" w:rsidRPr="00B13C8C" w:rsidTr="00BE1ADC">
        <w:trPr>
          <w:gridAfter w:val="1"/>
          <w:wAfter w:w="5321" w:type="dxa"/>
          <w:cantSplit/>
          <w:tblHeader/>
        </w:trPr>
        <w:tc>
          <w:tcPr>
            <w:tcW w:w="725" w:type="dxa"/>
            <w:vMerge/>
            <w:tcBorders>
              <w:top w:val="single" w:sz="16" w:space="0" w:color="000000"/>
              <w:left w:val="single" w:sz="16" w:space="0" w:color="000000"/>
              <w:right w:val="nil"/>
            </w:tcBorders>
            <w:shd w:val="clear" w:color="auto" w:fill="FFFFFF"/>
          </w:tcPr>
          <w:p w:rsidR="002320CD" w:rsidRPr="00B13C8C" w:rsidRDefault="002320CD" w:rsidP="00CC10E3">
            <w:pPr>
              <w:autoSpaceDE w:val="0"/>
              <w:autoSpaceDN w:val="0"/>
              <w:adjustRightInd w:val="0"/>
              <w:spacing w:line="360" w:lineRule="auto"/>
              <w:contextualSpacing/>
              <w:rPr>
                <w:szCs w:val="24"/>
              </w:rPr>
            </w:pPr>
          </w:p>
        </w:tc>
        <w:tc>
          <w:tcPr>
            <w:tcW w:w="2421" w:type="dxa"/>
            <w:tcBorders>
              <w:top w:val="nil"/>
              <w:left w:val="nil"/>
              <w:bottom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Ex</w:t>
            </w:r>
            <w:r>
              <w:rPr>
                <w:rFonts w:ascii="Arial" w:hAnsi="Arial" w:cs="Arial"/>
                <w:color w:val="000000"/>
                <w:sz w:val="18"/>
                <w:szCs w:val="18"/>
              </w:rPr>
              <w:t xml:space="preserve"> </w:t>
            </w:r>
            <w:r w:rsidRPr="00B13C8C">
              <w:rPr>
                <w:rFonts w:ascii="Arial" w:hAnsi="Arial" w:cs="Arial"/>
                <w:color w:val="000000"/>
                <w:sz w:val="18"/>
                <w:szCs w:val="18"/>
              </w:rPr>
              <w:t>ante</w:t>
            </w:r>
            <w:r>
              <w:rPr>
                <w:rFonts w:ascii="Arial" w:hAnsi="Arial" w:cs="Arial"/>
                <w:color w:val="000000"/>
                <w:sz w:val="18"/>
                <w:szCs w:val="18"/>
              </w:rPr>
              <w:t xml:space="preserve"> </w:t>
            </w:r>
            <w:r w:rsidRPr="00B13C8C">
              <w:rPr>
                <w:rFonts w:ascii="Arial" w:hAnsi="Arial" w:cs="Arial"/>
                <w:color w:val="000000"/>
                <w:sz w:val="18"/>
                <w:szCs w:val="18"/>
              </w:rPr>
              <w:t>private</w:t>
            </w:r>
            <w:r>
              <w:rPr>
                <w:rFonts w:ascii="Arial" w:hAnsi="Arial" w:cs="Arial"/>
                <w:color w:val="000000"/>
                <w:sz w:val="18"/>
                <w:szCs w:val="18"/>
              </w:rPr>
              <w:t xml:space="preserve"> </w:t>
            </w:r>
            <w:r w:rsidRPr="00B13C8C">
              <w:rPr>
                <w:rFonts w:ascii="Arial" w:hAnsi="Arial" w:cs="Arial"/>
                <w:color w:val="000000"/>
                <w:sz w:val="18"/>
                <w:szCs w:val="18"/>
              </w:rPr>
              <w:t>control</w:t>
            </w:r>
            <w:r>
              <w:rPr>
                <w:rFonts w:ascii="Arial" w:hAnsi="Arial" w:cs="Arial"/>
                <w:color w:val="000000"/>
                <w:sz w:val="18"/>
                <w:szCs w:val="18"/>
              </w:rPr>
              <w:t xml:space="preserve"> </w:t>
            </w:r>
            <w:r w:rsidRPr="00B13C8C">
              <w:rPr>
                <w:rFonts w:ascii="Arial" w:hAnsi="Arial" w:cs="Arial"/>
                <w:color w:val="000000"/>
                <w:sz w:val="18"/>
                <w:szCs w:val="18"/>
              </w:rPr>
              <w:t>of</w:t>
            </w:r>
            <w:r>
              <w:rPr>
                <w:rFonts w:ascii="Arial" w:hAnsi="Arial" w:cs="Arial"/>
                <w:color w:val="000000"/>
                <w:sz w:val="18"/>
                <w:szCs w:val="18"/>
              </w:rPr>
              <w:t xml:space="preserve"> </w:t>
            </w:r>
            <w:r w:rsidRPr="00B13C8C">
              <w:rPr>
                <w:rFonts w:ascii="Arial" w:hAnsi="Arial" w:cs="Arial"/>
                <w:color w:val="000000"/>
                <w:sz w:val="18"/>
                <w:szCs w:val="18"/>
              </w:rPr>
              <w:t>self</w:t>
            </w:r>
            <w:r>
              <w:rPr>
                <w:rFonts w:ascii="Arial" w:hAnsi="Arial" w:cs="Arial"/>
                <w:color w:val="000000"/>
                <w:sz w:val="18"/>
                <w:szCs w:val="18"/>
              </w:rPr>
              <w:t>-</w:t>
            </w:r>
            <w:r w:rsidRPr="00B13C8C">
              <w:rPr>
                <w:rFonts w:ascii="Arial" w:hAnsi="Arial" w:cs="Arial"/>
                <w:color w:val="000000"/>
                <w:sz w:val="18"/>
                <w:szCs w:val="18"/>
              </w:rPr>
              <w:t>dealing</w:t>
            </w:r>
          </w:p>
        </w:tc>
        <w:tc>
          <w:tcPr>
            <w:tcW w:w="1321" w:type="dxa"/>
            <w:tcBorders>
              <w:top w:val="nil"/>
              <w:left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-4.687</w:t>
            </w:r>
          </w:p>
        </w:tc>
        <w:tc>
          <w:tcPr>
            <w:tcW w:w="1321"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5.051</w:t>
            </w:r>
          </w:p>
        </w:tc>
        <w:tc>
          <w:tcPr>
            <w:tcW w:w="1453"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-.197</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-.928</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.361</w:t>
            </w:r>
          </w:p>
        </w:tc>
      </w:tr>
      <w:tr w:rsidR="002320CD" w:rsidRPr="00B13C8C" w:rsidTr="00BE1ADC">
        <w:trPr>
          <w:gridAfter w:val="1"/>
          <w:wAfter w:w="5321" w:type="dxa"/>
          <w:cantSplit/>
          <w:tblHeader/>
        </w:trPr>
        <w:tc>
          <w:tcPr>
            <w:tcW w:w="725" w:type="dxa"/>
            <w:vMerge/>
            <w:tcBorders>
              <w:top w:val="single" w:sz="16" w:space="0" w:color="000000"/>
              <w:left w:val="single" w:sz="16" w:space="0" w:color="000000"/>
              <w:right w:val="nil"/>
            </w:tcBorders>
            <w:shd w:val="clear" w:color="auto" w:fill="FFFFFF"/>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c>
          <w:tcPr>
            <w:tcW w:w="2421" w:type="dxa"/>
            <w:tcBorders>
              <w:top w:val="nil"/>
              <w:left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Ex</w:t>
            </w:r>
            <w:r>
              <w:rPr>
                <w:rFonts w:ascii="Arial" w:hAnsi="Arial" w:cs="Arial"/>
                <w:color w:val="000000"/>
                <w:sz w:val="18"/>
                <w:szCs w:val="18"/>
              </w:rPr>
              <w:t xml:space="preserve"> </w:t>
            </w:r>
            <w:r w:rsidRPr="00B13C8C">
              <w:rPr>
                <w:rFonts w:ascii="Arial" w:hAnsi="Arial" w:cs="Arial"/>
                <w:color w:val="000000"/>
                <w:sz w:val="18"/>
                <w:szCs w:val="18"/>
              </w:rPr>
              <w:t>post</w:t>
            </w:r>
            <w:r>
              <w:rPr>
                <w:rFonts w:ascii="Arial" w:hAnsi="Arial" w:cs="Arial"/>
                <w:color w:val="000000"/>
                <w:sz w:val="18"/>
                <w:szCs w:val="18"/>
              </w:rPr>
              <w:t xml:space="preserve"> </w:t>
            </w:r>
            <w:r w:rsidRPr="00B13C8C">
              <w:rPr>
                <w:rFonts w:ascii="Arial" w:hAnsi="Arial" w:cs="Arial"/>
                <w:color w:val="000000"/>
                <w:sz w:val="18"/>
                <w:szCs w:val="18"/>
              </w:rPr>
              <w:t>private</w:t>
            </w:r>
            <w:r>
              <w:rPr>
                <w:rFonts w:ascii="Arial" w:hAnsi="Arial" w:cs="Arial"/>
                <w:color w:val="000000"/>
                <w:sz w:val="18"/>
                <w:szCs w:val="18"/>
              </w:rPr>
              <w:t xml:space="preserve"> </w:t>
            </w:r>
            <w:r w:rsidRPr="00B13C8C">
              <w:rPr>
                <w:rFonts w:ascii="Arial" w:hAnsi="Arial" w:cs="Arial"/>
                <w:color w:val="000000"/>
                <w:sz w:val="18"/>
                <w:szCs w:val="18"/>
              </w:rPr>
              <w:t>control</w:t>
            </w:r>
            <w:r>
              <w:rPr>
                <w:rFonts w:ascii="Arial" w:hAnsi="Arial" w:cs="Arial"/>
                <w:color w:val="000000"/>
                <w:sz w:val="18"/>
                <w:szCs w:val="18"/>
              </w:rPr>
              <w:t xml:space="preserve"> </w:t>
            </w:r>
            <w:r w:rsidRPr="00B13C8C">
              <w:rPr>
                <w:rFonts w:ascii="Arial" w:hAnsi="Arial" w:cs="Arial"/>
                <w:color w:val="000000"/>
                <w:sz w:val="18"/>
                <w:szCs w:val="18"/>
              </w:rPr>
              <w:t>of</w:t>
            </w:r>
            <w:r>
              <w:rPr>
                <w:rFonts w:ascii="Arial" w:hAnsi="Arial" w:cs="Arial"/>
                <w:color w:val="000000"/>
                <w:sz w:val="18"/>
                <w:szCs w:val="18"/>
              </w:rPr>
              <w:t xml:space="preserve"> </w:t>
            </w:r>
            <w:r w:rsidRPr="00B13C8C">
              <w:rPr>
                <w:rFonts w:ascii="Arial" w:hAnsi="Arial" w:cs="Arial"/>
                <w:color w:val="000000"/>
                <w:sz w:val="18"/>
                <w:szCs w:val="18"/>
              </w:rPr>
              <w:t>self</w:t>
            </w:r>
            <w:r>
              <w:rPr>
                <w:rFonts w:ascii="Arial" w:hAnsi="Arial" w:cs="Arial"/>
                <w:color w:val="000000"/>
                <w:sz w:val="18"/>
                <w:szCs w:val="18"/>
              </w:rPr>
              <w:t>-</w:t>
            </w:r>
            <w:r w:rsidRPr="00B13C8C">
              <w:rPr>
                <w:rFonts w:ascii="Arial" w:hAnsi="Arial" w:cs="Arial"/>
                <w:color w:val="000000"/>
                <w:sz w:val="18"/>
                <w:szCs w:val="18"/>
              </w:rPr>
              <w:t>dealing</w:t>
            </w:r>
          </w:p>
        </w:tc>
        <w:tc>
          <w:tcPr>
            <w:tcW w:w="1321" w:type="dxa"/>
            <w:tcBorders>
              <w:top w:val="nil"/>
              <w:lef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-7.751</w:t>
            </w:r>
          </w:p>
        </w:tc>
        <w:tc>
          <w:tcPr>
            <w:tcW w:w="1321" w:type="dxa"/>
            <w:tcBorders>
              <w:top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9.852</w:t>
            </w:r>
          </w:p>
        </w:tc>
        <w:tc>
          <w:tcPr>
            <w:tcW w:w="1453" w:type="dxa"/>
            <w:tcBorders>
              <w:top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-.167</w:t>
            </w:r>
          </w:p>
        </w:tc>
        <w:tc>
          <w:tcPr>
            <w:tcW w:w="1009" w:type="dxa"/>
            <w:tcBorders>
              <w:top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-.787</w:t>
            </w:r>
          </w:p>
        </w:tc>
        <w:tc>
          <w:tcPr>
            <w:tcW w:w="1009" w:type="dxa"/>
            <w:tcBorders>
              <w:top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.438</w:t>
            </w:r>
          </w:p>
        </w:tc>
      </w:tr>
      <w:tr w:rsidR="002320CD" w:rsidRPr="00B13C8C" w:rsidTr="00BE1ADC">
        <w:trPr>
          <w:gridAfter w:val="1"/>
          <w:wAfter w:w="5321" w:type="dxa"/>
          <w:cantSplit/>
          <w:tblHeader/>
        </w:trPr>
        <w:tc>
          <w:tcPr>
            <w:tcW w:w="725" w:type="dxa"/>
            <w:vMerge w:val="restart"/>
            <w:tcBorders>
              <w:left w:val="single" w:sz="16" w:space="0" w:color="000000"/>
              <w:bottom w:val="single" w:sz="16" w:space="0" w:color="000000"/>
              <w:right w:val="nil"/>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2</w:t>
            </w:r>
          </w:p>
        </w:tc>
        <w:tc>
          <w:tcPr>
            <w:tcW w:w="2421" w:type="dxa"/>
            <w:tcBorders>
              <w:left w:val="nil"/>
              <w:bottom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(Constant)</w:t>
            </w:r>
          </w:p>
        </w:tc>
        <w:tc>
          <w:tcPr>
            <w:tcW w:w="1321" w:type="dxa"/>
            <w:tcBorders>
              <w:left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20.732</w:t>
            </w:r>
          </w:p>
        </w:tc>
        <w:tc>
          <w:tcPr>
            <w:tcW w:w="1321" w:type="dxa"/>
            <w:tcBorders>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6.172</w:t>
            </w:r>
          </w:p>
        </w:tc>
        <w:tc>
          <w:tcPr>
            <w:tcW w:w="1453" w:type="dxa"/>
            <w:tcBorders>
              <w:bottom w:val="nil"/>
            </w:tcBorders>
            <w:shd w:val="clear" w:color="auto" w:fill="FFFFFF"/>
            <w:vAlign w:val="center"/>
          </w:tcPr>
          <w:p w:rsidR="002320CD" w:rsidRPr="00B13C8C" w:rsidRDefault="002320CD" w:rsidP="00CC10E3">
            <w:pPr>
              <w:autoSpaceDE w:val="0"/>
              <w:autoSpaceDN w:val="0"/>
              <w:adjustRightInd w:val="0"/>
              <w:spacing w:line="360" w:lineRule="auto"/>
              <w:contextualSpacing/>
              <w:jc w:val="center"/>
              <w:rPr>
                <w:szCs w:val="24"/>
              </w:rPr>
            </w:pPr>
          </w:p>
        </w:tc>
        <w:tc>
          <w:tcPr>
            <w:tcW w:w="1009" w:type="dxa"/>
            <w:tcBorders>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3.359</w:t>
            </w:r>
          </w:p>
        </w:tc>
        <w:tc>
          <w:tcPr>
            <w:tcW w:w="1009" w:type="dxa"/>
            <w:tcBorders>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.002</w:t>
            </w:r>
          </w:p>
        </w:tc>
      </w:tr>
      <w:tr w:rsidR="002320CD" w:rsidRPr="00B13C8C" w:rsidTr="00BE1ADC">
        <w:trPr>
          <w:gridAfter w:val="1"/>
          <w:wAfter w:w="5321" w:type="dxa"/>
          <w:cantSplit/>
          <w:tblHeader/>
        </w:trPr>
        <w:tc>
          <w:tcPr>
            <w:tcW w:w="725" w:type="dxa"/>
            <w:vMerge/>
            <w:tcBorders>
              <w:left w:val="single" w:sz="16" w:space="0" w:color="000000"/>
              <w:bottom w:val="single" w:sz="16" w:space="0" w:color="000000"/>
              <w:right w:val="nil"/>
            </w:tcBorders>
            <w:shd w:val="clear" w:color="auto" w:fill="FFFFFF"/>
          </w:tcPr>
          <w:p w:rsidR="002320CD" w:rsidRPr="00B13C8C" w:rsidRDefault="002320CD" w:rsidP="00CC10E3">
            <w:pPr>
              <w:autoSpaceDE w:val="0"/>
              <w:autoSpaceDN w:val="0"/>
              <w:adjustRightInd w:val="0"/>
              <w:spacing w:line="360" w:lineRule="auto"/>
              <w:contextualSpacing/>
              <w:rPr>
                <w:szCs w:val="24"/>
              </w:rPr>
            </w:pPr>
          </w:p>
        </w:tc>
        <w:tc>
          <w:tcPr>
            <w:tcW w:w="2421" w:type="dxa"/>
            <w:tcBorders>
              <w:top w:val="nil"/>
              <w:left w:val="nil"/>
              <w:bottom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Ex</w:t>
            </w:r>
            <w:r>
              <w:rPr>
                <w:rFonts w:ascii="Arial" w:hAnsi="Arial" w:cs="Arial"/>
                <w:color w:val="000000"/>
                <w:sz w:val="18"/>
                <w:szCs w:val="18"/>
              </w:rPr>
              <w:t xml:space="preserve"> </w:t>
            </w:r>
            <w:r w:rsidRPr="00B13C8C">
              <w:rPr>
                <w:rFonts w:ascii="Arial" w:hAnsi="Arial" w:cs="Arial"/>
                <w:color w:val="000000"/>
                <w:sz w:val="18"/>
                <w:szCs w:val="18"/>
              </w:rPr>
              <w:t>ante</w:t>
            </w:r>
            <w:r>
              <w:rPr>
                <w:rFonts w:ascii="Arial" w:hAnsi="Arial" w:cs="Arial"/>
                <w:color w:val="000000"/>
                <w:sz w:val="18"/>
                <w:szCs w:val="18"/>
              </w:rPr>
              <w:t xml:space="preserve"> </w:t>
            </w:r>
            <w:r w:rsidRPr="00B13C8C">
              <w:rPr>
                <w:rFonts w:ascii="Arial" w:hAnsi="Arial" w:cs="Arial"/>
                <w:color w:val="000000"/>
                <w:sz w:val="18"/>
                <w:szCs w:val="18"/>
              </w:rPr>
              <w:t>private</w:t>
            </w:r>
            <w:r>
              <w:rPr>
                <w:rFonts w:ascii="Arial" w:hAnsi="Arial" w:cs="Arial"/>
                <w:color w:val="000000"/>
                <w:sz w:val="18"/>
                <w:szCs w:val="18"/>
              </w:rPr>
              <w:t xml:space="preserve"> </w:t>
            </w:r>
            <w:r w:rsidRPr="00B13C8C">
              <w:rPr>
                <w:rFonts w:ascii="Arial" w:hAnsi="Arial" w:cs="Arial"/>
                <w:color w:val="000000"/>
                <w:sz w:val="18"/>
                <w:szCs w:val="18"/>
              </w:rPr>
              <w:t>control</w:t>
            </w:r>
            <w:r>
              <w:rPr>
                <w:rFonts w:ascii="Arial" w:hAnsi="Arial" w:cs="Arial"/>
                <w:color w:val="000000"/>
                <w:sz w:val="18"/>
                <w:szCs w:val="18"/>
              </w:rPr>
              <w:t xml:space="preserve"> </w:t>
            </w:r>
            <w:r w:rsidRPr="00B13C8C">
              <w:rPr>
                <w:rFonts w:ascii="Arial" w:hAnsi="Arial" w:cs="Arial"/>
                <w:color w:val="000000"/>
                <w:sz w:val="18"/>
                <w:szCs w:val="18"/>
              </w:rPr>
              <w:t>of</w:t>
            </w:r>
            <w:r>
              <w:rPr>
                <w:rFonts w:ascii="Arial" w:hAnsi="Arial" w:cs="Arial"/>
                <w:color w:val="000000"/>
                <w:sz w:val="18"/>
                <w:szCs w:val="18"/>
              </w:rPr>
              <w:t xml:space="preserve"> </w:t>
            </w:r>
            <w:r w:rsidRPr="00B13C8C">
              <w:rPr>
                <w:rFonts w:ascii="Arial" w:hAnsi="Arial" w:cs="Arial"/>
                <w:color w:val="000000"/>
                <w:sz w:val="18"/>
                <w:szCs w:val="18"/>
              </w:rPr>
              <w:t>self</w:t>
            </w:r>
            <w:r>
              <w:rPr>
                <w:rFonts w:ascii="Arial" w:hAnsi="Arial" w:cs="Arial"/>
                <w:color w:val="000000"/>
                <w:sz w:val="18"/>
                <w:szCs w:val="18"/>
              </w:rPr>
              <w:t>-</w:t>
            </w:r>
            <w:r w:rsidRPr="00B13C8C">
              <w:rPr>
                <w:rFonts w:ascii="Arial" w:hAnsi="Arial" w:cs="Arial"/>
                <w:color w:val="000000"/>
                <w:sz w:val="18"/>
                <w:szCs w:val="18"/>
              </w:rPr>
              <w:t>dealing</w:t>
            </w:r>
          </w:p>
        </w:tc>
        <w:tc>
          <w:tcPr>
            <w:tcW w:w="1321" w:type="dxa"/>
            <w:tcBorders>
              <w:top w:val="nil"/>
              <w:left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-3.377</w:t>
            </w:r>
          </w:p>
        </w:tc>
        <w:tc>
          <w:tcPr>
            <w:tcW w:w="1321"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5.111</w:t>
            </w:r>
          </w:p>
        </w:tc>
        <w:tc>
          <w:tcPr>
            <w:tcW w:w="1453"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-.142</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-.661</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.514</w:t>
            </w:r>
          </w:p>
        </w:tc>
      </w:tr>
      <w:tr w:rsidR="002320CD" w:rsidRPr="00B13C8C" w:rsidTr="00BE1ADC">
        <w:trPr>
          <w:gridAfter w:val="1"/>
          <w:wAfter w:w="5321" w:type="dxa"/>
          <w:cantSplit/>
          <w:tblHeader/>
        </w:trPr>
        <w:tc>
          <w:tcPr>
            <w:tcW w:w="725" w:type="dxa"/>
            <w:vMerge/>
            <w:tcBorders>
              <w:left w:val="single" w:sz="16" w:space="0" w:color="000000"/>
              <w:bottom w:val="single" w:sz="16" w:space="0" w:color="000000"/>
              <w:right w:val="nil"/>
            </w:tcBorders>
            <w:shd w:val="clear" w:color="auto" w:fill="FFFFFF"/>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c>
          <w:tcPr>
            <w:tcW w:w="2421" w:type="dxa"/>
            <w:tcBorders>
              <w:top w:val="nil"/>
              <w:left w:val="nil"/>
              <w:bottom w:val="nil"/>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Ex</w:t>
            </w:r>
            <w:r>
              <w:rPr>
                <w:rFonts w:ascii="Arial" w:hAnsi="Arial" w:cs="Arial"/>
                <w:color w:val="000000"/>
                <w:sz w:val="18"/>
                <w:szCs w:val="18"/>
              </w:rPr>
              <w:t xml:space="preserve"> </w:t>
            </w:r>
            <w:r w:rsidRPr="00B13C8C">
              <w:rPr>
                <w:rFonts w:ascii="Arial" w:hAnsi="Arial" w:cs="Arial"/>
                <w:color w:val="000000"/>
                <w:sz w:val="18"/>
                <w:szCs w:val="18"/>
              </w:rPr>
              <w:t>post</w:t>
            </w:r>
            <w:r>
              <w:rPr>
                <w:rFonts w:ascii="Arial" w:hAnsi="Arial" w:cs="Arial"/>
                <w:color w:val="000000"/>
                <w:sz w:val="18"/>
                <w:szCs w:val="18"/>
              </w:rPr>
              <w:t xml:space="preserve"> </w:t>
            </w:r>
            <w:r w:rsidRPr="00B13C8C">
              <w:rPr>
                <w:rFonts w:ascii="Arial" w:hAnsi="Arial" w:cs="Arial"/>
                <w:color w:val="000000"/>
                <w:sz w:val="18"/>
                <w:szCs w:val="18"/>
              </w:rPr>
              <w:t>private</w:t>
            </w:r>
            <w:r>
              <w:rPr>
                <w:rFonts w:ascii="Arial" w:hAnsi="Arial" w:cs="Arial"/>
                <w:color w:val="000000"/>
                <w:sz w:val="18"/>
                <w:szCs w:val="18"/>
              </w:rPr>
              <w:t xml:space="preserve"> </w:t>
            </w:r>
            <w:r w:rsidRPr="00B13C8C">
              <w:rPr>
                <w:rFonts w:ascii="Arial" w:hAnsi="Arial" w:cs="Arial"/>
                <w:color w:val="000000"/>
                <w:sz w:val="18"/>
                <w:szCs w:val="18"/>
              </w:rPr>
              <w:t>control</w:t>
            </w:r>
            <w:r>
              <w:rPr>
                <w:rFonts w:ascii="Arial" w:hAnsi="Arial" w:cs="Arial"/>
                <w:color w:val="000000"/>
                <w:sz w:val="18"/>
                <w:szCs w:val="18"/>
              </w:rPr>
              <w:t xml:space="preserve"> </w:t>
            </w:r>
            <w:r w:rsidRPr="00B13C8C">
              <w:rPr>
                <w:rFonts w:ascii="Arial" w:hAnsi="Arial" w:cs="Arial"/>
                <w:color w:val="000000"/>
                <w:sz w:val="18"/>
                <w:szCs w:val="18"/>
              </w:rPr>
              <w:t>of</w:t>
            </w:r>
            <w:r>
              <w:rPr>
                <w:rFonts w:ascii="Arial" w:hAnsi="Arial" w:cs="Arial"/>
                <w:color w:val="000000"/>
                <w:sz w:val="18"/>
                <w:szCs w:val="18"/>
              </w:rPr>
              <w:t xml:space="preserve"> </w:t>
            </w:r>
            <w:r w:rsidRPr="00B13C8C">
              <w:rPr>
                <w:rFonts w:ascii="Arial" w:hAnsi="Arial" w:cs="Arial"/>
                <w:color w:val="000000"/>
                <w:sz w:val="18"/>
                <w:szCs w:val="18"/>
              </w:rPr>
              <w:t>self</w:t>
            </w:r>
            <w:r>
              <w:rPr>
                <w:rFonts w:ascii="Arial" w:hAnsi="Arial" w:cs="Arial"/>
                <w:color w:val="000000"/>
                <w:sz w:val="18"/>
                <w:szCs w:val="18"/>
              </w:rPr>
              <w:t>-</w:t>
            </w:r>
            <w:r w:rsidRPr="00B13C8C">
              <w:rPr>
                <w:rFonts w:ascii="Arial" w:hAnsi="Arial" w:cs="Arial"/>
                <w:color w:val="000000"/>
                <w:sz w:val="18"/>
                <w:szCs w:val="18"/>
              </w:rPr>
              <w:t>dealing</w:t>
            </w:r>
          </w:p>
        </w:tc>
        <w:tc>
          <w:tcPr>
            <w:tcW w:w="1321" w:type="dxa"/>
            <w:tcBorders>
              <w:top w:val="nil"/>
              <w:left w:val="single" w:sz="16" w:space="0" w:color="000000"/>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-8.138</w:t>
            </w:r>
          </w:p>
        </w:tc>
        <w:tc>
          <w:tcPr>
            <w:tcW w:w="1321"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9.761</w:t>
            </w:r>
          </w:p>
        </w:tc>
        <w:tc>
          <w:tcPr>
            <w:tcW w:w="1453"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-.176</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-.834</w:t>
            </w:r>
          </w:p>
        </w:tc>
        <w:tc>
          <w:tcPr>
            <w:tcW w:w="1009" w:type="dxa"/>
            <w:tcBorders>
              <w:top w:val="nil"/>
              <w:bottom w:val="nil"/>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.412</w:t>
            </w:r>
          </w:p>
        </w:tc>
      </w:tr>
      <w:tr w:rsidR="002320CD" w:rsidRPr="00B13C8C" w:rsidTr="00BE1ADC">
        <w:trPr>
          <w:gridAfter w:val="1"/>
          <w:wAfter w:w="5321" w:type="dxa"/>
          <w:cantSplit/>
          <w:tblHeader/>
        </w:trPr>
        <w:tc>
          <w:tcPr>
            <w:tcW w:w="725" w:type="dxa"/>
            <w:vMerge/>
            <w:tcBorders>
              <w:left w:val="single" w:sz="16" w:space="0" w:color="000000"/>
              <w:bottom w:val="single" w:sz="16" w:space="0" w:color="000000"/>
              <w:right w:val="nil"/>
            </w:tcBorders>
            <w:shd w:val="clear" w:color="auto" w:fill="FFFFFF"/>
          </w:tcPr>
          <w:p w:rsidR="002320CD" w:rsidRPr="00B13C8C" w:rsidRDefault="002320CD" w:rsidP="00CC10E3">
            <w:pPr>
              <w:autoSpaceDE w:val="0"/>
              <w:autoSpaceDN w:val="0"/>
              <w:adjustRightInd w:val="0"/>
              <w:spacing w:line="360" w:lineRule="auto"/>
              <w:contextualSpacing/>
              <w:rPr>
                <w:rFonts w:ascii="Arial" w:hAnsi="Arial" w:cs="Arial"/>
                <w:color w:val="000000"/>
                <w:sz w:val="18"/>
                <w:szCs w:val="18"/>
              </w:rPr>
            </w:pPr>
          </w:p>
        </w:tc>
        <w:tc>
          <w:tcPr>
            <w:tcW w:w="2421" w:type="dxa"/>
            <w:tcBorders>
              <w:top w:val="nil"/>
              <w:left w:val="nil"/>
              <w:bottom w:val="single" w:sz="16" w:space="0" w:color="000000"/>
              <w:right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Public</w:t>
            </w:r>
            <w:r>
              <w:rPr>
                <w:rFonts w:ascii="Arial" w:hAnsi="Arial" w:cs="Arial"/>
                <w:color w:val="000000"/>
                <w:sz w:val="18"/>
                <w:szCs w:val="18"/>
              </w:rPr>
              <w:t xml:space="preserve"> </w:t>
            </w:r>
            <w:r w:rsidRPr="00B13C8C">
              <w:rPr>
                <w:rFonts w:ascii="Arial" w:hAnsi="Arial" w:cs="Arial"/>
                <w:color w:val="000000"/>
                <w:sz w:val="18"/>
                <w:szCs w:val="18"/>
              </w:rPr>
              <w:t>enforcement</w:t>
            </w:r>
          </w:p>
        </w:tc>
        <w:tc>
          <w:tcPr>
            <w:tcW w:w="1321" w:type="dxa"/>
            <w:tcBorders>
              <w:top w:val="nil"/>
              <w:left w:val="single" w:sz="16" w:space="0" w:color="000000"/>
              <w:bottom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4.676</w:t>
            </w:r>
          </w:p>
        </w:tc>
        <w:tc>
          <w:tcPr>
            <w:tcW w:w="1321" w:type="dxa"/>
            <w:tcBorders>
              <w:top w:val="nil"/>
              <w:bottom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3.752</w:t>
            </w:r>
          </w:p>
        </w:tc>
        <w:tc>
          <w:tcPr>
            <w:tcW w:w="1453" w:type="dxa"/>
            <w:tcBorders>
              <w:top w:val="nil"/>
              <w:bottom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.227</w:t>
            </w:r>
          </w:p>
        </w:tc>
        <w:tc>
          <w:tcPr>
            <w:tcW w:w="1009" w:type="dxa"/>
            <w:tcBorders>
              <w:top w:val="nil"/>
              <w:bottom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1.246</w:t>
            </w:r>
          </w:p>
        </w:tc>
        <w:tc>
          <w:tcPr>
            <w:tcW w:w="1009" w:type="dxa"/>
            <w:tcBorders>
              <w:top w:val="nil"/>
              <w:bottom w:val="single" w:sz="16" w:space="0" w:color="000000"/>
            </w:tcBorders>
            <w:shd w:val="clear" w:color="auto" w:fill="FFFFFF"/>
          </w:tcPr>
          <w:p w:rsidR="002320CD" w:rsidRPr="00B13C8C" w:rsidRDefault="002320CD" w:rsidP="00CC10E3">
            <w:pPr>
              <w:autoSpaceDE w:val="0"/>
              <w:autoSpaceDN w:val="0"/>
              <w:adjustRightInd w:val="0"/>
              <w:spacing w:line="360" w:lineRule="auto"/>
              <w:ind w:left="60" w:right="60"/>
              <w:contextualSpacing/>
              <w:jc w:val="right"/>
              <w:rPr>
                <w:rFonts w:ascii="Arial" w:hAnsi="Arial" w:cs="Arial"/>
                <w:color w:val="000000"/>
                <w:sz w:val="18"/>
                <w:szCs w:val="18"/>
              </w:rPr>
            </w:pPr>
            <w:r w:rsidRPr="00B13C8C">
              <w:rPr>
                <w:rFonts w:ascii="Arial" w:hAnsi="Arial" w:cs="Arial"/>
                <w:color w:val="000000"/>
                <w:sz w:val="18"/>
                <w:szCs w:val="18"/>
              </w:rPr>
              <w:t>.223</w:t>
            </w:r>
          </w:p>
        </w:tc>
      </w:tr>
      <w:tr w:rsidR="002320CD" w:rsidRPr="00B13C8C" w:rsidTr="00BE1ADC">
        <w:trPr>
          <w:cantSplit/>
          <w:trHeight w:val="302"/>
        </w:trPr>
        <w:tc>
          <w:tcPr>
            <w:tcW w:w="14580" w:type="dxa"/>
            <w:gridSpan w:val="8"/>
            <w:tcBorders>
              <w:top w:val="nil"/>
              <w:left w:val="nil"/>
              <w:bottom w:val="nil"/>
              <w:right w:val="nil"/>
            </w:tcBorders>
            <w:shd w:val="clear" w:color="auto" w:fill="FFFFFF"/>
          </w:tcPr>
          <w:p w:rsidR="002320CD" w:rsidRPr="00B13C8C" w:rsidRDefault="002320CD" w:rsidP="00CC10E3">
            <w:pPr>
              <w:autoSpaceDE w:val="0"/>
              <w:autoSpaceDN w:val="0"/>
              <w:adjustRightInd w:val="0"/>
              <w:spacing w:line="360" w:lineRule="auto"/>
              <w:ind w:left="60" w:right="60"/>
              <w:contextualSpacing/>
              <w:rPr>
                <w:rFonts w:ascii="Arial" w:hAnsi="Arial" w:cs="Arial"/>
                <w:color w:val="000000"/>
                <w:sz w:val="18"/>
                <w:szCs w:val="18"/>
              </w:rPr>
            </w:pPr>
            <w:r w:rsidRPr="00B13C8C">
              <w:rPr>
                <w:rFonts w:ascii="Arial" w:hAnsi="Arial" w:cs="Arial"/>
                <w:color w:val="000000"/>
                <w:sz w:val="18"/>
                <w:szCs w:val="18"/>
              </w:rPr>
              <w:t>a. Dependent Variable: Aggregate</w:t>
            </w:r>
            <w:r>
              <w:rPr>
                <w:rFonts w:ascii="Arial" w:hAnsi="Arial" w:cs="Arial"/>
                <w:color w:val="000000"/>
                <w:sz w:val="18"/>
                <w:szCs w:val="18"/>
              </w:rPr>
              <w:t xml:space="preserve"> </w:t>
            </w:r>
            <w:r w:rsidRPr="00B13C8C">
              <w:rPr>
                <w:rFonts w:ascii="Arial" w:hAnsi="Arial" w:cs="Arial"/>
                <w:color w:val="000000"/>
                <w:sz w:val="18"/>
                <w:szCs w:val="18"/>
              </w:rPr>
              <w:t>IS</w:t>
            </w:r>
          </w:p>
        </w:tc>
      </w:tr>
    </w:tbl>
    <w:p w:rsidR="004C7380" w:rsidRPr="004C7380" w:rsidRDefault="004C7380" w:rsidP="00CC10E3">
      <w:pPr>
        <w:pStyle w:val="BodyText"/>
        <w:spacing w:line="360" w:lineRule="auto"/>
        <w:contextualSpacing/>
        <w:rPr>
          <w:rStyle w:val="SubtleReference"/>
          <w:rFonts w:ascii="Calibri" w:hAnsi="Calibri"/>
        </w:rPr>
      </w:pPr>
    </w:p>
    <w:p w:rsidR="00DB0FFC" w:rsidRDefault="00DB0FFC" w:rsidP="00F450E9">
      <w:pPr>
        <w:pStyle w:val="Heading4"/>
        <w:rPr>
          <w:rStyle w:val="SubtleReference"/>
          <w:rFonts w:ascii="Calibri" w:hAnsi="Calibri"/>
          <w:b w:val="0"/>
        </w:rPr>
      </w:pPr>
      <w:bookmarkStart w:id="98" w:name="_Toc268669773"/>
      <w:r w:rsidRPr="00F450E9">
        <w:rPr>
          <w:rStyle w:val="SubtleReference"/>
          <w:rFonts w:ascii="Calibri" w:hAnsi="Calibri"/>
          <w:b w:val="0"/>
        </w:rPr>
        <w:t>9. 8</w:t>
      </w:r>
      <w:r w:rsidRPr="00F450E9">
        <w:rPr>
          <w:rStyle w:val="SubtleReference"/>
          <w:rFonts w:ascii="Calibri" w:hAnsi="Calibri"/>
          <w:b w:val="0"/>
        </w:rPr>
        <w:tab/>
        <w:t>Model assumptions</w:t>
      </w:r>
      <w:bookmarkEnd w:id="98"/>
    </w:p>
    <w:p w:rsidR="000B2A2D" w:rsidRPr="000B2A2D" w:rsidRDefault="000B2A2D" w:rsidP="000B2A2D"/>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In order to draw conclusions about a population based on a regression analysis done on a sample, several assumptions have to be met</w:t>
      </w:r>
      <w:r w:rsidR="00901759">
        <w:rPr>
          <w:rFonts w:ascii="Times New Roman" w:hAnsi="Times New Roman" w:cs="Times New Roman"/>
          <w:sz w:val="24"/>
          <w:szCs w:val="24"/>
        </w:rPr>
        <w:t xml:space="preserve"> according to Field (2005)</w:t>
      </w:r>
      <w:r>
        <w:rPr>
          <w:rFonts w:ascii="Times New Roman" w:hAnsi="Times New Roman" w:cs="Times New Roman"/>
          <w:sz w:val="24"/>
          <w:szCs w:val="24"/>
        </w:rPr>
        <w:t>. It is necessary to know whether these assumptions are broken, because if they are broken one cannot draw accurate conclusions about reality. If the assumptions are met the coefficients and parameters of the multiple regression are unbiased and the regression model can be accurately applied to the population. I will elaborate more on these 9 assumptions and discuss whether they are true or not for this research.</w:t>
      </w:r>
    </w:p>
    <w:p w:rsidR="004C7380" w:rsidRDefault="004C7380" w:rsidP="00CC10E3">
      <w:pPr>
        <w:pStyle w:val="BodyText"/>
        <w:spacing w:line="360" w:lineRule="auto"/>
        <w:contextualSpacing/>
        <w:rPr>
          <w:rFonts w:ascii="Times New Roman" w:hAnsi="Times New Roman" w:cs="Times New Roman"/>
          <w:sz w:val="24"/>
          <w:szCs w:val="24"/>
        </w:rPr>
      </w:pPr>
    </w:p>
    <w:p w:rsidR="00404994" w:rsidRDefault="00404994" w:rsidP="00CC10E3">
      <w:pPr>
        <w:pStyle w:val="BodyText"/>
        <w:spacing w:line="360" w:lineRule="auto"/>
        <w:contextualSpacing/>
        <w:rPr>
          <w:rFonts w:ascii="Times New Roman" w:hAnsi="Times New Roman" w:cs="Times New Roman"/>
          <w:sz w:val="24"/>
          <w:szCs w:val="24"/>
        </w:rPr>
      </w:pPr>
    </w:p>
    <w:p w:rsidR="00DB0FFC" w:rsidRPr="00A97C6F" w:rsidRDefault="00DB0FFC" w:rsidP="00CC10E3">
      <w:pPr>
        <w:pStyle w:val="BodyText"/>
        <w:spacing w:line="360" w:lineRule="auto"/>
        <w:contextualSpacing/>
        <w:rPr>
          <w:rFonts w:ascii="Times New Roman" w:hAnsi="Times New Roman" w:cs="Times New Roman"/>
          <w:b/>
          <w:sz w:val="24"/>
          <w:szCs w:val="24"/>
        </w:rPr>
      </w:pPr>
      <w:r w:rsidRPr="00A97C6F">
        <w:rPr>
          <w:rFonts w:ascii="Times New Roman" w:hAnsi="Times New Roman" w:cs="Times New Roman"/>
          <w:b/>
          <w:sz w:val="24"/>
          <w:szCs w:val="24"/>
        </w:rPr>
        <w:lastRenderedPageBreak/>
        <w:t>Type of variables</w:t>
      </w:r>
    </w:p>
    <w:p w:rsidR="00DB0FFC" w:rsidRDefault="00DB0FFC"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sz w:val="24"/>
          <w:szCs w:val="24"/>
        </w:rPr>
        <w:t xml:space="preserve">It is required that the variables are either quantitative or categorical and the outcome variable must be quantitative, continuous and unbounded.  </w:t>
      </w:r>
      <w:r w:rsidRPr="00C90AFF">
        <w:rPr>
          <w:rFonts w:ascii="Times New Roman" w:hAnsi="Times New Roman" w:cs="Times New Roman"/>
          <w:i/>
          <w:sz w:val="24"/>
          <w:szCs w:val="24"/>
        </w:rPr>
        <w:t>Assumption is met</w:t>
      </w:r>
      <w:r>
        <w:rPr>
          <w:rFonts w:ascii="Times New Roman" w:hAnsi="Times New Roman" w:cs="Times New Roman"/>
          <w:i/>
          <w:sz w:val="24"/>
          <w:szCs w:val="24"/>
        </w:rPr>
        <w:t>.</w:t>
      </w:r>
    </w:p>
    <w:p w:rsidR="004C7380" w:rsidRPr="00C90AFF" w:rsidRDefault="004C7380" w:rsidP="00CC10E3">
      <w:pPr>
        <w:pStyle w:val="BodyText"/>
        <w:spacing w:line="360" w:lineRule="auto"/>
        <w:contextualSpacing/>
        <w:rPr>
          <w:rFonts w:ascii="Times New Roman" w:hAnsi="Times New Roman" w:cs="Times New Roman"/>
          <w:i/>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sidRPr="00A97C6F">
        <w:rPr>
          <w:rFonts w:ascii="Times New Roman" w:hAnsi="Times New Roman" w:cs="Times New Roman"/>
          <w:b/>
          <w:sz w:val="24"/>
          <w:szCs w:val="24"/>
        </w:rPr>
        <w:t>Non-zero variance</w:t>
      </w:r>
    </w:p>
    <w:p w:rsidR="00DB0FFC" w:rsidRDefault="00DB0FFC"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sz w:val="24"/>
          <w:szCs w:val="24"/>
        </w:rPr>
        <w:t xml:space="preserve">There should be some variation in the value of the predictors. </w:t>
      </w:r>
      <w:r w:rsidRPr="00C90AFF">
        <w:rPr>
          <w:rFonts w:ascii="Times New Roman" w:hAnsi="Times New Roman" w:cs="Times New Roman"/>
          <w:i/>
          <w:sz w:val="24"/>
          <w:szCs w:val="24"/>
        </w:rPr>
        <w:t>Assumption is met</w:t>
      </w:r>
      <w:r>
        <w:rPr>
          <w:rFonts w:ascii="Times New Roman" w:hAnsi="Times New Roman" w:cs="Times New Roman"/>
          <w:i/>
          <w:sz w:val="24"/>
          <w:szCs w:val="24"/>
        </w:rPr>
        <w:t>.</w:t>
      </w:r>
    </w:p>
    <w:p w:rsidR="003E749B" w:rsidRDefault="003E749B"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No perfect multicollinearity</w:t>
      </w: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Two or more predictor variables should not have a perfect linear relationship. The predictors should not correlate too highly. Multicollinearity only forms a threat for multiple regression </w:t>
      </w:r>
      <w:r w:rsidR="00F53D5A">
        <w:rPr>
          <w:rFonts w:ascii="Times New Roman" w:hAnsi="Times New Roman" w:cs="Times New Roman"/>
          <w:sz w:val="24"/>
          <w:szCs w:val="24"/>
        </w:rPr>
        <w:t xml:space="preserve">( not for a linear regression) </w:t>
      </w:r>
      <w:r>
        <w:rPr>
          <w:rFonts w:ascii="Times New Roman" w:hAnsi="Times New Roman" w:cs="Times New Roman"/>
          <w:sz w:val="24"/>
          <w:szCs w:val="24"/>
        </w:rPr>
        <w:t>because there are more than one predictors. If the collinearity between predictors is perfect it will be impossible to obtain unique estimates of the coefficients, because there are many combinations of coefficients that would give the same estimates.</w:t>
      </w: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A good way to identify multicollinearity is </w:t>
      </w:r>
      <w:r w:rsidRPr="0003432D">
        <w:rPr>
          <w:rFonts w:ascii="Times New Roman" w:hAnsi="Times New Roman" w:cs="Times New Roman"/>
          <w:i/>
          <w:sz w:val="24"/>
          <w:szCs w:val="24"/>
        </w:rPr>
        <w:t xml:space="preserve">the variance inflation factor </w:t>
      </w:r>
      <w:r>
        <w:rPr>
          <w:rFonts w:ascii="Times New Roman" w:hAnsi="Times New Roman" w:cs="Times New Roman"/>
          <w:sz w:val="24"/>
          <w:szCs w:val="24"/>
        </w:rPr>
        <w:t>(VIF) which gives an indication whether a predictor has a strong linear relationship with the other predictors. Field (2005) states that according to Myers a value of 10 as a VIF value is the point at which you should start worrying.</w:t>
      </w: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 VIF values of the predictors in the multiple regression I used are all below 2 and greater than 1. This indicates that there are no perfect linear relationships between the predictors, so there is no reason for concern.</w:t>
      </w:r>
    </w:p>
    <w:p w:rsidR="004C7380" w:rsidRDefault="004C7380"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There is another statistic that can be used to discover whether predictors are dependent or not, </w:t>
      </w:r>
      <w:r w:rsidRPr="0003432D">
        <w:rPr>
          <w:rFonts w:ascii="Times New Roman" w:hAnsi="Times New Roman" w:cs="Times New Roman"/>
          <w:i/>
          <w:sz w:val="24"/>
          <w:szCs w:val="24"/>
        </w:rPr>
        <w:t>the tolerance statistic</w:t>
      </w:r>
      <w:r>
        <w:rPr>
          <w:rFonts w:ascii="Times New Roman" w:hAnsi="Times New Roman" w:cs="Times New Roman"/>
          <w:sz w:val="24"/>
          <w:szCs w:val="24"/>
        </w:rPr>
        <w:t xml:space="preserve">. For this statistic values below 0.1 are problematic (Field, 2005).  The values for this statistic that I found confirm the findings mentioned above, there is no perfect linear relationship between the predictors. The tolerance statistic values are all greater than 0.1. See appendix E for SPSS output. </w:t>
      </w:r>
      <w:r w:rsidRPr="00C90AFF">
        <w:rPr>
          <w:rFonts w:ascii="Times New Roman" w:hAnsi="Times New Roman" w:cs="Times New Roman"/>
          <w:i/>
          <w:sz w:val="24"/>
          <w:szCs w:val="24"/>
        </w:rPr>
        <w:t>Assumption is met</w:t>
      </w:r>
      <w:r>
        <w:rPr>
          <w:rFonts w:ascii="Times New Roman" w:hAnsi="Times New Roman" w:cs="Times New Roman"/>
          <w:i/>
          <w:sz w:val="24"/>
          <w:szCs w:val="24"/>
        </w:rPr>
        <w:t>.</w:t>
      </w:r>
    </w:p>
    <w:p w:rsidR="00DB0FFC" w:rsidRDefault="00DB0FFC"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Predictors are uncorrelated with ‘external variables’</w:t>
      </w: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External variables refer to the variables that have not been included in the regression model, but which influence the outcome variable. The external variables should not correlate with the variables included. If they do, the conclusions drawn from the model are unreliable, because other variables could have predicted the outcome just as well. The </w:t>
      </w:r>
      <w:r>
        <w:rPr>
          <w:rFonts w:ascii="Times New Roman" w:hAnsi="Times New Roman" w:cs="Times New Roman"/>
          <w:sz w:val="24"/>
          <w:szCs w:val="24"/>
        </w:rPr>
        <w:lastRenderedPageBreak/>
        <w:t xml:space="preserve">previous chapters have shed light on the variables that influence income smoothing. I have taken these variables into account and therefore this </w:t>
      </w:r>
      <w:r w:rsidRPr="003E749B">
        <w:rPr>
          <w:rFonts w:ascii="Times New Roman" w:hAnsi="Times New Roman" w:cs="Times New Roman"/>
          <w:i/>
          <w:sz w:val="24"/>
          <w:szCs w:val="24"/>
        </w:rPr>
        <w:t>assumption is met.</w:t>
      </w:r>
    </w:p>
    <w:p w:rsidR="00803997" w:rsidRDefault="00803997" w:rsidP="00CC10E3">
      <w:pPr>
        <w:pStyle w:val="BodyText"/>
        <w:spacing w:line="360" w:lineRule="auto"/>
        <w:contextualSpacing/>
        <w:rPr>
          <w:rFonts w:ascii="Times New Roman" w:hAnsi="Times New Roman" w:cs="Times New Roman"/>
          <w:b/>
          <w:sz w:val="24"/>
          <w:szCs w:val="24"/>
        </w:rPr>
      </w:pPr>
    </w:p>
    <w:p w:rsidR="00803997"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Homoscedasticity</w:t>
      </w:r>
    </w:p>
    <w:p w:rsidR="00DB0FFC"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variance of the residual terms should be constant at each level of the predictor variables. If this is not the case, there is said to be heteroscedasticity. No pattern can be detected (see appendix </w:t>
      </w:r>
      <w:r w:rsidR="008D6721">
        <w:rPr>
          <w:rFonts w:ascii="Times New Roman" w:hAnsi="Times New Roman" w:cs="Times New Roman"/>
          <w:sz w:val="24"/>
          <w:szCs w:val="24"/>
        </w:rPr>
        <w:t>D</w:t>
      </w:r>
      <w:r>
        <w:rPr>
          <w:rFonts w:ascii="Times New Roman" w:hAnsi="Times New Roman" w:cs="Times New Roman"/>
          <w:sz w:val="24"/>
          <w:szCs w:val="24"/>
        </w:rPr>
        <w:t xml:space="preserve">), thus this </w:t>
      </w:r>
      <w:r w:rsidRPr="003E749B">
        <w:rPr>
          <w:rFonts w:ascii="Times New Roman" w:hAnsi="Times New Roman" w:cs="Times New Roman"/>
          <w:i/>
          <w:sz w:val="24"/>
          <w:szCs w:val="24"/>
        </w:rPr>
        <w:t>assumption is met.</w:t>
      </w:r>
    </w:p>
    <w:p w:rsidR="00DB0FFC" w:rsidRDefault="00DB0FFC"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Independent errors</w:t>
      </w:r>
    </w:p>
    <w:p w:rsidR="00DB0FFC" w:rsidRPr="00820B4B" w:rsidRDefault="00DB0FFC"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sz w:val="24"/>
          <w:szCs w:val="24"/>
        </w:rPr>
        <w:t xml:space="preserve">This means that for any two observations the residual terms should be uncorrelated. The </w:t>
      </w:r>
      <w:r w:rsidRPr="00B72DF2">
        <w:rPr>
          <w:rFonts w:ascii="Times New Roman" w:hAnsi="Times New Roman" w:cs="Times New Roman"/>
          <w:i/>
          <w:sz w:val="24"/>
          <w:szCs w:val="24"/>
        </w:rPr>
        <w:t>Durbin-Watson test</w:t>
      </w:r>
      <w:r>
        <w:rPr>
          <w:rFonts w:ascii="Times New Roman" w:hAnsi="Times New Roman" w:cs="Times New Roman"/>
          <w:sz w:val="24"/>
          <w:szCs w:val="24"/>
        </w:rPr>
        <w:t xml:space="preserve"> can be used to test this assumption. The Durbin-Watson test looks for serial correlations between errors. The outcome of this test can vary between 0 and 4 whereas a value of 2 indicates that the residuals are uncorrelated. Values below 1 or greater than 3 are causes for concern according to Field (2005). The Durbin-Watson value for my research is 1.684, so there is no reason for concern.</w:t>
      </w:r>
      <w:r w:rsidR="00820B4B">
        <w:rPr>
          <w:rFonts w:ascii="Times New Roman" w:hAnsi="Times New Roman" w:cs="Times New Roman"/>
          <w:sz w:val="24"/>
          <w:szCs w:val="24"/>
        </w:rPr>
        <w:t xml:space="preserve"> </w:t>
      </w:r>
      <w:r w:rsidR="00820B4B">
        <w:rPr>
          <w:rFonts w:ascii="Times New Roman" w:hAnsi="Times New Roman" w:cs="Times New Roman"/>
          <w:i/>
          <w:sz w:val="24"/>
          <w:szCs w:val="24"/>
        </w:rPr>
        <w:t>Assumption is met.</w:t>
      </w:r>
    </w:p>
    <w:p w:rsidR="00DB0FFC" w:rsidRDefault="00DB0FFC"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Normally distributed errors</w:t>
      </w:r>
    </w:p>
    <w:p w:rsidR="00DB0FFC" w:rsidRPr="0047530D" w:rsidRDefault="00DB0FFC" w:rsidP="00CC10E3">
      <w:pPr>
        <w:pStyle w:val="BodyText"/>
        <w:spacing w:line="360" w:lineRule="auto"/>
        <w:contextualSpacing/>
        <w:rPr>
          <w:rFonts w:ascii="Times New Roman" w:hAnsi="Times New Roman" w:cs="Times New Roman"/>
          <w:sz w:val="24"/>
          <w:szCs w:val="24"/>
        </w:rPr>
      </w:pPr>
      <w:r w:rsidRPr="0047530D">
        <w:rPr>
          <w:rFonts w:ascii="Times New Roman" w:hAnsi="Times New Roman" w:cs="Times New Roman"/>
          <w:sz w:val="24"/>
          <w:szCs w:val="24"/>
        </w:rPr>
        <w:t xml:space="preserve">This assumption assumes that the residuals in the model are random, normally distributed variables with a mean of 0, which basically means that the differences between the model and the observed data are zero or very close to zero. Differences that are greater than 3 are not common and happen occasionally. The mean of the predicted variable score is close to </w:t>
      </w:r>
      <w:r>
        <w:rPr>
          <w:rFonts w:ascii="Times New Roman" w:hAnsi="Times New Roman" w:cs="Times New Roman"/>
          <w:sz w:val="24"/>
          <w:szCs w:val="24"/>
        </w:rPr>
        <w:t>0</w:t>
      </w:r>
      <w:r w:rsidRPr="0047530D">
        <w:rPr>
          <w:rFonts w:ascii="Times New Roman" w:hAnsi="Times New Roman" w:cs="Times New Roman"/>
          <w:sz w:val="24"/>
          <w:szCs w:val="24"/>
        </w:rPr>
        <w:t xml:space="preserve">.  </w:t>
      </w:r>
      <w:r>
        <w:rPr>
          <w:rFonts w:ascii="Times New Roman" w:hAnsi="Times New Roman" w:cs="Times New Roman"/>
          <w:sz w:val="24"/>
          <w:szCs w:val="24"/>
        </w:rPr>
        <w:t xml:space="preserve">The SPSS output in appendix </w:t>
      </w:r>
      <w:r w:rsidR="00692923">
        <w:rPr>
          <w:rFonts w:ascii="Times New Roman" w:hAnsi="Times New Roman" w:cs="Times New Roman"/>
          <w:sz w:val="24"/>
          <w:szCs w:val="24"/>
        </w:rPr>
        <w:t>E</w:t>
      </w:r>
      <w:r>
        <w:rPr>
          <w:rFonts w:ascii="Times New Roman" w:hAnsi="Times New Roman" w:cs="Times New Roman"/>
          <w:sz w:val="24"/>
          <w:szCs w:val="24"/>
        </w:rPr>
        <w:t xml:space="preserve"> shows</w:t>
      </w:r>
      <w:r w:rsidRPr="0047530D">
        <w:rPr>
          <w:rFonts w:ascii="Times New Roman" w:hAnsi="Times New Roman" w:cs="Times New Roman"/>
          <w:sz w:val="24"/>
          <w:szCs w:val="24"/>
        </w:rPr>
        <w:t xml:space="preserve"> the necessary information; the standard predictive value of the mean is 0.000. </w:t>
      </w:r>
      <w:r w:rsidRPr="00C243E8">
        <w:rPr>
          <w:rFonts w:ascii="Times New Roman" w:hAnsi="Times New Roman" w:cs="Times New Roman"/>
          <w:i/>
          <w:sz w:val="24"/>
          <w:szCs w:val="24"/>
        </w:rPr>
        <w:t>The assumption therefore is met.</w:t>
      </w:r>
    </w:p>
    <w:p w:rsidR="00B476FF" w:rsidRDefault="00B476FF"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Independence</w:t>
      </w:r>
    </w:p>
    <w:p w:rsidR="00DB0FFC" w:rsidRPr="00C243E8" w:rsidRDefault="00DB0FFC"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sz w:val="24"/>
          <w:szCs w:val="24"/>
        </w:rPr>
        <w:t>This assumption simply means that all values of the dependent variable are independent. The independence assumption is also met, because each value in my research comes from a separate entity.</w:t>
      </w:r>
      <w:r w:rsidR="00C243E8">
        <w:rPr>
          <w:rFonts w:ascii="Times New Roman" w:hAnsi="Times New Roman" w:cs="Times New Roman"/>
          <w:sz w:val="24"/>
          <w:szCs w:val="24"/>
        </w:rPr>
        <w:t xml:space="preserve"> </w:t>
      </w:r>
      <w:r w:rsidR="00C243E8">
        <w:rPr>
          <w:rFonts w:ascii="Times New Roman" w:hAnsi="Times New Roman" w:cs="Times New Roman"/>
          <w:i/>
          <w:sz w:val="24"/>
          <w:szCs w:val="24"/>
        </w:rPr>
        <w:t xml:space="preserve">Assumption is met. </w:t>
      </w:r>
    </w:p>
    <w:p w:rsidR="00DB0FFC" w:rsidRDefault="00DB0FFC" w:rsidP="00CC10E3">
      <w:pPr>
        <w:pStyle w:val="BodyText"/>
        <w:spacing w:line="360" w:lineRule="auto"/>
        <w:contextualSpacing/>
        <w:rPr>
          <w:rFonts w:ascii="Times New Roman" w:hAnsi="Times New Roman" w:cs="Times New Roman"/>
          <w:sz w:val="24"/>
          <w:szCs w:val="24"/>
        </w:rPr>
      </w:pPr>
    </w:p>
    <w:p w:rsidR="00DB0FFC" w:rsidRDefault="00DB0FFC" w:rsidP="00CC10E3">
      <w:pPr>
        <w:pStyle w:val="BodyText"/>
        <w:spacing w:line="360" w:lineRule="auto"/>
        <w:contextualSpacing/>
        <w:rPr>
          <w:rFonts w:ascii="Times New Roman" w:hAnsi="Times New Roman" w:cs="Times New Roman"/>
          <w:b/>
          <w:sz w:val="24"/>
          <w:szCs w:val="24"/>
        </w:rPr>
      </w:pPr>
      <w:r>
        <w:rPr>
          <w:rFonts w:ascii="Times New Roman" w:hAnsi="Times New Roman" w:cs="Times New Roman"/>
          <w:b/>
          <w:sz w:val="24"/>
          <w:szCs w:val="24"/>
        </w:rPr>
        <w:t>Linearity</w:t>
      </w:r>
    </w:p>
    <w:p w:rsidR="00DB0FFC" w:rsidRPr="00C60107" w:rsidRDefault="00DB0FF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It is assumed that the relationship modeled is a linear one. This means that the mean values of the outcome variable for each increment of the predictors lie a</w:t>
      </w:r>
      <w:r w:rsidR="00CF64C2">
        <w:rPr>
          <w:rFonts w:ascii="Times New Roman" w:hAnsi="Times New Roman" w:cs="Times New Roman"/>
          <w:sz w:val="24"/>
          <w:szCs w:val="24"/>
        </w:rPr>
        <w:t>long a straight line. Appendix D</w:t>
      </w:r>
      <w:r>
        <w:rPr>
          <w:rFonts w:ascii="Times New Roman" w:hAnsi="Times New Roman" w:cs="Times New Roman"/>
          <w:sz w:val="24"/>
          <w:szCs w:val="24"/>
        </w:rPr>
        <w:t xml:space="preserve"> provides a scatter plot from which we can conclude that there is a linear relationship; there is no curve or </w:t>
      </w:r>
      <w:r w:rsidRPr="00F51C5C">
        <w:rPr>
          <w:rFonts w:ascii="Times New Roman" w:hAnsi="Times New Roman" w:cs="Times New Roman"/>
          <w:sz w:val="24"/>
          <w:szCs w:val="24"/>
        </w:rPr>
        <w:t xml:space="preserve">whatsoever in this plot. </w:t>
      </w:r>
      <w:r w:rsidRPr="00C243E8">
        <w:rPr>
          <w:rFonts w:ascii="Times New Roman" w:hAnsi="Times New Roman" w:cs="Times New Roman"/>
          <w:i/>
          <w:sz w:val="24"/>
          <w:szCs w:val="24"/>
        </w:rPr>
        <w:t>This assumption is met.</w:t>
      </w:r>
    </w:p>
    <w:p w:rsidR="00692D50" w:rsidRDefault="00692D50" w:rsidP="00CC10E3">
      <w:pPr>
        <w:pStyle w:val="BodyText"/>
        <w:spacing w:line="360" w:lineRule="auto"/>
        <w:contextualSpacing/>
        <w:rPr>
          <w:rFonts w:ascii="Times New Roman" w:hAnsi="Times New Roman" w:cs="Times New Roman"/>
          <w:b/>
          <w:sz w:val="24"/>
          <w:szCs w:val="24"/>
        </w:rPr>
      </w:pPr>
    </w:p>
    <w:p w:rsidR="007A3FC2" w:rsidRPr="006B1541" w:rsidRDefault="007A3FC2"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I mentioned earlier that if the aforementioned assumptions are met, which is the case in my </w:t>
      </w:r>
      <w:r w:rsidR="00A34F2A">
        <w:rPr>
          <w:rFonts w:ascii="Times New Roman" w:hAnsi="Times New Roman" w:cs="Times New Roman"/>
          <w:sz w:val="24"/>
          <w:szCs w:val="24"/>
        </w:rPr>
        <w:t xml:space="preserve">research, </w:t>
      </w:r>
      <w:r>
        <w:rPr>
          <w:rFonts w:ascii="Times New Roman" w:hAnsi="Times New Roman" w:cs="Times New Roman"/>
          <w:sz w:val="24"/>
          <w:szCs w:val="24"/>
        </w:rPr>
        <w:t>one can draw accurate conclusions about reality. This however, does not mean that the regression model used is the exact same as the model that I would have obtained had I tested the entire population (Field, 2005). What the regression model used actually tells me is that on average the regression model from the sample is the same as the population model.</w:t>
      </w:r>
      <w:r w:rsidR="006B1541">
        <w:rPr>
          <w:rFonts w:ascii="Times New Roman" w:hAnsi="Times New Roman" w:cs="Times New Roman"/>
          <w:sz w:val="24"/>
          <w:szCs w:val="24"/>
        </w:rPr>
        <w:t xml:space="preserve"> Once again there is a </w:t>
      </w:r>
      <w:r w:rsidR="006B1541" w:rsidRPr="006B1541">
        <w:rPr>
          <w:rFonts w:ascii="Times New Roman" w:hAnsi="Times New Roman" w:cs="Times New Roman"/>
          <w:i/>
          <w:sz w:val="24"/>
          <w:szCs w:val="24"/>
        </w:rPr>
        <w:t>but</w:t>
      </w:r>
      <w:r w:rsidR="006B1541" w:rsidRPr="006B1541">
        <w:rPr>
          <w:rFonts w:ascii="Times New Roman" w:hAnsi="Times New Roman" w:cs="Times New Roman"/>
          <w:sz w:val="24"/>
          <w:szCs w:val="24"/>
        </w:rPr>
        <w:t xml:space="preserve">: </w:t>
      </w:r>
      <w:r w:rsidRPr="006B1541">
        <w:rPr>
          <w:rFonts w:ascii="Times New Roman" w:hAnsi="Times New Roman" w:cs="Times New Roman"/>
          <w:sz w:val="24"/>
          <w:szCs w:val="24"/>
        </w:rPr>
        <w:t>It is possible that the sample may not be the same as the population model, but the likelihood of them being the same is increased.</w:t>
      </w:r>
    </w:p>
    <w:p w:rsidR="008373E5" w:rsidRDefault="00C31D09" w:rsidP="00E7014F">
      <w:pPr>
        <w:pStyle w:val="Heading4"/>
        <w:rPr>
          <w:rStyle w:val="SubtleReference"/>
          <w:rFonts w:ascii="Calibri" w:hAnsi="Calibri"/>
          <w:b w:val="0"/>
        </w:rPr>
      </w:pPr>
      <w:bookmarkStart w:id="99" w:name="_Toc268669774"/>
      <w:r w:rsidRPr="00E7014F">
        <w:rPr>
          <w:rStyle w:val="SubtleReference"/>
          <w:rFonts w:ascii="Calibri" w:hAnsi="Calibri"/>
          <w:b w:val="0"/>
        </w:rPr>
        <w:t xml:space="preserve">9.9 </w:t>
      </w:r>
      <w:r w:rsidR="00E6088D" w:rsidRPr="00E7014F">
        <w:rPr>
          <w:rStyle w:val="SubtleReference"/>
          <w:rFonts w:ascii="Calibri" w:hAnsi="Calibri"/>
          <w:b w:val="0"/>
        </w:rPr>
        <w:tab/>
      </w:r>
      <w:r w:rsidRPr="00E7014F">
        <w:rPr>
          <w:rStyle w:val="SubtleReference"/>
          <w:rFonts w:ascii="Calibri" w:hAnsi="Calibri"/>
          <w:b w:val="0"/>
        </w:rPr>
        <w:t>Results and Discussion</w:t>
      </w:r>
      <w:bookmarkEnd w:id="99"/>
    </w:p>
    <w:p w:rsidR="00B203BC" w:rsidRPr="00B203BC" w:rsidRDefault="00B203BC" w:rsidP="00B203BC"/>
    <w:p w:rsidR="004271CB" w:rsidRDefault="00A55EB2"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literature which I </w:t>
      </w:r>
      <w:r w:rsidR="00534845">
        <w:rPr>
          <w:rFonts w:ascii="Times New Roman" w:hAnsi="Times New Roman" w:cs="Times New Roman"/>
          <w:sz w:val="24"/>
          <w:szCs w:val="24"/>
        </w:rPr>
        <w:t>discussed</w:t>
      </w:r>
      <w:r>
        <w:rPr>
          <w:rFonts w:ascii="Times New Roman" w:hAnsi="Times New Roman" w:cs="Times New Roman"/>
          <w:sz w:val="24"/>
          <w:szCs w:val="24"/>
        </w:rPr>
        <w:t xml:space="preserve"> in the first seven chapters of this thesis argued that there is a relationship between the occurrence of income smoothing and the level of investor protection in a particular country. </w:t>
      </w:r>
      <w:r w:rsidR="00534845">
        <w:rPr>
          <w:rFonts w:ascii="Times New Roman" w:hAnsi="Times New Roman" w:cs="Times New Roman"/>
          <w:sz w:val="24"/>
          <w:szCs w:val="24"/>
        </w:rPr>
        <w:t xml:space="preserve">Previous studies have provided evidence that a </w:t>
      </w:r>
      <w:r w:rsidR="00BE1ADC">
        <w:rPr>
          <w:rFonts w:ascii="Times New Roman" w:hAnsi="Times New Roman" w:cs="Times New Roman"/>
          <w:sz w:val="24"/>
          <w:szCs w:val="24"/>
        </w:rPr>
        <w:t>higher level</w:t>
      </w:r>
      <w:r w:rsidR="00534845">
        <w:rPr>
          <w:rFonts w:ascii="Times New Roman" w:hAnsi="Times New Roman" w:cs="Times New Roman"/>
          <w:sz w:val="24"/>
          <w:szCs w:val="24"/>
        </w:rPr>
        <w:t xml:space="preserve"> of investor protection will discourage controlling </w:t>
      </w:r>
      <w:r w:rsidR="00ED1D55">
        <w:rPr>
          <w:rFonts w:ascii="Times New Roman" w:hAnsi="Times New Roman" w:cs="Times New Roman"/>
          <w:sz w:val="24"/>
          <w:szCs w:val="24"/>
        </w:rPr>
        <w:t xml:space="preserve">insiders from smoothing income, so legal systems that protect outside investors reduce the need for insiders to conceal their </w:t>
      </w:r>
      <w:r w:rsidR="00EE232D">
        <w:rPr>
          <w:rFonts w:ascii="Times New Roman" w:hAnsi="Times New Roman" w:cs="Times New Roman"/>
          <w:sz w:val="24"/>
          <w:szCs w:val="24"/>
        </w:rPr>
        <w:t xml:space="preserve">activities. This basically means that high investor protection countries have a low level of income smoothing and low investor protection have a high level of income smoothing. </w:t>
      </w:r>
    </w:p>
    <w:p w:rsidR="004271CB" w:rsidRDefault="004271CB" w:rsidP="00CC10E3">
      <w:pPr>
        <w:pStyle w:val="BodyText"/>
        <w:spacing w:line="360" w:lineRule="auto"/>
        <w:contextualSpacing/>
        <w:rPr>
          <w:rFonts w:ascii="Times New Roman" w:hAnsi="Times New Roman" w:cs="Times New Roman"/>
          <w:sz w:val="24"/>
          <w:szCs w:val="24"/>
        </w:rPr>
      </w:pPr>
    </w:p>
    <w:p w:rsidR="00E74BB1" w:rsidRDefault="00F95034"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 correlation matrix showed that r</w:t>
      </w:r>
      <w:r w:rsidR="003522FA">
        <w:rPr>
          <w:rFonts w:ascii="Times New Roman" w:hAnsi="Times New Roman" w:cs="Times New Roman"/>
          <w:sz w:val="24"/>
          <w:szCs w:val="24"/>
        </w:rPr>
        <w:t xml:space="preserve">eal income smoothing </w:t>
      </w:r>
      <w:r w:rsidR="00E74BB1">
        <w:rPr>
          <w:rFonts w:ascii="Times New Roman" w:hAnsi="Times New Roman" w:cs="Times New Roman"/>
          <w:sz w:val="24"/>
          <w:szCs w:val="24"/>
        </w:rPr>
        <w:t xml:space="preserve">has </w:t>
      </w:r>
      <w:r>
        <w:rPr>
          <w:rFonts w:ascii="Times New Roman" w:hAnsi="Times New Roman" w:cs="Times New Roman"/>
          <w:sz w:val="24"/>
          <w:szCs w:val="24"/>
        </w:rPr>
        <w:t xml:space="preserve">a </w:t>
      </w:r>
      <w:r w:rsidR="00E74BB1">
        <w:rPr>
          <w:rFonts w:ascii="Times New Roman" w:hAnsi="Times New Roman" w:cs="Times New Roman"/>
          <w:sz w:val="24"/>
          <w:szCs w:val="24"/>
        </w:rPr>
        <w:t xml:space="preserve">positive correlation with all three of the investor protection variables, which is the complete opposite of what I expected to find and what previous studies proved. </w:t>
      </w:r>
      <w:r w:rsidR="002A50CA">
        <w:rPr>
          <w:rFonts w:ascii="Times New Roman" w:hAnsi="Times New Roman" w:cs="Times New Roman"/>
          <w:sz w:val="24"/>
          <w:szCs w:val="24"/>
        </w:rPr>
        <w:t xml:space="preserve">The three variables only accounted for 7% of the variation in real income smoothing, which is extremely low. </w:t>
      </w:r>
      <w:r w:rsidR="00313B77">
        <w:rPr>
          <w:rFonts w:ascii="Times New Roman" w:hAnsi="Times New Roman" w:cs="Times New Roman"/>
          <w:sz w:val="24"/>
          <w:szCs w:val="24"/>
        </w:rPr>
        <w:t xml:space="preserve">On top of it all, none of the correlations are statistically significant. </w:t>
      </w:r>
      <w:r w:rsidR="00E74BB1" w:rsidRPr="00A82385">
        <w:rPr>
          <w:rFonts w:ascii="Times New Roman" w:hAnsi="Times New Roman" w:cs="Times New Roman"/>
          <w:i/>
          <w:sz w:val="24"/>
          <w:szCs w:val="24"/>
        </w:rPr>
        <w:t>The first hypothesis cannot be confirmed.</w:t>
      </w:r>
    </w:p>
    <w:p w:rsidR="00E74BB1" w:rsidRDefault="00E74BB1" w:rsidP="00CC10E3">
      <w:pPr>
        <w:pStyle w:val="BodyText"/>
        <w:spacing w:line="360" w:lineRule="auto"/>
        <w:contextualSpacing/>
        <w:rPr>
          <w:rFonts w:ascii="Times New Roman" w:hAnsi="Times New Roman" w:cs="Times New Roman"/>
          <w:sz w:val="24"/>
          <w:szCs w:val="24"/>
        </w:rPr>
      </w:pPr>
    </w:p>
    <w:p w:rsidR="004271CB" w:rsidRDefault="00EB2145"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There is a negative correlation between a</w:t>
      </w:r>
      <w:r w:rsidR="003522FA">
        <w:rPr>
          <w:rFonts w:ascii="Times New Roman" w:hAnsi="Times New Roman" w:cs="Times New Roman"/>
          <w:sz w:val="24"/>
          <w:szCs w:val="24"/>
        </w:rPr>
        <w:t xml:space="preserve">rtificial income smoothing </w:t>
      </w:r>
      <w:r>
        <w:rPr>
          <w:rFonts w:ascii="Times New Roman" w:hAnsi="Times New Roman" w:cs="Times New Roman"/>
          <w:sz w:val="24"/>
          <w:szCs w:val="24"/>
        </w:rPr>
        <w:t xml:space="preserve">and the ex ante private control of self-dealing index as well as the ex post private control of self-dealing index. Not one of these correlations is significant however, which restrains me from telling whether the relationship is genuine or not. The three variables hardly account for 2% of the variation in artificial income smoothing, which means that they are not good in predicting the level of income smoothing. </w:t>
      </w:r>
      <w:r w:rsidRPr="00A82385">
        <w:rPr>
          <w:rFonts w:ascii="Times New Roman" w:hAnsi="Times New Roman" w:cs="Times New Roman"/>
          <w:i/>
          <w:sz w:val="24"/>
          <w:szCs w:val="24"/>
        </w:rPr>
        <w:t>Thus, the second hypothesis cannot be confirmed.</w:t>
      </w:r>
      <w:r w:rsidR="003522FA" w:rsidRPr="00A82385">
        <w:rPr>
          <w:rFonts w:ascii="Times New Roman" w:hAnsi="Times New Roman" w:cs="Times New Roman"/>
          <w:i/>
          <w:sz w:val="24"/>
          <w:szCs w:val="24"/>
        </w:rPr>
        <w:t xml:space="preserve"> </w:t>
      </w:r>
    </w:p>
    <w:p w:rsidR="004271CB" w:rsidRDefault="004271CB" w:rsidP="00CC10E3">
      <w:pPr>
        <w:pStyle w:val="BodyText"/>
        <w:spacing w:line="360" w:lineRule="auto"/>
        <w:contextualSpacing/>
        <w:rPr>
          <w:rFonts w:ascii="Times New Roman" w:hAnsi="Times New Roman" w:cs="Times New Roman"/>
          <w:sz w:val="24"/>
          <w:szCs w:val="24"/>
        </w:rPr>
      </w:pPr>
    </w:p>
    <w:p w:rsidR="00C31D09" w:rsidRDefault="004271CB"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The results from the statistical analysis shown in the previous sections of this chapter show that there is indeed a negative correlation between income smoothing and two out of three investor protection variables. Despite this I cannot </w:t>
      </w:r>
      <w:r w:rsidR="00C47F26">
        <w:rPr>
          <w:rFonts w:ascii="Times New Roman" w:hAnsi="Times New Roman" w:cs="Times New Roman"/>
          <w:sz w:val="24"/>
          <w:szCs w:val="24"/>
        </w:rPr>
        <w:t>confirm</w:t>
      </w:r>
      <w:r>
        <w:rPr>
          <w:rFonts w:ascii="Times New Roman" w:hAnsi="Times New Roman" w:cs="Times New Roman"/>
          <w:sz w:val="24"/>
          <w:szCs w:val="24"/>
        </w:rPr>
        <w:t xml:space="preserve"> any </w:t>
      </w:r>
      <w:r w:rsidR="00C47F26">
        <w:rPr>
          <w:rFonts w:ascii="Times New Roman" w:hAnsi="Times New Roman" w:cs="Times New Roman"/>
          <w:sz w:val="24"/>
          <w:szCs w:val="24"/>
        </w:rPr>
        <w:t>of the hypotheses</w:t>
      </w:r>
      <w:r>
        <w:rPr>
          <w:rFonts w:ascii="Times New Roman" w:hAnsi="Times New Roman" w:cs="Times New Roman"/>
          <w:sz w:val="24"/>
          <w:szCs w:val="24"/>
        </w:rPr>
        <w:t xml:space="preserve"> because these correlations are not significant and therefore I cannot confirm the expectations I had. </w:t>
      </w:r>
      <w:r w:rsidR="00E52234">
        <w:rPr>
          <w:rFonts w:ascii="Times New Roman" w:hAnsi="Times New Roman" w:cs="Times New Roman"/>
          <w:sz w:val="24"/>
          <w:szCs w:val="24"/>
        </w:rPr>
        <w:t xml:space="preserve">From the statistical analysis it appears that there is a positive relationship between income smoothing and the level of public enforcement. This is the exact opposite from that which I argued in the literature </w:t>
      </w:r>
      <w:r w:rsidR="00A4412E">
        <w:rPr>
          <w:rFonts w:ascii="Times New Roman" w:hAnsi="Times New Roman" w:cs="Times New Roman"/>
          <w:sz w:val="24"/>
          <w:szCs w:val="24"/>
        </w:rPr>
        <w:t>review of this</w:t>
      </w:r>
      <w:r w:rsidR="00E52234">
        <w:rPr>
          <w:rFonts w:ascii="Times New Roman" w:hAnsi="Times New Roman" w:cs="Times New Roman"/>
          <w:sz w:val="24"/>
          <w:szCs w:val="24"/>
        </w:rPr>
        <w:t xml:space="preserve"> thesis. This correlation however is not significant, so</w:t>
      </w:r>
      <w:r w:rsidR="005C6464">
        <w:rPr>
          <w:rFonts w:ascii="Times New Roman" w:hAnsi="Times New Roman" w:cs="Times New Roman"/>
          <w:sz w:val="24"/>
          <w:szCs w:val="24"/>
        </w:rPr>
        <w:t xml:space="preserve"> I cannot say that this relationship is genuine.</w:t>
      </w:r>
      <w:r w:rsidR="00ED1D55">
        <w:rPr>
          <w:rFonts w:ascii="Times New Roman" w:hAnsi="Times New Roman" w:cs="Times New Roman"/>
          <w:sz w:val="24"/>
          <w:szCs w:val="24"/>
        </w:rPr>
        <w:t xml:space="preserve"> </w:t>
      </w:r>
    </w:p>
    <w:p w:rsidR="00345F78" w:rsidRDefault="00345F78" w:rsidP="00CC10E3">
      <w:pPr>
        <w:pStyle w:val="BodyText"/>
        <w:spacing w:line="360" w:lineRule="auto"/>
        <w:contextualSpacing/>
        <w:rPr>
          <w:rFonts w:ascii="Times New Roman" w:hAnsi="Times New Roman" w:cs="Times New Roman"/>
          <w:i/>
          <w:sz w:val="24"/>
          <w:szCs w:val="24"/>
        </w:rPr>
      </w:pPr>
      <w:r>
        <w:rPr>
          <w:rFonts w:ascii="Times New Roman" w:hAnsi="Times New Roman" w:cs="Times New Roman"/>
          <w:sz w:val="24"/>
          <w:szCs w:val="24"/>
        </w:rPr>
        <w:t xml:space="preserve">Apart from having taken a look at the relationships between the occurrence of income smoothing and the level of investor protection, I also tested what influence investor protection has on income smoothing by deploying a hierarchical multiple regression. The result of this regression is shown in </w:t>
      </w:r>
      <w:r w:rsidR="002938B4">
        <w:rPr>
          <w:rFonts w:ascii="Times New Roman" w:hAnsi="Times New Roman" w:cs="Times New Roman"/>
          <w:sz w:val="24"/>
          <w:szCs w:val="24"/>
        </w:rPr>
        <w:t xml:space="preserve">table </w:t>
      </w:r>
      <w:r w:rsidR="006732D9">
        <w:rPr>
          <w:rFonts w:ascii="Times New Roman" w:hAnsi="Times New Roman" w:cs="Times New Roman"/>
          <w:sz w:val="24"/>
          <w:szCs w:val="24"/>
        </w:rPr>
        <w:t>7</w:t>
      </w:r>
      <w:r>
        <w:rPr>
          <w:rFonts w:ascii="Times New Roman" w:hAnsi="Times New Roman" w:cs="Times New Roman"/>
          <w:sz w:val="24"/>
          <w:szCs w:val="24"/>
        </w:rPr>
        <w:t xml:space="preserve">. This table shows that </w:t>
      </w:r>
      <w:r w:rsidR="0005354B">
        <w:rPr>
          <w:rFonts w:ascii="Times New Roman" w:hAnsi="Times New Roman" w:cs="Times New Roman"/>
          <w:sz w:val="24"/>
          <w:szCs w:val="24"/>
        </w:rPr>
        <w:t>the first two predictors account for 10.3% of the variability in the data. When the third predictor is entered in the model this percentage increases to 15.1%. So, the third predictor accounts for 4.8% of the variability.</w:t>
      </w:r>
      <w:r w:rsidR="004271CB">
        <w:rPr>
          <w:rFonts w:ascii="Times New Roman" w:hAnsi="Times New Roman" w:cs="Times New Roman"/>
          <w:sz w:val="24"/>
          <w:szCs w:val="24"/>
        </w:rPr>
        <w:t xml:space="preserve"> </w:t>
      </w:r>
      <w:r w:rsidR="004271CB" w:rsidRPr="00A82385">
        <w:rPr>
          <w:rFonts w:ascii="Times New Roman" w:hAnsi="Times New Roman" w:cs="Times New Roman"/>
          <w:i/>
          <w:sz w:val="24"/>
          <w:szCs w:val="24"/>
        </w:rPr>
        <w:t>The third hypothesis cannot be confirmed either.</w:t>
      </w:r>
    </w:p>
    <w:p w:rsidR="008942D1" w:rsidRDefault="008942D1" w:rsidP="00CC10E3">
      <w:pPr>
        <w:pStyle w:val="BodyText"/>
        <w:spacing w:line="360" w:lineRule="auto"/>
        <w:contextualSpacing/>
        <w:rPr>
          <w:rFonts w:ascii="Times New Roman" w:hAnsi="Times New Roman" w:cs="Times New Roman"/>
          <w:i/>
          <w:sz w:val="24"/>
          <w:szCs w:val="24"/>
        </w:rPr>
      </w:pPr>
    </w:p>
    <w:p w:rsidR="008942D1" w:rsidRPr="008942D1" w:rsidRDefault="008942D1"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From the statistical analysis it became clear that there is no significant relationship between investor protection and income smoothing. So, I will take a closer look at the income smoothing measures presented in table 3 and compare them to the income smoothing measures obtained by Leuz et al. (2003).</w:t>
      </w:r>
      <w:r w:rsidR="0094726D">
        <w:rPr>
          <w:rFonts w:ascii="Times New Roman" w:hAnsi="Times New Roman" w:cs="Times New Roman"/>
          <w:sz w:val="24"/>
          <w:szCs w:val="24"/>
        </w:rPr>
        <w:t xml:space="preserve"> Table 3 shows that the IS 2 measure varies between -0.421 and -0.901 while the IS 2 measure obtained by Leuz et al. (2003) varies between -0.722 and -0.928</w:t>
      </w:r>
      <w:r w:rsidR="002C6F5D">
        <w:rPr>
          <w:rFonts w:ascii="Times New Roman" w:hAnsi="Times New Roman" w:cs="Times New Roman"/>
          <w:sz w:val="24"/>
          <w:szCs w:val="24"/>
        </w:rPr>
        <w:t xml:space="preserve"> (appendix J)</w:t>
      </w:r>
      <w:r w:rsidR="0094726D">
        <w:rPr>
          <w:rFonts w:ascii="Times New Roman" w:hAnsi="Times New Roman" w:cs="Times New Roman"/>
          <w:sz w:val="24"/>
          <w:szCs w:val="24"/>
        </w:rPr>
        <w:t xml:space="preserve">. Because the IS 2 measures in table 3 have a </w:t>
      </w:r>
      <w:r w:rsidR="00AE6860">
        <w:rPr>
          <w:rFonts w:ascii="Times New Roman" w:hAnsi="Times New Roman" w:cs="Times New Roman"/>
          <w:sz w:val="24"/>
          <w:szCs w:val="24"/>
        </w:rPr>
        <w:t>broader range</w:t>
      </w:r>
      <w:r w:rsidR="0094726D">
        <w:rPr>
          <w:rFonts w:ascii="Times New Roman" w:hAnsi="Times New Roman" w:cs="Times New Roman"/>
          <w:sz w:val="24"/>
          <w:szCs w:val="24"/>
        </w:rPr>
        <w:t>, the aggregate income smoothing score will also differ from the aggregate earnings management score from Leuz et al. (2003).</w:t>
      </w:r>
      <w:r w:rsidR="00107DF1">
        <w:rPr>
          <w:rFonts w:ascii="Times New Roman" w:hAnsi="Times New Roman" w:cs="Times New Roman"/>
          <w:sz w:val="24"/>
          <w:szCs w:val="24"/>
        </w:rPr>
        <w:t xml:space="preserve"> Appendix J presents the earnings management measures for the study done by Leuz et al. (2003). </w:t>
      </w:r>
      <w:r w:rsidR="0077578C">
        <w:rPr>
          <w:rFonts w:ascii="Times New Roman" w:hAnsi="Times New Roman" w:cs="Times New Roman"/>
          <w:sz w:val="24"/>
          <w:szCs w:val="24"/>
        </w:rPr>
        <w:t xml:space="preserve">When comparing this table with table 3 it becomes clear that the aggregate scores for several countries </w:t>
      </w:r>
      <w:r w:rsidR="007C3E92">
        <w:rPr>
          <w:rFonts w:ascii="Times New Roman" w:hAnsi="Times New Roman" w:cs="Times New Roman"/>
          <w:sz w:val="24"/>
          <w:szCs w:val="24"/>
        </w:rPr>
        <w:t xml:space="preserve">indeed </w:t>
      </w:r>
      <w:r w:rsidR="0077578C">
        <w:rPr>
          <w:rFonts w:ascii="Times New Roman" w:hAnsi="Times New Roman" w:cs="Times New Roman"/>
          <w:sz w:val="24"/>
          <w:szCs w:val="24"/>
        </w:rPr>
        <w:t xml:space="preserve">differ significantly between this study and the previously mentioned study. </w:t>
      </w:r>
      <w:r w:rsidR="00AD400C">
        <w:rPr>
          <w:rFonts w:ascii="Times New Roman" w:hAnsi="Times New Roman" w:cs="Times New Roman"/>
          <w:sz w:val="24"/>
          <w:szCs w:val="24"/>
        </w:rPr>
        <w:t xml:space="preserve">Ireland for instance, has an aggregate income smoothing score of 23 in this research, while in the previous study it had a score of 5.1. The aggregate score in the previous study can also be averaged out due to the fact that Luez et al. (2003) used four measures. </w:t>
      </w:r>
      <w:r w:rsidR="00FA50DF">
        <w:rPr>
          <w:rFonts w:ascii="Times New Roman" w:hAnsi="Times New Roman" w:cs="Times New Roman"/>
          <w:sz w:val="24"/>
          <w:szCs w:val="24"/>
        </w:rPr>
        <w:t>Nonetheless, it is remarkable that</w:t>
      </w:r>
      <w:r w:rsidR="0096550C">
        <w:rPr>
          <w:rFonts w:ascii="Times New Roman" w:hAnsi="Times New Roman" w:cs="Times New Roman"/>
          <w:sz w:val="24"/>
          <w:szCs w:val="24"/>
        </w:rPr>
        <w:t xml:space="preserve"> countries like Austria, Ireland, Switzerland, Singapore, India, Spain, Denmark and Malaysia have such large differences in the aggregate scores. I believe that these large differences can be explained by the large variance in the IS 2 measure.</w:t>
      </w:r>
    </w:p>
    <w:p w:rsidR="00EB2145" w:rsidRDefault="00EB2145" w:rsidP="00CC10E3">
      <w:pPr>
        <w:pStyle w:val="BodyText"/>
        <w:spacing w:line="360" w:lineRule="auto"/>
        <w:contextualSpacing/>
        <w:rPr>
          <w:rFonts w:ascii="Times New Roman" w:hAnsi="Times New Roman" w:cs="Times New Roman"/>
          <w:sz w:val="24"/>
          <w:szCs w:val="24"/>
        </w:rPr>
      </w:pPr>
    </w:p>
    <w:p w:rsidR="00FF448F" w:rsidRDefault="003B15C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Throughout this thesis it </w:t>
      </w:r>
      <w:r w:rsidR="00F43BC6">
        <w:rPr>
          <w:rFonts w:ascii="Times New Roman" w:hAnsi="Times New Roman" w:cs="Times New Roman"/>
          <w:sz w:val="24"/>
          <w:szCs w:val="24"/>
        </w:rPr>
        <w:t>must have beco</w:t>
      </w:r>
      <w:r>
        <w:rPr>
          <w:rFonts w:ascii="Times New Roman" w:hAnsi="Times New Roman" w:cs="Times New Roman"/>
          <w:sz w:val="24"/>
          <w:szCs w:val="24"/>
        </w:rPr>
        <w:t xml:space="preserve">me apparent that I expected to find a significant negative correlation between the three investor protection variables and real income smoothing. I also expected a significant negative correlation between the three predictors and artificial income smoothing. Automatically, I assumed that if there would be a significant negative correlation between the income smoothing measures </w:t>
      </w:r>
      <w:r w:rsidR="00FC1825">
        <w:rPr>
          <w:rFonts w:ascii="Times New Roman" w:hAnsi="Times New Roman" w:cs="Times New Roman"/>
          <w:sz w:val="24"/>
          <w:szCs w:val="24"/>
        </w:rPr>
        <w:t xml:space="preserve">and three predictors </w:t>
      </w:r>
      <w:r>
        <w:rPr>
          <w:rFonts w:ascii="Times New Roman" w:hAnsi="Times New Roman" w:cs="Times New Roman"/>
          <w:sz w:val="24"/>
          <w:szCs w:val="24"/>
        </w:rPr>
        <w:t>separately, there would also be a significant negative correlation between the aggregate income smoothing score</w:t>
      </w:r>
      <w:r w:rsidR="00FC1825">
        <w:rPr>
          <w:rFonts w:ascii="Times New Roman" w:hAnsi="Times New Roman" w:cs="Times New Roman"/>
          <w:sz w:val="24"/>
          <w:szCs w:val="24"/>
        </w:rPr>
        <w:t xml:space="preserve"> and investor protection variables</w:t>
      </w:r>
      <w:r>
        <w:rPr>
          <w:rFonts w:ascii="Times New Roman" w:hAnsi="Times New Roman" w:cs="Times New Roman"/>
          <w:sz w:val="24"/>
          <w:szCs w:val="24"/>
        </w:rPr>
        <w:t xml:space="preserve">. The statistical analysis however, clearly exhibits that none of these three expectations is met. </w:t>
      </w:r>
      <w:r w:rsidR="00981CB6">
        <w:rPr>
          <w:rFonts w:ascii="Times New Roman" w:hAnsi="Times New Roman" w:cs="Times New Roman"/>
          <w:sz w:val="24"/>
          <w:szCs w:val="24"/>
        </w:rPr>
        <w:t>Since there is no significant relationship between income smoothing and the level of investor protection I am not at liberty to say whether the occurrence of income smoothing is lower in higher investor protection countries.</w:t>
      </w:r>
    </w:p>
    <w:p w:rsidR="00FF448F" w:rsidRDefault="00FF448F" w:rsidP="00CC10E3">
      <w:pPr>
        <w:pStyle w:val="BodyText"/>
        <w:spacing w:line="360" w:lineRule="auto"/>
        <w:contextualSpacing/>
        <w:rPr>
          <w:rFonts w:ascii="Times New Roman" w:hAnsi="Times New Roman" w:cs="Times New Roman"/>
          <w:sz w:val="24"/>
          <w:szCs w:val="24"/>
        </w:rPr>
      </w:pPr>
    </w:p>
    <w:p w:rsidR="00FF448F" w:rsidRDefault="003B15CC"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Nothing else rests me to do but try to explain why there are no significant correlations</w:t>
      </w:r>
      <w:r w:rsidR="00285DA4">
        <w:rPr>
          <w:rFonts w:ascii="Times New Roman" w:hAnsi="Times New Roman" w:cs="Times New Roman"/>
          <w:sz w:val="24"/>
          <w:szCs w:val="24"/>
        </w:rPr>
        <w:t xml:space="preserve"> and why this differs from previous research</w:t>
      </w:r>
      <w:r>
        <w:rPr>
          <w:rFonts w:ascii="Times New Roman" w:hAnsi="Times New Roman" w:cs="Times New Roman"/>
          <w:sz w:val="24"/>
          <w:szCs w:val="24"/>
        </w:rPr>
        <w:t>.</w:t>
      </w:r>
      <w:r w:rsidR="009A2235">
        <w:rPr>
          <w:rFonts w:ascii="Times New Roman" w:hAnsi="Times New Roman" w:cs="Times New Roman"/>
          <w:sz w:val="24"/>
          <w:szCs w:val="24"/>
        </w:rPr>
        <w:t xml:space="preserve"> </w:t>
      </w:r>
      <w:r w:rsidR="003A5F53">
        <w:rPr>
          <w:rFonts w:ascii="Times New Roman" w:hAnsi="Times New Roman" w:cs="Times New Roman"/>
          <w:sz w:val="24"/>
          <w:szCs w:val="24"/>
        </w:rPr>
        <w:t>Explanations can be sought in two corners</w:t>
      </w:r>
      <w:r w:rsidR="002C5E5C">
        <w:rPr>
          <w:rFonts w:ascii="Times New Roman" w:hAnsi="Times New Roman" w:cs="Times New Roman"/>
          <w:sz w:val="24"/>
          <w:szCs w:val="24"/>
        </w:rPr>
        <w:t>: one, the</w:t>
      </w:r>
      <w:r w:rsidR="00D53D62">
        <w:rPr>
          <w:rFonts w:ascii="Times New Roman" w:hAnsi="Times New Roman" w:cs="Times New Roman"/>
          <w:sz w:val="24"/>
          <w:szCs w:val="24"/>
        </w:rPr>
        <w:t>re occurred a problem with the</w:t>
      </w:r>
      <w:r w:rsidR="002C5E5C">
        <w:rPr>
          <w:rFonts w:ascii="Times New Roman" w:hAnsi="Times New Roman" w:cs="Times New Roman"/>
          <w:sz w:val="24"/>
          <w:szCs w:val="24"/>
        </w:rPr>
        <w:t xml:space="preserve"> income smoothing measures and therefore </w:t>
      </w:r>
      <w:r w:rsidR="00D53D62">
        <w:rPr>
          <w:rFonts w:ascii="Times New Roman" w:hAnsi="Times New Roman" w:cs="Times New Roman"/>
          <w:sz w:val="24"/>
          <w:szCs w:val="24"/>
        </w:rPr>
        <w:t xml:space="preserve">also with </w:t>
      </w:r>
      <w:r w:rsidR="002C5E5C">
        <w:rPr>
          <w:rFonts w:ascii="Times New Roman" w:hAnsi="Times New Roman" w:cs="Times New Roman"/>
          <w:sz w:val="24"/>
          <w:szCs w:val="24"/>
        </w:rPr>
        <w:t xml:space="preserve">the aggregate income smoothing score or two, there is something wrong with the investor protection indexes. Since the indexes are derived from Djankov et al. (2007) the latter option is highly unlikely to be the case. </w:t>
      </w:r>
      <w:r w:rsidR="00FF448F">
        <w:rPr>
          <w:rFonts w:ascii="Times New Roman" w:hAnsi="Times New Roman" w:cs="Times New Roman"/>
          <w:sz w:val="24"/>
          <w:szCs w:val="24"/>
        </w:rPr>
        <w:t>In their research Djankov et al. (2007)</w:t>
      </w:r>
      <w:r w:rsidR="00D43491">
        <w:rPr>
          <w:rFonts w:ascii="Times New Roman" w:hAnsi="Times New Roman" w:cs="Times New Roman"/>
          <w:sz w:val="24"/>
          <w:szCs w:val="24"/>
        </w:rPr>
        <w:t xml:space="preserve"> state that these indexes are better grounded in theory than the previous index, the anti-director rights index const</w:t>
      </w:r>
      <w:r w:rsidR="00354640">
        <w:rPr>
          <w:rFonts w:ascii="Times New Roman" w:hAnsi="Times New Roman" w:cs="Times New Roman"/>
          <w:sz w:val="24"/>
          <w:szCs w:val="24"/>
        </w:rPr>
        <w:t>ructed by La Porta et al (1998). The latter index was used in the work of Leuz et al. (2003) and resulted in a significant negative correlation between the investor protection variable and earnings management.</w:t>
      </w:r>
      <w:r w:rsidR="005E5046">
        <w:rPr>
          <w:rFonts w:ascii="Times New Roman" w:hAnsi="Times New Roman" w:cs="Times New Roman"/>
          <w:sz w:val="24"/>
          <w:szCs w:val="24"/>
        </w:rPr>
        <w:t xml:space="preserve"> So,</w:t>
      </w:r>
      <w:r w:rsidR="00A4086B">
        <w:rPr>
          <w:rFonts w:ascii="Times New Roman" w:hAnsi="Times New Roman" w:cs="Times New Roman"/>
          <w:sz w:val="24"/>
          <w:szCs w:val="24"/>
        </w:rPr>
        <w:t xml:space="preserve"> it was</w:t>
      </w:r>
      <w:r w:rsidR="005E5046">
        <w:rPr>
          <w:rFonts w:ascii="Times New Roman" w:hAnsi="Times New Roman" w:cs="Times New Roman"/>
          <w:sz w:val="24"/>
          <w:szCs w:val="24"/>
        </w:rPr>
        <w:t xml:space="preserve"> only </w:t>
      </w:r>
      <w:r w:rsidR="00A4086B">
        <w:rPr>
          <w:rFonts w:ascii="Times New Roman" w:hAnsi="Times New Roman" w:cs="Times New Roman"/>
          <w:sz w:val="24"/>
          <w:szCs w:val="24"/>
        </w:rPr>
        <w:t>obvious</w:t>
      </w:r>
      <w:r w:rsidR="005E5046">
        <w:rPr>
          <w:rFonts w:ascii="Times New Roman" w:hAnsi="Times New Roman" w:cs="Times New Roman"/>
          <w:sz w:val="24"/>
          <w:szCs w:val="24"/>
        </w:rPr>
        <w:t xml:space="preserve"> to assume that a new and improved index would lead to a significant negative correlation as well.</w:t>
      </w:r>
      <w:r w:rsidR="003A5F53">
        <w:rPr>
          <w:rFonts w:ascii="Times New Roman" w:hAnsi="Times New Roman" w:cs="Times New Roman"/>
          <w:sz w:val="24"/>
          <w:szCs w:val="24"/>
        </w:rPr>
        <w:t xml:space="preserve"> Thus, the second possible explanation, a problem with the investor protection variables, can be rejected.</w:t>
      </w:r>
    </w:p>
    <w:p w:rsidR="00315803" w:rsidRDefault="00315803" w:rsidP="00CC10E3">
      <w:pPr>
        <w:pStyle w:val="BodyText"/>
        <w:spacing w:line="360" w:lineRule="auto"/>
        <w:contextualSpacing/>
        <w:rPr>
          <w:rFonts w:ascii="Times New Roman" w:hAnsi="Times New Roman" w:cs="Times New Roman"/>
          <w:sz w:val="24"/>
          <w:szCs w:val="24"/>
        </w:rPr>
      </w:pPr>
    </w:p>
    <w:p w:rsidR="000D1F0F" w:rsidRPr="000D1F0F" w:rsidRDefault="00315803" w:rsidP="000D1F0F">
      <w:pPr>
        <w:spacing w:after="100" w:afterAutospacing="1" w:line="360" w:lineRule="auto"/>
        <w:jc w:val="left"/>
        <w:rPr>
          <w:rFonts w:ascii="Times New Roman" w:eastAsia="Times New Roman" w:hAnsi="Times New Roman" w:cs="Times New Roman"/>
          <w:color w:val="000000"/>
          <w:sz w:val="24"/>
          <w:szCs w:val="24"/>
          <w:lang w:bidi="ar-SA"/>
        </w:rPr>
      </w:pPr>
      <w:r>
        <w:rPr>
          <w:rFonts w:ascii="Times New Roman" w:hAnsi="Times New Roman" w:cs="Times New Roman"/>
          <w:sz w:val="24"/>
          <w:szCs w:val="24"/>
        </w:rPr>
        <w:t xml:space="preserve">This means that the problem lies within the income smoothing measures. </w:t>
      </w:r>
      <w:r w:rsidR="00530004">
        <w:rPr>
          <w:rFonts w:ascii="Times New Roman" w:hAnsi="Times New Roman" w:cs="Times New Roman"/>
          <w:sz w:val="24"/>
          <w:szCs w:val="24"/>
        </w:rPr>
        <w:t>In order to determine t</w:t>
      </w:r>
      <w:r w:rsidR="00A44052">
        <w:rPr>
          <w:rFonts w:ascii="Times New Roman" w:hAnsi="Times New Roman" w:cs="Times New Roman"/>
          <w:sz w:val="24"/>
          <w:szCs w:val="24"/>
        </w:rPr>
        <w:t xml:space="preserve">he income smoothing measures </w:t>
      </w:r>
      <w:r w:rsidR="00530004">
        <w:rPr>
          <w:rFonts w:ascii="Times New Roman" w:hAnsi="Times New Roman" w:cs="Times New Roman"/>
          <w:sz w:val="24"/>
          <w:szCs w:val="24"/>
        </w:rPr>
        <w:t xml:space="preserve">several formulas </w:t>
      </w:r>
      <w:r w:rsidR="00A44052">
        <w:rPr>
          <w:rFonts w:ascii="Times New Roman" w:hAnsi="Times New Roman" w:cs="Times New Roman"/>
          <w:sz w:val="24"/>
          <w:szCs w:val="24"/>
        </w:rPr>
        <w:t xml:space="preserve">have been </w:t>
      </w:r>
      <w:r w:rsidR="00530004">
        <w:rPr>
          <w:rFonts w:ascii="Times New Roman" w:hAnsi="Times New Roman" w:cs="Times New Roman"/>
          <w:sz w:val="24"/>
          <w:szCs w:val="24"/>
        </w:rPr>
        <w:t xml:space="preserve">used, which I have executed </w:t>
      </w:r>
      <w:r w:rsidR="00A44052">
        <w:rPr>
          <w:rFonts w:ascii="Times New Roman" w:hAnsi="Times New Roman" w:cs="Times New Roman"/>
          <w:sz w:val="24"/>
          <w:szCs w:val="24"/>
        </w:rPr>
        <w:t xml:space="preserve">very accurately. </w:t>
      </w:r>
      <w:r w:rsidR="000D1F0F">
        <w:rPr>
          <w:rFonts w:ascii="Times New Roman" w:hAnsi="Times New Roman" w:cs="Times New Roman"/>
          <w:sz w:val="24"/>
          <w:szCs w:val="24"/>
        </w:rPr>
        <w:t>I also took into consideration possible outliers, which</w:t>
      </w:r>
      <w:r w:rsidR="000D1F0F" w:rsidRPr="000D1F0F">
        <w:rPr>
          <w:rFonts w:ascii="Times New Roman" w:eastAsia="Times New Roman" w:hAnsi="Times New Roman" w:cs="Times New Roman"/>
          <w:color w:val="000000"/>
          <w:sz w:val="24"/>
          <w:szCs w:val="24"/>
          <w:lang w:bidi="ar-SA"/>
        </w:rPr>
        <w:t xml:space="preserve"> are atypical, infrequent observations. Because of the way in which the regression line is determined outliers have a profound influence on the slope of the regression line and consequently on the value of the correlation coefficient. A single outlier is capable of considerably changing the slope of the regression line and, consequentl</w:t>
      </w:r>
      <w:r w:rsidR="000D1F0F">
        <w:rPr>
          <w:rFonts w:ascii="Times New Roman" w:eastAsia="Times New Roman" w:hAnsi="Times New Roman" w:cs="Times New Roman"/>
          <w:color w:val="000000"/>
          <w:sz w:val="24"/>
          <w:szCs w:val="24"/>
          <w:lang w:bidi="ar-SA"/>
        </w:rPr>
        <w:t xml:space="preserve">y, the value of the </w:t>
      </w:r>
      <w:r w:rsidR="000D1F0F">
        <w:rPr>
          <w:rFonts w:ascii="Times New Roman" w:eastAsia="Times New Roman" w:hAnsi="Times New Roman" w:cs="Times New Roman"/>
          <w:color w:val="000000"/>
          <w:sz w:val="24"/>
          <w:szCs w:val="24"/>
          <w:lang w:bidi="ar-SA"/>
        </w:rPr>
        <w:lastRenderedPageBreak/>
        <w:t>correlation</w:t>
      </w:r>
      <w:r w:rsidR="000D1F0F" w:rsidRPr="000D1F0F">
        <w:rPr>
          <w:rFonts w:ascii="Times New Roman" w:eastAsia="Times New Roman" w:hAnsi="Times New Roman" w:cs="Times New Roman"/>
          <w:color w:val="000000"/>
          <w:sz w:val="24"/>
          <w:szCs w:val="24"/>
          <w:lang w:bidi="ar-SA"/>
        </w:rPr>
        <w:t xml:space="preserve">. </w:t>
      </w:r>
      <w:r w:rsidR="000D1F0F">
        <w:rPr>
          <w:rFonts w:ascii="Times New Roman" w:eastAsia="Times New Roman" w:hAnsi="Times New Roman" w:cs="Times New Roman"/>
          <w:color w:val="000000"/>
          <w:sz w:val="24"/>
          <w:szCs w:val="24"/>
          <w:lang w:bidi="ar-SA"/>
        </w:rPr>
        <w:t>Therefore,</w:t>
      </w:r>
      <w:r w:rsidR="000D1F0F" w:rsidRPr="000D1F0F">
        <w:rPr>
          <w:rFonts w:ascii="Times New Roman" w:eastAsia="Times New Roman" w:hAnsi="Times New Roman" w:cs="Times New Roman"/>
          <w:color w:val="000000"/>
          <w:sz w:val="24"/>
          <w:szCs w:val="24"/>
          <w:lang w:bidi="ar-SA"/>
        </w:rPr>
        <w:t xml:space="preserve"> one should never base important conclusions on the value of the correlation coefficient alone</w:t>
      </w:r>
      <w:r w:rsidR="000D1F0F">
        <w:rPr>
          <w:rFonts w:ascii="Times New Roman" w:eastAsia="Times New Roman" w:hAnsi="Times New Roman" w:cs="Times New Roman"/>
          <w:color w:val="000000"/>
          <w:sz w:val="24"/>
          <w:szCs w:val="24"/>
          <w:lang w:bidi="ar-SA"/>
        </w:rPr>
        <w:t>.</w:t>
      </w:r>
      <w:r w:rsidR="000D1F0F" w:rsidRPr="000D1F0F">
        <w:rPr>
          <w:rFonts w:ascii="Times New Roman" w:eastAsia="Times New Roman" w:hAnsi="Times New Roman" w:cs="Times New Roman"/>
          <w:color w:val="000000"/>
          <w:sz w:val="24"/>
          <w:szCs w:val="24"/>
          <w:lang w:bidi="ar-SA"/>
        </w:rPr>
        <w:t xml:space="preserve"> </w:t>
      </w:r>
      <w:r w:rsidR="000D1F0F">
        <w:rPr>
          <w:rFonts w:ascii="Times New Roman" w:eastAsia="Times New Roman" w:hAnsi="Times New Roman" w:cs="Times New Roman"/>
          <w:color w:val="000000"/>
          <w:sz w:val="24"/>
          <w:szCs w:val="24"/>
          <w:lang w:bidi="ar-SA"/>
        </w:rPr>
        <w:t>For this reason I</w:t>
      </w:r>
      <w:r w:rsidR="000D1F0F" w:rsidRPr="000D1F0F">
        <w:rPr>
          <w:rFonts w:ascii="Times New Roman" w:eastAsia="Times New Roman" w:hAnsi="Times New Roman" w:cs="Times New Roman"/>
          <w:color w:val="000000"/>
          <w:sz w:val="24"/>
          <w:szCs w:val="24"/>
          <w:lang w:bidi="ar-SA"/>
        </w:rPr>
        <w:t xml:space="preserve"> examin</w:t>
      </w:r>
      <w:r w:rsidR="000D1F0F">
        <w:rPr>
          <w:rFonts w:ascii="Times New Roman" w:eastAsia="Times New Roman" w:hAnsi="Times New Roman" w:cs="Times New Roman"/>
          <w:color w:val="000000"/>
          <w:sz w:val="24"/>
          <w:szCs w:val="24"/>
          <w:lang w:bidi="ar-SA"/>
        </w:rPr>
        <w:t>ed</w:t>
      </w:r>
      <w:r w:rsidR="000D1F0F" w:rsidRPr="000D1F0F">
        <w:rPr>
          <w:rFonts w:ascii="Times New Roman" w:eastAsia="Times New Roman" w:hAnsi="Times New Roman" w:cs="Times New Roman"/>
          <w:color w:val="000000"/>
          <w:sz w:val="24"/>
          <w:szCs w:val="24"/>
          <w:lang w:bidi="ar-SA"/>
        </w:rPr>
        <w:t xml:space="preserve"> the scatter</w:t>
      </w:r>
      <w:r w:rsidR="000D1F0F">
        <w:rPr>
          <w:rFonts w:ascii="Times New Roman" w:eastAsia="Times New Roman" w:hAnsi="Times New Roman" w:cs="Times New Roman"/>
          <w:color w:val="000000"/>
          <w:sz w:val="24"/>
          <w:szCs w:val="24"/>
          <w:lang w:bidi="ar-SA"/>
        </w:rPr>
        <w:t xml:space="preserve"> </w:t>
      </w:r>
      <w:r w:rsidR="000D1F0F" w:rsidRPr="000D1F0F">
        <w:rPr>
          <w:rFonts w:ascii="Times New Roman" w:eastAsia="Times New Roman" w:hAnsi="Times New Roman" w:cs="Times New Roman"/>
          <w:color w:val="000000"/>
          <w:sz w:val="24"/>
          <w:szCs w:val="24"/>
          <w:lang w:bidi="ar-SA"/>
        </w:rPr>
        <w:t>plot</w:t>
      </w:r>
      <w:r w:rsidR="000D1F0F">
        <w:rPr>
          <w:rFonts w:ascii="Times New Roman" w:eastAsia="Times New Roman" w:hAnsi="Times New Roman" w:cs="Times New Roman"/>
          <w:color w:val="000000"/>
          <w:sz w:val="24"/>
          <w:szCs w:val="24"/>
          <w:lang w:bidi="ar-SA"/>
        </w:rPr>
        <w:t>s for the income smoothing measures for each country.</w:t>
      </w:r>
      <w:r w:rsidR="000D1F0F" w:rsidRPr="000D1F0F">
        <w:rPr>
          <w:rFonts w:ascii="Times New Roman" w:eastAsia="Times New Roman" w:hAnsi="Times New Roman" w:cs="Times New Roman"/>
          <w:color w:val="000000"/>
          <w:sz w:val="24"/>
          <w:szCs w:val="24"/>
          <w:lang w:bidi="ar-SA"/>
        </w:rPr>
        <w:t xml:space="preserve"> </w:t>
      </w:r>
    </w:p>
    <w:p w:rsidR="00EB2145" w:rsidRDefault="00075A18" w:rsidP="00CC10E3">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data used to calculate these measures have been obtained from a very reliable source, Thomson One Banker. </w:t>
      </w:r>
      <w:r w:rsidR="00CB6D8C" w:rsidRPr="00AE183B">
        <w:rPr>
          <w:rFonts w:ascii="Times New Roman" w:hAnsi="Times New Roman" w:cs="Times New Roman"/>
          <w:color w:val="000000"/>
          <w:sz w:val="24"/>
          <w:szCs w:val="24"/>
        </w:rPr>
        <w:t>The significance of a correlation coefficient of a particular magnitude will change depending on the size of the sample from which it was computed</w:t>
      </w:r>
      <w:r w:rsidR="00CB6D8C">
        <w:rPr>
          <w:rFonts w:ascii="Times New Roman" w:hAnsi="Times New Roman" w:cs="Times New Roman"/>
          <w:color w:val="000000"/>
          <w:sz w:val="24"/>
          <w:szCs w:val="24"/>
        </w:rPr>
        <w:t xml:space="preserve">. </w:t>
      </w:r>
      <w:r w:rsidR="00AA3956">
        <w:rPr>
          <w:rFonts w:ascii="Times New Roman" w:hAnsi="Times New Roman" w:cs="Times New Roman"/>
          <w:sz w:val="24"/>
          <w:szCs w:val="24"/>
        </w:rPr>
        <w:t xml:space="preserve">After comparing my research </w:t>
      </w:r>
      <w:r w:rsidR="00CB6D8C">
        <w:rPr>
          <w:rFonts w:ascii="Times New Roman" w:hAnsi="Times New Roman" w:cs="Times New Roman"/>
          <w:sz w:val="24"/>
          <w:szCs w:val="24"/>
        </w:rPr>
        <w:t xml:space="preserve">sample </w:t>
      </w:r>
      <w:r w:rsidR="00AA3956">
        <w:rPr>
          <w:rFonts w:ascii="Times New Roman" w:hAnsi="Times New Roman" w:cs="Times New Roman"/>
          <w:sz w:val="24"/>
          <w:szCs w:val="24"/>
        </w:rPr>
        <w:t>to that of Leuz et al. (2003) I noticed that there was a relatively large difference in the sample p</w:t>
      </w:r>
      <w:r w:rsidR="00056542">
        <w:rPr>
          <w:rFonts w:ascii="Times New Roman" w:hAnsi="Times New Roman" w:cs="Times New Roman"/>
          <w:sz w:val="24"/>
          <w:szCs w:val="24"/>
        </w:rPr>
        <w:t>opulation, their sa</w:t>
      </w:r>
      <w:r w:rsidR="00CB6D8C">
        <w:rPr>
          <w:rFonts w:ascii="Times New Roman" w:hAnsi="Times New Roman" w:cs="Times New Roman"/>
          <w:sz w:val="24"/>
          <w:szCs w:val="24"/>
        </w:rPr>
        <w:t xml:space="preserve">mple included 8.616 firms whereas </w:t>
      </w:r>
      <w:r w:rsidR="00056542">
        <w:rPr>
          <w:rFonts w:ascii="Times New Roman" w:hAnsi="Times New Roman" w:cs="Times New Roman"/>
          <w:sz w:val="24"/>
          <w:szCs w:val="24"/>
        </w:rPr>
        <w:t>mine consisted of 21.492 firms. This large difference can be explained by small and</w:t>
      </w:r>
      <w:r w:rsidR="00DA6A34">
        <w:rPr>
          <w:rFonts w:ascii="Times New Roman" w:hAnsi="Times New Roman" w:cs="Times New Roman"/>
          <w:sz w:val="24"/>
          <w:szCs w:val="24"/>
        </w:rPr>
        <w:t xml:space="preserve"> middle-sized companies </w:t>
      </w:r>
      <w:r w:rsidR="00A04BFF">
        <w:rPr>
          <w:rFonts w:ascii="Times New Roman" w:hAnsi="Times New Roman" w:cs="Times New Roman"/>
          <w:sz w:val="24"/>
          <w:szCs w:val="24"/>
        </w:rPr>
        <w:t xml:space="preserve">(SMEs) </w:t>
      </w:r>
      <w:r w:rsidR="00DA6A34">
        <w:rPr>
          <w:rFonts w:ascii="Times New Roman" w:hAnsi="Times New Roman" w:cs="Times New Roman"/>
          <w:sz w:val="24"/>
          <w:szCs w:val="24"/>
        </w:rPr>
        <w:t>that mad</w:t>
      </w:r>
      <w:r w:rsidR="00056542">
        <w:rPr>
          <w:rFonts w:ascii="Times New Roman" w:hAnsi="Times New Roman" w:cs="Times New Roman"/>
          <w:sz w:val="24"/>
          <w:szCs w:val="24"/>
        </w:rPr>
        <w:t xml:space="preserve">e their financial data available </w:t>
      </w:r>
      <w:r w:rsidR="00DA6A34">
        <w:rPr>
          <w:rFonts w:ascii="Times New Roman" w:hAnsi="Times New Roman" w:cs="Times New Roman"/>
          <w:sz w:val="24"/>
          <w:szCs w:val="24"/>
        </w:rPr>
        <w:t xml:space="preserve">during the sample period I have chosen, </w:t>
      </w:r>
      <w:r w:rsidR="00056542">
        <w:rPr>
          <w:rFonts w:ascii="Times New Roman" w:hAnsi="Times New Roman" w:cs="Times New Roman"/>
          <w:sz w:val="24"/>
          <w:szCs w:val="24"/>
        </w:rPr>
        <w:t xml:space="preserve">even though they are not </w:t>
      </w:r>
      <w:r w:rsidR="00F52F4E">
        <w:rPr>
          <w:rFonts w:ascii="Times New Roman" w:hAnsi="Times New Roman" w:cs="Times New Roman"/>
          <w:sz w:val="24"/>
          <w:szCs w:val="24"/>
        </w:rPr>
        <w:t xml:space="preserve">always </w:t>
      </w:r>
      <w:r w:rsidR="00056542">
        <w:rPr>
          <w:rFonts w:ascii="Times New Roman" w:hAnsi="Times New Roman" w:cs="Times New Roman"/>
          <w:sz w:val="24"/>
          <w:szCs w:val="24"/>
        </w:rPr>
        <w:t xml:space="preserve">obliged to do so. </w:t>
      </w:r>
      <w:r w:rsidR="000A02E0">
        <w:rPr>
          <w:rFonts w:ascii="Times New Roman" w:hAnsi="Times New Roman" w:cs="Times New Roman"/>
          <w:sz w:val="24"/>
          <w:szCs w:val="24"/>
        </w:rPr>
        <w:t>Controlling insiders of SMEs often have no incentives to smooth income, because these firms often do not have to answer to shareholders in the same way large public firms need to answer to shareholders.</w:t>
      </w:r>
      <w:r w:rsidR="000A4EBF">
        <w:rPr>
          <w:rFonts w:ascii="Times New Roman" w:hAnsi="Times New Roman" w:cs="Times New Roman"/>
          <w:sz w:val="24"/>
          <w:szCs w:val="24"/>
        </w:rPr>
        <w:t xml:space="preserve"> The principal-agent problem is not present in the same way it is present in public firms.</w:t>
      </w:r>
      <w:r w:rsidR="008E131D">
        <w:rPr>
          <w:rFonts w:ascii="Times New Roman" w:hAnsi="Times New Roman" w:cs="Times New Roman"/>
          <w:sz w:val="24"/>
          <w:szCs w:val="24"/>
        </w:rPr>
        <w:t xml:space="preserve"> By including the SMEs in the sample there occurs a distortion in the income smoothing scores. These distortions could have contributed to the results I obtained.</w:t>
      </w:r>
      <w:r w:rsidR="000A02E0">
        <w:rPr>
          <w:rFonts w:ascii="Times New Roman" w:hAnsi="Times New Roman" w:cs="Times New Roman"/>
          <w:sz w:val="24"/>
          <w:szCs w:val="24"/>
        </w:rPr>
        <w:t xml:space="preserve"> </w:t>
      </w:r>
    </w:p>
    <w:p w:rsidR="000D1F0F" w:rsidRDefault="000D1F0F" w:rsidP="000D1F0F">
      <w:pPr>
        <w:spacing w:after="100" w:afterAutospacing="1" w:line="360" w:lineRule="auto"/>
        <w:jc w:val="left"/>
        <w:rPr>
          <w:rFonts w:ascii="Times New Roman" w:eastAsia="Times New Roman" w:hAnsi="Times New Roman" w:cs="Times New Roman"/>
          <w:bCs/>
          <w:color w:val="000000"/>
          <w:sz w:val="24"/>
          <w:szCs w:val="24"/>
          <w:lang w:bidi="ar-SA"/>
        </w:rPr>
      </w:pPr>
      <w:r>
        <w:rPr>
          <w:rFonts w:ascii="Times New Roman" w:eastAsia="Times New Roman" w:hAnsi="Times New Roman" w:cs="Times New Roman"/>
          <w:bCs/>
          <w:color w:val="000000"/>
          <w:sz w:val="24"/>
          <w:szCs w:val="24"/>
          <w:lang w:bidi="ar-SA"/>
        </w:rPr>
        <w:t>In the text above I attempted to give a reasonable explanat</w:t>
      </w:r>
      <w:r w:rsidR="00A34F2A">
        <w:rPr>
          <w:rFonts w:ascii="Times New Roman" w:eastAsia="Times New Roman" w:hAnsi="Times New Roman" w:cs="Times New Roman"/>
          <w:bCs/>
          <w:color w:val="000000"/>
          <w:sz w:val="24"/>
          <w:szCs w:val="24"/>
          <w:lang w:bidi="ar-SA"/>
        </w:rPr>
        <w:t>ion for the results obtained. I do have to admit that the results came as a surprise to me. I definitely was not prepared to find that there is no significant negative correlation between income smoothing and the level of investor protection. This made if quite difficult to</w:t>
      </w:r>
      <w:r w:rsidR="00450C94">
        <w:rPr>
          <w:rFonts w:ascii="Times New Roman" w:eastAsia="Times New Roman" w:hAnsi="Times New Roman" w:cs="Times New Roman"/>
          <w:bCs/>
          <w:color w:val="000000"/>
          <w:sz w:val="24"/>
          <w:szCs w:val="24"/>
          <w:lang w:bidi="ar-SA"/>
        </w:rPr>
        <w:t xml:space="preserve"> find an explanation for the findings of this research.</w:t>
      </w:r>
      <w:r w:rsidR="00981CB6">
        <w:rPr>
          <w:rFonts w:ascii="Times New Roman" w:eastAsia="Times New Roman" w:hAnsi="Times New Roman" w:cs="Times New Roman"/>
          <w:bCs/>
          <w:color w:val="000000"/>
          <w:sz w:val="24"/>
          <w:szCs w:val="24"/>
          <w:lang w:bidi="ar-SA"/>
        </w:rPr>
        <w:t xml:space="preserve"> </w:t>
      </w: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6C0B8B" w:rsidRDefault="006C0B8B" w:rsidP="000D1F0F">
      <w:pPr>
        <w:spacing w:after="100" w:afterAutospacing="1" w:line="360" w:lineRule="auto"/>
        <w:jc w:val="left"/>
        <w:rPr>
          <w:rFonts w:ascii="Times New Roman" w:eastAsia="Times New Roman" w:hAnsi="Times New Roman" w:cs="Times New Roman"/>
          <w:bCs/>
          <w:color w:val="000000"/>
          <w:sz w:val="24"/>
          <w:szCs w:val="24"/>
          <w:lang w:bidi="ar-SA"/>
        </w:rPr>
      </w:pPr>
    </w:p>
    <w:p w:rsidR="00B65702" w:rsidRDefault="00B65702" w:rsidP="00B65702">
      <w:pPr>
        <w:pStyle w:val="Heading4"/>
        <w:ind w:left="720" w:hanging="720"/>
        <w:rPr>
          <w:rFonts w:ascii="Calibri" w:hAnsi="Calibri"/>
        </w:rPr>
      </w:pPr>
      <w:bookmarkStart w:id="100" w:name="_Toc268669775"/>
      <w:r w:rsidRPr="00B65702">
        <w:rPr>
          <w:rFonts w:ascii="Calibri" w:hAnsi="Calibri"/>
        </w:rPr>
        <w:lastRenderedPageBreak/>
        <w:t xml:space="preserve">10 </w:t>
      </w:r>
      <w:r w:rsidRPr="00B65702">
        <w:rPr>
          <w:rFonts w:ascii="Calibri" w:hAnsi="Calibri"/>
        </w:rPr>
        <w:tab/>
        <w:t>Empirical study: Income smoothing in the pre-IFRS and post-IFRS period</w:t>
      </w:r>
      <w:bookmarkEnd w:id="100"/>
      <w:r w:rsidRPr="00B65702">
        <w:rPr>
          <w:rFonts w:ascii="Calibri" w:hAnsi="Calibri"/>
        </w:rPr>
        <w:t xml:space="preserve"> </w:t>
      </w:r>
    </w:p>
    <w:p w:rsidR="00B65702" w:rsidRDefault="00B65702" w:rsidP="00B65702">
      <w:pPr>
        <w:pStyle w:val="Heading4"/>
        <w:spacing w:line="360" w:lineRule="auto"/>
        <w:rPr>
          <w:rFonts w:ascii="Calibri" w:hAnsi="Calibri" w:cs="Times New Roman"/>
          <w:sz w:val="24"/>
          <w:szCs w:val="24"/>
        </w:rPr>
      </w:pPr>
      <w:bookmarkStart w:id="101" w:name="_Toc268669776"/>
      <w:r w:rsidRPr="00B65702">
        <w:rPr>
          <w:rFonts w:ascii="Calibri" w:hAnsi="Calibri" w:cs="Times New Roman"/>
        </w:rPr>
        <w:t>10</w:t>
      </w:r>
      <w:r>
        <w:rPr>
          <w:rFonts w:ascii="Calibri" w:hAnsi="Calibri" w:cs="Times New Roman"/>
        </w:rPr>
        <w:t>.1</w:t>
      </w:r>
      <w:r w:rsidRPr="00B65702">
        <w:rPr>
          <w:rFonts w:ascii="Calibri" w:hAnsi="Calibri" w:cs="Times New Roman"/>
          <w:sz w:val="24"/>
          <w:szCs w:val="24"/>
        </w:rPr>
        <w:tab/>
        <w:t>Introduction</w:t>
      </w:r>
      <w:bookmarkEnd w:id="101"/>
    </w:p>
    <w:p w:rsidR="00B65702" w:rsidRPr="00B65702" w:rsidRDefault="00B65702" w:rsidP="00B65702"/>
    <w:p w:rsidR="00147B51" w:rsidRDefault="00B65702" w:rsidP="00147B51">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This chapter will discuss the second leg of this research, the influence of investor protection on income smoothing in the pre-IFRS period and the post-IFRS period. </w:t>
      </w:r>
      <w:r w:rsidR="00A914B5">
        <w:rPr>
          <w:rFonts w:ascii="Times New Roman" w:hAnsi="Times New Roman" w:cs="Times New Roman"/>
          <w:sz w:val="24"/>
          <w:szCs w:val="24"/>
        </w:rPr>
        <w:t xml:space="preserve">The goal of this second leg of research is to determine whether the introduction of IFRS has had a significant influence on the occurrence of income smoothing. </w:t>
      </w:r>
      <w:r w:rsidR="00E25524">
        <w:rPr>
          <w:rFonts w:ascii="Times New Roman" w:hAnsi="Times New Roman" w:cs="Times New Roman"/>
          <w:sz w:val="24"/>
          <w:szCs w:val="24"/>
        </w:rPr>
        <w:t xml:space="preserve">It became clear from the first leg of this research that there is no significant relationship between income smoothing and any of the investor protection variables. That however, will not withhold me from continuing the remainder of the research. </w:t>
      </w:r>
      <w:r w:rsidR="00147B51">
        <w:rPr>
          <w:rFonts w:ascii="Times New Roman" w:hAnsi="Times New Roman" w:cs="Times New Roman"/>
          <w:sz w:val="24"/>
          <w:szCs w:val="24"/>
        </w:rPr>
        <w:t>The two remaining hypotheses will be tested in this chapter:</w:t>
      </w:r>
    </w:p>
    <w:p w:rsidR="00147B51" w:rsidRPr="00BC6B94" w:rsidRDefault="00147B51" w:rsidP="00147B51">
      <w:pPr>
        <w:spacing w:line="360" w:lineRule="auto"/>
        <w:ind w:left="705" w:hanging="705"/>
        <w:rPr>
          <w:rFonts w:ascii="Times New Roman" w:hAnsi="Times New Roman" w:cs="Times New Roman"/>
          <w:i/>
          <w:sz w:val="24"/>
          <w:szCs w:val="24"/>
        </w:rPr>
      </w:pPr>
      <w:r w:rsidRPr="00BC6B94">
        <w:rPr>
          <w:rFonts w:ascii="Times New Roman" w:hAnsi="Times New Roman" w:cs="Times New Roman"/>
          <w:b/>
          <w:sz w:val="24"/>
          <w:szCs w:val="24"/>
        </w:rPr>
        <w:t xml:space="preserve">H4: </w:t>
      </w:r>
      <w:r w:rsidRPr="00BC6B94">
        <w:rPr>
          <w:rFonts w:ascii="Times New Roman" w:hAnsi="Times New Roman" w:cs="Times New Roman"/>
          <w:b/>
          <w:sz w:val="24"/>
          <w:szCs w:val="24"/>
        </w:rPr>
        <w:tab/>
      </w:r>
      <w:r w:rsidRPr="00BC6B94">
        <w:rPr>
          <w:rFonts w:ascii="Times New Roman" w:hAnsi="Times New Roman" w:cs="Times New Roman"/>
          <w:i/>
          <w:sz w:val="24"/>
          <w:szCs w:val="24"/>
        </w:rPr>
        <w:t xml:space="preserve">Real income smoothing in the post-IFRS period is low in countries with weak investor protection </w:t>
      </w:r>
    </w:p>
    <w:p w:rsidR="00147B51" w:rsidRPr="00BC6B94" w:rsidRDefault="00147B51" w:rsidP="00147B51">
      <w:pPr>
        <w:spacing w:line="360" w:lineRule="auto"/>
        <w:ind w:left="705" w:hanging="705"/>
        <w:rPr>
          <w:rFonts w:ascii="Times New Roman" w:hAnsi="Times New Roman" w:cs="Times New Roman"/>
          <w:i/>
          <w:sz w:val="24"/>
          <w:szCs w:val="24"/>
        </w:rPr>
      </w:pPr>
      <w:r w:rsidRPr="00BC6B94">
        <w:rPr>
          <w:rFonts w:ascii="Times New Roman" w:hAnsi="Times New Roman" w:cs="Times New Roman"/>
          <w:b/>
          <w:sz w:val="24"/>
          <w:szCs w:val="24"/>
        </w:rPr>
        <w:t xml:space="preserve">H5: </w:t>
      </w:r>
      <w:r w:rsidRPr="00BC6B94">
        <w:rPr>
          <w:rFonts w:ascii="Times New Roman" w:hAnsi="Times New Roman" w:cs="Times New Roman"/>
          <w:i/>
          <w:sz w:val="24"/>
          <w:szCs w:val="24"/>
        </w:rPr>
        <w:tab/>
        <w:t xml:space="preserve">Artificial income smoothing </w:t>
      </w:r>
      <w:r w:rsidR="00B72177">
        <w:rPr>
          <w:rFonts w:ascii="Times New Roman" w:hAnsi="Times New Roman" w:cs="Times New Roman"/>
          <w:i/>
          <w:sz w:val="24"/>
          <w:szCs w:val="24"/>
        </w:rPr>
        <w:t>i</w:t>
      </w:r>
      <w:r w:rsidRPr="00BC6B94">
        <w:rPr>
          <w:rFonts w:ascii="Times New Roman" w:hAnsi="Times New Roman" w:cs="Times New Roman"/>
          <w:i/>
          <w:sz w:val="24"/>
          <w:szCs w:val="24"/>
        </w:rPr>
        <w:t>n the post-IFRS period is more pervasive in weak investor protection countries</w:t>
      </w:r>
    </w:p>
    <w:p w:rsidR="00E25524" w:rsidRDefault="00E25524" w:rsidP="00E25524">
      <w:pPr>
        <w:pStyle w:val="BodyText"/>
        <w:spacing w:line="360" w:lineRule="auto"/>
        <w:rPr>
          <w:rFonts w:ascii="Times New Roman" w:hAnsi="Times New Roman" w:cs="Times New Roman"/>
          <w:sz w:val="24"/>
          <w:szCs w:val="24"/>
        </w:rPr>
      </w:pPr>
      <w:r>
        <w:rPr>
          <w:rFonts w:ascii="Times New Roman" w:hAnsi="Times New Roman" w:cs="Times New Roman"/>
          <w:sz w:val="24"/>
          <w:szCs w:val="24"/>
        </w:rPr>
        <w:t>The sample consists of 3.707 firms across 14 European Union countries. The original sample included 3.860 firms, but a lack of data required a relatively small number of firms to be excluded. Firms included in this sample are required to have data available for at least three consecutive years.</w:t>
      </w:r>
    </w:p>
    <w:p w:rsidR="00B65702" w:rsidRDefault="00BE5817" w:rsidP="00B65702">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Proponents of IFRS have argued that limiting accounting alternatives can increase accounting quality and decrease the occurrence of earnings management. Barth et al. (2008) hypothesized that applying IAS would lead to higher quality financial data and </w:t>
      </w:r>
      <w:r w:rsidR="00F14861">
        <w:rPr>
          <w:rFonts w:ascii="Times New Roman" w:hAnsi="Times New Roman" w:cs="Times New Roman"/>
          <w:sz w:val="24"/>
          <w:szCs w:val="24"/>
        </w:rPr>
        <w:t xml:space="preserve">therefore less earnings management, </w:t>
      </w:r>
      <w:r>
        <w:rPr>
          <w:rFonts w:ascii="Times New Roman" w:hAnsi="Times New Roman" w:cs="Times New Roman"/>
          <w:sz w:val="24"/>
          <w:szCs w:val="24"/>
        </w:rPr>
        <w:t>t</w:t>
      </w:r>
      <w:r w:rsidR="00F14861">
        <w:rPr>
          <w:rFonts w:ascii="Times New Roman" w:hAnsi="Times New Roman" w:cs="Times New Roman"/>
          <w:sz w:val="24"/>
          <w:szCs w:val="24"/>
        </w:rPr>
        <w:t>heir empirical research provided</w:t>
      </w:r>
      <w:r>
        <w:rPr>
          <w:rFonts w:ascii="Times New Roman" w:hAnsi="Times New Roman" w:cs="Times New Roman"/>
          <w:sz w:val="24"/>
          <w:szCs w:val="24"/>
        </w:rPr>
        <w:t xml:space="preserve"> evidence that firms applying IAS generally </w:t>
      </w:r>
      <w:r w:rsidR="00D43F50">
        <w:rPr>
          <w:rFonts w:ascii="Times New Roman" w:hAnsi="Times New Roman" w:cs="Times New Roman"/>
          <w:sz w:val="24"/>
          <w:szCs w:val="24"/>
        </w:rPr>
        <w:t xml:space="preserve">indeed </w:t>
      </w:r>
      <w:r>
        <w:rPr>
          <w:rFonts w:ascii="Times New Roman" w:hAnsi="Times New Roman" w:cs="Times New Roman"/>
          <w:sz w:val="24"/>
          <w:szCs w:val="24"/>
        </w:rPr>
        <w:t xml:space="preserve">evidence less earnings management. </w:t>
      </w:r>
      <w:r w:rsidR="00B65702">
        <w:rPr>
          <w:rFonts w:ascii="Times New Roman" w:hAnsi="Times New Roman" w:cs="Times New Roman"/>
          <w:sz w:val="24"/>
          <w:szCs w:val="24"/>
        </w:rPr>
        <w:t xml:space="preserve">The IFRS countries that are investigated are the 14 EU countries included in the original sample. These countries, together with the income smoothing measures, are shown in table </w:t>
      </w:r>
      <w:r w:rsidR="00B65E2C">
        <w:rPr>
          <w:rFonts w:ascii="Times New Roman" w:hAnsi="Times New Roman" w:cs="Times New Roman"/>
          <w:sz w:val="24"/>
          <w:szCs w:val="24"/>
        </w:rPr>
        <w:t>9</w:t>
      </w:r>
      <w:r w:rsidR="00B65702">
        <w:rPr>
          <w:rFonts w:ascii="Times New Roman" w:hAnsi="Times New Roman" w:cs="Times New Roman"/>
          <w:sz w:val="24"/>
          <w:szCs w:val="24"/>
        </w:rPr>
        <w:t xml:space="preserve">. The income smoothing and investor protection measures are </w:t>
      </w:r>
      <w:r w:rsidR="00BA16D5">
        <w:rPr>
          <w:rFonts w:ascii="Times New Roman" w:hAnsi="Times New Roman" w:cs="Times New Roman"/>
          <w:sz w:val="24"/>
          <w:szCs w:val="24"/>
        </w:rPr>
        <w:t>the same ones</w:t>
      </w:r>
      <w:r w:rsidR="00B65702">
        <w:rPr>
          <w:rFonts w:ascii="Times New Roman" w:hAnsi="Times New Roman" w:cs="Times New Roman"/>
          <w:sz w:val="24"/>
          <w:szCs w:val="24"/>
        </w:rPr>
        <w:t xml:space="preserve"> used in the previous part of the research. </w:t>
      </w:r>
      <w:r w:rsidR="00BC5CB0">
        <w:rPr>
          <w:rFonts w:ascii="Times New Roman" w:hAnsi="Times New Roman" w:cs="Times New Roman"/>
          <w:sz w:val="24"/>
          <w:szCs w:val="24"/>
        </w:rPr>
        <w:t xml:space="preserve">Table </w:t>
      </w:r>
      <w:r w:rsidR="00B65E2C">
        <w:rPr>
          <w:rFonts w:ascii="Times New Roman" w:hAnsi="Times New Roman" w:cs="Times New Roman"/>
          <w:sz w:val="24"/>
          <w:szCs w:val="24"/>
        </w:rPr>
        <w:t>9</w:t>
      </w:r>
      <w:r w:rsidR="00BC5CB0">
        <w:rPr>
          <w:rFonts w:ascii="Times New Roman" w:hAnsi="Times New Roman" w:cs="Times New Roman"/>
          <w:sz w:val="24"/>
          <w:szCs w:val="24"/>
        </w:rPr>
        <w:t xml:space="preserve"> shows that the values of the income</w:t>
      </w:r>
      <w:r w:rsidR="004052C1">
        <w:rPr>
          <w:rFonts w:ascii="Times New Roman" w:hAnsi="Times New Roman" w:cs="Times New Roman"/>
          <w:sz w:val="24"/>
          <w:szCs w:val="24"/>
        </w:rPr>
        <w:t xml:space="preserve"> smoothing</w:t>
      </w:r>
      <w:r w:rsidR="00BC5CB0">
        <w:rPr>
          <w:rFonts w:ascii="Times New Roman" w:hAnsi="Times New Roman" w:cs="Times New Roman"/>
          <w:sz w:val="24"/>
          <w:szCs w:val="24"/>
        </w:rPr>
        <w:t xml:space="preserve"> measures in the pre-IFRS period are relatively lower for some countries than the values of these measures in the post-IFRS while some countries have higher values in the post-IFRS period. For </w:t>
      </w:r>
      <w:r w:rsidR="00BC5CB0">
        <w:rPr>
          <w:rFonts w:ascii="Times New Roman" w:hAnsi="Times New Roman" w:cs="Times New Roman"/>
          <w:sz w:val="24"/>
          <w:szCs w:val="24"/>
        </w:rPr>
        <w:lastRenderedPageBreak/>
        <w:t>example, Germany and the Netherlands both show a lower IS1 value in the post-IFRS period, while Portugal and Spain both have higher IS1 values in the post-IFRS period.</w:t>
      </w:r>
    </w:p>
    <w:p w:rsidR="00B65702" w:rsidRDefault="00E55E9A" w:rsidP="00B65702">
      <w:pPr>
        <w:pStyle w:val="BodyText"/>
        <w:spacing w:line="360" w:lineRule="auto"/>
        <w:rPr>
          <w:rFonts w:ascii="Times New Roman" w:hAnsi="Times New Roman" w:cs="Times New Roman"/>
          <w:sz w:val="24"/>
          <w:szCs w:val="24"/>
        </w:rPr>
      </w:pPr>
      <w:r>
        <w:rPr>
          <w:rFonts w:ascii="Times New Roman" w:hAnsi="Times New Roman" w:cs="Times New Roman"/>
          <w:i/>
          <w:sz w:val="24"/>
          <w:szCs w:val="24"/>
        </w:rPr>
        <w:t xml:space="preserve">Table </w:t>
      </w:r>
      <w:r w:rsidR="00A40089">
        <w:rPr>
          <w:rFonts w:ascii="Times New Roman" w:hAnsi="Times New Roman" w:cs="Times New Roman"/>
          <w:i/>
          <w:sz w:val="24"/>
          <w:szCs w:val="24"/>
        </w:rPr>
        <w:t>9</w:t>
      </w:r>
      <w:r w:rsidR="00A40089">
        <w:rPr>
          <w:rFonts w:ascii="Times New Roman" w:hAnsi="Times New Roman" w:cs="Times New Roman"/>
          <w:i/>
          <w:sz w:val="24"/>
          <w:szCs w:val="24"/>
        </w:rPr>
        <w:tab/>
        <w:t>Income smoothing measures pre-IFRS and post-IFRS</w:t>
      </w:r>
    </w:p>
    <w:tbl>
      <w:tblPr>
        <w:tblStyle w:val="LightShading-Accent11"/>
        <w:tblW w:w="8960" w:type="dxa"/>
        <w:tblLook w:val="04A0"/>
      </w:tblPr>
      <w:tblGrid>
        <w:gridCol w:w="1840"/>
        <w:gridCol w:w="1660"/>
        <w:gridCol w:w="1760"/>
        <w:gridCol w:w="1740"/>
        <w:gridCol w:w="1960"/>
      </w:tblGrid>
      <w:tr w:rsidR="00B65702" w:rsidRPr="007639B6" w:rsidTr="00F63935">
        <w:trPr>
          <w:cnfStyle w:val="100000000000"/>
          <w:trHeight w:val="570"/>
        </w:trPr>
        <w:tc>
          <w:tcPr>
            <w:cnfStyle w:val="001000000000"/>
            <w:tcW w:w="1840" w:type="dxa"/>
            <w:noWrap/>
            <w:hideMark/>
          </w:tcPr>
          <w:p w:rsidR="00B65702" w:rsidRPr="00CF1963" w:rsidRDefault="00B65702" w:rsidP="00F63935">
            <w:pPr>
              <w:jc w:val="center"/>
              <w:rPr>
                <w:rFonts w:ascii="Times New Roman" w:eastAsia="Times New Roman" w:hAnsi="Times New Roman" w:cs="Times New Roman"/>
                <w:bCs w:val="0"/>
                <w:color w:val="000000"/>
                <w:sz w:val="20"/>
                <w:szCs w:val="20"/>
              </w:rPr>
            </w:pPr>
            <w:r w:rsidRPr="00CF1963">
              <w:rPr>
                <w:rFonts w:ascii="Times New Roman" w:eastAsia="Times New Roman" w:hAnsi="Times New Roman" w:cs="Times New Roman"/>
                <w:color w:val="000000"/>
                <w:sz w:val="20"/>
                <w:szCs w:val="20"/>
              </w:rPr>
              <w:t>Country</w:t>
            </w:r>
          </w:p>
        </w:tc>
        <w:tc>
          <w:tcPr>
            <w:tcW w:w="1660" w:type="dxa"/>
            <w:noWrap/>
            <w:hideMark/>
          </w:tcPr>
          <w:p w:rsidR="00B65702" w:rsidRPr="00CF1963" w:rsidRDefault="00B65702" w:rsidP="00F63935">
            <w:pPr>
              <w:jc w:val="right"/>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IS 1</w:t>
            </w:r>
          </w:p>
        </w:tc>
        <w:tc>
          <w:tcPr>
            <w:tcW w:w="1760" w:type="dxa"/>
            <w:noWrap/>
            <w:hideMark/>
          </w:tcPr>
          <w:p w:rsidR="00B65702" w:rsidRPr="00CF1963" w:rsidRDefault="00B65702" w:rsidP="00F63935">
            <w:pPr>
              <w:jc w:val="center"/>
              <w:cnfStyle w:val="100000000000"/>
              <w:rPr>
                <w:rFonts w:ascii="Times New Roman" w:eastAsia="Times New Roman" w:hAnsi="Times New Roman" w:cs="Times New Roman"/>
                <w:b w:val="0"/>
                <w:bCs w:val="0"/>
                <w:color w:val="000000"/>
                <w:sz w:val="20"/>
                <w:szCs w:val="20"/>
              </w:rPr>
            </w:pPr>
          </w:p>
        </w:tc>
        <w:tc>
          <w:tcPr>
            <w:tcW w:w="1740" w:type="dxa"/>
            <w:noWrap/>
            <w:hideMark/>
          </w:tcPr>
          <w:p w:rsidR="00B65702" w:rsidRPr="00CF1963" w:rsidRDefault="00B65702" w:rsidP="00F63935">
            <w:pPr>
              <w:jc w:val="right"/>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IS 2</w:t>
            </w:r>
          </w:p>
        </w:tc>
        <w:tc>
          <w:tcPr>
            <w:tcW w:w="1960" w:type="dxa"/>
            <w:noWrap/>
            <w:hideMark/>
          </w:tcPr>
          <w:p w:rsidR="00B65702" w:rsidRPr="00CF1963" w:rsidRDefault="00B65702" w:rsidP="00F63935">
            <w:pPr>
              <w:jc w:val="center"/>
              <w:cnfStyle w:val="100000000000"/>
              <w:rPr>
                <w:rFonts w:ascii="Times New Roman" w:eastAsia="Times New Roman" w:hAnsi="Times New Roman" w:cs="Times New Roman"/>
                <w:b w:val="0"/>
                <w:bCs w:val="0"/>
                <w:color w:val="000000"/>
                <w:sz w:val="20"/>
                <w:szCs w:val="20"/>
              </w:rPr>
            </w:pP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jc w:val="center"/>
              <w:rPr>
                <w:rFonts w:ascii="Times New Roman" w:eastAsia="Times New Roman" w:hAnsi="Times New Roman" w:cs="Times New Roman"/>
                <w:b w:val="0"/>
                <w:color w:val="000000"/>
                <w:sz w:val="20"/>
                <w:szCs w:val="20"/>
              </w:rPr>
            </w:pP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2000 - 2004</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w:t>
            </w:r>
            <w:r w:rsidR="007D4C1B" w:rsidRPr="00CF1963">
              <w:rPr>
                <w:rFonts w:ascii="Times New Roman" w:eastAsia="Times New Roman" w:hAnsi="Times New Roman" w:cs="Times New Roman"/>
                <w:b/>
                <w:bCs/>
                <w:color w:val="C00000"/>
                <w:sz w:val="20"/>
                <w:szCs w:val="20"/>
              </w:rPr>
              <w:t>5</w:t>
            </w:r>
            <w:r w:rsidRPr="00CF1963">
              <w:rPr>
                <w:rFonts w:ascii="Times New Roman" w:eastAsia="Times New Roman" w:hAnsi="Times New Roman" w:cs="Times New Roman"/>
                <w:b/>
                <w:bCs/>
                <w:color w:val="C00000"/>
                <w:sz w:val="20"/>
                <w:szCs w:val="20"/>
              </w:rPr>
              <w:t xml:space="preserve"> - 2008</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2000 - 2004</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w:t>
            </w:r>
            <w:r w:rsidR="007D4C1B" w:rsidRPr="00CF1963">
              <w:rPr>
                <w:rFonts w:ascii="Times New Roman" w:eastAsia="Times New Roman" w:hAnsi="Times New Roman" w:cs="Times New Roman"/>
                <w:b/>
                <w:bCs/>
                <w:color w:val="C00000"/>
                <w:sz w:val="20"/>
                <w:szCs w:val="20"/>
              </w:rPr>
              <w:t>5</w:t>
            </w:r>
            <w:r w:rsidRPr="00CF1963">
              <w:rPr>
                <w:rFonts w:ascii="Times New Roman" w:eastAsia="Times New Roman" w:hAnsi="Times New Roman" w:cs="Times New Roman"/>
                <w:b/>
                <w:bCs/>
                <w:color w:val="C00000"/>
                <w:sz w:val="20"/>
                <w:szCs w:val="20"/>
              </w:rPr>
              <w:t xml:space="preserve"> - 2008</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Portugal</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0.367</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0.376</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-0.874</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-0.879</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Spain</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0.345</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0.452</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-0.794</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-0.765</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Greece</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0.284</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0.375</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-0.767</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-0.942</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Italy</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0.447</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0.474</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-0.758</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-0.755</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Germany</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0.562</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0.514</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-0.707</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-0.621</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France</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0.499</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0.495</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-0.668</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-0.640</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Netherlands</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0.574</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0.503</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-0.625</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-0.654</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Sweden</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0.795</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0.712</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-0.572</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-0.438</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Belgium</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0.543</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0.556</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-0.566</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-0.636</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United Kingdom</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0.616</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0.627</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-0.563</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-0.598</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Austria</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0.445</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0.453</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-0.548</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-0.618</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Finland</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0.669</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0.568</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-0.544</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-0.641</w:t>
            </w:r>
          </w:p>
        </w:tc>
      </w:tr>
      <w:tr w:rsidR="00B65702" w:rsidRPr="007639B6"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Denmark</w:t>
            </w:r>
          </w:p>
        </w:tc>
        <w:tc>
          <w:tcPr>
            <w:tcW w:w="16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0.580</w:t>
            </w:r>
          </w:p>
        </w:tc>
        <w:tc>
          <w:tcPr>
            <w:tcW w:w="17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0.567</w:t>
            </w:r>
          </w:p>
        </w:tc>
        <w:tc>
          <w:tcPr>
            <w:tcW w:w="174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-0.496</w:t>
            </w:r>
          </w:p>
        </w:tc>
        <w:tc>
          <w:tcPr>
            <w:tcW w:w="1960" w:type="dxa"/>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-0.362</w:t>
            </w:r>
          </w:p>
        </w:tc>
      </w:tr>
      <w:tr w:rsidR="00B65702" w:rsidRPr="007639B6"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Ireland</w:t>
            </w:r>
          </w:p>
        </w:tc>
        <w:tc>
          <w:tcPr>
            <w:tcW w:w="16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0.488</w:t>
            </w:r>
          </w:p>
        </w:tc>
        <w:tc>
          <w:tcPr>
            <w:tcW w:w="17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0.586</w:t>
            </w:r>
          </w:p>
        </w:tc>
        <w:tc>
          <w:tcPr>
            <w:tcW w:w="174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-0.355</w:t>
            </w:r>
          </w:p>
        </w:tc>
        <w:tc>
          <w:tcPr>
            <w:tcW w:w="1960" w:type="dxa"/>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-0.662</w:t>
            </w:r>
          </w:p>
        </w:tc>
      </w:tr>
      <w:tr w:rsidR="00B65702" w:rsidRPr="007639B6" w:rsidTr="00F63935">
        <w:trPr>
          <w:trHeight w:val="300"/>
        </w:trPr>
        <w:tc>
          <w:tcPr>
            <w:cnfStyle w:val="001000000000"/>
            <w:tcW w:w="1840" w:type="dxa"/>
            <w:tcBorders>
              <w:bottom w:val="single" w:sz="8" w:space="0" w:color="A5A5A5" w:themeColor="accent1" w:themeShade="BF"/>
            </w:tcBorders>
            <w:noWrap/>
            <w:hideMark/>
          </w:tcPr>
          <w:p w:rsidR="00B65702" w:rsidRPr="00CF1963" w:rsidRDefault="00B65702" w:rsidP="00F63935">
            <w:pPr>
              <w:rPr>
                <w:rFonts w:ascii="Times New Roman" w:eastAsia="Times New Roman" w:hAnsi="Times New Roman" w:cs="Times New Roman"/>
                <w:b w:val="0"/>
                <w:color w:val="000000"/>
                <w:sz w:val="20"/>
                <w:szCs w:val="20"/>
              </w:rPr>
            </w:pPr>
          </w:p>
        </w:tc>
        <w:tc>
          <w:tcPr>
            <w:tcW w:w="1660" w:type="dxa"/>
            <w:tcBorders>
              <w:bottom w:val="single" w:sz="8" w:space="0" w:color="A5A5A5" w:themeColor="accent1" w:themeShade="BF"/>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p>
        </w:tc>
        <w:tc>
          <w:tcPr>
            <w:tcW w:w="1760" w:type="dxa"/>
            <w:tcBorders>
              <w:bottom w:val="single" w:sz="8" w:space="0" w:color="A5A5A5" w:themeColor="accent1" w:themeShade="BF"/>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p>
        </w:tc>
        <w:tc>
          <w:tcPr>
            <w:tcW w:w="1740" w:type="dxa"/>
            <w:tcBorders>
              <w:bottom w:val="single" w:sz="8" w:space="0" w:color="A5A5A5" w:themeColor="accent1" w:themeShade="BF"/>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p>
        </w:tc>
        <w:tc>
          <w:tcPr>
            <w:tcW w:w="1960" w:type="dxa"/>
            <w:tcBorders>
              <w:bottom w:val="single" w:sz="8" w:space="0" w:color="A5A5A5" w:themeColor="accent1" w:themeShade="BF"/>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p>
        </w:tc>
      </w:tr>
      <w:tr w:rsidR="00B65702" w:rsidRPr="007639B6" w:rsidTr="00F63935">
        <w:trPr>
          <w:cnfStyle w:val="000000100000"/>
          <w:trHeight w:val="300"/>
        </w:trPr>
        <w:tc>
          <w:tcPr>
            <w:cnfStyle w:val="001000000000"/>
            <w:tcW w:w="1840" w:type="dxa"/>
            <w:tcBorders>
              <w:top w:val="single" w:sz="8" w:space="0" w:color="A5A5A5" w:themeColor="accent1" w:themeShade="BF"/>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Mean</w:t>
            </w:r>
          </w:p>
        </w:tc>
        <w:tc>
          <w:tcPr>
            <w:tcW w:w="1660" w:type="dxa"/>
            <w:tcBorders>
              <w:top w:val="single" w:sz="8" w:space="0" w:color="A5A5A5" w:themeColor="accent1" w:themeShade="BF"/>
              <w:bottom w:val="nil"/>
            </w:tcBorders>
            <w:noWrap/>
            <w:hideMark/>
          </w:tcPr>
          <w:p w:rsidR="00B65702" w:rsidRPr="00CF1963" w:rsidRDefault="00B65702" w:rsidP="00412709">
            <w:pPr>
              <w:jc w:val="center"/>
              <w:cnfStyle w:val="000000100000"/>
              <w:rPr>
                <w:rFonts w:ascii="Times New Roman" w:eastAsia="Times New Roman" w:hAnsi="Times New Roman" w:cs="Times New Roman"/>
                <w:bCs/>
                <w:color w:val="000000"/>
                <w:sz w:val="20"/>
                <w:szCs w:val="20"/>
              </w:rPr>
            </w:pPr>
            <w:r w:rsidRPr="00CF1963">
              <w:rPr>
                <w:rFonts w:ascii="Times New Roman" w:eastAsia="Times New Roman" w:hAnsi="Times New Roman" w:cs="Times New Roman"/>
                <w:bCs/>
                <w:color w:val="000000"/>
                <w:sz w:val="20"/>
                <w:szCs w:val="20"/>
              </w:rPr>
              <w:t>0.515</w:t>
            </w:r>
          </w:p>
        </w:tc>
        <w:tc>
          <w:tcPr>
            <w:tcW w:w="1760" w:type="dxa"/>
            <w:tcBorders>
              <w:top w:val="single" w:sz="8" w:space="0" w:color="A5A5A5" w:themeColor="accent1" w:themeShade="BF"/>
              <w:bottom w:val="nil"/>
            </w:tcBorders>
            <w:noWrap/>
            <w:hideMark/>
          </w:tcPr>
          <w:p w:rsidR="00B65702" w:rsidRPr="00CF1963" w:rsidRDefault="00B65702" w:rsidP="00412709">
            <w:pPr>
              <w:jc w:val="center"/>
              <w:cnfStyle w:val="000000100000"/>
              <w:rPr>
                <w:rFonts w:ascii="Times New Roman" w:eastAsia="Times New Roman" w:hAnsi="Times New Roman" w:cs="Times New Roman"/>
                <w:bCs/>
                <w:color w:val="000000"/>
                <w:sz w:val="20"/>
                <w:szCs w:val="20"/>
              </w:rPr>
            </w:pPr>
            <w:r w:rsidRPr="00CF1963">
              <w:rPr>
                <w:rFonts w:ascii="Times New Roman" w:eastAsia="Times New Roman" w:hAnsi="Times New Roman" w:cs="Times New Roman"/>
                <w:bCs/>
                <w:color w:val="000000"/>
                <w:sz w:val="20"/>
                <w:szCs w:val="20"/>
              </w:rPr>
              <w:t>0.519</w:t>
            </w:r>
          </w:p>
        </w:tc>
        <w:tc>
          <w:tcPr>
            <w:tcW w:w="1740" w:type="dxa"/>
            <w:tcBorders>
              <w:top w:val="single" w:sz="8" w:space="0" w:color="A5A5A5" w:themeColor="accent1" w:themeShade="BF"/>
              <w:bottom w:val="nil"/>
            </w:tcBorders>
            <w:noWrap/>
            <w:hideMark/>
          </w:tcPr>
          <w:p w:rsidR="00B65702" w:rsidRPr="00CF1963" w:rsidRDefault="00B65702" w:rsidP="00412709">
            <w:pPr>
              <w:jc w:val="center"/>
              <w:cnfStyle w:val="000000100000"/>
              <w:rPr>
                <w:rFonts w:ascii="Times New Roman" w:eastAsia="Times New Roman" w:hAnsi="Times New Roman" w:cs="Times New Roman"/>
                <w:bCs/>
                <w:color w:val="000000"/>
                <w:sz w:val="20"/>
                <w:szCs w:val="20"/>
              </w:rPr>
            </w:pPr>
            <w:r w:rsidRPr="00CF1963">
              <w:rPr>
                <w:rFonts w:ascii="Times New Roman" w:eastAsia="Times New Roman" w:hAnsi="Times New Roman" w:cs="Times New Roman"/>
                <w:bCs/>
                <w:color w:val="000000"/>
                <w:sz w:val="20"/>
                <w:szCs w:val="20"/>
              </w:rPr>
              <w:t>-0.631</w:t>
            </w:r>
          </w:p>
        </w:tc>
        <w:tc>
          <w:tcPr>
            <w:tcW w:w="1960" w:type="dxa"/>
            <w:tcBorders>
              <w:top w:val="single" w:sz="8" w:space="0" w:color="A5A5A5" w:themeColor="accent1" w:themeShade="BF"/>
              <w:bottom w:val="nil"/>
            </w:tcBorders>
            <w:noWrap/>
            <w:hideMark/>
          </w:tcPr>
          <w:p w:rsidR="00B65702" w:rsidRPr="00CF1963" w:rsidRDefault="00B65702" w:rsidP="00412709">
            <w:pPr>
              <w:jc w:val="center"/>
              <w:cnfStyle w:val="000000100000"/>
              <w:rPr>
                <w:rFonts w:ascii="Times New Roman" w:eastAsia="Times New Roman" w:hAnsi="Times New Roman" w:cs="Times New Roman"/>
                <w:bCs/>
                <w:color w:val="000000"/>
                <w:sz w:val="20"/>
                <w:szCs w:val="20"/>
              </w:rPr>
            </w:pPr>
            <w:r w:rsidRPr="00CF1963">
              <w:rPr>
                <w:rFonts w:ascii="Times New Roman" w:eastAsia="Times New Roman" w:hAnsi="Times New Roman" w:cs="Times New Roman"/>
                <w:bCs/>
                <w:color w:val="000000"/>
                <w:sz w:val="20"/>
                <w:szCs w:val="20"/>
              </w:rPr>
              <w:t>-0.658</w:t>
            </w:r>
          </w:p>
        </w:tc>
      </w:tr>
      <w:tr w:rsidR="00B65702" w:rsidRPr="007639B6" w:rsidTr="00F63935">
        <w:trPr>
          <w:trHeight w:val="300"/>
        </w:trPr>
        <w:tc>
          <w:tcPr>
            <w:cnfStyle w:val="001000000000"/>
            <w:tcW w:w="184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Median</w:t>
            </w:r>
          </w:p>
        </w:tc>
        <w:tc>
          <w:tcPr>
            <w:tcW w:w="16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0.521</w:t>
            </w:r>
          </w:p>
        </w:tc>
        <w:tc>
          <w:tcPr>
            <w:tcW w:w="17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0.509</w:t>
            </w:r>
          </w:p>
        </w:tc>
        <w:tc>
          <w:tcPr>
            <w:tcW w:w="174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-0.599</w:t>
            </w:r>
          </w:p>
        </w:tc>
        <w:tc>
          <w:tcPr>
            <w:tcW w:w="19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-0.641</w:t>
            </w:r>
          </w:p>
        </w:tc>
      </w:tr>
      <w:tr w:rsidR="00B65702" w:rsidRPr="007639B6" w:rsidTr="00F63935">
        <w:trPr>
          <w:cnfStyle w:val="000000100000"/>
          <w:trHeight w:val="300"/>
        </w:trPr>
        <w:tc>
          <w:tcPr>
            <w:cnfStyle w:val="001000000000"/>
            <w:tcW w:w="184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Standard deviation</w:t>
            </w:r>
          </w:p>
        </w:tc>
        <w:tc>
          <w:tcPr>
            <w:tcW w:w="1660" w:type="dxa"/>
            <w:tcBorders>
              <w:top w:val="nil"/>
              <w:bottom w:val="nil"/>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0.135</w:t>
            </w:r>
          </w:p>
        </w:tc>
        <w:tc>
          <w:tcPr>
            <w:tcW w:w="1760" w:type="dxa"/>
            <w:tcBorders>
              <w:top w:val="nil"/>
              <w:bottom w:val="nil"/>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0.093</w:t>
            </w:r>
          </w:p>
        </w:tc>
        <w:tc>
          <w:tcPr>
            <w:tcW w:w="1740" w:type="dxa"/>
            <w:tcBorders>
              <w:top w:val="nil"/>
              <w:bottom w:val="nil"/>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0.138</w:t>
            </w:r>
          </w:p>
        </w:tc>
        <w:tc>
          <w:tcPr>
            <w:tcW w:w="1960" w:type="dxa"/>
            <w:tcBorders>
              <w:top w:val="nil"/>
              <w:bottom w:val="nil"/>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0.150</w:t>
            </w:r>
          </w:p>
        </w:tc>
      </w:tr>
      <w:tr w:rsidR="00B65702" w:rsidRPr="007639B6" w:rsidTr="00F63935">
        <w:trPr>
          <w:trHeight w:val="300"/>
        </w:trPr>
        <w:tc>
          <w:tcPr>
            <w:cnfStyle w:val="001000000000"/>
            <w:tcW w:w="184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Min</w:t>
            </w:r>
          </w:p>
        </w:tc>
        <w:tc>
          <w:tcPr>
            <w:tcW w:w="16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0.284</w:t>
            </w:r>
          </w:p>
        </w:tc>
        <w:tc>
          <w:tcPr>
            <w:tcW w:w="17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0.375</w:t>
            </w:r>
          </w:p>
        </w:tc>
        <w:tc>
          <w:tcPr>
            <w:tcW w:w="174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-0.874</w:t>
            </w:r>
          </w:p>
        </w:tc>
        <w:tc>
          <w:tcPr>
            <w:tcW w:w="1960" w:type="dxa"/>
            <w:tcBorders>
              <w:top w:val="nil"/>
              <w:bottom w:val="nil"/>
            </w:tcBorders>
            <w:noWrap/>
            <w:hideMark/>
          </w:tcPr>
          <w:p w:rsidR="00B65702" w:rsidRPr="00CF1963" w:rsidRDefault="00B65702" w:rsidP="00412709">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-0.942</w:t>
            </w:r>
          </w:p>
        </w:tc>
      </w:tr>
      <w:tr w:rsidR="00B65702" w:rsidRPr="007639B6" w:rsidTr="00F63935">
        <w:trPr>
          <w:cnfStyle w:val="000000100000"/>
          <w:trHeight w:val="300"/>
        </w:trPr>
        <w:tc>
          <w:tcPr>
            <w:cnfStyle w:val="001000000000"/>
            <w:tcW w:w="1840" w:type="dxa"/>
            <w:tcBorders>
              <w:top w:val="nil"/>
              <w:bottom w:val="single" w:sz="8" w:space="0" w:color="DDDDDD" w:themeColor="accent1"/>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Max</w:t>
            </w:r>
          </w:p>
        </w:tc>
        <w:tc>
          <w:tcPr>
            <w:tcW w:w="1660" w:type="dxa"/>
            <w:tcBorders>
              <w:top w:val="nil"/>
              <w:bottom w:val="single" w:sz="8" w:space="0" w:color="DDDDDD" w:themeColor="accent1"/>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0.795</w:t>
            </w:r>
          </w:p>
        </w:tc>
        <w:tc>
          <w:tcPr>
            <w:tcW w:w="1760" w:type="dxa"/>
            <w:tcBorders>
              <w:top w:val="nil"/>
              <w:bottom w:val="single" w:sz="8" w:space="0" w:color="DDDDDD" w:themeColor="accent1"/>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0.712</w:t>
            </w:r>
          </w:p>
        </w:tc>
        <w:tc>
          <w:tcPr>
            <w:tcW w:w="1740" w:type="dxa"/>
            <w:tcBorders>
              <w:top w:val="nil"/>
              <w:bottom w:val="single" w:sz="8" w:space="0" w:color="DDDDDD" w:themeColor="accent1"/>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-0.355</w:t>
            </w:r>
          </w:p>
        </w:tc>
        <w:tc>
          <w:tcPr>
            <w:tcW w:w="1960" w:type="dxa"/>
            <w:tcBorders>
              <w:top w:val="nil"/>
              <w:bottom w:val="single" w:sz="8" w:space="0" w:color="DDDDDD" w:themeColor="accent1"/>
            </w:tcBorders>
            <w:noWrap/>
            <w:hideMark/>
          </w:tcPr>
          <w:p w:rsidR="00B65702" w:rsidRPr="00CF1963" w:rsidRDefault="00B65702" w:rsidP="00412709">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-0.362</w:t>
            </w:r>
          </w:p>
        </w:tc>
      </w:tr>
    </w:tbl>
    <w:p w:rsidR="00B65702" w:rsidRDefault="00B65702" w:rsidP="00B65702">
      <w:pPr>
        <w:pStyle w:val="BodyText"/>
        <w:spacing w:line="360" w:lineRule="auto"/>
        <w:rPr>
          <w:rFonts w:ascii="Times New Roman" w:hAnsi="Times New Roman" w:cs="Times New Roman"/>
          <w:sz w:val="24"/>
          <w:szCs w:val="24"/>
        </w:rPr>
      </w:pPr>
    </w:p>
    <w:p w:rsidR="00B65702" w:rsidRDefault="00B65702" w:rsidP="0028409C">
      <w:pPr>
        <w:pStyle w:val="Heading4"/>
        <w:rPr>
          <w:rFonts w:ascii="Calibri" w:hAnsi="Calibri"/>
        </w:rPr>
      </w:pPr>
      <w:bookmarkStart w:id="102" w:name="_Toc268669777"/>
      <w:r w:rsidRPr="0028409C">
        <w:rPr>
          <w:rFonts w:ascii="Calibri" w:hAnsi="Calibri"/>
        </w:rPr>
        <w:t>10.2</w:t>
      </w:r>
      <w:r w:rsidRPr="0028409C">
        <w:rPr>
          <w:rFonts w:ascii="Calibri" w:hAnsi="Calibri"/>
        </w:rPr>
        <w:tab/>
        <w:t>Income smoothing in the pre-IFRS period</w:t>
      </w:r>
      <w:bookmarkEnd w:id="102"/>
    </w:p>
    <w:p w:rsidR="0028409C" w:rsidRPr="0028409C" w:rsidRDefault="0028409C" w:rsidP="0028409C"/>
    <w:p w:rsidR="000B15F4" w:rsidRDefault="00B65702" w:rsidP="00B65702">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First, the pre-IFRS period will be looked at. Table </w:t>
      </w:r>
      <w:r w:rsidR="000B2927">
        <w:rPr>
          <w:rFonts w:ascii="Times New Roman" w:hAnsi="Times New Roman" w:cs="Times New Roman"/>
          <w:sz w:val="24"/>
          <w:szCs w:val="24"/>
        </w:rPr>
        <w:t>10</w:t>
      </w:r>
      <w:r>
        <w:rPr>
          <w:rFonts w:ascii="Times New Roman" w:hAnsi="Times New Roman" w:cs="Times New Roman"/>
          <w:sz w:val="24"/>
          <w:szCs w:val="24"/>
        </w:rPr>
        <w:t xml:space="preserve"> presents the income smoothing measures 1 and 2 for the pre-IFRS period (2000-2004) as well as the aggregate income smoothing score. </w:t>
      </w:r>
      <w:r w:rsidR="000B15F4">
        <w:rPr>
          <w:rFonts w:ascii="Times New Roman" w:hAnsi="Times New Roman" w:cs="Times New Roman"/>
          <w:sz w:val="24"/>
          <w:szCs w:val="24"/>
        </w:rPr>
        <w:t>Previous research has been performed on this subject, but the results have not been unanimous. Some researchers found evidence that indicated that firms  evidence more income smoothing in the post-IFRS period than in the pre-IFRS period, while other researchers found that firms are less prone to engage in income smoothing in the post-IFRS period than in the pre-IFRS period.</w:t>
      </w:r>
    </w:p>
    <w:p w:rsidR="00B7463C" w:rsidRDefault="00B7463C" w:rsidP="00B65702">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Panaanen and Lin (2009) investigated whether the quality of accounting numbers of German companies under IAS differed under IFRS. Their results indicated that accounting </w:t>
      </w:r>
      <w:r>
        <w:rPr>
          <w:rFonts w:ascii="Times New Roman" w:hAnsi="Times New Roman" w:cs="Times New Roman"/>
          <w:sz w:val="24"/>
          <w:szCs w:val="24"/>
        </w:rPr>
        <w:lastRenderedPageBreak/>
        <w:t>quality has decreased in the post-IFRS period.</w:t>
      </w:r>
      <w:r w:rsidR="00A37A78">
        <w:rPr>
          <w:rFonts w:ascii="Times New Roman" w:hAnsi="Times New Roman" w:cs="Times New Roman"/>
          <w:sz w:val="24"/>
          <w:szCs w:val="24"/>
        </w:rPr>
        <w:t xml:space="preserve"> </w:t>
      </w:r>
      <w:r w:rsidR="009178CB">
        <w:rPr>
          <w:rFonts w:ascii="Times New Roman" w:hAnsi="Times New Roman" w:cs="Times New Roman"/>
          <w:sz w:val="24"/>
          <w:szCs w:val="24"/>
        </w:rPr>
        <w:t xml:space="preserve">In the pre-IFRS period the researchers looked at companies reporting under IAS, while companies in the post-IFRS period reported under IFRS. </w:t>
      </w:r>
      <w:r w:rsidR="00A37A78">
        <w:rPr>
          <w:rFonts w:ascii="Times New Roman" w:hAnsi="Times New Roman" w:cs="Times New Roman"/>
          <w:sz w:val="24"/>
          <w:szCs w:val="24"/>
        </w:rPr>
        <w:t xml:space="preserve">Earnings reported </w:t>
      </w:r>
      <w:r w:rsidR="009178CB">
        <w:rPr>
          <w:rFonts w:ascii="Times New Roman" w:hAnsi="Times New Roman" w:cs="Times New Roman"/>
          <w:sz w:val="24"/>
          <w:szCs w:val="24"/>
        </w:rPr>
        <w:t xml:space="preserve">by German companies </w:t>
      </w:r>
      <w:r w:rsidR="00A37A78">
        <w:rPr>
          <w:rFonts w:ascii="Times New Roman" w:hAnsi="Times New Roman" w:cs="Times New Roman"/>
          <w:sz w:val="24"/>
          <w:szCs w:val="24"/>
        </w:rPr>
        <w:t>in the pre-IFRS period were more value relevant than in the post-IFRS period.</w:t>
      </w:r>
    </w:p>
    <w:p w:rsidR="009178CB" w:rsidRDefault="009E7DF4" w:rsidP="00B65702">
      <w:pPr>
        <w:pStyle w:val="BodyText"/>
        <w:spacing w:line="360" w:lineRule="auto"/>
        <w:rPr>
          <w:rFonts w:ascii="Times New Roman" w:hAnsi="Times New Roman" w:cs="Times New Roman"/>
          <w:sz w:val="24"/>
          <w:szCs w:val="24"/>
        </w:rPr>
      </w:pPr>
      <w:r>
        <w:rPr>
          <w:rFonts w:ascii="Times New Roman" w:hAnsi="Times New Roman" w:cs="Times New Roman"/>
          <w:sz w:val="24"/>
          <w:szCs w:val="24"/>
        </w:rPr>
        <w:t>As noted earlier, Barth et al. (2008) did research on the influence o</w:t>
      </w:r>
      <w:r w:rsidR="004026AC">
        <w:rPr>
          <w:rFonts w:ascii="Times New Roman" w:hAnsi="Times New Roman" w:cs="Times New Roman"/>
          <w:sz w:val="24"/>
          <w:szCs w:val="24"/>
        </w:rPr>
        <w:t>f</w:t>
      </w:r>
      <w:r>
        <w:rPr>
          <w:rFonts w:ascii="Times New Roman" w:hAnsi="Times New Roman" w:cs="Times New Roman"/>
          <w:sz w:val="24"/>
          <w:szCs w:val="24"/>
        </w:rPr>
        <w:t xml:space="preserve"> IAS on accounting quality.  Their sample consisted of 21 countries including Germany. They found that firms switching to IAS/IFRS showed a higher quality financial reporting. The results indicate that IAS/IFRS adopters are less inclined to engage in income smoothing, which is the exact opposite of Paananen and Lin’s (2009) findings.</w:t>
      </w:r>
    </w:p>
    <w:p w:rsidR="00524145" w:rsidRDefault="00524145" w:rsidP="00524145">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From table </w:t>
      </w:r>
      <w:r w:rsidR="000B2927">
        <w:rPr>
          <w:rFonts w:ascii="Times New Roman" w:hAnsi="Times New Roman" w:cs="Times New Roman"/>
          <w:sz w:val="24"/>
          <w:szCs w:val="24"/>
        </w:rPr>
        <w:t>10</w:t>
      </w:r>
      <w:r>
        <w:rPr>
          <w:rFonts w:ascii="Times New Roman" w:hAnsi="Times New Roman" w:cs="Times New Roman"/>
          <w:sz w:val="24"/>
          <w:szCs w:val="24"/>
        </w:rPr>
        <w:t xml:space="preserve"> it becomes clear that Portugal, Spain and Greece (all PIGS member countries) have the highest aggregate score, which means that income smoothing was strongly present in the pre-IFRS period in these countries. </w:t>
      </w:r>
    </w:p>
    <w:p w:rsidR="0028409C" w:rsidRPr="0028409C" w:rsidRDefault="0028409C" w:rsidP="00B65702">
      <w:pPr>
        <w:pStyle w:val="BodyText"/>
        <w:spacing w:line="360" w:lineRule="auto"/>
        <w:rPr>
          <w:rFonts w:ascii="Times New Roman" w:hAnsi="Times New Roman" w:cs="Times New Roman"/>
          <w:i/>
          <w:sz w:val="24"/>
          <w:szCs w:val="24"/>
        </w:rPr>
      </w:pPr>
      <w:r>
        <w:rPr>
          <w:rFonts w:ascii="Times New Roman" w:hAnsi="Times New Roman" w:cs="Times New Roman"/>
          <w:i/>
          <w:sz w:val="24"/>
          <w:szCs w:val="24"/>
        </w:rPr>
        <w:t xml:space="preserve">Table </w:t>
      </w:r>
      <w:r w:rsidR="00B65E2C">
        <w:rPr>
          <w:rFonts w:ascii="Times New Roman" w:hAnsi="Times New Roman" w:cs="Times New Roman"/>
          <w:i/>
          <w:sz w:val="24"/>
          <w:szCs w:val="24"/>
        </w:rPr>
        <w:t>10</w:t>
      </w:r>
      <w:r w:rsidR="00B65E2C">
        <w:rPr>
          <w:rFonts w:ascii="Times New Roman" w:hAnsi="Times New Roman" w:cs="Times New Roman"/>
          <w:i/>
          <w:sz w:val="24"/>
          <w:szCs w:val="24"/>
        </w:rPr>
        <w:tab/>
        <w:t>Aggregate income smoothing score pre-IFRS</w:t>
      </w:r>
      <w:r w:rsidR="002C3520">
        <w:rPr>
          <w:rFonts w:ascii="Times New Roman" w:hAnsi="Times New Roman" w:cs="Times New Roman"/>
          <w:i/>
          <w:sz w:val="24"/>
          <w:szCs w:val="24"/>
        </w:rPr>
        <w:t xml:space="preserve"> period</w:t>
      </w:r>
    </w:p>
    <w:tbl>
      <w:tblPr>
        <w:tblStyle w:val="LightShading-Accent11"/>
        <w:tblW w:w="7560" w:type="dxa"/>
        <w:tblInd w:w="918" w:type="dxa"/>
        <w:tblLook w:val="04A0"/>
      </w:tblPr>
      <w:tblGrid>
        <w:gridCol w:w="1800"/>
        <w:gridCol w:w="180"/>
        <w:gridCol w:w="1710"/>
        <w:gridCol w:w="2070"/>
        <w:gridCol w:w="1800"/>
      </w:tblGrid>
      <w:tr w:rsidR="00B65702" w:rsidRPr="00F75C16" w:rsidTr="00F63935">
        <w:trPr>
          <w:cnfStyle w:val="100000000000"/>
          <w:trHeight w:val="555"/>
        </w:trPr>
        <w:tc>
          <w:tcPr>
            <w:cnfStyle w:val="001000000000"/>
            <w:tcW w:w="1980" w:type="dxa"/>
            <w:gridSpan w:val="2"/>
            <w:noWrap/>
            <w:hideMark/>
          </w:tcPr>
          <w:p w:rsidR="00B65702" w:rsidRPr="00CF1963" w:rsidRDefault="00B65702" w:rsidP="00F63935">
            <w:pPr>
              <w:jc w:val="center"/>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Country</w:t>
            </w:r>
          </w:p>
        </w:tc>
        <w:tc>
          <w:tcPr>
            <w:tcW w:w="1710" w:type="dxa"/>
            <w:noWrap/>
            <w:hideMark/>
          </w:tcPr>
          <w:p w:rsidR="00B65702" w:rsidRPr="00CF1963" w:rsidRDefault="00B65702" w:rsidP="00F63935">
            <w:pPr>
              <w:jc w:val="right"/>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IS 1</w:t>
            </w:r>
          </w:p>
        </w:tc>
        <w:tc>
          <w:tcPr>
            <w:tcW w:w="2070" w:type="dxa"/>
            <w:noWrap/>
            <w:hideMark/>
          </w:tcPr>
          <w:p w:rsidR="00B65702" w:rsidRPr="00CF1963" w:rsidRDefault="00B65702" w:rsidP="00F63935">
            <w:pPr>
              <w:jc w:val="right"/>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IS 2</w:t>
            </w:r>
          </w:p>
        </w:tc>
        <w:tc>
          <w:tcPr>
            <w:tcW w:w="1800" w:type="dxa"/>
            <w:noWrap/>
            <w:hideMark/>
          </w:tcPr>
          <w:p w:rsidR="00B65702" w:rsidRPr="00CF1963" w:rsidRDefault="00B65702" w:rsidP="00F63935">
            <w:pPr>
              <w:jc w:val="center"/>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Aggregate</w:t>
            </w:r>
          </w:p>
          <w:p w:rsidR="00B65702" w:rsidRPr="00CF1963" w:rsidRDefault="00B65702" w:rsidP="00F63935">
            <w:pPr>
              <w:jc w:val="center"/>
              <w:cnfStyle w:val="100000000000"/>
              <w:rPr>
                <w:rFonts w:ascii="Times New Roman" w:eastAsia="Times New Roman" w:hAnsi="Times New Roman" w:cs="Times New Roman"/>
                <w:b w:val="0"/>
                <w:bCs w:val="0"/>
                <w:color w:val="000000"/>
                <w:sz w:val="20"/>
                <w:szCs w:val="20"/>
              </w:rPr>
            </w:pPr>
            <w:r w:rsidRPr="00CF1963">
              <w:rPr>
                <w:rFonts w:ascii="Times New Roman" w:eastAsia="Times New Roman" w:hAnsi="Times New Roman" w:cs="Times New Roman"/>
                <w:color w:val="000000"/>
                <w:sz w:val="20"/>
                <w:szCs w:val="20"/>
              </w:rPr>
              <w:t xml:space="preserve"> IS</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jc w:val="center"/>
              <w:rPr>
                <w:rFonts w:ascii="Times New Roman" w:eastAsia="Times New Roman" w:hAnsi="Times New Roman" w:cs="Times New Roman"/>
                <w:b w:val="0"/>
                <w:bCs w:val="0"/>
                <w:color w:val="000000"/>
                <w:sz w:val="20"/>
                <w:szCs w:val="20"/>
              </w:rPr>
            </w:pP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2000 - 2004</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2000 - 2004</w:t>
            </w:r>
          </w:p>
        </w:tc>
        <w:tc>
          <w:tcPr>
            <w:tcW w:w="1800" w:type="dxa"/>
            <w:noWrap/>
            <w:hideMark/>
          </w:tcPr>
          <w:p w:rsidR="00B65702" w:rsidRPr="00CF1963" w:rsidRDefault="00B65702" w:rsidP="00F63935">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2000-2004</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Portugal</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0.367</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-0.874</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13</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Spain</w:t>
            </w: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0.345</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-0.794</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13</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Greece</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0.284</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-0.767</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13</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Italy</w:t>
            </w: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0.447</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-0.758</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10.5</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Germany</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0.562</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-0.707</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8</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France</w:t>
            </w: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0.499</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-0.668</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8.5</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Netherlands</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0.574</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-0.625</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6.5</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Sweden</w:t>
            </w: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0.795</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-0.572</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4</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Belgium</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0.543</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-0.566</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6.5</w:t>
            </w:r>
          </w:p>
        </w:tc>
      </w:tr>
      <w:tr w:rsidR="00B65702" w:rsidRPr="00F75C16" w:rsidTr="00F63935">
        <w:trPr>
          <w:cnfStyle w:val="000000100000"/>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United Kingdom</w:t>
            </w:r>
          </w:p>
        </w:tc>
        <w:tc>
          <w:tcPr>
            <w:tcW w:w="171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0.616</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-0.563</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4</w:t>
            </w:r>
          </w:p>
        </w:tc>
      </w:tr>
      <w:tr w:rsidR="00B65702" w:rsidRPr="00F75C16" w:rsidTr="00F63935">
        <w:trPr>
          <w:trHeight w:val="300"/>
        </w:trPr>
        <w:tc>
          <w:tcPr>
            <w:cnfStyle w:val="001000000000"/>
            <w:tcW w:w="1980" w:type="dxa"/>
            <w:gridSpan w:val="2"/>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Austria</w:t>
            </w:r>
          </w:p>
        </w:tc>
        <w:tc>
          <w:tcPr>
            <w:tcW w:w="171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0.445</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-0.548</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7.5</w:t>
            </w:r>
          </w:p>
        </w:tc>
      </w:tr>
      <w:tr w:rsidR="00B65702" w:rsidRPr="00F75C16" w:rsidTr="00F63935">
        <w:trPr>
          <w:cnfStyle w:val="000000100000"/>
          <w:trHeight w:val="300"/>
        </w:trPr>
        <w:tc>
          <w:tcPr>
            <w:cnfStyle w:val="001000000000"/>
            <w:tcW w:w="180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Finland</w:t>
            </w:r>
          </w:p>
        </w:tc>
        <w:tc>
          <w:tcPr>
            <w:tcW w:w="1890" w:type="dxa"/>
            <w:gridSpan w:val="2"/>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0.669</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-0.544</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2.5</w:t>
            </w:r>
          </w:p>
        </w:tc>
      </w:tr>
      <w:tr w:rsidR="00B65702" w:rsidRPr="00F75C16" w:rsidTr="00F63935">
        <w:trPr>
          <w:trHeight w:val="300"/>
        </w:trPr>
        <w:tc>
          <w:tcPr>
            <w:cnfStyle w:val="001000000000"/>
            <w:tcW w:w="180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Denmark</w:t>
            </w:r>
          </w:p>
        </w:tc>
        <w:tc>
          <w:tcPr>
            <w:tcW w:w="1890" w:type="dxa"/>
            <w:gridSpan w:val="2"/>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0.580</w:t>
            </w:r>
          </w:p>
        </w:tc>
        <w:tc>
          <w:tcPr>
            <w:tcW w:w="207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-0.496</w:t>
            </w:r>
          </w:p>
        </w:tc>
        <w:tc>
          <w:tcPr>
            <w:tcW w:w="1800" w:type="dxa"/>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3</w:t>
            </w:r>
          </w:p>
        </w:tc>
      </w:tr>
      <w:tr w:rsidR="00B65702" w:rsidRPr="00F75C16" w:rsidTr="00F63935">
        <w:trPr>
          <w:cnfStyle w:val="000000100000"/>
          <w:trHeight w:val="300"/>
        </w:trPr>
        <w:tc>
          <w:tcPr>
            <w:cnfStyle w:val="001000000000"/>
            <w:tcW w:w="180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Ireland</w:t>
            </w:r>
          </w:p>
        </w:tc>
        <w:tc>
          <w:tcPr>
            <w:tcW w:w="1890" w:type="dxa"/>
            <w:gridSpan w:val="2"/>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0.488</w:t>
            </w:r>
          </w:p>
        </w:tc>
        <w:tc>
          <w:tcPr>
            <w:tcW w:w="207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-0.355</w:t>
            </w:r>
          </w:p>
        </w:tc>
        <w:tc>
          <w:tcPr>
            <w:tcW w:w="1800" w:type="dxa"/>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5</w:t>
            </w:r>
          </w:p>
        </w:tc>
      </w:tr>
      <w:tr w:rsidR="00B65702" w:rsidRPr="00F75C16" w:rsidTr="00F63935">
        <w:trPr>
          <w:trHeight w:val="300"/>
        </w:trPr>
        <w:tc>
          <w:tcPr>
            <w:cnfStyle w:val="001000000000"/>
            <w:tcW w:w="1800" w:type="dxa"/>
            <w:tcBorders>
              <w:bottom w:val="single" w:sz="8" w:space="0" w:color="A5A5A5" w:themeColor="accent1" w:themeShade="BF"/>
            </w:tcBorders>
            <w:noWrap/>
            <w:hideMark/>
          </w:tcPr>
          <w:p w:rsidR="00B65702" w:rsidRPr="00CF1963" w:rsidRDefault="00B65702" w:rsidP="00F63935">
            <w:pPr>
              <w:rPr>
                <w:rFonts w:ascii="Times New Roman" w:eastAsia="Times New Roman" w:hAnsi="Times New Roman" w:cs="Times New Roman"/>
                <w:b w:val="0"/>
                <w:color w:val="000000"/>
                <w:sz w:val="20"/>
                <w:szCs w:val="20"/>
              </w:rPr>
            </w:pPr>
          </w:p>
        </w:tc>
        <w:tc>
          <w:tcPr>
            <w:tcW w:w="1890" w:type="dxa"/>
            <w:gridSpan w:val="2"/>
            <w:tcBorders>
              <w:bottom w:val="single" w:sz="8" w:space="0" w:color="A5A5A5" w:themeColor="accent1" w:themeShade="BF"/>
            </w:tcBorders>
            <w:noWrap/>
            <w:hideMark/>
          </w:tcPr>
          <w:p w:rsidR="00B65702" w:rsidRPr="00CF1963" w:rsidRDefault="00B65702" w:rsidP="00F63935">
            <w:pPr>
              <w:cnfStyle w:val="000000000000"/>
              <w:rPr>
                <w:rFonts w:ascii="Times New Roman" w:eastAsia="Times New Roman" w:hAnsi="Times New Roman" w:cs="Times New Roman"/>
                <w:color w:val="000000"/>
                <w:sz w:val="20"/>
                <w:szCs w:val="20"/>
              </w:rPr>
            </w:pPr>
          </w:p>
        </w:tc>
        <w:tc>
          <w:tcPr>
            <w:tcW w:w="2070" w:type="dxa"/>
            <w:tcBorders>
              <w:bottom w:val="single" w:sz="8" w:space="0" w:color="A5A5A5" w:themeColor="accent1" w:themeShade="BF"/>
            </w:tcBorders>
            <w:noWrap/>
            <w:hideMark/>
          </w:tcPr>
          <w:p w:rsidR="00B65702" w:rsidRPr="00CF1963" w:rsidRDefault="00B65702" w:rsidP="00F63935">
            <w:pPr>
              <w:cnfStyle w:val="000000000000"/>
              <w:rPr>
                <w:rFonts w:ascii="Times New Roman" w:eastAsia="Times New Roman" w:hAnsi="Times New Roman" w:cs="Times New Roman"/>
                <w:color w:val="000000"/>
                <w:sz w:val="20"/>
                <w:szCs w:val="20"/>
              </w:rPr>
            </w:pPr>
          </w:p>
        </w:tc>
        <w:tc>
          <w:tcPr>
            <w:tcW w:w="1800" w:type="dxa"/>
            <w:tcBorders>
              <w:bottom w:val="single" w:sz="8" w:space="0" w:color="A5A5A5" w:themeColor="accent1" w:themeShade="BF"/>
            </w:tcBorders>
            <w:noWrap/>
            <w:hideMark/>
          </w:tcPr>
          <w:p w:rsidR="00B65702" w:rsidRPr="00CF1963" w:rsidRDefault="00B65702" w:rsidP="00F63935">
            <w:pPr>
              <w:cnfStyle w:val="000000000000"/>
              <w:rPr>
                <w:rFonts w:ascii="Times New Roman" w:eastAsia="Times New Roman" w:hAnsi="Times New Roman" w:cs="Times New Roman"/>
                <w:color w:val="000000"/>
                <w:sz w:val="20"/>
                <w:szCs w:val="20"/>
              </w:rPr>
            </w:pPr>
          </w:p>
        </w:tc>
      </w:tr>
      <w:tr w:rsidR="00B65702" w:rsidRPr="00F75C16" w:rsidTr="00F63935">
        <w:trPr>
          <w:cnfStyle w:val="000000100000"/>
          <w:trHeight w:val="300"/>
        </w:trPr>
        <w:tc>
          <w:tcPr>
            <w:cnfStyle w:val="001000000000"/>
            <w:tcW w:w="1800" w:type="dxa"/>
            <w:tcBorders>
              <w:top w:val="single" w:sz="8" w:space="0" w:color="A5A5A5" w:themeColor="accent1" w:themeShade="BF"/>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Mean</w:t>
            </w:r>
          </w:p>
        </w:tc>
        <w:tc>
          <w:tcPr>
            <w:tcW w:w="1890" w:type="dxa"/>
            <w:gridSpan w:val="2"/>
            <w:tcBorders>
              <w:top w:val="single" w:sz="8" w:space="0" w:color="A5A5A5" w:themeColor="accent1" w:themeShade="BF"/>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0.515</w:t>
            </w:r>
          </w:p>
        </w:tc>
        <w:tc>
          <w:tcPr>
            <w:tcW w:w="2070" w:type="dxa"/>
            <w:tcBorders>
              <w:top w:val="single" w:sz="8" w:space="0" w:color="A5A5A5" w:themeColor="accent1" w:themeShade="BF"/>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-0.631</w:t>
            </w:r>
          </w:p>
        </w:tc>
        <w:tc>
          <w:tcPr>
            <w:tcW w:w="1800" w:type="dxa"/>
            <w:tcBorders>
              <w:top w:val="single" w:sz="8" w:space="0" w:color="A5A5A5" w:themeColor="accent1" w:themeShade="BF"/>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7.5</w:t>
            </w:r>
          </w:p>
        </w:tc>
      </w:tr>
      <w:tr w:rsidR="00B65702" w:rsidRPr="00F75C16" w:rsidTr="00F63935">
        <w:trPr>
          <w:trHeight w:val="300"/>
        </w:trPr>
        <w:tc>
          <w:tcPr>
            <w:cnfStyle w:val="001000000000"/>
            <w:tcW w:w="180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Median</w:t>
            </w:r>
          </w:p>
        </w:tc>
        <w:tc>
          <w:tcPr>
            <w:tcW w:w="1890" w:type="dxa"/>
            <w:gridSpan w:val="2"/>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0.521</w:t>
            </w:r>
          </w:p>
        </w:tc>
        <w:tc>
          <w:tcPr>
            <w:tcW w:w="2070" w:type="dxa"/>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-0.599</w:t>
            </w:r>
          </w:p>
        </w:tc>
        <w:tc>
          <w:tcPr>
            <w:tcW w:w="1800" w:type="dxa"/>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7.0</w:t>
            </w:r>
          </w:p>
        </w:tc>
      </w:tr>
      <w:tr w:rsidR="00B65702" w:rsidRPr="00F75C16" w:rsidTr="00F63935">
        <w:trPr>
          <w:cnfStyle w:val="000000100000"/>
          <w:trHeight w:val="300"/>
        </w:trPr>
        <w:tc>
          <w:tcPr>
            <w:cnfStyle w:val="001000000000"/>
            <w:tcW w:w="180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Standard deviation</w:t>
            </w:r>
          </w:p>
        </w:tc>
        <w:tc>
          <w:tcPr>
            <w:tcW w:w="1890" w:type="dxa"/>
            <w:gridSpan w:val="2"/>
            <w:tcBorders>
              <w:top w:val="nil"/>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0.135</w:t>
            </w:r>
          </w:p>
        </w:tc>
        <w:tc>
          <w:tcPr>
            <w:tcW w:w="2070" w:type="dxa"/>
            <w:tcBorders>
              <w:top w:val="nil"/>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0.138</w:t>
            </w:r>
          </w:p>
        </w:tc>
        <w:tc>
          <w:tcPr>
            <w:tcW w:w="1800" w:type="dxa"/>
            <w:tcBorders>
              <w:top w:val="nil"/>
              <w:bottom w:val="nil"/>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3.7</w:t>
            </w:r>
          </w:p>
        </w:tc>
      </w:tr>
      <w:tr w:rsidR="00B65702" w:rsidRPr="00F75C16" w:rsidTr="00F63935">
        <w:trPr>
          <w:trHeight w:val="300"/>
        </w:trPr>
        <w:tc>
          <w:tcPr>
            <w:cnfStyle w:val="001000000000"/>
            <w:tcW w:w="1800" w:type="dxa"/>
            <w:tcBorders>
              <w:top w:val="nil"/>
              <w:bottom w:val="nil"/>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Min</w:t>
            </w:r>
          </w:p>
        </w:tc>
        <w:tc>
          <w:tcPr>
            <w:tcW w:w="1890" w:type="dxa"/>
            <w:gridSpan w:val="2"/>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0.284</w:t>
            </w:r>
          </w:p>
        </w:tc>
        <w:tc>
          <w:tcPr>
            <w:tcW w:w="2070" w:type="dxa"/>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-0.874</w:t>
            </w:r>
          </w:p>
        </w:tc>
        <w:tc>
          <w:tcPr>
            <w:tcW w:w="1800" w:type="dxa"/>
            <w:tcBorders>
              <w:top w:val="nil"/>
              <w:bottom w:val="nil"/>
            </w:tcBorders>
            <w:noWrap/>
            <w:hideMark/>
          </w:tcPr>
          <w:p w:rsidR="00B65702" w:rsidRPr="00CF1963" w:rsidRDefault="00B65702" w:rsidP="00F63935">
            <w:pPr>
              <w:jc w:val="right"/>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2.5</w:t>
            </w:r>
          </w:p>
        </w:tc>
      </w:tr>
      <w:tr w:rsidR="00B65702" w:rsidRPr="00F75C16" w:rsidTr="00F63935">
        <w:trPr>
          <w:cnfStyle w:val="000000100000"/>
          <w:trHeight w:val="300"/>
        </w:trPr>
        <w:tc>
          <w:tcPr>
            <w:cnfStyle w:val="001000000000"/>
            <w:tcW w:w="1800" w:type="dxa"/>
            <w:tcBorders>
              <w:top w:val="nil"/>
              <w:bottom w:val="single" w:sz="8" w:space="0" w:color="DDDDDD" w:themeColor="accent1"/>
            </w:tcBorders>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Max</w:t>
            </w:r>
          </w:p>
        </w:tc>
        <w:tc>
          <w:tcPr>
            <w:tcW w:w="1890" w:type="dxa"/>
            <w:gridSpan w:val="2"/>
            <w:tcBorders>
              <w:top w:val="nil"/>
              <w:bottom w:val="single" w:sz="8" w:space="0" w:color="DDDDDD" w:themeColor="accent1"/>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0.795</w:t>
            </w:r>
          </w:p>
        </w:tc>
        <w:tc>
          <w:tcPr>
            <w:tcW w:w="2070" w:type="dxa"/>
            <w:tcBorders>
              <w:top w:val="nil"/>
              <w:bottom w:val="single" w:sz="8" w:space="0" w:color="DDDDDD" w:themeColor="accent1"/>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-0.355</w:t>
            </w:r>
          </w:p>
        </w:tc>
        <w:tc>
          <w:tcPr>
            <w:tcW w:w="1800" w:type="dxa"/>
            <w:tcBorders>
              <w:top w:val="nil"/>
              <w:bottom w:val="single" w:sz="8" w:space="0" w:color="DDDDDD" w:themeColor="accent1"/>
            </w:tcBorders>
            <w:noWrap/>
            <w:hideMark/>
          </w:tcPr>
          <w:p w:rsidR="00B65702" w:rsidRPr="00CF1963" w:rsidRDefault="00B65702" w:rsidP="00F63935">
            <w:pPr>
              <w:jc w:val="right"/>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13.0</w:t>
            </w:r>
          </w:p>
        </w:tc>
      </w:tr>
    </w:tbl>
    <w:p w:rsidR="00B65702" w:rsidRDefault="00B65702" w:rsidP="00B65702">
      <w:pPr>
        <w:pStyle w:val="BodyText"/>
        <w:spacing w:line="360" w:lineRule="auto"/>
        <w:rPr>
          <w:rFonts w:ascii="Times New Roman" w:hAnsi="Times New Roman" w:cs="Times New Roman"/>
          <w:sz w:val="24"/>
          <w:szCs w:val="24"/>
        </w:rPr>
      </w:pPr>
    </w:p>
    <w:p w:rsidR="00480E64" w:rsidRPr="00480E64" w:rsidRDefault="00480E64" w:rsidP="00480E64"/>
    <w:p w:rsidR="00B65702" w:rsidRDefault="00B65702" w:rsidP="00E10C7E">
      <w:pPr>
        <w:pStyle w:val="Heading4"/>
        <w:rPr>
          <w:rFonts w:ascii="Calibri" w:hAnsi="Calibri"/>
        </w:rPr>
      </w:pPr>
      <w:bookmarkStart w:id="103" w:name="_Toc268669778"/>
      <w:r w:rsidRPr="00E10C7E">
        <w:rPr>
          <w:rFonts w:ascii="Calibri" w:hAnsi="Calibri"/>
        </w:rPr>
        <w:lastRenderedPageBreak/>
        <w:t>10.3</w:t>
      </w:r>
      <w:r w:rsidRPr="00E10C7E">
        <w:rPr>
          <w:rFonts w:ascii="Calibri" w:hAnsi="Calibri"/>
        </w:rPr>
        <w:tab/>
        <w:t>Income smoothing in the post-IFRS period</w:t>
      </w:r>
      <w:bookmarkEnd w:id="103"/>
    </w:p>
    <w:p w:rsidR="00CF28F7" w:rsidRDefault="00CF28F7" w:rsidP="00CF28F7">
      <w:pPr>
        <w:spacing w:line="360" w:lineRule="auto"/>
      </w:pPr>
    </w:p>
    <w:p w:rsidR="0018044E" w:rsidRDefault="0018044E" w:rsidP="00CF28F7">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Table </w:t>
      </w:r>
      <w:r w:rsidR="005F0ED7">
        <w:rPr>
          <w:rFonts w:ascii="Times New Roman" w:hAnsi="Times New Roman" w:cs="Times New Roman"/>
          <w:sz w:val="24"/>
          <w:szCs w:val="24"/>
        </w:rPr>
        <w:t>11</w:t>
      </w:r>
      <w:r w:rsidR="00480E64">
        <w:rPr>
          <w:rFonts w:ascii="Times New Roman" w:hAnsi="Times New Roman" w:cs="Times New Roman"/>
          <w:sz w:val="24"/>
          <w:szCs w:val="24"/>
        </w:rPr>
        <w:t xml:space="preserve"> contains the income smoothing var</w:t>
      </w:r>
      <w:r w:rsidR="00E819F6">
        <w:rPr>
          <w:rFonts w:ascii="Times New Roman" w:hAnsi="Times New Roman" w:cs="Times New Roman"/>
          <w:sz w:val="24"/>
          <w:szCs w:val="24"/>
        </w:rPr>
        <w:t>iables for the post-IFRS period. The variables are calculated by using the same formulas used in the first leg of this research.</w:t>
      </w:r>
      <w:r w:rsidR="00495F61">
        <w:rPr>
          <w:rFonts w:ascii="Times New Roman" w:hAnsi="Times New Roman" w:cs="Times New Roman"/>
          <w:sz w:val="24"/>
          <w:szCs w:val="24"/>
        </w:rPr>
        <w:t xml:space="preserve"> In the post-IFRS period Greece is the country with the highest aggregate income smoothing score, followed by Portugal and Spain.</w:t>
      </w:r>
      <w:r w:rsidR="00E92C6B">
        <w:rPr>
          <w:rFonts w:ascii="Times New Roman" w:hAnsi="Times New Roman" w:cs="Times New Roman"/>
          <w:sz w:val="24"/>
          <w:szCs w:val="24"/>
        </w:rPr>
        <w:t xml:space="preserve"> Low IS1 values indicate that income is smoothed. From table </w:t>
      </w:r>
      <w:r w:rsidR="004026AC">
        <w:rPr>
          <w:rFonts w:ascii="Times New Roman" w:hAnsi="Times New Roman" w:cs="Times New Roman"/>
          <w:sz w:val="24"/>
          <w:szCs w:val="24"/>
        </w:rPr>
        <w:t>1</w:t>
      </w:r>
      <w:r w:rsidR="005F0ED7">
        <w:rPr>
          <w:rFonts w:ascii="Times New Roman" w:hAnsi="Times New Roman" w:cs="Times New Roman"/>
          <w:sz w:val="24"/>
          <w:szCs w:val="24"/>
        </w:rPr>
        <w:t>1</w:t>
      </w:r>
      <w:r w:rsidR="00E92C6B">
        <w:rPr>
          <w:rFonts w:ascii="Times New Roman" w:hAnsi="Times New Roman" w:cs="Times New Roman"/>
          <w:sz w:val="24"/>
          <w:szCs w:val="24"/>
        </w:rPr>
        <w:t xml:space="preserve"> can be derived that in the post-IFRS period income is more likely to be smoothed in e.g. Portugal than Sweden. Large negative correlations between changes in firms’ accruals and cash flows (IS2) imply that income smoothing is more pervasive in e.g. Greece and Portugal than in Denmark and Sweden. </w:t>
      </w:r>
    </w:p>
    <w:p w:rsidR="004026AC" w:rsidRPr="0018044E" w:rsidRDefault="004026AC" w:rsidP="00CF28F7">
      <w:pPr>
        <w:spacing w:line="360" w:lineRule="auto"/>
        <w:contextualSpacing/>
        <w:rPr>
          <w:rFonts w:ascii="Times New Roman" w:hAnsi="Times New Roman" w:cs="Times New Roman"/>
          <w:sz w:val="24"/>
          <w:szCs w:val="24"/>
        </w:rPr>
      </w:pPr>
    </w:p>
    <w:p w:rsidR="00E10C7E" w:rsidRPr="00E10C7E" w:rsidRDefault="0018044E" w:rsidP="00E10C7E">
      <w:pPr>
        <w:rPr>
          <w:rFonts w:ascii="Times New Roman" w:hAnsi="Times New Roman" w:cs="Times New Roman"/>
          <w:i/>
          <w:sz w:val="24"/>
          <w:szCs w:val="24"/>
        </w:rPr>
      </w:pPr>
      <w:r>
        <w:rPr>
          <w:rFonts w:ascii="Times New Roman" w:hAnsi="Times New Roman" w:cs="Times New Roman"/>
          <w:i/>
          <w:sz w:val="24"/>
          <w:szCs w:val="24"/>
        </w:rPr>
        <w:t xml:space="preserve">Table </w:t>
      </w:r>
      <w:r w:rsidR="000B2927">
        <w:rPr>
          <w:rFonts w:ascii="Times New Roman" w:hAnsi="Times New Roman" w:cs="Times New Roman"/>
          <w:i/>
          <w:sz w:val="24"/>
          <w:szCs w:val="24"/>
        </w:rPr>
        <w:t>11</w:t>
      </w:r>
      <w:r w:rsidR="000B2927">
        <w:rPr>
          <w:rFonts w:ascii="Times New Roman" w:hAnsi="Times New Roman" w:cs="Times New Roman"/>
          <w:i/>
          <w:sz w:val="24"/>
          <w:szCs w:val="24"/>
        </w:rPr>
        <w:tab/>
        <w:t>Aggregate income smoothing score post-IFRS</w:t>
      </w:r>
      <w:r w:rsidR="002C3520">
        <w:rPr>
          <w:rFonts w:ascii="Times New Roman" w:hAnsi="Times New Roman" w:cs="Times New Roman"/>
          <w:i/>
          <w:sz w:val="24"/>
          <w:szCs w:val="24"/>
        </w:rPr>
        <w:t xml:space="preserve"> period</w:t>
      </w:r>
    </w:p>
    <w:tbl>
      <w:tblPr>
        <w:tblStyle w:val="LightShading-Accent11"/>
        <w:tblW w:w="6860" w:type="dxa"/>
        <w:tblInd w:w="1116" w:type="dxa"/>
        <w:tblLook w:val="04A0"/>
      </w:tblPr>
      <w:tblGrid>
        <w:gridCol w:w="1840"/>
        <w:gridCol w:w="1760"/>
        <w:gridCol w:w="1780"/>
        <w:gridCol w:w="1480"/>
      </w:tblGrid>
      <w:tr w:rsidR="00B65702" w:rsidRPr="00AE3107" w:rsidTr="00F63935">
        <w:trPr>
          <w:cnfStyle w:val="100000000000"/>
          <w:trHeight w:val="495"/>
        </w:trPr>
        <w:tc>
          <w:tcPr>
            <w:cnfStyle w:val="001000000000"/>
            <w:tcW w:w="1840" w:type="dxa"/>
            <w:noWrap/>
            <w:hideMark/>
          </w:tcPr>
          <w:p w:rsidR="00B65702" w:rsidRPr="00CF1963" w:rsidRDefault="00B65702" w:rsidP="00F63935">
            <w:pPr>
              <w:jc w:val="center"/>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Country</w:t>
            </w:r>
          </w:p>
        </w:tc>
        <w:tc>
          <w:tcPr>
            <w:tcW w:w="1760" w:type="dxa"/>
            <w:noWrap/>
            <w:hideMark/>
          </w:tcPr>
          <w:p w:rsidR="00B65702" w:rsidRPr="00CF1963" w:rsidRDefault="00B65702" w:rsidP="007A6CD6">
            <w:pPr>
              <w:jc w:val="center"/>
              <w:cnfStyle w:val="1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IS 1</w:t>
            </w:r>
          </w:p>
        </w:tc>
        <w:tc>
          <w:tcPr>
            <w:tcW w:w="1780" w:type="dxa"/>
            <w:noWrap/>
            <w:hideMark/>
          </w:tcPr>
          <w:p w:rsidR="00B65702" w:rsidRPr="00CF1963" w:rsidRDefault="00B65702" w:rsidP="007A6CD6">
            <w:pPr>
              <w:jc w:val="center"/>
              <w:cnfStyle w:val="1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IS 2</w:t>
            </w:r>
          </w:p>
        </w:tc>
        <w:tc>
          <w:tcPr>
            <w:tcW w:w="1480" w:type="dxa"/>
            <w:noWrap/>
            <w:hideMark/>
          </w:tcPr>
          <w:p w:rsidR="00B65702" w:rsidRPr="00CF1963" w:rsidRDefault="00B65702" w:rsidP="007A6CD6">
            <w:pPr>
              <w:jc w:val="center"/>
              <w:cnfStyle w:val="1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Aggregate IS</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jc w:val="center"/>
              <w:rPr>
                <w:rFonts w:ascii="Times New Roman" w:eastAsia="Times New Roman" w:hAnsi="Times New Roman" w:cs="Times New Roman"/>
                <w:color w:val="auto"/>
                <w:sz w:val="20"/>
                <w:szCs w:val="20"/>
              </w:rPr>
            </w:pP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w:t>
            </w:r>
            <w:r w:rsidR="007D4C1B" w:rsidRPr="00CF1963">
              <w:rPr>
                <w:rFonts w:ascii="Times New Roman" w:eastAsia="Times New Roman" w:hAnsi="Times New Roman" w:cs="Times New Roman"/>
                <w:b/>
                <w:bCs/>
                <w:color w:val="C00000"/>
                <w:sz w:val="20"/>
                <w:szCs w:val="20"/>
              </w:rPr>
              <w:t>5</w:t>
            </w:r>
            <w:r w:rsidRPr="00CF1963">
              <w:rPr>
                <w:rFonts w:ascii="Times New Roman" w:eastAsia="Times New Roman" w:hAnsi="Times New Roman" w:cs="Times New Roman"/>
                <w:b/>
                <w:bCs/>
                <w:color w:val="C00000"/>
                <w:sz w:val="20"/>
                <w:szCs w:val="20"/>
              </w:rPr>
              <w:t xml:space="preserve"> - 2008</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b/>
                <w:bCs/>
                <w:color w:val="C00000"/>
                <w:sz w:val="20"/>
                <w:szCs w:val="20"/>
              </w:rPr>
            </w:pPr>
            <w:r w:rsidRPr="00CF1963">
              <w:rPr>
                <w:rFonts w:ascii="Times New Roman" w:eastAsia="Times New Roman" w:hAnsi="Times New Roman" w:cs="Times New Roman"/>
                <w:b/>
                <w:bCs/>
                <w:color w:val="C00000"/>
                <w:sz w:val="20"/>
                <w:szCs w:val="20"/>
              </w:rPr>
              <w:t>200</w:t>
            </w:r>
            <w:r w:rsidR="007D4C1B" w:rsidRPr="00CF1963">
              <w:rPr>
                <w:rFonts w:ascii="Times New Roman" w:eastAsia="Times New Roman" w:hAnsi="Times New Roman" w:cs="Times New Roman"/>
                <w:b/>
                <w:bCs/>
                <w:color w:val="C00000"/>
                <w:sz w:val="20"/>
                <w:szCs w:val="20"/>
              </w:rPr>
              <w:t>5</w:t>
            </w:r>
            <w:r w:rsidRPr="00CF1963">
              <w:rPr>
                <w:rFonts w:ascii="Times New Roman" w:eastAsia="Times New Roman" w:hAnsi="Times New Roman" w:cs="Times New Roman"/>
                <w:b/>
                <w:bCs/>
                <w:color w:val="C00000"/>
                <w:sz w:val="20"/>
                <w:szCs w:val="20"/>
              </w:rPr>
              <w:t xml:space="preserve"> - 2008</w:t>
            </w:r>
          </w:p>
        </w:tc>
        <w:tc>
          <w:tcPr>
            <w:tcW w:w="1480" w:type="dxa"/>
            <w:noWrap/>
            <w:hideMark/>
          </w:tcPr>
          <w:p w:rsidR="00B65702" w:rsidRPr="00CF1963" w:rsidRDefault="007D4C1B" w:rsidP="007A6CD6">
            <w:pPr>
              <w:jc w:val="center"/>
              <w:cnfStyle w:val="000000100000"/>
              <w:rPr>
                <w:rFonts w:ascii="Times New Roman" w:eastAsia="Times New Roman" w:hAnsi="Times New Roman" w:cs="Times New Roman"/>
                <w:b/>
                <w:bCs/>
                <w:color w:val="auto"/>
                <w:sz w:val="20"/>
                <w:szCs w:val="20"/>
              </w:rPr>
            </w:pPr>
            <w:r w:rsidRPr="00CF1963">
              <w:rPr>
                <w:rFonts w:ascii="Times New Roman" w:eastAsia="Times New Roman" w:hAnsi="Times New Roman" w:cs="Times New Roman"/>
                <w:b/>
                <w:bCs/>
                <w:color w:val="C00000"/>
                <w:sz w:val="20"/>
                <w:szCs w:val="20"/>
              </w:rPr>
              <w:t>2005 - 2008</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Portugal</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0.376</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-0.879</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13</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Spain</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0.452</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-0.765</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12</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Greece</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0.375</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-0.942</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14</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Italy</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0.474</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-0.755</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10.5</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Germany</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0.514</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-0.621</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France</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0.495</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-0.640</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8</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Netherlands</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0.503</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-0.654</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8.5</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Sweden</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0.712</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-0.438</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1.5</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Belgium</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0.556</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-0.636</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United Kingdom</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0.627</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-0.598</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2.5</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Austria</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0.453</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-0.618</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7.5</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Finland</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0.568</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-0.641</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Denmark</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0.567</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-0.362</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3</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Ireland</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0.586</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-0.662</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6.5</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Mean</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0.519</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-0.658</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7.5</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Median</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0.509</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-0.641</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7.0</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Standard deviation</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0.093</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0.150</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3.8</w:t>
            </w:r>
          </w:p>
        </w:tc>
      </w:tr>
      <w:tr w:rsidR="00B65702" w:rsidRPr="00AE3107" w:rsidTr="00F63935">
        <w:trPr>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Min</w:t>
            </w:r>
          </w:p>
        </w:tc>
        <w:tc>
          <w:tcPr>
            <w:tcW w:w="176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0.375</w:t>
            </w:r>
          </w:p>
        </w:tc>
        <w:tc>
          <w:tcPr>
            <w:tcW w:w="17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-0.942</w:t>
            </w:r>
          </w:p>
        </w:tc>
        <w:tc>
          <w:tcPr>
            <w:tcW w:w="1480" w:type="dxa"/>
            <w:noWrap/>
            <w:hideMark/>
          </w:tcPr>
          <w:p w:rsidR="00B65702" w:rsidRPr="00CF1963" w:rsidRDefault="00B65702" w:rsidP="007A6CD6">
            <w:pPr>
              <w:jc w:val="center"/>
              <w:cnfStyle w:val="0000000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1.5</w:t>
            </w:r>
          </w:p>
        </w:tc>
      </w:tr>
      <w:tr w:rsidR="00B65702" w:rsidRPr="00AE3107" w:rsidTr="00F63935">
        <w:trPr>
          <w:cnfStyle w:val="000000100000"/>
          <w:trHeight w:val="300"/>
        </w:trPr>
        <w:tc>
          <w:tcPr>
            <w:cnfStyle w:val="001000000000"/>
            <w:tcW w:w="1840" w:type="dxa"/>
            <w:noWrap/>
            <w:hideMark/>
          </w:tcPr>
          <w:p w:rsidR="00B65702" w:rsidRPr="00CF1963" w:rsidRDefault="00B65702" w:rsidP="00F63935">
            <w:pPr>
              <w:rPr>
                <w:rFonts w:ascii="Times New Roman" w:eastAsia="Times New Roman" w:hAnsi="Times New Roman" w:cs="Times New Roman"/>
                <w:b w:val="0"/>
                <w:color w:val="000000"/>
                <w:sz w:val="20"/>
                <w:szCs w:val="20"/>
              </w:rPr>
            </w:pPr>
            <w:r w:rsidRPr="00CF1963">
              <w:rPr>
                <w:rFonts w:ascii="Times New Roman" w:eastAsia="Times New Roman" w:hAnsi="Times New Roman" w:cs="Times New Roman"/>
                <w:b w:val="0"/>
                <w:color w:val="000000"/>
                <w:sz w:val="20"/>
                <w:szCs w:val="20"/>
              </w:rPr>
              <w:t>Max</w:t>
            </w:r>
          </w:p>
        </w:tc>
        <w:tc>
          <w:tcPr>
            <w:tcW w:w="176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0.712</w:t>
            </w:r>
          </w:p>
        </w:tc>
        <w:tc>
          <w:tcPr>
            <w:tcW w:w="17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-0.362</w:t>
            </w:r>
          </w:p>
        </w:tc>
        <w:tc>
          <w:tcPr>
            <w:tcW w:w="1480" w:type="dxa"/>
            <w:noWrap/>
            <w:hideMark/>
          </w:tcPr>
          <w:p w:rsidR="00B65702" w:rsidRPr="00CF1963" w:rsidRDefault="00B65702" w:rsidP="007A6CD6">
            <w:pPr>
              <w:jc w:val="center"/>
              <w:cnfStyle w:val="000000100000"/>
              <w:rPr>
                <w:rFonts w:ascii="Times New Roman" w:eastAsia="Times New Roman" w:hAnsi="Times New Roman" w:cs="Times New Roman"/>
                <w:color w:val="000000"/>
                <w:sz w:val="20"/>
                <w:szCs w:val="20"/>
              </w:rPr>
            </w:pPr>
            <w:r w:rsidRPr="00CF1963">
              <w:rPr>
                <w:rFonts w:ascii="Times New Roman" w:eastAsia="Times New Roman" w:hAnsi="Times New Roman" w:cs="Times New Roman"/>
                <w:color w:val="000000"/>
                <w:sz w:val="20"/>
                <w:szCs w:val="20"/>
              </w:rPr>
              <w:t>14.0</w:t>
            </w:r>
          </w:p>
        </w:tc>
      </w:tr>
    </w:tbl>
    <w:p w:rsidR="00B65702" w:rsidRDefault="00B65702" w:rsidP="00B65702">
      <w:pPr>
        <w:pStyle w:val="BodyText"/>
        <w:spacing w:line="360" w:lineRule="auto"/>
        <w:ind w:right="-178"/>
        <w:rPr>
          <w:rFonts w:ascii="Times New Roman" w:hAnsi="Times New Roman" w:cs="Times New Roman"/>
          <w:sz w:val="24"/>
          <w:szCs w:val="24"/>
        </w:rPr>
      </w:pPr>
    </w:p>
    <w:p w:rsidR="007A6CD6" w:rsidRDefault="007A6CD6" w:rsidP="00B65702">
      <w:pPr>
        <w:pStyle w:val="BodyText"/>
        <w:spacing w:line="360" w:lineRule="auto"/>
        <w:ind w:right="-178"/>
        <w:rPr>
          <w:rFonts w:ascii="Times New Roman" w:hAnsi="Times New Roman" w:cs="Times New Roman"/>
          <w:sz w:val="24"/>
          <w:szCs w:val="24"/>
        </w:rPr>
      </w:pPr>
    </w:p>
    <w:p w:rsidR="007A6CD6" w:rsidRDefault="007A6CD6" w:rsidP="00B65702">
      <w:pPr>
        <w:pStyle w:val="BodyText"/>
        <w:spacing w:line="360" w:lineRule="auto"/>
        <w:ind w:right="-178"/>
        <w:rPr>
          <w:rFonts w:ascii="Times New Roman" w:hAnsi="Times New Roman" w:cs="Times New Roman"/>
          <w:sz w:val="24"/>
          <w:szCs w:val="24"/>
        </w:rPr>
      </w:pPr>
    </w:p>
    <w:p w:rsidR="00B65702" w:rsidRDefault="00B65702" w:rsidP="00C04338">
      <w:pPr>
        <w:pStyle w:val="Heading4"/>
        <w:rPr>
          <w:rFonts w:ascii="Calibri" w:hAnsi="Calibri"/>
        </w:rPr>
      </w:pPr>
      <w:bookmarkStart w:id="104" w:name="_Toc268669779"/>
      <w:r w:rsidRPr="00C04338">
        <w:rPr>
          <w:rFonts w:ascii="Calibri" w:hAnsi="Calibri"/>
        </w:rPr>
        <w:lastRenderedPageBreak/>
        <w:t>10.4</w:t>
      </w:r>
      <w:r w:rsidRPr="00C04338">
        <w:rPr>
          <w:rFonts w:ascii="Calibri" w:hAnsi="Calibri"/>
        </w:rPr>
        <w:tab/>
        <w:t>Statistical analysis</w:t>
      </w:r>
      <w:bookmarkEnd w:id="104"/>
    </w:p>
    <w:p w:rsidR="00C04338" w:rsidRPr="00C04338" w:rsidRDefault="00C04338" w:rsidP="00C04338"/>
    <w:p w:rsidR="00B65702" w:rsidRDefault="00B65702" w:rsidP="00B65702">
      <w:pPr>
        <w:pStyle w:val="BodyText"/>
        <w:spacing w:line="360" w:lineRule="auto"/>
        <w:ind w:right="-178"/>
        <w:rPr>
          <w:rFonts w:ascii="Times New Roman" w:hAnsi="Times New Roman" w:cs="Times New Roman"/>
          <w:sz w:val="24"/>
          <w:szCs w:val="24"/>
        </w:rPr>
      </w:pPr>
      <w:r>
        <w:rPr>
          <w:rFonts w:ascii="Times New Roman" w:hAnsi="Times New Roman" w:cs="Times New Roman"/>
          <w:sz w:val="24"/>
          <w:szCs w:val="24"/>
        </w:rPr>
        <w:t>This subsection will focus on the statistical analysis. Similar to the multiple regression used in the first leg of this research, the dependent variable is the aggregate income smoothing score and the independent variables are the three investor protection measures. After having studied the results of the first part of the research, it became clear that there was no significant relationship between income smoothing and the investor protection variables. So, it is only rational to assume that there will be no significant relationship between the dependent and independent variables in this part of the research. Nonetheless, I will leave my expectations and assumptions for what they are and proceed with the statistical analysis. I will start off by looking at the correlation matrixes for both the pre- and post-IFRS period.</w:t>
      </w:r>
    </w:p>
    <w:p w:rsidR="00B65702" w:rsidRDefault="00B65702" w:rsidP="00C04338">
      <w:pPr>
        <w:pStyle w:val="Heading4"/>
        <w:rPr>
          <w:rFonts w:ascii="Calibri" w:hAnsi="Calibri"/>
        </w:rPr>
      </w:pPr>
      <w:bookmarkStart w:id="105" w:name="_Toc268669780"/>
      <w:r w:rsidRPr="00C04338">
        <w:rPr>
          <w:rFonts w:ascii="Calibri" w:hAnsi="Calibri"/>
        </w:rPr>
        <w:t>10.4.1</w:t>
      </w:r>
      <w:r w:rsidRPr="00C04338">
        <w:rPr>
          <w:rFonts w:ascii="Calibri" w:hAnsi="Calibri"/>
        </w:rPr>
        <w:tab/>
        <w:t>Correlation matrix pre-IFRS period</w:t>
      </w:r>
      <w:bookmarkEnd w:id="105"/>
    </w:p>
    <w:p w:rsidR="00C04338" w:rsidRPr="00C04338" w:rsidRDefault="00C04338" w:rsidP="00C04338"/>
    <w:p w:rsidR="00B65702" w:rsidRDefault="00B65702" w:rsidP="00B65702">
      <w:pPr>
        <w:pStyle w:val="BodyText"/>
        <w:spacing w:line="360" w:lineRule="auto"/>
        <w:ind w:right="-178"/>
        <w:rPr>
          <w:rFonts w:ascii="Times New Roman" w:hAnsi="Times New Roman" w:cs="Times New Roman"/>
          <w:sz w:val="24"/>
          <w:szCs w:val="24"/>
        </w:rPr>
      </w:pPr>
      <w:r>
        <w:rPr>
          <w:rFonts w:ascii="Times New Roman" w:hAnsi="Times New Roman" w:cs="Times New Roman"/>
          <w:sz w:val="24"/>
          <w:szCs w:val="24"/>
        </w:rPr>
        <w:t xml:space="preserve">The correlation matrix in appendix </w:t>
      </w:r>
      <w:r w:rsidR="00770738">
        <w:rPr>
          <w:rFonts w:ascii="Times New Roman" w:hAnsi="Times New Roman" w:cs="Times New Roman"/>
          <w:sz w:val="24"/>
          <w:szCs w:val="24"/>
        </w:rPr>
        <w:t>H</w:t>
      </w:r>
      <w:r>
        <w:rPr>
          <w:rFonts w:ascii="Times New Roman" w:hAnsi="Times New Roman" w:cs="Times New Roman"/>
          <w:sz w:val="24"/>
          <w:szCs w:val="24"/>
        </w:rPr>
        <w:t xml:space="preserve"> presents the Pearson correlations between every pair of variables as well as the one-tailed significance levels</w:t>
      </w:r>
      <w:r w:rsidR="00EC71CD">
        <w:rPr>
          <w:rFonts w:ascii="Times New Roman" w:hAnsi="Times New Roman" w:cs="Times New Roman"/>
          <w:sz w:val="24"/>
          <w:szCs w:val="24"/>
        </w:rPr>
        <w:t xml:space="preserve"> in the pre-IFRS period</w:t>
      </w:r>
      <w:r>
        <w:rPr>
          <w:rFonts w:ascii="Times New Roman" w:hAnsi="Times New Roman" w:cs="Times New Roman"/>
          <w:sz w:val="24"/>
          <w:szCs w:val="24"/>
        </w:rPr>
        <w:t>. It shows that there is a negative correlation between</w:t>
      </w:r>
      <w:r w:rsidR="00923CFE">
        <w:rPr>
          <w:rFonts w:ascii="Times New Roman" w:hAnsi="Times New Roman" w:cs="Times New Roman"/>
          <w:sz w:val="24"/>
          <w:szCs w:val="24"/>
        </w:rPr>
        <w:t xml:space="preserve"> the aggregate income smoothing score and </w:t>
      </w:r>
      <w:r>
        <w:rPr>
          <w:rFonts w:ascii="Times New Roman" w:hAnsi="Times New Roman" w:cs="Times New Roman"/>
          <w:sz w:val="24"/>
          <w:szCs w:val="24"/>
        </w:rPr>
        <w:t xml:space="preserve">the ex ante private control of self-dealing index </w:t>
      </w:r>
      <w:r w:rsidR="00923CFE">
        <w:rPr>
          <w:rFonts w:ascii="Times New Roman" w:hAnsi="Times New Roman" w:cs="Times New Roman"/>
          <w:sz w:val="24"/>
          <w:szCs w:val="24"/>
        </w:rPr>
        <w:t>as well as with</w:t>
      </w:r>
      <w:r>
        <w:rPr>
          <w:rFonts w:ascii="Times New Roman" w:hAnsi="Times New Roman" w:cs="Times New Roman"/>
          <w:sz w:val="24"/>
          <w:szCs w:val="24"/>
        </w:rPr>
        <w:t xml:space="preserve"> the ex post private control of self-dealing. These correlations however are </w:t>
      </w:r>
      <w:r>
        <w:rPr>
          <w:rFonts w:ascii="Times New Roman" w:hAnsi="Times New Roman" w:cs="Times New Roman"/>
          <w:i/>
          <w:sz w:val="24"/>
          <w:szCs w:val="24"/>
        </w:rPr>
        <w:t xml:space="preserve">not </w:t>
      </w:r>
      <w:r>
        <w:rPr>
          <w:rFonts w:ascii="Times New Roman" w:hAnsi="Times New Roman" w:cs="Times New Roman"/>
          <w:sz w:val="24"/>
          <w:szCs w:val="24"/>
        </w:rPr>
        <w:t xml:space="preserve">significant and neither is the correlation between public enforcement and the aggregate income smoothing score. </w:t>
      </w:r>
      <w:r w:rsidR="002548E9">
        <w:rPr>
          <w:rFonts w:ascii="Times New Roman" w:hAnsi="Times New Roman" w:cs="Times New Roman"/>
          <w:sz w:val="24"/>
          <w:szCs w:val="24"/>
        </w:rPr>
        <w:t xml:space="preserve">So, I cannot say that these variables will predict the level of income smoothing in a country. </w:t>
      </w:r>
      <w:r w:rsidR="006C1653">
        <w:rPr>
          <w:rFonts w:ascii="Times New Roman" w:hAnsi="Times New Roman" w:cs="Times New Roman"/>
          <w:sz w:val="24"/>
          <w:szCs w:val="24"/>
        </w:rPr>
        <w:t>The table also shows that there is no multicollinearity; there are no correlations higher than 0.9</w:t>
      </w:r>
    </w:p>
    <w:p w:rsidR="00B65702" w:rsidRDefault="00B65702" w:rsidP="00C04338">
      <w:pPr>
        <w:pStyle w:val="Heading4"/>
        <w:rPr>
          <w:rFonts w:ascii="Calibri" w:hAnsi="Calibri"/>
        </w:rPr>
      </w:pPr>
      <w:bookmarkStart w:id="106" w:name="_Toc268669781"/>
      <w:r w:rsidRPr="00C04338">
        <w:rPr>
          <w:rFonts w:ascii="Calibri" w:hAnsi="Calibri"/>
        </w:rPr>
        <w:t>10.4.</w:t>
      </w:r>
      <w:r w:rsidR="003A7F6D">
        <w:rPr>
          <w:rFonts w:ascii="Calibri" w:hAnsi="Calibri"/>
        </w:rPr>
        <w:t>2</w:t>
      </w:r>
      <w:r w:rsidRPr="00C04338">
        <w:rPr>
          <w:rFonts w:ascii="Calibri" w:hAnsi="Calibri"/>
        </w:rPr>
        <w:tab/>
        <w:t>Regression analysis pre-IFRS period</w:t>
      </w:r>
      <w:bookmarkEnd w:id="106"/>
    </w:p>
    <w:p w:rsidR="00C04338" w:rsidRPr="00C04338" w:rsidRDefault="00C04338" w:rsidP="00C04338"/>
    <w:p w:rsidR="00B65702" w:rsidRDefault="00B65702" w:rsidP="00B65702">
      <w:pPr>
        <w:pStyle w:val="BodyText"/>
        <w:spacing w:line="360" w:lineRule="auto"/>
        <w:rPr>
          <w:rFonts w:ascii="Times New Roman" w:hAnsi="Times New Roman" w:cs="Times New Roman"/>
          <w:sz w:val="24"/>
          <w:szCs w:val="24"/>
        </w:rPr>
      </w:pPr>
      <w:r>
        <w:rPr>
          <w:rFonts w:ascii="Times New Roman" w:hAnsi="Times New Roman" w:cs="Times New Roman"/>
          <w:sz w:val="24"/>
          <w:szCs w:val="24"/>
        </w:rPr>
        <w:t xml:space="preserve">In addition to the relationship discussed earlier a regression analysis is performed to establish whether or not income smoothing in the pre-IFRS period is influenced by the level of investor protection in a country. Once again, I used a hierarchical multiple regression, whereby the ex ante and ex post private control of self-dealing have been entered first. </w:t>
      </w:r>
      <w:r w:rsidR="007A443B">
        <w:rPr>
          <w:rFonts w:ascii="Times New Roman" w:hAnsi="Times New Roman" w:cs="Times New Roman"/>
          <w:sz w:val="24"/>
          <w:szCs w:val="24"/>
        </w:rPr>
        <w:t xml:space="preserve"> The model summary in appendix </w:t>
      </w:r>
      <w:r w:rsidR="00770738">
        <w:rPr>
          <w:rFonts w:ascii="Times New Roman" w:hAnsi="Times New Roman" w:cs="Times New Roman"/>
          <w:sz w:val="24"/>
          <w:szCs w:val="24"/>
        </w:rPr>
        <w:t>H</w:t>
      </w:r>
      <w:r w:rsidR="007A443B">
        <w:rPr>
          <w:rFonts w:ascii="Times New Roman" w:hAnsi="Times New Roman" w:cs="Times New Roman"/>
          <w:sz w:val="24"/>
          <w:szCs w:val="24"/>
        </w:rPr>
        <w:t xml:space="preserve"> shows  values of the multiple correlation coefficient between aggregate income smoothing and the ex ante and ex post private control of self-dealing indexes</w:t>
      </w:r>
      <w:r w:rsidR="00685DE6">
        <w:rPr>
          <w:rFonts w:ascii="Times New Roman" w:hAnsi="Times New Roman" w:cs="Times New Roman"/>
          <w:sz w:val="24"/>
          <w:szCs w:val="24"/>
        </w:rPr>
        <w:t xml:space="preserve"> of 0.390, which is neither high or low. </w:t>
      </w:r>
      <w:r w:rsidR="00A02098">
        <w:rPr>
          <w:rFonts w:ascii="Times New Roman" w:hAnsi="Times New Roman" w:cs="Times New Roman"/>
          <w:sz w:val="24"/>
          <w:szCs w:val="24"/>
        </w:rPr>
        <w:t xml:space="preserve">The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sidR="00A02098">
        <w:rPr>
          <w:rFonts w:ascii="Times New Roman" w:hAnsi="Times New Roman" w:cs="Times New Roman"/>
          <w:sz w:val="24"/>
          <w:szCs w:val="24"/>
        </w:rPr>
        <w:t xml:space="preserve"> value indicates that only 15.2% of the variability in income smoothing is accounted for by these two predictors. When the third investor protection variable is entered into the model the </w:t>
      </w:r>
      <m:oMath>
        <m:sSup>
          <m:sSupPr>
            <m:ctrlPr>
              <w:rPr>
                <w:rFonts w:ascii="Cambria Math" w:hAnsi="Cambria Math" w:cs="Times New Roman"/>
                <w:i/>
                <w:sz w:val="24"/>
                <w:szCs w:val="24"/>
              </w:rPr>
            </m:ctrlPr>
          </m:sSupPr>
          <m:e>
            <m:r>
              <w:rPr>
                <w:rFonts w:ascii="Cambria Math" w:hAnsi="Cambria Math" w:cs="Times New Roman"/>
                <w:sz w:val="24"/>
                <w:szCs w:val="24"/>
              </w:rPr>
              <m:t>R</m:t>
            </m:r>
          </m:e>
          <m:sup>
            <m:r>
              <w:rPr>
                <w:rFonts w:ascii="Cambria Math" w:hAnsi="Cambria Math" w:cs="Times New Roman"/>
                <w:sz w:val="24"/>
                <w:szCs w:val="24"/>
              </w:rPr>
              <m:t>2</m:t>
            </m:r>
          </m:sup>
        </m:sSup>
      </m:oMath>
      <w:r w:rsidR="00A02098">
        <w:rPr>
          <w:rFonts w:ascii="Times New Roman" w:hAnsi="Times New Roman" w:cs="Times New Roman"/>
          <w:sz w:val="24"/>
          <w:szCs w:val="24"/>
        </w:rPr>
        <w:t xml:space="preserve"> value increases to 18.3%. This means that 81.7% is not explained by these three </w:t>
      </w:r>
      <w:r w:rsidR="00A02098">
        <w:rPr>
          <w:rFonts w:ascii="Times New Roman" w:hAnsi="Times New Roman" w:cs="Times New Roman"/>
          <w:sz w:val="24"/>
          <w:szCs w:val="24"/>
        </w:rPr>
        <w:lastRenderedPageBreak/>
        <w:t>variables. Thus there are other variables that have an influence on income smoothing occurrence.</w:t>
      </w:r>
    </w:p>
    <w:p w:rsidR="00AE64BA" w:rsidRDefault="00AE64BA" w:rsidP="005F61ED">
      <w:pPr>
        <w:pStyle w:val="Heading4"/>
        <w:spacing w:line="360" w:lineRule="auto"/>
        <w:contextualSpacing/>
        <w:rPr>
          <w:rFonts w:ascii="Calibri" w:hAnsi="Calibri"/>
        </w:rPr>
      </w:pPr>
    </w:p>
    <w:p w:rsidR="003A7F6D" w:rsidRPr="00C04338" w:rsidRDefault="003A7F6D" w:rsidP="005F61ED">
      <w:pPr>
        <w:pStyle w:val="Heading4"/>
        <w:spacing w:line="360" w:lineRule="auto"/>
        <w:contextualSpacing/>
        <w:rPr>
          <w:rFonts w:ascii="Calibri" w:hAnsi="Calibri"/>
        </w:rPr>
      </w:pPr>
      <w:bookmarkStart w:id="107" w:name="_Toc268669782"/>
      <w:r>
        <w:rPr>
          <w:rFonts w:ascii="Calibri" w:hAnsi="Calibri"/>
        </w:rPr>
        <w:t>10.4.3</w:t>
      </w:r>
      <w:r w:rsidRPr="00C04338">
        <w:rPr>
          <w:rFonts w:ascii="Calibri" w:hAnsi="Calibri"/>
        </w:rPr>
        <w:tab/>
        <w:t>Correlation matrix post-IFRS period</w:t>
      </w:r>
      <w:bookmarkEnd w:id="107"/>
    </w:p>
    <w:p w:rsidR="003A7F6D" w:rsidRDefault="003A7F6D" w:rsidP="005F61ED">
      <w:pPr>
        <w:pStyle w:val="BodyText"/>
        <w:spacing w:line="360" w:lineRule="auto"/>
        <w:contextualSpacing/>
        <w:rPr>
          <w:rFonts w:ascii="Times New Roman" w:hAnsi="Times New Roman" w:cs="Times New Roman"/>
          <w:sz w:val="24"/>
          <w:szCs w:val="24"/>
        </w:rPr>
      </w:pPr>
    </w:p>
    <w:p w:rsidR="008B0036" w:rsidRDefault="00EC71CD" w:rsidP="005F61ED">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Appendix </w:t>
      </w:r>
      <w:r w:rsidR="00770738">
        <w:rPr>
          <w:rFonts w:ascii="Times New Roman" w:hAnsi="Times New Roman" w:cs="Times New Roman"/>
          <w:sz w:val="24"/>
          <w:szCs w:val="24"/>
        </w:rPr>
        <w:t>I</w:t>
      </w:r>
      <w:r>
        <w:rPr>
          <w:rFonts w:ascii="Times New Roman" w:hAnsi="Times New Roman" w:cs="Times New Roman"/>
          <w:sz w:val="24"/>
          <w:szCs w:val="24"/>
        </w:rPr>
        <w:t xml:space="preserve"> shows the correlation matrix for the post-IFRS period. As you can see there is a negative correlation between aggregate income smoothing score and the ex ante private control of self-dealing index. There is also a negative correlation between the aggregate income smoothing score and the ex post private control of self-dealing index. These negative correlations are in accordance with my expectations; a higher level of investor protection causes a decrease in income smoothing. There is a problem however, the correlations are not significant. Thus, the predictors do not predict the dependent variable.</w:t>
      </w:r>
    </w:p>
    <w:p w:rsidR="005F61ED" w:rsidRDefault="005F61ED" w:rsidP="005F61ED">
      <w:pPr>
        <w:pStyle w:val="Heading4"/>
        <w:spacing w:line="360" w:lineRule="auto"/>
        <w:contextualSpacing/>
        <w:rPr>
          <w:rFonts w:ascii="Calibri" w:hAnsi="Calibri"/>
        </w:rPr>
      </w:pPr>
    </w:p>
    <w:p w:rsidR="00B65702" w:rsidRDefault="00B65702" w:rsidP="005F61ED">
      <w:pPr>
        <w:pStyle w:val="Heading4"/>
        <w:spacing w:line="360" w:lineRule="auto"/>
        <w:contextualSpacing/>
        <w:rPr>
          <w:rFonts w:ascii="Calibri" w:hAnsi="Calibri"/>
        </w:rPr>
      </w:pPr>
      <w:bookmarkStart w:id="108" w:name="_Toc268669783"/>
      <w:r w:rsidRPr="00C04338">
        <w:rPr>
          <w:rFonts w:ascii="Calibri" w:hAnsi="Calibri"/>
        </w:rPr>
        <w:t>10.4.4</w:t>
      </w:r>
      <w:r w:rsidRPr="00C04338">
        <w:rPr>
          <w:rFonts w:ascii="Calibri" w:hAnsi="Calibri"/>
        </w:rPr>
        <w:tab/>
        <w:t>Regression analysis post-IFRS period</w:t>
      </w:r>
      <w:bookmarkEnd w:id="108"/>
    </w:p>
    <w:p w:rsidR="005F61ED" w:rsidRDefault="005F61ED" w:rsidP="005F61ED">
      <w:pPr>
        <w:spacing w:line="360" w:lineRule="auto"/>
        <w:contextualSpacing/>
        <w:rPr>
          <w:rFonts w:ascii="Times New Roman" w:hAnsi="Times New Roman" w:cs="Times New Roman"/>
          <w:sz w:val="24"/>
          <w:szCs w:val="24"/>
        </w:rPr>
      </w:pPr>
    </w:p>
    <w:p w:rsidR="005F61ED" w:rsidRPr="005F61ED" w:rsidRDefault="005F61ED" w:rsidP="005F61ED">
      <w:pPr>
        <w:spacing w:line="360" w:lineRule="auto"/>
        <w:contextualSpacing/>
        <w:rPr>
          <w:rFonts w:ascii="Times New Roman" w:hAnsi="Times New Roman" w:cs="Times New Roman"/>
          <w:sz w:val="24"/>
          <w:szCs w:val="24"/>
        </w:rPr>
      </w:pPr>
      <w:r>
        <w:rPr>
          <w:rFonts w:ascii="Times New Roman" w:hAnsi="Times New Roman" w:cs="Times New Roman"/>
          <w:sz w:val="24"/>
          <w:szCs w:val="24"/>
        </w:rPr>
        <w:t>The statistical analysis will continue with a hierarchical regression analysis. The model summary of this multiple regres</w:t>
      </w:r>
      <w:r w:rsidR="002C16C9">
        <w:rPr>
          <w:rFonts w:ascii="Times New Roman" w:hAnsi="Times New Roman" w:cs="Times New Roman"/>
          <w:sz w:val="24"/>
          <w:szCs w:val="24"/>
        </w:rPr>
        <w:t xml:space="preserve">sion is presented in appendix </w:t>
      </w:r>
      <w:r w:rsidR="00770738">
        <w:rPr>
          <w:rFonts w:ascii="Times New Roman" w:hAnsi="Times New Roman" w:cs="Times New Roman"/>
          <w:sz w:val="24"/>
          <w:szCs w:val="24"/>
        </w:rPr>
        <w:t>I</w:t>
      </w:r>
      <w:r w:rsidR="002C16C9">
        <w:rPr>
          <w:rFonts w:ascii="Times New Roman" w:hAnsi="Times New Roman" w:cs="Times New Roman"/>
          <w:sz w:val="24"/>
          <w:szCs w:val="24"/>
        </w:rPr>
        <w:t xml:space="preserve"> and shows that 16.7% of the variation in income smoothing can be explained by the ex ante and ex post private control of self-dealing indexes. When the third variable is entered into the model this percentage increases to 18.3%, so the public enforcement index accounts for an additional 1.6% of the variation in income smoothing. The three predictors account for a relatively low </w:t>
      </w:r>
      <w:r w:rsidR="00950633">
        <w:rPr>
          <w:rFonts w:ascii="Times New Roman" w:hAnsi="Times New Roman" w:cs="Times New Roman"/>
          <w:sz w:val="24"/>
          <w:szCs w:val="24"/>
        </w:rPr>
        <w:t>percentage</w:t>
      </w:r>
      <w:r w:rsidR="002C16C9">
        <w:rPr>
          <w:rFonts w:ascii="Times New Roman" w:hAnsi="Times New Roman" w:cs="Times New Roman"/>
          <w:sz w:val="24"/>
          <w:szCs w:val="24"/>
        </w:rPr>
        <w:t xml:space="preserve"> of the variability in income smoothing. This means that there are other variables that have an influence of the occurrence of income smoothing.</w:t>
      </w:r>
    </w:p>
    <w:p w:rsidR="00C62C54" w:rsidRDefault="00C62C54" w:rsidP="005F61ED">
      <w:pPr>
        <w:pStyle w:val="Heading4"/>
        <w:spacing w:line="360" w:lineRule="auto"/>
        <w:contextualSpacing/>
        <w:rPr>
          <w:rFonts w:ascii="Calibri" w:hAnsi="Calibri"/>
        </w:rPr>
      </w:pPr>
    </w:p>
    <w:p w:rsidR="00B65702" w:rsidRDefault="00642F1B" w:rsidP="005F61ED">
      <w:pPr>
        <w:pStyle w:val="Heading4"/>
        <w:spacing w:line="360" w:lineRule="auto"/>
        <w:contextualSpacing/>
        <w:rPr>
          <w:rFonts w:ascii="Calibri" w:hAnsi="Calibri"/>
        </w:rPr>
      </w:pPr>
      <w:bookmarkStart w:id="109" w:name="_Toc268669784"/>
      <w:r w:rsidRPr="00642F1B">
        <w:rPr>
          <w:rFonts w:ascii="Calibri" w:hAnsi="Calibri"/>
        </w:rPr>
        <w:t>10.5</w:t>
      </w:r>
      <w:r w:rsidRPr="00642F1B">
        <w:rPr>
          <w:rFonts w:ascii="Calibri" w:hAnsi="Calibri"/>
        </w:rPr>
        <w:tab/>
        <w:t>Results and Conclusions</w:t>
      </w:r>
      <w:bookmarkEnd w:id="109"/>
    </w:p>
    <w:p w:rsidR="00642F1B" w:rsidRDefault="00642F1B" w:rsidP="005F61ED">
      <w:pPr>
        <w:spacing w:line="360" w:lineRule="auto"/>
        <w:contextualSpacing/>
      </w:pPr>
    </w:p>
    <w:p w:rsidR="00AD7667" w:rsidRDefault="00597A6A" w:rsidP="005F61ED">
      <w:pPr>
        <w:spacing w:line="360" w:lineRule="auto"/>
        <w:contextualSpacing/>
        <w:rPr>
          <w:rFonts w:ascii="Times New Roman" w:hAnsi="Times New Roman" w:cs="Times New Roman"/>
          <w:sz w:val="24"/>
          <w:szCs w:val="24"/>
        </w:rPr>
      </w:pPr>
      <w:r>
        <w:rPr>
          <w:rFonts w:ascii="Times New Roman" w:hAnsi="Times New Roman" w:cs="Times New Roman"/>
          <w:sz w:val="24"/>
          <w:szCs w:val="24"/>
        </w:rPr>
        <w:t>Earlier on it was mentioned that several researchers have investigated the implementation of IFRS on the occurrence of income smoothing. The expected outcome of IFRS adoption was a decrease in information asymmetry as well as a decrease in earnings management e.g. income smoothing. These expectations were formed because of the fact that IFRS are more precise and they admit a limited number of options; principles-based standards were implemented and the number of accounting alternatives was limited.</w:t>
      </w:r>
      <w:r w:rsidR="00C304B2">
        <w:rPr>
          <w:rFonts w:ascii="Times New Roman" w:hAnsi="Times New Roman" w:cs="Times New Roman"/>
          <w:sz w:val="24"/>
          <w:szCs w:val="24"/>
        </w:rPr>
        <w:t xml:space="preserve"> However, the </w:t>
      </w:r>
      <w:r w:rsidR="00C304B2">
        <w:rPr>
          <w:rFonts w:ascii="Times New Roman" w:hAnsi="Times New Roman" w:cs="Times New Roman"/>
          <w:sz w:val="24"/>
          <w:szCs w:val="24"/>
        </w:rPr>
        <w:lastRenderedPageBreak/>
        <w:t>researchers did not have one unanimous result. Paananen and Lin (2008)</w:t>
      </w:r>
      <w:r w:rsidR="00BE324E">
        <w:rPr>
          <w:rFonts w:ascii="Times New Roman" w:hAnsi="Times New Roman" w:cs="Times New Roman"/>
          <w:sz w:val="24"/>
          <w:szCs w:val="24"/>
        </w:rPr>
        <w:t xml:space="preserve"> </w:t>
      </w:r>
      <w:r w:rsidR="00C304B2">
        <w:rPr>
          <w:rFonts w:ascii="Times New Roman" w:hAnsi="Times New Roman" w:cs="Times New Roman"/>
          <w:sz w:val="24"/>
          <w:szCs w:val="24"/>
        </w:rPr>
        <w:t xml:space="preserve">and Barth et al. (2008) </w:t>
      </w:r>
      <w:r w:rsidR="00BE324E">
        <w:rPr>
          <w:rFonts w:ascii="Times New Roman" w:hAnsi="Times New Roman" w:cs="Times New Roman"/>
          <w:sz w:val="24"/>
          <w:szCs w:val="24"/>
        </w:rPr>
        <w:t xml:space="preserve">for example both </w:t>
      </w:r>
      <w:r w:rsidR="00C304B2">
        <w:rPr>
          <w:rFonts w:ascii="Times New Roman" w:hAnsi="Times New Roman" w:cs="Times New Roman"/>
          <w:sz w:val="24"/>
          <w:szCs w:val="24"/>
        </w:rPr>
        <w:t xml:space="preserve">had different results. Therefore it seemed interesting to me to once again examine the result of IFRS implementation in the pre- and post-IFRS period. </w:t>
      </w:r>
    </w:p>
    <w:p w:rsidR="0076247B" w:rsidRDefault="0076247B" w:rsidP="005F61ED">
      <w:pPr>
        <w:spacing w:line="360" w:lineRule="auto"/>
        <w:contextualSpacing/>
        <w:rPr>
          <w:rFonts w:ascii="Times New Roman" w:hAnsi="Times New Roman" w:cs="Times New Roman"/>
          <w:sz w:val="24"/>
          <w:szCs w:val="24"/>
        </w:rPr>
      </w:pPr>
      <w:r>
        <w:rPr>
          <w:rFonts w:ascii="Times New Roman" w:hAnsi="Times New Roman" w:cs="Times New Roman"/>
          <w:sz w:val="24"/>
          <w:szCs w:val="24"/>
        </w:rPr>
        <w:t>But after having performed the first leg of this research it became clear that the predictors were not able to predict the occurrence of income smoothing. So I suspected that the second leg of this research would not have significant results. Unfortunately, this was indeed the case.</w:t>
      </w:r>
    </w:p>
    <w:p w:rsidR="00CC1D47" w:rsidRDefault="00CC1D47" w:rsidP="005F61ED">
      <w:pPr>
        <w:spacing w:line="360" w:lineRule="auto"/>
        <w:contextualSpacing/>
        <w:rPr>
          <w:rFonts w:ascii="Times New Roman" w:hAnsi="Times New Roman" w:cs="Times New Roman"/>
          <w:sz w:val="24"/>
          <w:szCs w:val="24"/>
        </w:rPr>
      </w:pPr>
    </w:p>
    <w:p w:rsidR="0076247B" w:rsidRPr="00597A6A" w:rsidRDefault="00531A0B" w:rsidP="005F61ED">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correlation matrix in appendix </w:t>
      </w:r>
      <w:r w:rsidR="00770738">
        <w:rPr>
          <w:rFonts w:ascii="Times New Roman" w:hAnsi="Times New Roman" w:cs="Times New Roman"/>
          <w:sz w:val="24"/>
          <w:szCs w:val="24"/>
        </w:rPr>
        <w:t>H</w:t>
      </w:r>
      <w:r>
        <w:rPr>
          <w:rFonts w:ascii="Times New Roman" w:hAnsi="Times New Roman" w:cs="Times New Roman"/>
          <w:sz w:val="24"/>
          <w:szCs w:val="24"/>
        </w:rPr>
        <w:t xml:space="preserve"> showed that i</w:t>
      </w:r>
      <w:r w:rsidR="0076247B">
        <w:rPr>
          <w:rFonts w:ascii="Times New Roman" w:hAnsi="Times New Roman" w:cs="Times New Roman"/>
          <w:sz w:val="24"/>
          <w:szCs w:val="24"/>
        </w:rPr>
        <w:t>n the pre-IFRS period</w:t>
      </w:r>
      <w:r>
        <w:rPr>
          <w:rFonts w:ascii="Times New Roman" w:hAnsi="Times New Roman" w:cs="Times New Roman"/>
          <w:sz w:val="24"/>
          <w:szCs w:val="24"/>
        </w:rPr>
        <w:t xml:space="preserve"> there is a negative relationship between the aggregate income smoothing score and both the indexes for ex ante and ex post private control of self-dealing. This was in accordance with my expectations. The third variable, public enforcement, however, has an positive correlation with income smoothing, which implies that as public enforcement increases the level of income smoothing increases as well. All three correlations are invalid, since none of them are significant.  </w:t>
      </w:r>
      <w:r w:rsidR="001A7532" w:rsidRPr="001A7532">
        <w:rPr>
          <w:rFonts w:ascii="Times New Roman" w:hAnsi="Times New Roman" w:cs="Times New Roman"/>
          <w:i/>
          <w:sz w:val="24"/>
          <w:szCs w:val="24"/>
        </w:rPr>
        <w:t xml:space="preserve">The fourth hypothesis </w:t>
      </w:r>
      <w:r w:rsidR="00AE64BA" w:rsidRPr="001A7532">
        <w:rPr>
          <w:rFonts w:ascii="Times New Roman" w:hAnsi="Times New Roman" w:cs="Times New Roman"/>
          <w:i/>
          <w:sz w:val="24"/>
          <w:szCs w:val="24"/>
        </w:rPr>
        <w:t>can</w:t>
      </w:r>
      <w:r w:rsidR="00AE64BA">
        <w:rPr>
          <w:rFonts w:ascii="Times New Roman" w:hAnsi="Times New Roman" w:cs="Times New Roman"/>
          <w:i/>
          <w:sz w:val="24"/>
          <w:szCs w:val="24"/>
        </w:rPr>
        <w:t>n</w:t>
      </w:r>
      <w:r w:rsidR="00AE64BA" w:rsidRPr="001A7532">
        <w:rPr>
          <w:rFonts w:ascii="Times New Roman" w:hAnsi="Times New Roman" w:cs="Times New Roman"/>
          <w:i/>
          <w:sz w:val="24"/>
          <w:szCs w:val="24"/>
        </w:rPr>
        <w:t>ot</w:t>
      </w:r>
      <w:r w:rsidR="001A7532" w:rsidRPr="001A7532">
        <w:rPr>
          <w:rFonts w:ascii="Times New Roman" w:hAnsi="Times New Roman" w:cs="Times New Roman"/>
          <w:i/>
          <w:sz w:val="24"/>
          <w:szCs w:val="24"/>
        </w:rPr>
        <w:t xml:space="preserve"> be confirmed.</w:t>
      </w:r>
    </w:p>
    <w:p w:rsidR="00642F1B" w:rsidRDefault="00642F1B" w:rsidP="00642F1B"/>
    <w:p w:rsidR="001A7532" w:rsidRPr="000F076E" w:rsidRDefault="000F076E" w:rsidP="000F076E">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In order to test the fifth and final hypothesis the last hierarchical regression is performed. The SPSS output can be found in appendix </w:t>
      </w:r>
      <w:r w:rsidR="00770738">
        <w:rPr>
          <w:rFonts w:ascii="Times New Roman" w:hAnsi="Times New Roman" w:cs="Times New Roman"/>
          <w:sz w:val="24"/>
          <w:szCs w:val="24"/>
        </w:rPr>
        <w:t>I</w:t>
      </w:r>
      <w:r>
        <w:rPr>
          <w:rFonts w:ascii="Times New Roman" w:hAnsi="Times New Roman" w:cs="Times New Roman"/>
          <w:sz w:val="24"/>
          <w:szCs w:val="24"/>
        </w:rPr>
        <w:t>. The correlation matrix presents the relationships between the aggregate income smoothing score and the three investor protection variables as well as the relationships between the predictors themselves.</w:t>
      </w:r>
      <w:r w:rsidR="000C0563">
        <w:rPr>
          <w:rFonts w:ascii="Times New Roman" w:hAnsi="Times New Roman" w:cs="Times New Roman"/>
          <w:sz w:val="24"/>
          <w:szCs w:val="24"/>
        </w:rPr>
        <w:t xml:space="preserve"> Once again the correlation between income smoothing and both the ex ante and ex post private control of self-dealing indexes are negative, but not significant. The correlation between income smoothing and public enforcement is not alone positive but very low and not significant as well. </w:t>
      </w:r>
      <w:r w:rsidR="000C0563" w:rsidRPr="000C0563">
        <w:rPr>
          <w:rFonts w:ascii="Times New Roman" w:hAnsi="Times New Roman" w:cs="Times New Roman"/>
          <w:i/>
          <w:sz w:val="24"/>
          <w:szCs w:val="24"/>
        </w:rPr>
        <w:t>The fifth hypothesis cannot be confirmed.</w:t>
      </w:r>
    </w:p>
    <w:p w:rsidR="00B65702" w:rsidRDefault="008D3B31" w:rsidP="00B65702">
      <w:pPr>
        <w:pStyle w:val="BodyText"/>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statistical analysis regarding the pre- and post-IFRS period confirmed the suspicions I had after performing the first leg of this research. The predictors are not capable of predicting the dependent variable, income smoothing. </w:t>
      </w:r>
      <w:r w:rsidR="003765B4">
        <w:rPr>
          <w:rFonts w:ascii="Times New Roman" w:hAnsi="Times New Roman" w:cs="Times New Roman"/>
          <w:sz w:val="24"/>
          <w:szCs w:val="24"/>
        </w:rPr>
        <w:t xml:space="preserve">Thus, I am not at liberty to say whether income smoothing has decreased or increased in the post-IFRS period. </w:t>
      </w:r>
      <w:r>
        <w:rPr>
          <w:rFonts w:ascii="Times New Roman" w:hAnsi="Times New Roman" w:cs="Times New Roman"/>
          <w:sz w:val="24"/>
          <w:szCs w:val="24"/>
        </w:rPr>
        <w:t>The empirical evidence also showed that the predictors do not account for much of the variation in income smoothing. This means that there probably are other predictors that can better predict income smoothing.</w:t>
      </w:r>
    </w:p>
    <w:p w:rsidR="00737559" w:rsidRDefault="00737559" w:rsidP="00B65702">
      <w:pPr>
        <w:pStyle w:val="BodyText"/>
        <w:spacing w:line="360" w:lineRule="auto"/>
        <w:contextualSpacing/>
        <w:rPr>
          <w:rFonts w:ascii="Times New Roman" w:hAnsi="Times New Roman" w:cs="Times New Roman"/>
          <w:sz w:val="24"/>
          <w:szCs w:val="24"/>
        </w:rPr>
      </w:pPr>
    </w:p>
    <w:p w:rsidR="00B65702" w:rsidRDefault="00CC520F" w:rsidP="00CC520F">
      <w:pPr>
        <w:pStyle w:val="Heading4"/>
        <w:spacing w:line="360" w:lineRule="auto"/>
        <w:contextualSpacing/>
        <w:rPr>
          <w:rFonts w:ascii="Calibri" w:hAnsi="Calibri"/>
        </w:rPr>
      </w:pPr>
      <w:bookmarkStart w:id="110" w:name="_Toc268669785"/>
      <w:r w:rsidRPr="00CC520F">
        <w:rPr>
          <w:rFonts w:ascii="Calibri" w:hAnsi="Calibri"/>
        </w:rPr>
        <w:lastRenderedPageBreak/>
        <w:t>11</w:t>
      </w:r>
      <w:r w:rsidR="00EA4EDA">
        <w:rPr>
          <w:rFonts w:ascii="Calibri" w:hAnsi="Calibri"/>
        </w:rPr>
        <w:t>.1</w:t>
      </w:r>
      <w:r w:rsidRPr="00CC520F">
        <w:rPr>
          <w:rFonts w:ascii="Calibri" w:hAnsi="Calibri"/>
        </w:rPr>
        <w:tab/>
        <w:t>Limitations</w:t>
      </w:r>
      <w:bookmarkEnd w:id="110"/>
    </w:p>
    <w:p w:rsidR="00566481" w:rsidRPr="00566481" w:rsidRDefault="00566481" w:rsidP="00566481"/>
    <w:p w:rsidR="00142E12" w:rsidRDefault="00142E12" w:rsidP="00142E12">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The goal of this thesis was to investigate </w:t>
      </w:r>
      <w:r w:rsidR="00B61533">
        <w:rPr>
          <w:rFonts w:ascii="Times New Roman" w:hAnsi="Times New Roman" w:cs="Times New Roman"/>
          <w:sz w:val="24"/>
          <w:szCs w:val="24"/>
        </w:rPr>
        <w:t xml:space="preserve">whether or not </w:t>
      </w:r>
      <w:r>
        <w:rPr>
          <w:rFonts w:ascii="Times New Roman" w:hAnsi="Times New Roman" w:cs="Times New Roman"/>
          <w:sz w:val="24"/>
          <w:szCs w:val="24"/>
        </w:rPr>
        <w:t>the level of investor protection has an influence on the occurrence of income smoothing and if so, in what way.  It has to be acknowledged that there are certain limitations to this research, which will be discussed here.</w:t>
      </w:r>
    </w:p>
    <w:p w:rsidR="00566481" w:rsidRDefault="00566481" w:rsidP="00142E12">
      <w:pPr>
        <w:spacing w:line="360" w:lineRule="auto"/>
        <w:contextualSpacing/>
        <w:rPr>
          <w:rFonts w:ascii="Times New Roman" w:hAnsi="Times New Roman" w:cs="Times New Roman"/>
          <w:sz w:val="24"/>
          <w:szCs w:val="24"/>
        </w:rPr>
      </w:pPr>
    </w:p>
    <w:p w:rsidR="00926169" w:rsidRDefault="00B118F3" w:rsidP="00142E12">
      <w:pPr>
        <w:spacing w:line="360" w:lineRule="auto"/>
        <w:rPr>
          <w:rFonts w:ascii="Times New Roman" w:hAnsi="Times New Roman" w:cs="Times New Roman"/>
          <w:sz w:val="24"/>
          <w:szCs w:val="24"/>
        </w:rPr>
      </w:pPr>
      <w:r>
        <w:rPr>
          <w:rFonts w:ascii="Times New Roman" w:hAnsi="Times New Roman" w:cs="Times New Roman"/>
          <w:sz w:val="24"/>
          <w:szCs w:val="24"/>
        </w:rPr>
        <w:t xml:space="preserve">Capturing income smoothing is not an easy task, therefore </w:t>
      </w:r>
      <w:r w:rsidR="00142E12">
        <w:rPr>
          <w:rFonts w:ascii="Times New Roman" w:hAnsi="Times New Roman" w:cs="Times New Roman"/>
          <w:sz w:val="24"/>
          <w:szCs w:val="24"/>
        </w:rPr>
        <w:t xml:space="preserve">I have chosen to measure income smoothing by using the measures developed by Leuz et al. (2003). These measures have proven to capture income smoothing </w:t>
      </w:r>
      <w:r>
        <w:rPr>
          <w:rFonts w:ascii="Times New Roman" w:hAnsi="Times New Roman" w:cs="Times New Roman"/>
          <w:sz w:val="24"/>
          <w:szCs w:val="24"/>
        </w:rPr>
        <w:t>in a sufficient way</w:t>
      </w:r>
      <w:r w:rsidR="00142E12">
        <w:rPr>
          <w:rFonts w:ascii="Times New Roman" w:hAnsi="Times New Roman" w:cs="Times New Roman"/>
          <w:sz w:val="24"/>
          <w:szCs w:val="24"/>
        </w:rPr>
        <w:t xml:space="preserve"> in their research as well </w:t>
      </w:r>
      <w:r>
        <w:rPr>
          <w:rFonts w:ascii="Times New Roman" w:hAnsi="Times New Roman" w:cs="Times New Roman"/>
          <w:sz w:val="24"/>
          <w:szCs w:val="24"/>
        </w:rPr>
        <w:t xml:space="preserve">as in research done by Lee et al. (2008). </w:t>
      </w:r>
      <w:r w:rsidR="00566481">
        <w:rPr>
          <w:rFonts w:ascii="Times New Roman" w:hAnsi="Times New Roman" w:cs="Times New Roman"/>
          <w:sz w:val="24"/>
          <w:szCs w:val="24"/>
        </w:rPr>
        <w:t>T</w:t>
      </w:r>
      <w:r>
        <w:rPr>
          <w:rFonts w:ascii="Times New Roman" w:hAnsi="Times New Roman" w:cs="Times New Roman"/>
          <w:sz w:val="24"/>
          <w:szCs w:val="24"/>
        </w:rPr>
        <w:t xml:space="preserve">he findings of this thesis rely on the ability of the measures to capture income smoothing. </w:t>
      </w:r>
      <w:r w:rsidR="00566481">
        <w:rPr>
          <w:rFonts w:ascii="Times New Roman" w:hAnsi="Times New Roman" w:cs="Times New Roman"/>
          <w:sz w:val="24"/>
          <w:szCs w:val="24"/>
        </w:rPr>
        <w:t xml:space="preserve">There are other models available to measure income smoothing. </w:t>
      </w:r>
      <w:r>
        <w:rPr>
          <w:rFonts w:ascii="Times New Roman" w:hAnsi="Times New Roman" w:cs="Times New Roman"/>
          <w:sz w:val="24"/>
          <w:szCs w:val="24"/>
        </w:rPr>
        <w:t>There</w:t>
      </w:r>
      <w:r w:rsidR="00737559">
        <w:rPr>
          <w:rFonts w:ascii="Times New Roman" w:hAnsi="Times New Roman" w:cs="Times New Roman"/>
          <w:sz w:val="24"/>
          <w:szCs w:val="24"/>
        </w:rPr>
        <w:t xml:space="preserve"> i</w:t>
      </w:r>
      <w:r>
        <w:rPr>
          <w:rFonts w:ascii="Times New Roman" w:hAnsi="Times New Roman" w:cs="Times New Roman"/>
          <w:sz w:val="24"/>
          <w:szCs w:val="24"/>
        </w:rPr>
        <w:t xml:space="preserve">s a chance that if another measure was used, </w:t>
      </w:r>
      <w:r w:rsidR="007F23B9">
        <w:rPr>
          <w:rFonts w:ascii="Times New Roman" w:hAnsi="Times New Roman" w:cs="Times New Roman"/>
          <w:sz w:val="24"/>
          <w:szCs w:val="24"/>
        </w:rPr>
        <w:t>the results would have differed from the current findings.</w:t>
      </w:r>
    </w:p>
    <w:p w:rsidR="00FB34E1" w:rsidRDefault="00926169" w:rsidP="00FB34E1">
      <w:pPr>
        <w:spacing w:line="360" w:lineRule="auto"/>
        <w:rPr>
          <w:rFonts w:ascii="Times New Roman" w:hAnsi="Times New Roman" w:cs="Times New Roman"/>
          <w:sz w:val="24"/>
          <w:szCs w:val="24"/>
        </w:rPr>
      </w:pPr>
      <w:r>
        <w:rPr>
          <w:rFonts w:ascii="Times New Roman" w:hAnsi="Times New Roman" w:cs="Times New Roman"/>
          <w:sz w:val="24"/>
          <w:szCs w:val="24"/>
        </w:rPr>
        <w:t xml:space="preserve">Earlier on it was mentioned that financial institutions have been excluded from the sample. Mainly because the two income smoothing measures used require variables that are not applicable to </w:t>
      </w:r>
      <w:r w:rsidR="00BB69EE">
        <w:rPr>
          <w:rFonts w:ascii="Times New Roman" w:hAnsi="Times New Roman" w:cs="Times New Roman"/>
          <w:sz w:val="24"/>
          <w:szCs w:val="24"/>
        </w:rPr>
        <w:t>financial</w:t>
      </w:r>
      <w:r>
        <w:rPr>
          <w:rFonts w:ascii="Times New Roman" w:hAnsi="Times New Roman" w:cs="Times New Roman"/>
          <w:sz w:val="24"/>
          <w:szCs w:val="24"/>
        </w:rPr>
        <w:t xml:space="preserve"> institutions. For instance, financial institutions do not rely as much on assets as for example a textile production company.</w:t>
      </w:r>
      <w:r w:rsidR="00BB69EE">
        <w:rPr>
          <w:rFonts w:ascii="Times New Roman" w:hAnsi="Times New Roman" w:cs="Times New Roman"/>
          <w:sz w:val="24"/>
          <w:szCs w:val="24"/>
        </w:rPr>
        <w:t xml:space="preserve"> </w:t>
      </w:r>
      <w:r w:rsidR="00B118F3">
        <w:rPr>
          <w:rFonts w:ascii="Times New Roman" w:hAnsi="Times New Roman" w:cs="Times New Roman"/>
          <w:sz w:val="24"/>
          <w:szCs w:val="24"/>
        </w:rPr>
        <w:t xml:space="preserve"> </w:t>
      </w:r>
      <w:r w:rsidR="000B226C">
        <w:rPr>
          <w:rFonts w:ascii="Times New Roman" w:hAnsi="Times New Roman" w:cs="Times New Roman"/>
          <w:sz w:val="24"/>
          <w:szCs w:val="24"/>
        </w:rPr>
        <w:t xml:space="preserve">Since the level of income smoothing of financial institutions is not measured, it is possible that banks, insurance companies etc. </w:t>
      </w:r>
      <w:r w:rsidR="009E5079">
        <w:rPr>
          <w:rFonts w:ascii="Times New Roman" w:hAnsi="Times New Roman" w:cs="Times New Roman"/>
          <w:sz w:val="24"/>
          <w:szCs w:val="24"/>
        </w:rPr>
        <w:t xml:space="preserve">in high investor protection countries engage in income </w:t>
      </w:r>
      <w:r w:rsidR="000B226C">
        <w:rPr>
          <w:rFonts w:ascii="Times New Roman" w:hAnsi="Times New Roman" w:cs="Times New Roman"/>
          <w:sz w:val="24"/>
          <w:szCs w:val="24"/>
        </w:rPr>
        <w:t>smooth</w:t>
      </w:r>
      <w:r w:rsidR="009E5079">
        <w:rPr>
          <w:rFonts w:ascii="Times New Roman" w:hAnsi="Times New Roman" w:cs="Times New Roman"/>
          <w:sz w:val="24"/>
          <w:szCs w:val="24"/>
        </w:rPr>
        <w:t>ing on a relatively large scale.</w:t>
      </w:r>
      <w:r w:rsidR="00FB34E1">
        <w:rPr>
          <w:rFonts w:ascii="Times New Roman" w:hAnsi="Times New Roman" w:cs="Times New Roman"/>
          <w:sz w:val="24"/>
          <w:szCs w:val="24"/>
        </w:rPr>
        <w:t xml:space="preserve"> If the empirical research had proven that there is a significant negative correlation between income smoothing and investor protection these findings could not be generalized to all firms in the respective countries. As I mentioned earlier the sample consists of both large and small and middle-sized firms. Controlling insiders of SMEs often have no incentives to smooth income, because these firms often do not have to answer to shareholders in the same way large public firms need to answer to shareholders. </w:t>
      </w:r>
      <w:r w:rsidR="00375D57">
        <w:rPr>
          <w:rFonts w:ascii="Times New Roman" w:hAnsi="Times New Roman" w:cs="Times New Roman"/>
          <w:sz w:val="24"/>
          <w:szCs w:val="24"/>
        </w:rPr>
        <w:t xml:space="preserve">Table </w:t>
      </w:r>
      <w:r w:rsidR="006A0E9B">
        <w:rPr>
          <w:rFonts w:ascii="Times New Roman" w:hAnsi="Times New Roman" w:cs="Times New Roman"/>
          <w:sz w:val="24"/>
          <w:szCs w:val="24"/>
        </w:rPr>
        <w:t>2</w:t>
      </w:r>
      <w:r w:rsidR="00375D57">
        <w:rPr>
          <w:rFonts w:ascii="Times New Roman" w:hAnsi="Times New Roman" w:cs="Times New Roman"/>
          <w:sz w:val="24"/>
          <w:szCs w:val="24"/>
        </w:rPr>
        <w:t xml:space="preserve"> shows that the mean firm size for this sample is 278.720, which is clearly lower than 316.657, the mean firm size for the sample used by Leuz et al. (2003). </w:t>
      </w:r>
      <w:r w:rsidR="00FB34E1">
        <w:rPr>
          <w:rFonts w:ascii="Times New Roman" w:hAnsi="Times New Roman" w:cs="Times New Roman"/>
          <w:sz w:val="24"/>
          <w:szCs w:val="24"/>
        </w:rPr>
        <w:t>By including the SMEs in the sample there occurs a distortion in the income smoothing, which could have caused the correlations to</w:t>
      </w:r>
      <w:r w:rsidR="005B17B2">
        <w:rPr>
          <w:rFonts w:ascii="Times New Roman" w:hAnsi="Times New Roman" w:cs="Times New Roman"/>
          <w:sz w:val="24"/>
          <w:szCs w:val="24"/>
        </w:rPr>
        <w:t xml:space="preserve"> be</w:t>
      </w:r>
      <w:r w:rsidR="00FB34E1">
        <w:rPr>
          <w:rFonts w:ascii="Times New Roman" w:hAnsi="Times New Roman" w:cs="Times New Roman"/>
          <w:sz w:val="24"/>
          <w:szCs w:val="24"/>
        </w:rPr>
        <w:t xml:space="preserve"> not significant.</w:t>
      </w:r>
    </w:p>
    <w:p w:rsidR="006B2AAE" w:rsidRDefault="009E5079" w:rsidP="003C2786">
      <w:pPr>
        <w:spacing w:line="360" w:lineRule="auto"/>
        <w:rPr>
          <w:rFonts w:ascii="Times New Roman" w:hAnsi="Times New Roman" w:cs="Times New Roman"/>
          <w:sz w:val="24"/>
          <w:szCs w:val="24"/>
        </w:rPr>
      </w:pPr>
      <w:r>
        <w:rPr>
          <w:rFonts w:ascii="Times New Roman" w:hAnsi="Times New Roman" w:cs="Times New Roman"/>
          <w:sz w:val="24"/>
          <w:szCs w:val="24"/>
        </w:rPr>
        <w:t>Fu</w:t>
      </w:r>
      <w:r w:rsidR="00985E1D">
        <w:rPr>
          <w:rFonts w:ascii="Times New Roman" w:hAnsi="Times New Roman" w:cs="Times New Roman"/>
          <w:sz w:val="24"/>
          <w:szCs w:val="24"/>
        </w:rPr>
        <w:t>rthermore it is necessary to mention th</w:t>
      </w:r>
      <w:r w:rsidR="00B229E1">
        <w:rPr>
          <w:rFonts w:ascii="Times New Roman" w:hAnsi="Times New Roman" w:cs="Times New Roman"/>
          <w:sz w:val="24"/>
          <w:szCs w:val="24"/>
        </w:rPr>
        <w:t>at there are other factors that are complementary to insiders managing income. It is not an easy task to fully control for the potential impact of all factors affecting investor protection.</w:t>
      </w:r>
      <w:r w:rsidR="007D5B83">
        <w:rPr>
          <w:rFonts w:ascii="Times New Roman" w:hAnsi="Times New Roman" w:cs="Times New Roman"/>
          <w:sz w:val="24"/>
          <w:szCs w:val="24"/>
        </w:rPr>
        <w:t xml:space="preserve"> </w:t>
      </w:r>
      <w:r w:rsidR="007D5B83" w:rsidRPr="007D5B83">
        <w:rPr>
          <w:rFonts w:ascii="Times New Roman" w:hAnsi="Times New Roman" w:cs="Times New Roman"/>
          <w:sz w:val="24"/>
          <w:szCs w:val="24"/>
        </w:rPr>
        <w:t xml:space="preserve">Because of this, </w:t>
      </w:r>
      <w:r w:rsidR="007D5B83">
        <w:rPr>
          <w:rFonts w:ascii="Times New Roman" w:hAnsi="Times New Roman" w:cs="Times New Roman"/>
          <w:sz w:val="24"/>
          <w:szCs w:val="24"/>
        </w:rPr>
        <w:t>an endogeneity bias is possible.</w:t>
      </w:r>
    </w:p>
    <w:p w:rsidR="00CB6228" w:rsidRDefault="00DE5EC7" w:rsidP="00581754">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Throughout this thesis I have consistently argued that strong investor protection discourages controlling insiders from cooking the books. </w:t>
      </w:r>
      <w:r w:rsidR="00B61533">
        <w:rPr>
          <w:rFonts w:ascii="Times New Roman" w:hAnsi="Times New Roman" w:cs="Times New Roman"/>
          <w:sz w:val="24"/>
          <w:szCs w:val="24"/>
        </w:rPr>
        <w:t xml:space="preserve">The empirical analysis however, has not provided any evidence to corroborate this. </w:t>
      </w:r>
      <w:r w:rsidR="00304720">
        <w:rPr>
          <w:rFonts w:ascii="Times New Roman" w:hAnsi="Times New Roman" w:cs="Times New Roman"/>
          <w:sz w:val="24"/>
          <w:szCs w:val="24"/>
        </w:rPr>
        <w:t xml:space="preserve">As stated earlier controlling insiders can act in their own interest and benefit themselves at the stakeholders’ cost. These private control benefits are not greatly appreciated by stakeholders and when detected, stakeholders will take action. </w:t>
      </w:r>
      <w:r w:rsidR="00B61533">
        <w:rPr>
          <w:rFonts w:ascii="Times New Roman" w:hAnsi="Times New Roman" w:cs="Times New Roman"/>
          <w:sz w:val="24"/>
          <w:szCs w:val="24"/>
        </w:rPr>
        <w:t xml:space="preserve"> </w:t>
      </w:r>
      <w:r w:rsidR="00304720">
        <w:rPr>
          <w:rFonts w:ascii="Times New Roman" w:hAnsi="Times New Roman" w:cs="Times New Roman"/>
          <w:sz w:val="24"/>
          <w:szCs w:val="24"/>
        </w:rPr>
        <w:t>One</w:t>
      </w:r>
      <w:r w:rsidR="00B61533">
        <w:rPr>
          <w:rFonts w:ascii="Times New Roman" w:hAnsi="Times New Roman" w:cs="Times New Roman"/>
          <w:sz w:val="24"/>
          <w:szCs w:val="24"/>
        </w:rPr>
        <w:t xml:space="preserve"> can argue that strong investor protection can encourage controlling insider</w:t>
      </w:r>
      <w:r w:rsidR="00304720">
        <w:rPr>
          <w:rFonts w:ascii="Times New Roman" w:hAnsi="Times New Roman" w:cs="Times New Roman"/>
          <w:sz w:val="24"/>
          <w:szCs w:val="24"/>
        </w:rPr>
        <w:t xml:space="preserve">s to smooth income in order to cover up </w:t>
      </w:r>
      <w:r w:rsidR="00B61533">
        <w:rPr>
          <w:rFonts w:ascii="Times New Roman" w:hAnsi="Times New Roman" w:cs="Times New Roman"/>
          <w:sz w:val="24"/>
          <w:szCs w:val="24"/>
        </w:rPr>
        <w:t>their private control benefits. In this scenario, controlling insiders will engage in income smoothing to c</w:t>
      </w:r>
      <w:r w:rsidR="00EA20C8">
        <w:rPr>
          <w:rFonts w:ascii="Times New Roman" w:hAnsi="Times New Roman" w:cs="Times New Roman"/>
          <w:sz w:val="24"/>
          <w:szCs w:val="24"/>
        </w:rPr>
        <w:t>over up their control benefits in an attempt to escape higher penalties.</w:t>
      </w:r>
      <w:r w:rsidR="009E0A48">
        <w:rPr>
          <w:rFonts w:ascii="Times New Roman" w:hAnsi="Times New Roman" w:cs="Times New Roman"/>
          <w:sz w:val="24"/>
          <w:szCs w:val="24"/>
        </w:rPr>
        <w:t xml:space="preserve"> The empirical evidence from this research cannot confirm nor deny </w:t>
      </w:r>
      <w:r w:rsidR="00CB6228">
        <w:rPr>
          <w:rFonts w:ascii="Times New Roman" w:hAnsi="Times New Roman" w:cs="Times New Roman"/>
          <w:sz w:val="24"/>
          <w:szCs w:val="24"/>
        </w:rPr>
        <w:t xml:space="preserve">either </w:t>
      </w:r>
      <w:r w:rsidR="009E0A48">
        <w:rPr>
          <w:rFonts w:ascii="Times New Roman" w:hAnsi="Times New Roman" w:cs="Times New Roman"/>
          <w:sz w:val="24"/>
          <w:szCs w:val="24"/>
        </w:rPr>
        <w:t xml:space="preserve">one of the </w:t>
      </w:r>
      <w:r w:rsidR="00CB6228">
        <w:rPr>
          <w:rFonts w:ascii="Times New Roman" w:hAnsi="Times New Roman" w:cs="Times New Roman"/>
          <w:sz w:val="24"/>
          <w:szCs w:val="24"/>
        </w:rPr>
        <w:t>scenarios</w:t>
      </w:r>
      <w:r w:rsidR="009E0A48">
        <w:rPr>
          <w:rFonts w:ascii="Times New Roman" w:hAnsi="Times New Roman" w:cs="Times New Roman"/>
          <w:sz w:val="24"/>
          <w:szCs w:val="24"/>
        </w:rPr>
        <w:t>.</w:t>
      </w:r>
    </w:p>
    <w:p w:rsidR="008B4D32" w:rsidRPr="00EA4EDA" w:rsidRDefault="008B4D32" w:rsidP="00BB1B09">
      <w:pPr>
        <w:pStyle w:val="Heading4"/>
        <w:spacing w:line="360" w:lineRule="auto"/>
        <w:contextualSpacing/>
        <w:rPr>
          <w:rFonts w:ascii="Calibri" w:hAnsi="Calibri"/>
        </w:rPr>
      </w:pPr>
      <w:bookmarkStart w:id="111" w:name="_Toc268669786"/>
      <w:r w:rsidRPr="00EA4EDA">
        <w:rPr>
          <w:rFonts w:ascii="Calibri" w:hAnsi="Calibri"/>
        </w:rPr>
        <w:t xml:space="preserve">11.2 </w:t>
      </w:r>
      <w:r w:rsidRPr="00EA4EDA">
        <w:rPr>
          <w:rFonts w:ascii="Calibri" w:hAnsi="Calibri"/>
        </w:rPr>
        <w:tab/>
        <w:t>Suggestions for further research</w:t>
      </w:r>
      <w:bookmarkEnd w:id="111"/>
    </w:p>
    <w:p w:rsidR="00F14A50" w:rsidRDefault="00F14A50" w:rsidP="00BB1B09">
      <w:pPr>
        <w:spacing w:line="360" w:lineRule="auto"/>
        <w:contextualSpacing/>
        <w:rPr>
          <w:rFonts w:ascii="Times New Roman" w:hAnsi="Times New Roman" w:cs="Times New Roman"/>
          <w:sz w:val="24"/>
          <w:szCs w:val="24"/>
        </w:rPr>
      </w:pPr>
    </w:p>
    <w:p w:rsidR="000313EC" w:rsidRDefault="009F0D35" w:rsidP="00BB1B09">
      <w:pPr>
        <w:spacing w:line="360" w:lineRule="auto"/>
        <w:contextualSpacing/>
        <w:rPr>
          <w:rFonts w:ascii="Times New Roman" w:hAnsi="Times New Roman" w:cs="Times New Roman"/>
          <w:sz w:val="24"/>
          <w:szCs w:val="24"/>
        </w:rPr>
      </w:pPr>
      <w:r>
        <w:rPr>
          <w:rFonts w:ascii="Times New Roman" w:hAnsi="Times New Roman" w:cs="Times New Roman"/>
          <w:sz w:val="24"/>
          <w:szCs w:val="24"/>
        </w:rPr>
        <w:t>This research included 31 countries, which means that countries with very different institutional characters are examined. As you have read the results from the statistical analysis indicate that there is no relationship between income smoothing and investor protection. Even though the three investor protection variable incorporate aspects of the legal tradition and legal origin of countries, it might be useful to include these two variables separately in the multiple regression. By doing this different results could be obtained which could actually confirm that there exists a significant negative correlation between the occurrence of income smoothing and the level of investor protection.</w:t>
      </w:r>
    </w:p>
    <w:p w:rsidR="00BB1B09" w:rsidRDefault="00BB1B09" w:rsidP="00BB1B09">
      <w:pPr>
        <w:spacing w:line="360" w:lineRule="auto"/>
        <w:contextualSpacing/>
        <w:rPr>
          <w:rFonts w:ascii="Times New Roman" w:hAnsi="Times New Roman" w:cs="Times New Roman"/>
          <w:sz w:val="24"/>
          <w:szCs w:val="24"/>
        </w:rPr>
      </w:pPr>
    </w:p>
    <w:p w:rsidR="00BB1B09" w:rsidRDefault="00BB1B09" w:rsidP="00BB1B09">
      <w:pPr>
        <w:spacing w:line="360" w:lineRule="auto"/>
        <w:contextualSpacing/>
        <w:rPr>
          <w:rFonts w:ascii="Times New Roman" w:hAnsi="Times New Roman" w:cs="Times New Roman"/>
          <w:sz w:val="24"/>
          <w:szCs w:val="24"/>
        </w:rPr>
      </w:pPr>
      <w:r>
        <w:rPr>
          <w:rFonts w:ascii="Times New Roman" w:hAnsi="Times New Roman" w:cs="Times New Roman"/>
          <w:sz w:val="24"/>
          <w:szCs w:val="24"/>
        </w:rPr>
        <w:t>In chapter 9.9 I argued that the not significant results obtained can be caused by the differentiation in the research sample. The current sample consists of all companies in Thomson One Banker that reported their financial data for at least three consecutive years, financial institutions excluded. The result of this was that small and medium sized firms were also included. Their inclusion might have caused a distortion a</w:t>
      </w:r>
      <w:r w:rsidR="005C2362">
        <w:rPr>
          <w:rFonts w:ascii="Times New Roman" w:hAnsi="Times New Roman" w:cs="Times New Roman"/>
          <w:sz w:val="24"/>
          <w:szCs w:val="24"/>
        </w:rPr>
        <w:t xml:space="preserve">nd resulted in the not significant correlations. Therefore I would suggest that future research on this subject would be done with a sample consisting of large public firms. </w:t>
      </w:r>
    </w:p>
    <w:p w:rsidR="009F0D35" w:rsidRDefault="009F0D35" w:rsidP="00581754">
      <w:pPr>
        <w:spacing w:line="360" w:lineRule="auto"/>
        <w:rPr>
          <w:rFonts w:ascii="Times New Roman" w:hAnsi="Times New Roman" w:cs="Times New Roman"/>
          <w:sz w:val="24"/>
          <w:szCs w:val="24"/>
        </w:rPr>
      </w:pPr>
    </w:p>
    <w:p w:rsidR="000313EC" w:rsidRDefault="000313EC" w:rsidP="00581754">
      <w:pPr>
        <w:spacing w:line="360" w:lineRule="auto"/>
        <w:rPr>
          <w:rFonts w:ascii="Times New Roman" w:hAnsi="Times New Roman" w:cs="Times New Roman"/>
          <w:sz w:val="24"/>
          <w:szCs w:val="24"/>
        </w:rPr>
      </w:pPr>
    </w:p>
    <w:p w:rsidR="000313EC" w:rsidRDefault="000313EC" w:rsidP="00581754">
      <w:pPr>
        <w:spacing w:line="360" w:lineRule="auto"/>
        <w:rPr>
          <w:rFonts w:ascii="Times New Roman" w:hAnsi="Times New Roman" w:cs="Times New Roman"/>
          <w:sz w:val="24"/>
          <w:szCs w:val="24"/>
        </w:rPr>
      </w:pPr>
    </w:p>
    <w:p w:rsidR="00225151" w:rsidRDefault="00225151" w:rsidP="00581754">
      <w:pPr>
        <w:spacing w:line="360" w:lineRule="auto"/>
        <w:rPr>
          <w:rFonts w:ascii="Times New Roman" w:hAnsi="Times New Roman" w:cs="Times New Roman"/>
          <w:sz w:val="24"/>
          <w:szCs w:val="24"/>
        </w:rPr>
      </w:pPr>
    </w:p>
    <w:p w:rsidR="00B65702" w:rsidRDefault="000159CD" w:rsidP="000159CD">
      <w:pPr>
        <w:pStyle w:val="Heading4"/>
        <w:rPr>
          <w:rFonts w:ascii="Calibri" w:hAnsi="Calibri" w:cs="Times New Roman"/>
        </w:rPr>
      </w:pPr>
      <w:bookmarkStart w:id="112" w:name="_Toc268669787"/>
      <w:r w:rsidRPr="000159CD">
        <w:rPr>
          <w:rFonts w:ascii="Calibri" w:hAnsi="Calibri" w:cs="Times New Roman"/>
        </w:rPr>
        <w:lastRenderedPageBreak/>
        <w:t>12</w:t>
      </w:r>
      <w:r w:rsidRPr="000159CD">
        <w:rPr>
          <w:rFonts w:ascii="Calibri" w:hAnsi="Calibri" w:cs="Times New Roman"/>
        </w:rPr>
        <w:tab/>
        <w:t>Thesis Conclusion</w:t>
      </w:r>
      <w:bookmarkEnd w:id="112"/>
    </w:p>
    <w:p w:rsidR="000159CD" w:rsidRDefault="000159CD" w:rsidP="000159CD"/>
    <w:p w:rsidR="00263107" w:rsidRDefault="000874EB" w:rsidP="00933228">
      <w:pPr>
        <w:spacing w:line="360" w:lineRule="auto"/>
        <w:contextualSpacing/>
        <w:rPr>
          <w:rFonts w:ascii="Times New Roman" w:hAnsi="Times New Roman" w:cs="Times New Roman"/>
          <w:sz w:val="24"/>
          <w:szCs w:val="24"/>
          <w:lang w:val="en-GB"/>
        </w:rPr>
      </w:pPr>
      <w:r>
        <w:rPr>
          <w:rFonts w:ascii="Times New Roman" w:hAnsi="Times New Roman" w:cs="Times New Roman"/>
          <w:sz w:val="24"/>
          <w:szCs w:val="24"/>
        </w:rPr>
        <w:t xml:space="preserve">Earnings management </w:t>
      </w:r>
      <w:r w:rsidR="00444475">
        <w:rPr>
          <w:rFonts w:ascii="Times New Roman" w:hAnsi="Times New Roman" w:cs="Times New Roman"/>
          <w:sz w:val="24"/>
          <w:szCs w:val="24"/>
        </w:rPr>
        <w:t xml:space="preserve">can best be defined as a strategy </w:t>
      </w:r>
      <w:r w:rsidR="00444475" w:rsidRPr="00ED31D3">
        <w:rPr>
          <w:rFonts w:ascii="Times New Roman" w:hAnsi="Times New Roman" w:cs="Times New Roman"/>
          <w:sz w:val="24"/>
          <w:szCs w:val="24"/>
          <w:lang w:val="en-GB"/>
        </w:rPr>
        <w:t>of generating accounting earnings, which is accomplished though managerial discretion over accounting choices and operating cash flows (Phillips et al. 2003) as well as production and investment decisions that reduce the variability of earnings.</w:t>
      </w:r>
      <w:r w:rsidR="00444475">
        <w:rPr>
          <w:rFonts w:ascii="Times New Roman" w:hAnsi="Times New Roman" w:cs="Times New Roman"/>
          <w:sz w:val="24"/>
          <w:szCs w:val="24"/>
          <w:lang w:val="en-GB"/>
        </w:rPr>
        <w:t xml:space="preserve"> It comes in different forms one of which is income smoothing. Earnings management is a widespread phenomenon. </w:t>
      </w:r>
      <w:r w:rsidR="00444475" w:rsidRPr="00ED31D3">
        <w:rPr>
          <w:rFonts w:ascii="Times New Roman" w:hAnsi="Times New Roman" w:cs="Times New Roman"/>
          <w:sz w:val="24"/>
          <w:szCs w:val="24"/>
          <w:lang w:val="en-GB"/>
        </w:rPr>
        <w:t>Several studies suggest that earnings management can be limited by well-designed corporate governance structures</w:t>
      </w:r>
      <w:r w:rsidR="00444475">
        <w:rPr>
          <w:rFonts w:ascii="Times New Roman" w:hAnsi="Times New Roman" w:cs="Times New Roman"/>
          <w:sz w:val="24"/>
          <w:szCs w:val="24"/>
          <w:lang w:val="en-GB"/>
        </w:rPr>
        <w:t>.</w:t>
      </w:r>
      <w:r w:rsidR="00263107">
        <w:rPr>
          <w:rFonts w:ascii="Times New Roman" w:hAnsi="Times New Roman" w:cs="Times New Roman"/>
          <w:sz w:val="24"/>
          <w:szCs w:val="24"/>
          <w:lang w:val="en-GB"/>
        </w:rPr>
        <w:t xml:space="preserve"> Numerous researchers have examined the phenomenon that is earnings management. Over the years several models have been developed to capture earnings management some of which have been discussed in the literature review. </w:t>
      </w:r>
    </w:p>
    <w:p w:rsidR="00816459" w:rsidRDefault="00816459" w:rsidP="00933228">
      <w:pPr>
        <w:spacing w:line="360" w:lineRule="auto"/>
        <w:contextualSpacing/>
        <w:rPr>
          <w:rFonts w:ascii="Times New Roman" w:hAnsi="Times New Roman" w:cs="Times New Roman"/>
          <w:sz w:val="24"/>
          <w:szCs w:val="24"/>
          <w:lang w:val="en-GB"/>
        </w:rPr>
      </w:pPr>
    </w:p>
    <w:p w:rsidR="000159CD" w:rsidRDefault="00C1166E" w:rsidP="00933228">
      <w:pPr>
        <w:spacing w:line="360" w:lineRule="auto"/>
        <w:contextualSpacing/>
        <w:rPr>
          <w:rFonts w:ascii="Times New Roman" w:hAnsi="Times New Roman" w:cs="Times New Roman"/>
          <w:sz w:val="24"/>
          <w:szCs w:val="24"/>
        </w:rPr>
      </w:pPr>
      <w:r w:rsidRPr="00C1166E">
        <w:rPr>
          <w:rFonts w:ascii="Times New Roman" w:hAnsi="Times New Roman" w:cs="Times New Roman"/>
          <w:sz w:val="24"/>
          <w:szCs w:val="24"/>
        </w:rPr>
        <w:t>The goal of this thesis</w:t>
      </w:r>
      <w:r w:rsidR="00263107">
        <w:rPr>
          <w:rFonts w:ascii="Times New Roman" w:hAnsi="Times New Roman" w:cs="Times New Roman"/>
          <w:sz w:val="24"/>
          <w:szCs w:val="24"/>
        </w:rPr>
        <w:t xml:space="preserve"> however, was</w:t>
      </w:r>
      <w:r>
        <w:rPr>
          <w:rFonts w:ascii="Times New Roman" w:hAnsi="Times New Roman" w:cs="Times New Roman"/>
          <w:sz w:val="24"/>
          <w:szCs w:val="24"/>
        </w:rPr>
        <w:t xml:space="preserve"> to examine the relationship between the occurrence of income smoothing and the level of investor protection in 31 countries.</w:t>
      </w:r>
      <w:r w:rsidR="00933228">
        <w:rPr>
          <w:rFonts w:ascii="Times New Roman" w:hAnsi="Times New Roman" w:cs="Times New Roman"/>
          <w:sz w:val="24"/>
          <w:szCs w:val="24"/>
        </w:rPr>
        <w:t xml:space="preserve"> Previous studies have shown that there is a significant relationship between these two variables. Leuz et al. (2003) found evidence that earnings management is more pervasive in low investor protection countries than in high investor protection countries. In high investor protection countries there are strong and well-enforced outsider rights in place which</w:t>
      </w:r>
      <w:r w:rsidR="00CB1FC7">
        <w:rPr>
          <w:rFonts w:ascii="Times New Roman" w:hAnsi="Times New Roman" w:cs="Times New Roman"/>
          <w:sz w:val="24"/>
          <w:szCs w:val="24"/>
        </w:rPr>
        <w:t xml:space="preserve"> limit the private control benefits of controlling insiders.</w:t>
      </w:r>
      <w:r w:rsidR="00225151">
        <w:rPr>
          <w:rFonts w:ascii="Times New Roman" w:hAnsi="Times New Roman" w:cs="Times New Roman"/>
          <w:sz w:val="24"/>
          <w:szCs w:val="24"/>
        </w:rPr>
        <w:t xml:space="preserve"> There are, broadly taken, two reasons why controlling insiders engage in income smoothing. One, the goal is to gain private benefits at the expense of shareholders or two; the goal is to communicate private information about future earnings to outsiders. Whatever the reason is for engaging in income smoothing, the reported financial data is not a true representation of the firms performance. </w:t>
      </w:r>
    </w:p>
    <w:p w:rsidR="0035100C" w:rsidRDefault="0035100C" w:rsidP="00933228">
      <w:pPr>
        <w:spacing w:line="360" w:lineRule="auto"/>
        <w:contextualSpacing/>
        <w:rPr>
          <w:rFonts w:ascii="Times New Roman" w:hAnsi="Times New Roman" w:cs="Times New Roman"/>
          <w:sz w:val="24"/>
          <w:szCs w:val="24"/>
        </w:rPr>
      </w:pPr>
    </w:p>
    <w:p w:rsidR="0035100C" w:rsidRDefault="008B4801" w:rsidP="00933228">
      <w:pPr>
        <w:spacing w:line="360" w:lineRule="auto"/>
        <w:contextualSpacing/>
        <w:rPr>
          <w:rFonts w:ascii="Times New Roman" w:hAnsi="Times New Roman" w:cs="Times New Roman"/>
          <w:sz w:val="24"/>
          <w:szCs w:val="24"/>
        </w:rPr>
      </w:pPr>
      <w:r>
        <w:rPr>
          <w:rFonts w:ascii="Times New Roman" w:hAnsi="Times New Roman" w:cs="Times New Roman"/>
          <w:sz w:val="24"/>
          <w:szCs w:val="24"/>
        </w:rPr>
        <w:t xml:space="preserve">Over the years regulators have attempted to harmonize the global reporting practices. </w:t>
      </w:r>
      <w:r w:rsidRPr="009370C3">
        <w:rPr>
          <w:rFonts w:ascii="Times New Roman" w:hAnsi="Times New Roman" w:cs="Times New Roman"/>
          <w:sz w:val="24"/>
          <w:szCs w:val="24"/>
          <w:lang w:val="en-GB"/>
        </w:rPr>
        <w:t>The International Financial Reporting Standards, which were formerly known as International Accounting Standards (IAS), were chosen as the common language for financial reporting by Europe and several other countries.</w:t>
      </w:r>
      <w:r w:rsidR="00DB064D">
        <w:rPr>
          <w:rFonts w:ascii="Times New Roman" w:hAnsi="Times New Roman" w:cs="Times New Roman"/>
          <w:sz w:val="24"/>
          <w:szCs w:val="24"/>
          <w:lang w:val="en-GB"/>
        </w:rPr>
        <w:t xml:space="preserve"> IFRS are said to be more precise than local standards and they admit a limited number of reporting options. Therefore it is argued that the implementation of IFRS will lead to less income smoothing. </w:t>
      </w:r>
      <w:r w:rsidR="009121F5">
        <w:rPr>
          <w:rFonts w:ascii="Times New Roman" w:hAnsi="Times New Roman" w:cs="Times New Roman"/>
          <w:sz w:val="24"/>
          <w:szCs w:val="24"/>
          <w:lang w:val="en-GB"/>
        </w:rPr>
        <w:t xml:space="preserve">With regard to </w:t>
      </w:r>
      <w:r w:rsidR="00DB064D">
        <w:rPr>
          <w:rFonts w:ascii="Times New Roman" w:hAnsi="Times New Roman" w:cs="Times New Roman"/>
          <w:sz w:val="24"/>
          <w:szCs w:val="24"/>
          <w:lang w:val="en-GB"/>
        </w:rPr>
        <w:t>these expectations, two hypotheses were tested.</w:t>
      </w:r>
    </w:p>
    <w:p w:rsidR="000874EB" w:rsidRDefault="000874EB" w:rsidP="00933228">
      <w:pPr>
        <w:spacing w:line="360" w:lineRule="auto"/>
        <w:contextualSpacing/>
        <w:rPr>
          <w:rFonts w:ascii="Times New Roman" w:hAnsi="Times New Roman" w:cs="Times New Roman"/>
          <w:sz w:val="24"/>
          <w:szCs w:val="24"/>
        </w:rPr>
      </w:pPr>
    </w:p>
    <w:p w:rsidR="00AE6587" w:rsidRDefault="00BE3EA3" w:rsidP="00933228">
      <w:pPr>
        <w:spacing w:line="36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In order to determine whether income smoothing is more pervasive in low investor protection countries it is necessary to divide the sample countries in clusters. This is done by means of a hierarchical k-means cluster analysis. The investor protection variables used to predict the dependent variable in the multiple regression are derived from Djankov et al. (2007). The income smoothing measures used are derived from Leuz et al. (2003). </w:t>
      </w:r>
      <w:r w:rsidR="006C0D3D">
        <w:rPr>
          <w:rFonts w:ascii="Times New Roman" w:hAnsi="Times New Roman" w:cs="Times New Roman"/>
          <w:sz w:val="24"/>
          <w:szCs w:val="24"/>
        </w:rPr>
        <w:t>As you may know by now, i</w:t>
      </w:r>
      <w:r>
        <w:rPr>
          <w:rFonts w:ascii="Times New Roman" w:hAnsi="Times New Roman" w:cs="Times New Roman"/>
          <w:sz w:val="24"/>
          <w:szCs w:val="24"/>
        </w:rPr>
        <w:t xml:space="preserve">ncome smoothing can appear in two forms: real income smoothing and artificial income smoothing. Therefore, a measure for each of these forms is used. </w:t>
      </w:r>
      <w:r w:rsidR="003B2604">
        <w:rPr>
          <w:rFonts w:ascii="Times New Roman" w:hAnsi="Times New Roman" w:cs="Times New Roman"/>
          <w:sz w:val="24"/>
          <w:szCs w:val="24"/>
        </w:rPr>
        <w:t>From these two individual measures the aggregate income smoothing measures is created which is the dependent variable in the multiple regression.</w:t>
      </w:r>
      <w:r w:rsidR="008E4D48">
        <w:rPr>
          <w:rFonts w:ascii="Times New Roman" w:hAnsi="Times New Roman" w:cs="Times New Roman"/>
          <w:sz w:val="24"/>
          <w:szCs w:val="24"/>
        </w:rPr>
        <w:t xml:space="preserve"> </w:t>
      </w:r>
      <w:r w:rsidR="00AE6587">
        <w:rPr>
          <w:rFonts w:ascii="Times New Roman" w:hAnsi="Times New Roman" w:cs="Times New Roman"/>
          <w:sz w:val="24"/>
          <w:szCs w:val="24"/>
        </w:rPr>
        <w:t>The statistical analysis showed that there is no significant negative correlation between the dependent veriable, income smoothing, and the predictors, ex ante and ex post private control of self-dealing indices and the public enforcement index. None of the hypotheses could be confirmed.</w:t>
      </w:r>
      <w:r w:rsidR="00066939">
        <w:rPr>
          <w:rFonts w:ascii="Times New Roman" w:hAnsi="Times New Roman" w:cs="Times New Roman"/>
          <w:sz w:val="24"/>
          <w:szCs w:val="24"/>
        </w:rPr>
        <w:t xml:space="preserve"> T</w:t>
      </w:r>
      <w:r w:rsidR="00AE6587">
        <w:rPr>
          <w:rFonts w:ascii="Times New Roman" w:hAnsi="Times New Roman" w:cs="Times New Roman"/>
          <w:sz w:val="24"/>
          <w:szCs w:val="24"/>
        </w:rPr>
        <w:t>h</w:t>
      </w:r>
      <w:r w:rsidR="00066939">
        <w:rPr>
          <w:rFonts w:ascii="Times New Roman" w:hAnsi="Times New Roman" w:cs="Times New Roman"/>
          <w:sz w:val="24"/>
          <w:szCs w:val="24"/>
        </w:rPr>
        <w:t>e</w:t>
      </w:r>
      <w:r w:rsidR="00AE6587">
        <w:rPr>
          <w:rFonts w:ascii="Times New Roman" w:hAnsi="Times New Roman" w:cs="Times New Roman"/>
          <w:sz w:val="24"/>
          <w:szCs w:val="24"/>
        </w:rPr>
        <w:t xml:space="preserve"> research </w:t>
      </w:r>
      <w:r w:rsidR="00066939">
        <w:rPr>
          <w:rFonts w:ascii="Times New Roman" w:hAnsi="Times New Roman" w:cs="Times New Roman"/>
          <w:sz w:val="24"/>
          <w:szCs w:val="24"/>
        </w:rPr>
        <w:t xml:space="preserve">results </w:t>
      </w:r>
      <w:r w:rsidR="00AE6587">
        <w:rPr>
          <w:rFonts w:ascii="Times New Roman" w:hAnsi="Times New Roman" w:cs="Times New Roman"/>
          <w:sz w:val="24"/>
          <w:szCs w:val="24"/>
        </w:rPr>
        <w:t>lead to believe that there is no relationship between income smoothing and the level of investor protection</w:t>
      </w:r>
      <w:r w:rsidR="00066939">
        <w:rPr>
          <w:rFonts w:ascii="Times New Roman" w:hAnsi="Times New Roman" w:cs="Times New Roman"/>
          <w:sz w:val="24"/>
          <w:szCs w:val="24"/>
        </w:rPr>
        <w:t xml:space="preserve"> and thus I am not able to say whether the occurrence of income smoothing is lower in high investor protection countries than in low investor protection countries. The second leg of this research looked at the occurrence of income smoothing in the pre- and post-IFRS period. Because of the fact that there is no significant relationship between the predictors and income smoothing, I cannot say that income smoothing is less pervasive in the post-IFRS period.</w:t>
      </w:r>
    </w:p>
    <w:p w:rsidR="003B2604" w:rsidRPr="00C1166E" w:rsidRDefault="003B2604" w:rsidP="00933228">
      <w:pPr>
        <w:spacing w:line="360" w:lineRule="auto"/>
        <w:contextualSpacing/>
        <w:rPr>
          <w:rFonts w:ascii="Times New Roman" w:hAnsi="Times New Roman" w:cs="Times New Roman"/>
          <w:sz w:val="24"/>
          <w:szCs w:val="24"/>
        </w:rPr>
      </w:pPr>
    </w:p>
    <w:p w:rsidR="000159CD" w:rsidRPr="000159CD" w:rsidRDefault="000159CD" w:rsidP="000159CD"/>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F944E0" w:rsidRDefault="00F944E0" w:rsidP="00B65702">
      <w:pPr>
        <w:pStyle w:val="BodyText"/>
        <w:spacing w:line="360" w:lineRule="auto"/>
        <w:rPr>
          <w:rFonts w:ascii="Times New Roman" w:hAnsi="Times New Roman" w:cs="Times New Roman"/>
          <w:sz w:val="24"/>
          <w:szCs w:val="24"/>
        </w:rPr>
      </w:pPr>
    </w:p>
    <w:p w:rsidR="00F944E0" w:rsidRDefault="00F944E0" w:rsidP="00B65702">
      <w:pPr>
        <w:pStyle w:val="BodyText"/>
        <w:spacing w:line="360" w:lineRule="auto"/>
        <w:rPr>
          <w:rFonts w:ascii="Times New Roman" w:hAnsi="Times New Roman" w:cs="Times New Roman"/>
          <w:sz w:val="24"/>
          <w:szCs w:val="24"/>
        </w:rPr>
      </w:pPr>
    </w:p>
    <w:p w:rsidR="00F944E0" w:rsidRPr="008B2D41" w:rsidRDefault="00F944E0" w:rsidP="009E0B8B">
      <w:pPr>
        <w:pStyle w:val="Heading4"/>
        <w:spacing w:line="240" w:lineRule="auto"/>
        <w:contextualSpacing/>
        <w:jc w:val="both"/>
        <w:rPr>
          <w:rFonts w:ascii="Calibri" w:hAnsi="Calibri"/>
        </w:rPr>
      </w:pPr>
      <w:bookmarkStart w:id="113" w:name="_Toc254909693"/>
      <w:bookmarkStart w:id="114" w:name="_Toc268669788"/>
      <w:r w:rsidRPr="008B2D41">
        <w:rPr>
          <w:rFonts w:ascii="Calibri" w:hAnsi="Calibri"/>
        </w:rPr>
        <w:lastRenderedPageBreak/>
        <w:t>References</w:t>
      </w:r>
      <w:bookmarkEnd w:id="113"/>
      <w:bookmarkEnd w:id="114"/>
    </w:p>
    <w:p w:rsidR="00F944E0" w:rsidRDefault="00F944E0" w:rsidP="009E0B8B">
      <w:pPr>
        <w:spacing w:line="240" w:lineRule="auto"/>
        <w:contextualSpacing/>
      </w:pPr>
    </w:p>
    <w:p w:rsidR="00AD155C" w:rsidRDefault="00AD155C"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Armstrong, C.S., Barth, M.E., Jagolinzer, A.D. and Riedl, E.J. 2006. Market reaction to the adoption of IFRS in Europe. Stanford Research paper.</w:t>
      </w:r>
    </w:p>
    <w:p w:rsidR="00AD155C" w:rsidRDefault="00AD155C"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AD37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Ball, R., Kothari, S., Robin, A., 2000. The effect of international institutional factors on properties of accounting earnings. Journal of Accounting Research 31, 183-221</w:t>
      </w:r>
      <w:r w:rsidR="006E3383">
        <w:rPr>
          <w:rFonts w:ascii="Times New Roman" w:hAnsi="Times New Roman" w:cs="Times New Roman"/>
          <w:color w:val="000000"/>
          <w:sz w:val="24"/>
          <w:szCs w:val="24"/>
        </w:rPr>
        <w:t>.</w:t>
      </w:r>
    </w:p>
    <w:p w:rsidR="00F944E0" w:rsidRDefault="00AD37E0" w:rsidP="009E0B8B">
      <w:pPr>
        <w:pStyle w:val="NormalWeb"/>
        <w:jc w:val="both"/>
      </w:pPr>
      <w:r w:rsidRPr="008B2D41">
        <w:t>Ball, R., Robin, A., &amp; Wu, J. S. (2003). Incentives versus standards: Properties of accounting income in four east asian countries.</w:t>
      </w:r>
      <w:r w:rsidRPr="008B2D41">
        <w:rPr>
          <w:iCs/>
        </w:rPr>
        <w:t xml:space="preserve"> Journal of Accounting and Economics, 36</w:t>
      </w:r>
      <w:r w:rsidRPr="008B2D41">
        <w:t xml:space="preserve">(1-3), 235-270. </w:t>
      </w:r>
    </w:p>
    <w:p w:rsidR="002D34BB" w:rsidRPr="008B2D41" w:rsidRDefault="002D34BB" w:rsidP="009E0B8B">
      <w:pPr>
        <w:pStyle w:val="NormalWeb"/>
        <w:jc w:val="both"/>
        <w:rPr>
          <w:color w:val="000000"/>
        </w:rPr>
      </w:pPr>
      <w:r>
        <w:t>Barth, M.E., Elliott, J.A., Finn, M.W., 1995. Market Rewards Associated with Increasing Earnings Patterns, working paper</w:t>
      </w:r>
    </w:p>
    <w:p w:rsidR="00A565FE" w:rsidRPr="008B2D41" w:rsidRDefault="00A565FE"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Barth</w:t>
      </w:r>
      <w:r w:rsidR="000458D5"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M., Landsman, W. and Lang M., 2008. International Accounting Standards and Accounting Quality. Jou</w:t>
      </w:r>
      <w:r w:rsidR="008F7142">
        <w:rPr>
          <w:rFonts w:ascii="Times New Roman" w:eastAsia="TimesNewRoman" w:hAnsi="Times New Roman" w:cs="Times New Roman"/>
          <w:sz w:val="24"/>
          <w:szCs w:val="24"/>
        </w:rPr>
        <w:t>rnal of Accounting Research, 46, 467-497.</w:t>
      </w:r>
    </w:p>
    <w:p w:rsidR="00A565FE" w:rsidRPr="008B2D41" w:rsidRDefault="00A565FE" w:rsidP="009E0B8B">
      <w:pPr>
        <w:autoSpaceDE w:val="0"/>
        <w:autoSpaceDN w:val="0"/>
        <w:adjustRightInd w:val="0"/>
        <w:spacing w:after="0" w:line="240" w:lineRule="auto"/>
        <w:contextualSpacing/>
        <w:rPr>
          <w:rFonts w:ascii="Times New Roman" w:eastAsia="TimesNewRoman" w:hAnsi="Times New Roman" w:cs="Times New Roman"/>
          <w:sz w:val="24"/>
          <w:szCs w:val="24"/>
        </w:rPr>
      </w:pPr>
    </w:p>
    <w:p w:rsidR="00725398" w:rsidRPr="008B2D41" w:rsidRDefault="00725398" w:rsidP="009E0B8B">
      <w:pPr>
        <w:autoSpaceDE w:val="0"/>
        <w:autoSpaceDN w:val="0"/>
        <w:adjustRightInd w:val="0"/>
        <w:spacing w:after="0" w:line="240" w:lineRule="auto"/>
        <w:contextualSpacing/>
        <w:rPr>
          <w:rFonts w:ascii="Times New Roman" w:hAnsi="Times New Roman" w:cs="Times New Roman"/>
          <w:iCs/>
          <w:sz w:val="24"/>
          <w:szCs w:val="24"/>
        </w:rPr>
      </w:pPr>
      <w:r w:rsidRPr="008B2D41">
        <w:rPr>
          <w:rFonts w:ascii="Times New Roman" w:eastAsia="TimesNewRoman" w:hAnsi="Times New Roman" w:cs="Times New Roman"/>
          <w:sz w:val="24"/>
          <w:szCs w:val="24"/>
        </w:rPr>
        <w:t xml:space="preserve">Bartov,  E., 1993. The timing of asset sales and earnings manipulation. </w:t>
      </w:r>
      <w:r w:rsidRPr="008B2D41">
        <w:rPr>
          <w:rFonts w:ascii="Times New Roman" w:hAnsi="Times New Roman" w:cs="Times New Roman"/>
          <w:iCs/>
          <w:sz w:val="24"/>
          <w:szCs w:val="24"/>
        </w:rPr>
        <w:t>The Accounting</w:t>
      </w:r>
    </w:p>
    <w:p w:rsidR="00725398" w:rsidRPr="008B2D41" w:rsidRDefault="00725398"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hAnsi="Times New Roman" w:cs="Times New Roman"/>
          <w:iCs/>
          <w:sz w:val="24"/>
          <w:szCs w:val="24"/>
        </w:rPr>
        <w:t>Review</w:t>
      </w:r>
      <w:r w:rsidRPr="008B2D41">
        <w:rPr>
          <w:rFonts w:ascii="Times New Roman" w:eastAsia="TimesNewRoman" w:hAnsi="Times New Roman" w:cs="Times New Roman"/>
          <w:sz w:val="24"/>
          <w:szCs w:val="24"/>
        </w:rPr>
        <w:t>, 68, 840–855.</w:t>
      </w:r>
    </w:p>
    <w:p w:rsidR="00725398" w:rsidRPr="008B2D41" w:rsidRDefault="00725398" w:rsidP="009E0B8B">
      <w:pPr>
        <w:autoSpaceDE w:val="0"/>
        <w:autoSpaceDN w:val="0"/>
        <w:adjustRightInd w:val="0"/>
        <w:spacing w:after="0" w:line="240" w:lineRule="auto"/>
        <w:contextualSpacing/>
        <w:rPr>
          <w:rFonts w:ascii="Times New Roman" w:eastAsia="TimesNewRoman" w:hAnsi="Times New Roman" w:cs="Times New Roman"/>
          <w:sz w:val="24"/>
          <w:szCs w:val="24"/>
        </w:rPr>
      </w:pPr>
    </w:p>
    <w:p w:rsidR="00F944E0" w:rsidRPr="008B2D41" w:rsidRDefault="0035297E"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Bartov</w:t>
      </w:r>
      <w:r w:rsidR="000458D5"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w:t>
      </w:r>
      <w:r w:rsidR="00F944E0" w:rsidRPr="008B2D41">
        <w:rPr>
          <w:rFonts w:ascii="Times New Roman" w:eastAsia="TimesNewRoman" w:hAnsi="Times New Roman" w:cs="Times New Roman"/>
          <w:sz w:val="24"/>
          <w:szCs w:val="24"/>
        </w:rPr>
        <w:t xml:space="preserve"> E</w:t>
      </w:r>
      <w:r w:rsidRPr="008B2D41">
        <w:rPr>
          <w:rFonts w:ascii="Times New Roman" w:eastAsia="TimesNewRoman" w:hAnsi="Times New Roman" w:cs="Times New Roman"/>
          <w:sz w:val="24"/>
          <w:szCs w:val="24"/>
        </w:rPr>
        <w:t xml:space="preserve">., </w:t>
      </w:r>
      <w:r w:rsidR="00F944E0" w:rsidRPr="008B2D41">
        <w:rPr>
          <w:rFonts w:ascii="Times New Roman" w:eastAsia="TimesNewRoman" w:hAnsi="Times New Roman" w:cs="Times New Roman"/>
          <w:sz w:val="24"/>
          <w:szCs w:val="24"/>
        </w:rPr>
        <w:t>Gul</w:t>
      </w:r>
      <w:r w:rsidR="000458D5"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F.A.</w:t>
      </w:r>
      <w:r w:rsidR="00F944E0" w:rsidRPr="008B2D41">
        <w:rPr>
          <w:rFonts w:ascii="Times New Roman" w:eastAsia="TimesNewRoman" w:hAnsi="Times New Roman" w:cs="Times New Roman"/>
          <w:sz w:val="24"/>
          <w:szCs w:val="24"/>
        </w:rPr>
        <w:t>, and Tsui</w:t>
      </w:r>
      <w:r w:rsidR="000458D5"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J</w:t>
      </w:r>
      <w:r w:rsidR="00F944E0"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S.L.,</w:t>
      </w:r>
      <w:r w:rsidR="00F944E0" w:rsidRPr="008B2D41">
        <w:rPr>
          <w:rFonts w:ascii="Times New Roman" w:eastAsia="TimesNewRoman" w:hAnsi="Times New Roman" w:cs="Times New Roman"/>
          <w:sz w:val="24"/>
          <w:szCs w:val="24"/>
        </w:rPr>
        <w:t xml:space="preserve"> 2000. Discretionary-accruals models</w:t>
      </w:r>
    </w:p>
    <w:p w:rsidR="00F944E0" w:rsidRPr="008B2D41" w:rsidRDefault="00F944E0"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 xml:space="preserve">and audit qualifications. </w:t>
      </w:r>
      <w:r w:rsidRPr="008B2D41">
        <w:rPr>
          <w:rFonts w:ascii="Times New Roman" w:hAnsi="Times New Roman" w:cs="Times New Roman"/>
          <w:iCs/>
          <w:sz w:val="24"/>
          <w:szCs w:val="24"/>
        </w:rPr>
        <w:t>Journal of Accounting and Economics</w:t>
      </w:r>
      <w:r w:rsidR="0035297E" w:rsidRPr="008B2D41">
        <w:rPr>
          <w:rFonts w:ascii="Times New Roman" w:eastAsia="TimesNewRoman" w:hAnsi="Times New Roman" w:cs="Times New Roman"/>
          <w:sz w:val="24"/>
          <w:szCs w:val="24"/>
        </w:rPr>
        <w:t xml:space="preserve">, 30, </w:t>
      </w:r>
      <w:r w:rsidRPr="008B2D41">
        <w:rPr>
          <w:rFonts w:ascii="Times New Roman" w:eastAsia="TimesNewRoman" w:hAnsi="Times New Roman" w:cs="Times New Roman"/>
          <w:sz w:val="24"/>
          <w:szCs w:val="24"/>
        </w:rPr>
        <w:t xml:space="preserve"> 421–452.</w:t>
      </w:r>
    </w:p>
    <w:p w:rsidR="00F944E0" w:rsidRPr="00011566" w:rsidRDefault="00F944E0" w:rsidP="009E0B8B">
      <w:pPr>
        <w:autoSpaceDE w:val="0"/>
        <w:autoSpaceDN w:val="0"/>
        <w:adjustRightInd w:val="0"/>
        <w:spacing w:after="0" w:line="240" w:lineRule="auto"/>
        <w:contextualSpacing/>
        <w:rPr>
          <w:rFonts w:ascii="Times New Roman" w:eastAsia="TimesNewRoman" w:hAnsi="Times New Roman" w:cs="Times New Roman"/>
          <w:sz w:val="24"/>
          <w:szCs w:val="24"/>
        </w:rPr>
      </w:pPr>
    </w:p>
    <w:p w:rsidR="00725398" w:rsidRPr="00011566" w:rsidRDefault="00725398"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011566">
        <w:rPr>
          <w:rFonts w:ascii="Times New Roman" w:eastAsia="TimesNewRoman" w:hAnsi="Times New Roman" w:cs="Times New Roman"/>
          <w:sz w:val="24"/>
          <w:szCs w:val="24"/>
        </w:rPr>
        <w:t>Bartov, E., and Mohanram, P.S.,  2004. Private information, earnings manipulation, and</w:t>
      </w:r>
    </w:p>
    <w:p w:rsidR="00725398" w:rsidRPr="00011566" w:rsidRDefault="00725398"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011566">
        <w:rPr>
          <w:rFonts w:ascii="Times New Roman" w:eastAsia="TimesNewRoman" w:hAnsi="Times New Roman" w:cs="Times New Roman"/>
          <w:sz w:val="24"/>
          <w:szCs w:val="24"/>
        </w:rPr>
        <w:t xml:space="preserve">executive stock option exercises. </w:t>
      </w:r>
      <w:r w:rsidRPr="00011566">
        <w:rPr>
          <w:rFonts w:ascii="Times New Roman" w:hAnsi="Times New Roman" w:cs="Times New Roman"/>
          <w:iCs/>
          <w:sz w:val="24"/>
          <w:szCs w:val="24"/>
        </w:rPr>
        <w:t>The Accounting Review</w:t>
      </w:r>
      <w:r w:rsidRPr="00011566">
        <w:rPr>
          <w:rFonts w:ascii="Times New Roman" w:eastAsia="TimesNewRoman" w:hAnsi="Times New Roman" w:cs="Times New Roman"/>
          <w:sz w:val="24"/>
          <w:szCs w:val="24"/>
        </w:rPr>
        <w:t>, 79, 889–920.</w:t>
      </w:r>
    </w:p>
    <w:p w:rsidR="00386C3C" w:rsidRPr="00011566" w:rsidRDefault="00386C3C" w:rsidP="00386C3C">
      <w:pPr>
        <w:pStyle w:val="NormalWeb"/>
      </w:pPr>
      <w:r w:rsidRPr="00011566">
        <w:t>Beaver, W. H., McNichols, M. F., &amp; Nelson, K. K. 2003. Management of the loss reserve accrual and the distribution of earnings in the property-casualty insurance industry.</w:t>
      </w:r>
      <w:r w:rsidRPr="00011566">
        <w:rPr>
          <w:iCs/>
        </w:rPr>
        <w:t xml:space="preserve"> Journal of Accounting and Economics, 35</w:t>
      </w:r>
      <w:r w:rsidRPr="00011566">
        <w:t xml:space="preserve">, 347-376. </w:t>
      </w:r>
    </w:p>
    <w:p w:rsidR="00386C3C" w:rsidRDefault="00386C3C" w:rsidP="00386C3C">
      <w:pPr>
        <w:pStyle w:val="NormalWeb"/>
      </w:pPr>
      <w:r w:rsidRPr="00011566">
        <w:t>Beaver, W., McNichols, M., &amp; Price, R. 2007. Delisting returns and their effect on accounting-based market anomalies.</w:t>
      </w:r>
      <w:r w:rsidRPr="00011566">
        <w:rPr>
          <w:iCs/>
        </w:rPr>
        <w:t xml:space="preserve"> Journal of Accounting and Economics, 43</w:t>
      </w:r>
      <w:r w:rsidRPr="00011566">
        <w:t xml:space="preserve">, 341-368. </w:t>
      </w:r>
    </w:p>
    <w:p w:rsidR="001C5FEC" w:rsidRPr="001C5FEC" w:rsidRDefault="001C5FEC" w:rsidP="00386C3C">
      <w:pPr>
        <w:pStyle w:val="NormalWeb"/>
      </w:pPr>
      <w:r w:rsidRPr="001C5FEC">
        <w:t xml:space="preserve">Beidleman, C.R., 1973. </w:t>
      </w:r>
      <w:hyperlink r:id="rId10" w:history="1">
        <w:r w:rsidRPr="001C5FEC">
          <w:rPr>
            <w:rStyle w:val="title0"/>
          </w:rPr>
          <w:t>A Theory of Income and Dividend Smoothing Based on Incumbency Rents"</w:t>
        </w:r>
      </w:hyperlink>
      <w:r w:rsidRPr="001C5FEC">
        <w:t xml:space="preserve">, </w:t>
      </w:r>
      <w:hyperlink r:id="rId11" w:history="1">
        <w:r w:rsidRPr="001C5FEC">
          <w:rPr>
            <w:rStyle w:val="mediatitle1"/>
            <w:i w:val="0"/>
          </w:rPr>
          <w:t>Journal of Political Economy</w:t>
        </w:r>
      </w:hyperlink>
      <w:r w:rsidRPr="001C5FEC">
        <w:t>, 103, 75-93.</w:t>
      </w:r>
    </w:p>
    <w:p w:rsidR="00F944E0" w:rsidRPr="008B2D41" w:rsidRDefault="000458D5"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Beneish, M.</w:t>
      </w:r>
      <w:r w:rsidR="0035297E" w:rsidRPr="008B2D41">
        <w:rPr>
          <w:rFonts w:ascii="Times New Roman" w:eastAsia="TimesNewRoman" w:hAnsi="Times New Roman" w:cs="Times New Roman"/>
          <w:sz w:val="24"/>
          <w:szCs w:val="24"/>
        </w:rPr>
        <w:t>D. 1998</w:t>
      </w:r>
      <w:r w:rsidR="00F944E0" w:rsidRPr="008B2D41">
        <w:rPr>
          <w:rFonts w:ascii="Times New Roman" w:eastAsia="TimesNewRoman" w:hAnsi="Times New Roman" w:cs="Times New Roman"/>
          <w:sz w:val="24"/>
          <w:szCs w:val="24"/>
        </w:rPr>
        <w:t xml:space="preserve">. A call for paper: Earnings management. </w:t>
      </w:r>
      <w:r w:rsidR="00F944E0" w:rsidRPr="008B2D41">
        <w:rPr>
          <w:rFonts w:ascii="Times New Roman" w:hAnsi="Times New Roman" w:cs="Times New Roman"/>
          <w:iCs/>
          <w:sz w:val="24"/>
          <w:szCs w:val="24"/>
        </w:rPr>
        <w:t>Journal of Accounting</w:t>
      </w:r>
      <w:r w:rsidR="0035297E" w:rsidRPr="008B2D41">
        <w:rPr>
          <w:rFonts w:ascii="Times New Roman" w:hAnsi="Times New Roman" w:cs="Times New Roman"/>
          <w:iCs/>
          <w:sz w:val="24"/>
          <w:szCs w:val="24"/>
        </w:rPr>
        <w:t xml:space="preserve"> </w:t>
      </w:r>
      <w:r w:rsidR="00F944E0" w:rsidRPr="008B2D41">
        <w:rPr>
          <w:rFonts w:ascii="Times New Roman" w:hAnsi="Times New Roman" w:cs="Times New Roman"/>
          <w:iCs/>
          <w:sz w:val="24"/>
          <w:szCs w:val="24"/>
        </w:rPr>
        <w:t>and Public Policy</w:t>
      </w:r>
      <w:r w:rsidR="00F944E0" w:rsidRPr="008B2D41">
        <w:rPr>
          <w:rFonts w:ascii="Times New Roman" w:eastAsia="TimesNewRoman" w:hAnsi="Times New Roman" w:cs="Times New Roman"/>
          <w:sz w:val="24"/>
          <w:szCs w:val="24"/>
        </w:rPr>
        <w:t>, 17</w:t>
      </w:r>
      <w:r w:rsidR="0035297E" w:rsidRPr="008B2D41">
        <w:rPr>
          <w:rFonts w:ascii="Times New Roman" w:eastAsia="TimesNewRoman" w:hAnsi="Times New Roman" w:cs="Times New Roman"/>
          <w:sz w:val="24"/>
          <w:szCs w:val="24"/>
        </w:rPr>
        <w:t>,</w:t>
      </w:r>
      <w:r w:rsidR="00F944E0" w:rsidRPr="008B2D41">
        <w:rPr>
          <w:rFonts w:ascii="Times New Roman" w:eastAsia="TimesNewRoman" w:hAnsi="Times New Roman" w:cs="Times New Roman"/>
          <w:sz w:val="24"/>
          <w:szCs w:val="24"/>
        </w:rPr>
        <w:t xml:space="preserve"> 85–88.</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35297E"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Bhattacharya</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U., Daouk</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H., Welker</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w:t>
      </w:r>
      <w:r w:rsidR="00F944E0" w:rsidRPr="008B2D41">
        <w:rPr>
          <w:rFonts w:ascii="Times New Roman" w:hAnsi="Times New Roman" w:cs="Times New Roman"/>
          <w:color w:val="000000"/>
          <w:sz w:val="24"/>
          <w:szCs w:val="24"/>
        </w:rPr>
        <w:t>M., 2002. The world price of earnings opacity. The Accounting Review 78,</w:t>
      </w:r>
      <w:r w:rsidR="00011566">
        <w:rPr>
          <w:rFonts w:ascii="Times New Roman" w:hAnsi="Times New Roman" w:cs="Times New Roman"/>
          <w:color w:val="000000"/>
          <w:sz w:val="24"/>
          <w:szCs w:val="24"/>
        </w:rPr>
        <w:t xml:space="preserve"> </w:t>
      </w:r>
      <w:r w:rsidR="00F944E0" w:rsidRPr="008B2D41">
        <w:rPr>
          <w:rFonts w:ascii="Times New Roman" w:hAnsi="Times New Roman" w:cs="Times New Roman"/>
          <w:color w:val="000000"/>
          <w:sz w:val="24"/>
          <w:szCs w:val="24"/>
        </w:rPr>
        <w:t>3, 641-678.</w:t>
      </w:r>
    </w:p>
    <w:p w:rsidR="00A81017" w:rsidRDefault="00A81017"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A81017" w:rsidRDefault="00A81017" w:rsidP="009E0B8B">
      <w:pPr>
        <w:autoSpaceDE w:val="0"/>
        <w:autoSpaceDN w:val="0"/>
        <w:adjustRightInd w:val="0"/>
        <w:spacing w:after="0" w:line="240" w:lineRule="auto"/>
        <w:contextualSpacing/>
        <w:rPr>
          <w:rFonts w:ascii="Times New Roman" w:hAnsi="Times New Roman" w:cs="Times New Roman"/>
          <w:sz w:val="24"/>
          <w:szCs w:val="24"/>
        </w:rPr>
      </w:pPr>
      <w:r w:rsidRPr="00A81017">
        <w:rPr>
          <w:rFonts w:ascii="Times New Roman" w:hAnsi="Times New Roman" w:cs="Times New Roman"/>
          <w:sz w:val="24"/>
          <w:szCs w:val="24"/>
        </w:rPr>
        <w:t>Boonlert-u-thai,</w:t>
      </w:r>
      <w:r w:rsidR="00603A16">
        <w:rPr>
          <w:rFonts w:ascii="Times New Roman" w:hAnsi="Times New Roman" w:cs="Times New Roman"/>
          <w:sz w:val="24"/>
          <w:szCs w:val="24"/>
        </w:rPr>
        <w:t xml:space="preserve"> K., M</w:t>
      </w:r>
      <w:r w:rsidRPr="00A81017">
        <w:rPr>
          <w:rFonts w:ascii="Times New Roman" w:hAnsi="Times New Roman" w:cs="Times New Roman"/>
          <w:sz w:val="24"/>
          <w:szCs w:val="24"/>
        </w:rPr>
        <w:t>eek,</w:t>
      </w:r>
      <w:r w:rsidR="00603A16">
        <w:rPr>
          <w:rFonts w:ascii="Times New Roman" w:hAnsi="Times New Roman" w:cs="Times New Roman"/>
          <w:sz w:val="24"/>
          <w:szCs w:val="24"/>
        </w:rPr>
        <w:t xml:space="preserve"> G.,</w:t>
      </w:r>
      <w:r w:rsidRPr="00A81017">
        <w:rPr>
          <w:rFonts w:ascii="Times New Roman" w:hAnsi="Times New Roman" w:cs="Times New Roman"/>
          <w:sz w:val="24"/>
          <w:szCs w:val="24"/>
        </w:rPr>
        <w:t xml:space="preserve"> Nabar,</w:t>
      </w:r>
      <w:r w:rsidR="00603A16">
        <w:rPr>
          <w:rFonts w:ascii="Times New Roman" w:hAnsi="Times New Roman" w:cs="Times New Roman"/>
          <w:sz w:val="24"/>
          <w:szCs w:val="24"/>
        </w:rPr>
        <w:t xml:space="preserve"> S., 2006. </w:t>
      </w:r>
      <w:r w:rsidRPr="00A81017">
        <w:rPr>
          <w:rFonts w:ascii="Times New Roman" w:hAnsi="Times New Roman" w:cs="Times New Roman"/>
          <w:sz w:val="24"/>
          <w:szCs w:val="24"/>
        </w:rPr>
        <w:t xml:space="preserve">Earnings Attributes and Investor Protection: International Evidence, </w:t>
      </w:r>
      <w:r w:rsidRPr="00A81017">
        <w:rPr>
          <w:rFonts w:ascii="Times New Roman" w:hAnsi="Times New Roman" w:cs="Times New Roman"/>
          <w:iCs/>
          <w:sz w:val="24"/>
          <w:szCs w:val="24"/>
        </w:rPr>
        <w:t>International Journal of Accounting</w:t>
      </w:r>
      <w:r w:rsidRPr="00A81017">
        <w:rPr>
          <w:rFonts w:ascii="Times New Roman" w:hAnsi="Times New Roman" w:cs="Times New Roman"/>
          <w:sz w:val="24"/>
          <w:szCs w:val="24"/>
        </w:rPr>
        <w:t xml:space="preserve">, </w:t>
      </w:r>
      <w:r w:rsidRPr="00A81017">
        <w:rPr>
          <w:rFonts w:ascii="Times New Roman" w:hAnsi="Times New Roman" w:cs="Times New Roman"/>
          <w:iCs/>
          <w:sz w:val="24"/>
          <w:szCs w:val="24"/>
        </w:rPr>
        <w:t>41</w:t>
      </w:r>
      <w:r w:rsidRPr="00A81017">
        <w:rPr>
          <w:rFonts w:ascii="Times New Roman" w:hAnsi="Times New Roman" w:cs="Times New Roman"/>
          <w:sz w:val="24"/>
          <w:szCs w:val="24"/>
        </w:rPr>
        <w:t>, 327-357.</w:t>
      </w:r>
    </w:p>
    <w:p w:rsidR="005F5C03" w:rsidRDefault="005F5C03" w:rsidP="009E0B8B">
      <w:pPr>
        <w:autoSpaceDE w:val="0"/>
        <w:autoSpaceDN w:val="0"/>
        <w:adjustRightInd w:val="0"/>
        <w:spacing w:after="0" w:line="240" w:lineRule="auto"/>
        <w:contextualSpacing/>
        <w:rPr>
          <w:rFonts w:ascii="Times New Roman" w:hAnsi="Times New Roman" w:cs="Times New Roman"/>
          <w:sz w:val="24"/>
          <w:szCs w:val="24"/>
        </w:rPr>
      </w:pPr>
    </w:p>
    <w:p w:rsidR="005F5C03" w:rsidRPr="005F5C03" w:rsidRDefault="005F5C03" w:rsidP="009E0B8B">
      <w:pPr>
        <w:autoSpaceDE w:val="0"/>
        <w:autoSpaceDN w:val="0"/>
        <w:adjustRightInd w:val="0"/>
        <w:spacing w:after="0" w:line="240" w:lineRule="auto"/>
        <w:contextualSpacing/>
        <w:rPr>
          <w:rFonts w:ascii="Times New Roman" w:hAnsi="Times New Roman" w:cs="Times New Roman"/>
          <w:sz w:val="24"/>
          <w:szCs w:val="24"/>
        </w:rPr>
      </w:pPr>
      <w:r w:rsidRPr="005F5C03">
        <w:rPr>
          <w:rFonts w:ascii="Times New Roman" w:hAnsi="Times New Roman" w:cs="Times New Roman"/>
          <w:sz w:val="24"/>
          <w:szCs w:val="24"/>
        </w:rPr>
        <w:t>Braun, G. and Rodriguez</w:t>
      </w:r>
      <w:r>
        <w:rPr>
          <w:rFonts w:ascii="Times New Roman" w:hAnsi="Times New Roman" w:cs="Times New Roman"/>
          <w:sz w:val="24"/>
          <w:szCs w:val="24"/>
        </w:rPr>
        <w:t>, R.,</w:t>
      </w:r>
      <w:r w:rsidRPr="005F5C03">
        <w:rPr>
          <w:rFonts w:ascii="Times New Roman" w:hAnsi="Times New Roman" w:cs="Times New Roman"/>
          <w:b/>
          <w:bCs/>
          <w:sz w:val="24"/>
          <w:szCs w:val="24"/>
        </w:rPr>
        <w:t xml:space="preserve"> </w:t>
      </w:r>
      <w:r w:rsidRPr="005F5C03">
        <w:rPr>
          <w:rFonts w:ascii="Times New Roman" w:hAnsi="Times New Roman" w:cs="Times New Roman"/>
          <w:sz w:val="24"/>
          <w:szCs w:val="24"/>
        </w:rPr>
        <w:t>2008</w:t>
      </w:r>
      <w:r>
        <w:rPr>
          <w:rFonts w:ascii="Times New Roman" w:hAnsi="Times New Roman" w:cs="Times New Roman"/>
          <w:sz w:val="24"/>
          <w:szCs w:val="24"/>
        </w:rPr>
        <w:t>.</w:t>
      </w:r>
      <w:r w:rsidRPr="005F5C03">
        <w:rPr>
          <w:rFonts w:ascii="Times New Roman" w:hAnsi="Times New Roman" w:cs="Times New Roman"/>
          <w:sz w:val="24"/>
          <w:szCs w:val="24"/>
        </w:rPr>
        <w:t xml:space="preserve"> Earnings Management and Accounting Values: A Test of Gray (1988), </w:t>
      </w:r>
      <w:r w:rsidRPr="005F5C03">
        <w:rPr>
          <w:rFonts w:ascii="Times New Roman" w:hAnsi="Times New Roman" w:cs="Times New Roman"/>
          <w:iCs/>
          <w:sz w:val="24"/>
          <w:szCs w:val="24"/>
        </w:rPr>
        <w:t>Journal of International Accounting Research,</w:t>
      </w:r>
      <w:r w:rsidRPr="005F5C03">
        <w:rPr>
          <w:rFonts w:ascii="Times New Roman" w:hAnsi="Times New Roman" w:cs="Times New Roman"/>
          <w:sz w:val="24"/>
          <w:szCs w:val="24"/>
        </w:rPr>
        <w:t xml:space="preserve"> 7</w:t>
      </w:r>
      <w:r>
        <w:rPr>
          <w:rFonts w:ascii="Times New Roman" w:hAnsi="Times New Roman" w:cs="Times New Roman"/>
          <w:sz w:val="24"/>
          <w:szCs w:val="24"/>
        </w:rPr>
        <w:t>,</w:t>
      </w:r>
      <w:r w:rsidRPr="005F5C03">
        <w:rPr>
          <w:rFonts w:ascii="Times New Roman" w:hAnsi="Times New Roman" w:cs="Times New Roman"/>
          <w:sz w:val="24"/>
          <w:szCs w:val="24"/>
        </w:rPr>
        <w:t xml:space="preserve"> 1-23.</w:t>
      </w: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554DC6" w:rsidRDefault="00554DC6" w:rsidP="009E0B8B">
      <w:pPr>
        <w:autoSpaceDE w:val="0"/>
        <w:autoSpaceDN w:val="0"/>
        <w:adjustRightInd w:val="0"/>
        <w:spacing w:after="0" w:line="240" w:lineRule="auto"/>
        <w:contextualSpacing/>
        <w:rPr>
          <w:rFonts w:ascii="Times New Roman" w:hAnsi="Times New Roman" w:cs="Times New Roman"/>
          <w:sz w:val="24"/>
          <w:szCs w:val="24"/>
        </w:rPr>
      </w:pPr>
      <w:r w:rsidRPr="00554DC6">
        <w:rPr>
          <w:rFonts w:ascii="Times New Roman" w:hAnsi="Times New Roman" w:cs="Times New Roman"/>
          <w:sz w:val="24"/>
          <w:szCs w:val="24"/>
        </w:rPr>
        <w:lastRenderedPageBreak/>
        <w:t>Brock</w:t>
      </w:r>
      <w:r>
        <w:rPr>
          <w:rFonts w:ascii="Times New Roman" w:hAnsi="Times New Roman" w:cs="Times New Roman"/>
          <w:sz w:val="24"/>
          <w:szCs w:val="24"/>
        </w:rPr>
        <w:t xml:space="preserve">man, P., and D.Y. Chung, 2008. </w:t>
      </w:r>
      <w:r w:rsidRPr="00554DC6">
        <w:rPr>
          <w:rFonts w:ascii="Times New Roman" w:hAnsi="Times New Roman" w:cs="Times New Roman"/>
          <w:sz w:val="24"/>
          <w:szCs w:val="24"/>
        </w:rPr>
        <w:t>Investor Protection, Adverse Selection, and the P</w:t>
      </w:r>
      <w:r>
        <w:rPr>
          <w:rFonts w:ascii="Times New Roman" w:hAnsi="Times New Roman" w:cs="Times New Roman"/>
          <w:sz w:val="24"/>
          <w:szCs w:val="24"/>
        </w:rPr>
        <w:t>robability of Informed Trading,</w:t>
      </w:r>
      <w:r w:rsidRPr="00554DC6">
        <w:rPr>
          <w:rFonts w:ascii="Times New Roman" w:hAnsi="Times New Roman" w:cs="Times New Roman"/>
          <w:sz w:val="24"/>
          <w:szCs w:val="24"/>
        </w:rPr>
        <w:t xml:space="preserve"> </w:t>
      </w:r>
      <w:r w:rsidRPr="00554DC6">
        <w:rPr>
          <w:rFonts w:ascii="Times New Roman" w:hAnsi="Times New Roman" w:cs="Times New Roman"/>
          <w:iCs/>
          <w:sz w:val="24"/>
          <w:szCs w:val="24"/>
        </w:rPr>
        <w:t>Review of Quantitative Finance and Accounting</w:t>
      </w:r>
      <w:r w:rsidRPr="00554DC6">
        <w:rPr>
          <w:rFonts w:ascii="Times New Roman" w:hAnsi="Times New Roman" w:cs="Times New Roman"/>
          <w:sz w:val="24"/>
          <w:szCs w:val="24"/>
        </w:rPr>
        <w:t xml:space="preserve"> 2, 111-131.</w:t>
      </w:r>
    </w:p>
    <w:p w:rsidR="00554DC6" w:rsidRPr="00554DC6" w:rsidRDefault="00554DC6" w:rsidP="009E0B8B">
      <w:pPr>
        <w:autoSpaceDE w:val="0"/>
        <w:autoSpaceDN w:val="0"/>
        <w:adjustRightInd w:val="0"/>
        <w:spacing w:after="0" w:line="240" w:lineRule="auto"/>
        <w:contextualSpacing/>
        <w:rPr>
          <w:rFonts w:ascii="Times New Roman" w:hAnsi="Times New Roman" w:cs="Times New Roman"/>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Burgstahler</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D., Dichev</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I., 1997. Earnings management to avoid earnings decreases and losses. Journal of Accounting and Economics 24, 99–129.</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2E26BC"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Cahan</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S., Liu</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G. and Sun</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J., 2008. Investor Protection, Income Smoothing, and Earnings Informativeness. Journal of International Accounting Research 7, 1, 1-24.</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2E26BC"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Cohen</w:t>
      </w:r>
      <w:r w:rsidR="00AF040A"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D.A.</w:t>
      </w:r>
      <w:r w:rsidR="00F944E0" w:rsidRPr="008B2D41">
        <w:rPr>
          <w:rFonts w:ascii="Times New Roman" w:eastAsia="TimesNewRoman" w:hAnsi="Times New Roman" w:cs="Times New Roman"/>
          <w:sz w:val="24"/>
          <w:szCs w:val="24"/>
        </w:rPr>
        <w:t>, Dey</w:t>
      </w:r>
      <w:r w:rsidR="00AF040A"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A., and </w:t>
      </w:r>
      <w:r w:rsidR="00F944E0" w:rsidRPr="008B2D41">
        <w:rPr>
          <w:rFonts w:ascii="Times New Roman" w:eastAsia="TimesNewRoman" w:hAnsi="Times New Roman" w:cs="Times New Roman"/>
          <w:sz w:val="24"/>
          <w:szCs w:val="24"/>
        </w:rPr>
        <w:t>Lys</w:t>
      </w:r>
      <w:r w:rsidR="00AF040A"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T</w:t>
      </w:r>
      <w:r w:rsidR="00F944E0"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Z.,</w:t>
      </w:r>
      <w:r w:rsidR="00F944E0" w:rsidRPr="008B2D41">
        <w:rPr>
          <w:rFonts w:ascii="Times New Roman" w:eastAsia="TimesNewRoman" w:hAnsi="Times New Roman" w:cs="Times New Roman"/>
          <w:sz w:val="24"/>
          <w:szCs w:val="24"/>
        </w:rPr>
        <w:t xml:space="preserve"> 2005. Trends in earnings management and informativeness of earnings announcements in the pre- and post-Sarbanes Oxley periods. </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9E0B8B" w:rsidRPr="008B2D41" w:rsidRDefault="009E0B8B" w:rsidP="009E0B8B">
      <w:pPr>
        <w:pStyle w:val="NormalWeb"/>
        <w:jc w:val="both"/>
      </w:pPr>
      <w:r w:rsidRPr="008B2D41">
        <w:t xml:space="preserve">Callao, S., Jarne, J. I., </w:t>
      </w:r>
      <w:r w:rsidR="00860FD5">
        <w:t>and</w:t>
      </w:r>
      <w:r w:rsidRPr="008B2D41">
        <w:t xml:space="preserve"> Laínez, J. A. 2007. Adoption of IFRS in spain: Effect on the comparability and relevance of financial reporting.</w:t>
      </w:r>
      <w:r w:rsidRPr="008B2D41">
        <w:rPr>
          <w:iCs/>
        </w:rPr>
        <w:t xml:space="preserve"> Journal of International Accounting, Auditing and Taxation, 16</w:t>
      </w:r>
      <w:r w:rsidRPr="008B2D41">
        <w:t xml:space="preserve">, 148-178. </w:t>
      </w:r>
    </w:p>
    <w:p w:rsidR="009E0B8B" w:rsidRPr="008B2D41" w:rsidRDefault="009E0B8B" w:rsidP="007B6639">
      <w:pPr>
        <w:pStyle w:val="NormalWeb"/>
        <w:jc w:val="both"/>
        <w:rPr>
          <w:color w:val="000000"/>
        </w:rPr>
      </w:pPr>
      <w:r w:rsidRPr="008B2D41">
        <w:t>Carmona, S., &amp; Trombetta, M. 2008. On the global acceptance of IAS/IFRS accounting standards: The logic and implications of the principles-based system.</w:t>
      </w:r>
      <w:r w:rsidRPr="008B2D41">
        <w:rPr>
          <w:iCs/>
        </w:rPr>
        <w:t xml:space="preserve"> Journal of Accounting and Public Policy, 27</w:t>
      </w:r>
      <w:r w:rsidRPr="008B2D41">
        <w:t xml:space="preserve">(6), 455-461. </w:t>
      </w:r>
    </w:p>
    <w:p w:rsidR="00F944E0" w:rsidRDefault="00843891"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Cornett</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w:t>
      </w:r>
      <w:r w:rsidR="00F944E0" w:rsidRPr="008B2D41">
        <w:rPr>
          <w:rFonts w:ascii="Times New Roman" w:hAnsi="Times New Roman" w:cs="Times New Roman"/>
          <w:color w:val="000000"/>
          <w:sz w:val="24"/>
          <w:szCs w:val="24"/>
        </w:rPr>
        <w:t>M., Marcus</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A., and Teheranian</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H., 2008.  Corporate Governance and pay-for performance: The impact of earnings management. Journal of Financial Economics 87, 357–373.</w:t>
      </w:r>
    </w:p>
    <w:p w:rsidR="00A9551C" w:rsidRDefault="00A9551C"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A9551C" w:rsidRPr="00A9551C" w:rsidRDefault="00A9551C"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A9551C">
        <w:rPr>
          <w:rFonts w:ascii="Times New Roman" w:hAnsi="Times New Roman" w:cs="Times New Roman"/>
          <w:sz w:val="24"/>
          <w:szCs w:val="24"/>
        </w:rPr>
        <w:t>Daniel, N</w:t>
      </w:r>
      <w:r>
        <w:rPr>
          <w:rFonts w:ascii="Times New Roman" w:hAnsi="Times New Roman" w:cs="Times New Roman"/>
          <w:sz w:val="24"/>
          <w:szCs w:val="24"/>
        </w:rPr>
        <w:t>.</w:t>
      </w:r>
      <w:r w:rsidRPr="00A9551C">
        <w:rPr>
          <w:rFonts w:ascii="Times New Roman" w:hAnsi="Times New Roman" w:cs="Times New Roman"/>
          <w:sz w:val="24"/>
          <w:szCs w:val="24"/>
        </w:rPr>
        <w:t>, Denis, D</w:t>
      </w:r>
      <w:r>
        <w:rPr>
          <w:rFonts w:ascii="Times New Roman" w:hAnsi="Times New Roman" w:cs="Times New Roman"/>
          <w:sz w:val="24"/>
          <w:szCs w:val="24"/>
        </w:rPr>
        <w:t>.</w:t>
      </w:r>
      <w:r w:rsidRPr="00A9551C">
        <w:rPr>
          <w:rFonts w:ascii="Times New Roman" w:hAnsi="Times New Roman" w:cs="Times New Roman"/>
          <w:sz w:val="24"/>
          <w:szCs w:val="24"/>
        </w:rPr>
        <w:t xml:space="preserve"> and Naveen, L</w:t>
      </w:r>
      <w:r>
        <w:rPr>
          <w:rFonts w:ascii="Times New Roman" w:hAnsi="Times New Roman" w:cs="Times New Roman"/>
          <w:sz w:val="24"/>
          <w:szCs w:val="24"/>
        </w:rPr>
        <w:t>., 2008</w:t>
      </w:r>
      <w:r w:rsidRPr="00A9551C">
        <w:rPr>
          <w:rFonts w:ascii="Times New Roman" w:hAnsi="Times New Roman" w:cs="Times New Roman"/>
          <w:sz w:val="24"/>
          <w:szCs w:val="24"/>
        </w:rPr>
        <w:t>. Do firms manage earnings to meet</w:t>
      </w:r>
      <w:r>
        <w:rPr>
          <w:rFonts w:ascii="Times New Roman" w:hAnsi="Times New Roman" w:cs="Times New Roman"/>
          <w:sz w:val="24"/>
          <w:szCs w:val="24"/>
        </w:rPr>
        <w:t xml:space="preserve"> dividend thresholds?</w:t>
      </w:r>
      <w:r w:rsidRPr="00A9551C">
        <w:rPr>
          <w:rFonts w:ascii="Times New Roman" w:hAnsi="Times New Roman" w:cs="Times New Roman"/>
          <w:sz w:val="24"/>
          <w:szCs w:val="24"/>
        </w:rPr>
        <w:t xml:space="preserve"> </w:t>
      </w:r>
      <w:r>
        <w:rPr>
          <w:rFonts w:ascii="Times New Roman" w:hAnsi="Times New Roman" w:cs="Times New Roman"/>
          <w:sz w:val="24"/>
          <w:szCs w:val="24"/>
        </w:rPr>
        <w:t xml:space="preserve"> Journal of Accounting and Economics, 45, </w:t>
      </w:r>
      <w:r w:rsidRPr="00A9551C">
        <w:rPr>
          <w:rFonts w:ascii="Times New Roman" w:hAnsi="Times New Roman" w:cs="Times New Roman"/>
          <w:sz w:val="24"/>
          <w:szCs w:val="24"/>
        </w:rPr>
        <w:t>2-26</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E05012" w:rsidRPr="008B2D41" w:rsidRDefault="00E05012" w:rsidP="009E0B8B">
      <w:pPr>
        <w:autoSpaceDE w:val="0"/>
        <w:autoSpaceDN w:val="0"/>
        <w:adjustRightInd w:val="0"/>
        <w:spacing w:after="0" w:line="240" w:lineRule="auto"/>
        <w:contextualSpacing/>
        <w:rPr>
          <w:rFonts w:ascii="Times New Roman" w:hAnsi="Times New Roman" w:cs="Times New Roman"/>
          <w:sz w:val="24"/>
          <w:szCs w:val="24"/>
          <w:lang w:bidi="ar-SA"/>
        </w:rPr>
      </w:pPr>
      <w:r w:rsidRPr="008B2D41">
        <w:rPr>
          <w:rFonts w:ascii="Times New Roman" w:hAnsi="Times New Roman" w:cs="Times New Roman"/>
          <w:sz w:val="24"/>
          <w:szCs w:val="24"/>
          <w:lang w:bidi="ar-SA"/>
        </w:rPr>
        <w:t>Daske</w:t>
      </w:r>
      <w:r w:rsidR="00AF040A" w:rsidRPr="008B2D41">
        <w:rPr>
          <w:rFonts w:ascii="Times New Roman" w:hAnsi="Times New Roman" w:cs="Times New Roman"/>
          <w:sz w:val="24"/>
          <w:szCs w:val="24"/>
          <w:lang w:bidi="ar-SA"/>
        </w:rPr>
        <w:t>,</w:t>
      </w:r>
      <w:r w:rsidR="00843891" w:rsidRPr="008B2D41">
        <w:rPr>
          <w:rFonts w:ascii="Times New Roman" w:hAnsi="Times New Roman" w:cs="Times New Roman"/>
          <w:sz w:val="24"/>
          <w:szCs w:val="24"/>
          <w:lang w:bidi="ar-SA"/>
        </w:rPr>
        <w:t xml:space="preserve"> </w:t>
      </w:r>
      <w:r w:rsidRPr="008B2D41">
        <w:rPr>
          <w:rFonts w:ascii="Times New Roman" w:hAnsi="Times New Roman" w:cs="Times New Roman"/>
          <w:sz w:val="24"/>
          <w:szCs w:val="24"/>
          <w:lang w:bidi="ar-SA"/>
        </w:rPr>
        <w:t>H., Hail</w:t>
      </w:r>
      <w:r w:rsidR="00AF040A" w:rsidRPr="008B2D41">
        <w:rPr>
          <w:rFonts w:ascii="Times New Roman" w:hAnsi="Times New Roman" w:cs="Times New Roman"/>
          <w:sz w:val="24"/>
          <w:szCs w:val="24"/>
          <w:lang w:bidi="ar-SA"/>
        </w:rPr>
        <w:t>,</w:t>
      </w:r>
      <w:r w:rsidRPr="008B2D41">
        <w:rPr>
          <w:rFonts w:ascii="Times New Roman" w:hAnsi="Times New Roman" w:cs="Times New Roman"/>
          <w:sz w:val="24"/>
          <w:szCs w:val="24"/>
          <w:lang w:bidi="ar-SA"/>
        </w:rPr>
        <w:t xml:space="preserve"> C., Leuz</w:t>
      </w:r>
      <w:r w:rsidR="00AF040A" w:rsidRPr="008B2D41">
        <w:rPr>
          <w:rFonts w:ascii="Times New Roman" w:hAnsi="Times New Roman" w:cs="Times New Roman"/>
          <w:sz w:val="24"/>
          <w:szCs w:val="24"/>
          <w:lang w:bidi="ar-SA"/>
        </w:rPr>
        <w:t>,</w:t>
      </w:r>
      <w:r w:rsidR="00843891" w:rsidRPr="008B2D41">
        <w:rPr>
          <w:rFonts w:ascii="Times New Roman" w:hAnsi="Times New Roman" w:cs="Times New Roman"/>
          <w:sz w:val="24"/>
          <w:szCs w:val="24"/>
          <w:lang w:bidi="ar-SA"/>
        </w:rPr>
        <w:t xml:space="preserve"> C. and Verdi</w:t>
      </w:r>
      <w:r w:rsidR="00AF040A" w:rsidRPr="008B2D41">
        <w:rPr>
          <w:rFonts w:ascii="Times New Roman" w:hAnsi="Times New Roman" w:cs="Times New Roman"/>
          <w:sz w:val="24"/>
          <w:szCs w:val="24"/>
          <w:lang w:bidi="ar-SA"/>
        </w:rPr>
        <w:t>,</w:t>
      </w:r>
      <w:r w:rsidRPr="008B2D41">
        <w:rPr>
          <w:rFonts w:ascii="Times New Roman" w:hAnsi="Times New Roman" w:cs="Times New Roman"/>
          <w:sz w:val="24"/>
          <w:szCs w:val="24"/>
          <w:lang w:bidi="ar-SA"/>
        </w:rPr>
        <w:t xml:space="preserve"> R., Mandatory IFRS reporting around the World: Early evidence of the Economic Consequences. Journal of Accounting Research 46</w:t>
      </w:r>
    </w:p>
    <w:p w:rsidR="009E0B8B" w:rsidRPr="008B2D41" w:rsidRDefault="009E0B8B" w:rsidP="009E0B8B">
      <w:pPr>
        <w:autoSpaceDE w:val="0"/>
        <w:autoSpaceDN w:val="0"/>
        <w:adjustRightInd w:val="0"/>
        <w:spacing w:after="0" w:line="240" w:lineRule="auto"/>
        <w:contextualSpacing/>
        <w:rPr>
          <w:rFonts w:ascii="Times New Roman" w:hAnsi="Times New Roman" w:cs="Times New Roman"/>
          <w:sz w:val="24"/>
          <w:szCs w:val="24"/>
          <w:lang w:bidi="ar-SA"/>
        </w:rPr>
      </w:pPr>
    </w:p>
    <w:p w:rsidR="009E0B8B" w:rsidRPr="008B2D41" w:rsidRDefault="009E0B8B"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Dechow, P., Sloan, R., Sweeney, A., 1995. Detecting earnings management. The Accounting Review 70, 193–225.</w:t>
      </w:r>
    </w:p>
    <w:p w:rsidR="00E05012" w:rsidRPr="008B2D41" w:rsidRDefault="00E05012"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843891"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Dechow</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P., Skinner</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D., 2000. Earnings management: reconciling the views of accounting academics, practitioners, and regulators. Accounting Horizons 14, 235–250.</w:t>
      </w:r>
    </w:p>
    <w:p w:rsidR="009E0B8B" w:rsidRPr="008B2D41" w:rsidRDefault="009E0B8B" w:rsidP="009E0B8B">
      <w:pPr>
        <w:pStyle w:val="NormalWeb"/>
        <w:jc w:val="both"/>
      </w:pPr>
      <w:r w:rsidRPr="008B2D41">
        <w:t>DeFond, M., Hung, M., &amp; Trezevant, R. 2007. Investor protection and the information content of annual earnings announcements: International evidence.</w:t>
      </w:r>
      <w:r w:rsidRPr="008B2D41">
        <w:rPr>
          <w:iCs/>
        </w:rPr>
        <w:t xml:space="preserve"> Journal of Accounting and Economics, 43</w:t>
      </w:r>
      <w:r w:rsidRPr="008B2D41">
        <w:t xml:space="preserve">(1), 37-67. </w:t>
      </w: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Djankov</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S., La Porta</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R., Lopez-de-Silanes</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F., Shleifer</w:t>
      </w:r>
      <w:r w:rsidR="00AF040A"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A. </w:t>
      </w:r>
      <w:r w:rsidR="00B53056" w:rsidRPr="008B2D41">
        <w:rPr>
          <w:rFonts w:ascii="Times New Roman" w:hAnsi="Times New Roman" w:cs="Times New Roman"/>
          <w:color w:val="000000"/>
          <w:sz w:val="24"/>
          <w:szCs w:val="24"/>
        </w:rPr>
        <w:t>200</w:t>
      </w:r>
      <w:r w:rsidR="008F7142">
        <w:rPr>
          <w:rFonts w:ascii="Times New Roman" w:hAnsi="Times New Roman" w:cs="Times New Roman"/>
          <w:color w:val="000000"/>
          <w:sz w:val="24"/>
          <w:szCs w:val="24"/>
        </w:rPr>
        <w:t>7</w:t>
      </w:r>
      <w:r w:rsidR="00B53056" w:rsidRPr="008B2D41">
        <w:rPr>
          <w:rFonts w:ascii="Times New Roman" w:hAnsi="Times New Roman" w:cs="Times New Roman"/>
          <w:color w:val="000000"/>
          <w:sz w:val="24"/>
          <w:szCs w:val="24"/>
        </w:rPr>
        <w:t xml:space="preserve">. </w:t>
      </w:r>
      <w:r w:rsidRPr="008B2D41">
        <w:rPr>
          <w:rFonts w:ascii="Times New Roman" w:hAnsi="Times New Roman" w:cs="Times New Roman"/>
          <w:color w:val="000000"/>
          <w:sz w:val="24"/>
          <w:szCs w:val="24"/>
        </w:rPr>
        <w:t>The law and economics of self-dealing. Journal of Financial Economics, 88, 430-463</w:t>
      </w:r>
    </w:p>
    <w:p w:rsidR="00CD56B3" w:rsidRDefault="00CD56B3"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CD56B3" w:rsidRDefault="00CD56B3"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Durtschi, C. and Easton, P., 2004. Earnings management? Alternative explanations for observed discontinuities in the frequency distributions of earnings, earnings changes, and analyst forecast errors.</w:t>
      </w:r>
    </w:p>
    <w:p w:rsidR="00944842" w:rsidRDefault="00944842"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944842" w:rsidRPr="00944842" w:rsidRDefault="00944842" w:rsidP="009E0B8B">
      <w:pPr>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lastRenderedPageBreak/>
        <w:t xml:space="preserve">Dye, R.A., 1988. </w:t>
      </w:r>
      <w:hyperlink r:id="rId12" w:history="1">
        <w:r w:rsidRPr="00944842">
          <w:rPr>
            <w:rStyle w:val="title0"/>
            <w:rFonts w:ascii="Times New Roman" w:hAnsi="Times New Roman" w:cs="Times New Roman"/>
            <w:sz w:val="24"/>
            <w:szCs w:val="24"/>
          </w:rPr>
          <w:t>A Theory of Income and Dividend Smoothing Based on Incumbency Rents"</w:t>
        </w:r>
      </w:hyperlink>
      <w:r w:rsidRPr="00944842">
        <w:rPr>
          <w:rFonts w:ascii="Times New Roman" w:hAnsi="Times New Roman" w:cs="Times New Roman"/>
          <w:sz w:val="24"/>
          <w:szCs w:val="24"/>
        </w:rPr>
        <w:t xml:space="preserve">, </w:t>
      </w:r>
      <w:hyperlink r:id="rId13" w:history="1">
        <w:r w:rsidRPr="00944842">
          <w:rPr>
            <w:rStyle w:val="mediatitle1"/>
            <w:rFonts w:ascii="Times New Roman" w:hAnsi="Times New Roman" w:cs="Times New Roman"/>
            <w:i w:val="0"/>
            <w:sz w:val="24"/>
            <w:szCs w:val="24"/>
          </w:rPr>
          <w:t>Journal of Political Economy</w:t>
        </w:r>
      </w:hyperlink>
      <w:r>
        <w:rPr>
          <w:rFonts w:ascii="Times New Roman" w:hAnsi="Times New Roman" w:cs="Times New Roman"/>
          <w:sz w:val="24"/>
          <w:szCs w:val="24"/>
        </w:rPr>
        <w:t xml:space="preserve">, </w:t>
      </w:r>
      <w:r w:rsidRPr="00944842">
        <w:rPr>
          <w:rFonts w:ascii="Times New Roman" w:hAnsi="Times New Roman" w:cs="Times New Roman"/>
          <w:sz w:val="24"/>
          <w:szCs w:val="24"/>
        </w:rPr>
        <w:t>103, 75-93.</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202472" w:rsidP="009E0B8B">
      <w:pPr>
        <w:spacing w:line="240" w:lineRule="auto"/>
        <w:contextualSpacing/>
        <w:outlineLvl w:val="0"/>
        <w:rPr>
          <w:rFonts w:ascii="Times New Roman" w:hAnsi="Times New Roman" w:cs="Times New Roman"/>
          <w:sz w:val="24"/>
          <w:szCs w:val="24"/>
          <w:lang w:val="en-GB"/>
        </w:rPr>
      </w:pPr>
      <w:bookmarkStart w:id="115" w:name="_Toc254909694"/>
      <w:bookmarkStart w:id="116" w:name="_Toc268230087"/>
      <w:bookmarkStart w:id="117" w:name="_Toc268634885"/>
      <w:bookmarkStart w:id="118" w:name="_Toc268639975"/>
      <w:bookmarkStart w:id="119" w:name="_Toc268655822"/>
      <w:bookmarkStart w:id="120" w:name="_Toc268669789"/>
      <w:r w:rsidRPr="008B2D41">
        <w:rPr>
          <w:rFonts w:ascii="Times New Roman" w:hAnsi="Times New Roman" w:cs="Times New Roman"/>
          <w:sz w:val="24"/>
          <w:szCs w:val="24"/>
          <w:lang w:val="en-GB"/>
        </w:rPr>
        <w:t>Eckel</w:t>
      </w:r>
      <w:r w:rsidR="00AF040A" w:rsidRPr="008B2D41">
        <w:rPr>
          <w:rFonts w:ascii="Times New Roman" w:hAnsi="Times New Roman" w:cs="Times New Roman"/>
          <w:sz w:val="24"/>
          <w:szCs w:val="24"/>
          <w:lang w:val="en-GB"/>
        </w:rPr>
        <w:t>,</w:t>
      </w:r>
      <w:r w:rsidR="00F944E0" w:rsidRPr="008B2D41">
        <w:rPr>
          <w:rFonts w:ascii="Times New Roman" w:hAnsi="Times New Roman" w:cs="Times New Roman"/>
          <w:sz w:val="24"/>
          <w:szCs w:val="24"/>
          <w:lang w:val="en-GB"/>
        </w:rPr>
        <w:t xml:space="preserve"> N.</w:t>
      </w:r>
      <w:r w:rsidR="000503FB" w:rsidRPr="008B2D41">
        <w:rPr>
          <w:rFonts w:ascii="Times New Roman" w:hAnsi="Times New Roman" w:cs="Times New Roman"/>
          <w:sz w:val="24"/>
          <w:szCs w:val="24"/>
          <w:lang w:val="en-GB"/>
        </w:rPr>
        <w:t xml:space="preserve">, </w:t>
      </w:r>
      <w:r w:rsidR="00F944E0" w:rsidRPr="008B2D41">
        <w:rPr>
          <w:rFonts w:ascii="Times New Roman" w:hAnsi="Times New Roman" w:cs="Times New Roman"/>
          <w:sz w:val="24"/>
          <w:szCs w:val="24"/>
          <w:lang w:val="en-GB"/>
        </w:rPr>
        <w:t xml:space="preserve">1981, The Smoothing Hypothesis Revisited, </w:t>
      </w:r>
      <w:r w:rsidR="00F944E0" w:rsidRPr="008B2D41">
        <w:rPr>
          <w:rFonts w:ascii="Times New Roman" w:hAnsi="Times New Roman" w:cs="Times New Roman"/>
          <w:iCs/>
          <w:sz w:val="24"/>
          <w:szCs w:val="24"/>
          <w:lang w:val="en-GB"/>
        </w:rPr>
        <w:t xml:space="preserve">Abacus </w:t>
      </w:r>
      <w:r w:rsidR="0066691C">
        <w:rPr>
          <w:rFonts w:ascii="Times New Roman" w:hAnsi="Times New Roman" w:cs="Times New Roman"/>
          <w:sz w:val="24"/>
          <w:szCs w:val="24"/>
          <w:lang w:val="en-GB"/>
        </w:rPr>
        <w:t xml:space="preserve">, </w:t>
      </w:r>
      <w:r w:rsidR="00F944E0" w:rsidRPr="008B2D41">
        <w:rPr>
          <w:rFonts w:ascii="Times New Roman" w:hAnsi="Times New Roman" w:cs="Times New Roman"/>
          <w:sz w:val="24"/>
          <w:szCs w:val="24"/>
          <w:lang w:val="en-GB"/>
        </w:rPr>
        <w:t>77, 28-40</w:t>
      </w:r>
      <w:bookmarkEnd w:id="115"/>
      <w:bookmarkEnd w:id="116"/>
      <w:bookmarkEnd w:id="117"/>
      <w:bookmarkEnd w:id="118"/>
      <w:bookmarkEnd w:id="119"/>
      <w:bookmarkEnd w:id="120"/>
    </w:p>
    <w:p w:rsidR="00AF3FD5" w:rsidRDefault="00AF3FD5" w:rsidP="009E0B8B">
      <w:pPr>
        <w:spacing w:line="240" w:lineRule="auto"/>
        <w:contextualSpacing/>
        <w:outlineLvl w:val="0"/>
        <w:rPr>
          <w:rFonts w:ascii="Times New Roman" w:hAnsi="Times New Roman" w:cs="Times New Roman"/>
          <w:sz w:val="24"/>
          <w:szCs w:val="24"/>
          <w:lang w:val="en-GB"/>
        </w:rPr>
      </w:pPr>
    </w:p>
    <w:p w:rsidR="00AF3FD5" w:rsidRPr="00AF3FD5" w:rsidRDefault="00AF3FD5" w:rsidP="009E0B8B">
      <w:pPr>
        <w:spacing w:line="240" w:lineRule="auto"/>
        <w:contextualSpacing/>
        <w:outlineLvl w:val="0"/>
        <w:rPr>
          <w:rFonts w:ascii="Times New Roman" w:hAnsi="Times New Roman" w:cs="Times New Roman"/>
          <w:sz w:val="24"/>
          <w:szCs w:val="24"/>
          <w:lang w:val="en-GB"/>
        </w:rPr>
      </w:pPr>
      <w:bookmarkStart w:id="121" w:name="_Toc268655823"/>
      <w:bookmarkStart w:id="122" w:name="_Toc268669790"/>
      <w:r w:rsidRPr="00AF3FD5">
        <w:rPr>
          <w:rFonts w:ascii="Times New Roman" w:hAnsi="Times New Roman" w:cs="Times New Roman"/>
          <w:sz w:val="24"/>
          <w:szCs w:val="24"/>
        </w:rPr>
        <w:t>Erickson, M., Hanlon M., and Maydew,</w:t>
      </w:r>
      <w:r>
        <w:rPr>
          <w:rFonts w:ascii="Times New Roman" w:hAnsi="Times New Roman" w:cs="Times New Roman"/>
          <w:sz w:val="24"/>
          <w:szCs w:val="24"/>
        </w:rPr>
        <w:t xml:space="preserve"> E.L.,</w:t>
      </w:r>
      <w:r w:rsidRPr="00AF3FD5">
        <w:rPr>
          <w:rFonts w:ascii="Times New Roman" w:hAnsi="Times New Roman" w:cs="Times New Roman"/>
          <w:sz w:val="24"/>
          <w:szCs w:val="24"/>
        </w:rPr>
        <w:t xml:space="preserve"> 2006. Is There a Link between Executive Equity I</w:t>
      </w:r>
      <w:r>
        <w:rPr>
          <w:rFonts w:ascii="Times New Roman" w:hAnsi="Times New Roman" w:cs="Times New Roman"/>
          <w:sz w:val="24"/>
          <w:szCs w:val="24"/>
        </w:rPr>
        <w:t>ncentives and Accounting Fraud?</w:t>
      </w:r>
      <w:r w:rsidRPr="00AF3FD5">
        <w:rPr>
          <w:rFonts w:ascii="Times New Roman" w:hAnsi="Times New Roman" w:cs="Times New Roman"/>
          <w:sz w:val="24"/>
          <w:szCs w:val="24"/>
        </w:rPr>
        <w:t xml:space="preserve"> </w:t>
      </w:r>
      <w:r w:rsidRPr="00AF3FD5">
        <w:rPr>
          <w:rFonts w:ascii="Times New Roman" w:hAnsi="Times New Roman" w:cs="Times New Roman"/>
          <w:iCs/>
          <w:sz w:val="24"/>
          <w:szCs w:val="24"/>
        </w:rPr>
        <w:t>Journal of Accounting Research</w:t>
      </w:r>
      <w:r w:rsidRPr="00AF3FD5">
        <w:rPr>
          <w:rFonts w:ascii="Times New Roman" w:hAnsi="Times New Roman" w:cs="Times New Roman"/>
          <w:sz w:val="24"/>
          <w:szCs w:val="24"/>
        </w:rPr>
        <w:t xml:space="preserve"> 44, 113-143.</w:t>
      </w:r>
      <w:bookmarkEnd w:id="121"/>
      <w:bookmarkEnd w:id="122"/>
    </w:p>
    <w:p w:rsidR="00F944E0" w:rsidRPr="008B2D41" w:rsidRDefault="00F944E0" w:rsidP="009E0B8B">
      <w:pPr>
        <w:autoSpaceDE w:val="0"/>
        <w:autoSpaceDN w:val="0"/>
        <w:adjustRightInd w:val="0"/>
        <w:spacing w:after="0" w:line="240" w:lineRule="auto"/>
        <w:contextualSpacing/>
        <w:rPr>
          <w:rFonts w:ascii="Times New Roman" w:eastAsia="TimesNewRoman" w:hAnsi="Times New Roman" w:cs="Times New Roman"/>
          <w:sz w:val="24"/>
          <w:szCs w:val="24"/>
        </w:rPr>
      </w:pPr>
    </w:p>
    <w:p w:rsidR="00F944E0" w:rsidRPr="008B2D41" w:rsidRDefault="00960882"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Ewert</w:t>
      </w:r>
      <w:r w:rsidR="00AF040A" w:rsidRPr="008B2D41">
        <w:rPr>
          <w:rFonts w:ascii="Times New Roman" w:eastAsia="TimesNewRoman" w:hAnsi="Times New Roman" w:cs="Times New Roman"/>
          <w:sz w:val="24"/>
          <w:szCs w:val="24"/>
        </w:rPr>
        <w:t>,</w:t>
      </w:r>
      <w:r w:rsidR="00F944E0" w:rsidRPr="008B2D41">
        <w:rPr>
          <w:rFonts w:ascii="Times New Roman" w:eastAsia="TimesNewRoman" w:hAnsi="Times New Roman" w:cs="Times New Roman"/>
          <w:sz w:val="24"/>
          <w:szCs w:val="24"/>
        </w:rPr>
        <w:t xml:space="preserve"> R</w:t>
      </w:r>
      <w:r w:rsidRPr="008B2D41">
        <w:rPr>
          <w:rFonts w:ascii="Times New Roman" w:eastAsia="TimesNewRoman" w:hAnsi="Times New Roman" w:cs="Times New Roman"/>
          <w:sz w:val="24"/>
          <w:szCs w:val="24"/>
        </w:rPr>
        <w:t>.</w:t>
      </w:r>
      <w:r w:rsidR="00F944E0" w:rsidRPr="008B2D41">
        <w:rPr>
          <w:rFonts w:ascii="Times New Roman" w:eastAsia="TimesNewRoman" w:hAnsi="Times New Roman" w:cs="Times New Roman"/>
          <w:sz w:val="24"/>
          <w:szCs w:val="24"/>
        </w:rPr>
        <w:t xml:space="preserve"> and Wagenhofer</w:t>
      </w:r>
      <w:r w:rsidR="00AF040A"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A</w:t>
      </w:r>
      <w:r w:rsidR="00F944E0"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w:t>
      </w:r>
      <w:r w:rsidR="00F944E0" w:rsidRPr="008B2D41">
        <w:rPr>
          <w:rFonts w:ascii="Times New Roman" w:eastAsia="TimesNewRoman" w:hAnsi="Times New Roman" w:cs="Times New Roman"/>
          <w:sz w:val="24"/>
          <w:szCs w:val="24"/>
        </w:rPr>
        <w:t xml:space="preserve"> 2005. Economic effects of tightening accounting standards to restrict earnings management. </w:t>
      </w:r>
      <w:r w:rsidR="00F944E0" w:rsidRPr="008B2D41">
        <w:rPr>
          <w:rFonts w:ascii="Times New Roman" w:hAnsi="Times New Roman" w:cs="Times New Roman"/>
          <w:iCs/>
          <w:sz w:val="24"/>
          <w:szCs w:val="24"/>
        </w:rPr>
        <w:t>The Accounting Review</w:t>
      </w:r>
      <w:r w:rsidRPr="008B2D41">
        <w:rPr>
          <w:rFonts w:ascii="Times New Roman" w:eastAsia="TimesNewRoman" w:hAnsi="Times New Roman" w:cs="Times New Roman"/>
          <w:sz w:val="24"/>
          <w:szCs w:val="24"/>
        </w:rPr>
        <w:t xml:space="preserve">, 80, </w:t>
      </w:r>
      <w:r w:rsidR="00F944E0" w:rsidRPr="008B2D41">
        <w:rPr>
          <w:rFonts w:ascii="Times New Roman" w:eastAsia="TimesNewRoman" w:hAnsi="Times New Roman" w:cs="Times New Roman"/>
          <w:sz w:val="24"/>
          <w:szCs w:val="24"/>
        </w:rPr>
        <w:t>1101–1124.</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DB7C33" w:rsidRDefault="00DB7C33"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Fama, E. and Jensen, M., 1983. Seperation of Ownership and Control. Journal of law and economics 16</w:t>
      </w:r>
      <w:r w:rsidR="00224440">
        <w:rPr>
          <w:rFonts w:ascii="Times New Roman" w:hAnsi="Times New Roman" w:cs="Times New Roman"/>
          <w:color w:val="000000"/>
          <w:sz w:val="24"/>
          <w:szCs w:val="24"/>
        </w:rPr>
        <w:t>.</w:t>
      </w:r>
    </w:p>
    <w:p w:rsidR="00224440" w:rsidRDefault="0022444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224440" w:rsidRDefault="00224440"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Field, A., 2005. Discovering Statistics using SPSS, Sage publications Ltd., London</w:t>
      </w:r>
    </w:p>
    <w:p w:rsidR="00DB7C33" w:rsidRDefault="00DB7C33"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A65B4B" w:rsidRPr="00A65B4B" w:rsidRDefault="00A65B4B" w:rsidP="009E0B8B">
      <w:pPr>
        <w:autoSpaceDE w:val="0"/>
        <w:autoSpaceDN w:val="0"/>
        <w:adjustRightInd w:val="0"/>
        <w:spacing w:after="0" w:line="240" w:lineRule="auto"/>
        <w:contextualSpacing/>
        <w:rPr>
          <w:rFonts w:ascii="Times New Roman" w:hAnsi="Times New Roman" w:cs="Times New Roman"/>
          <w:sz w:val="24"/>
          <w:szCs w:val="24"/>
        </w:rPr>
      </w:pPr>
      <w:r w:rsidRPr="00A65B4B">
        <w:rPr>
          <w:rFonts w:ascii="Times New Roman" w:hAnsi="Times New Roman" w:cs="Times New Roman"/>
          <w:sz w:val="24"/>
          <w:szCs w:val="24"/>
        </w:rPr>
        <w:t xml:space="preserve">Fudenberg, D. and Tirole, J., 1995. </w:t>
      </w:r>
      <w:hyperlink r:id="rId14" w:history="1">
        <w:r w:rsidRPr="00A65B4B">
          <w:rPr>
            <w:rStyle w:val="title0"/>
            <w:rFonts w:ascii="Times New Roman" w:hAnsi="Times New Roman" w:cs="Times New Roman"/>
            <w:sz w:val="24"/>
            <w:szCs w:val="24"/>
          </w:rPr>
          <w:t>A Theory of Income and Dividend Smoothing Based on Incumbency Rents"</w:t>
        </w:r>
      </w:hyperlink>
      <w:r w:rsidRPr="00A65B4B">
        <w:rPr>
          <w:rFonts w:ascii="Times New Roman" w:hAnsi="Times New Roman" w:cs="Times New Roman"/>
          <w:sz w:val="24"/>
          <w:szCs w:val="24"/>
        </w:rPr>
        <w:t xml:space="preserve">, </w:t>
      </w:r>
      <w:hyperlink r:id="rId15" w:history="1">
        <w:r w:rsidRPr="00A65B4B">
          <w:rPr>
            <w:rStyle w:val="mediatitle1"/>
            <w:rFonts w:ascii="Times New Roman" w:hAnsi="Times New Roman" w:cs="Times New Roman"/>
            <w:i w:val="0"/>
            <w:sz w:val="24"/>
            <w:szCs w:val="24"/>
          </w:rPr>
          <w:t>Journal of Political Economy</w:t>
        </w:r>
      </w:hyperlink>
      <w:r>
        <w:rPr>
          <w:rFonts w:ascii="Times New Roman" w:hAnsi="Times New Roman" w:cs="Times New Roman"/>
          <w:sz w:val="24"/>
          <w:szCs w:val="24"/>
        </w:rPr>
        <w:t xml:space="preserve">, </w:t>
      </w:r>
      <w:r w:rsidRPr="00A65B4B">
        <w:rPr>
          <w:rFonts w:ascii="Times New Roman" w:hAnsi="Times New Roman" w:cs="Times New Roman"/>
          <w:sz w:val="24"/>
          <w:szCs w:val="24"/>
        </w:rPr>
        <w:t>103, 75-93.</w:t>
      </w:r>
    </w:p>
    <w:p w:rsidR="00A65B4B" w:rsidRDefault="00A65B4B"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960882"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Gillan</w:t>
      </w:r>
      <w:r w:rsidR="00AF040A"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S., 2006. Recent Developments in Corporate Governance: An Overview. Journal of Corporate Finance 12, 381- 402.</w:t>
      </w:r>
    </w:p>
    <w:p w:rsidR="00326EDE" w:rsidRDefault="00326EDE"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326EDE" w:rsidRPr="008B2D41" w:rsidRDefault="00326EDE"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Hail, L. and Leuz, C., 2006. International differences in the cost of capital: Do Legal Institutions and Securities Regulation matter? Journal of Accounting Research 44, 485-531.</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960882"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Healy</w:t>
      </w:r>
      <w:r w:rsidR="00EE160F" w:rsidRPr="008B2D41">
        <w:rPr>
          <w:rFonts w:ascii="Times New Roman" w:hAnsi="Times New Roman" w:cs="Times New Roman"/>
          <w:color w:val="000000"/>
          <w:sz w:val="24"/>
          <w:szCs w:val="24"/>
        </w:rPr>
        <w:t>,</w:t>
      </w:r>
      <w:r w:rsidR="00F944E0" w:rsidRPr="008B2D41">
        <w:rPr>
          <w:rFonts w:ascii="Times New Roman" w:hAnsi="Times New Roman" w:cs="Times New Roman"/>
          <w:color w:val="000000"/>
          <w:sz w:val="24"/>
          <w:szCs w:val="24"/>
        </w:rPr>
        <w:t xml:space="preserve"> P., 1996. A discussion of a Market-based Evaluation of Discretionary Accruals Models.  Journal of Accounting Research 34.</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Healy, P., Wahlen, J., 1999. A review of the earnings management literature and its implications for standard setting. Accounting Horizons 13, 365–383.</w:t>
      </w:r>
    </w:p>
    <w:p w:rsidR="004511CD" w:rsidRDefault="004511CD"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4511CD" w:rsidRPr="004511CD" w:rsidRDefault="004511CD" w:rsidP="004511CD">
      <w:pPr>
        <w:rPr>
          <w:rFonts w:ascii="Times New Roman" w:eastAsia="Times New Roman" w:hAnsi="Times New Roman" w:cs="Times New Roman"/>
          <w:sz w:val="24"/>
          <w:szCs w:val="24"/>
        </w:rPr>
      </w:pPr>
      <w:r w:rsidRPr="004511CD">
        <w:rPr>
          <w:rFonts w:ascii="Times New Roman" w:eastAsia="Times New Roman" w:hAnsi="Times New Roman" w:cs="Times New Roman"/>
          <w:sz w:val="24"/>
          <w:szCs w:val="24"/>
        </w:rPr>
        <w:t>Hofstede, G</w:t>
      </w:r>
      <w:r w:rsidR="00F17A8D">
        <w:rPr>
          <w:rFonts w:ascii="Times New Roman" w:hAnsi="Times New Roman" w:cs="Times New Roman"/>
          <w:sz w:val="24"/>
          <w:szCs w:val="24"/>
        </w:rPr>
        <w:t>.</w:t>
      </w:r>
      <w:r w:rsidRPr="004511CD">
        <w:rPr>
          <w:rFonts w:ascii="Times New Roman" w:eastAsia="Times New Roman" w:hAnsi="Times New Roman" w:cs="Times New Roman"/>
          <w:sz w:val="24"/>
          <w:szCs w:val="24"/>
        </w:rPr>
        <w:t>H. 1980, Culture's Consequences: International Differences in Work-Related Values, Beverly Hills: Sage Publication.</w:t>
      </w:r>
    </w:p>
    <w:p w:rsidR="00F944E0" w:rsidRPr="008B2D41" w:rsidRDefault="004511CD" w:rsidP="004511CD">
      <w:pPr>
        <w:rPr>
          <w:rFonts w:ascii="Times New Roman" w:hAnsi="Times New Roman" w:cs="Times New Roman"/>
          <w:color w:val="000000"/>
          <w:sz w:val="24"/>
          <w:szCs w:val="24"/>
        </w:rPr>
      </w:pPr>
      <w:r w:rsidRPr="004511CD">
        <w:rPr>
          <w:rFonts w:ascii="Times New Roman" w:eastAsia="Times New Roman" w:hAnsi="Times New Roman" w:cs="Times New Roman"/>
          <w:sz w:val="24"/>
          <w:szCs w:val="24"/>
        </w:rPr>
        <w:t>Hofstede, G</w:t>
      </w:r>
      <w:r w:rsidR="00F17A8D">
        <w:rPr>
          <w:rFonts w:ascii="Times New Roman" w:hAnsi="Times New Roman" w:cs="Times New Roman"/>
          <w:sz w:val="24"/>
          <w:szCs w:val="24"/>
        </w:rPr>
        <w:t>.</w:t>
      </w:r>
      <w:r w:rsidRPr="004511CD">
        <w:rPr>
          <w:rFonts w:ascii="Times New Roman" w:eastAsia="Times New Roman" w:hAnsi="Times New Roman" w:cs="Times New Roman"/>
          <w:sz w:val="24"/>
          <w:szCs w:val="24"/>
        </w:rPr>
        <w:t>H.</w:t>
      </w:r>
      <w:r w:rsidR="00F17A8D">
        <w:rPr>
          <w:rFonts w:ascii="Times New Roman" w:hAnsi="Times New Roman" w:cs="Times New Roman"/>
          <w:sz w:val="24"/>
          <w:szCs w:val="24"/>
        </w:rPr>
        <w:t xml:space="preserve"> </w:t>
      </w:r>
      <w:r w:rsidRPr="004511CD">
        <w:rPr>
          <w:rFonts w:ascii="Times New Roman" w:eastAsia="Times New Roman" w:hAnsi="Times New Roman" w:cs="Times New Roman"/>
          <w:sz w:val="24"/>
          <w:szCs w:val="24"/>
        </w:rPr>
        <w:t>2001, Culture's Consequences: Comparing Values, Behaviors, Institutions, and Organizations across Nations, Thousand Oaks: Sage Publication Inc.</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sz w:val="24"/>
          <w:szCs w:val="24"/>
          <w:lang w:bidi="ar-SA"/>
        </w:rPr>
      </w:pPr>
      <w:r w:rsidRPr="008B2D41">
        <w:rPr>
          <w:rFonts w:ascii="Times New Roman" w:hAnsi="Times New Roman" w:cs="Times New Roman"/>
          <w:sz w:val="24"/>
          <w:szCs w:val="24"/>
          <w:lang w:bidi="ar-SA"/>
        </w:rPr>
        <w:t xml:space="preserve">Holthausen, R. W., Larcker, D. F., </w:t>
      </w:r>
      <w:r w:rsidR="00EE160F" w:rsidRPr="008B2D41">
        <w:rPr>
          <w:rFonts w:ascii="Times New Roman" w:hAnsi="Times New Roman" w:cs="Times New Roman"/>
          <w:sz w:val="24"/>
          <w:szCs w:val="24"/>
          <w:lang w:bidi="ar-SA"/>
        </w:rPr>
        <w:t xml:space="preserve">and Sloan, R. G. </w:t>
      </w:r>
      <w:r w:rsidRPr="008B2D41">
        <w:rPr>
          <w:rFonts w:ascii="Times New Roman" w:hAnsi="Times New Roman" w:cs="Times New Roman"/>
          <w:sz w:val="24"/>
          <w:szCs w:val="24"/>
          <w:lang w:bidi="ar-SA"/>
        </w:rPr>
        <w:t>1995. Annual bonus schemes</w:t>
      </w:r>
    </w:p>
    <w:p w:rsidR="00F944E0" w:rsidRDefault="00F944E0" w:rsidP="009E0B8B">
      <w:pPr>
        <w:autoSpaceDE w:val="0"/>
        <w:autoSpaceDN w:val="0"/>
        <w:adjustRightInd w:val="0"/>
        <w:spacing w:after="0" w:line="240" w:lineRule="auto"/>
        <w:contextualSpacing/>
        <w:rPr>
          <w:rFonts w:ascii="Times New Roman" w:hAnsi="Times New Roman" w:cs="Times New Roman"/>
          <w:sz w:val="24"/>
          <w:szCs w:val="24"/>
          <w:lang w:bidi="ar-SA"/>
        </w:rPr>
      </w:pPr>
      <w:r w:rsidRPr="008B2D41">
        <w:rPr>
          <w:rFonts w:ascii="Times New Roman" w:hAnsi="Times New Roman" w:cs="Times New Roman"/>
          <w:sz w:val="24"/>
          <w:szCs w:val="24"/>
          <w:lang w:bidi="ar-SA"/>
        </w:rPr>
        <w:t xml:space="preserve">and the manipulation of earnings. </w:t>
      </w:r>
      <w:r w:rsidRPr="008B2D41">
        <w:rPr>
          <w:rFonts w:ascii="Times New Roman" w:hAnsi="Times New Roman" w:cs="Times New Roman"/>
          <w:iCs/>
          <w:sz w:val="24"/>
          <w:szCs w:val="24"/>
          <w:lang w:bidi="ar-SA"/>
        </w:rPr>
        <w:t>Journal of Accounting and Economics , 19</w:t>
      </w:r>
      <w:r w:rsidRPr="008B2D41">
        <w:rPr>
          <w:rFonts w:ascii="Times New Roman" w:hAnsi="Times New Roman" w:cs="Times New Roman"/>
          <w:sz w:val="24"/>
          <w:szCs w:val="24"/>
          <w:lang w:bidi="ar-SA"/>
        </w:rPr>
        <w:t>, 29</w:t>
      </w:r>
      <w:r w:rsidRPr="008B2D41">
        <w:rPr>
          <w:rFonts w:ascii="Cambria" w:hAnsi="Cambria" w:cs="Times New Roman"/>
          <w:sz w:val="24"/>
          <w:szCs w:val="24"/>
          <w:lang w:bidi="ar-SA"/>
        </w:rPr>
        <w:t>‐</w:t>
      </w:r>
      <w:r w:rsidR="00EE160F" w:rsidRPr="008B2D41">
        <w:rPr>
          <w:rFonts w:ascii="Cambria" w:hAnsi="Cambria" w:cs="Times New Roman"/>
          <w:sz w:val="24"/>
          <w:szCs w:val="24"/>
          <w:lang w:bidi="ar-SA"/>
        </w:rPr>
        <w:t xml:space="preserve"> </w:t>
      </w:r>
      <w:r w:rsidRPr="008B2D41">
        <w:rPr>
          <w:rFonts w:ascii="Times New Roman" w:hAnsi="Times New Roman" w:cs="Times New Roman"/>
          <w:sz w:val="24"/>
          <w:szCs w:val="24"/>
          <w:lang w:bidi="ar-SA"/>
        </w:rPr>
        <w:t>74.</w:t>
      </w:r>
    </w:p>
    <w:p w:rsidR="006F4115" w:rsidRDefault="006F4115" w:rsidP="009E0B8B">
      <w:pPr>
        <w:autoSpaceDE w:val="0"/>
        <w:autoSpaceDN w:val="0"/>
        <w:adjustRightInd w:val="0"/>
        <w:spacing w:after="0" w:line="240" w:lineRule="auto"/>
        <w:contextualSpacing/>
        <w:rPr>
          <w:rFonts w:ascii="Times New Roman" w:hAnsi="Times New Roman" w:cs="Times New Roman"/>
          <w:sz w:val="24"/>
          <w:szCs w:val="24"/>
          <w:lang w:bidi="ar-SA"/>
        </w:rPr>
      </w:pPr>
    </w:p>
    <w:p w:rsidR="006F4115" w:rsidRPr="006F4115" w:rsidRDefault="006F4115" w:rsidP="009E0B8B">
      <w:pPr>
        <w:autoSpaceDE w:val="0"/>
        <w:autoSpaceDN w:val="0"/>
        <w:adjustRightInd w:val="0"/>
        <w:spacing w:after="0" w:line="240" w:lineRule="auto"/>
        <w:contextualSpacing/>
        <w:rPr>
          <w:rFonts w:ascii="Times New Roman" w:hAnsi="Times New Roman" w:cs="Times New Roman"/>
          <w:sz w:val="24"/>
          <w:szCs w:val="24"/>
          <w:lang w:bidi="ar-SA"/>
        </w:rPr>
      </w:pPr>
      <w:r w:rsidRPr="006F4115">
        <w:rPr>
          <w:rFonts w:ascii="Times New Roman" w:hAnsi="Times New Roman" w:cs="Times New Roman"/>
          <w:sz w:val="24"/>
          <w:szCs w:val="24"/>
        </w:rPr>
        <w:t xml:space="preserve">Imhoff, E., 1977. Income Smoothing - A Case for Doubt, </w:t>
      </w:r>
      <w:r w:rsidRPr="006F4115">
        <w:rPr>
          <w:rFonts w:ascii="Times New Roman" w:hAnsi="Times New Roman" w:cs="Times New Roman"/>
          <w:bCs/>
          <w:sz w:val="24"/>
          <w:szCs w:val="24"/>
        </w:rPr>
        <w:t xml:space="preserve">The Accounting Journal, </w:t>
      </w:r>
      <w:r w:rsidRPr="006F4115">
        <w:rPr>
          <w:rFonts w:ascii="Times New Roman" w:hAnsi="Times New Roman" w:cs="Times New Roman"/>
          <w:sz w:val="24"/>
          <w:szCs w:val="24"/>
        </w:rPr>
        <w:t>85-100.</w:t>
      </w:r>
    </w:p>
    <w:p w:rsidR="009E0B8B" w:rsidRPr="008B2D41" w:rsidRDefault="009E0B8B" w:rsidP="009E0B8B">
      <w:pPr>
        <w:pStyle w:val="NormalWeb"/>
        <w:jc w:val="both"/>
      </w:pPr>
      <w:r w:rsidRPr="008B2D41">
        <w:t>Jacob, J., &amp; Jorgensen, B. N. 2007. Earnings management and accounting income aggregation.</w:t>
      </w:r>
      <w:r w:rsidRPr="008B2D41">
        <w:rPr>
          <w:iCs/>
        </w:rPr>
        <w:t xml:space="preserve"> Journal of Accounting and Economics, 43</w:t>
      </w:r>
      <w:r w:rsidRPr="008B2D41">
        <w:t xml:space="preserve">(2-3), 369-390. </w:t>
      </w:r>
    </w:p>
    <w:p w:rsidR="009E0B8B" w:rsidRDefault="009E0B8B" w:rsidP="009E0B8B">
      <w:pPr>
        <w:pStyle w:val="NormalWeb"/>
        <w:jc w:val="both"/>
      </w:pPr>
      <w:r w:rsidRPr="008B2D41">
        <w:t>Jeanjean, T., &amp; Stolowy, H. 2008. Do accounting standards matter? an exploratory analysis of earnings management before and after IFRS adoption.</w:t>
      </w:r>
      <w:r w:rsidRPr="008B2D41">
        <w:rPr>
          <w:iCs/>
        </w:rPr>
        <w:t xml:space="preserve"> Journal of Accounting and Public Policy, 27</w:t>
      </w:r>
      <w:r w:rsidRPr="008B2D41">
        <w:t xml:space="preserve">, 480-494. </w:t>
      </w:r>
    </w:p>
    <w:p w:rsidR="00677AD7" w:rsidRDefault="00677AD7" w:rsidP="009E0B8B">
      <w:pPr>
        <w:pStyle w:val="NormalWeb"/>
        <w:jc w:val="both"/>
      </w:pPr>
      <w:r>
        <w:lastRenderedPageBreak/>
        <w:t>Lee, E.,  Walker, M. and Christensen, H.B., 2008. Mandating IFRS: its Impact on the Cost of Equity Capital in Europe</w:t>
      </w:r>
      <w:r w:rsidR="00084A80">
        <w:t>, Research Report.</w:t>
      </w:r>
    </w:p>
    <w:p w:rsidR="00BD6BDE" w:rsidRPr="00BD6BDE" w:rsidRDefault="00BD6BDE" w:rsidP="00BD6BDE">
      <w:pPr>
        <w:autoSpaceDE w:val="0"/>
        <w:autoSpaceDN w:val="0"/>
        <w:adjustRightInd w:val="0"/>
        <w:spacing w:after="0" w:line="240" w:lineRule="auto"/>
        <w:jc w:val="left"/>
        <w:rPr>
          <w:rFonts w:ascii="Times New Roman" w:hAnsi="Times New Roman" w:cs="Times New Roman"/>
          <w:sz w:val="24"/>
          <w:szCs w:val="24"/>
          <w:lang w:bidi="ar-SA"/>
        </w:rPr>
      </w:pPr>
      <w:r w:rsidRPr="00BD6BDE">
        <w:rPr>
          <w:rFonts w:ascii="Times New Roman" w:hAnsi="Times New Roman" w:cs="Times New Roman"/>
          <w:sz w:val="24"/>
          <w:szCs w:val="24"/>
          <w:lang w:bidi="ar-SA"/>
        </w:rPr>
        <w:t>Kamin, J.Y. and Ronen</w:t>
      </w:r>
      <w:r>
        <w:rPr>
          <w:rFonts w:ascii="Times New Roman" w:hAnsi="Times New Roman" w:cs="Times New Roman"/>
          <w:sz w:val="24"/>
          <w:szCs w:val="24"/>
          <w:lang w:bidi="ar-SA"/>
        </w:rPr>
        <w:t>, J.,</w:t>
      </w:r>
      <w:r w:rsidRPr="00BD6BDE">
        <w:rPr>
          <w:rFonts w:ascii="Times New Roman" w:hAnsi="Times New Roman" w:cs="Times New Roman"/>
          <w:sz w:val="24"/>
          <w:szCs w:val="24"/>
          <w:lang w:bidi="ar-SA"/>
        </w:rPr>
        <w:t xml:space="preserve"> </w:t>
      </w:r>
      <w:r w:rsidRPr="00BD6BDE">
        <w:rPr>
          <w:rFonts w:ascii="Times New Roman" w:hAnsi="Times New Roman" w:cs="Times New Roman"/>
          <w:bCs/>
          <w:sz w:val="24"/>
          <w:szCs w:val="24"/>
          <w:lang w:bidi="ar-SA"/>
        </w:rPr>
        <w:t>1978</w:t>
      </w:r>
      <w:r>
        <w:rPr>
          <w:rFonts w:ascii="Times New Roman" w:hAnsi="Times New Roman" w:cs="Times New Roman"/>
          <w:bCs/>
          <w:sz w:val="24"/>
          <w:szCs w:val="24"/>
          <w:lang w:bidi="ar-SA"/>
        </w:rPr>
        <w:t>.</w:t>
      </w:r>
      <w:r w:rsidRPr="00BD6BDE">
        <w:rPr>
          <w:rFonts w:ascii="Times New Roman" w:hAnsi="Times New Roman" w:cs="Times New Roman"/>
          <w:bCs/>
          <w:sz w:val="24"/>
          <w:szCs w:val="24"/>
          <w:lang w:bidi="ar-SA"/>
        </w:rPr>
        <w:t xml:space="preserve"> </w:t>
      </w:r>
      <w:r w:rsidRPr="00BD6BDE">
        <w:rPr>
          <w:rFonts w:ascii="Times New Roman" w:hAnsi="Times New Roman" w:cs="Times New Roman"/>
          <w:sz w:val="24"/>
          <w:szCs w:val="24"/>
          <w:lang w:bidi="ar-SA"/>
        </w:rPr>
        <w:t xml:space="preserve">The Smoothing </w:t>
      </w:r>
      <w:r w:rsidRPr="00BD6BDE">
        <w:rPr>
          <w:rFonts w:ascii="Times New Roman" w:hAnsi="Times New Roman" w:cs="Times New Roman"/>
          <w:bCs/>
          <w:sz w:val="24"/>
          <w:szCs w:val="24"/>
          <w:lang w:bidi="ar-SA"/>
        </w:rPr>
        <w:t xml:space="preserve">of </w:t>
      </w:r>
      <w:r w:rsidRPr="00BD6BDE">
        <w:rPr>
          <w:rFonts w:ascii="Times New Roman" w:hAnsi="Times New Roman" w:cs="Times New Roman"/>
          <w:sz w:val="24"/>
          <w:szCs w:val="24"/>
          <w:lang w:bidi="ar-SA"/>
        </w:rPr>
        <w:t>Income Numbers: Some Empirical</w:t>
      </w:r>
    </w:p>
    <w:p w:rsidR="00BD6BDE" w:rsidRPr="00BD6BDE" w:rsidRDefault="00BD6BDE" w:rsidP="00BD6BDE">
      <w:pPr>
        <w:autoSpaceDE w:val="0"/>
        <w:autoSpaceDN w:val="0"/>
        <w:adjustRightInd w:val="0"/>
        <w:spacing w:after="0" w:line="240" w:lineRule="auto"/>
        <w:jc w:val="left"/>
        <w:rPr>
          <w:rFonts w:ascii="Times New Roman" w:hAnsi="Times New Roman" w:cs="Times New Roman"/>
          <w:sz w:val="24"/>
          <w:szCs w:val="24"/>
        </w:rPr>
      </w:pPr>
      <w:r w:rsidRPr="00BD6BDE">
        <w:rPr>
          <w:rFonts w:ascii="Times New Roman" w:hAnsi="Times New Roman" w:cs="Times New Roman"/>
          <w:sz w:val="24"/>
          <w:szCs w:val="24"/>
          <w:lang w:bidi="ar-SA"/>
        </w:rPr>
        <w:t>Evidence on Systematic Differences Among Management-Controlled and Owner-Controlled</w:t>
      </w:r>
      <w:r>
        <w:rPr>
          <w:rFonts w:ascii="Times New Roman" w:hAnsi="Times New Roman" w:cs="Times New Roman"/>
          <w:sz w:val="24"/>
          <w:szCs w:val="24"/>
          <w:lang w:bidi="ar-SA"/>
        </w:rPr>
        <w:t xml:space="preserve"> Firms, </w:t>
      </w:r>
      <w:r w:rsidRPr="00BD6BDE">
        <w:rPr>
          <w:rFonts w:ascii="Times New Roman" w:hAnsi="Times New Roman" w:cs="Times New Roman"/>
          <w:bCs/>
          <w:iCs/>
          <w:sz w:val="24"/>
          <w:szCs w:val="24"/>
          <w:lang w:bidi="ar-SA"/>
        </w:rPr>
        <w:t xml:space="preserve">Accounting, </w:t>
      </w:r>
      <w:r>
        <w:rPr>
          <w:rFonts w:ascii="Times New Roman" w:hAnsi="Times New Roman" w:cs="Times New Roman"/>
          <w:bCs/>
          <w:iCs/>
          <w:sz w:val="24"/>
          <w:szCs w:val="24"/>
          <w:lang w:bidi="ar-SA"/>
        </w:rPr>
        <w:t>Organizations and Society</w:t>
      </w:r>
      <w:r w:rsidRPr="00BD6BDE">
        <w:rPr>
          <w:rFonts w:ascii="Times New Roman" w:hAnsi="Times New Roman" w:cs="Times New Roman"/>
          <w:bCs/>
          <w:iCs/>
          <w:sz w:val="24"/>
          <w:szCs w:val="24"/>
          <w:lang w:bidi="ar-SA"/>
        </w:rPr>
        <w:t>,</w:t>
      </w:r>
      <w:r w:rsidRPr="00BD6BDE">
        <w:rPr>
          <w:rFonts w:ascii="Times New Roman" w:hAnsi="Times New Roman" w:cs="Times New Roman"/>
          <w:bCs/>
          <w:sz w:val="24"/>
          <w:szCs w:val="24"/>
          <w:lang w:bidi="ar-SA"/>
        </w:rPr>
        <w:t xml:space="preserve"> 3,</w:t>
      </w:r>
      <w:r>
        <w:rPr>
          <w:rFonts w:ascii="Times New Roman" w:hAnsi="Times New Roman" w:cs="Times New Roman"/>
          <w:bCs/>
          <w:sz w:val="24"/>
          <w:szCs w:val="24"/>
          <w:lang w:bidi="ar-SA"/>
        </w:rPr>
        <w:t xml:space="preserve"> </w:t>
      </w:r>
      <w:r w:rsidRPr="00BD6BDE">
        <w:rPr>
          <w:rFonts w:ascii="Times New Roman" w:hAnsi="Times New Roman" w:cs="Times New Roman"/>
          <w:bCs/>
          <w:sz w:val="24"/>
          <w:szCs w:val="24"/>
          <w:lang w:bidi="ar-SA"/>
        </w:rPr>
        <w:t>141-53.</w:t>
      </w:r>
    </w:p>
    <w:p w:rsidR="00BD6BDE" w:rsidRDefault="00BD6BDE"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Kothari, S.P</w:t>
      </w:r>
      <w:r w:rsidR="00EE160F" w:rsidRPr="008B2D41">
        <w:rPr>
          <w:rFonts w:ascii="Times New Roman" w:hAnsi="Times New Roman" w:cs="Times New Roman"/>
          <w:color w:val="000000"/>
          <w:sz w:val="24"/>
          <w:szCs w:val="24"/>
        </w:rPr>
        <w:t>.</w:t>
      </w:r>
      <w:r w:rsidRPr="008B2D41">
        <w:rPr>
          <w:rFonts w:ascii="Times New Roman" w:hAnsi="Times New Roman" w:cs="Times New Roman"/>
          <w:color w:val="000000"/>
          <w:sz w:val="24"/>
          <w:szCs w:val="24"/>
        </w:rPr>
        <w:t xml:space="preserve">, Leone, A., Wasley, C.E., </w:t>
      </w:r>
      <w:r w:rsidR="00EE160F" w:rsidRPr="008B2D41">
        <w:rPr>
          <w:rFonts w:ascii="Times New Roman" w:hAnsi="Times New Roman" w:cs="Times New Roman"/>
          <w:color w:val="000000"/>
          <w:sz w:val="24"/>
          <w:szCs w:val="24"/>
        </w:rPr>
        <w:t xml:space="preserve">2005. </w:t>
      </w:r>
      <w:r w:rsidRPr="008B2D41">
        <w:rPr>
          <w:rFonts w:ascii="Times New Roman" w:hAnsi="Times New Roman" w:cs="Times New Roman"/>
          <w:color w:val="000000"/>
          <w:sz w:val="24"/>
          <w:szCs w:val="24"/>
        </w:rPr>
        <w:t>Performance matched discretionary accruals, Journal of</w:t>
      </w:r>
      <w:r w:rsidR="00421F3A">
        <w:rPr>
          <w:rFonts w:ascii="Times New Roman" w:hAnsi="Times New Roman" w:cs="Times New Roman"/>
          <w:color w:val="000000"/>
          <w:sz w:val="24"/>
          <w:szCs w:val="24"/>
        </w:rPr>
        <w:t xml:space="preserve"> Accounting and Economics, 39, </w:t>
      </w:r>
      <w:r w:rsidRPr="008B2D41">
        <w:rPr>
          <w:rFonts w:ascii="Times New Roman" w:hAnsi="Times New Roman" w:cs="Times New Roman"/>
          <w:color w:val="000000"/>
          <w:sz w:val="24"/>
          <w:szCs w:val="24"/>
        </w:rPr>
        <w:t>1, 163-197</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952788" w:rsidRPr="008B2D41" w:rsidRDefault="00952788"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La Porta, R., Lopez-de-Silanes, F., Shleifer, A., Vishny, R., 1997. Legal determinants of external finance. Journal of Finance 52, 1131–1150.</w:t>
      </w:r>
    </w:p>
    <w:p w:rsidR="00952788" w:rsidRPr="008B2D41" w:rsidRDefault="00952788"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La Porta, R., Lopez-de-Silanes, F., Shleifer, A., Vishny, R., 2000. Investor protection and corporate governance. Journal of Financial Economics 58, 3–27.</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lang w:val="nl-NL"/>
        </w:rPr>
        <w:t xml:space="preserve">Leuz, C., Nanda, D., Wysocki P., 2003. </w:t>
      </w:r>
      <w:r w:rsidRPr="008B2D41">
        <w:rPr>
          <w:rFonts w:ascii="Times New Roman" w:hAnsi="Times New Roman" w:cs="Times New Roman"/>
          <w:color w:val="000000"/>
          <w:sz w:val="24"/>
          <w:szCs w:val="24"/>
        </w:rPr>
        <w:t>Earnings management and investor protection: an international comparison. Journal of Finacial Economics 69, 5-5-527.</w:t>
      </w:r>
    </w:p>
    <w:p w:rsidR="004A4009" w:rsidRDefault="004A4009"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4A4009" w:rsidRPr="004A4009" w:rsidRDefault="004A4009" w:rsidP="009E0B8B">
      <w:pPr>
        <w:autoSpaceDE w:val="0"/>
        <w:autoSpaceDN w:val="0"/>
        <w:adjustRightInd w:val="0"/>
        <w:spacing w:after="0" w:line="240" w:lineRule="auto"/>
        <w:contextualSpacing/>
        <w:rPr>
          <w:rFonts w:ascii="Times New Roman" w:hAnsi="Times New Roman" w:cs="Times New Roman"/>
          <w:sz w:val="24"/>
          <w:szCs w:val="24"/>
        </w:rPr>
      </w:pPr>
      <w:r w:rsidRPr="004A4009">
        <w:rPr>
          <w:rFonts w:ascii="Times New Roman" w:hAnsi="Times New Roman" w:cs="Times New Roman"/>
          <w:sz w:val="24"/>
          <w:szCs w:val="24"/>
        </w:rPr>
        <w:t>Leuz, C</w:t>
      </w:r>
      <w:r>
        <w:rPr>
          <w:rFonts w:ascii="Times New Roman" w:hAnsi="Times New Roman" w:cs="Times New Roman"/>
          <w:sz w:val="24"/>
          <w:szCs w:val="24"/>
        </w:rPr>
        <w:t>. and</w:t>
      </w:r>
      <w:r w:rsidRPr="004A4009">
        <w:rPr>
          <w:rFonts w:ascii="Times New Roman" w:hAnsi="Times New Roman" w:cs="Times New Roman"/>
          <w:sz w:val="24"/>
          <w:szCs w:val="24"/>
        </w:rPr>
        <w:t xml:space="preserve"> Oberholzer-Gee, </w:t>
      </w:r>
      <w:r>
        <w:rPr>
          <w:rFonts w:ascii="Times New Roman" w:hAnsi="Times New Roman" w:cs="Times New Roman"/>
          <w:sz w:val="24"/>
          <w:szCs w:val="24"/>
        </w:rPr>
        <w:t xml:space="preserve">F. </w:t>
      </w:r>
      <w:r w:rsidRPr="004A4009">
        <w:rPr>
          <w:rFonts w:ascii="Times New Roman" w:hAnsi="Times New Roman" w:cs="Times New Roman"/>
          <w:sz w:val="24"/>
          <w:szCs w:val="24"/>
        </w:rPr>
        <w:t xml:space="preserve">2006. </w:t>
      </w:r>
      <w:hyperlink r:id="rId16" w:history="1">
        <w:r w:rsidRPr="004A4009">
          <w:rPr>
            <w:rStyle w:val="Hyperlink"/>
            <w:rFonts w:ascii="Times New Roman" w:hAnsi="Times New Roman"/>
            <w:bCs/>
            <w:color w:val="auto"/>
            <w:sz w:val="24"/>
            <w:szCs w:val="24"/>
            <w:u w:val="none"/>
          </w:rPr>
          <w:t>Political relationships, global financing, and corporate transparency: Evidence from Indonesia</w:t>
        </w:r>
      </w:hyperlink>
      <w:r w:rsidR="0056537A">
        <w:rPr>
          <w:rFonts w:ascii="Times New Roman" w:hAnsi="Times New Roman" w:cs="Times New Roman"/>
          <w:bCs/>
          <w:sz w:val="24"/>
          <w:szCs w:val="24"/>
        </w:rPr>
        <w:t>.</w:t>
      </w:r>
      <w:r w:rsidRPr="004A4009">
        <w:rPr>
          <w:rFonts w:ascii="Times New Roman" w:hAnsi="Times New Roman" w:cs="Times New Roman"/>
          <w:sz w:val="24"/>
          <w:szCs w:val="24"/>
        </w:rPr>
        <w:t xml:space="preserve"> </w:t>
      </w:r>
      <w:hyperlink r:id="rId17" w:history="1">
        <w:r w:rsidRPr="004A4009">
          <w:rPr>
            <w:rStyle w:val="Hyperlink"/>
            <w:rFonts w:ascii="Times New Roman" w:hAnsi="Times New Roman"/>
            <w:color w:val="auto"/>
            <w:sz w:val="24"/>
            <w:szCs w:val="24"/>
            <w:u w:val="none"/>
          </w:rPr>
          <w:t>Journal of Financial Economics</w:t>
        </w:r>
      </w:hyperlink>
      <w:r w:rsidR="0056537A">
        <w:rPr>
          <w:rFonts w:ascii="Times New Roman" w:hAnsi="Times New Roman" w:cs="Times New Roman"/>
          <w:sz w:val="24"/>
          <w:szCs w:val="24"/>
        </w:rPr>
        <w:t>,</w:t>
      </w:r>
      <w:r w:rsidRPr="004A4009">
        <w:rPr>
          <w:rFonts w:ascii="Times New Roman" w:hAnsi="Times New Roman" w:cs="Times New Roman"/>
          <w:sz w:val="24"/>
          <w:szCs w:val="24"/>
        </w:rPr>
        <w:t xml:space="preserve"> </w:t>
      </w:r>
      <w:r>
        <w:rPr>
          <w:rFonts w:ascii="Times New Roman" w:hAnsi="Times New Roman" w:cs="Times New Roman"/>
          <w:sz w:val="24"/>
          <w:szCs w:val="24"/>
        </w:rPr>
        <w:t>81, 411-439</w:t>
      </w: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675205" w:rsidRPr="00675205" w:rsidRDefault="00675205" w:rsidP="009E0B8B">
      <w:pPr>
        <w:autoSpaceDE w:val="0"/>
        <w:autoSpaceDN w:val="0"/>
        <w:adjustRightInd w:val="0"/>
        <w:spacing w:after="0" w:line="240" w:lineRule="auto"/>
        <w:contextualSpacing/>
        <w:rPr>
          <w:rFonts w:ascii="Times New Roman" w:hAnsi="Times New Roman" w:cs="Times New Roman"/>
          <w:sz w:val="24"/>
          <w:szCs w:val="24"/>
        </w:rPr>
      </w:pPr>
      <w:r w:rsidRPr="00675205">
        <w:rPr>
          <w:rFonts w:ascii="Times New Roman" w:hAnsi="Times New Roman" w:cs="Times New Roman"/>
          <w:sz w:val="24"/>
          <w:szCs w:val="24"/>
        </w:rPr>
        <w:t>Leuz, C. and Verrecchia, R.E. 2000.</w:t>
      </w:r>
      <w:r w:rsidRPr="00675205">
        <w:rPr>
          <w:rFonts w:ascii="Times New Roman" w:hAnsi="Times New Roman" w:cs="Times New Roman"/>
          <w:bCs/>
          <w:sz w:val="24"/>
          <w:szCs w:val="24"/>
        </w:rPr>
        <w:t xml:space="preserve"> The Economic Consequences of Increased Disclosure. </w:t>
      </w:r>
      <w:r w:rsidRPr="00675205">
        <w:rPr>
          <w:rFonts w:ascii="Times New Roman" w:hAnsi="Times New Roman" w:cs="Times New Roman"/>
          <w:iCs/>
          <w:sz w:val="24"/>
          <w:szCs w:val="24"/>
        </w:rPr>
        <w:t>Journal of Accounting Research</w:t>
      </w:r>
      <w:r w:rsidRPr="00675205">
        <w:rPr>
          <w:rFonts w:ascii="Times New Roman" w:hAnsi="Times New Roman" w:cs="Times New Roman"/>
          <w:sz w:val="24"/>
          <w:szCs w:val="24"/>
        </w:rPr>
        <w:t xml:space="preserve">, </w:t>
      </w:r>
      <w:r w:rsidRPr="00675205">
        <w:rPr>
          <w:rFonts w:ascii="Times New Roman" w:hAnsi="Times New Roman" w:cs="Times New Roman"/>
          <w:iCs/>
          <w:sz w:val="24"/>
          <w:szCs w:val="24"/>
        </w:rPr>
        <w:t>38</w:t>
      </w:r>
      <w:r w:rsidRPr="00675205">
        <w:rPr>
          <w:rFonts w:ascii="Times New Roman" w:hAnsi="Times New Roman" w:cs="Times New Roman"/>
          <w:sz w:val="24"/>
          <w:szCs w:val="24"/>
        </w:rPr>
        <w:t>, 91-124.</w:t>
      </w:r>
    </w:p>
    <w:p w:rsidR="00675205" w:rsidRPr="008B2D41" w:rsidRDefault="00675205"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Linck, J</w:t>
      </w:r>
      <w:r w:rsidR="00EE160F"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S., Netter,</w:t>
      </w:r>
      <w:r w:rsidR="00EE160F" w:rsidRPr="008B2D41">
        <w:rPr>
          <w:rFonts w:ascii="Times New Roman" w:eastAsia="TimesNewRoman" w:hAnsi="Times New Roman" w:cs="Times New Roman"/>
          <w:sz w:val="24"/>
          <w:szCs w:val="24"/>
        </w:rPr>
        <w:t xml:space="preserve"> J.M,</w:t>
      </w:r>
      <w:r w:rsidRPr="008B2D41">
        <w:rPr>
          <w:rFonts w:ascii="Times New Roman" w:eastAsia="TimesNewRoman" w:hAnsi="Times New Roman" w:cs="Times New Roman"/>
          <w:sz w:val="24"/>
          <w:szCs w:val="24"/>
        </w:rPr>
        <w:t xml:space="preserve"> and Yang</w:t>
      </w:r>
      <w:r w:rsidR="00EE160F" w:rsidRPr="008B2D41">
        <w:rPr>
          <w:rFonts w:ascii="Times New Roman" w:eastAsia="TimesNewRoman" w:hAnsi="Times New Roman" w:cs="Times New Roman"/>
          <w:sz w:val="24"/>
          <w:szCs w:val="24"/>
        </w:rPr>
        <w:t>, T.</w:t>
      </w:r>
      <w:r w:rsidRPr="008B2D41">
        <w:rPr>
          <w:rFonts w:ascii="Times New Roman" w:eastAsia="TimesNewRoman" w:hAnsi="Times New Roman" w:cs="Times New Roman"/>
          <w:sz w:val="24"/>
          <w:szCs w:val="24"/>
        </w:rPr>
        <w:t xml:space="preserve"> 2006. Effects and unintended consequences of the Sarbanes-Oxley Act on corporate boards. AFA 2006 Boston Meeting</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960882" w:rsidRDefault="00960882" w:rsidP="009E0B8B">
      <w:pPr>
        <w:autoSpaceDE w:val="0"/>
        <w:autoSpaceDN w:val="0"/>
        <w:adjustRightInd w:val="0"/>
        <w:spacing w:after="0" w:line="240" w:lineRule="auto"/>
        <w:contextualSpacing/>
        <w:rPr>
          <w:rFonts w:ascii="Times New Roman" w:eastAsia="TimesNewRoman" w:hAnsi="Times New Roman" w:cs="Times New Roman"/>
          <w:sz w:val="24"/>
          <w:szCs w:val="24"/>
        </w:rPr>
      </w:pPr>
      <w:r w:rsidRPr="008B2D41">
        <w:rPr>
          <w:rFonts w:ascii="Times New Roman" w:eastAsia="TimesNewRoman" w:hAnsi="Times New Roman" w:cs="Times New Roman"/>
          <w:sz w:val="24"/>
          <w:szCs w:val="24"/>
        </w:rPr>
        <w:t>Merle</w:t>
      </w:r>
      <w:r w:rsidR="00AC4191"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E., Hanlon</w:t>
      </w:r>
      <w:r w:rsidR="00AC4191"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M., and Maydew</w:t>
      </w:r>
      <w:r w:rsidR="00AC4191" w:rsidRPr="008B2D41">
        <w:rPr>
          <w:rFonts w:ascii="Times New Roman" w:eastAsia="TimesNewRoman" w:hAnsi="Times New Roman" w:cs="Times New Roman"/>
          <w:sz w:val="24"/>
          <w:szCs w:val="24"/>
        </w:rPr>
        <w:t>,</w:t>
      </w:r>
      <w:r w:rsidRPr="008B2D41">
        <w:rPr>
          <w:rFonts w:ascii="Times New Roman" w:eastAsia="TimesNewRoman" w:hAnsi="Times New Roman" w:cs="Times New Roman"/>
          <w:sz w:val="24"/>
          <w:szCs w:val="24"/>
        </w:rPr>
        <w:t xml:space="preserve"> E.L., 2006. Is there a link between executive compensation and accounting fraud? </w:t>
      </w:r>
      <w:r w:rsidRPr="008B2D41">
        <w:rPr>
          <w:rFonts w:ascii="Times New Roman" w:hAnsi="Times New Roman" w:cs="Times New Roman"/>
          <w:iCs/>
          <w:sz w:val="24"/>
          <w:szCs w:val="24"/>
        </w:rPr>
        <w:t>Journal of Accounting Research</w:t>
      </w:r>
      <w:r w:rsidRPr="008B2D41">
        <w:rPr>
          <w:rFonts w:ascii="Times New Roman" w:eastAsia="TimesNewRoman" w:hAnsi="Times New Roman" w:cs="Times New Roman"/>
          <w:sz w:val="24"/>
          <w:szCs w:val="24"/>
        </w:rPr>
        <w:t>, 44, 113–144.</w:t>
      </w:r>
    </w:p>
    <w:p w:rsidR="00795905" w:rsidRDefault="00795905" w:rsidP="009E0B8B">
      <w:pPr>
        <w:autoSpaceDE w:val="0"/>
        <w:autoSpaceDN w:val="0"/>
        <w:adjustRightInd w:val="0"/>
        <w:spacing w:after="0" w:line="240" w:lineRule="auto"/>
        <w:contextualSpacing/>
        <w:rPr>
          <w:rFonts w:ascii="Times New Roman" w:eastAsia="TimesNewRoman" w:hAnsi="Times New Roman" w:cs="Times New Roman"/>
          <w:sz w:val="24"/>
          <w:szCs w:val="24"/>
        </w:rPr>
      </w:pPr>
    </w:p>
    <w:p w:rsidR="00795905" w:rsidRPr="00795905" w:rsidRDefault="00B7519E" w:rsidP="009E0B8B">
      <w:pPr>
        <w:autoSpaceDE w:val="0"/>
        <w:autoSpaceDN w:val="0"/>
        <w:adjustRightInd w:val="0"/>
        <w:spacing w:after="0" w:line="240" w:lineRule="auto"/>
        <w:contextualSpacing/>
        <w:rPr>
          <w:rFonts w:ascii="Times New Roman" w:eastAsia="TimesNewRoman" w:hAnsi="Times New Roman" w:cs="Times New Roman"/>
          <w:sz w:val="24"/>
          <w:szCs w:val="24"/>
        </w:rPr>
      </w:pPr>
      <w:hyperlink r:id="rId18" w:anchor="bb1" w:history="1">
        <w:r w:rsidR="00795905" w:rsidRPr="00795905">
          <w:rPr>
            <w:rFonts w:ascii="Times New Roman" w:hAnsi="Times New Roman" w:cs="Times New Roman"/>
            <w:sz w:val="24"/>
            <w:szCs w:val="24"/>
          </w:rPr>
          <w:t>Merton</w:t>
        </w:r>
      </w:hyperlink>
      <w:r w:rsidR="00795905" w:rsidRPr="00795905">
        <w:rPr>
          <w:rFonts w:ascii="Times New Roman" w:hAnsi="Times New Roman" w:cs="Times New Roman"/>
          <w:sz w:val="24"/>
          <w:szCs w:val="24"/>
        </w:rPr>
        <w:t xml:space="preserve">, R.C., 1987. A simple model of capital market equilibrium with incomplete information. </w:t>
      </w:r>
      <w:r w:rsidR="00795905" w:rsidRPr="00795905">
        <w:rPr>
          <w:rFonts w:ascii="Times New Roman" w:hAnsi="Times New Roman" w:cs="Times New Roman"/>
          <w:iCs/>
          <w:sz w:val="24"/>
          <w:szCs w:val="24"/>
        </w:rPr>
        <w:t>J</w:t>
      </w:r>
      <w:r w:rsidR="00795905">
        <w:rPr>
          <w:rFonts w:ascii="Times New Roman" w:hAnsi="Times New Roman" w:cs="Times New Roman"/>
          <w:iCs/>
          <w:sz w:val="24"/>
          <w:szCs w:val="24"/>
        </w:rPr>
        <w:t>ournal</w:t>
      </w:r>
      <w:r w:rsidR="00CE3C41">
        <w:rPr>
          <w:rFonts w:ascii="Times New Roman" w:hAnsi="Times New Roman" w:cs="Times New Roman"/>
          <w:iCs/>
          <w:sz w:val="24"/>
          <w:szCs w:val="24"/>
        </w:rPr>
        <w:t xml:space="preserve"> </w:t>
      </w:r>
      <w:r w:rsidR="00795905">
        <w:rPr>
          <w:rFonts w:ascii="Times New Roman" w:hAnsi="Times New Roman" w:cs="Times New Roman"/>
          <w:iCs/>
          <w:sz w:val="24"/>
          <w:szCs w:val="24"/>
        </w:rPr>
        <w:t>of</w:t>
      </w:r>
      <w:r w:rsidR="00CE3C41">
        <w:rPr>
          <w:rFonts w:ascii="Times New Roman" w:hAnsi="Times New Roman" w:cs="Times New Roman"/>
          <w:iCs/>
          <w:sz w:val="24"/>
          <w:szCs w:val="24"/>
        </w:rPr>
        <w:t xml:space="preserve"> </w:t>
      </w:r>
      <w:r w:rsidR="00795905" w:rsidRPr="00795905">
        <w:rPr>
          <w:rFonts w:ascii="Times New Roman" w:hAnsi="Times New Roman" w:cs="Times New Roman"/>
          <w:iCs/>
          <w:sz w:val="24"/>
          <w:szCs w:val="24"/>
        </w:rPr>
        <w:t>Finance</w:t>
      </w:r>
      <w:r w:rsidR="00795905" w:rsidRPr="00795905">
        <w:rPr>
          <w:rFonts w:ascii="Times New Roman" w:hAnsi="Times New Roman" w:cs="Times New Roman"/>
          <w:sz w:val="24"/>
          <w:szCs w:val="24"/>
        </w:rPr>
        <w:t xml:space="preserve"> </w:t>
      </w:r>
      <w:r w:rsidR="00795905" w:rsidRPr="00795905">
        <w:rPr>
          <w:rFonts w:ascii="Times New Roman" w:hAnsi="Times New Roman" w:cs="Times New Roman"/>
          <w:bCs/>
          <w:sz w:val="24"/>
          <w:szCs w:val="24"/>
        </w:rPr>
        <w:t>42</w:t>
      </w:r>
      <w:r w:rsidR="00CE3C41">
        <w:rPr>
          <w:rFonts w:ascii="Times New Roman" w:hAnsi="Times New Roman" w:cs="Times New Roman"/>
          <w:sz w:val="24"/>
          <w:szCs w:val="24"/>
        </w:rPr>
        <w:t>,</w:t>
      </w:r>
      <w:r w:rsidR="00795905" w:rsidRPr="00795905">
        <w:rPr>
          <w:rFonts w:ascii="Times New Roman" w:hAnsi="Times New Roman" w:cs="Times New Roman"/>
          <w:sz w:val="24"/>
          <w:szCs w:val="24"/>
        </w:rPr>
        <w:t xml:space="preserve"> 483–510</w:t>
      </w:r>
    </w:p>
    <w:p w:rsidR="00960882" w:rsidRPr="008B2D41" w:rsidRDefault="00960882"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Nabar, S. and Boonlert-U-Thai, K.K., 2007. Earning Management Investor Protection, and National Culture. Journal of International Accounting Research 6, 2, 35-54.</w:t>
      </w:r>
    </w:p>
    <w:p w:rsidR="009E0B8B" w:rsidRPr="008B2D41" w:rsidRDefault="009E0B8B" w:rsidP="009E0B8B">
      <w:pPr>
        <w:pStyle w:val="NormalWeb"/>
        <w:jc w:val="both"/>
      </w:pPr>
      <w:r w:rsidRPr="008B2D41">
        <w:t>Nelson, M. W. (2003). Behavioral evidence on the effects of principles- and rules-based standards.</w:t>
      </w:r>
      <w:r w:rsidRPr="008B2D41">
        <w:rPr>
          <w:iCs/>
        </w:rPr>
        <w:t xml:space="preserve"> Accounting Horizons, 17</w:t>
      </w:r>
      <w:r w:rsidRPr="008B2D41">
        <w:t xml:space="preserve">, 91. </w:t>
      </w:r>
    </w:p>
    <w:p w:rsidR="00E40F3C" w:rsidRDefault="00E40F3C"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 xml:space="preserve">Paananen M. and Lin H., </w:t>
      </w:r>
      <w:r w:rsidR="00AC4191" w:rsidRPr="008B2D41">
        <w:rPr>
          <w:rFonts w:ascii="Times New Roman" w:hAnsi="Times New Roman" w:cs="Times New Roman"/>
          <w:color w:val="000000"/>
          <w:sz w:val="24"/>
          <w:szCs w:val="24"/>
        </w:rPr>
        <w:t xml:space="preserve">2009. </w:t>
      </w:r>
      <w:r w:rsidRPr="008B2D41">
        <w:rPr>
          <w:rFonts w:ascii="Times New Roman" w:hAnsi="Times New Roman" w:cs="Times New Roman"/>
          <w:color w:val="000000"/>
          <w:sz w:val="24"/>
          <w:szCs w:val="24"/>
        </w:rPr>
        <w:t xml:space="preserve">The Development of Accounting </w:t>
      </w:r>
      <w:r w:rsidR="00F354C5">
        <w:rPr>
          <w:rFonts w:ascii="Times New Roman" w:hAnsi="Times New Roman" w:cs="Times New Roman"/>
          <w:color w:val="000000"/>
          <w:sz w:val="24"/>
          <w:szCs w:val="24"/>
        </w:rPr>
        <w:t>Q</w:t>
      </w:r>
      <w:r w:rsidRPr="008B2D41">
        <w:rPr>
          <w:rFonts w:ascii="Times New Roman" w:hAnsi="Times New Roman" w:cs="Times New Roman"/>
          <w:color w:val="000000"/>
          <w:sz w:val="24"/>
          <w:szCs w:val="24"/>
        </w:rPr>
        <w:t>uality of IAS and IFRS over Time: The Case of Germany. Journal of international accounting research 8, 31-55</w:t>
      </w:r>
    </w:p>
    <w:p w:rsidR="00E619CE" w:rsidRDefault="00E619CE"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E619CE" w:rsidRDefault="00E619CE"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Pagano, M. and Volping, P., 2005. The political economy of corporate governance. American Economic Review,</w:t>
      </w:r>
      <w:r w:rsidR="00B53194">
        <w:rPr>
          <w:rFonts w:ascii="Times New Roman" w:hAnsi="Times New Roman" w:cs="Times New Roman"/>
          <w:color w:val="000000"/>
          <w:sz w:val="24"/>
          <w:szCs w:val="24"/>
        </w:rPr>
        <w:t xml:space="preserve"> </w:t>
      </w:r>
      <w:r>
        <w:rPr>
          <w:rFonts w:ascii="Times New Roman" w:hAnsi="Times New Roman" w:cs="Times New Roman"/>
          <w:color w:val="000000"/>
          <w:sz w:val="24"/>
          <w:szCs w:val="24"/>
        </w:rPr>
        <w:t>95, 1005-1030.</w:t>
      </w:r>
    </w:p>
    <w:p w:rsidR="005E1B11" w:rsidRDefault="005E1B11"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5E1B11" w:rsidRPr="008B2D41" w:rsidRDefault="005E1B11"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Phillips, J., Pincus, M. and Rego, S.O., 2003. Earnings management: New Evidence Based on Deferred Tax Expense</w:t>
      </w:r>
      <w:r w:rsidR="00B53194">
        <w:rPr>
          <w:rFonts w:ascii="Times New Roman" w:hAnsi="Times New Roman" w:cs="Times New Roman"/>
          <w:color w:val="000000"/>
          <w:sz w:val="24"/>
          <w:szCs w:val="24"/>
        </w:rPr>
        <w:t>.</w:t>
      </w:r>
      <w:r>
        <w:rPr>
          <w:rFonts w:ascii="Times New Roman" w:hAnsi="Times New Roman" w:cs="Times New Roman"/>
          <w:color w:val="000000"/>
          <w:sz w:val="24"/>
          <w:szCs w:val="24"/>
        </w:rPr>
        <w:t>, The Accounting Review, 78, 491-521.</w:t>
      </w:r>
    </w:p>
    <w:p w:rsidR="00E40F3C" w:rsidRPr="008B2D41" w:rsidRDefault="00E40F3C"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lastRenderedPageBreak/>
        <w:t>Ronen, J. and Yaari, V., 2008. Earnings management: emerging insights in theory, practice and research</w:t>
      </w:r>
      <w:r w:rsidR="0022335B">
        <w:rPr>
          <w:rFonts w:ascii="Times New Roman" w:hAnsi="Times New Roman" w:cs="Times New Roman"/>
          <w:color w:val="000000"/>
          <w:sz w:val="24"/>
          <w:szCs w:val="24"/>
        </w:rPr>
        <w:t>.</w:t>
      </w:r>
    </w:p>
    <w:p w:rsidR="0022335B" w:rsidRDefault="0022335B"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22335B" w:rsidRPr="0022335B" w:rsidRDefault="0022335B" w:rsidP="009E0B8B">
      <w:pPr>
        <w:autoSpaceDE w:val="0"/>
        <w:autoSpaceDN w:val="0"/>
        <w:adjustRightInd w:val="0"/>
        <w:spacing w:after="0" w:line="240" w:lineRule="auto"/>
        <w:contextualSpacing/>
        <w:rPr>
          <w:rFonts w:ascii="Times New Roman" w:hAnsi="Times New Roman" w:cs="Times New Roman"/>
          <w:sz w:val="24"/>
          <w:szCs w:val="24"/>
        </w:rPr>
      </w:pPr>
      <w:r>
        <w:rPr>
          <w:rFonts w:ascii="Times New Roman" w:hAnsi="Times New Roman" w:cs="Times New Roman"/>
          <w:sz w:val="24"/>
          <w:szCs w:val="24"/>
        </w:rPr>
        <w:t xml:space="preserve">Scholes, M.S., Wilson, G.P. and Wolfson, M.A., 1992. </w:t>
      </w:r>
      <w:hyperlink r:id="rId19" w:history="1">
        <w:r w:rsidRPr="0022335B">
          <w:rPr>
            <w:rStyle w:val="title0"/>
            <w:rFonts w:ascii="Times New Roman" w:hAnsi="Times New Roman" w:cs="Times New Roman"/>
            <w:sz w:val="24"/>
            <w:szCs w:val="24"/>
          </w:rPr>
          <w:t>A Theory of Income and Dividend Smoothing Based on Incumbency Rents</w:t>
        </w:r>
      </w:hyperlink>
      <w:r w:rsidRPr="0022335B">
        <w:rPr>
          <w:rFonts w:ascii="Times New Roman" w:hAnsi="Times New Roman" w:cs="Times New Roman"/>
          <w:sz w:val="24"/>
          <w:szCs w:val="24"/>
        </w:rPr>
        <w:t xml:space="preserve">, </w:t>
      </w:r>
      <w:hyperlink r:id="rId20" w:history="1">
        <w:r w:rsidRPr="0022335B">
          <w:rPr>
            <w:rStyle w:val="mediatitle1"/>
            <w:rFonts w:ascii="Times New Roman" w:hAnsi="Times New Roman" w:cs="Times New Roman"/>
            <w:i w:val="0"/>
            <w:sz w:val="24"/>
            <w:szCs w:val="24"/>
          </w:rPr>
          <w:t>Journal of Political Economy</w:t>
        </w:r>
      </w:hyperlink>
      <w:r w:rsidRPr="0022335B">
        <w:rPr>
          <w:rFonts w:ascii="Times New Roman" w:hAnsi="Times New Roman" w:cs="Times New Roman"/>
          <w:i/>
          <w:sz w:val="24"/>
          <w:szCs w:val="24"/>
        </w:rPr>
        <w:t xml:space="preserve">, </w:t>
      </w:r>
      <w:r w:rsidRPr="0022335B">
        <w:rPr>
          <w:rFonts w:ascii="Times New Roman" w:hAnsi="Times New Roman" w:cs="Times New Roman"/>
          <w:sz w:val="24"/>
          <w:szCs w:val="24"/>
        </w:rPr>
        <w:t>103, 75-93.</w:t>
      </w: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Shleifer, A., Vishny, R., 1997. A survey of corporate governance. Journal of Finance 52, 737–783.</w:t>
      </w:r>
    </w:p>
    <w:p w:rsidR="00F944E0"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8C2E15" w:rsidRDefault="008C2E15" w:rsidP="009E0B8B">
      <w:pPr>
        <w:autoSpaceDE w:val="0"/>
        <w:autoSpaceDN w:val="0"/>
        <w:adjustRightInd w:val="0"/>
        <w:spacing w:after="0" w:line="240" w:lineRule="auto"/>
        <w:contextualSpacing/>
        <w:rPr>
          <w:rFonts w:ascii="Times New Roman" w:hAnsi="Times New Roman" w:cs="Times New Roman"/>
          <w:color w:val="000000"/>
          <w:sz w:val="24"/>
          <w:szCs w:val="24"/>
        </w:rPr>
      </w:pPr>
      <w:r>
        <w:rPr>
          <w:rFonts w:ascii="Times New Roman" w:hAnsi="Times New Roman" w:cs="Times New Roman"/>
          <w:color w:val="000000"/>
          <w:sz w:val="24"/>
          <w:szCs w:val="24"/>
        </w:rPr>
        <w:t>Soderstrom, N.S. and Sun, K.J. 2007. IFRS Adoption and Accounting Quality: A review. European Acounting Review,16, 675-702.</w:t>
      </w:r>
    </w:p>
    <w:p w:rsidR="008C2E15" w:rsidRPr="008B2D41" w:rsidRDefault="008C2E15"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Stolowy, H. and Breton, G., 2004. Accounts Manipulation: A literature review and Proposed Conceptual Framework. Review of Accounting and Finance 3, 1.</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Thomas, J. and Zhang, X., 2000. Identifying unexpected accruals: a comparison of current approaches.</w:t>
      </w: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p>
    <w:p w:rsidR="00F944E0" w:rsidRPr="008B2D41" w:rsidRDefault="00F944E0" w:rsidP="009E0B8B">
      <w:pPr>
        <w:autoSpaceDE w:val="0"/>
        <w:autoSpaceDN w:val="0"/>
        <w:adjustRightInd w:val="0"/>
        <w:spacing w:after="0" w:line="240" w:lineRule="auto"/>
        <w:contextualSpacing/>
        <w:rPr>
          <w:rFonts w:ascii="Times New Roman" w:hAnsi="Times New Roman" w:cs="Times New Roman"/>
          <w:color w:val="000000"/>
          <w:sz w:val="24"/>
          <w:szCs w:val="24"/>
        </w:rPr>
      </w:pPr>
      <w:r w:rsidRPr="008B2D41">
        <w:rPr>
          <w:rFonts w:ascii="Times New Roman" w:hAnsi="Times New Roman" w:cs="Times New Roman"/>
          <w:color w:val="000000"/>
          <w:sz w:val="24"/>
          <w:szCs w:val="24"/>
        </w:rPr>
        <w:t>Tucker,</w:t>
      </w:r>
      <w:r w:rsidR="00675205">
        <w:rPr>
          <w:rFonts w:ascii="Times New Roman" w:hAnsi="Times New Roman" w:cs="Times New Roman"/>
          <w:color w:val="000000"/>
          <w:sz w:val="24"/>
          <w:szCs w:val="24"/>
        </w:rPr>
        <w:t xml:space="preserve"> J. and Zarowin, H., 2006. D</w:t>
      </w:r>
      <w:r w:rsidRPr="008B2D41">
        <w:rPr>
          <w:rFonts w:ascii="Times New Roman" w:hAnsi="Times New Roman" w:cs="Times New Roman"/>
          <w:color w:val="000000"/>
          <w:sz w:val="24"/>
          <w:szCs w:val="24"/>
        </w:rPr>
        <w:t>oes Income Smoothing Improve Earnings Informativeness? The Accounting Review 81, 1, 251-270.</w:t>
      </w:r>
    </w:p>
    <w:p w:rsidR="009E0B8B" w:rsidRDefault="009E0B8B" w:rsidP="009E0B8B">
      <w:pPr>
        <w:pStyle w:val="NormalWeb"/>
        <w:jc w:val="both"/>
      </w:pPr>
      <w:r w:rsidRPr="008B2D41">
        <w:t xml:space="preserve">Van </w:t>
      </w:r>
      <w:r w:rsidR="00C62076">
        <w:t>T</w:t>
      </w:r>
      <w:r w:rsidRPr="008B2D41">
        <w:t xml:space="preserve">endeloo, B., </w:t>
      </w:r>
      <w:r w:rsidR="00C62076">
        <w:t>and</w:t>
      </w:r>
      <w:r w:rsidRPr="008B2D41">
        <w:t xml:space="preserve"> Vanstraelen, A. 2005. Earnings management under german GAAP versus IFRS.</w:t>
      </w:r>
      <w:r w:rsidRPr="008B2D41">
        <w:rPr>
          <w:iCs/>
        </w:rPr>
        <w:t xml:space="preserve"> European Accounting Review, 14</w:t>
      </w:r>
      <w:r w:rsidRPr="008B2D41">
        <w:t xml:space="preserve">, 155-180. </w:t>
      </w:r>
    </w:p>
    <w:p w:rsidR="00DA5CE9" w:rsidRPr="00DA5CE9" w:rsidRDefault="00DA5CE9" w:rsidP="009E0B8B">
      <w:pPr>
        <w:pStyle w:val="NormalWeb"/>
        <w:jc w:val="both"/>
      </w:pPr>
      <w:r w:rsidRPr="00DA5CE9">
        <w:t xml:space="preserve">Wang, Z. and Williams, T.H., 1994. </w:t>
      </w:r>
      <w:hyperlink r:id="rId21" w:history="1">
        <w:r w:rsidRPr="00DA5CE9">
          <w:rPr>
            <w:rStyle w:val="title0"/>
          </w:rPr>
          <w:t>A Theory of Income and Dividend Smoothing Based on Incumbency Rents</w:t>
        </w:r>
      </w:hyperlink>
      <w:r w:rsidRPr="00DA5CE9">
        <w:t xml:space="preserve">, </w:t>
      </w:r>
      <w:hyperlink r:id="rId22" w:history="1">
        <w:r w:rsidRPr="00DA5CE9">
          <w:rPr>
            <w:rStyle w:val="mediatitle1"/>
            <w:i w:val="0"/>
          </w:rPr>
          <w:t>Journal of Political Economy</w:t>
        </w:r>
      </w:hyperlink>
      <w:r w:rsidRPr="00DA5CE9">
        <w:t>, 103, 75-93.</w:t>
      </w:r>
    </w:p>
    <w:p w:rsidR="00860FD5" w:rsidRDefault="00860FD5" w:rsidP="009E0B8B">
      <w:pPr>
        <w:pStyle w:val="NormalWeb"/>
        <w:jc w:val="both"/>
      </w:pPr>
      <w:r>
        <w:t>Watts, R.L. and Zimmerman, J.L. 1986. Positive Accounting Theory, Prentice-Hall, London.</w:t>
      </w:r>
    </w:p>
    <w:p w:rsidR="003B53F2" w:rsidRPr="003B53F2" w:rsidRDefault="003B53F2" w:rsidP="003B53F2">
      <w:pPr>
        <w:autoSpaceDE w:val="0"/>
        <w:autoSpaceDN w:val="0"/>
        <w:adjustRightInd w:val="0"/>
        <w:spacing w:after="0" w:line="240" w:lineRule="auto"/>
        <w:jc w:val="left"/>
        <w:rPr>
          <w:rFonts w:ascii="Times New Roman" w:hAnsi="Times New Roman" w:cs="Times New Roman"/>
          <w:sz w:val="24"/>
          <w:szCs w:val="24"/>
          <w:lang w:bidi="ar-SA"/>
        </w:rPr>
      </w:pPr>
      <w:r w:rsidRPr="003B53F2">
        <w:rPr>
          <w:rFonts w:ascii="Times New Roman" w:hAnsi="Times New Roman" w:cs="Times New Roman"/>
          <w:sz w:val="24"/>
          <w:szCs w:val="24"/>
          <w:lang w:bidi="ar-SA"/>
        </w:rPr>
        <w:t xml:space="preserve">Whittington, G. 2005. The adoption of international accounting standards in the European Union. </w:t>
      </w:r>
      <w:r w:rsidRPr="003B53F2">
        <w:rPr>
          <w:rFonts w:ascii="Times New Roman" w:hAnsi="Times New Roman" w:cs="Times New Roman"/>
          <w:iCs/>
          <w:sz w:val="24"/>
          <w:szCs w:val="24"/>
          <w:lang w:bidi="ar-SA"/>
        </w:rPr>
        <w:t xml:space="preserve">European Accounting Review </w:t>
      </w:r>
      <w:r w:rsidRPr="003B53F2">
        <w:rPr>
          <w:rFonts w:ascii="Times New Roman" w:hAnsi="Times New Roman" w:cs="Times New Roman"/>
          <w:sz w:val="24"/>
          <w:szCs w:val="24"/>
          <w:lang w:bidi="ar-SA"/>
        </w:rPr>
        <w:t>14</w:t>
      </w:r>
      <w:r>
        <w:rPr>
          <w:rFonts w:ascii="Times New Roman" w:hAnsi="Times New Roman" w:cs="Times New Roman"/>
          <w:sz w:val="24"/>
          <w:szCs w:val="24"/>
          <w:lang w:bidi="ar-SA"/>
        </w:rPr>
        <w:t xml:space="preserve">, </w:t>
      </w:r>
      <w:r w:rsidRPr="003B53F2">
        <w:rPr>
          <w:rFonts w:ascii="Times New Roman" w:hAnsi="Times New Roman" w:cs="Times New Roman"/>
          <w:sz w:val="24"/>
          <w:szCs w:val="24"/>
          <w:lang w:bidi="ar-SA"/>
        </w:rPr>
        <w:t>127–153.</w:t>
      </w:r>
    </w:p>
    <w:p w:rsidR="003B53F2" w:rsidRPr="003B53F2" w:rsidRDefault="003B53F2" w:rsidP="003B53F2">
      <w:pPr>
        <w:autoSpaceDE w:val="0"/>
        <w:autoSpaceDN w:val="0"/>
        <w:adjustRightInd w:val="0"/>
        <w:spacing w:after="0" w:line="240" w:lineRule="auto"/>
        <w:jc w:val="left"/>
        <w:rPr>
          <w:rFonts w:ascii="Times New Roman" w:hAnsi="Times New Roman" w:cs="Times New Roman"/>
          <w:sz w:val="24"/>
          <w:szCs w:val="24"/>
        </w:rPr>
      </w:pPr>
    </w:p>
    <w:p w:rsidR="00F944E0" w:rsidRPr="008B2D41" w:rsidRDefault="00F944E0" w:rsidP="009E0B8B">
      <w:pPr>
        <w:spacing w:line="240" w:lineRule="auto"/>
        <w:contextualSpacing/>
        <w:rPr>
          <w:rFonts w:ascii="Times New Roman" w:hAnsi="Times New Roman" w:cs="Times New Roman"/>
          <w:sz w:val="24"/>
          <w:szCs w:val="24"/>
        </w:rPr>
      </w:pPr>
      <w:r w:rsidRPr="008B2D41">
        <w:rPr>
          <w:rFonts w:ascii="Times New Roman" w:hAnsi="Times New Roman" w:cs="Times New Roman"/>
          <w:sz w:val="24"/>
          <w:szCs w:val="24"/>
        </w:rPr>
        <w:t>Wright, C., Shaw, J. and Guan, L., 2006. Corporate Governance and Investor Protection: Earnings Management in the U.K. and U.S. Journal of International Accounting Research 5, 1, 25-40.</w:t>
      </w:r>
    </w:p>
    <w:p w:rsidR="00B65702" w:rsidRDefault="00B65702" w:rsidP="00AD37E0">
      <w:pPr>
        <w:pStyle w:val="BodyText"/>
        <w:spacing w:line="24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B65702" w:rsidRDefault="00B65702" w:rsidP="00B65702">
      <w:pPr>
        <w:pStyle w:val="BodyText"/>
        <w:spacing w:line="360" w:lineRule="auto"/>
        <w:rPr>
          <w:rFonts w:ascii="Times New Roman" w:hAnsi="Times New Roman" w:cs="Times New Roman"/>
          <w:sz w:val="24"/>
          <w:szCs w:val="24"/>
        </w:rPr>
      </w:pPr>
    </w:p>
    <w:p w:rsidR="00161E70" w:rsidRPr="00D5708B" w:rsidRDefault="00161E70" w:rsidP="00161E70">
      <w:pPr>
        <w:pStyle w:val="Heading4"/>
        <w:spacing w:line="360" w:lineRule="auto"/>
        <w:rPr>
          <w:rFonts w:ascii="Calibri" w:hAnsi="Calibri"/>
          <w:b/>
          <w:color w:val="800000"/>
        </w:rPr>
      </w:pPr>
      <w:bookmarkStart w:id="123" w:name="_Toc254909680"/>
      <w:bookmarkStart w:id="124" w:name="_Toc256642155"/>
      <w:bookmarkStart w:id="125" w:name="_Toc268669791"/>
      <w:r w:rsidRPr="00D5708B">
        <w:rPr>
          <w:rFonts w:ascii="Calibri" w:hAnsi="Calibri"/>
          <w:b/>
          <w:color w:val="800000"/>
        </w:rPr>
        <w:lastRenderedPageBreak/>
        <w:t xml:space="preserve">Appendix A </w:t>
      </w:r>
      <w:r w:rsidRPr="00D5708B">
        <w:rPr>
          <w:rFonts w:ascii="Calibri" w:hAnsi="Calibri"/>
          <w:b/>
          <w:color w:val="800000"/>
        </w:rPr>
        <w:tab/>
        <w:t>Schematic overview of previous studies</w:t>
      </w:r>
      <w:bookmarkEnd w:id="123"/>
      <w:bookmarkEnd w:id="124"/>
      <w:bookmarkEnd w:id="125"/>
    </w:p>
    <w:p w:rsidR="00161E70" w:rsidRDefault="00161E70" w:rsidP="00161E70"/>
    <w:p w:rsidR="00161E70" w:rsidRPr="008738DC" w:rsidRDefault="00161E70" w:rsidP="00161E70"/>
    <w:tbl>
      <w:tblPr>
        <w:tblW w:w="0" w:type="auto"/>
        <w:tblBorders>
          <w:top w:val="single" w:sz="8" w:space="0" w:color="604878"/>
          <w:left w:val="single" w:sz="8" w:space="0" w:color="604878"/>
          <w:bottom w:val="single" w:sz="8" w:space="0" w:color="604878"/>
          <w:right w:val="single" w:sz="8" w:space="0" w:color="604878"/>
          <w:insideH w:val="single" w:sz="8" w:space="0" w:color="604878"/>
          <w:insideV w:val="single" w:sz="8" w:space="0" w:color="604878"/>
        </w:tblBorders>
        <w:tblLook w:val="0000"/>
      </w:tblPr>
      <w:tblGrid>
        <w:gridCol w:w="1279"/>
        <w:gridCol w:w="1707"/>
        <w:gridCol w:w="1592"/>
        <w:gridCol w:w="2177"/>
        <w:gridCol w:w="2193"/>
      </w:tblGrid>
      <w:tr w:rsidR="00161E70" w:rsidRPr="0061639B" w:rsidTr="00581754">
        <w:tc>
          <w:tcPr>
            <w:tcW w:w="1397" w:type="dxa"/>
            <w:shd w:val="clear" w:color="auto" w:fill="D7CDE1"/>
          </w:tcPr>
          <w:p w:rsidR="00161E70" w:rsidRPr="00A156CF" w:rsidRDefault="00161E70" w:rsidP="00D5708B">
            <w:pPr>
              <w:spacing w:line="360" w:lineRule="auto"/>
              <w:jc w:val="left"/>
              <w:rPr>
                <w:b/>
                <w:lang w:val="en-GB"/>
              </w:rPr>
            </w:pPr>
          </w:p>
          <w:p w:rsidR="00161E70" w:rsidRPr="0061639B" w:rsidRDefault="00161E70" w:rsidP="00D5708B">
            <w:pPr>
              <w:spacing w:line="360" w:lineRule="auto"/>
              <w:jc w:val="left"/>
              <w:rPr>
                <w:b/>
              </w:rPr>
            </w:pPr>
            <w:r w:rsidRPr="0061639B">
              <w:rPr>
                <w:b/>
              </w:rPr>
              <w:t>Author</w:t>
            </w:r>
          </w:p>
          <w:p w:rsidR="00161E70" w:rsidRPr="0061639B" w:rsidRDefault="00161E70" w:rsidP="00D5708B">
            <w:pPr>
              <w:spacing w:line="360" w:lineRule="auto"/>
              <w:jc w:val="left"/>
              <w:rPr>
                <w:b/>
              </w:rPr>
            </w:pPr>
          </w:p>
        </w:tc>
        <w:tc>
          <w:tcPr>
            <w:tcW w:w="1719" w:type="dxa"/>
            <w:shd w:val="clear" w:color="auto" w:fill="D7CDE1"/>
          </w:tcPr>
          <w:p w:rsidR="00161E70" w:rsidRPr="0061639B" w:rsidRDefault="00161E70" w:rsidP="00D5708B">
            <w:pPr>
              <w:spacing w:line="360" w:lineRule="auto"/>
              <w:jc w:val="left"/>
              <w:rPr>
                <w:b/>
              </w:rPr>
            </w:pPr>
          </w:p>
          <w:p w:rsidR="00161E70" w:rsidRPr="0061639B" w:rsidRDefault="00161E70" w:rsidP="00D5708B">
            <w:pPr>
              <w:spacing w:line="360" w:lineRule="auto"/>
              <w:jc w:val="left"/>
              <w:rPr>
                <w:b/>
              </w:rPr>
            </w:pPr>
            <w:r w:rsidRPr="0061639B">
              <w:rPr>
                <w:b/>
              </w:rPr>
              <w:t>Object of Study</w:t>
            </w:r>
          </w:p>
        </w:tc>
        <w:tc>
          <w:tcPr>
            <w:tcW w:w="1664" w:type="dxa"/>
            <w:shd w:val="clear" w:color="auto" w:fill="D7CDE1"/>
          </w:tcPr>
          <w:p w:rsidR="00161E70" w:rsidRPr="0061639B" w:rsidRDefault="00161E70" w:rsidP="00D5708B">
            <w:pPr>
              <w:spacing w:line="360" w:lineRule="auto"/>
              <w:jc w:val="left"/>
              <w:rPr>
                <w:b/>
              </w:rPr>
            </w:pPr>
          </w:p>
          <w:p w:rsidR="00161E70" w:rsidRPr="0061639B" w:rsidRDefault="00161E70" w:rsidP="00D5708B">
            <w:pPr>
              <w:spacing w:line="360" w:lineRule="auto"/>
              <w:jc w:val="left"/>
              <w:rPr>
                <w:b/>
              </w:rPr>
            </w:pPr>
            <w:r w:rsidRPr="0061639B">
              <w:rPr>
                <w:b/>
              </w:rPr>
              <w:t>Sample</w:t>
            </w:r>
          </w:p>
        </w:tc>
        <w:tc>
          <w:tcPr>
            <w:tcW w:w="2318" w:type="dxa"/>
            <w:shd w:val="clear" w:color="auto" w:fill="D7CDE1"/>
          </w:tcPr>
          <w:p w:rsidR="00161E70" w:rsidRPr="0061639B" w:rsidRDefault="00161E70" w:rsidP="00D5708B">
            <w:pPr>
              <w:spacing w:line="360" w:lineRule="auto"/>
              <w:jc w:val="left"/>
              <w:rPr>
                <w:b/>
              </w:rPr>
            </w:pPr>
          </w:p>
          <w:p w:rsidR="00161E70" w:rsidRPr="0061639B" w:rsidRDefault="00161E70" w:rsidP="00D5708B">
            <w:pPr>
              <w:spacing w:line="360" w:lineRule="auto"/>
              <w:jc w:val="left"/>
              <w:rPr>
                <w:b/>
              </w:rPr>
            </w:pPr>
            <w:r w:rsidRPr="0061639B">
              <w:rPr>
                <w:b/>
              </w:rPr>
              <w:t>Methodology</w:t>
            </w:r>
          </w:p>
        </w:tc>
        <w:tc>
          <w:tcPr>
            <w:tcW w:w="2478" w:type="dxa"/>
            <w:shd w:val="clear" w:color="auto" w:fill="D7CDE1"/>
          </w:tcPr>
          <w:p w:rsidR="00161E70" w:rsidRPr="0061639B" w:rsidRDefault="00161E70" w:rsidP="00581754">
            <w:pPr>
              <w:spacing w:line="360" w:lineRule="auto"/>
              <w:jc w:val="center"/>
              <w:rPr>
                <w:b/>
              </w:rPr>
            </w:pPr>
          </w:p>
          <w:p w:rsidR="00161E70" w:rsidRPr="0061639B" w:rsidRDefault="00161E70" w:rsidP="00581754">
            <w:pPr>
              <w:spacing w:line="360" w:lineRule="auto"/>
              <w:jc w:val="center"/>
              <w:rPr>
                <w:b/>
              </w:rPr>
            </w:pPr>
            <w:r w:rsidRPr="0061639B">
              <w:rPr>
                <w:b/>
              </w:rPr>
              <w:t>Outcome</w:t>
            </w:r>
          </w:p>
        </w:tc>
      </w:tr>
      <w:tr w:rsidR="00161E70" w:rsidRPr="00F342A1" w:rsidTr="00581754">
        <w:tc>
          <w:tcPr>
            <w:tcW w:w="1397" w:type="dxa"/>
          </w:tcPr>
          <w:p w:rsidR="00161E70" w:rsidRPr="0061639B" w:rsidRDefault="00161E70" w:rsidP="00D5708B">
            <w:pPr>
              <w:spacing w:line="360" w:lineRule="auto"/>
              <w:jc w:val="left"/>
            </w:pPr>
          </w:p>
          <w:p w:rsidR="00161E70" w:rsidRPr="0061639B" w:rsidRDefault="00161E70" w:rsidP="00D5708B">
            <w:pPr>
              <w:spacing w:line="360" w:lineRule="auto"/>
              <w:jc w:val="left"/>
            </w:pPr>
            <w:r w:rsidRPr="0061639B">
              <w:t>Cahan, Liu and Sun</w:t>
            </w:r>
          </w:p>
          <w:p w:rsidR="00161E70" w:rsidRPr="0061639B" w:rsidRDefault="00161E70" w:rsidP="00D5708B">
            <w:pPr>
              <w:spacing w:line="360" w:lineRule="auto"/>
              <w:jc w:val="left"/>
            </w:pPr>
            <w:r w:rsidRPr="0061639B">
              <w:t>(2008)</w:t>
            </w:r>
          </w:p>
        </w:tc>
        <w:tc>
          <w:tcPr>
            <w:tcW w:w="1719" w:type="dxa"/>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Investor protection, Income smoothing and Earnings Informativeness</w:t>
            </w:r>
          </w:p>
        </w:tc>
        <w:tc>
          <w:tcPr>
            <w:tcW w:w="1664" w:type="dxa"/>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44 countries,</w:t>
            </w:r>
          </w:p>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 55,357 firm year observations,</w:t>
            </w:r>
          </w:p>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Period: </w:t>
            </w:r>
          </w:p>
          <w:p w:rsidR="00161E70" w:rsidRPr="0061639B" w:rsidRDefault="00161E70" w:rsidP="00D5708B">
            <w:pPr>
              <w:spacing w:line="360" w:lineRule="auto"/>
              <w:jc w:val="left"/>
            </w:pPr>
            <w:r w:rsidRPr="0061639B">
              <w:t>1993 - 2002</w:t>
            </w:r>
          </w:p>
        </w:tc>
        <w:tc>
          <w:tcPr>
            <w:tcW w:w="2318" w:type="dxa"/>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Earnings Informativeness:  Model of Collins et al.</w:t>
            </w:r>
            <w:r>
              <w:rPr>
                <w:lang w:val="en-GB"/>
              </w:rPr>
              <w:t xml:space="preserve"> (1994)</w:t>
            </w:r>
          </w:p>
          <w:p w:rsidR="00161E70" w:rsidRPr="00F342A1" w:rsidRDefault="00161E70" w:rsidP="00D5708B">
            <w:pPr>
              <w:spacing w:line="360" w:lineRule="auto"/>
              <w:jc w:val="left"/>
              <w:rPr>
                <w:lang w:val="en-GB"/>
              </w:rPr>
            </w:pPr>
            <w:r w:rsidRPr="00F342A1">
              <w:rPr>
                <w:lang w:val="en-GB"/>
              </w:rPr>
              <w:t>Income smoothing: Contemporaneous Spearman correlation</w:t>
            </w:r>
          </w:p>
          <w:p w:rsidR="00161E70" w:rsidRPr="00F342A1" w:rsidRDefault="00161E70" w:rsidP="00D5708B">
            <w:pPr>
              <w:spacing w:line="360" w:lineRule="auto"/>
              <w:jc w:val="left"/>
              <w:rPr>
                <w:lang w:val="en-GB"/>
              </w:rPr>
            </w:pPr>
            <w:r w:rsidRPr="00F342A1">
              <w:rPr>
                <w:lang w:val="en-GB"/>
              </w:rPr>
              <w:t>Investor protection:</w:t>
            </w:r>
          </w:p>
          <w:p w:rsidR="00161E70" w:rsidRPr="0061639B" w:rsidRDefault="00161E70" w:rsidP="00D5708B">
            <w:pPr>
              <w:spacing w:line="360" w:lineRule="auto"/>
              <w:jc w:val="left"/>
            </w:pPr>
            <w:r w:rsidRPr="00F342A1">
              <w:rPr>
                <w:lang w:val="en-GB"/>
              </w:rPr>
              <w:t xml:space="preserve"> </w:t>
            </w:r>
            <w:r w:rsidRPr="0061639B">
              <w:t>Index from La</w:t>
            </w:r>
            <w:r w:rsidR="00200E9F">
              <w:t xml:space="preserve"> </w:t>
            </w:r>
            <w:r w:rsidRPr="0061639B">
              <w:t>Porta et al.</w:t>
            </w:r>
            <w:r>
              <w:t xml:space="preserve"> (1998)</w:t>
            </w:r>
          </w:p>
          <w:p w:rsidR="00161E70" w:rsidRPr="0061639B" w:rsidRDefault="00161E70" w:rsidP="00D5708B">
            <w:pPr>
              <w:spacing w:line="360" w:lineRule="auto"/>
              <w:jc w:val="left"/>
            </w:pPr>
          </w:p>
        </w:tc>
        <w:tc>
          <w:tcPr>
            <w:tcW w:w="2478" w:type="dxa"/>
          </w:tcPr>
          <w:p w:rsidR="00161E70" w:rsidRPr="00F342A1" w:rsidRDefault="00161E70" w:rsidP="00581754">
            <w:pPr>
              <w:spacing w:line="360" w:lineRule="auto"/>
              <w:rPr>
                <w:lang w:val="en-GB"/>
              </w:rPr>
            </w:pPr>
          </w:p>
          <w:p w:rsidR="00161E70" w:rsidRPr="00F342A1" w:rsidRDefault="00161E70" w:rsidP="00581754">
            <w:pPr>
              <w:spacing w:line="360" w:lineRule="auto"/>
              <w:rPr>
                <w:lang w:val="en-GB"/>
              </w:rPr>
            </w:pPr>
            <w:r w:rsidRPr="00F342A1">
              <w:rPr>
                <w:lang w:val="en-GB"/>
              </w:rPr>
              <w:t>Earnings informativeness is more positively associated with income smoothing in countries with strong investor protection than it is in countries with weak investor protection</w:t>
            </w:r>
          </w:p>
          <w:p w:rsidR="00161E70" w:rsidRPr="00F342A1" w:rsidRDefault="00161E70" w:rsidP="00581754">
            <w:pPr>
              <w:spacing w:line="360" w:lineRule="auto"/>
              <w:rPr>
                <w:lang w:val="en-GB"/>
              </w:rPr>
            </w:pPr>
          </w:p>
        </w:tc>
      </w:tr>
      <w:tr w:rsidR="00161E70" w:rsidRPr="00F342A1" w:rsidTr="00581754">
        <w:tc>
          <w:tcPr>
            <w:tcW w:w="1397" w:type="dxa"/>
            <w:shd w:val="clear" w:color="auto" w:fill="D7CDE1"/>
          </w:tcPr>
          <w:p w:rsidR="00161E70" w:rsidRPr="00F342A1" w:rsidRDefault="00161E70" w:rsidP="00D5708B">
            <w:pPr>
              <w:spacing w:line="360" w:lineRule="auto"/>
              <w:jc w:val="left"/>
              <w:rPr>
                <w:lang w:val="en-GB"/>
              </w:rPr>
            </w:pPr>
          </w:p>
          <w:p w:rsidR="00161E70" w:rsidRPr="0061639B" w:rsidRDefault="00161E70" w:rsidP="00D5708B">
            <w:pPr>
              <w:spacing w:line="360" w:lineRule="auto"/>
              <w:jc w:val="left"/>
            </w:pPr>
            <w:r w:rsidRPr="0061639B">
              <w:t>Nabar and Boonlert-U-Thai</w:t>
            </w:r>
          </w:p>
          <w:p w:rsidR="00161E70" w:rsidRPr="0061639B" w:rsidRDefault="00161E70" w:rsidP="00D5708B">
            <w:pPr>
              <w:spacing w:line="360" w:lineRule="auto"/>
              <w:jc w:val="left"/>
            </w:pPr>
            <w:r w:rsidRPr="0061639B">
              <w:t>(2007)</w:t>
            </w:r>
          </w:p>
          <w:p w:rsidR="00161E70" w:rsidRPr="0061639B" w:rsidRDefault="00161E70" w:rsidP="00D5708B">
            <w:pPr>
              <w:spacing w:line="360" w:lineRule="auto"/>
              <w:jc w:val="left"/>
            </w:pPr>
          </w:p>
        </w:tc>
        <w:tc>
          <w:tcPr>
            <w:tcW w:w="1719" w:type="dxa"/>
            <w:shd w:val="clear" w:color="auto" w:fill="D7CDE1"/>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Earnings Management, Investor Protection, and National Culture</w:t>
            </w:r>
          </w:p>
        </w:tc>
        <w:tc>
          <w:tcPr>
            <w:tcW w:w="1664" w:type="dxa"/>
            <w:shd w:val="clear" w:color="auto" w:fill="D7CDE1"/>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30 countries, </w:t>
            </w:r>
          </w:p>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70,208 firm-year observations,</w:t>
            </w:r>
          </w:p>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 Period: </w:t>
            </w:r>
          </w:p>
          <w:p w:rsidR="00161E70" w:rsidRPr="0061639B" w:rsidRDefault="00161E70" w:rsidP="00D5708B">
            <w:pPr>
              <w:spacing w:line="360" w:lineRule="auto"/>
              <w:jc w:val="left"/>
            </w:pPr>
            <w:r w:rsidRPr="0061639B">
              <w:t>1990 - 1999</w:t>
            </w:r>
          </w:p>
        </w:tc>
        <w:tc>
          <w:tcPr>
            <w:tcW w:w="2318" w:type="dxa"/>
            <w:shd w:val="clear" w:color="auto" w:fill="D7CDE1"/>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Earnings Management:</w:t>
            </w:r>
          </w:p>
          <w:p w:rsidR="00161E70" w:rsidRPr="00F342A1" w:rsidRDefault="00161E70" w:rsidP="00D5708B">
            <w:pPr>
              <w:spacing w:line="360" w:lineRule="auto"/>
              <w:jc w:val="left"/>
              <w:rPr>
                <w:lang w:val="en-GB"/>
              </w:rPr>
            </w:pPr>
            <w:r w:rsidRPr="00F342A1">
              <w:rPr>
                <w:lang w:val="en-GB"/>
              </w:rPr>
              <w:t>Aggregate earnings management score by Leuz et al.</w:t>
            </w:r>
            <w:r>
              <w:rPr>
                <w:lang w:val="en-GB"/>
              </w:rPr>
              <w:t xml:space="preserve"> (2003)</w:t>
            </w:r>
          </w:p>
          <w:p w:rsidR="00161E70" w:rsidRPr="00F342A1" w:rsidRDefault="00161E70" w:rsidP="00D5708B">
            <w:pPr>
              <w:spacing w:line="360" w:lineRule="auto"/>
              <w:jc w:val="left"/>
              <w:rPr>
                <w:lang w:val="en-GB"/>
              </w:rPr>
            </w:pPr>
            <w:r w:rsidRPr="00F342A1">
              <w:rPr>
                <w:lang w:val="en-GB"/>
              </w:rPr>
              <w:t>Investor Protection:</w:t>
            </w:r>
          </w:p>
          <w:p w:rsidR="00161E70" w:rsidRPr="00F342A1" w:rsidRDefault="00161E70" w:rsidP="00D5708B">
            <w:pPr>
              <w:spacing w:line="360" w:lineRule="auto"/>
              <w:jc w:val="left"/>
              <w:rPr>
                <w:lang w:val="en-GB"/>
              </w:rPr>
            </w:pPr>
            <w:r w:rsidRPr="00F342A1">
              <w:rPr>
                <w:lang w:val="en-GB"/>
              </w:rPr>
              <w:t>Indices from La</w:t>
            </w:r>
            <w:r w:rsidR="00200E9F">
              <w:rPr>
                <w:lang w:val="en-GB"/>
              </w:rPr>
              <w:t xml:space="preserve"> </w:t>
            </w:r>
            <w:r w:rsidRPr="00F342A1">
              <w:rPr>
                <w:lang w:val="en-GB"/>
              </w:rPr>
              <w:t>Porta et al.</w:t>
            </w:r>
            <w:r>
              <w:rPr>
                <w:lang w:val="en-GB"/>
              </w:rPr>
              <w:t xml:space="preserve"> (1998)</w:t>
            </w:r>
          </w:p>
          <w:p w:rsidR="00161E70" w:rsidRPr="0061639B" w:rsidRDefault="00161E70" w:rsidP="00D5708B">
            <w:pPr>
              <w:spacing w:line="360" w:lineRule="auto"/>
              <w:jc w:val="left"/>
            </w:pPr>
            <w:r w:rsidRPr="0061639B">
              <w:t>National Culture:</w:t>
            </w:r>
          </w:p>
          <w:p w:rsidR="00161E70" w:rsidRPr="0061639B" w:rsidRDefault="00161E70" w:rsidP="00D5708B">
            <w:pPr>
              <w:spacing w:line="360" w:lineRule="auto"/>
              <w:jc w:val="left"/>
            </w:pPr>
            <w:r w:rsidRPr="0061639B">
              <w:t>Hofstede scores</w:t>
            </w:r>
            <w:r>
              <w:t xml:space="preserve"> </w:t>
            </w:r>
            <w:r>
              <w:lastRenderedPageBreak/>
              <w:t>(1980)</w:t>
            </w:r>
          </w:p>
        </w:tc>
        <w:tc>
          <w:tcPr>
            <w:tcW w:w="2478" w:type="dxa"/>
            <w:shd w:val="clear" w:color="auto" w:fill="D7CDE1"/>
          </w:tcPr>
          <w:p w:rsidR="00161E70" w:rsidRPr="00F342A1" w:rsidRDefault="00161E70" w:rsidP="00581754">
            <w:pPr>
              <w:spacing w:line="360" w:lineRule="auto"/>
              <w:rPr>
                <w:lang w:val="en-GB"/>
              </w:rPr>
            </w:pPr>
          </w:p>
          <w:p w:rsidR="00161E70" w:rsidRPr="00F342A1" w:rsidRDefault="00161E70" w:rsidP="00581754">
            <w:pPr>
              <w:spacing w:line="360" w:lineRule="auto"/>
              <w:rPr>
                <w:lang w:val="en-GB"/>
              </w:rPr>
            </w:pPr>
            <w:r w:rsidRPr="00F342A1">
              <w:rPr>
                <w:lang w:val="en-GB"/>
              </w:rPr>
              <w:t xml:space="preserve">Earnings management is influenced by both investor protection and culture. Also, earnings management is relatively low in countries with high outside investor protection, high in high uncertainty-avoidance countries </w:t>
            </w:r>
            <w:r w:rsidRPr="00F342A1">
              <w:rPr>
                <w:lang w:val="en-GB"/>
              </w:rPr>
              <w:lastRenderedPageBreak/>
              <w:t>and low in English speaking-countries.</w:t>
            </w:r>
          </w:p>
          <w:p w:rsidR="00161E70" w:rsidRPr="00F342A1" w:rsidRDefault="00161E70" w:rsidP="00581754">
            <w:pPr>
              <w:spacing w:line="360" w:lineRule="auto"/>
              <w:rPr>
                <w:lang w:val="en-GB"/>
              </w:rPr>
            </w:pPr>
          </w:p>
        </w:tc>
      </w:tr>
      <w:tr w:rsidR="00161E70" w:rsidRPr="00F342A1" w:rsidTr="00581754">
        <w:trPr>
          <w:trHeight w:val="1503"/>
        </w:trPr>
        <w:tc>
          <w:tcPr>
            <w:tcW w:w="1397" w:type="dxa"/>
          </w:tcPr>
          <w:p w:rsidR="00161E70" w:rsidRPr="00F342A1" w:rsidRDefault="00161E70" w:rsidP="00D5708B">
            <w:pPr>
              <w:spacing w:line="360" w:lineRule="auto"/>
              <w:jc w:val="left"/>
              <w:rPr>
                <w:lang w:val="en-GB"/>
              </w:rPr>
            </w:pPr>
          </w:p>
          <w:p w:rsidR="00161E70" w:rsidRPr="0061639B" w:rsidRDefault="00161E70" w:rsidP="00D5708B">
            <w:pPr>
              <w:spacing w:line="360" w:lineRule="auto"/>
              <w:jc w:val="left"/>
            </w:pPr>
            <w:r w:rsidRPr="0061639B">
              <w:t>Wright, Shaw and Guan</w:t>
            </w:r>
          </w:p>
          <w:p w:rsidR="00161E70" w:rsidRPr="0061639B" w:rsidRDefault="00161E70" w:rsidP="00D5708B">
            <w:pPr>
              <w:spacing w:line="360" w:lineRule="auto"/>
              <w:jc w:val="left"/>
            </w:pPr>
            <w:r w:rsidRPr="0061639B">
              <w:t>(2006)</w:t>
            </w:r>
          </w:p>
          <w:p w:rsidR="00161E70" w:rsidRPr="0061639B" w:rsidRDefault="00161E70" w:rsidP="00D5708B">
            <w:pPr>
              <w:spacing w:line="360" w:lineRule="auto"/>
              <w:jc w:val="left"/>
            </w:pPr>
          </w:p>
        </w:tc>
        <w:tc>
          <w:tcPr>
            <w:tcW w:w="1719" w:type="dxa"/>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Corporate Governance and Investor Protection</w:t>
            </w:r>
          </w:p>
        </w:tc>
        <w:tc>
          <w:tcPr>
            <w:tcW w:w="1664" w:type="dxa"/>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2 countries, </w:t>
            </w:r>
          </w:p>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 xml:space="preserve">92 </w:t>
            </w:r>
            <w:smartTag w:uri="urn:schemas-microsoft-com:office:smarttags" w:element="country-region">
              <w:smartTag w:uri="urn:schemas-microsoft-com:office:smarttags" w:element="place">
                <w:r w:rsidRPr="00F342A1">
                  <w:rPr>
                    <w:lang w:val="en-GB"/>
                  </w:rPr>
                  <w:t>U.K.</w:t>
                </w:r>
              </w:smartTag>
            </w:smartTag>
            <w:r w:rsidRPr="00F342A1">
              <w:rPr>
                <w:lang w:val="en-GB"/>
              </w:rPr>
              <w:t xml:space="preserve"> firms, </w:t>
            </w:r>
          </w:p>
          <w:p w:rsidR="00161E70" w:rsidRPr="00F342A1" w:rsidRDefault="00161E70" w:rsidP="00D5708B">
            <w:pPr>
              <w:spacing w:line="360" w:lineRule="auto"/>
              <w:jc w:val="left"/>
              <w:rPr>
                <w:lang w:val="en-GB"/>
              </w:rPr>
            </w:pPr>
            <w:r w:rsidRPr="00F342A1">
              <w:rPr>
                <w:lang w:val="en-GB"/>
              </w:rPr>
              <w:t xml:space="preserve">Period: </w:t>
            </w:r>
          </w:p>
          <w:p w:rsidR="00161E70" w:rsidRPr="0061639B" w:rsidRDefault="00161E70" w:rsidP="00D5708B">
            <w:pPr>
              <w:spacing w:line="360" w:lineRule="auto"/>
              <w:jc w:val="left"/>
            </w:pPr>
            <w:r w:rsidRPr="0061639B">
              <w:t>1997 - 2002</w:t>
            </w:r>
          </w:p>
          <w:p w:rsidR="00161E70" w:rsidRPr="0061639B" w:rsidRDefault="00161E70" w:rsidP="00D5708B">
            <w:pPr>
              <w:spacing w:line="360" w:lineRule="auto"/>
              <w:jc w:val="left"/>
            </w:pPr>
          </w:p>
          <w:p w:rsidR="00161E70" w:rsidRPr="0061639B" w:rsidRDefault="00161E70" w:rsidP="00D5708B">
            <w:pPr>
              <w:spacing w:line="360" w:lineRule="auto"/>
              <w:jc w:val="left"/>
            </w:pPr>
            <w:r w:rsidRPr="0061639B">
              <w:t>63 U.S. firms,</w:t>
            </w:r>
          </w:p>
          <w:p w:rsidR="00161E70" w:rsidRPr="0061639B" w:rsidRDefault="00161E70" w:rsidP="00D5708B">
            <w:pPr>
              <w:spacing w:line="360" w:lineRule="auto"/>
              <w:jc w:val="left"/>
            </w:pPr>
            <w:r w:rsidRPr="0061639B">
              <w:t xml:space="preserve">Period: </w:t>
            </w:r>
          </w:p>
          <w:p w:rsidR="00161E70" w:rsidRPr="0061639B" w:rsidRDefault="00161E70" w:rsidP="00D5708B">
            <w:pPr>
              <w:spacing w:line="360" w:lineRule="auto"/>
              <w:jc w:val="left"/>
            </w:pPr>
            <w:r w:rsidRPr="0061639B">
              <w:t>1981 - 1988</w:t>
            </w:r>
          </w:p>
          <w:p w:rsidR="00161E70" w:rsidRPr="0061639B" w:rsidRDefault="00161E70" w:rsidP="00D5708B">
            <w:pPr>
              <w:spacing w:line="360" w:lineRule="auto"/>
              <w:jc w:val="left"/>
            </w:pPr>
          </w:p>
        </w:tc>
        <w:tc>
          <w:tcPr>
            <w:tcW w:w="2318" w:type="dxa"/>
          </w:tcPr>
          <w:p w:rsidR="00161E70" w:rsidRPr="0061639B" w:rsidRDefault="00161E70" w:rsidP="00D5708B">
            <w:pPr>
              <w:spacing w:line="360" w:lineRule="auto"/>
              <w:jc w:val="left"/>
            </w:pPr>
          </w:p>
          <w:p w:rsidR="00161E70" w:rsidRPr="0061639B" w:rsidRDefault="00161E70" w:rsidP="00D5708B">
            <w:pPr>
              <w:spacing w:line="360" w:lineRule="auto"/>
              <w:jc w:val="left"/>
            </w:pPr>
            <w:r w:rsidRPr="0061639B">
              <w:t>The Modified Jones model</w:t>
            </w:r>
            <w:r>
              <w:t xml:space="preserve"> (1995)</w:t>
            </w:r>
          </w:p>
          <w:p w:rsidR="00161E70" w:rsidRPr="0061639B" w:rsidRDefault="00161E70" w:rsidP="00D5708B">
            <w:pPr>
              <w:spacing w:line="360" w:lineRule="auto"/>
              <w:jc w:val="left"/>
            </w:pPr>
          </w:p>
          <w:p w:rsidR="00161E70" w:rsidRPr="0061639B" w:rsidRDefault="00161E70" w:rsidP="00D5708B">
            <w:pPr>
              <w:spacing w:line="360" w:lineRule="auto"/>
              <w:jc w:val="left"/>
            </w:pPr>
          </w:p>
          <w:p w:rsidR="00161E70" w:rsidRPr="0061639B" w:rsidRDefault="00161E70" w:rsidP="00D5708B">
            <w:pPr>
              <w:spacing w:line="360" w:lineRule="auto"/>
              <w:jc w:val="left"/>
            </w:pPr>
          </w:p>
          <w:p w:rsidR="00161E70" w:rsidRPr="0061639B" w:rsidRDefault="00161E70" w:rsidP="00D5708B">
            <w:pPr>
              <w:spacing w:line="360" w:lineRule="auto"/>
              <w:jc w:val="left"/>
            </w:pPr>
          </w:p>
          <w:p w:rsidR="00161E70" w:rsidRPr="0061639B" w:rsidRDefault="00161E70" w:rsidP="00D5708B">
            <w:pPr>
              <w:spacing w:line="360" w:lineRule="auto"/>
              <w:jc w:val="left"/>
            </w:pPr>
          </w:p>
        </w:tc>
        <w:tc>
          <w:tcPr>
            <w:tcW w:w="2478" w:type="dxa"/>
          </w:tcPr>
          <w:p w:rsidR="00161E70" w:rsidRPr="00F342A1" w:rsidRDefault="00161E70" w:rsidP="00581754">
            <w:pPr>
              <w:spacing w:line="360" w:lineRule="auto"/>
              <w:rPr>
                <w:lang w:val="en-GB"/>
              </w:rPr>
            </w:pPr>
          </w:p>
          <w:p w:rsidR="00161E70" w:rsidRPr="00F342A1" w:rsidRDefault="00161E70" w:rsidP="00581754">
            <w:pPr>
              <w:spacing w:line="360" w:lineRule="auto"/>
              <w:rPr>
                <w:lang w:val="en-GB"/>
              </w:rPr>
            </w:pPr>
            <w:r w:rsidRPr="00F342A1">
              <w:rPr>
                <w:lang w:val="en-GB"/>
              </w:rPr>
              <w:t xml:space="preserve">Earnings management in the </w:t>
            </w:r>
            <w:smartTag w:uri="urn:schemas-microsoft-com:office:smarttags" w:element="country-region">
              <w:r w:rsidRPr="00F342A1">
                <w:rPr>
                  <w:lang w:val="en-GB"/>
                </w:rPr>
                <w:t>U.S.</w:t>
              </w:r>
            </w:smartTag>
            <w:r w:rsidRPr="00F342A1">
              <w:rPr>
                <w:lang w:val="en-GB"/>
              </w:rPr>
              <w:t xml:space="preserve"> and the </w:t>
            </w:r>
            <w:smartTag w:uri="urn:schemas-microsoft-com:office:smarttags" w:element="country-region">
              <w:smartTag w:uri="urn:schemas-microsoft-com:office:smarttags" w:element="place">
                <w:r w:rsidRPr="00F342A1">
                  <w:rPr>
                    <w:lang w:val="en-GB"/>
                  </w:rPr>
                  <w:t>U.K.</w:t>
                </w:r>
              </w:smartTag>
            </w:smartTag>
            <w:r w:rsidRPr="00F342A1">
              <w:rPr>
                <w:lang w:val="en-GB"/>
              </w:rPr>
              <w:t xml:space="preserve"> is not similar and infrequent.</w:t>
            </w:r>
          </w:p>
        </w:tc>
      </w:tr>
      <w:tr w:rsidR="00161E70" w:rsidRPr="00F342A1" w:rsidTr="00581754">
        <w:tc>
          <w:tcPr>
            <w:tcW w:w="1397" w:type="dxa"/>
            <w:shd w:val="clear" w:color="auto" w:fill="D7CDE1"/>
          </w:tcPr>
          <w:p w:rsidR="00161E70" w:rsidRPr="00F342A1" w:rsidRDefault="00161E70" w:rsidP="00D5708B">
            <w:pPr>
              <w:spacing w:line="360" w:lineRule="auto"/>
              <w:jc w:val="left"/>
              <w:rPr>
                <w:lang w:val="en-GB"/>
              </w:rPr>
            </w:pPr>
          </w:p>
          <w:p w:rsidR="00161E70" w:rsidRPr="0061639B" w:rsidRDefault="00161E70" w:rsidP="00D5708B">
            <w:pPr>
              <w:spacing w:line="360" w:lineRule="auto"/>
              <w:jc w:val="left"/>
              <w:rPr>
                <w:b/>
              </w:rPr>
            </w:pPr>
            <w:r w:rsidRPr="0061639B">
              <w:rPr>
                <w:b/>
              </w:rPr>
              <w:t>Leuz, Nanda and Wysocki</w:t>
            </w:r>
          </w:p>
          <w:p w:rsidR="00161E70" w:rsidRPr="0061639B" w:rsidRDefault="00161E70" w:rsidP="00D5708B">
            <w:pPr>
              <w:spacing w:line="360" w:lineRule="auto"/>
              <w:jc w:val="left"/>
            </w:pPr>
            <w:r w:rsidRPr="0061639B">
              <w:rPr>
                <w:b/>
              </w:rPr>
              <w:t>(2003)</w:t>
            </w:r>
          </w:p>
        </w:tc>
        <w:tc>
          <w:tcPr>
            <w:tcW w:w="1719" w:type="dxa"/>
            <w:shd w:val="clear" w:color="auto" w:fill="D7CDE1"/>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Earnings management and investor protection</w:t>
            </w:r>
          </w:p>
        </w:tc>
        <w:tc>
          <w:tcPr>
            <w:tcW w:w="1664" w:type="dxa"/>
            <w:shd w:val="clear" w:color="auto" w:fill="D7CDE1"/>
          </w:tcPr>
          <w:p w:rsidR="00161E70" w:rsidRPr="00F342A1" w:rsidRDefault="00161E70" w:rsidP="00D5708B">
            <w:pPr>
              <w:spacing w:line="360" w:lineRule="auto"/>
              <w:jc w:val="left"/>
              <w:rPr>
                <w:lang w:val="en-GB"/>
              </w:rPr>
            </w:pPr>
          </w:p>
          <w:p w:rsidR="00161E70" w:rsidRPr="0061639B" w:rsidRDefault="00161E70" w:rsidP="00D5708B">
            <w:pPr>
              <w:spacing w:line="360" w:lineRule="auto"/>
              <w:jc w:val="left"/>
            </w:pPr>
            <w:r w:rsidRPr="0061639B">
              <w:t xml:space="preserve">31 countries, </w:t>
            </w:r>
          </w:p>
          <w:p w:rsidR="00161E70" w:rsidRPr="0061639B" w:rsidRDefault="00161E70" w:rsidP="00D5708B">
            <w:pPr>
              <w:spacing w:line="360" w:lineRule="auto"/>
              <w:jc w:val="left"/>
            </w:pPr>
          </w:p>
          <w:p w:rsidR="00161E70" w:rsidRPr="0061639B" w:rsidRDefault="00161E70" w:rsidP="00D5708B">
            <w:pPr>
              <w:spacing w:line="360" w:lineRule="auto"/>
              <w:jc w:val="left"/>
            </w:pPr>
            <w:r w:rsidRPr="0061639B">
              <w:t>8,000 firms,</w:t>
            </w:r>
          </w:p>
          <w:p w:rsidR="00161E70" w:rsidRPr="0061639B" w:rsidRDefault="00161E70" w:rsidP="00D5708B">
            <w:pPr>
              <w:spacing w:line="360" w:lineRule="auto"/>
              <w:jc w:val="left"/>
            </w:pPr>
          </w:p>
          <w:p w:rsidR="00161E70" w:rsidRPr="0061639B" w:rsidRDefault="00161E70" w:rsidP="00D5708B">
            <w:pPr>
              <w:spacing w:line="360" w:lineRule="auto"/>
              <w:jc w:val="left"/>
            </w:pPr>
            <w:r w:rsidRPr="0061639B">
              <w:t xml:space="preserve">Period: </w:t>
            </w:r>
          </w:p>
          <w:p w:rsidR="00161E70" w:rsidRPr="0061639B" w:rsidRDefault="00161E70" w:rsidP="00D5708B">
            <w:pPr>
              <w:spacing w:line="360" w:lineRule="auto"/>
              <w:jc w:val="left"/>
            </w:pPr>
            <w:r w:rsidRPr="0061639B">
              <w:t>1990-1999</w:t>
            </w:r>
          </w:p>
        </w:tc>
        <w:tc>
          <w:tcPr>
            <w:tcW w:w="2318" w:type="dxa"/>
            <w:shd w:val="clear" w:color="auto" w:fill="D7CDE1"/>
          </w:tcPr>
          <w:p w:rsidR="00161E70" w:rsidRPr="00F342A1" w:rsidRDefault="00161E70" w:rsidP="00D5708B">
            <w:pPr>
              <w:spacing w:line="360" w:lineRule="auto"/>
              <w:jc w:val="left"/>
              <w:rPr>
                <w:lang w:val="en-GB"/>
              </w:rPr>
            </w:pPr>
          </w:p>
          <w:p w:rsidR="00161E70" w:rsidRPr="00F342A1" w:rsidRDefault="00161E70" w:rsidP="00D5708B">
            <w:pPr>
              <w:spacing w:line="360" w:lineRule="auto"/>
              <w:jc w:val="left"/>
              <w:rPr>
                <w:lang w:val="en-GB"/>
              </w:rPr>
            </w:pPr>
            <w:r w:rsidRPr="00F342A1">
              <w:rPr>
                <w:lang w:val="en-GB"/>
              </w:rPr>
              <w:t>Earnings management: Four different country-level measures of earnings management.</w:t>
            </w:r>
          </w:p>
          <w:p w:rsidR="00161E70" w:rsidRPr="00F342A1" w:rsidRDefault="00161E70" w:rsidP="00D5708B">
            <w:pPr>
              <w:spacing w:line="360" w:lineRule="auto"/>
              <w:jc w:val="left"/>
              <w:rPr>
                <w:lang w:val="en-GB"/>
              </w:rPr>
            </w:pPr>
            <w:r w:rsidRPr="00F342A1">
              <w:rPr>
                <w:lang w:val="en-GB"/>
              </w:rPr>
              <w:t>Aggregate earnings measurement score.</w:t>
            </w:r>
          </w:p>
          <w:p w:rsidR="00161E70" w:rsidRPr="00F342A1" w:rsidRDefault="00161E70" w:rsidP="00D5708B">
            <w:pPr>
              <w:spacing w:line="360" w:lineRule="auto"/>
              <w:jc w:val="left"/>
              <w:rPr>
                <w:lang w:val="en-GB"/>
              </w:rPr>
            </w:pPr>
            <w:r w:rsidRPr="00F342A1">
              <w:rPr>
                <w:lang w:val="en-GB"/>
              </w:rPr>
              <w:t xml:space="preserve">Investor protection: </w:t>
            </w:r>
          </w:p>
          <w:p w:rsidR="00161E70" w:rsidRPr="0061639B" w:rsidRDefault="00161E70" w:rsidP="00D5708B">
            <w:pPr>
              <w:spacing w:line="360" w:lineRule="auto"/>
              <w:jc w:val="left"/>
            </w:pPr>
            <w:r w:rsidRPr="0061639B">
              <w:t>La Porta index</w:t>
            </w:r>
            <w:r>
              <w:t xml:space="preserve"> (1998)</w:t>
            </w:r>
          </w:p>
          <w:p w:rsidR="00161E70" w:rsidRPr="0061639B" w:rsidRDefault="00161E70" w:rsidP="00D5708B">
            <w:pPr>
              <w:spacing w:line="360" w:lineRule="auto"/>
              <w:jc w:val="left"/>
            </w:pPr>
          </w:p>
        </w:tc>
        <w:tc>
          <w:tcPr>
            <w:tcW w:w="2478" w:type="dxa"/>
            <w:shd w:val="clear" w:color="auto" w:fill="D7CDE1"/>
          </w:tcPr>
          <w:p w:rsidR="00161E70" w:rsidRPr="00F342A1" w:rsidRDefault="00161E70" w:rsidP="00581754">
            <w:pPr>
              <w:spacing w:line="360" w:lineRule="auto"/>
              <w:rPr>
                <w:lang w:val="en-GB"/>
              </w:rPr>
            </w:pPr>
          </w:p>
          <w:p w:rsidR="00161E70" w:rsidRPr="00F342A1" w:rsidRDefault="00161E70" w:rsidP="00581754">
            <w:pPr>
              <w:spacing w:line="360" w:lineRule="auto"/>
              <w:rPr>
                <w:lang w:val="en-GB"/>
              </w:rPr>
            </w:pPr>
            <w:r w:rsidRPr="00F342A1">
              <w:rPr>
                <w:lang w:val="en-GB"/>
              </w:rPr>
              <w:t>Firms in countries with strong investor protection engage less in earnings management than firms in countries with weak investor protection.</w:t>
            </w:r>
          </w:p>
          <w:p w:rsidR="00161E70" w:rsidRPr="00F342A1" w:rsidRDefault="00161E70" w:rsidP="00581754">
            <w:pPr>
              <w:spacing w:line="360" w:lineRule="auto"/>
              <w:rPr>
                <w:lang w:val="en-GB"/>
              </w:rPr>
            </w:pPr>
          </w:p>
        </w:tc>
      </w:tr>
    </w:tbl>
    <w:p w:rsidR="00161E70" w:rsidRPr="00F342A1" w:rsidRDefault="00161E70" w:rsidP="00161E70">
      <w:pPr>
        <w:spacing w:line="360" w:lineRule="auto"/>
        <w:rPr>
          <w:lang w:val="en-GB"/>
        </w:rPr>
      </w:pPr>
    </w:p>
    <w:p w:rsidR="00161E70" w:rsidRDefault="00161E70" w:rsidP="00161E70">
      <w:pPr>
        <w:pStyle w:val="Heading4"/>
        <w:spacing w:line="360" w:lineRule="auto"/>
        <w:contextualSpacing/>
      </w:pPr>
    </w:p>
    <w:p w:rsidR="00161E70" w:rsidRPr="00D5708B" w:rsidRDefault="00161E70" w:rsidP="00161E70">
      <w:pPr>
        <w:pStyle w:val="Heading4"/>
        <w:spacing w:line="360" w:lineRule="auto"/>
        <w:rPr>
          <w:rFonts w:ascii="Calibri" w:hAnsi="Calibri"/>
          <w:b/>
          <w:color w:val="800000"/>
        </w:rPr>
      </w:pPr>
      <w:bookmarkStart w:id="126" w:name="_Toc268669792"/>
      <w:r w:rsidRPr="00D5708B">
        <w:rPr>
          <w:rFonts w:ascii="Calibri" w:hAnsi="Calibri"/>
          <w:b/>
          <w:color w:val="800000"/>
        </w:rPr>
        <w:lastRenderedPageBreak/>
        <w:t xml:space="preserve">Appendix </w:t>
      </w:r>
      <w:r w:rsidRPr="00D5708B">
        <w:rPr>
          <w:rStyle w:val="Style1Char"/>
          <w:rFonts w:eastAsiaTheme="minorEastAsia"/>
          <w:b/>
          <w:color w:val="800000"/>
        </w:rPr>
        <w:t>B</w:t>
      </w:r>
      <w:r w:rsidRPr="00D5708B">
        <w:rPr>
          <w:rFonts w:ascii="Calibri" w:hAnsi="Calibri"/>
          <w:b/>
          <w:color w:val="800000"/>
        </w:rPr>
        <w:t xml:space="preserve"> </w:t>
      </w:r>
      <w:r w:rsidRPr="00D5708B">
        <w:rPr>
          <w:rFonts w:ascii="Calibri" w:hAnsi="Calibri"/>
          <w:b/>
          <w:color w:val="800000"/>
        </w:rPr>
        <w:tab/>
        <w:t>Variables downloaded from Worldscope</w:t>
      </w:r>
      <w:bookmarkEnd w:id="126"/>
    </w:p>
    <w:p w:rsidR="00161E70" w:rsidRDefault="00161E70" w:rsidP="00161E70">
      <w:pPr>
        <w:spacing w:line="360" w:lineRule="auto"/>
      </w:pPr>
    </w:p>
    <w:p w:rsidR="00161E70" w:rsidRPr="00C85948" w:rsidRDefault="00161E70" w:rsidP="00161E70">
      <w:pPr>
        <w:spacing w:line="360" w:lineRule="auto"/>
        <w:rPr>
          <w:rFonts w:ascii="Times New Roman" w:hAnsi="Times New Roman" w:cs="Times New Roman"/>
          <w:sz w:val="24"/>
          <w:szCs w:val="24"/>
        </w:rPr>
      </w:pPr>
      <w:r w:rsidRPr="00C85948">
        <w:rPr>
          <w:rFonts w:ascii="Times New Roman" w:hAnsi="Times New Roman" w:cs="Times New Roman"/>
          <w:sz w:val="24"/>
          <w:szCs w:val="24"/>
        </w:rPr>
        <w:t>The variables used in my research are collected from the Worldschope database. Because the names from this database differ from the names used throughout my thesis, I include this list.</w:t>
      </w:r>
    </w:p>
    <w:p w:rsidR="00161E70" w:rsidRDefault="00161E70" w:rsidP="00161E70">
      <w:pPr>
        <w:spacing w:line="360" w:lineRule="auto"/>
        <w:rPr>
          <w:rFonts w:ascii="Times New Roman" w:hAnsi="Times New Roman" w:cs="Times New Roman"/>
          <w:i/>
          <w:sz w:val="24"/>
          <w:szCs w:val="24"/>
        </w:rPr>
      </w:pPr>
      <w:r w:rsidRPr="00C85948">
        <w:rPr>
          <w:rFonts w:ascii="Times New Roman" w:hAnsi="Times New Roman" w:cs="Times New Roman"/>
          <w:sz w:val="24"/>
          <w:szCs w:val="24"/>
        </w:rPr>
        <w:t xml:space="preserve">For instance, </w:t>
      </w:r>
      <w:r>
        <w:rPr>
          <w:rFonts w:ascii="Times New Roman" w:hAnsi="Times New Roman" w:cs="Times New Roman"/>
          <w:sz w:val="24"/>
          <w:szCs w:val="24"/>
        </w:rPr>
        <w:t>“</w:t>
      </w:r>
      <w:r w:rsidRPr="00C85948">
        <w:rPr>
          <w:rFonts w:ascii="Times New Roman" w:hAnsi="Times New Roman" w:cs="Times New Roman"/>
          <w:i/>
          <w:sz w:val="24"/>
          <w:szCs w:val="24"/>
        </w:rPr>
        <w:t>Operating Income</w:t>
      </w:r>
      <w:r>
        <w:rPr>
          <w:rFonts w:ascii="Times New Roman" w:hAnsi="Times New Roman" w:cs="Times New Roman"/>
          <w:i/>
          <w:sz w:val="24"/>
          <w:szCs w:val="24"/>
        </w:rPr>
        <w:t>”</w:t>
      </w:r>
      <w:r>
        <w:rPr>
          <w:rFonts w:ascii="Times New Roman" w:hAnsi="Times New Roman" w:cs="Times New Roman"/>
          <w:sz w:val="24"/>
          <w:szCs w:val="24"/>
        </w:rPr>
        <w:t xml:space="preserve"> can be found in the database under the name “</w:t>
      </w:r>
      <w:r w:rsidRPr="00C85948">
        <w:rPr>
          <w:rFonts w:ascii="Times New Roman" w:hAnsi="Times New Roman" w:cs="Times New Roman"/>
          <w:i/>
          <w:sz w:val="24"/>
          <w:szCs w:val="24"/>
        </w:rPr>
        <w:t>OperatingIncomeAfterDepr</w:t>
      </w:r>
      <w:r>
        <w:rPr>
          <w:rFonts w:ascii="Times New Roman" w:hAnsi="Times New Roman" w:cs="Times New Roman"/>
          <w:i/>
          <w:sz w:val="24"/>
          <w:szCs w:val="24"/>
        </w:rPr>
        <w:t>”</w:t>
      </w:r>
    </w:p>
    <w:p w:rsidR="00161E70" w:rsidRDefault="00161E70" w:rsidP="00161E70">
      <w:pPr>
        <w:spacing w:line="360" w:lineRule="auto"/>
        <w:rPr>
          <w:rFonts w:ascii="Times New Roman" w:hAnsi="Times New Roman" w:cs="Times New Roman"/>
          <w:i/>
          <w:sz w:val="24"/>
          <w:szCs w:val="24"/>
        </w:rPr>
      </w:pP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Cash</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tab/>
        <w:t>CashAndSTInvestment</w:t>
      </w: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 xml:space="preserve">Operating Income </w:t>
      </w:r>
      <w:r>
        <w:rPr>
          <w:rFonts w:ascii="Times New Roman" w:hAnsi="Times New Roman" w:cs="Times New Roman"/>
          <w:sz w:val="24"/>
          <w:szCs w:val="24"/>
        </w:rPr>
        <w:tab/>
        <w:t xml:space="preserve">= </w:t>
      </w:r>
      <w:r>
        <w:rPr>
          <w:rFonts w:ascii="Times New Roman" w:hAnsi="Times New Roman" w:cs="Times New Roman"/>
          <w:sz w:val="24"/>
          <w:szCs w:val="24"/>
        </w:rPr>
        <w:tab/>
        <w:t>OperatingIncomeAfterDepr</w:t>
      </w: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 xml:space="preserve">Current Assets </w:t>
      </w:r>
      <w:r>
        <w:rPr>
          <w:rFonts w:ascii="Times New Roman" w:hAnsi="Times New Roman" w:cs="Times New Roman"/>
          <w:sz w:val="24"/>
          <w:szCs w:val="24"/>
        </w:rPr>
        <w:tab/>
        <w:t xml:space="preserve">= </w:t>
      </w:r>
      <w:r>
        <w:rPr>
          <w:rFonts w:ascii="Times New Roman" w:hAnsi="Times New Roman" w:cs="Times New Roman"/>
          <w:sz w:val="24"/>
          <w:szCs w:val="24"/>
        </w:rPr>
        <w:tab/>
        <w:t>TotalCurrentAssets</w:t>
      </w: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Current Liabilities</w:t>
      </w:r>
      <w:r>
        <w:rPr>
          <w:rFonts w:ascii="Times New Roman" w:hAnsi="Times New Roman" w:cs="Times New Roman"/>
          <w:sz w:val="24"/>
          <w:szCs w:val="24"/>
        </w:rPr>
        <w:tab/>
        <w:t>=</w:t>
      </w:r>
      <w:r>
        <w:rPr>
          <w:rFonts w:ascii="Times New Roman" w:hAnsi="Times New Roman" w:cs="Times New Roman"/>
          <w:sz w:val="24"/>
          <w:szCs w:val="24"/>
        </w:rPr>
        <w:tab/>
        <w:t>TotalCurrentLiabilities</w:t>
      </w: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Short term debt</w:t>
      </w:r>
      <w:r>
        <w:rPr>
          <w:rFonts w:ascii="Times New Roman" w:hAnsi="Times New Roman" w:cs="Times New Roman"/>
          <w:sz w:val="24"/>
          <w:szCs w:val="24"/>
        </w:rPr>
        <w:tab/>
        <w:t>=</w:t>
      </w:r>
      <w:r>
        <w:rPr>
          <w:rFonts w:ascii="Times New Roman" w:hAnsi="Times New Roman" w:cs="Times New Roman"/>
          <w:sz w:val="24"/>
          <w:szCs w:val="24"/>
        </w:rPr>
        <w:tab/>
        <w:t>STDebtAndCurPortLTDebt</w:t>
      </w:r>
    </w:p>
    <w:p w:rsidR="00161E70" w:rsidRDefault="00161E70" w:rsidP="00161E70">
      <w:pPr>
        <w:contextualSpacing/>
        <w:rPr>
          <w:rFonts w:ascii="Times New Roman" w:hAnsi="Times New Roman" w:cs="Times New Roman"/>
          <w:sz w:val="24"/>
          <w:szCs w:val="24"/>
        </w:rPr>
      </w:pPr>
      <w:r>
        <w:rPr>
          <w:rFonts w:ascii="Times New Roman" w:hAnsi="Times New Roman" w:cs="Times New Roman"/>
          <w:sz w:val="24"/>
          <w:szCs w:val="24"/>
        </w:rPr>
        <w:t xml:space="preserve">Depreciation and </w:t>
      </w:r>
    </w:p>
    <w:p w:rsidR="00161E70" w:rsidRDefault="00161E70" w:rsidP="00161E70">
      <w:pPr>
        <w:contextualSpacing/>
        <w:rPr>
          <w:rFonts w:ascii="Times New Roman" w:hAnsi="Times New Roman" w:cs="Times New Roman"/>
          <w:sz w:val="24"/>
          <w:szCs w:val="24"/>
        </w:rPr>
      </w:pPr>
      <w:r>
        <w:rPr>
          <w:rFonts w:ascii="Times New Roman" w:hAnsi="Times New Roman" w:cs="Times New Roman"/>
          <w:sz w:val="24"/>
          <w:szCs w:val="24"/>
        </w:rPr>
        <w:t>Amortization expense</w:t>
      </w:r>
      <w:r>
        <w:rPr>
          <w:rFonts w:ascii="Times New Roman" w:hAnsi="Times New Roman" w:cs="Times New Roman"/>
          <w:sz w:val="24"/>
          <w:szCs w:val="24"/>
        </w:rPr>
        <w:tab/>
        <w:t>=</w:t>
      </w:r>
      <w:r>
        <w:rPr>
          <w:rFonts w:ascii="Times New Roman" w:hAnsi="Times New Roman" w:cs="Times New Roman"/>
          <w:sz w:val="24"/>
          <w:szCs w:val="24"/>
        </w:rPr>
        <w:tab/>
        <w:t>DepreciationDeplAmortExpense</w:t>
      </w:r>
    </w:p>
    <w:p w:rsidR="00161E70" w:rsidRDefault="00161E70" w:rsidP="00161E70">
      <w:pPr>
        <w:contextualSpacing/>
        <w:rPr>
          <w:rFonts w:ascii="Times New Roman" w:hAnsi="Times New Roman" w:cs="Times New Roman"/>
          <w:sz w:val="24"/>
          <w:szCs w:val="24"/>
        </w:rPr>
      </w:pPr>
    </w:p>
    <w:p w:rsidR="00161E70"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Taxes Payable</w:t>
      </w:r>
      <w:r>
        <w:rPr>
          <w:rFonts w:ascii="Times New Roman" w:hAnsi="Times New Roman" w:cs="Times New Roman"/>
          <w:sz w:val="24"/>
          <w:szCs w:val="24"/>
        </w:rPr>
        <w:tab/>
      </w:r>
      <w:r>
        <w:rPr>
          <w:rFonts w:ascii="Times New Roman" w:hAnsi="Times New Roman" w:cs="Times New Roman"/>
          <w:sz w:val="24"/>
          <w:szCs w:val="24"/>
        </w:rPr>
        <w:tab/>
        <w:t xml:space="preserve">= </w:t>
      </w:r>
      <w:r>
        <w:rPr>
          <w:rFonts w:ascii="Times New Roman" w:hAnsi="Times New Roman" w:cs="Times New Roman"/>
          <w:sz w:val="24"/>
          <w:szCs w:val="24"/>
        </w:rPr>
        <w:tab/>
        <w:t xml:space="preserve">IncomeTaxesPayable </w:t>
      </w:r>
    </w:p>
    <w:p w:rsidR="00161E70" w:rsidRPr="00C85948" w:rsidRDefault="00161E70" w:rsidP="00161E70">
      <w:pPr>
        <w:spacing w:line="360" w:lineRule="auto"/>
        <w:rPr>
          <w:rFonts w:ascii="Times New Roman" w:hAnsi="Times New Roman" w:cs="Times New Roman"/>
          <w:sz w:val="24"/>
          <w:szCs w:val="24"/>
        </w:rPr>
      </w:pPr>
      <w:r>
        <w:rPr>
          <w:rFonts w:ascii="Times New Roman" w:hAnsi="Times New Roman" w:cs="Times New Roman"/>
          <w:sz w:val="24"/>
          <w:szCs w:val="24"/>
        </w:rPr>
        <w:t>Total assets</w:t>
      </w:r>
      <w:r>
        <w:rPr>
          <w:rFonts w:ascii="Times New Roman" w:hAnsi="Times New Roman" w:cs="Times New Roman"/>
          <w:sz w:val="24"/>
          <w:szCs w:val="24"/>
        </w:rPr>
        <w:tab/>
      </w:r>
      <w:r>
        <w:rPr>
          <w:rFonts w:ascii="Times New Roman" w:hAnsi="Times New Roman" w:cs="Times New Roman"/>
          <w:sz w:val="24"/>
          <w:szCs w:val="24"/>
        </w:rPr>
        <w:tab/>
        <w:t>=</w:t>
      </w:r>
      <w:r>
        <w:rPr>
          <w:rFonts w:ascii="Times New Roman" w:hAnsi="Times New Roman" w:cs="Times New Roman"/>
          <w:sz w:val="24"/>
          <w:szCs w:val="24"/>
        </w:rPr>
        <w:tab/>
        <w:t>TotalAssets</w:t>
      </w:r>
    </w:p>
    <w:p w:rsidR="00161E70" w:rsidRDefault="00161E70" w:rsidP="00161E70">
      <w:pPr>
        <w:spacing w:line="360" w:lineRule="auto"/>
      </w:pPr>
    </w:p>
    <w:p w:rsidR="00161E70" w:rsidRPr="006E1F35" w:rsidRDefault="00161E70" w:rsidP="00161E70">
      <w:pPr>
        <w:spacing w:line="360" w:lineRule="auto"/>
      </w:pPr>
    </w:p>
    <w:p w:rsidR="00161E70" w:rsidRDefault="00161E70" w:rsidP="00161E70">
      <w:pPr>
        <w:spacing w:line="360" w:lineRule="auto"/>
      </w:pPr>
    </w:p>
    <w:p w:rsidR="003A6B28" w:rsidRDefault="003A6B28" w:rsidP="00CC10E3">
      <w:pPr>
        <w:autoSpaceDE w:val="0"/>
        <w:autoSpaceDN w:val="0"/>
        <w:adjustRightInd w:val="0"/>
        <w:spacing w:after="0" w:line="360" w:lineRule="auto"/>
        <w:contextualSpacing/>
        <w:rPr>
          <w:rFonts w:ascii="Times New Roman" w:hAnsi="Times New Roman" w:cs="Times New Roman"/>
          <w:sz w:val="24"/>
          <w:szCs w:val="24"/>
        </w:rPr>
      </w:pPr>
    </w:p>
    <w:p w:rsidR="003A6B28" w:rsidRDefault="003A6B28" w:rsidP="00CC10E3">
      <w:pPr>
        <w:autoSpaceDE w:val="0"/>
        <w:autoSpaceDN w:val="0"/>
        <w:adjustRightInd w:val="0"/>
        <w:spacing w:after="0" w:line="360" w:lineRule="auto"/>
        <w:contextualSpacing/>
        <w:rPr>
          <w:rFonts w:ascii="Times New Roman" w:hAnsi="Times New Roman" w:cs="Times New Roman"/>
          <w:sz w:val="24"/>
          <w:szCs w:val="24"/>
        </w:rPr>
      </w:pPr>
    </w:p>
    <w:p w:rsidR="009E32F9" w:rsidRDefault="009E32F9" w:rsidP="00CC10E3">
      <w:pPr>
        <w:autoSpaceDE w:val="0"/>
        <w:autoSpaceDN w:val="0"/>
        <w:adjustRightInd w:val="0"/>
        <w:spacing w:after="0" w:line="360" w:lineRule="auto"/>
        <w:contextualSpacing/>
        <w:rPr>
          <w:rFonts w:ascii="Times New Roman" w:hAnsi="Times New Roman" w:cs="Times New Roman"/>
          <w:sz w:val="24"/>
          <w:szCs w:val="24"/>
        </w:rPr>
      </w:pPr>
    </w:p>
    <w:p w:rsidR="009E32F9" w:rsidRDefault="00432023" w:rsidP="00CC10E3">
      <w:pPr>
        <w:autoSpaceDE w:val="0"/>
        <w:autoSpaceDN w:val="0"/>
        <w:adjustRightInd w:val="0"/>
        <w:spacing w:after="0" w:line="360" w:lineRule="auto"/>
        <w:contextualSpacing/>
      </w:pPr>
      <w:r>
        <w:t xml:space="preserve"> </w:t>
      </w:r>
    </w:p>
    <w:p w:rsidR="00161E70" w:rsidRDefault="00161E70" w:rsidP="00CC10E3">
      <w:pPr>
        <w:autoSpaceDE w:val="0"/>
        <w:autoSpaceDN w:val="0"/>
        <w:adjustRightInd w:val="0"/>
        <w:spacing w:after="0" w:line="360" w:lineRule="auto"/>
        <w:contextualSpacing/>
      </w:pPr>
    </w:p>
    <w:p w:rsidR="00161E70" w:rsidRDefault="00161E70" w:rsidP="00CC10E3">
      <w:pPr>
        <w:autoSpaceDE w:val="0"/>
        <w:autoSpaceDN w:val="0"/>
        <w:adjustRightInd w:val="0"/>
        <w:spacing w:after="0" w:line="360" w:lineRule="auto"/>
        <w:contextualSpacing/>
      </w:pPr>
    </w:p>
    <w:p w:rsidR="00161E70" w:rsidRDefault="00161E70" w:rsidP="00CC10E3">
      <w:pPr>
        <w:autoSpaceDE w:val="0"/>
        <w:autoSpaceDN w:val="0"/>
        <w:adjustRightInd w:val="0"/>
        <w:spacing w:after="0" w:line="360" w:lineRule="auto"/>
        <w:contextualSpacing/>
      </w:pPr>
    </w:p>
    <w:p w:rsidR="00161E70" w:rsidRDefault="00161E70" w:rsidP="00CC10E3">
      <w:pPr>
        <w:autoSpaceDE w:val="0"/>
        <w:autoSpaceDN w:val="0"/>
        <w:adjustRightInd w:val="0"/>
        <w:spacing w:after="0" w:line="360" w:lineRule="auto"/>
        <w:contextualSpacing/>
      </w:pPr>
    </w:p>
    <w:p w:rsidR="00161E70" w:rsidRPr="00D5708B" w:rsidRDefault="00161E70" w:rsidP="00161E70">
      <w:pPr>
        <w:pStyle w:val="Heading4"/>
        <w:spacing w:line="240" w:lineRule="auto"/>
        <w:rPr>
          <w:rFonts w:ascii="Calibri" w:hAnsi="Calibri"/>
          <w:b/>
          <w:color w:val="800000"/>
        </w:rPr>
      </w:pPr>
      <w:bookmarkStart w:id="127" w:name="_Toc268669793"/>
      <w:r w:rsidRPr="00D5708B">
        <w:rPr>
          <w:rFonts w:ascii="Calibri" w:hAnsi="Calibri"/>
          <w:b/>
          <w:color w:val="800000"/>
        </w:rPr>
        <w:lastRenderedPageBreak/>
        <w:t xml:space="preserve">Appendix C </w:t>
      </w:r>
      <w:r w:rsidR="00D5708B" w:rsidRPr="00D5708B">
        <w:rPr>
          <w:rFonts w:ascii="Calibri" w:hAnsi="Calibri"/>
          <w:b/>
          <w:color w:val="800000"/>
        </w:rPr>
        <w:t xml:space="preserve"> </w:t>
      </w:r>
      <w:r w:rsidRPr="00D5708B">
        <w:rPr>
          <w:rFonts w:ascii="Calibri" w:hAnsi="Calibri"/>
          <w:b/>
          <w:color w:val="800000"/>
        </w:rPr>
        <w:tab/>
        <w:t>Hierarchical K-Means cluster analysis</w:t>
      </w:r>
      <w:bookmarkEnd w:id="127"/>
    </w:p>
    <w:p w:rsidR="00161E70" w:rsidRDefault="00161E70" w:rsidP="00161E70">
      <w:pPr>
        <w:spacing w:line="240" w:lineRule="auto"/>
      </w:pPr>
    </w:p>
    <w:p w:rsidR="00161E70" w:rsidRPr="00152803" w:rsidRDefault="00161E70" w:rsidP="00161E70">
      <w:pPr>
        <w:autoSpaceDE w:val="0"/>
        <w:autoSpaceDN w:val="0"/>
        <w:adjustRightInd w:val="0"/>
        <w:spacing w:line="240" w:lineRule="auto"/>
      </w:pPr>
      <w:r>
        <w:t xml:space="preserve">Table .1 </w:t>
      </w:r>
    </w:p>
    <w:tbl>
      <w:tblPr>
        <w:tblW w:w="396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9"/>
        <w:gridCol w:w="735"/>
        <w:gridCol w:w="1020"/>
        <w:gridCol w:w="1019"/>
        <w:gridCol w:w="1020"/>
      </w:tblGrid>
      <w:tr w:rsidR="00161E70" w:rsidRPr="00152803" w:rsidTr="00581754">
        <w:trPr>
          <w:cantSplit/>
          <w:tblHeader/>
        </w:trPr>
        <w:tc>
          <w:tcPr>
            <w:tcW w:w="3960" w:type="dxa"/>
            <w:gridSpan w:val="5"/>
            <w:tcBorders>
              <w:top w:val="nil"/>
              <w:left w:val="nil"/>
              <w:bottom w:val="nil"/>
              <w:right w:val="nil"/>
            </w:tcBorders>
            <w:shd w:val="clear" w:color="auto" w:fill="FFFFFF"/>
            <w:vAlign w:val="center"/>
          </w:tcPr>
          <w:p w:rsidR="00161E70" w:rsidRPr="0015280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52803">
              <w:rPr>
                <w:rFonts w:ascii="Arial" w:hAnsi="Arial" w:cs="Arial"/>
                <w:b/>
                <w:bCs/>
                <w:color w:val="000000"/>
                <w:sz w:val="18"/>
                <w:szCs w:val="18"/>
              </w:rPr>
              <w:t>Distances between Final Cluster Centers</w:t>
            </w:r>
          </w:p>
        </w:tc>
      </w:tr>
      <w:tr w:rsidR="00161E70" w:rsidRPr="00152803" w:rsidTr="00581754">
        <w:trPr>
          <w:cantSplit/>
          <w:tblHeader/>
        </w:trPr>
        <w:tc>
          <w:tcPr>
            <w:tcW w:w="904" w:type="dxa"/>
            <w:gridSpan w:val="2"/>
            <w:tcBorders>
              <w:top w:val="single" w:sz="16" w:space="0" w:color="000000"/>
              <w:left w:val="single" w:sz="16" w:space="0" w:color="000000"/>
              <w:bottom w:val="single" w:sz="16" w:space="0" w:color="000000"/>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rPr>
                <w:rFonts w:ascii="Arial" w:hAnsi="Arial" w:cs="Arial"/>
                <w:color w:val="000000"/>
                <w:sz w:val="18"/>
                <w:szCs w:val="18"/>
              </w:rPr>
            </w:pPr>
            <w:r w:rsidRPr="00152803">
              <w:rPr>
                <w:rFonts w:ascii="Arial" w:hAnsi="Arial" w:cs="Arial"/>
                <w:color w:val="000000"/>
                <w:sz w:val="18"/>
                <w:szCs w:val="18"/>
              </w:rPr>
              <w:t>Cluster</w:t>
            </w:r>
          </w:p>
        </w:tc>
        <w:tc>
          <w:tcPr>
            <w:tcW w:w="1019" w:type="dxa"/>
            <w:tcBorders>
              <w:top w:val="single" w:sz="16" w:space="0" w:color="000000"/>
              <w:left w:val="single" w:sz="16" w:space="0" w:color="000000"/>
              <w:bottom w:val="single" w:sz="16" w:space="0" w:color="000000"/>
            </w:tcBorders>
            <w:shd w:val="clear" w:color="auto" w:fill="FFFFFF"/>
            <w:vAlign w:val="bottom"/>
          </w:tcPr>
          <w:p w:rsidR="00161E70" w:rsidRPr="0015280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52803">
              <w:rPr>
                <w:rFonts w:ascii="Arial" w:hAnsi="Arial" w:cs="Arial"/>
                <w:color w:val="000000"/>
                <w:sz w:val="18"/>
                <w:szCs w:val="18"/>
              </w:rPr>
              <w:t>1</w:t>
            </w:r>
          </w:p>
        </w:tc>
        <w:tc>
          <w:tcPr>
            <w:tcW w:w="1018" w:type="dxa"/>
            <w:tcBorders>
              <w:top w:val="single" w:sz="16" w:space="0" w:color="000000"/>
              <w:bottom w:val="single" w:sz="16" w:space="0" w:color="000000"/>
            </w:tcBorders>
            <w:shd w:val="clear" w:color="auto" w:fill="FFFFFF"/>
            <w:vAlign w:val="bottom"/>
          </w:tcPr>
          <w:p w:rsidR="00161E70" w:rsidRPr="0015280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52803">
              <w:rPr>
                <w:rFonts w:ascii="Arial" w:hAnsi="Arial" w:cs="Arial"/>
                <w:color w:val="000000"/>
                <w:sz w:val="18"/>
                <w:szCs w:val="18"/>
              </w:rPr>
              <w:t>2</w:t>
            </w:r>
          </w:p>
        </w:tc>
        <w:tc>
          <w:tcPr>
            <w:tcW w:w="1019" w:type="dxa"/>
            <w:tcBorders>
              <w:top w:val="single" w:sz="16" w:space="0" w:color="000000"/>
              <w:bottom w:val="single" w:sz="16" w:space="0" w:color="000000"/>
              <w:right w:val="single" w:sz="16" w:space="0" w:color="000000"/>
            </w:tcBorders>
            <w:shd w:val="clear" w:color="auto" w:fill="FFFFFF"/>
            <w:vAlign w:val="bottom"/>
          </w:tcPr>
          <w:p w:rsidR="00161E70" w:rsidRPr="0015280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52803">
              <w:rPr>
                <w:rFonts w:ascii="Arial" w:hAnsi="Arial" w:cs="Arial"/>
                <w:color w:val="000000"/>
                <w:sz w:val="18"/>
                <w:szCs w:val="18"/>
              </w:rPr>
              <w:t>3</w:t>
            </w:r>
          </w:p>
        </w:tc>
      </w:tr>
      <w:tr w:rsidR="00161E70" w:rsidRPr="00152803" w:rsidTr="00581754">
        <w:trPr>
          <w:cantSplit/>
          <w:tblHeader/>
        </w:trPr>
        <w:tc>
          <w:tcPr>
            <w:tcW w:w="170" w:type="dxa"/>
            <w:vMerge w:val="restart"/>
            <w:tcBorders>
              <w:top w:val="single" w:sz="16" w:space="0" w:color="000000"/>
              <w:left w:val="single" w:sz="16" w:space="0" w:color="000000"/>
              <w:bottom w:val="single" w:sz="16" w:space="0" w:color="000000"/>
              <w:right w:val="nil"/>
            </w:tcBorders>
            <w:shd w:val="clear" w:color="auto" w:fill="FFFFFF"/>
            <w:vAlign w:val="center"/>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2"/>
                <w:szCs w:val="2"/>
              </w:rPr>
            </w:pPr>
            <w:r w:rsidRPr="00152803">
              <w:rPr>
                <w:rFonts w:ascii="Arial" w:hAnsi="Arial" w:cs="Arial"/>
                <w:color w:val="000000"/>
                <w:sz w:val="2"/>
                <w:szCs w:val="2"/>
              </w:rPr>
              <w:t>dimension0</w:t>
            </w:r>
          </w:p>
        </w:tc>
        <w:tc>
          <w:tcPr>
            <w:tcW w:w="734" w:type="dxa"/>
            <w:tcBorders>
              <w:top w:val="single" w:sz="16" w:space="0" w:color="000000"/>
              <w:left w:val="nil"/>
              <w:bottom w:val="nil"/>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rPr>
                <w:rFonts w:ascii="Arial" w:hAnsi="Arial" w:cs="Arial"/>
                <w:color w:val="000000"/>
                <w:sz w:val="18"/>
                <w:szCs w:val="18"/>
              </w:rPr>
            </w:pPr>
            <w:r w:rsidRPr="00152803">
              <w:rPr>
                <w:rFonts w:ascii="Arial" w:hAnsi="Arial" w:cs="Arial"/>
                <w:color w:val="000000"/>
                <w:sz w:val="18"/>
                <w:szCs w:val="18"/>
              </w:rPr>
              <w:t>1</w:t>
            </w:r>
          </w:p>
        </w:tc>
        <w:tc>
          <w:tcPr>
            <w:tcW w:w="1019" w:type="dxa"/>
            <w:tcBorders>
              <w:top w:val="single" w:sz="16" w:space="0" w:color="000000"/>
              <w:left w:val="single" w:sz="16" w:space="0" w:color="000000"/>
              <w:bottom w:val="nil"/>
            </w:tcBorders>
            <w:shd w:val="clear" w:color="auto" w:fill="FFFFFF"/>
            <w:vAlign w:val="center"/>
          </w:tcPr>
          <w:p w:rsidR="00161E70" w:rsidRPr="00152803" w:rsidRDefault="00161E70" w:rsidP="00161E70">
            <w:pPr>
              <w:autoSpaceDE w:val="0"/>
              <w:autoSpaceDN w:val="0"/>
              <w:adjustRightInd w:val="0"/>
              <w:spacing w:line="240" w:lineRule="auto"/>
              <w:jc w:val="center"/>
            </w:pPr>
          </w:p>
        </w:tc>
        <w:tc>
          <w:tcPr>
            <w:tcW w:w="1018" w:type="dxa"/>
            <w:tcBorders>
              <w:top w:val="single" w:sz="16" w:space="0" w:color="000000"/>
              <w:bottom w:val="nil"/>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.804</w:t>
            </w:r>
          </w:p>
        </w:tc>
        <w:tc>
          <w:tcPr>
            <w:tcW w:w="1019" w:type="dxa"/>
            <w:tcBorders>
              <w:top w:val="single" w:sz="16" w:space="0" w:color="000000"/>
              <w:bottom w:val="nil"/>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.936</w:t>
            </w:r>
          </w:p>
        </w:tc>
      </w:tr>
      <w:tr w:rsidR="00161E70" w:rsidRPr="00152803" w:rsidTr="00581754">
        <w:trPr>
          <w:cantSplit/>
          <w:tblHeader/>
        </w:trPr>
        <w:tc>
          <w:tcPr>
            <w:tcW w:w="170" w:type="dxa"/>
            <w:vMerge/>
            <w:tcBorders>
              <w:top w:val="single" w:sz="16" w:space="0" w:color="000000"/>
              <w:left w:val="single" w:sz="16" w:space="0" w:color="000000"/>
              <w:bottom w:val="single" w:sz="16" w:space="0" w:color="000000"/>
              <w:right w:val="nil"/>
            </w:tcBorders>
            <w:shd w:val="clear" w:color="auto" w:fill="FFFFFF"/>
            <w:vAlign w:val="center"/>
          </w:tcPr>
          <w:p w:rsidR="00161E70" w:rsidRPr="00152803" w:rsidRDefault="00161E70" w:rsidP="00161E70">
            <w:pPr>
              <w:autoSpaceDE w:val="0"/>
              <w:autoSpaceDN w:val="0"/>
              <w:adjustRightInd w:val="0"/>
              <w:spacing w:line="240" w:lineRule="auto"/>
              <w:rPr>
                <w:rFonts w:ascii="Arial" w:hAnsi="Arial" w:cs="Arial"/>
                <w:color w:val="000000"/>
                <w:sz w:val="18"/>
                <w:szCs w:val="18"/>
              </w:rPr>
            </w:pPr>
          </w:p>
        </w:tc>
        <w:tc>
          <w:tcPr>
            <w:tcW w:w="734" w:type="dxa"/>
            <w:tcBorders>
              <w:top w:val="nil"/>
              <w:left w:val="nil"/>
              <w:bottom w:val="nil"/>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rPr>
                <w:rFonts w:ascii="Arial" w:hAnsi="Arial" w:cs="Arial"/>
                <w:color w:val="000000"/>
                <w:sz w:val="18"/>
                <w:szCs w:val="18"/>
              </w:rPr>
            </w:pPr>
            <w:r w:rsidRPr="00152803">
              <w:rPr>
                <w:rFonts w:ascii="Arial" w:hAnsi="Arial" w:cs="Arial"/>
                <w:color w:val="000000"/>
                <w:sz w:val="18"/>
                <w:szCs w:val="18"/>
              </w:rPr>
              <w:t>2</w:t>
            </w:r>
          </w:p>
        </w:tc>
        <w:tc>
          <w:tcPr>
            <w:tcW w:w="1019" w:type="dxa"/>
            <w:tcBorders>
              <w:top w:val="nil"/>
              <w:left w:val="single" w:sz="16" w:space="0" w:color="000000"/>
              <w:bottom w:val="nil"/>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.804</w:t>
            </w:r>
          </w:p>
        </w:tc>
        <w:tc>
          <w:tcPr>
            <w:tcW w:w="1018" w:type="dxa"/>
            <w:tcBorders>
              <w:top w:val="nil"/>
              <w:bottom w:val="nil"/>
            </w:tcBorders>
            <w:shd w:val="clear" w:color="auto" w:fill="FFFFFF"/>
            <w:vAlign w:val="center"/>
          </w:tcPr>
          <w:p w:rsidR="00161E70" w:rsidRPr="00152803" w:rsidRDefault="00161E70" w:rsidP="00161E70">
            <w:pPr>
              <w:autoSpaceDE w:val="0"/>
              <w:autoSpaceDN w:val="0"/>
              <w:adjustRightInd w:val="0"/>
              <w:spacing w:line="240" w:lineRule="auto"/>
              <w:jc w:val="center"/>
            </w:pPr>
          </w:p>
        </w:tc>
        <w:tc>
          <w:tcPr>
            <w:tcW w:w="1019" w:type="dxa"/>
            <w:tcBorders>
              <w:top w:val="nil"/>
              <w:bottom w:val="nil"/>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.805</w:t>
            </w:r>
          </w:p>
        </w:tc>
      </w:tr>
      <w:tr w:rsidR="00161E70" w:rsidRPr="00152803" w:rsidTr="00581754">
        <w:trPr>
          <w:cantSplit/>
        </w:trPr>
        <w:tc>
          <w:tcPr>
            <w:tcW w:w="170" w:type="dxa"/>
            <w:vMerge/>
            <w:tcBorders>
              <w:top w:val="single" w:sz="16" w:space="0" w:color="000000"/>
              <w:left w:val="single" w:sz="16" w:space="0" w:color="000000"/>
              <w:bottom w:val="single" w:sz="16" w:space="0" w:color="000000"/>
              <w:right w:val="nil"/>
            </w:tcBorders>
            <w:shd w:val="clear" w:color="auto" w:fill="FFFFFF"/>
            <w:vAlign w:val="center"/>
          </w:tcPr>
          <w:p w:rsidR="00161E70" w:rsidRPr="00152803" w:rsidRDefault="00161E70" w:rsidP="00161E70">
            <w:pPr>
              <w:autoSpaceDE w:val="0"/>
              <w:autoSpaceDN w:val="0"/>
              <w:adjustRightInd w:val="0"/>
              <w:spacing w:line="240" w:lineRule="auto"/>
              <w:rPr>
                <w:rFonts w:ascii="Arial" w:hAnsi="Arial" w:cs="Arial"/>
                <w:color w:val="000000"/>
                <w:sz w:val="18"/>
                <w:szCs w:val="18"/>
              </w:rPr>
            </w:pPr>
          </w:p>
        </w:tc>
        <w:tc>
          <w:tcPr>
            <w:tcW w:w="734" w:type="dxa"/>
            <w:tcBorders>
              <w:top w:val="nil"/>
              <w:left w:val="nil"/>
              <w:bottom w:val="single" w:sz="16" w:space="0" w:color="000000"/>
              <w:right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rPr>
                <w:rFonts w:ascii="Arial" w:hAnsi="Arial" w:cs="Arial"/>
                <w:color w:val="000000"/>
                <w:sz w:val="18"/>
                <w:szCs w:val="18"/>
              </w:rPr>
            </w:pPr>
            <w:r w:rsidRPr="00152803">
              <w:rPr>
                <w:rFonts w:ascii="Arial" w:hAnsi="Arial" w:cs="Arial"/>
                <w:color w:val="000000"/>
                <w:sz w:val="18"/>
                <w:szCs w:val="18"/>
              </w:rPr>
              <w:t>3</w:t>
            </w:r>
          </w:p>
        </w:tc>
        <w:tc>
          <w:tcPr>
            <w:tcW w:w="1019" w:type="dxa"/>
            <w:tcBorders>
              <w:top w:val="nil"/>
              <w:left w:val="single" w:sz="16" w:space="0" w:color="000000"/>
              <w:bottom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.936</w:t>
            </w:r>
          </w:p>
        </w:tc>
        <w:tc>
          <w:tcPr>
            <w:tcW w:w="1018" w:type="dxa"/>
            <w:tcBorders>
              <w:top w:val="nil"/>
              <w:bottom w:val="single" w:sz="16" w:space="0" w:color="000000"/>
            </w:tcBorders>
            <w:shd w:val="clear" w:color="auto" w:fill="FFFFFF"/>
          </w:tcPr>
          <w:p w:rsidR="00161E70" w:rsidRPr="0015280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52803">
              <w:rPr>
                <w:rFonts w:ascii="Arial" w:hAnsi="Arial" w:cs="Arial"/>
                <w:color w:val="000000"/>
                <w:sz w:val="18"/>
                <w:szCs w:val="18"/>
              </w:rPr>
              <w:t>.805</w:t>
            </w:r>
          </w:p>
        </w:tc>
        <w:tc>
          <w:tcPr>
            <w:tcW w:w="1019" w:type="dxa"/>
            <w:tcBorders>
              <w:top w:val="nil"/>
              <w:bottom w:val="single" w:sz="16" w:space="0" w:color="000000"/>
              <w:right w:val="single" w:sz="16" w:space="0" w:color="000000"/>
            </w:tcBorders>
            <w:shd w:val="clear" w:color="auto" w:fill="FFFFFF"/>
            <w:vAlign w:val="center"/>
          </w:tcPr>
          <w:p w:rsidR="00161E70" w:rsidRPr="00152803" w:rsidRDefault="00161E70" w:rsidP="00161E70">
            <w:pPr>
              <w:autoSpaceDE w:val="0"/>
              <w:autoSpaceDN w:val="0"/>
              <w:adjustRightInd w:val="0"/>
              <w:spacing w:line="240" w:lineRule="auto"/>
              <w:jc w:val="center"/>
            </w:pPr>
          </w:p>
        </w:tc>
      </w:tr>
    </w:tbl>
    <w:p w:rsidR="00161E70" w:rsidRPr="00152803" w:rsidRDefault="00161E70" w:rsidP="00161E70">
      <w:pPr>
        <w:autoSpaceDE w:val="0"/>
        <w:autoSpaceDN w:val="0"/>
        <w:adjustRightInd w:val="0"/>
        <w:spacing w:line="240" w:lineRule="auto"/>
      </w:pPr>
    </w:p>
    <w:p w:rsidR="00161E70" w:rsidRDefault="00161E70" w:rsidP="00161E70">
      <w:pPr>
        <w:spacing w:line="240" w:lineRule="auto"/>
      </w:pPr>
      <w:r>
        <w:t>Table .2</w:t>
      </w:r>
    </w:p>
    <w:p w:rsidR="00161E70" w:rsidRPr="00FF0523" w:rsidRDefault="00161E70" w:rsidP="00161E70">
      <w:pPr>
        <w:autoSpaceDE w:val="0"/>
        <w:autoSpaceDN w:val="0"/>
        <w:adjustRightInd w:val="0"/>
        <w:spacing w:line="240" w:lineRule="auto"/>
      </w:pPr>
    </w:p>
    <w:tbl>
      <w:tblPr>
        <w:tblW w:w="286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902"/>
        <w:gridCol w:w="947"/>
        <w:gridCol w:w="1019"/>
      </w:tblGrid>
      <w:tr w:rsidR="00161E70" w:rsidRPr="00FF0523" w:rsidTr="00581754">
        <w:trPr>
          <w:cantSplit/>
          <w:tblHeader/>
        </w:trPr>
        <w:tc>
          <w:tcPr>
            <w:tcW w:w="2867" w:type="dxa"/>
            <w:gridSpan w:val="3"/>
            <w:tcBorders>
              <w:top w:val="nil"/>
              <w:left w:val="nil"/>
              <w:bottom w:val="single" w:sz="16" w:space="0" w:color="000000"/>
              <w:right w:val="nil"/>
            </w:tcBorders>
            <w:shd w:val="clear" w:color="auto" w:fill="FFFFFF"/>
            <w:vAlign w:val="center"/>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b/>
                <w:bCs/>
                <w:color w:val="000000"/>
                <w:sz w:val="18"/>
                <w:szCs w:val="18"/>
              </w:rPr>
              <w:t>Number of Cases in each Cluster</w:t>
            </w:r>
          </w:p>
        </w:tc>
      </w:tr>
      <w:tr w:rsidR="00161E70" w:rsidRPr="00FF0523" w:rsidTr="00581754">
        <w:trPr>
          <w:cantSplit/>
          <w:tblHeader/>
        </w:trPr>
        <w:tc>
          <w:tcPr>
            <w:tcW w:w="901" w:type="dxa"/>
            <w:vMerge w:val="restart"/>
            <w:tcBorders>
              <w:top w:val="single" w:sz="16" w:space="0" w:color="000000"/>
              <w:left w:val="single" w:sz="16" w:space="0" w:color="000000"/>
              <w:bottom w:val="nil"/>
              <w:right w:val="nil"/>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Cluster</w:t>
            </w:r>
          </w:p>
        </w:tc>
        <w:tc>
          <w:tcPr>
            <w:tcW w:w="947" w:type="dxa"/>
            <w:tcBorders>
              <w:top w:val="single" w:sz="16" w:space="0" w:color="000000"/>
              <w:left w:val="nil"/>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1</w:t>
            </w:r>
          </w:p>
        </w:tc>
        <w:tc>
          <w:tcPr>
            <w:tcW w:w="1019" w:type="dxa"/>
            <w:tcBorders>
              <w:top w:val="single" w:sz="16" w:space="0" w:color="000000"/>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3.000</w:t>
            </w:r>
          </w:p>
        </w:tc>
      </w:tr>
      <w:tr w:rsidR="00161E70" w:rsidRPr="00FF0523" w:rsidTr="00581754">
        <w:trPr>
          <w:cantSplit/>
          <w:tblHeader/>
        </w:trPr>
        <w:tc>
          <w:tcPr>
            <w:tcW w:w="901" w:type="dxa"/>
            <w:vMerge/>
            <w:tcBorders>
              <w:top w:val="single" w:sz="16" w:space="0" w:color="000000"/>
              <w:left w:val="single" w:sz="16" w:space="0" w:color="000000"/>
              <w:bottom w:val="nil"/>
              <w:right w:val="nil"/>
            </w:tcBorders>
            <w:shd w:val="clear" w:color="auto" w:fill="FFFFFF"/>
          </w:tcPr>
          <w:p w:rsidR="00161E70" w:rsidRPr="00FF0523" w:rsidRDefault="00161E70" w:rsidP="00161E70">
            <w:pPr>
              <w:autoSpaceDE w:val="0"/>
              <w:autoSpaceDN w:val="0"/>
              <w:adjustRightInd w:val="0"/>
              <w:spacing w:line="240" w:lineRule="auto"/>
              <w:rPr>
                <w:rFonts w:ascii="Arial" w:hAnsi="Arial" w:cs="Arial"/>
                <w:color w:val="000000"/>
                <w:sz w:val="18"/>
                <w:szCs w:val="18"/>
              </w:rPr>
            </w:pPr>
          </w:p>
        </w:tc>
        <w:tc>
          <w:tcPr>
            <w:tcW w:w="947" w:type="dxa"/>
            <w:tcBorders>
              <w:top w:val="nil"/>
              <w:left w:val="nil"/>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2</w:t>
            </w:r>
          </w:p>
        </w:tc>
        <w:tc>
          <w:tcPr>
            <w:tcW w:w="1019" w:type="dxa"/>
            <w:tcBorders>
              <w:top w:val="nil"/>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15.000</w:t>
            </w:r>
          </w:p>
        </w:tc>
      </w:tr>
      <w:tr w:rsidR="00161E70" w:rsidRPr="00FF0523" w:rsidTr="00581754">
        <w:trPr>
          <w:cantSplit/>
          <w:tblHeader/>
        </w:trPr>
        <w:tc>
          <w:tcPr>
            <w:tcW w:w="901" w:type="dxa"/>
            <w:vMerge/>
            <w:tcBorders>
              <w:top w:val="single" w:sz="16" w:space="0" w:color="000000"/>
              <w:left w:val="single" w:sz="16" w:space="0" w:color="000000"/>
              <w:bottom w:val="nil"/>
              <w:right w:val="nil"/>
            </w:tcBorders>
            <w:shd w:val="clear" w:color="auto" w:fill="FFFFFF"/>
          </w:tcPr>
          <w:p w:rsidR="00161E70" w:rsidRPr="00FF0523" w:rsidRDefault="00161E70" w:rsidP="00161E70">
            <w:pPr>
              <w:autoSpaceDE w:val="0"/>
              <w:autoSpaceDN w:val="0"/>
              <w:adjustRightInd w:val="0"/>
              <w:spacing w:line="240" w:lineRule="auto"/>
              <w:rPr>
                <w:rFonts w:ascii="Arial" w:hAnsi="Arial" w:cs="Arial"/>
                <w:color w:val="000000"/>
                <w:sz w:val="18"/>
                <w:szCs w:val="18"/>
              </w:rPr>
            </w:pPr>
          </w:p>
        </w:tc>
        <w:tc>
          <w:tcPr>
            <w:tcW w:w="947" w:type="dxa"/>
            <w:tcBorders>
              <w:top w:val="nil"/>
              <w:left w:val="nil"/>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3</w:t>
            </w:r>
          </w:p>
        </w:tc>
        <w:tc>
          <w:tcPr>
            <w:tcW w:w="1019" w:type="dxa"/>
            <w:tcBorders>
              <w:top w:val="nil"/>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13.000</w:t>
            </w:r>
          </w:p>
        </w:tc>
      </w:tr>
      <w:tr w:rsidR="00161E70" w:rsidRPr="00FF0523" w:rsidTr="00581754">
        <w:trPr>
          <w:cantSplit/>
          <w:tblHeader/>
        </w:trPr>
        <w:tc>
          <w:tcPr>
            <w:tcW w:w="1848" w:type="dxa"/>
            <w:gridSpan w:val="2"/>
            <w:tcBorders>
              <w:top w:val="nil"/>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Valid</w:t>
            </w:r>
          </w:p>
        </w:tc>
        <w:tc>
          <w:tcPr>
            <w:tcW w:w="1019" w:type="dxa"/>
            <w:tcBorders>
              <w:top w:val="nil"/>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31.000</w:t>
            </w:r>
          </w:p>
        </w:tc>
      </w:tr>
      <w:tr w:rsidR="00161E70" w:rsidRPr="00FF0523" w:rsidTr="00581754">
        <w:trPr>
          <w:cantSplit/>
        </w:trPr>
        <w:tc>
          <w:tcPr>
            <w:tcW w:w="1848" w:type="dxa"/>
            <w:gridSpan w:val="2"/>
            <w:tcBorders>
              <w:top w:val="nil"/>
              <w:left w:val="single" w:sz="16" w:space="0" w:color="000000"/>
              <w:bottom w:val="single" w:sz="16" w:space="0" w:color="000000"/>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Missing</w:t>
            </w:r>
          </w:p>
        </w:tc>
        <w:tc>
          <w:tcPr>
            <w:tcW w:w="1019" w:type="dxa"/>
            <w:tcBorders>
              <w:top w:val="nil"/>
              <w:left w:val="single" w:sz="16" w:space="0" w:color="000000"/>
              <w:bottom w:val="single" w:sz="16" w:space="0" w:color="000000"/>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1.000</w:t>
            </w:r>
          </w:p>
        </w:tc>
      </w:tr>
    </w:tbl>
    <w:p w:rsidR="00161E70" w:rsidRPr="00FF0523" w:rsidRDefault="00161E70" w:rsidP="00161E70">
      <w:pPr>
        <w:autoSpaceDE w:val="0"/>
        <w:autoSpaceDN w:val="0"/>
        <w:adjustRightInd w:val="0"/>
        <w:spacing w:line="240" w:lineRule="auto"/>
      </w:pPr>
    </w:p>
    <w:p w:rsidR="00161E70" w:rsidRDefault="00161E70" w:rsidP="00161E70">
      <w:pPr>
        <w:spacing w:line="240" w:lineRule="auto"/>
      </w:pPr>
      <w:r>
        <w:t>Table .3</w:t>
      </w:r>
    </w:p>
    <w:p w:rsidR="00161E70" w:rsidRPr="00FF0523" w:rsidRDefault="00161E70" w:rsidP="00161E70">
      <w:pPr>
        <w:autoSpaceDE w:val="0"/>
        <w:autoSpaceDN w:val="0"/>
        <w:adjustRightInd w:val="0"/>
        <w:spacing w:line="240" w:lineRule="auto"/>
      </w:pPr>
    </w:p>
    <w:tbl>
      <w:tblPr>
        <w:tblW w:w="934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47"/>
        <w:gridCol w:w="1409"/>
        <w:gridCol w:w="1019"/>
        <w:gridCol w:w="1410"/>
        <w:gridCol w:w="1020"/>
        <w:gridCol w:w="1020"/>
        <w:gridCol w:w="1020"/>
      </w:tblGrid>
      <w:tr w:rsidR="00161E70" w:rsidRPr="00FF0523" w:rsidTr="00581754">
        <w:trPr>
          <w:cantSplit/>
          <w:tblHeader/>
        </w:trPr>
        <w:tc>
          <w:tcPr>
            <w:tcW w:w="9340" w:type="dxa"/>
            <w:gridSpan w:val="7"/>
            <w:tcBorders>
              <w:top w:val="nil"/>
              <w:left w:val="nil"/>
              <w:bottom w:val="nil"/>
              <w:right w:val="nil"/>
            </w:tcBorders>
            <w:shd w:val="clear" w:color="auto" w:fill="FFFFFF"/>
            <w:vAlign w:val="center"/>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b/>
                <w:bCs/>
                <w:color w:val="000000"/>
                <w:sz w:val="18"/>
                <w:szCs w:val="18"/>
              </w:rPr>
              <w:t>ANOVA</w:t>
            </w:r>
          </w:p>
        </w:tc>
      </w:tr>
      <w:tr w:rsidR="00161E70" w:rsidRPr="00FF0523" w:rsidTr="00581754">
        <w:trPr>
          <w:cantSplit/>
          <w:tblHeader/>
        </w:trPr>
        <w:tc>
          <w:tcPr>
            <w:tcW w:w="2447" w:type="dxa"/>
            <w:vMerge w:val="restart"/>
            <w:tcBorders>
              <w:top w:val="single" w:sz="16" w:space="0" w:color="000000"/>
              <w:left w:val="single" w:sz="16" w:space="0" w:color="000000"/>
              <w:bottom w:val="single" w:sz="16" w:space="0" w:color="000000"/>
              <w:right w:val="single" w:sz="16" w:space="0" w:color="000000"/>
            </w:tcBorders>
            <w:shd w:val="clear" w:color="auto" w:fill="FFFFFF"/>
            <w:vAlign w:val="center"/>
          </w:tcPr>
          <w:p w:rsidR="00161E70" w:rsidRPr="00FF0523" w:rsidRDefault="00161E70" w:rsidP="00161E70">
            <w:pPr>
              <w:autoSpaceDE w:val="0"/>
              <w:autoSpaceDN w:val="0"/>
              <w:adjustRightInd w:val="0"/>
              <w:spacing w:line="240" w:lineRule="auto"/>
              <w:jc w:val="center"/>
            </w:pPr>
          </w:p>
        </w:tc>
        <w:tc>
          <w:tcPr>
            <w:tcW w:w="2427" w:type="dxa"/>
            <w:gridSpan w:val="2"/>
            <w:tcBorders>
              <w:top w:val="single" w:sz="16" w:space="0" w:color="000000"/>
              <w:left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Cluster</w:t>
            </w:r>
          </w:p>
        </w:tc>
        <w:tc>
          <w:tcPr>
            <w:tcW w:w="2428" w:type="dxa"/>
            <w:gridSpan w:val="2"/>
            <w:tcBorders>
              <w:top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Error</w:t>
            </w:r>
          </w:p>
        </w:tc>
        <w:tc>
          <w:tcPr>
            <w:tcW w:w="1019" w:type="dxa"/>
            <w:vMerge w:val="restart"/>
            <w:tcBorders>
              <w:top w:val="single" w:sz="16" w:space="0" w:color="000000"/>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F</w:t>
            </w:r>
          </w:p>
        </w:tc>
        <w:tc>
          <w:tcPr>
            <w:tcW w:w="1019" w:type="dxa"/>
            <w:vMerge w:val="restart"/>
            <w:tcBorders>
              <w:top w:val="single" w:sz="16" w:space="0" w:color="000000"/>
              <w:bottom w:val="single" w:sz="16" w:space="0" w:color="000000"/>
              <w:right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Sig.</w:t>
            </w:r>
          </w:p>
        </w:tc>
      </w:tr>
      <w:tr w:rsidR="00161E70" w:rsidRPr="00FF0523" w:rsidTr="00581754">
        <w:trPr>
          <w:cantSplit/>
          <w:tblHeader/>
        </w:trPr>
        <w:tc>
          <w:tcPr>
            <w:tcW w:w="2447" w:type="dxa"/>
            <w:vMerge/>
            <w:tcBorders>
              <w:top w:val="single" w:sz="16" w:space="0" w:color="000000"/>
              <w:left w:val="single" w:sz="16" w:space="0" w:color="000000"/>
              <w:bottom w:val="single" w:sz="16" w:space="0" w:color="000000"/>
              <w:right w:val="single" w:sz="16" w:space="0" w:color="000000"/>
            </w:tcBorders>
            <w:shd w:val="clear" w:color="auto" w:fill="FFFFFF"/>
            <w:vAlign w:val="center"/>
          </w:tcPr>
          <w:p w:rsidR="00161E70" w:rsidRPr="00FF0523" w:rsidRDefault="00161E70" w:rsidP="00161E70">
            <w:pPr>
              <w:autoSpaceDE w:val="0"/>
              <w:autoSpaceDN w:val="0"/>
              <w:adjustRightInd w:val="0"/>
              <w:spacing w:line="240" w:lineRule="auto"/>
              <w:rPr>
                <w:rFonts w:ascii="Arial" w:hAnsi="Arial" w:cs="Arial"/>
                <w:color w:val="000000"/>
                <w:sz w:val="18"/>
                <w:szCs w:val="18"/>
              </w:rPr>
            </w:pPr>
          </w:p>
        </w:tc>
        <w:tc>
          <w:tcPr>
            <w:tcW w:w="1409" w:type="dxa"/>
            <w:tcBorders>
              <w:left w:val="single" w:sz="16" w:space="0" w:color="000000"/>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Mean Square</w:t>
            </w:r>
          </w:p>
        </w:tc>
        <w:tc>
          <w:tcPr>
            <w:tcW w:w="1018" w:type="dxa"/>
            <w:tcBorders>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df</w:t>
            </w:r>
          </w:p>
        </w:tc>
        <w:tc>
          <w:tcPr>
            <w:tcW w:w="1409" w:type="dxa"/>
            <w:tcBorders>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Mean Square</w:t>
            </w:r>
          </w:p>
        </w:tc>
        <w:tc>
          <w:tcPr>
            <w:tcW w:w="1019" w:type="dxa"/>
            <w:tcBorders>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FF0523">
              <w:rPr>
                <w:rFonts w:ascii="Arial" w:hAnsi="Arial" w:cs="Arial"/>
                <w:color w:val="000000"/>
                <w:sz w:val="18"/>
                <w:szCs w:val="18"/>
              </w:rPr>
              <w:t>df</w:t>
            </w:r>
          </w:p>
        </w:tc>
        <w:tc>
          <w:tcPr>
            <w:tcW w:w="1019" w:type="dxa"/>
            <w:vMerge/>
            <w:tcBorders>
              <w:top w:val="single" w:sz="16" w:space="0" w:color="000000"/>
              <w:bottom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rPr>
                <w:rFonts w:ascii="Arial" w:hAnsi="Arial" w:cs="Arial"/>
                <w:color w:val="000000"/>
                <w:sz w:val="18"/>
                <w:szCs w:val="18"/>
              </w:rPr>
            </w:pPr>
          </w:p>
        </w:tc>
        <w:tc>
          <w:tcPr>
            <w:tcW w:w="1019" w:type="dxa"/>
            <w:vMerge/>
            <w:tcBorders>
              <w:top w:val="single" w:sz="16" w:space="0" w:color="000000"/>
              <w:bottom w:val="single" w:sz="16" w:space="0" w:color="000000"/>
              <w:right w:val="single" w:sz="16" w:space="0" w:color="000000"/>
            </w:tcBorders>
            <w:shd w:val="clear" w:color="auto" w:fill="FFFFFF"/>
            <w:vAlign w:val="bottom"/>
          </w:tcPr>
          <w:p w:rsidR="00161E70" w:rsidRPr="00FF0523" w:rsidRDefault="00161E70" w:rsidP="00161E70">
            <w:pPr>
              <w:autoSpaceDE w:val="0"/>
              <w:autoSpaceDN w:val="0"/>
              <w:adjustRightInd w:val="0"/>
              <w:spacing w:line="240" w:lineRule="auto"/>
              <w:rPr>
                <w:rFonts w:ascii="Arial" w:hAnsi="Arial" w:cs="Arial"/>
                <w:color w:val="000000"/>
                <w:sz w:val="18"/>
                <w:szCs w:val="18"/>
              </w:rPr>
            </w:pPr>
          </w:p>
        </w:tc>
      </w:tr>
      <w:tr w:rsidR="00161E70" w:rsidRPr="00FF0523" w:rsidTr="00581754">
        <w:trPr>
          <w:cantSplit/>
          <w:tblHeader/>
        </w:trPr>
        <w:tc>
          <w:tcPr>
            <w:tcW w:w="2447" w:type="dxa"/>
            <w:tcBorders>
              <w:top w:val="single" w:sz="16" w:space="0" w:color="000000"/>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ex-ante control of self dealing</w:t>
            </w:r>
          </w:p>
        </w:tc>
        <w:tc>
          <w:tcPr>
            <w:tcW w:w="1409" w:type="dxa"/>
            <w:tcBorders>
              <w:top w:val="single" w:sz="16" w:space="0" w:color="000000"/>
              <w:left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.857</w:t>
            </w:r>
          </w:p>
        </w:tc>
        <w:tc>
          <w:tcPr>
            <w:tcW w:w="1018" w:type="dxa"/>
            <w:tcBorders>
              <w:top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w:t>
            </w:r>
          </w:p>
        </w:tc>
        <w:tc>
          <w:tcPr>
            <w:tcW w:w="1409" w:type="dxa"/>
            <w:tcBorders>
              <w:top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.078</w:t>
            </w:r>
          </w:p>
        </w:tc>
        <w:tc>
          <w:tcPr>
            <w:tcW w:w="1019" w:type="dxa"/>
            <w:tcBorders>
              <w:top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28</w:t>
            </w:r>
          </w:p>
        </w:tc>
        <w:tc>
          <w:tcPr>
            <w:tcW w:w="1019" w:type="dxa"/>
            <w:tcBorders>
              <w:top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10.968</w:t>
            </w:r>
          </w:p>
        </w:tc>
        <w:tc>
          <w:tcPr>
            <w:tcW w:w="1019" w:type="dxa"/>
            <w:tcBorders>
              <w:top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.000</w:t>
            </w:r>
          </w:p>
        </w:tc>
      </w:tr>
      <w:tr w:rsidR="00161E70" w:rsidRPr="00FF0523" w:rsidTr="00581754">
        <w:trPr>
          <w:cantSplit/>
          <w:tblHeader/>
        </w:trPr>
        <w:tc>
          <w:tcPr>
            <w:tcW w:w="2447" w:type="dxa"/>
            <w:tcBorders>
              <w:top w:val="nil"/>
              <w:left w:val="single" w:sz="16" w:space="0" w:color="000000"/>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ex-post control of self dealing</w:t>
            </w:r>
          </w:p>
        </w:tc>
        <w:tc>
          <w:tcPr>
            <w:tcW w:w="1409" w:type="dxa"/>
            <w:tcBorders>
              <w:top w:val="nil"/>
              <w:left w:val="single" w:sz="16" w:space="0" w:color="000000"/>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.100</w:t>
            </w:r>
          </w:p>
        </w:tc>
        <w:tc>
          <w:tcPr>
            <w:tcW w:w="1018" w:type="dxa"/>
            <w:tcBorders>
              <w:top w:val="nil"/>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w:t>
            </w:r>
          </w:p>
        </w:tc>
        <w:tc>
          <w:tcPr>
            <w:tcW w:w="1409" w:type="dxa"/>
            <w:tcBorders>
              <w:top w:val="nil"/>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.029</w:t>
            </w:r>
          </w:p>
        </w:tc>
        <w:tc>
          <w:tcPr>
            <w:tcW w:w="1019" w:type="dxa"/>
            <w:tcBorders>
              <w:top w:val="nil"/>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28</w:t>
            </w:r>
          </w:p>
        </w:tc>
        <w:tc>
          <w:tcPr>
            <w:tcW w:w="1019" w:type="dxa"/>
            <w:tcBorders>
              <w:top w:val="nil"/>
              <w:bottom w:val="nil"/>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3.401</w:t>
            </w:r>
          </w:p>
        </w:tc>
        <w:tc>
          <w:tcPr>
            <w:tcW w:w="1019" w:type="dxa"/>
            <w:tcBorders>
              <w:top w:val="nil"/>
              <w:bottom w:val="nil"/>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.048</w:t>
            </w:r>
          </w:p>
        </w:tc>
      </w:tr>
      <w:tr w:rsidR="00161E70" w:rsidRPr="00FF0523" w:rsidTr="00581754">
        <w:trPr>
          <w:cantSplit/>
          <w:tblHeader/>
        </w:trPr>
        <w:tc>
          <w:tcPr>
            <w:tcW w:w="2447" w:type="dxa"/>
            <w:tcBorders>
              <w:top w:val="nil"/>
              <w:left w:val="single" w:sz="16" w:space="0" w:color="000000"/>
              <w:bottom w:val="single" w:sz="16" w:space="0" w:color="000000"/>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rPr>
                <w:rFonts w:ascii="Arial" w:hAnsi="Arial" w:cs="Arial"/>
                <w:color w:val="000000"/>
                <w:sz w:val="18"/>
                <w:szCs w:val="18"/>
              </w:rPr>
            </w:pPr>
            <w:r w:rsidRPr="00FF0523">
              <w:rPr>
                <w:rFonts w:ascii="Arial" w:hAnsi="Arial" w:cs="Arial"/>
                <w:color w:val="000000"/>
                <w:sz w:val="18"/>
                <w:szCs w:val="18"/>
              </w:rPr>
              <w:t>public enforcement index</w:t>
            </w:r>
          </w:p>
        </w:tc>
        <w:tc>
          <w:tcPr>
            <w:tcW w:w="1409" w:type="dxa"/>
            <w:tcBorders>
              <w:top w:val="nil"/>
              <w:left w:val="single" w:sz="16" w:space="0" w:color="000000"/>
              <w:bottom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2.102</w:t>
            </w:r>
          </w:p>
        </w:tc>
        <w:tc>
          <w:tcPr>
            <w:tcW w:w="1018" w:type="dxa"/>
            <w:tcBorders>
              <w:top w:val="nil"/>
              <w:bottom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w:t>
            </w:r>
          </w:p>
        </w:tc>
        <w:tc>
          <w:tcPr>
            <w:tcW w:w="1409" w:type="dxa"/>
            <w:tcBorders>
              <w:top w:val="nil"/>
              <w:bottom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.035</w:t>
            </w:r>
          </w:p>
        </w:tc>
        <w:tc>
          <w:tcPr>
            <w:tcW w:w="1019" w:type="dxa"/>
            <w:tcBorders>
              <w:top w:val="nil"/>
              <w:bottom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28</w:t>
            </w:r>
          </w:p>
        </w:tc>
        <w:tc>
          <w:tcPr>
            <w:tcW w:w="1019" w:type="dxa"/>
            <w:tcBorders>
              <w:top w:val="nil"/>
              <w:bottom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60.391</w:t>
            </w:r>
          </w:p>
        </w:tc>
        <w:tc>
          <w:tcPr>
            <w:tcW w:w="1019" w:type="dxa"/>
            <w:tcBorders>
              <w:top w:val="nil"/>
              <w:bottom w:val="single" w:sz="16" w:space="0" w:color="000000"/>
              <w:right w:val="single" w:sz="16" w:space="0" w:color="000000"/>
            </w:tcBorders>
            <w:shd w:val="clear" w:color="auto" w:fill="FFFFFF"/>
          </w:tcPr>
          <w:p w:rsidR="00161E70" w:rsidRPr="00FF0523"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FF0523">
              <w:rPr>
                <w:rFonts w:ascii="Arial" w:hAnsi="Arial" w:cs="Arial"/>
                <w:color w:val="000000"/>
                <w:sz w:val="18"/>
                <w:szCs w:val="18"/>
              </w:rPr>
              <w:t>.000</w:t>
            </w:r>
          </w:p>
        </w:tc>
      </w:tr>
      <w:tr w:rsidR="00161E70" w:rsidRPr="00FF0523" w:rsidTr="00581754">
        <w:trPr>
          <w:cantSplit/>
        </w:trPr>
        <w:tc>
          <w:tcPr>
            <w:tcW w:w="9340" w:type="dxa"/>
            <w:gridSpan w:val="7"/>
            <w:tcBorders>
              <w:top w:val="nil"/>
              <w:left w:val="nil"/>
              <w:bottom w:val="nil"/>
              <w:right w:val="nil"/>
            </w:tcBorders>
            <w:shd w:val="clear" w:color="auto" w:fill="FFFFFF"/>
          </w:tcPr>
          <w:p w:rsidR="00161E70" w:rsidRPr="00FF0523" w:rsidRDefault="00161E70" w:rsidP="00581754">
            <w:pPr>
              <w:autoSpaceDE w:val="0"/>
              <w:autoSpaceDN w:val="0"/>
              <w:adjustRightInd w:val="0"/>
              <w:spacing w:line="320" w:lineRule="atLeast"/>
              <w:ind w:left="60" w:right="60"/>
              <w:rPr>
                <w:rFonts w:ascii="Arial" w:hAnsi="Arial" w:cs="Arial"/>
                <w:color w:val="000000"/>
                <w:sz w:val="18"/>
                <w:szCs w:val="18"/>
              </w:rPr>
            </w:pPr>
          </w:p>
        </w:tc>
      </w:tr>
    </w:tbl>
    <w:p w:rsidR="00161E70" w:rsidRPr="00FF0523" w:rsidRDefault="00161E70" w:rsidP="00161E70">
      <w:pPr>
        <w:autoSpaceDE w:val="0"/>
        <w:autoSpaceDN w:val="0"/>
        <w:adjustRightInd w:val="0"/>
        <w:spacing w:line="400" w:lineRule="atLeast"/>
      </w:pPr>
    </w:p>
    <w:p w:rsidR="00161E70" w:rsidRDefault="00161E70" w:rsidP="00161E70"/>
    <w:p w:rsidR="00161E70" w:rsidRDefault="00161E70" w:rsidP="00161E70"/>
    <w:p w:rsidR="00161E70" w:rsidRPr="00351C17" w:rsidRDefault="00161E70" w:rsidP="00161E70">
      <w:pPr>
        <w:pStyle w:val="Heading4"/>
        <w:spacing w:line="360" w:lineRule="auto"/>
        <w:rPr>
          <w:rFonts w:ascii="Calibri" w:hAnsi="Calibri"/>
          <w:b/>
          <w:color w:val="990000"/>
        </w:rPr>
      </w:pPr>
      <w:bookmarkStart w:id="128" w:name="_Toc268669794"/>
      <w:r w:rsidRPr="00351C17">
        <w:rPr>
          <w:rFonts w:ascii="Calibri" w:hAnsi="Calibri"/>
          <w:b/>
          <w:color w:val="990000"/>
        </w:rPr>
        <w:lastRenderedPageBreak/>
        <w:t>Appendix D</w:t>
      </w:r>
      <w:r w:rsidR="0011793F">
        <w:rPr>
          <w:rFonts w:ascii="Calibri" w:hAnsi="Calibri"/>
          <w:b/>
          <w:color w:val="990000"/>
        </w:rPr>
        <w:tab/>
        <w:t>Scatter Plot</w:t>
      </w:r>
      <w:bookmarkEnd w:id="128"/>
    </w:p>
    <w:p w:rsidR="00161E70" w:rsidRDefault="00161E70" w:rsidP="00161E70"/>
    <w:p w:rsidR="00161E70" w:rsidRDefault="00161E70" w:rsidP="00161E70">
      <w:r>
        <w:rPr>
          <w:noProof/>
          <w:lang w:bidi="ar-SA"/>
        </w:rPr>
        <w:drawing>
          <wp:inline distT="0" distB="0" distL="0" distR="0">
            <wp:extent cx="5943600" cy="47529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cstate="print"/>
                    <a:srcRect/>
                    <a:stretch>
                      <a:fillRect/>
                    </a:stretch>
                  </pic:blipFill>
                  <pic:spPr bwMode="auto">
                    <a:xfrm>
                      <a:off x="0" y="0"/>
                      <a:ext cx="5943600" cy="4752975"/>
                    </a:xfrm>
                    <a:prstGeom prst="rect">
                      <a:avLst/>
                    </a:prstGeom>
                    <a:noFill/>
                    <a:ln w="9525">
                      <a:noFill/>
                      <a:miter lim="800000"/>
                      <a:headEnd/>
                      <a:tailEnd/>
                    </a:ln>
                  </pic:spPr>
                </pic:pic>
              </a:graphicData>
            </a:graphic>
          </wp:inline>
        </w:drawing>
      </w:r>
    </w:p>
    <w:p w:rsidR="00161E70" w:rsidRPr="00FF0523" w:rsidRDefault="00161E70" w:rsidP="00161E70"/>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Pr="00351C17" w:rsidRDefault="00161E70" w:rsidP="00161E70">
      <w:pPr>
        <w:pStyle w:val="Heading4"/>
        <w:spacing w:line="360" w:lineRule="auto"/>
        <w:rPr>
          <w:rFonts w:ascii="Calibri" w:hAnsi="Calibri"/>
          <w:b/>
          <w:color w:val="990000"/>
        </w:rPr>
      </w:pPr>
      <w:bookmarkStart w:id="129" w:name="_Toc268669795"/>
      <w:r w:rsidRPr="00351C17">
        <w:rPr>
          <w:rFonts w:ascii="Calibri" w:hAnsi="Calibri"/>
          <w:b/>
          <w:color w:val="990000"/>
        </w:rPr>
        <w:lastRenderedPageBreak/>
        <w:t xml:space="preserve">Appendix E </w:t>
      </w:r>
      <w:r w:rsidRPr="00351C17">
        <w:rPr>
          <w:rFonts w:ascii="Calibri" w:hAnsi="Calibri"/>
          <w:b/>
          <w:color w:val="990000"/>
        </w:rPr>
        <w:tab/>
      </w:r>
      <w:r w:rsidR="008F2A06">
        <w:rPr>
          <w:rFonts w:ascii="Calibri" w:hAnsi="Calibri"/>
          <w:b/>
          <w:color w:val="990000"/>
        </w:rPr>
        <w:t>Residuals Statistics</w:t>
      </w:r>
      <w:bookmarkEnd w:id="129"/>
    </w:p>
    <w:p w:rsidR="00161E70" w:rsidRDefault="00161E70" w:rsidP="00161E70"/>
    <w:p w:rsidR="00161E70" w:rsidRPr="00122EC5" w:rsidRDefault="00161E70" w:rsidP="00161E70">
      <w:pPr>
        <w:autoSpaceDE w:val="0"/>
        <w:autoSpaceDN w:val="0"/>
        <w:adjustRightInd w:val="0"/>
        <w:spacing w:line="240" w:lineRule="auto"/>
      </w:pPr>
    </w:p>
    <w:tbl>
      <w:tblPr>
        <w:tblW w:w="791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1"/>
        <w:gridCol w:w="1264"/>
        <w:gridCol w:w="1202"/>
        <w:gridCol w:w="1020"/>
        <w:gridCol w:w="1441"/>
        <w:gridCol w:w="1020"/>
      </w:tblGrid>
      <w:tr w:rsidR="00161E70" w:rsidRPr="00122EC5" w:rsidTr="00581754">
        <w:trPr>
          <w:cantSplit/>
          <w:tblHeader/>
        </w:trPr>
        <w:tc>
          <w:tcPr>
            <w:tcW w:w="7914" w:type="dxa"/>
            <w:gridSpan w:val="6"/>
            <w:tcBorders>
              <w:top w:val="nil"/>
              <w:left w:val="nil"/>
              <w:bottom w:val="nil"/>
              <w:right w:val="nil"/>
            </w:tcBorders>
            <w:shd w:val="clear" w:color="auto" w:fill="FFFFFF"/>
            <w:vAlign w:val="center"/>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b/>
                <w:bCs/>
                <w:color w:val="000000"/>
                <w:sz w:val="18"/>
                <w:szCs w:val="18"/>
              </w:rPr>
              <w:t>Residuals Statistics</w:t>
            </w:r>
          </w:p>
        </w:tc>
      </w:tr>
      <w:tr w:rsidR="00161E70" w:rsidRPr="00122EC5" w:rsidTr="00581754">
        <w:trPr>
          <w:cantSplit/>
          <w:tblHeader/>
        </w:trPr>
        <w:tc>
          <w:tcPr>
            <w:tcW w:w="1971" w:type="dxa"/>
            <w:tcBorders>
              <w:top w:val="single" w:sz="16" w:space="0" w:color="000000"/>
              <w:left w:val="single" w:sz="16" w:space="0" w:color="000000"/>
              <w:bottom w:val="single" w:sz="16" w:space="0" w:color="000000"/>
              <w:right w:val="single" w:sz="16" w:space="0" w:color="000000"/>
            </w:tcBorders>
            <w:shd w:val="clear" w:color="auto" w:fill="FFFFFF"/>
            <w:vAlign w:val="center"/>
          </w:tcPr>
          <w:p w:rsidR="00161E70" w:rsidRPr="00122EC5" w:rsidRDefault="00161E70" w:rsidP="00161E70">
            <w:pPr>
              <w:autoSpaceDE w:val="0"/>
              <w:autoSpaceDN w:val="0"/>
              <w:adjustRightInd w:val="0"/>
              <w:spacing w:line="240" w:lineRule="auto"/>
              <w:jc w:val="center"/>
            </w:pPr>
          </w:p>
        </w:tc>
        <w:tc>
          <w:tcPr>
            <w:tcW w:w="1264" w:type="dxa"/>
            <w:tcBorders>
              <w:top w:val="single" w:sz="16" w:space="0" w:color="000000"/>
              <w:left w:val="single" w:sz="16" w:space="0" w:color="000000"/>
              <w:bottom w:val="single" w:sz="16" w:space="0" w:color="000000"/>
            </w:tcBorders>
            <w:shd w:val="clear" w:color="auto" w:fill="FFFFFF"/>
            <w:vAlign w:val="bottom"/>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color w:val="000000"/>
                <w:sz w:val="18"/>
                <w:szCs w:val="18"/>
              </w:rPr>
              <w:t>Minimum</w:t>
            </w:r>
          </w:p>
        </w:tc>
        <w:tc>
          <w:tcPr>
            <w:tcW w:w="1201" w:type="dxa"/>
            <w:tcBorders>
              <w:top w:val="single" w:sz="16" w:space="0" w:color="000000"/>
              <w:bottom w:val="single" w:sz="16" w:space="0" w:color="000000"/>
            </w:tcBorders>
            <w:shd w:val="clear" w:color="auto" w:fill="FFFFFF"/>
            <w:vAlign w:val="bottom"/>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color w:val="000000"/>
                <w:sz w:val="18"/>
                <w:szCs w:val="18"/>
              </w:rPr>
              <w:t>Maximum</w:t>
            </w:r>
          </w:p>
        </w:tc>
        <w:tc>
          <w:tcPr>
            <w:tcW w:w="1019" w:type="dxa"/>
            <w:tcBorders>
              <w:top w:val="single" w:sz="16" w:space="0" w:color="000000"/>
              <w:bottom w:val="single" w:sz="16" w:space="0" w:color="000000"/>
            </w:tcBorders>
            <w:shd w:val="clear" w:color="auto" w:fill="FFFFFF"/>
            <w:vAlign w:val="bottom"/>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color w:val="000000"/>
                <w:sz w:val="18"/>
                <w:szCs w:val="18"/>
              </w:rPr>
              <w:t>Mean</w:t>
            </w:r>
          </w:p>
        </w:tc>
        <w:tc>
          <w:tcPr>
            <w:tcW w:w="1440" w:type="dxa"/>
            <w:tcBorders>
              <w:top w:val="single" w:sz="16" w:space="0" w:color="000000"/>
              <w:bottom w:val="single" w:sz="16" w:space="0" w:color="000000"/>
            </w:tcBorders>
            <w:shd w:val="clear" w:color="auto" w:fill="FFFFFF"/>
            <w:vAlign w:val="bottom"/>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color w:val="000000"/>
                <w:sz w:val="18"/>
                <w:szCs w:val="18"/>
              </w:rPr>
              <w:t>Std. Deviation</w:t>
            </w:r>
          </w:p>
        </w:tc>
        <w:tc>
          <w:tcPr>
            <w:tcW w:w="1019" w:type="dxa"/>
            <w:tcBorders>
              <w:top w:val="single" w:sz="16" w:space="0" w:color="000000"/>
              <w:bottom w:val="single" w:sz="16" w:space="0" w:color="000000"/>
              <w:right w:val="single" w:sz="16" w:space="0" w:color="000000"/>
            </w:tcBorders>
            <w:shd w:val="clear" w:color="auto" w:fill="FFFFFF"/>
            <w:vAlign w:val="bottom"/>
          </w:tcPr>
          <w:p w:rsidR="00161E70" w:rsidRPr="00122EC5" w:rsidRDefault="00161E70" w:rsidP="00161E70">
            <w:pPr>
              <w:autoSpaceDE w:val="0"/>
              <w:autoSpaceDN w:val="0"/>
              <w:adjustRightInd w:val="0"/>
              <w:spacing w:line="240" w:lineRule="auto"/>
              <w:ind w:left="60" w:right="60"/>
              <w:jc w:val="center"/>
              <w:rPr>
                <w:rFonts w:ascii="Arial" w:hAnsi="Arial" w:cs="Arial"/>
                <w:color w:val="000000"/>
                <w:sz w:val="18"/>
                <w:szCs w:val="18"/>
              </w:rPr>
            </w:pPr>
            <w:r w:rsidRPr="00122EC5">
              <w:rPr>
                <w:rFonts w:ascii="Arial" w:hAnsi="Arial" w:cs="Arial"/>
                <w:color w:val="000000"/>
                <w:sz w:val="18"/>
                <w:szCs w:val="18"/>
              </w:rPr>
              <w:t>N</w:t>
            </w:r>
          </w:p>
        </w:tc>
      </w:tr>
      <w:tr w:rsidR="00161E70" w:rsidRPr="00122EC5" w:rsidTr="00581754">
        <w:trPr>
          <w:cantSplit/>
          <w:tblHeader/>
        </w:trPr>
        <w:tc>
          <w:tcPr>
            <w:tcW w:w="1971" w:type="dxa"/>
            <w:tcBorders>
              <w:top w:val="single" w:sz="16" w:space="0" w:color="000000"/>
              <w:left w:val="single" w:sz="16" w:space="0" w:color="000000"/>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Predicted Value</w:t>
            </w:r>
          </w:p>
        </w:tc>
        <w:tc>
          <w:tcPr>
            <w:tcW w:w="1264" w:type="dxa"/>
            <w:tcBorders>
              <w:top w:val="single" w:sz="16" w:space="0" w:color="000000"/>
              <w:left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27.9956</w:t>
            </w:r>
          </w:p>
        </w:tc>
        <w:tc>
          <w:tcPr>
            <w:tcW w:w="1201" w:type="dxa"/>
            <w:tcBorders>
              <w:top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127.2022</w:t>
            </w:r>
          </w:p>
        </w:tc>
        <w:tc>
          <w:tcPr>
            <w:tcW w:w="1019" w:type="dxa"/>
            <w:tcBorders>
              <w:top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80.4516</w:t>
            </w:r>
          </w:p>
        </w:tc>
        <w:tc>
          <w:tcPr>
            <w:tcW w:w="1440" w:type="dxa"/>
            <w:tcBorders>
              <w:top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29.57064</w:t>
            </w:r>
          </w:p>
        </w:tc>
        <w:tc>
          <w:tcPr>
            <w:tcW w:w="1019" w:type="dxa"/>
            <w:tcBorders>
              <w:top w:val="single" w:sz="16" w:space="0" w:color="000000"/>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31</w:t>
            </w:r>
          </w:p>
        </w:tc>
      </w:tr>
      <w:tr w:rsidR="00161E70" w:rsidRPr="00122EC5" w:rsidTr="00581754">
        <w:trPr>
          <w:cantSplit/>
          <w:tblHeader/>
        </w:trPr>
        <w:tc>
          <w:tcPr>
            <w:tcW w:w="1971" w:type="dxa"/>
            <w:tcBorders>
              <w:top w:val="nil"/>
              <w:left w:val="single" w:sz="16" w:space="0" w:color="000000"/>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Residual</w:t>
            </w:r>
          </w:p>
        </w:tc>
        <w:tc>
          <w:tcPr>
            <w:tcW w:w="1264" w:type="dxa"/>
            <w:tcBorders>
              <w:top w:val="nil"/>
              <w:left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-107.53355</w:t>
            </w:r>
          </w:p>
        </w:tc>
        <w:tc>
          <w:tcPr>
            <w:tcW w:w="1201"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185.11377</w:t>
            </w:r>
          </w:p>
        </w:tc>
        <w:tc>
          <w:tcPr>
            <w:tcW w:w="1019"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.00000</w:t>
            </w:r>
          </w:p>
        </w:tc>
        <w:tc>
          <w:tcPr>
            <w:tcW w:w="1440"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86.32516</w:t>
            </w:r>
          </w:p>
        </w:tc>
        <w:tc>
          <w:tcPr>
            <w:tcW w:w="1019" w:type="dxa"/>
            <w:tcBorders>
              <w:top w:val="nil"/>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31</w:t>
            </w:r>
          </w:p>
        </w:tc>
      </w:tr>
      <w:tr w:rsidR="00161E70" w:rsidRPr="00122EC5" w:rsidTr="00581754">
        <w:trPr>
          <w:cantSplit/>
          <w:tblHeader/>
        </w:trPr>
        <w:tc>
          <w:tcPr>
            <w:tcW w:w="1971" w:type="dxa"/>
            <w:tcBorders>
              <w:top w:val="nil"/>
              <w:left w:val="single" w:sz="16" w:space="0" w:color="000000"/>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Std. Predicted Value</w:t>
            </w:r>
          </w:p>
        </w:tc>
        <w:tc>
          <w:tcPr>
            <w:tcW w:w="1264" w:type="dxa"/>
            <w:tcBorders>
              <w:top w:val="nil"/>
              <w:left w:val="single" w:sz="16" w:space="0" w:color="000000"/>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-1,774</w:t>
            </w:r>
          </w:p>
        </w:tc>
        <w:tc>
          <w:tcPr>
            <w:tcW w:w="1201"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1,581</w:t>
            </w:r>
          </w:p>
        </w:tc>
        <w:tc>
          <w:tcPr>
            <w:tcW w:w="1019"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Pr>
                <w:rFonts w:ascii="Arial" w:hAnsi="Arial" w:cs="Arial"/>
                <w:color w:val="000000"/>
                <w:sz w:val="18"/>
                <w:szCs w:val="18"/>
              </w:rPr>
              <w:t>.</w:t>
            </w:r>
            <w:r w:rsidRPr="00122EC5">
              <w:rPr>
                <w:rFonts w:ascii="Arial" w:hAnsi="Arial" w:cs="Arial"/>
                <w:color w:val="000000"/>
                <w:sz w:val="18"/>
                <w:szCs w:val="18"/>
              </w:rPr>
              <w:t>000</w:t>
            </w:r>
          </w:p>
        </w:tc>
        <w:tc>
          <w:tcPr>
            <w:tcW w:w="1440" w:type="dxa"/>
            <w:tcBorders>
              <w:top w:val="nil"/>
              <w:bottom w:val="nil"/>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1,000</w:t>
            </w:r>
          </w:p>
        </w:tc>
        <w:tc>
          <w:tcPr>
            <w:tcW w:w="1019" w:type="dxa"/>
            <w:tcBorders>
              <w:top w:val="nil"/>
              <w:bottom w:val="nil"/>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31</w:t>
            </w:r>
          </w:p>
        </w:tc>
      </w:tr>
      <w:tr w:rsidR="00161E70" w:rsidRPr="00122EC5" w:rsidTr="00581754">
        <w:trPr>
          <w:cantSplit/>
          <w:tblHeader/>
        </w:trPr>
        <w:tc>
          <w:tcPr>
            <w:tcW w:w="1971" w:type="dxa"/>
            <w:tcBorders>
              <w:top w:val="nil"/>
              <w:left w:val="single" w:sz="16" w:space="0" w:color="000000"/>
              <w:bottom w:val="single" w:sz="16" w:space="0" w:color="000000"/>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Std. Residual</w:t>
            </w:r>
          </w:p>
        </w:tc>
        <w:tc>
          <w:tcPr>
            <w:tcW w:w="1264" w:type="dxa"/>
            <w:tcBorders>
              <w:top w:val="nil"/>
              <w:left w:val="single" w:sz="16" w:space="0" w:color="000000"/>
              <w:bottom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-1,182</w:t>
            </w:r>
          </w:p>
        </w:tc>
        <w:tc>
          <w:tcPr>
            <w:tcW w:w="1201" w:type="dxa"/>
            <w:tcBorders>
              <w:top w:val="nil"/>
              <w:bottom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2,034</w:t>
            </w:r>
          </w:p>
        </w:tc>
        <w:tc>
          <w:tcPr>
            <w:tcW w:w="1019" w:type="dxa"/>
            <w:tcBorders>
              <w:top w:val="nil"/>
              <w:bottom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Pr>
                <w:rFonts w:ascii="Arial" w:hAnsi="Arial" w:cs="Arial"/>
                <w:color w:val="000000"/>
                <w:sz w:val="18"/>
                <w:szCs w:val="18"/>
              </w:rPr>
              <w:t>.</w:t>
            </w:r>
            <w:r w:rsidRPr="00122EC5">
              <w:rPr>
                <w:rFonts w:ascii="Arial" w:hAnsi="Arial" w:cs="Arial"/>
                <w:color w:val="000000"/>
                <w:sz w:val="18"/>
                <w:szCs w:val="18"/>
              </w:rPr>
              <w:t>000</w:t>
            </w:r>
          </w:p>
        </w:tc>
        <w:tc>
          <w:tcPr>
            <w:tcW w:w="1440" w:type="dxa"/>
            <w:tcBorders>
              <w:top w:val="nil"/>
              <w:bottom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,949</w:t>
            </w:r>
          </w:p>
        </w:tc>
        <w:tc>
          <w:tcPr>
            <w:tcW w:w="1019" w:type="dxa"/>
            <w:tcBorders>
              <w:top w:val="nil"/>
              <w:bottom w:val="single" w:sz="16" w:space="0" w:color="000000"/>
              <w:right w:val="single" w:sz="16" w:space="0" w:color="000000"/>
            </w:tcBorders>
            <w:shd w:val="clear" w:color="auto" w:fill="FFFFFF"/>
          </w:tcPr>
          <w:p w:rsidR="00161E70" w:rsidRPr="00122EC5" w:rsidRDefault="00161E70" w:rsidP="00161E70">
            <w:pPr>
              <w:autoSpaceDE w:val="0"/>
              <w:autoSpaceDN w:val="0"/>
              <w:adjustRightInd w:val="0"/>
              <w:spacing w:line="240" w:lineRule="auto"/>
              <w:ind w:left="60" w:right="60"/>
              <w:jc w:val="right"/>
              <w:rPr>
                <w:rFonts w:ascii="Arial" w:hAnsi="Arial" w:cs="Arial"/>
                <w:color w:val="000000"/>
                <w:sz w:val="18"/>
                <w:szCs w:val="18"/>
              </w:rPr>
            </w:pPr>
            <w:r w:rsidRPr="00122EC5">
              <w:rPr>
                <w:rFonts w:ascii="Arial" w:hAnsi="Arial" w:cs="Arial"/>
                <w:color w:val="000000"/>
                <w:sz w:val="18"/>
                <w:szCs w:val="18"/>
              </w:rPr>
              <w:t>31</w:t>
            </w:r>
          </w:p>
        </w:tc>
      </w:tr>
      <w:tr w:rsidR="00161E70" w:rsidRPr="00122EC5" w:rsidTr="00581754">
        <w:trPr>
          <w:cantSplit/>
        </w:trPr>
        <w:tc>
          <w:tcPr>
            <w:tcW w:w="7914" w:type="dxa"/>
            <w:gridSpan w:val="6"/>
            <w:tcBorders>
              <w:top w:val="nil"/>
              <w:left w:val="nil"/>
              <w:bottom w:val="nil"/>
              <w:right w:val="nil"/>
            </w:tcBorders>
            <w:shd w:val="clear" w:color="auto" w:fill="FFFFFF"/>
          </w:tcPr>
          <w:p w:rsidR="00161E70" w:rsidRPr="00122EC5" w:rsidRDefault="00161E70" w:rsidP="00161E70">
            <w:pPr>
              <w:autoSpaceDE w:val="0"/>
              <w:autoSpaceDN w:val="0"/>
              <w:adjustRightInd w:val="0"/>
              <w:spacing w:line="240" w:lineRule="auto"/>
              <w:ind w:left="60" w:right="60"/>
              <w:rPr>
                <w:rFonts w:ascii="Arial" w:hAnsi="Arial" w:cs="Arial"/>
                <w:color w:val="000000"/>
                <w:sz w:val="18"/>
                <w:szCs w:val="18"/>
              </w:rPr>
            </w:pPr>
            <w:r w:rsidRPr="00122EC5">
              <w:rPr>
                <w:rFonts w:ascii="Arial" w:hAnsi="Arial" w:cs="Arial"/>
                <w:color w:val="000000"/>
                <w:sz w:val="18"/>
                <w:szCs w:val="18"/>
              </w:rPr>
              <w:t>a. Dependent Variable: aggregate</w:t>
            </w:r>
            <w:r>
              <w:rPr>
                <w:rFonts w:ascii="Arial" w:hAnsi="Arial" w:cs="Arial"/>
                <w:color w:val="000000"/>
                <w:sz w:val="18"/>
                <w:szCs w:val="18"/>
              </w:rPr>
              <w:t xml:space="preserve"> </w:t>
            </w:r>
            <w:r w:rsidRPr="00122EC5">
              <w:rPr>
                <w:rFonts w:ascii="Arial" w:hAnsi="Arial" w:cs="Arial"/>
                <w:color w:val="000000"/>
                <w:sz w:val="18"/>
                <w:szCs w:val="18"/>
              </w:rPr>
              <w:t>IS</w:t>
            </w:r>
          </w:p>
        </w:tc>
      </w:tr>
    </w:tbl>
    <w:p w:rsidR="00161E70" w:rsidRPr="00122EC5" w:rsidRDefault="00161E70" w:rsidP="00161E70">
      <w:pPr>
        <w:autoSpaceDE w:val="0"/>
        <w:autoSpaceDN w:val="0"/>
        <w:adjustRightInd w:val="0"/>
        <w:spacing w:line="240" w:lineRule="auto"/>
      </w:pPr>
    </w:p>
    <w:p w:rsidR="00161E70" w:rsidRDefault="00161E70" w:rsidP="00161E70"/>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161E70" w:rsidRDefault="00161E70" w:rsidP="00CC10E3">
      <w:pPr>
        <w:autoSpaceDE w:val="0"/>
        <w:autoSpaceDN w:val="0"/>
        <w:adjustRightInd w:val="0"/>
        <w:spacing w:after="0" w:line="360" w:lineRule="auto"/>
        <w:contextualSpacing/>
        <w:rPr>
          <w:rFonts w:ascii="Times New Roman" w:hAnsi="Times New Roman" w:cs="Times New Roman"/>
          <w:sz w:val="24"/>
          <w:szCs w:val="24"/>
        </w:rPr>
      </w:pPr>
    </w:p>
    <w:p w:rsidR="00CD71CC" w:rsidRPr="00351C17" w:rsidRDefault="00CD71CC" w:rsidP="00CD71CC">
      <w:pPr>
        <w:pStyle w:val="Heading4"/>
        <w:spacing w:line="240" w:lineRule="auto"/>
        <w:rPr>
          <w:rFonts w:ascii="Calibri" w:hAnsi="Calibri"/>
          <w:b/>
          <w:color w:val="990000"/>
        </w:rPr>
      </w:pPr>
      <w:bookmarkStart w:id="130" w:name="_Toc268669796"/>
      <w:r w:rsidRPr="00351C17">
        <w:rPr>
          <w:rFonts w:ascii="Calibri" w:hAnsi="Calibri"/>
          <w:b/>
          <w:color w:val="990000"/>
        </w:rPr>
        <w:lastRenderedPageBreak/>
        <w:t xml:space="preserve">Appendix </w:t>
      </w:r>
      <w:r w:rsidR="004B21BC">
        <w:rPr>
          <w:rFonts w:ascii="Calibri" w:hAnsi="Calibri"/>
          <w:b/>
          <w:color w:val="990000"/>
        </w:rPr>
        <w:t>F</w:t>
      </w:r>
      <w:r>
        <w:rPr>
          <w:rFonts w:ascii="Calibri" w:hAnsi="Calibri"/>
          <w:b/>
          <w:color w:val="990000"/>
        </w:rPr>
        <w:tab/>
        <w:t xml:space="preserve">Correlation Matrix </w:t>
      </w:r>
      <w:r w:rsidR="00A900E2">
        <w:rPr>
          <w:rFonts w:ascii="Calibri" w:hAnsi="Calibri"/>
          <w:b/>
          <w:color w:val="990000"/>
        </w:rPr>
        <w:t xml:space="preserve">and Model Summary </w:t>
      </w:r>
      <w:r>
        <w:rPr>
          <w:rFonts w:ascii="Calibri" w:hAnsi="Calibri"/>
          <w:b/>
          <w:color w:val="990000"/>
        </w:rPr>
        <w:t>Real Smoothing</w:t>
      </w:r>
      <w:bookmarkEnd w:id="130"/>
    </w:p>
    <w:p w:rsidR="00351C17" w:rsidRDefault="00351C17" w:rsidP="00C82AA3"/>
    <w:tbl>
      <w:tblPr>
        <w:tblpPr w:leftFromText="180" w:rightFromText="180" w:vertAnchor="text" w:horzAnchor="margin" w:tblpXSpec="center" w:tblpY="760"/>
        <w:tblW w:w="9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5"/>
        <w:gridCol w:w="2432"/>
        <w:gridCol w:w="1013"/>
        <w:gridCol w:w="1457"/>
        <w:gridCol w:w="1459"/>
        <w:gridCol w:w="1459"/>
      </w:tblGrid>
      <w:tr w:rsidR="00C82AA3" w:rsidRPr="006E2D91" w:rsidTr="00C82AA3">
        <w:trPr>
          <w:cantSplit/>
          <w:tblHeader/>
        </w:trPr>
        <w:tc>
          <w:tcPr>
            <w:tcW w:w="9795" w:type="dxa"/>
            <w:gridSpan w:val="6"/>
            <w:tcBorders>
              <w:top w:val="nil"/>
              <w:left w:val="nil"/>
              <w:bottom w:val="nil"/>
              <w:right w:val="nil"/>
            </w:tcBorders>
            <w:shd w:val="clear" w:color="auto" w:fill="FFFFFF"/>
            <w:vAlign w:val="center"/>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b/>
                <w:bCs/>
                <w:color w:val="000000"/>
                <w:sz w:val="18"/>
                <w:szCs w:val="18"/>
              </w:rPr>
              <w:t>Correlations</w:t>
            </w:r>
          </w:p>
        </w:tc>
      </w:tr>
      <w:tr w:rsidR="00C82AA3" w:rsidRPr="006E2D91" w:rsidTr="00C82AA3">
        <w:trPr>
          <w:cantSplit/>
          <w:tblHeader/>
        </w:trPr>
        <w:tc>
          <w:tcPr>
            <w:tcW w:w="440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C82AA3" w:rsidRPr="006E2D91" w:rsidRDefault="00C82AA3" w:rsidP="00351C17">
            <w:pPr>
              <w:autoSpaceDE w:val="0"/>
              <w:autoSpaceDN w:val="0"/>
              <w:adjustRightInd w:val="0"/>
              <w:spacing w:line="240" w:lineRule="auto"/>
              <w:jc w:val="center"/>
            </w:pPr>
          </w:p>
        </w:tc>
        <w:tc>
          <w:tcPr>
            <w:tcW w:w="1013" w:type="dxa"/>
            <w:tcBorders>
              <w:top w:val="single" w:sz="16" w:space="0" w:color="000000"/>
              <w:left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IS1</w:t>
            </w:r>
          </w:p>
        </w:tc>
        <w:tc>
          <w:tcPr>
            <w:tcW w:w="1457" w:type="dxa"/>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459" w:type="dxa"/>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459" w:type="dxa"/>
            <w:tcBorders>
              <w:top w:val="single" w:sz="16" w:space="0" w:color="000000"/>
              <w:bottom w:val="single" w:sz="16" w:space="0" w:color="000000"/>
              <w:right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Public</w:t>
            </w:r>
            <w:r>
              <w:rPr>
                <w:rFonts w:ascii="Arial" w:hAnsi="Arial" w:cs="Arial"/>
                <w:color w:val="000000"/>
                <w:sz w:val="18"/>
                <w:szCs w:val="18"/>
              </w:rPr>
              <w:t xml:space="preserve"> </w:t>
            </w:r>
            <w:r w:rsidRPr="006E2D91">
              <w:rPr>
                <w:rFonts w:ascii="Arial" w:hAnsi="Arial" w:cs="Arial"/>
                <w:color w:val="000000"/>
                <w:sz w:val="18"/>
                <w:szCs w:val="18"/>
              </w:rPr>
              <w:t>enforcement</w:t>
            </w:r>
          </w:p>
        </w:tc>
      </w:tr>
      <w:tr w:rsidR="00C82AA3" w:rsidRPr="006E2D91" w:rsidTr="00C82AA3">
        <w:trPr>
          <w:cantSplit/>
          <w:tblHeader/>
        </w:trPr>
        <w:tc>
          <w:tcPr>
            <w:tcW w:w="1975" w:type="dxa"/>
            <w:vMerge w:val="restart"/>
            <w:tcBorders>
              <w:top w:val="single" w:sz="16" w:space="0" w:color="000000"/>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Pearson Correlation</w:t>
            </w:r>
          </w:p>
        </w:tc>
        <w:tc>
          <w:tcPr>
            <w:tcW w:w="2432" w:type="dxa"/>
            <w:tcBorders>
              <w:top w:val="single" w:sz="16" w:space="0" w:color="000000"/>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IS1</w:t>
            </w:r>
          </w:p>
        </w:tc>
        <w:tc>
          <w:tcPr>
            <w:tcW w:w="1013" w:type="dxa"/>
            <w:tcBorders>
              <w:top w:val="single" w:sz="16" w:space="0" w:color="000000"/>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1.000</w:t>
            </w:r>
          </w:p>
        </w:tc>
        <w:tc>
          <w:tcPr>
            <w:tcW w:w="1457" w:type="dxa"/>
            <w:tcBorders>
              <w:top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.150</w:t>
            </w:r>
          </w:p>
        </w:tc>
        <w:tc>
          <w:tcPr>
            <w:tcW w:w="1459" w:type="dxa"/>
            <w:tcBorders>
              <w:top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.263</w:t>
            </w:r>
          </w:p>
        </w:tc>
        <w:tc>
          <w:tcPr>
            <w:tcW w:w="1459" w:type="dxa"/>
            <w:tcBorders>
              <w:top w:val="single" w:sz="16" w:space="0" w:color="000000"/>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.001</w:t>
            </w:r>
          </w:p>
        </w:tc>
      </w:tr>
      <w:tr w:rsidR="00C82AA3" w:rsidRPr="006E2D91"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.150</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1.000</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.540</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-.224</w:t>
            </w:r>
          </w:p>
        </w:tc>
      </w:tr>
      <w:tr w:rsidR="00C82AA3" w:rsidRPr="006E2D91"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.263</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.540</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1.000</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-.095</w:t>
            </w:r>
          </w:p>
        </w:tc>
      </w:tr>
      <w:tr w:rsidR="00C82AA3" w:rsidRPr="006E2D91"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Public</w:t>
            </w:r>
            <w:r>
              <w:rPr>
                <w:rFonts w:ascii="Arial" w:hAnsi="Arial" w:cs="Arial"/>
                <w:color w:val="000000"/>
                <w:sz w:val="18"/>
                <w:szCs w:val="18"/>
              </w:rPr>
              <w:t xml:space="preserve"> </w:t>
            </w:r>
            <w:r w:rsidRPr="006E2D91">
              <w:rPr>
                <w:rFonts w:ascii="Arial" w:hAnsi="Arial" w:cs="Arial"/>
                <w:color w:val="000000"/>
                <w:sz w:val="18"/>
                <w:szCs w:val="18"/>
              </w:rPr>
              <w:t>enforcement</w:t>
            </w:r>
          </w:p>
        </w:tc>
        <w:tc>
          <w:tcPr>
            <w:tcW w:w="1013" w:type="dxa"/>
            <w:tcBorders>
              <w:top w:val="nil"/>
              <w:lef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.001</w:t>
            </w:r>
          </w:p>
        </w:tc>
        <w:tc>
          <w:tcPr>
            <w:tcW w:w="1457" w:type="dxa"/>
            <w:tcBorders>
              <w:top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-.224</w:t>
            </w:r>
          </w:p>
        </w:tc>
        <w:tc>
          <w:tcPr>
            <w:tcW w:w="1459" w:type="dxa"/>
            <w:tcBorders>
              <w:top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-.095</w:t>
            </w:r>
          </w:p>
        </w:tc>
        <w:tc>
          <w:tcPr>
            <w:tcW w:w="1459" w:type="dxa"/>
            <w:tcBorders>
              <w:top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1.000</w:t>
            </w:r>
          </w:p>
        </w:tc>
      </w:tr>
      <w:tr w:rsidR="00C82AA3" w:rsidRPr="006E2D91" w:rsidTr="00C82AA3">
        <w:trPr>
          <w:cantSplit/>
          <w:tblHeader/>
        </w:trPr>
        <w:tc>
          <w:tcPr>
            <w:tcW w:w="1975" w:type="dxa"/>
            <w:vMerge w:val="restart"/>
            <w:tcBorders>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Sig. (1-tailed)</w:t>
            </w:r>
          </w:p>
        </w:tc>
        <w:tc>
          <w:tcPr>
            <w:tcW w:w="2432" w:type="dxa"/>
            <w:tcBorders>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IS1</w:t>
            </w:r>
          </w:p>
        </w:tc>
        <w:tc>
          <w:tcPr>
            <w:tcW w:w="1013" w:type="dxa"/>
            <w:tcBorders>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w:t>
            </w:r>
          </w:p>
        </w:tc>
        <w:tc>
          <w:tcPr>
            <w:tcW w:w="1457" w:type="dxa"/>
            <w:tcBorders>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.211</w:t>
            </w:r>
          </w:p>
        </w:tc>
        <w:tc>
          <w:tcPr>
            <w:tcW w:w="1459" w:type="dxa"/>
            <w:tcBorders>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.077</w:t>
            </w:r>
          </w:p>
        </w:tc>
        <w:tc>
          <w:tcPr>
            <w:tcW w:w="1459" w:type="dxa"/>
            <w:tcBorders>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.498</w:t>
            </w:r>
          </w:p>
        </w:tc>
      </w:tr>
      <w:tr w:rsidR="00C82AA3" w:rsidRPr="006E2D91" w:rsidTr="00C82AA3">
        <w:trPr>
          <w:cantSplit/>
          <w:tblHeader/>
        </w:trPr>
        <w:tc>
          <w:tcPr>
            <w:tcW w:w="1975" w:type="dxa"/>
            <w:vMerge/>
            <w:tcBorders>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.211</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.001</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.113</w:t>
            </w:r>
          </w:p>
        </w:tc>
      </w:tr>
      <w:tr w:rsidR="00C82AA3" w:rsidRPr="006E2D91" w:rsidTr="00C82AA3">
        <w:trPr>
          <w:cantSplit/>
          <w:tblHeader/>
        </w:trPr>
        <w:tc>
          <w:tcPr>
            <w:tcW w:w="1975" w:type="dxa"/>
            <w:vMerge/>
            <w:tcBorders>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.077</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.001</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.306</w:t>
            </w:r>
          </w:p>
        </w:tc>
      </w:tr>
      <w:tr w:rsidR="00C82AA3" w:rsidRPr="006E2D91" w:rsidTr="00C82AA3">
        <w:trPr>
          <w:cantSplit/>
          <w:tblHeader/>
        </w:trPr>
        <w:tc>
          <w:tcPr>
            <w:tcW w:w="1975" w:type="dxa"/>
            <w:vMerge/>
            <w:tcBorders>
              <w:left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Public</w:t>
            </w:r>
            <w:r>
              <w:rPr>
                <w:rFonts w:ascii="Arial" w:hAnsi="Arial" w:cs="Arial"/>
                <w:color w:val="000000"/>
                <w:sz w:val="18"/>
                <w:szCs w:val="18"/>
              </w:rPr>
              <w:t xml:space="preserve"> </w:t>
            </w:r>
            <w:r w:rsidRPr="006E2D91">
              <w:rPr>
                <w:rFonts w:ascii="Arial" w:hAnsi="Arial" w:cs="Arial"/>
                <w:color w:val="000000"/>
                <w:sz w:val="18"/>
                <w:szCs w:val="18"/>
              </w:rPr>
              <w:t>enforcement</w:t>
            </w:r>
          </w:p>
        </w:tc>
        <w:tc>
          <w:tcPr>
            <w:tcW w:w="1013" w:type="dxa"/>
            <w:tcBorders>
              <w:top w:val="nil"/>
              <w:lef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.498</w:t>
            </w:r>
          </w:p>
        </w:tc>
        <w:tc>
          <w:tcPr>
            <w:tcW w:w="1457" w:type="dxa"/>
            <w:tcBorders>
              <w:top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.113</w:t>
            </w:r>
          </w:p>
        </w:tc>
        <w:tc>
          <w:tcPr>
            <w:tcW w:w="1459" w:type="dxa"/>
            <w:tcBorders>
              <w:top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.306</w:t>
            </w:r>
          </w:p>
        </w:tc>
        <w:tc>
          <w:tcPr>
            <w:tcW w:w="1459" w:type="dxa"/>
            <w:tcBorders>
              <w:top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w:t>
            </w:r>
          </w:p>
        </w:tc>
      </w:tr>
      <w:tr w:rsidR="00C82AA3" w:rsidRPr="006E2D91" w:rsidTr="00C82AA3">
        <w:trPr>
          <w:cantSplit/>
          <w:tblHeader/>
        </w:trPr>
        <w:tc>
          <w:tcPr>
            <w:tcW w:w="1975" w:type="dxa"/>
            <w:vMerge w:val="restart"/>
            <w:tcBorders>
              <w:left w:val="single" w:sz="16" w:space="0" w:color="000000"/>
              <w:bottom w:val="single" w:sz="16" w:space="0" w:color="000000"/>
              <w:right w:val="nil"/>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N</w:t>
            </w:r>
          </w:p>
        </w:tc>
        <w:tc>
          <w:tcPr>
            <w:tcW w:w="2432" w:type="dxa"/>
            <w:tcBorders>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IS1</w:t>
            </w:r>
          </w:p>
        </w:tc>
        <w:tc>
          <w:tcPr>
            <w:tcW w:w="1013" w:type="dxa"/>
            <w:tcBorders>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7" w:type="dxa"/>
            <w:tcBorders>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r>
      <w:tr w:rsidR="00C82AA3" w:rsidRPr="006E2D91" w:rsidTr="00C82AA3">
        <w:trPr>
          <w:cantSplit/>
          <w:tblHeader/>
        </w:trPr>
        <w:tc>
          <w:tcPr>
            <w:tcW w:w="1975" w:type="dxa"/>
            <w:vMerge/>
            <w:tcBorders>
              <w:left w:val="single" w:sz="16" w:space="0" w:color="000000"/>
              <w:bottom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r>
      <w:tr w:rsidR="00C82AA3" w:rsidRPr="006E2D91" w:rsidTr="00C82AA3">
        <w:trPr>
          <w:cantSplit/>
          <w:tblHeader/>
        </w:trPr>
        <w:tc>
          <w:tcPr>
            <w:tcW w:w="1975" w:type="dxa"/>
            <w:vMerge/>
            <w:tcBorders>
              <w:left w:val="single" w:sz="16" w:space="0" w:color="000000"/>
              <w:bottom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7"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r>
      <w:tr w:rsidR="00C82AA3" w:rsidRPr="006E2D91" w:rsidTr="00C82AA3">
        <w:trPr>
          <w:cantSplit/>
        </w:trPr>
        <w:tc>
          <w:tcPr>
            <w:tcW w:w="1975" w:type="dxa"/>
            <w:vMerge/>
            <w:tcBorders>
              <w:left w:val="single" w:sz="16" w:space="0" w:color="000000"/>
              <w:bottom w:val="single" w:sz="16" w:space="0" w:color="000000"/>
              <w:right w:val="nil"/>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Public</w:t>
            </w:r>
            <w:r>
              <w:rPr>
                <w:rFonts w:ascii="Arial" w:hAnsi="Arial" w:cs="Arial"/>
                <w:color w:val="000000"/>
                <w:sz w:val="18"/>
                <w:szCs w:val="18"/>
              </w:rPr>
              <w:t xml:space="preserve"> </w:t>
            </w:r>
            <w:r w:rsidRPr="006E2D91">
              <w:rPr>
                <w:rFonts w:ascii="Arial" w:hAnsi="Arial" w:cs="Arial"/>
                <w:color w:val="000000"/>
                <w:sz w:val="18"/>
                <w:szCs w:val="18"/>
              </w:rPr>
              <w:t>enforcement</w:t>
            </w:r>
          </w:p>
        </w:tc>
        <w:tc>
          <w:tcPr>
            <w:tcW w:w="1013" w:type="dxa"/>
            <w:tcBorders>
              <w:top w:val="nil"/>
              <w:left w:val="single" w:sz="16" w:space="0" w:color="000000"/>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7" w:type="dxa"/>
            <w:tcBorders>
              <w:top w:val="nil"/>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c>
          <w:tcPr>
            <w:tcW w:w="1459" w:type="dxa"/>
            <w:tcBorders>
              <w:top w:val="nil"/>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31</w:t>
            </w:r>
          </w:p>
        </w:tc>
      </w:tr>
    </w:tbl>
    <w:p w:rsidR="00C82AA3" w:rsidRPr="006E2D91" w:rsidRDefault="00C82AA3" w:rsidP="00351C17">
      <w:pPr>
        <w:autoSpaceDE w:val="0"/>
        <w:autoSpaceDN w:val="0"/>
        <w:adjustRightInd w:val="0"/>
        <w:spacing w:line="240" w:lineRule="auto"/>
      </w:pPr>
    </w:p>
    <w:p w:rsidR="00C82AA3" w:rsidRPr="006E2D91" w:rsidRDefault="00C82AA3" w:rsidP="00C82AA3">
      <w:pPr>
        <w:autoSpaceDE w:val="0"/>
        <w:autoSpaceDN w:val="0"/>
        <w:adjustRightInd w:val="0"/>
        <w:spacing w:line="240" w:lineRule="auto"/>
      </w:pPr>
    </w:p>
    <w:p w:rsidR="00C82AA3" w:rsidRDefault="00C82AA3" w:rsidP="00C82AA3">
      <w:pPr>
        <w:spacing w:line="240" w:lineRule="auto"/>
      </w:pPr>
    </w:p>
    <w:p w:rsidR="00C82AA3" w:rsidRPr="006E2D91" w:rsidRDefault="00C82AA3" w:rsidP="00351C17">
      <w:pPr>
        <w:autoSpaceDE w:val="0"/>
        <w:autoSpaceDN w:val="0"/>
        <w:adjustRightInd w:val="0"/>
        <w:spacing w:line="240" w:lineRule="auto"/>
        <w:ind w:left="60" w:right="60"/>
        <w:jc w:val="center"/>
      </w:pPr>
      <w:r w:rsidRPr="006E2D91">
        <w:rPr>
          <w:rFonts w:ascii="Arial" w:hAnsi="Arial" w:cs="Arial"/>
          <w:b/>
          <w:bCs/>
          <w:color w:val="000000"/>
          <w:sz w:val="18"/>
          <w:szCs w:val="18"/>
        </w:rPr>
        <w:t>Model Summary</w:t>
      </w:r>
    </w:p>
    <w:tbl>
      <w:tblPr>
        <w:tblpPr w:leftFromText="180" w:rightFromText="180" w:vertAnchor="text" w:horzAnchor="margin" w:tblpXSpec="center" w:tblpY="20"/>
        <w:tblW w:w="629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5"/>
        <w:gridCol w:w="630"/>
        <w:gridCol w:w="644"/>
        <w:gridCol w:w="824"/>
        <w:gridCol w:w="990"/>
        <w:gridCol w:w="1350"/>
        <w:gridCol w:w="1799"/>
      </w:tblGrid>
      <w:tr w:rsidR="00C82AA3" w:rsidRPr="006E2D91" w:rsidTr="00C82AA3">
        <w:trPr>
          <w:cantSplit/>
          <w:trHeight w:val="438"/>
          <w:tblHeader/>
        </w:trPr>
        <w:tc>
          <w:tcPr>
            <w:tcW w:w="685"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Model</w:t>
            </w:r>
          </w:p>
        </w:tc>
        <w:tc>
          <w:tcPr>
            <w:tcW w:w="644" w:type="dxa"/>
            <w:vMerge w:val="restart"/>
            <w:tcBorders>
              <w:top w:val="single" w:sz="16" w:space="0" w:color="000000"/>
              <w:left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R</w:t>
            </w:r>
          </w:p>
        </w:tc>
        <w:tc>
          <w:tcPr>
            <w:tcW w:w="824" w:type="dxa"/>
            <w:vMerge w:val="restart"/>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R Square</w:t>
            </w:r>
          </w:p>
        </w:tc>
        <w:tc>
          <w:tcPr>
            <w:tcW w:w="990" w:type="dxa"/>
            <w:vMerge w:val="restart"/>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Adjusted R Square</w:t>
            </w:r>
          </w:p>
        </w:tc>
        <w:tc>
          <w:tcPr>
            <w:tcW w:w="1350" w:type="dxa"/>
            <w:vMerge w:val="restart"/>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Std. Error of the Estimate</w:t>
            </w:r>
          </w:p>
        </w:tc>
        <w:tc>
          <w:tcPr>
            <w:tcW w:w="1799" w:type="dxa"/>
            <w:vMerge w:val="restart"/>
            <w:tcBorders>
              <w:top w:val="single" w:sz="16" w:space="0" w:color="000000"/>
              <w:bottom w:val="single" w:sz="16" w:space="0" w:color="000000"/>
              <w:right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ind w:left="60" w:right="60"/>
              <w:jc w:val="center"/>
              <w:rPr>
                <w:rFonts w:ascii="Arial" w:hAnsi="Arial" w:cs="Arial"/>
                <w:color w:val="000000"/>
                <w:sz w:val="18"/>
                <w:szCs w:val="18"/>
              </w:rPr>
            </w:pPr>
            <w:r w:rsidRPr="006E2D91">
              <w:rPr>
                <w:rFonts w:ascii="Arial" w:hAnsi="Arial" w:cs="Arial"/>
                <w:color w:val="000000"/>
                <w:sz w:val="18"/>
                <w:szCs w:val="18"/>
              </w:rPr>
              <w:t>Durbin-Watson</w:t>
            </w:r>
          </w:p>
        </w:tc>
      </w:tr>
      <w:tr w:rsidR="00C82AA3" w:rsidRPr="006E2D91" w:rsidTr="00C82AA3">
        <w:trPr>
          <w:cantSplit/>
          <w:trHeight w:val="438"/>
          <w:tblHeader/>
        </w:trPr>
        <w:tc>
          <w:tcPr>
            <w:tcW w:w="685"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644" w:type="dxa"/>
            <w:vMerge/>
            <w:tcBorders>
              <w:top w:val="single" w:sz="16" w:space="0" w:color="000000"/>
              <w:left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824" w:type="dxa"/>
            <w:vMerge/>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990" w:type="dxa"/>
            <w:vMerge/>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1350" w:type="dxa"/>
            <w:vMerge/>
            <w:tcBorders>
              <w:top w:val="single" w:sz="16" w:space="0" w:color="000000"/>
              <w:bottom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c>
          <w:tcPr>
            <w:tcW w:w="1799" w:type="dxa"/>
            <w:vMerge/>
            <w:tcBorders>
              <w:top w:val="single" w:sz="16" w:space="0" w:color="000000"/>
              <w:bottom w:val="single" w:sz="16" w:space="0" w:color="000000"/>
              <w:right w:val="single" w:sz="16" w:space="0" w:color="000000"/>
            </w:tcBorders>
            <w:shd w:val="clear" w:color="auto" w:fill="FFFFFF"/>
            <w:vAlign w:val="bottom"/>
          </w:tcPr>
          <w:p w:rsidR="00C82AA3" w:rsidRPr="006E2D91" w:rsidRDefault="00C82AA3" w:rsidP="00351C17">
            <w:pPr>
              <w:autoSpaceDE w:val="0"/>
              <w:autoSpaceDN w:val="0"/>
              <w:adjustRightInd w:val="0"/>
              <w:spacing w:line="240" w:lineRule="auto"/>
              <w:rPr>
                <w:rFonts w:ascii="Arial" w:hAnsi="Arial" w:cs="Arial"/>
                <w:color w:val="000000"/>
                <w:sz w:val="18"/>
                <w:szCs w:val="18"/>
              </w:rPr>
            </w:pPr>
          </w:p>
        </w:tc>
      </w:tr>
      <w:tr w:rsidR="00C82AA3" w:rsidRPr="006E2D91" w:rsidTr="00C82AA3">
        <w:trPr>
          <w:cantSplit/>
          <w:trHeight w:val="273"/>
          <w:tblHeader/>
        </w:trPr>
        <w:tc>
          <w:tcPr>
            <w:tcW w:w="55" w:type="dxa"/>
            <w:vMerge w:val="restart"/>
            <w:tcBorders>
              <w:top w:val="single" w:sz="16" w:space="0" w:color="000000"/>
              <w:left w:val="single" w:sz="16" w:space="0" w:color="000000"/>
              <w:bottom w:val="single" w:sz="16" w:space="0" w:color="000000"/>
              <w:right w:val="nil"/>
            </w:tcBorders>
            <w:shd w:val="clear" w:color="auto" w:fill="FFFFFF"/>
            <w:vAlign w:val="center"/>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2"/>
                <w:szCs w:val="2"/>
              </w:rPr>
            </w:pPr>
            <w:r w:rsidRPr="006E2D91">
              <w:rPr>
                <w:rFonts w:ascii="Arial" w:hAnsi="Arial" w:cs="Arial"/>
                <w:color w:val="000000"/>
                <w:sz w:val="2"/>
                <w:szCs w:val="2"/>
              </w:rPr>
              <w:t>dimension0</w:t>
            </w:r>
          </w:p>
        </w:tc>
        <w:tc>
          <w:tcPr>
            <w:tcW w:w="630" w:type="dxa"/>
            <w:tcBorders>
              <w:top w:val="single" w:sz="16" w:space="0" w:color="000000"/>
              <w:left w:val="nil"/>
              <w:bottom w:val="nil"/>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1</w:t>
            </w:r>
          </w:p>
        </w:tc>
        <w:tc>
          <w:tcPr>
            <w:tcW w:w="644" w:type="dxa"/>
            <w:tcBorders>
              <w:top w:val="single" w:sz="16" w:space="0" w:color="000000"/>
              <w:left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.263</w:t>
            </w:r>
            <w:r w:rsidRPr="006E2D91">
              <w:rPr>
                <w:rFonts w:ascii="Arial" w:hAnsi="Arial" w:cs="Arial"/>
                <w:color w:val="000000"/>
                <w:sz w:val="18"/>
                <w:szCs w:val="18"/>
                <w:vertAlign w:val="superscript"/>
              </w:rPr>
              <w:t>a</w:t>
            </w:r>
          </w:p>
        </w:tc>
        <w:tc>
          <w:tcPr>
            <w:tcW w:w="824" w:type="dxa"/>
            <w:tcBorders>
              <w:top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.069</w:t>
            </w:r>
          </w:p>
        </w:tc>
        <w:tc>
          <w:tcPr>
            <w:tcW w:w="990" w:type="dxa"/>
            <w:tcBorders>
              <w:top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.003</w:t>
            </w:r>
          </w:p>
        </w:tc>
        <w:tc>
          <w:tcPr>
            <w:tcW w:w="1350" w:type="dxa"/>
            <w:tcBorders>
              <w:top w:val="single" w:sz="16" w:space="0" w:color="000000"/>
              <w:bottom w:val="nil"/>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.13819</w:t>
            </w:r>
          </w:p>
        </w:tc>
        <w:tc>
          <w:tcPr>
            <w:tcW w:w="1799" w:type="dxa"/>
            <w:tcBorders>
              <w:top w:val="single" w:sz="16" w:space="0" w:color="000000"/>
              <w:bottom w:val="nil"/>
              <w:right w:val="single" w:sz="16" w:space="0" w:color="000000"/>
            </w:tcBorders>
            <w:shd w:val="clear" w:color="auto" w:fill="FFFFFF"/>
            <w:vAlign w:val="center"/>
          </w:tcPr>
          <w:p w:rsidR="00C82AA3" w:rsidRPr="006E2D91" w:rsidRDefault="00C82AA3" w:rsidP="00351C17">
            <w:pPr>
              <w:autoSpaceDE w:val="0"/>
              <w:autoSpaceDN w:val="0"/>
              <w:adjustRightInd w:val="0"/>
              <w:spacing w:line="240" w:lineRule="auto"/>
              <w:jc w:val="center"/>
            </w:pPr>
          </w:p>
        </w:tc>
      </w:tr>
      <w:tr w:rsidR="00C82AA3" w:rsidRPr="006E2D91" w:rsidTr="00C82AA3">
        <w:trPr>
          <w:cantSplit/>
          <w:trHeight w:val="145"/>
          <w:tblHeader/>
        </w:trPr>
        <w:tc>
          <w:tcPr>
            <w:tcW w:w="55" w:type="dxa"/>
            <w:vMerge/>
            <w:tcBorders>
              <w:top w:val="single" w:sz="16" w:space="0" w:color="000000"/>
              <w:left w:val="single" w:sz="16" w:space="0" w:color="000000"/>
              <w:bottom w:val="single" w:sz="16" w:space="0" w:color="000000"/>
              <w:right w:val="nil"/>
            </w:tcBorders>
            <w:shd w:val="clear" w:color="auto" w:fill="FFFFFF"/>
            <w:vAlign w:val="center"/>
          </w:tcPr>
          <w:p w:rsidR="00C82AA3" w:rsidRPr="006E2D91" w:rsidRDefault="00C82AA3" w:rsidP="00351C17">
            <w:pPr>
              <w:autoSpaceDE w:val="0"/>
              <w:autoSpaceDN w:val="0"/>
              <w:adjustRightInd w:val="0"/>
              <w:spacing w:line="240" w:lineRule="auto"/>
            </w:pPr>
          </w:p>
        </w:tc>
        <w:tc>
          <w:tcPr>
            <w:tcW w:w="630" w:type="dxa"/>
            <w:tcBorders>
              <w:top w:val="nil"/>
              <w:left w:val="nil"/>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rPr>
                <w:rFonts w:ascii="Arial" w:hAnsi="Arial" w:cs="Arial"/>
                <w:color w:val="000000"/>
                <w:sz w:val="18"/>
                <w:szCs w:val="18"/>
              </w:rPr>
            </w:pPr>
            <w:r w:rsidRPr="006E2D91">
              <w:rPr>
                <w:rFonts w:ascii="Arial" w:hAnsi="Arial" w:cs="Arial"/>
                <w:color w:val="000000"/>
                <w:sz w:val="18"/>
                <w:szCs w:val="18"/>
              </w:rPr>
              <w:t>2</w:t>
            </w:r>
          </w:p>
        </w:tc>
        <w:tc>
          <w:tcPr>
            <w:tcW w:w="644" w:type="dxa"/>
            <w:tcBorders>
              <w:top w:val="nil"/>
              <w:left w:val="single" w:sz="16" w:space="0" w:color="000000"/>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.265</w:t>
            </w:r>
            <w:r w:rsidRPr="006E2D91">
              <w:rPr>
                <w:rFonts w:ascii="Arial" w:hAnsi="Arial" w:cs="Arial"/>
                <w:color w:val="000000"/>
                <w:sz w:val="18"/>
                <w:szCs w:val="18"/>
                <w:vertAlign w:val="superscript"/>
              </w:rPr>
              <w:t>b</w:t>
            </w:r>
          </w:p>
        </w:tc>
        <w:tc>
          <w:tcPr>
            <w:tcW w:w="824" w:type="dxa"/>
            <w:tcBorders>
              <w:top w:val="nil"/>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.070</w:t>
            </w:r>
          </w:p>
        </w:tc>
        <w:tc>
          <w:tcPr>
            <w:tcW w:w="990" w:type="dxa"/>
            <w:tcBorders>
              <w:top w:val="nil"/>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-.033</w:t>
            </w:r>
          </w:p>
        </w:tc>
        <w:tc>
          <w:tcPr>
            <w:tcW w:w="1350" w:type="dxa"/>
            <w:tcBorders>
              <w:top w:val="nil"/>
              <w:bottom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sidRPr="006E2D91">
              <w:rPr>
                <w:rFonts w:ascii="Arial" w:hAnsi="Arial" w:cs="Arial"/>
                <w:color w:val="000000"/>
                <w:sz w:val="18"/>
                <w:szCs w:val="18"/>
              </w:rPr>
              <w:t>.14067</w:t>
            </w:r>
          </w:p>
        </w:tc>
        <w:tc>
          <w:tcPr>
            <w:tcW w:w="1799" w:type="dxa"/>
            <w:tcBorders>
              <w:top w:val="nil"/>
              <w:bottom w:val="single" w:sz="16" w:space="0" w:color="000000"/>
              <w:right w:val="single" w:sz="16" w:space="0" w:color="000000"/>
            </w:tcBorders>
            <w:shd w:val="clear" w:color="auto" w:fill="FFFFFF"/>
          </w:tcPr>
          <w:p w:rsidR="00C82AA3" w:rsidRPr="006E2D91" w:rsidRDefault="00C82AA3" w:rsidP="00351C17">
            <w:pPr>
              <w:autoSpaceDE w:val="0"/>
              <w:autoSpaceDN w:val="0"/>
              <w:adjustRightInd w:val="0"/>
              <w:spacing w:line="240" w:lineRule="auto"/>
              <w:ind w:left="60" w:right="60"/>
              <w:jc w:val="right"/>
              <w:rPr>
                <w:rFonts w:ascii="Arial" w:hAnsi="Arial" w:cs="Arial"/>
                <w:color w:val="000000"/>
                <w:sz w:val="18"/>
                <w:szCs w:val="18"/>
              </w:rPr>
            </w:pPr>
            <w:r>
              <w:rPr>
                <w:rFonts w:ascii="Arial" w:hAnsi="Arial" w:cs="Arial"/>
                <w:color w:val="000000"/>
                <w:sz w:val="18"/>
                <w:szCs w:val="18"/>
              </w:rPr>
              <w:t>1</w:t>
            </w:r>
            <w:r w:rsidRPr="006E2D91">
              <w:rPr>
                <w:rFonts w:ascii="Arial" w:hAnsi="Arial" w:cs="Arial"/>
                <w:color w:val="000000"/>
                <w:sz w:val="18"/>
                <w:szCs w:val="18"/>
              </w:rPr>
              <w:t>.887</w:t>
            </w:r>
          </w:p>
        </w:tc>
      </w:tr>
    </w:tbl>
    <w:p w:rsidR="00C82AA3" w:rsidRPr="006E2D91" w:rsidRDefault="00C82AA3" w:rsidP="00351C17">
      <w:pPr>
        <w:autoSpaceDE w:val="0"/>
        <w:autoSpaceDN w:val="0"/>
        <w:adjustRightInd w:val="0"/>
        <w:spacing w:line="240" w:lineRule="auto"/>
      </w:pPr>
    </w:p>
    <w:tbl>
      <w:tblPr>
        <w:tblW w:w="8951" w:type="dxa"/>
        <w:tblInd w:w="5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951"/>
      </w:tblGrid>
      <w:tr w:rsidR="00C82AA3" w:rsidRPr="006E2D91" w:rsidTr="00C82AA3">
        <w:trPr>
          <w:cantSplit/>
          <w:trHeight w:val="204"/>
          <w:tblHeader/>
        </w:trPr>
        <w:tc>
          <w:tcPr>
            <w:tcW w:w="8951" w:type="dxa"/>
            <w:tcBorders>
              <w:top w:val="nil"/>
              <w:left w:val="nil"/>
              <w:bottom w:val="nil"/>
              <w:right w:val="nil"/>
            </w:tcBorders>
            <w:shd w:val="clear" w:color="auto" w:fill="FFFFFF"/>
          </w:tcPr>
          <w:p w:rsidR="00C82AA3" w:rsidRPr="006E2D91" w:rsidRDefault="00C82AA3" w:rsidP="00351C17">
            <w:pPr>
              <w:autoSpaceDE w:val="0"/>
              <w:autoSpaceDN w:val="0"/>
              <w:adjustRightInd w:val="0"/>
              <w:spacing w:line="240" w:lineRule="auto"/>
              <w:ind w:left="58" w:right="58"/>
              <w:contextualSpacing/>
              <w:rPr>
                <w:rFonts w:ascii="Arial" w:hAnsi="Arial" w:cs="Arial"/>
                <w:color w:val="000000"/>
                <w:sz w:val="18"/>
                <w:szCs w:val="18"/>
              </w:rPr>
            </w:pPr>
            <w:r w:rsidRPr="006E2D91">
              <w:rPr>
                <w:rFonts w:ascii="Arial" w:hAnsi="Arial" w:cs="Arial"/>
                <w:color w:val="000000"/>
                <w:sz w:val="18"/>
                <w:szCs w:val="18"/>
              </w:rPr>
              <w:t>a. Predictors: (Constant), 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 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w:t>
            </w:r>
          </w:p>
        </w:tc>
      </w:tr>
      <w:tr w:rsidR="00C82AA3" w:rsidRPr="006E2D91" w:rsidTr="00C82AA3">
        <w:trPr>
          <w:cantSplit/>
          <w:trHeight w:val="220"/>
          <w:tblHeader/>
        </w:trPr>
        <w:tc>
          <w:tcPr>
            <w:tcW w:w="8951" w:type="dxa"/>
            <w:tcBorders>
              <w:top w:val="nil"/>
              <w:left w:val="nil"/>
              <w:bottom w:val="nil"/>
              <w:right w:val="nil"/>
            </w:tcBorders>
            <w:shd w:val="clear" w:color="auto" w:fill="FFFFFF"/>
          </w:tcPr>
          <w:p w:rsidR="00C82AA3" w:rsidRPr="006E2D91" w:rsidRDefault="00C82AA3" w:rsidP="00351C17">
            <w:pPr>
              <w:autoSpaceDE w:val="0"/>
              <w:autoSpaceDN w:val="0"/>
              <w:adjustRightInd w:val="0"/>
              <w:spacing w:line="240" w:lineRule="auto"/>
              <w:ind w:left="58" w:right="58"/>
              <w:contextualSpacing/>
              <w:rPr>
                <w:rFonts w:ascii="Arial" w:hAnsi="Arial" w:cs="Arial"/>
                <w:color w:val="000000"/>
                <w:sz w:val="18"/>
                <w:szCs w:val="18"/>
              </w:rPr>
            </w:pPr>
            <w:r w:rsidRPr="006E2D91">
              <w:rPr>
                <w:rFonts w:ascii="Arial" w:hAnsi="Arial" w:cs="Arial"/>
                <w:color w:val="000000"/>
                <w:sz w:val="18"/>
                <w:szCs w:val="18"/>
              </w:rPr>
              <w:t>b. Predictors: (Constant), ex</w:t>
            </w:r>
            <w:r>
              <w:rPr>
                <w:rFonts w:ascii="Arial" w:hAnsi="Arial" w:cs="Arial"/>
                <w:color w:val="000000"/>
                <w:sz w:val="18"/>
                <w:szCs w:val="18"/>
              </w:rPr>
              <w:t xml:space="preserve"> </w:t>
            </w:r>
            <w:r w:rsidRPr="006E2D91">
              <w:rPr>
                <w:rFonts w:ascii="Arial" w:hAnsi="Arial" w:cs="Arial"/>
                <w:color w:val="000000"/>
                <w:sz w:val="18"/>
                <w:szCs w:val="18"/>
              </w:rPr>
              <w:t>post</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w:t>
            </w:r>
            <w:r w:rsidRPr="006E2D91">
              <w:rPr>
                <w:rFonts w:ascii="Arial" w:hAnsi="Arial" w:cs="Arial"/>
                <w:color w:val="000000"/>
                <w:sz w:val="18"/>
                <w:szCs w:val="18"/>
              </w:rPr>
              <w:t>dealing, ex</w:t>
            </w:r>
            <w:r>
              <w:rPr>
                <w:rFonts w:ascii="Arial" w:hAnsi="Arial" w:cs="Arial"/>
                <w:color w:val="000000"/>
                <w:sz w:val="18"/>
                <w:szCs w:val="18"/>
              </w:rPr>
              <w:t xml:space="preserve"> </w:t>
            </w:r>
            <w:r w:rsidRPr="006E2D91">
              <w:rPr>
                <w:rFonts w:ascii="Arial" w:hAnsi="Arial" w:cs="Arial"/>
                <w:color w:val="000000"/>
                <w:sz w:val="18"/>
                <w:szCs w:val="18"/>
              </w:rPr>
              <w:t>ante</w:t>
            </w:r>
            <w:r>
              <w:rPr>
                <w:rFonts w:ascii="Arial" w:hAnsi="Arial" w:cs="Arial"/>
                <w:color w:val="000000"/>
                <w:sz w:val="18"/>
                <w:szCs w:val="18"/>
              </w:rPr>
              <w:t xml:space="preserve"> </w:t>
            </w:r>
            <w:r w:rsidRPr="006E2D91">
              <w:rPr>
                <w:rFonts w:ascii="Arial" w:hAnsi="Arial" w:cs="Arial"/>
                <w:color w:val="000000"/>
                <w:sz w:val="18"/>
                <w:szCs w:val="18"/>
              </w:rPr>
              <w:t>private</w:t>
            </w:r>
            <w:r>
              <w:rPr>
                <w:rFonts w:ascii="Arial" w:hAnsi="Arial" w:cs="Arial"/>
                <w:color w:val="000000"/>
                <w:sz w:val="18"/>
                <w:szCs w:val="18"/>
              </w:rPr>
              <w:t xml:space="preserve"> </w:t>
            </w:r>
            <w:r w:rsidRPr="006E2D91">
              <w:rPr>
                <w:rFonts w:ascii="Arial" w:hAnsi="Arial" w:cs="Arial"/>
                <w:color w:val="000000"/>
                <w:sz w:val="18"/>
                <w:szCs w:val="18"/>
              </w:rPr>
              <w:t>control</w:t>
            </w:r>
            <w:r>
              <w:rPr>
                <w:rFonts w:ascii="Arial" w:hAnsi="Arial" w:cs="Arial"/>
                <w:color w:val="000000"/>
                <w:sz w:val="18"/>
                <w:szCs w:val="18"/>
              </w:rPr>
              <w:t xml:space="preserve"> </w:t>
            </w:r>
            <w:r w:rsidRPr="006E2D91">
              <w:rPr>
                <w:rFonts w:ascii="Arial" w:hAnsi="Arial" w:cs="Arial"/>
                <w:color w:val="000000"/>
                <w:sz w:val="18"/>
                <w:szCs w:val="18"/>
              </w:rPr>
              <w:t>of</w:t>
            </w:r>
            <w:r>
              <w:rPr>
                <w:rFonts w:ascii="Arial" w:hAnsi="Arial" w:cs="Arial"/>
                <w:color w:val="000000"/>
                <w:sz w:val="18"/>
                <w:szCs w:val="18"/>
              </w:rPr>
              <w:t xml:space="preserve"> </w:t>
            </w:r>
            <w:r w:rsidRPr="006E2D91">
              <w:rPr>
                <w:rFonts w:ascii="Arial" w:hAnsi="Arial" w:cs="Arial"/>
                <w:color w:val="000000"/>
                <w:sz w:val="18"/>
                <w:szCs w:val="18"/>
              </w:rPr>
              <w:t>self</w:t>
            </w:r>
            <w:r>
              <w:rPr>
                <w:rFonts w:ascii="Arial" w:hAnsi="Arial" w:cs="Arial"/>
                <w:color w:val="000000"/>
                <w:sz w:val="18"/>
                <w:szCs w:val="18"/>
              </w:rPr>
              <w:t xml:space="preserve"> </w:t>
            </w:r>
            <w:r w:rsidRPr="006E2D91">
              <w:rPr>
                <w:rFonts w:ascii="Arial" w:hAnsi="Arial" w:cs="Arial"/>
                <w:color w:val="000000"/>
                <w:sz w:val="18"/>
                <w:szCs w:val="18"/>
              </w:rPr>
              <w:t>dealing, public</w:t>
            </w:r>
            <w:r>
              <w:rPr>
                <w:rFonts w:ascii="Arial" w:hAnsi="Arial" w:cs="Arial"/>
                <w:color w:val="000000"/>
                <w:sz w:val="18"/>
                <w:szCs w:val="18"/>
              </w:rPr>
              <w:t xml:space="preserve"> </w:t>
            </w:r>
            <w:r w:rsidRPr="006E2D91">
              <w:rPr>
                <w:rFonts w:ascii="Arial" w:hAnsi="Arial" w:cs="Arial"/>
                <w:color w:val="000000"/>
                <w:sz w:val="18"/>
                <w:szCs w:val="18"/>
              </w:rPr>
              <w:t>enforcement</w:t>
            </w:r>
          </w:p>
        </w:tc>
      </w:tr>
      <w:tr w:rsidR="00C82AA3" w:rsidRPr="006E2D91" w:rsidTr="00C82AA3">
        <w:trPr>
          <w:cantSplit/>
          <w:trHeight w:val="204"/>
        </w:trPr>
        <w:tc>
          <w:tcPr>
            <w:tcW w:w="8951" w:type="dxa"/>
            <w:tcBorders>
              <w:top w:val="nil"/>
              <w:left w:val="nil"/>
              <w:bottom w:val="nil"/>
              <w:right w:val="nil"/>
            </w:tcBorders>
            <w:shd w:val="clear" w:color="auto" w:fill="FFFFFF"/>
          </w:tcPr>
          <w:p w:rsidR="00C82AA3" w:rsidRPr="006E2D91" w:rsidRDefault="00C82AA3" w:rsidP="00351C17">
            <w:pPr>
              <w:autoSpaceDE w:val="0"/>
              <w:autoSpaceDN w:val="0"/>
              <w:adjustRightInd w:val="0"/>
              <w:spacing w:line="240" w:lineRule="auto"/>
              <w:ind w:left="58" w:right="58"/>
              <w:contextualSpacing/>
              <w:rPr>
                <w:rFonts w:ascii="Arial" w:hAnsi="Arial" w:cs="Arial"/>
                <w:color w:val="000000"/>
                <w:sz w:val="18"/>
                <w:szCs w:val="18"/>
              </w:rPr>
            </w:pPr>
            <w:r w:rsidRPr="006E2D91">
              <w:rPr>
                <w:rFonts w:ascii="Arial" w:hAnsi="Arial" w:cs="Arial"/>
                <w:color w:val="000000"/>
                <w:sz w:val="18"/>
                <w:szCs w:val="18"/>
              </w:rPr>
              <w:t>c. Dependent Variable: IS1</w:t>
            </w:r>
          </w:p>
        </w:tc>
      </w:tr>
    </w:tbl>
    <w:p w:rsidR="00C82AA3" w:rsidRDefault="00C82AA3" w:rsidP="00351C17">
      <w:pPr>
        <w:spacing w:line="240" w:lineRule="auto"/>
      </w:pPr>
    </w:p>
    <w:p w:rsidR="00CD71CC" w:rsidRPr="006F297E" w:rsidRDefault="00CD71CC" w:rsidP="00CD71CC">
      <w:pPr>
        <w:pStyle w:val="Heading4"/>
        <w:spacing w:line="240" w:lineRule="auto"/>
        <w:rPr>
          <w:rFonts w:ascii="Calibri" w:hAnsi="Calibri"/>
          <w:b/>
          <w:color w:val="990000"/>
        </w:rPr>
      </w:pPr>
      <w:bookmarkStart w:id="131" w:name="_Toc268669797"/>
      <w:r w:rsidRPr="006F297E">
        <w:rPr>
          <w:rFonts w:ascii="Calibri" w:hAnsi="Calibri"/>
          <w:b/>
          <w:color w:val="990000"/>
        </w:rPr>
        <w:lastRenderedPageBreak/>
        <w:t xml:space="preserve">Appendix </w:t>
      </w:r>
      <w:r w:rsidR="004B21BC">
        <w:rPr>
          <w:rFonts w:ascii="Calibri" w:hAnsi="Calibri"/>
          <w:b/>
          <w:color w:val="990000"/>
        </w:rPr>
        <w:t>G</w:t>
      </w:r>
      <w:r w:rsidRPr="006F297E">
        <w:rPr>
          <w:rFonts w:ascii="Calibri" w:hAnsi="Calibri"/>
          <w:b/>
          <w:color w:val="990000"/>
        </w:rPr>
        <w:t xml:space="preserve"> </w:t>
      </w:r>
      <w:r w:rsidRPr="006F297E">
        <w:rPr>
          <w:rFonts w:ascii="Calibri" w:hAnsi="Calibri"/>
          <w:b/>
          <w:color w:val="990000"/>
        </w:rPr>
        <w:tab/>
      </w:r>
      <w:r>
        <w:rPr>
          <w:rFonts w:ascii="Calibri" w:hAnsi="Calibri"/>
          <w:b/>
          <w:color w:val="990000"/>
        </w:rPr>
        <w:t xml:space="preserve">Correlation Matrix </w:t>
      </w:r>
      <w:r w:rsidR="00A900E2">
        <w:rPr>
          <w:rFonts w:ascii="Calibri" w:hAnsi="Calibri"/>
          <w:b/>
          <w:color w:val="990000"/>
        </w:rPr>
        <w:t xml:space="preserve">and Model Summary </w:t>
      </w:r>
      <w:r>
        <w:rPr>
          <w:rFonts w:ascii="Calibri" w:hAnsi="Calibri"/>
          <w:b/>
          <w:color w:val="990000"/>
        </w:rPr>
        <w:t>Artificial Smoothing</w:t>
      </w:r>
      <w:bookmarkEnd w:id="131"/>
    </w:p>
    <w:p w:rsidR="00351C17" w:rsidRDefault="00351C17" w:rsidP="00C82AA3"/>
    <w:tbl>
      <w:tblPr>
        <w:tblpPr w:leftFromText="180" w:rightFromText="180" w:vertAnchor="text" w:horzAnchor="margin" w:tblpXSpec="center" w:tblpY="775"/>
        <w:tblW w:w="9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5"/>
        <w:gridCol w:w="2432"/>
        <w:gridCol w:w="1013"/>
        <w:gridCol w:w="1457"/>
        <w:gridCol w:w="1459"/>
        <w:gridCol w:w="1459"/>
      </w:tblGrid>
      <w:tr w:rsidR="00C82AA3" w:rsidRPr="00DF6E19" w:rsidTr="00C82AA3">
        <w:trPr>
          <w:cantSplit/>
          <w:tblHeader/>
        </w:trPr>
        <w:tc>
          <w:tcPr>
            <w:tcW w:w="9795" w:type="dxa"/>
            <w:gridSpan w:val="6"/>
            <w:tcBorders>
              <w:top w:val="nil"/>
              <w:left w:val="nil"/>
              <w:bottom w:val="nil"/>
              <w:right w:val="nil"/>
            </w:tcBorders>
            <w:shd w:val="clear" w:color="auto" w:fill="FFFFFF"/>
            <w:vAlign w:val="center"/>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b/>
                <w:bCs/>
                <w:color w:val="000000"/>
                <w:sz w:val="18"/>
                <w:szCs w:val="18"/>
              </w:rPr>
              <w:t>Correlations</w:t>
            </w:r>
          </w:p>
        </w:tc>
      </w:tr>
      <w:tr w:rsidR="00C82AA3" w:rsidRPr="00DF6E19" w:rsidTr="00C82AA3">
        <w:trPr>
          <w:cantSplit/>
          <w:tblHeader/>
        </w:trPr>
        <w:tc>
          <w:tcPr>
            <w:tcW w:w="4407"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C82AA3" w:rsidRPr="00DF6E19" w:rsidRDefault="00C82AA3" w:rsidP="006F297E">
            <w:pPr>
              <w:autoSpaceDE w:val="0"/>
              <w:autoSpaceDN w:val="0"/>
              <w:adjustRightInd w:val="0"/>
              <w:spacing w:line="240" w:lineRule="auto"/>
              <w:jc w:val="center"/>
            </w:pPr>
          </w:p>
        </w:tc>
        <w:tc>
          <w:tcPr>
            <w:tcW w:w="1013" w:type="dxa"/>
            <w:tcBorders>
              <w:top w:val="single" w:sz="16" w:space="0" w:color="000000"/>
              <w:left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IS2</w:t>
            </w:r>
          </w:p>
        </w:tc>
        <w:tc>
          <w:tcPr>
            <w:tcW w:w="1457" w:type="dxa"/>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459" w:type="dxa"/>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459" w:type="dxa"/>
            <w:tcBorders>
              <w:top w:val="single" w:sz="16" w:space="0" w:color="000000"/>
              <w:bottom w:val="single" w:sz="16" w:space="0" w:color="000000"/>
              <w:right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Public</w:t>
            </w:r>
            <w:r>
              <w:rPr>
                <w:rFonts w:ascii="Arial" w:hAnsi="Arial" w:cs="Arial"/>
                <w:color w:val="000000"/>
                <w:sz w:val="18"/>
                <w:szCs w:val="18"/>
              </w:rPr>
              <w:t xml:space="preserve"> </w:t>
            </w:r>
            <w:r w:rsidRPr="00DF6E19">
              <w:rPr>
                <w:rFonts w:ascii="Arial" w:hAnsi="Arial" w:cs="Arial"/>
                <w:color w:val="000000"/>
                <w:sz w:val="18"/>
                <w:szCs w:val="18"/>
              </w:rPr>
              <w:t>enforcement</w:t>
            </w:r>
          </w:p>
        </w:tc>
      </w:tr>
      <w:tr w:rsidR="00C82AA3" w:rsidRPr="00DF6E19" w:rsidTr="00C82AA3">
        <w:trPr>
          <w:cantSplit/>
          <w:tblHeader/>
        </w:trPr>
        <w:tc>
          <w:tcPr>
            <w:tcW w:w="1975" w:type="dxa"/>
            <w:vMerge w:val="restart"/>
            <w:tcBorders>
              <w:top w:val="single" w:sz="16" w:space="0" w:color="000000"/>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Pearson Correlation</w:t>
            </w:r>
          </w:p>
        </w:tc>
        <w:tc>
          <w:tcPr>
            <w:tcW w:w="2432" w:type="dxa"/>
            <w:tcBorders>
              <w:top w:val="single" w:sz="16" w:space="0" w:color="000000"/>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IS2</w:t>
            </w:r>
          </w:p>
        </w:tc>
        <w:tc>
          <w:tcPr>
            <w:tcW w:w="1013" w:type="dxa"/>
            <w:tcBorders>
              <w:top w:val="single" w:sz="16" w:space="0" w:color="000000"/>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1.000</w:t>
            </w:r>
          </w:p>
        </w:tc>
        <w:tc>
          <w:tcPr>
            <w:tcW w:w="1457" w:type="dxa"/>
            <w:tcBorders>
              <w:top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-.047</w:t>
            </w:r>
          </w:p>
        </w:tc>
        <w:tc>
          <w:tcPr>
            <w:tcW w:w="1459" w:type="dxa"/>
            <w:tcBorders>
              <w:top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-.032</w:t>
            </w:r>
          </w:p>
        </w:tc>
        <w:tc>
          <w:tcPr>
            <w:tcW w:w="1459" w:type="dxa"/>
            <w:tcBorders>
              <w:top w:val="single" w:sz="16" w:space="0" w:color="000000"/>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.120</w:t>
            </w:r>
          </w:p>
        </w:tc>
      </w:tr>
      <w:tr w:rsidR="00C82AA3" w:rsidRPr="00DF6E19"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-.047</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1.000</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.540</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-.224</w:t>
            </w:r>
          </w:p>
        </w:tc>
      </w:tr>
      <w:tr w:rsidR="00C82AA3" w:rsidRPr="00DF6E19"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-.032</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.540</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1.000</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-.095</w:t>
            </w:r>
          </w:p>
        </w:tc>
      </w:tr>
      <w:tr w:rsidR="00C82AA3" w:rsidRPr="00DF6E19" w:rsidTr="00C82AA3">
        <w:trPr>
          <w:cantSplit/>
          <w:tblHeader/>
        </w:trPr>
        <w:tc>
          <w:tcPr>
            <w:tcW w:w="1975" w:type="dxa"/>
            <w:vMerge/>
            <w:tcBorders>
              <w:top w:val="single" w:sz="16" w:space="0" w:color="000000"/>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Public</w:t>
            </w:r>
            <w:r>
              <w:rPr>
                <w:rFonts w:ascii="Arial" w:hAnsi="Arial" w:cs="Arial"/>
                <w:color w:val="000000"/>
                <w:sz w:val="18"/>
                <w:szCs w:val="18"/>
              </w:rPr>
              <w:t xml:space="preserve"> </w:t>
            </w:r>
            <w:r w:rsidRPr="00DF6E19">
              <w:rPr>
                <w:rFonts w:ascii="Arial" w:hAnsi="Arial" w:cs="Arial"/>
                <w:color w:val="000000"/>
                <w:sz w:val="18"/>
                <w:szCs w:val="18"/>
              </w:rPr>
              <w:t>enforcement</w:t>
            </w:r>
          </w:p>
        </w:tc>
        <w:tc>
          <w:tcPr>
            <w:tcW w:w="1013" w:type="dxa"/>
            <w:tcBorders>
              <w:top w:val="nil"/>
              <w:lef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.120</w:t>
            </w:r>
          </w:p>
        </w:tc>
        <w:tc>
          <w:tcPr>
            <w:tcW w:w="1457" w:type="dxa"/>
            <w:tcBorders>
              <w:top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-.224</w:t>
            </w:r>
          </w:p>
        </w:tc>
        <w:tc>
          <w:tcPr>
            <w:tcW w:w="1459" w:type="dxa"/>
            <w:tcBorders>
              <w:top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-.095</w:t>
            </w:r>
          </w:p>
        </w:tc>
        <w:tc>
          <w:tcPr>
            <w:tcW w:w="1459" w:type="dxa"/>
            <w:tcBorders>
              <w:top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1.000</w:t>
            </w:r>
          </w:p>
        </w:tc>
      </w:tr>
      <w:tr w:rsidR="00C82AA3" w:rsidRPr="00DF6E19" w:rsidTr="00C82AA3">
        <w:trPr>
          <w:cantSplit/>
          <w:tblHeader/>
        </w:trPr>
        <w:tc>
          <w:tcPr>
            <w:tcW w:w="1975" w:type="dxa"/>
            <w:vMerge w:val="restart"/>
            <w:tcBorders>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Sig. (1-tailed)</w:t>
            </w:r>
          </w:p>
        </w:tc>
        <w:tc>
          <w:tcPr>
            <w:tcW w:w="2432" w:type="dxa"/>
            <w:tcBorders>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IS2</w:t>
            </w:r>
          </w:p>
        </w:tc>
        <w:tc>
          <w:tcPr>
            <w:tcW w:w="1013" w:type="dxa"/>
            <w:tcBorders>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w:t>
            </w:r>
          </w:p>
        </w:tc>
        <w:tc>
          <w:tcPr>
            <w:tcW w:w="1457" w:type="dxa"/>
            <w:tcBorders>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.401</w:t>
            </w:r>
          </w:p>
        </w:tc>
        <w:tc>
          <w:tcPr>
            <w:tcW w:w="1459" w:type="dxa"/>
            <w:tcBorders>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.432</w:t>
            </w:r>
          </w:p>
        </w:tc>
        <w:tc>
          <w:tcPr>
            <w:tcW w:w="1459" w:type="dxa"/>
            <w:tcBorders>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.260</w:t>
            </w:r>
          </w:p>
        </w:tc>
      </w:tr>
      <w:tr w:rsidR="00C82AA3" w:rsidRPr="00DF6E19" w:rsidTr="00C82AA3">
        <w:trPr>
          <w:cantSplit/>
          <w:tblHeader/>
        </w:trPr>
        <w:tc>
          <w:tcPr>
            <w:tcW w:w="1975" w:type="dxa"/>
            <w:vMerge/>
            <w:tcBorders>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.401</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.001</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.113</w:t>
            </w:r>
          </w:p>
        </w:tc>
      </w:tr>
      <w:tr w:rsidR="00C82AA3" w:rsidRPr="00DF6E19" w:rsidTr="00C82AA3">
        <w:trPr>
          <w:cantSplit/>
          <w:tblHeader/>
        </w:trPr>
        <w:tc>
          <w:tcPr>
            <w:tcW w:w="1975" w:type="dxa"/>
            <w:vMerge/>
            <w:tcBorders>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.432</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.001</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.306</w:t>
            </w:r>
          </w:p>
        </w:tc>
      </w:tr>
      <w:tr w:rsidR="00C82AA3" w:rsidRPr="00DF6E19" w:rsidTr="00C82AA3">
        <w:trPr>
          <w:cantSplit/>
          <w:tblHeader/>
        </w:trPr>
        <w:tc>
          <w:tcPr>
            <w:tcW w:w="1975" w:type="dxa"/>
            <w:vMerge/>
            <w:tcBorders>
              <w:left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Public</w:t>
            </w:r>
            <w:r>
              <w:rPr>
                <w:rFonts w:ascii="Arial" w:hAnsi="Arial" w:cs="Arial"/>
                <w:color w:val="000000"/>
                <w:sz w:val="18"/>
                <w:szCs w:val="18"/>
              </w:rPr>
              <w:t xml:space="preserve"> </w:t>
            </w:r>
            <w:r w:rsidRPr="00DF6E19">
              <w:rPr>
                <w:rFonts w:ascii="Arial" w:hAnsi="Arial" w:cs="Arial"/>
                <w:color w:val="000000"/>
                <w:sz w:val="18"/>
                <w:szCs w:val="18"/>
              </w:rPr>
              <w:t>enforcement</w:t>
            </w:r>
          </w:p>
        </w:tc>
        <w:tc>
          <w:tcPr>
            <w:tcW w:w="1013" w:type="dxa"/>
            <w:tcBorders>
              <w:top w:val="nil"/>
              <w:lef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.260</w:t>
            </w:r>
          </w:p>
        </w:tc>
        <w:tc>
          <w:tcPr>
            <w:tcW w:w="1457" w:type="dxa"/>
            <w:tcBorders>
              <w:top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.113</w:t>
            </w:r>
          </w:p>
        </w:tc>
        <w:tc>
          <w:tcPr>
            <w:tcW w:w="1459" w:type="dxa"/>
            <w:tcBorders>
              <w:top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.306</w:t>
            </w:r>
          </w:p>
        </w:tc>
        <w:tc>
          <w:tcPr>
            <w:tcW w:w="1459" w:type="dxa"/>
            <w:tcBorders>
              <w:top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w:t>
            </w:r>
          </w:p>
        </w:tc>
      </w:tr>
      <w:tr w:rsidR="00C82AA3" w:rsidRPr="00DF6E19" w:rsidTr="00C82AA3">
        <w:trPr>
          <w:cantSplit/>
          <w:tblHeader/>
        </w:trPr>
        <w:tc>
          <w:tcPr>
            <w:tcW w:w="1975" w:type="dxa"/>
            <w:vMerge w:val="restart"/>
            <w:tcBorders>
              <w:left w:val="single" w:sz="16" w:space="0" w:color="000000"/>
              <w:bottom w:val="single" w:sz="16" w:space="0" w:color="000000"/>
              <w:right w:val="nil"/>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N</w:t>
            </w:r>
          </w:p>
        </w:tc>
        <w:tc>
          <w:tcPr>
            <w:tcW w:w="2432" w:type="dxa"/>
            <w:tcBorders>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IS2</w:t>
            </w:r>
          </w:p>
        </w:tc>
        <w:tc>
          <w:tcPr>
            <w:tcW w:w="1013" w:type="dxa"/>
            <w:tcBorders>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7" w:type="dxa"/>
            <w:tcBorders>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r>
      <w:tr w:rsidR="00C82AA3" w:rsidRPr="00DF6E19" w:rsidTr="00C82AA3">
        <w:trPr>
          <w:cantSplit/>
          <w:tblHeader/>
        </w:trPr>
        <w:tc>
          <w:tcPr>
            <w:tcW w:w="1975" w:type="dxa"/>
            <w:vMerge/>
            <w:tcBorders>
              <w:left w:val="single" w:sz="16" w:space="0" w:color="000000"/>
              <w:bottom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r>
      <w:tr w:rsidR="00C82AA3" w:rsidRPr="00DF6E19" w:rsidTr="00C82AA3">
        <w:trPr>
          <w:cantSplit/>
          <w:tblHeader/>
        </w:trPr>
        <w:tc>
          <w:tcPr>
            <w:tcW w:w="1975" w:type="dxa"/>
            <w:vMerge/>
            <w:tcBorders>
              <w:left w:val="single" w:sz="16" w:space="0" w:color="000000"/>
              <w:bottom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tc>
        <w:tc>
          <w:tcPr>
            <w:tcW w:w="1013" w:type="dxa"/>
            <w:tcBorders>
              <w:top w:val="nil"/>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7"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r>
      <w:tr w:rsidR="00C82AA3" w:rsidRPr="00DF6E19" w:rsidTr="00C82AA3">
        <w:trPr>
          <w:cantSplit/>
        </w:trPr>
        <w:tc>
          <w:tcPr>
            <w:tcW w:w="1975" w:type="dxa"/>
            <w:vMerge/>
            <w:tcBorders>
              <w:left w:val="single" w:sz="16" w:space="0" w:color="000000"/>
              <w:bottom w:val="single" w:sz="16" w:space="0" w:color="000000"/>
              <w:right w:val="nil"/>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2432" w:type="dxa"/>
            <w:tcBorders>
              <w:top w:val="nil"/>
              <w:left w:val="nil"/>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Public</w:t>
            </w:r>
            <w:r>
              <w:rPr>
                <w:rFonts w:ascii="Arial" w:hAnsi="Arial" w:cs="Arial"/>
                <w:color w:val="000000"/>
                <w:sz w:val="18"/>
                <w:szCs w:val="18"/>
              </w:rPr>
              <w:t xml:space="preserve"> </w:t>
            </w:r>
            <w:r w:rsidRPr="00DF6E19">
              <w:rPr>
                <w:rFonts w:ascii="Arial" w:hAnsi="Arial" w:cs="Arial"/>
                <w:color w:val="000000"/>
                <w:sz w:val="18"/>
                <w:szCs w:val="18"/>
              </w:rPr>
              <w:t>enforcement</w:t>
            </w:r>
          </w:p>
        </w:tc>
        <w:tc>
          <w:tcPr>
            <w:tcW w:w="1013" w:type="dxa"/>
            <w:tcBorders>
              <w:top w:val="nil"/>
              <w:left w:val="single" w:sz="16" w:space="0" w:color="000000"/>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7" w:type="dxa"/>
            <w:tcBorders>
              <w:top w:val="nil"/>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c>
          <w:tcPr>
            <w:tcW w:w="1459" w:type="dxa"/>
            <w:tcBorders>
              <w:top w:val="nil"/>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31</w:t>
            </w:r>
          </w:p>
        </w:tc>
      </w:tr>
    </w:tbl>
    <w:p w:rsidR="00C82AA3" w:rsidRDefault="00C82AA3" w:rsidP="006F297E">
      <w:pPr>
        <w:spacing w:line="240" w:lineRule="auto"/>
      </w:pPr>
    </w:p>
    <w:p w:rsidR="00C82AA3" w:rsidRPr="00DF6E19" w:rsidRDefault="00C82AA3" w:rsidP="006F297E">
      <w:pPr>
        <w:autoSpaceDE w:val="0"/>
        <w:autoSpaceDN w:val="0"/>
        <w:adjustRightInd w:val="0"/>
        <w:spacing w:line="240" w:lineRule="auto"/>
      </w:pPr>
    </w:p>
    <w:p w:rsidR="00C82AA3" w:rsidRPr="00DF6E19" w:rsidRDefault="00C82AA3" w:rsidP="006F297E">
      <w:pPr>
        <w:spacing w:line="240" w:lineRule="auto"/>
        <w:jc w:val="center"/>
      </w:pPr>
      <w:r w:rsidRPr="00DF6E19">
        <w:rPr>
          <w:rFonts w:ascii="Arial" w:hAnsi="Arial" w:cs="Arial"/>
          <w:b/>
          <w:bCs/>
          <w:color w:val="000000"/>
          <w:sz w:val="18"/>
          <w:szCs w:val="18"/>
        </w:rPr>
        <w:t>Model Summary</w:t>
      </w:r>
    </w:p>
    <w:tbl>
      <w:tblPr>
        <w:tblpPr w:leftFromText="180" w:rightFromText="180" w:vertAnchor="text" w:horzAnchor="margin" w:tblpXSpec="center" w:tblpY="103"/>
        <w:tblW w:w="66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391"/>
        <w:gridCol w:w="592"/>
        <w:gridCol w:w="822"/>
        <w:gridCol w:w="876"/>
        <w:gridCol w:w="1185"/>
        <w:gridCol w:w="1185"/>
        <w:gridCol w:w="1629"/>
      </w:tblGrid>
      <w:tr w:rsidR="00C82AA3" w:rsidRPr="00DF6E19" w:rsidTr="00581754">
        <w:trPr>
          <w:cantSplit/>
          <w:trHeight w:val="438"/>
          <w:tblHeader/>
        </w:trPr>
        <w:tc>
          <w:tcPr>
            <w:tcW w:w="983"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Model</w:t>
            </w:r>
          </w:p>
        </w:tc>
        <w:tc>
          <w:tcPr>
            <w:tcW w:w="822" w:type="dxa"/>
            <w:vMerge w:val="restart"/>
            <w:tcBorders>
              <w:top w:val="single" w:sz="16" w:space="0" w:color="000000"/>
              <w:left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R</w:t>
            </w:r>
          </w:p>
        </w:tc>
        <w:tc>
          <w:tcPr>
            <w:tcW w:w="876" w:type="dxa"/>
            <w:vMerge w:val="restart"/>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R Square</w:t>
            </w:r>
          </w:p>
        </w:tc>
        <w:tc>
          <w:tcPr>
            <w:tcW w:w="1185" w:type="dxa"/>
            <w:vMerge w:val="restart"/>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Adjusted R Square</w:t>
            </w:r>
          </w:p>
        </w:tc>
        <w:tc>
          <w:tcPr>
            <w:tcW w:w="1185" w:type="dxa"/>
            <w:vMerge w:val="restart"/>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Std. Error of the Estimate</w:t>
            </w:r>
          </w:p>
        </w:tc>
        <w:tc>
          <w:tcPr>
            <w:tcW w:w="1629" w:type="dxa"/>
            <w:vMerge w:val="restart"/>
            <w:tcBorders>
              <w:top w:val="single" w:sz="16" w:space="0" w:color="000000"/>
              <w:bottom w:val="single" w:sz="16" w:space="0" w:color="000000"/>
              <w:right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ind w:left="60" w:right="60"/>
              <w:jc w:val="center"/>
              <w:rPr>
                <w:rFonts w:ascii="Arial" w:hAnsi="Arial" w:cs="Arial"/>
                <w:color w:val="000000"/>
                <w:sz w:val="18"/>
                <w:szCs w:val="18"/>
              </w:rPr>
            </w:pPr>
            <w:r w:rsidRPr="00DF6E19">
              <w:rPr>
                <w:rFonts w:ascii="Arial" w:hAnsi="Arial" w:cs="Arial"/>
                <w:color w:val="000000"/>
                <w:sz w:val="18"/>
                <w:szCs w:val="18"/>
              </w:rPr>
              <w:t>Durbin-Watson</w:t>
            </w:r>
          </w:p>
        </w:tc>
      </w:tr>
      <w:tr w:rsidR="00C82AA3" w:rsidRPr="00DF6E19" w:rsidTr="00581754">
        <w:trPr>
          <w:cantSplit/>
          <w:trHeight w:val="438"/>
          <w:tblHeader/>
        </w:trPr>
        <w:tc>
          <w:tcPr>
            <w:tcW w:w="983"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822" w:type="dxa"/>
            <w:vMerge/>
            <w:tcBorders>
              <w:top w:val="single" w:sz="16" w:space="0" w:color="000000"/>
              <w:left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876" w:type="dxa"/>
            <w:vMerge/>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1185" w:type="dxa"/>
            <w:vMerge/>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1185" w:type="dxa"/>
            <w:vMerge/>
            <w:tcBorders>
              <w:top w:val="single" w:sz="16" w:space="0" w:color="000000"/>
              <w:bottom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c>
          <w:tcPr>
            <w:tcW w:w="1629" w:type="dxa"/>
            <w:vMerge/>
            <w:tcBorders>
              <w:top w:val="single" w:sz="16" w:space="0" w:color="000000"/>
              <w:bottom w:val="single" w:sz="16" w:space="0" w:color="000000"/>
              <w:right w:val="single" w:sz="16" w:space="0" w:color="000000"/>
            </w:tcBorders>
            <w:shd w:val="clear" w:color="auto" w:fill="FFFFFF"/>
            <w:vAlign w:val="bottom"/>
          </w:tcPr>
          <w:p w:rsidR="00C82AA3" w:rsidRPr="00DF6E19" w:rsidRDefault="00C82AA3" w:rsidP="006F297E">
            <w:pPr>
              <w:autoSpaceDE w:val="0"/>
              <w:autoSpaceDN w:val="0"/>
              <w:adjustRightInd w:val="0"/>
              <w:spacing w:line="240" w:lineRule="auto"/>
              <w:rPr>
                <w:rFonts w:ascii="Arial" w:hAnsi="Arial" w:cs="Arial"/>
                <w:color w:val="000000"/>
                <w:sz w:val="18"/>
                <w:szCs w:val="18"/>
              </w:rPr>
            </w:pPr>
          </w:p>
        </w:tc>
      </w:tr>
      <w:tr w:rsidR="00C82AA3" w:rsidRPr="00DF6E19" w:rsidTr="00581754">
        <w:trPr>
          <w:cantSplit/>
          <w:trHeight w:val="276"/>
          <w:tblHeader/>
        </w:trPr>
        <w:tc>
          <w:tcPr>
            <w:tcW w:w="391" w:type="dxa"/>
            <w:vMerge w:val="restart"/>
            <w:tcBorders>
              <w:top w:val="single" w:sz="16" w:space="0" w:color="000000"/>
              <w:left w:val="single" w:sz="16" w:space="0" w:color="000000"/>
              <w:bottom w:val="single" w:sz="16" w:space="0" w:color="000000"/>
              <w:right w:val="nil"/>
            </w:tcBorders>
            <w:shd w:val="clear" w:color="auto" w:fill="FFFFFF"/>
            <w:vAlign w:val="center"/>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2"/>
                <w:szCs w:val="2"/>
              </w:rPr>
            </w:pPr>
            <w:r w:rsidRPr="00DF6E19">
              <w:rPr>
                <w:rFonts w:ascii="Arial" w:hAnsi="Arial" w:cs="Arial"/>
                <w:color w:val="000000"/>
                <w:sz w:val="2"/>
                <w:szCs w:val="2"/>
              </w:rPr>
              <w:t>dimension0</w:t>
            </w:r>
          </w:p>
        </w:tc>
        <w:tc>
          <w:tcPr>
            <w:tcW w:w="592" w:type="dxa"/>
            <w:tcBorders>
              <w:top w:val="single" w:sz="16" w:space="0" w:color="000000"/>
              <w:left w:val="nil"/>
              <w:bottom w:val="nil"/>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1</w:t>
            </w:r>
          </w:p>
        </w:tc>
        <w:tc>
          <w:tcPr>
            <w:tcW w:w="822" w:type="dxa"/>
            <w:tcBorders>
              <w:top w:val="single" w:sz="16" w:space="0" w:color="000000"/>
              <w:left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.048</w:t>
            </w:r>
            <w:r w:rsidRPr="00DF6E19">
              <w:rPr>
                <w:rFonts w:ascii="Arial" w:hAnsi="Arial" w:cs="Arial"/>
                <w:color w:val="000000"/>
                <w:sz w:val="18"/>
                <w:szCs w:val="18"/>
                <w:vertAlign w:val="superscript"/>
              </w:rPr>
              <w:t>a</w:t>
            </w:r>
          </w:p>
        </w:tc>
        <w:tc>
          <w:tcPr>
            <w:tcW w:w="876" w:type="dxa"/>
            <w:tcBorders>
              <w:top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.002</w:t>
            </w:r>
          </w:p>
        </w:tc>
        <w:tc>
          <w:tcPr>
            <w:tcW w:w="1185" w:type="dxa"/>
            <w:tcBorders>
              <w:top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-.069</w:t>
            </w:r>
          </w:p>
        </w:tc>
        <w:tc>
          <w:tcPr>
            <w:tcW w:w="1185" w:type="dxa"/>
            <w:tcBorders>
              <w:top w:val="single" w:sz="16" w:space="0" w:color="000000"/>
              <w:bottom w:val="nil"/>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.133582</w:t>
            </w:r>
          </w:p>
        </w:tc>
        <w:tc>
          <w:tcPr>
            <w:tcW w:w="1629" w:type="dxa"/>
            <w:tcBorders>
              <w:top w:val="single" w:sz="16" w:space="0" w:color="000000"/>
              <w:bottom w:val="nil"/>
              <w:right w:val="single" w:sz="16" w:space="0" w:color="000000"/>
            </w:tcBorders>
            <w:shd w:val="clear" w:color="auto" w:fill="FFFFFF"/>
            <w:vAlign w:val="center"/>
          </w:tcPr>
          <w:p w:rsidR="00C82AA3" w:rsidRPr="00DF6E19" w:rsidRDefault="00C82AA3" w:rsidP="006F297E">
            <w:pPr>
              <w:autoSpaceDE w:val="0"/>
              <w:autoSpaceDN w:val="0"/>
              <w:adjustRightInd w:val="0"/>
              <w:spacing w:line="240" w:lineRule="auto"/>
              <w:jc w:val="center"/>
            </w:pPr>
          </w:p>
        </w:tc>
      </w:tr>
      <w:tr w:rsidR="00C82AA3" w:rsidRPr="00DF6E19" w:rsidTr="00581754">
        <w:trPr>
          <w:cantSplit/>
          <w:trHeight w:val="147"/>
          <w:tblHeader/>
        </w:trPr>
        <w:tc>
          <w:tcPr>
            <w:tcW w:w="391" w:type="dxa"/>
            <w:vMerge/>
            <w:tcBorders>
              <w:top w:val="single" w:sz="16" w:space="0" w:color="000000"/>
              <w:left w:val="single" w:sz="16" w:space="0" w:color="000000"/>
              <w:bottom w:val="single" w:sz="16" w:space="0" w:color="000000"/>
              <w:right w:val="nil"/>
            </w:tcBorders>
            <w:shd w:val="clear" w:color="auto" w:fill="FFFFFF"/>
            <w:vAlign w:val="center"/>
          </w:tcPr>
          <w:p w:rsidR="00C82AA3" w:rsidRPr="00DF6E19" w:rsidRDefault="00C82AA3" w:rsidP="006F297E">
            <w:pPr>
              <w:autoSpaceDE w:val="0"/>
              <w:autoSpaceDN w:val="0"/>
              <w:adjustRightInd w:val="0"/>
              <w:spacing w:line="240" w:lineRule="auto"/>
            </w:pPr>
          </w:p>
        </w:tc>
        <w:tc>
          <w:tcPr>
            <w:tcW w:w="592" w:type="dxa"/>
            <w:tcBorders>
              <w:top w:val="nil"/>
              <w:left w:val="nil"/>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rPr>
                <w:rFonts w:ascii="Arial" w:hAnsi="Arial" w:cs="Arial"/>
                <w:color w:val="000000"/>
                <w:sz w:val="18"/>
                <w:szCs w:val="18"/>
              </w:rPr>
            </w:pPr>
            <w:r w:rsidRPr="00DF6E19">
              <w:rPr>
                <w:rFonts w:ascii="Arial" w:hAnsi="Arial" w:cs="Arial"/>
                <w:color w:val="000000"/>
                <w:sz w:val="18"/>
                <w:szCs w:val="18"/>
              </w:rPr>
              <w:t>2</w:t>
            </w:r>
          </w:p>
        </w:tc>
        <w:tc>
          <w:tcPr>
            <w:tcW w:w="822" w:type="dxa"/>
            <w:tcBorders>
              <w:top w:val="nil"/>
              <w:left w:val="single" w:sz="16" w:space="0" w:color="000000"/>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.123</w:t>
            </w:r>
            <w:r w:rsidRPr="00DF6E19">
              <w:rPr>
                <w:rFonts w:ascii="Arial" w:hAnsi="Arial" w:cs="Arial"/>
                <w:color w:val="000000"/>
                <w:sz w:val="18"/>
                <w:szCs w:val="18"/>
                <w:vertAlign w:val="superscript"/>
              </w:rPr>
              <w:t>b</w:t>
            </w:r>
          </w:p>
        </w:tc>
        <w:tc>
          <w:tcPr>
            <w:tcW w:w="876" w:type="dxa"/>
            <w:tcBorders>
              <w:top w:val="nil"/>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.015</w:t>
            </w:r>
          </w:p>
        </w:tc>
        <w:tc>
          <w:tcPr>
            <w:tcW w:w="1185" w:type="dxa"/>
            <w:tcBorders>
              <w:top w:val="nil"/>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-.094</w:t>
            </w:r>
          </w:p>
        </w:tc>
        <w:tc>
          <w:tcPr>
            <w:tcW w:w="1185" w:type="dxa"/>
            <w:tcBorders>
              <w:top w:val="nil"/>
              <w:bottom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sidRPr="00DF6E19">
              <w:rPr>
                <w:rFonts w:ascii="Arial" w:hAnsi="Arial" w:cs="Arial"/>
                <w:color w:val="000000"/>
                <w:sz w:val="18"/>
                <w:szCs w:val="18"/>
              </w:rPr>
              <w:t>.135163</w:t>
            </w:r>
          </w:p>
        </w:tc>
        <w:tc>
          <w:tcPr>
            <w:tcW w:w="1629" w:type="dxa"/>
            <w:tcBorders>
              <w:top w:val="nil"/>
              <w:bottom w:val="single" w:sz="16" w:space="0" w:color="000000"/>
              <w:right w:val="single" w:sz="16" w:space="0" w:color="000000"/>
            </w:tcBorders>
            <w:shd w:val="clear" w:color="auto" w:fill="FFFFFF"/>
          </w:tcPr>
          <w:p w:rsidR="00C82AA3" w:rsidRPr="00DF6E19" w:rsidRDefault="00C82AA3" w:rsidP="006F297E">
            <w:pPr>
              <w:autoSpaceDE w:val="0"/>
              <w:autoSpaceDN w:val="0"/>
              <w:adjustRightInd w:val="0"/>
              <w:spacing w:line="240" w:lineRule="auto"/>
              <w:ind w:left="60" w:right="60"/>
              <w:jc w:val="right"/>
              <w:rPr>
                <w:rFonts w:ascii="Arial" w:hAnsi="Arial" w:cs="Arial"/>
                <w:color w:val="000000"/>
                <w:sz w:val="18"/>
                <w:szCs w:val="18"/>
              </w:rPr>
            </w:pPr>
            <w:r>
              <w:rPr>
                <w:rFonts w:ascii="Arial" w:hAnsi="Arial" w:cs="Arial"/>
                <w:color w:val="000000"/>
                <w:sz w:val="18"/>
                <w:szCs w:val="18"/>
              </w:rPr>
              <w:t>1</w:t>
            </w:r>
            <w:r w:rsidRPr="00DF6E19">
              <w:rPr>
                <w:rFonts w:ascii="Arial" w:hAnsi="Arial" w:cs="Arial"/>
                <w:color w:val="000000"/>
                <w:sz w:val="18"/>
                <w:szCs w:val="18"/>
              </w:rPr>
              <w:t>.063</w:t>
            </w:r>
          </w:p>
        </w:tc>
      </w:tr>
    </w:tbl>
    <w:p w:rsidR="00C82AA3" w:rsidRPr="00DF6E19" w:rsidRDefault="00C82AA3" w:rsidP="006F297E">
      <w:pPr>
        <w:autoSpaceDE w:val="0"/>
        <w:autoSpaceDN w:val="0"/>
        <w:adjustRightInd w:val="0"/>
        <w:spacing w:line="240" w:lineRule="auto"/>
      </w:pPr>
    </w:p>
    <w:p w:rsidR="00C82AA3" w:rsidRDefault="00C82AA3" w:rsidP="006F297E">
      <w:pPr>
        <w:spacing w:line="240" w:lineRule="auto"/>
      </w:pPr>
    </w:p>
    <w:p w:rsidR="00C82AA3" w:rsidRDefault="00C82AA3" w:rsidP="006F297E">
      <w:pPr>
        <w:spacing w:line="240" w:lineRule="auto"/>
      </w:pPr>
    </w:p>
    <w:p w:rsidR="00C82AA3" w:rsidRDefault="00C82AA3" w:rsidP="006F297E">
      <w:pPr>
        <w:spacing w:line="240" w:lineRule="auto"/>
      </w:pPr>
    </w:p>
    <w:p w:rsidR="00C82AA3" w:rsidRDefault="00C82AA3" w:rsidP="006F297E">
      <w:pPr>
        <w:spacing w:line="240" w:lineRule="auto"/>
      </w:pPr>
    </w:p>
    <w:p w:rsidR="00C82AA3" w:rsidRPr="00DF6E19" w:rsidRDefault="00C82AA3" w:rsidP="00770738">
      <w:pPr>
        <w:autoSpaceDE w:val="0"/>
        <w:autoSpaceDN w:val="0"/>
        <w:adjustRightInd w:val="0"/>
        <w:spacing w:line="240" w:lineRule="auto"/>
        <w:ind w:left="1440" w:right="58"/>
        <w:contextualSpacing/>
        <w:rPr>
          <w:rFonts w:ascii="Arial" w:hAnsi="Arial" w:cs="Arial"/>
          <w:color w:val="000000"/>
          <w:sz w:val="18"/>
          <w:szCs w:val="18"/>
        </w:rPr>
      </w:pPr>
      <w:r w:rsidRPr="00DF6E19">
        <w:rPr>
          <w:rFonts w:ascii="Arial" w:hAnsi="Arial" w:cs="Arial"/>
          <w:color w:val="000000"/>
          <w:sz w:val="18"/>
          <w:szCs w:val="18"/>
        </w:rPr>
        <w:t>a. Predictors: (Constant), 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 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w:t>
      </w:r>
    </w:p>
    <w:p w:rsidR="00C82AA3" w:rsidRPr="00DF6E19" w:rsidRDefault="00C82AA3" w:rsidP="00770738">
      <w:pPr>
        <w:autoSpaceDE w:val="0"/>
        <w:autoSpaceDN w:val="0"/>
        <w:adjustRightInd w:val="0"/>
        <w:spacing w:line="240" w:lineRule="auto"/>
        <w:ind w:left="1440" w:right="58"/>
        <w:contextualSpacing/>
        <w:rPr>
          <w:rFonts w:ascii="Arial" w:hAnsi="Arial" w:cs="Arial"/>
          <w:color w:val="000000"/>
          <w:sz w:val="18"/>
          <w:szCs w:val="18"/>
        </w:rPr>
      </w:pPr>
      <w:r w:rsidRPr="00DF6E19">
        <w:rPr>
          <w:rFonts w:ascii="Arial" w:hAnsi="Arial" w:cs="Arial"/>
          <w:color w:val="000000"/>
          <w:sz w:val="18"/>
          <w:szCs w:val="18"/>
        </w:rPr>
        <w:t>b. Predictors: (Constant), ex</w:t>
      </w:r>
      <w:r>
        <w:rPr>
          <w:rFonts w:ascii="Arial" w:hAnsi="Arial" w:cs="Arial"/>
          <w:color w:val="000000"/>
          <w:sz w:val="18"/>
          <w:szCs w:val="18"/>
        </w:rPr>
        <w:t xml:space="preserve"> </w:t>
      </w:r>
      <w:r w:rsidRPr="00DF6E19">
        <w:rPr>
          <w:rFonts w:ascii="Arial" w:hAnsi="Arial" w:cs="Arial"/>
          <w:color w:val="000000"/>
          <w:sz w:val="18"/>
          <w:szCs w:val="18"/>
        </w:rPr>
        <w:t>post</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 ex</w:t>
      </w:r>
      <w:r>
        <w:rPr>
          <w:rFonts w:ascii="Arial" w:hAnsi="Arial" w:cs="Arial"/>
          <w:color w:val="000000"/>
          <w:sz w:val="18"/>
          <w:szCs w:val="18"/>
        </w:rPr>
        <w:t xml:space="preserve"> </w:t>
      </w:r>
      <w:r w:rsidRPr="00DF6E19">
        <w:rPr>
          <w:rFonts w:ascii="Arial" w:hAnsi="Arial" w:cs="Arial"/>
          <w:color w:val="000000"/>
          <w:sz w:val="18"/>
          <w:szCs w:val="18"/>
        </w:rPr>
        <w:t>ante</w:t>
      </w:r>
      <w:r>
        <w:rPr>
          <w:rFonts w:ascii="Arial" w:hAnsi="Arial" w:cs="Arial"/>
          <w:color w:val="000000"/>
          <w:sz w:val="18"/>
          <w:szCs w:val="18"/>
        </w:rPr>
        <w:t xml:space="preserve"> </w:t>
      </w:r>
      <w:r w:rsidRPr="00DF6E19">
        <w:rPr>
          <w:rFonts w:ascii="Arial" w:hAnsi="Arial" w:cs="Arial"/>
          <w:color w:val="000000"/>
          <w:sz w:val="18"/>
          <w:szCs w:val="18"/>
        </w:rPr>
        <w:t>private</w:t>
      </w:r>
      <w:r>
        <w:rPr>
          <w:rFonts w:ascii="Arial" w:hAnsi="Arial" w:cs="Arial"/>
          <w:color w:val="000000"/>
          <w:sz w:val="18"/>
          <w:szCs w:val="18"/>
        </w:rPr>
        <w:t xml:space="preserve"> </w:t>
      </w:r>
      <w:r w:rsidRPr="00DF6E19">
        <w:rPr>
          <w:rFonts w:ascii="Arial" w:hAnsi="Arial" w:cs="Arial"/>
          <w:color w:val="000000"/>
          <w:sz w:val="18"/>
          <w:szCs w:val="18"/>
        </w:rPr>
        <w:t>control</w:t>
      </w:r>
      <w:r>
        <w:rPr>
          <w:rFonts w:ascii="Arial" w:hAnsi="Arial" w:cs="Arial"/>
          <w:color w:val="000000"/>
          <w:sz w:val="18"/>
          <w:szCs w:val="18"/>
        </w:rPr>
        <w:t xml:space="preserve"> </w:t>
      </w:r>
      <w:r w:rsidRPr="00DF6E19">
        <w:rPr>
          <w:rFonts w:ascii="Arial" w:hAnsi="Arial" w:cs="Arial"/>
          <w:color w:val="000000"/>
          <w:sz w:val="18"/>
          <w:szCs w:val="18"/>
        </w:rPr>
        <w:t>of</w:t>
      </w:r>
      <w:r>
        <w:rPr>
          <w:rFonts w:ascii="Arial" w:hAnsi="Arial" w:cs="Arial"/>
          <w:color w:val="000000"/>
          <w:sz w:val="18"/>
          <w:szCs w:val="18"/>
        </w:rPr>
        <w:t xml:space="preserve"> </w:t>
      </w:r>
      <w:r w:rsidRPr="00DF6E19">
        <w:rPr>
          <w:rFonts w:ascii="Arial" w:hAnsi="Arial" w:cs="Arial"/>
          <w:color w:val="000000"/>
          <w:sz w:val="18"/>
          <w:szCs w:val="18"/>
        </w:rPr>
        <w:t>self</w:t>
      </w:r>
      <w:r>
        <w:rPr>
          <w:rFonts w:ascii="Arial" w:hAnsi="Arial" w:cs="Arial"/>
          <w:color w:val="000000"/>
          <w:sz w:val="18"/>
          <w:szCs w:val="18"/>
        </w:rPr>
        <w:t>-</w:t>
      </w:r>
      <w:r w:rsidRPr="00DF6E19">
        <w:rPr>
          <w:rFonts w:ascii="Arial" w:hAnsi="Arial" w:cs="Arial"/>
          <w:color w:val="000000"/>
          <w:sz w:val="18"/>
          <w:szCs w:val="18"/>
        </w:rPr>
        <w:t>dealing, public</w:t>
      </w:r>
      <w:r>
        <w:rPr>
          <w:rFonts w:ascii="Arial" w:hAnsi="Arial" w:cs="Arial"/>
          <w:color w:val="000000"/>
          <w:sz w:val="18"/>
          <w:szCs w:val="18"/>
        </w:rPr>
        <w:t xml:space="preserve"> </w:t>
      </w:r>
      <w:r w:rsidRPr="00DF6E19">
        <w:rPr>
          <w:rFonts w:ascii="Arial" w:hAnsi="Arial" w:cs="Arial"/>
          <w:color w:val="000000"/>
          <w:sz w:val="18"/>
          <w:szCs w:val="18"/>
        </w:rPr>
        <w:t>enforcement</w:t>
      </w:r>
    </w:p>
    <w:p w:rsidR="00C82AA3" w:rsidRDefault="00C82AA3" w:rsidP="00770738">
      <w:pPr>
        <w:autoSpaceDE w:val="0"/>
        <w:autoSpaceDN w:val="0"/>
        <w:adjustRightInd w:val="0"/>
        <w:spacing w:line="240" w:lineRule="auto"/>
        <w:ind w:left="780" w:right="58" w:firstLine="660"/>
        <w:contextualSpacing/>
        <w:rPr>
          <w:rFonts w:ascii="Arial" w:hAnsi="Arial" w:cs="Arial"/>
          <w:color w:val="000000"/>
          <w:sz w:val="18"/>
          <w:szCs w:val="18"/>
        </w:rPr>
      </w:pPr>
      <w:r w:rsidRPr="00DF6E19">
        <w:rPr>
          <w:rFonts w:ascii="Arial" w:hAnsi="Arial" w:cs="Arial"/>
          <w:color w:val="000000"/>
          <w:sz w:val="18"/>
          <w:szCs w:val="18"/>
        </w:rPr>
        <w:t>c. Dependent Variable: IS2</w:t>
      </w:r>
    </w:p>
    <w:p w:rsidR="00770738" w:rsidRDefault="00770738" w:rsidP="00770738">
      <w:pPr>
        <w:autoSpaceDE w:val="0"/>
        <w:autoSpaceDN w:val="0"/>
        <w:adjustRightInd w:val="0"/>
        <w:spacing w:line="240" w:lineRule="auto"/>
        <w:ind w:left="780" w:right="58" w:firstLine="660"/>
        <w:contextualSpacing/>
        <w:rPr>
          <w:rFonts w:ascii="Arial" w:hAnsi="Arial" w:cs="Arial"/>
          <w:color w:val="000000"/>
          <w:sz w:val="18"/>
          <w:szCs w:val="18"/>
        </w:rPr>
      </w:pPr>
    </w:p>
    <w:p w:rsidR="00311FE5" w:rsidRPr="006F297E" w:rsidRDefault="00311FE5" w:rsidP="00311FE5">
      <w:pPr>
        <w:pStyle w:val="Heading4"/>
        <w:spacing w:line="240" w:lineRule="auto"/>
        <w:rPr>
          <w:rFonts w:ascii="Calibri" w:hAnsi="Calibri"/>
          <w:b/>
          <w:color w:val="990000"/>
        </w:rPr>
      </w:pPr>
      <w:bookmarkStart w:id="132" w:name="_Toc268669798"/>
      <w:r w:rsidRPr="006F297E">
        <w:rPr>
          <w:rFonts w:ascii="Calibri" w:hAnsi="Calibri"/>
          <w:b/>
          <w:color w:val="990000"/>
        </w:rPr>
        <w:lastRenderedPageBreak/>
        <w:t xml:space="preserve">Appendix </w:t>
      </w:r>
      <w:r w:rsidR="00770738">
        <w:rPr>
          <w:rFonts w:ascii="Calibri" w:hAnsi="Calibri"/>
          <w:b/>
          <w:color w:val="990000"/>
        </w:rPr>
        <w:t>H</w:t>
      </w:r>
      <w:r w:rsidR="00491523">
        <w:rPr>
          <w:rFonts w:ascii="Calibri" w:hAnsi="Calibri"/>
          <w:b/>
          <w:color w:val="990000"/>
        </w:rPr>
        <w:tab/>
        <w:t xml:space="preserve">Correlation Matrix </w:t>
      </w:r>
      <w:r w:rsidR="00437EAE">
        <w:rPr>
          <w:rFonts w:ascii="Calibri" w:hAnsi="Calibri"/>
          <w:b/>
          <w:color w:val="990000"/>
        </w:rPr>
        <w:t xml:space="preserve">and Model Summary </w:t>
      </w:r>
      <w:r w:rsidR="00491523">
        <w:rPr>
          <w:rFonts w:ascii="Calibri" w:hAnsi="Calibri"/>
          <w:b/>
          <w:color w:val="990000"/>
        </w:rPr>
        <w:t>pre-IFRS Period</w:t>
      </w:r>
      <w:bookmarkEnd w:id="132"/>
    </w:p>
    <w:p w:rsidR="00311FE5" w:rsidRDefault="00311FE5" w:rsidP="00311FE5"/>
    <w:p w:rsidR="00311FE5" w:rsidRPr="006F0303" w:rsidRDefault="00311FE5" w:rsidP="00311FE5">
      <w:pPr>
        <w:autoSpaceDE w:val="0"/>
        <w:autoSpaceDN w:val="0"/>
        <w:adjustRightInd w:val="0"/>
      </w:pPr>
    </w:p>
    <w:tbl>
      <w:tblPr>
        <w:tblW w:w="10080" w:type="dxa"/>
        <w:tblInd w:w="-4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4"/>
        <w:gridCol w:w="2429"/>
        <w:gridCol w:w="1308"/>
        <w:gridCol w:w="1455"/>
        <w:gridCol w:w="1457"/>
        <w:gridCol w:w="1457"/>
      </w:tblGrid>
      <w:tr w:rsidR="00311FE5" w:rsidRPr="006F0303" w:rsidTr="006F297E">
        <w:trPr>
          <w:cantSplit/>
          <w:tblHeader/>
        </w:trPr>
        <w:tc>
          <w:tcPr>
            <w:tcW w:w="10080" w:type="dxa"/>
            <w:gridSpan w:val="6"/>
            <w:tcBorders>
              <w:top w:val="nil"/>
              <w:left w:val="nil"/>
              <w:bottom w:val="nil"/>
              <w:right w:val="nil"/>
            </w:tcBorders>
            <w:shd w:val="clear" w:color="auto" w:fill="FFFFFF"/>
            <w:vAlign w:val="center"/>
          </w:tcPr>
          <w:p w:rsidR="00311FE5" w:rsidRPr="006F0303"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6F0303">
              <w:rPr>
                <w:rFonts w:ascii="Arial" w:hAnsi="Arial" w:cs="Arial"/>
                <w:b/>
                <w:bCs/>
                <w:color w:val="000000"/>
                <w:sz w:val="18"/>
                <w:szCs w:val="18"/>
              </w:rPr>
              <w:t>Correlations</w:t>
            </w:r>
          </w:p>
        </w:tc>
      </w:tr>
      <w:tr w:rsidR="00311FE5" w:rsidRPr="006F0303" w:rsidTr="006F297E">
        <w:trPr>
          <w:cantSplit/>
          <w:tblHeader/>
        </w:trPr>
        <w:tc>
          <w:tcPr>
            <w:tcW w:w="440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311FE5" w:rsidRPr="006F0303" w:rsidRDefault="00311FE5" w:rsidP="006F297E">
            <w:pPr>
              <w:autoSpaceDE w:val="0"/>
              <w:autoSpaceDN w:val="0"/>
              <w:adjustRightInd w:val="0"/>
              <w:spacing w:line="240" w:lineRule="auto"/>
              <w:jc w:val="center"/>
            </w:pPr>
          </w:p>
        </w:tc>
        <w:tc>
          <w:tcPr>
            <w:tcW w:w="1308" w:type="dxa"/>
            <w:tcBorders>
              <w:top w:val="single" w:sz="16" w:space="0" w:color="000000"/>
              <w:left w:val="single" w:sz="16" w:space="0" w:color="000000"/>
              <w:bottom w:val="single" w:sz="16" w:space="0" w:color="000000"/>
            </w:tcBorders>
            <w:shd w:val="clear" w:color="auto" w:fill="FFFFFF"/>
            <w:vAlign w:val="bottom"/>
          </w:tcPr>
          <w:p w:rsidR="00311FE5" w:rsidRPr="006F0303"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6F0303">
              <w:rPr>
                <w:rFonts w:ascii="Arial" w:hAnsi="Arial" w:cs="Arial"/>
                <w:color w:val="000000"/>
                <w:sz w:val="18"/>
                <w:szCs w:val="18"/>
              </w:rPr>
              <w:t>Aggregate</w:t>
            </w:r>
            <w:r>
              <w:rPr>
                <w:rFonts w:ascii="Arial" w:hAnsi="Arial" w:cs="Arial"/>
                <w:color w:val="000000"/>
                <w:sz w:val="18"/>
                <w:szCs w:val="18"/>
              </w:rPr>
              <w:t xml:space="preserve"> </w:t>
            </w:r>
            <w:r w:rsidRPr="006F0303">
              <w:rPr>
                <w:rFonts w:ascii="Arial" w:hAnsi="Arial" w:cs="Arial"/>
                <w:color w:val="000000"/>
                <w:sz w:val="18"/>
                <w:szCs w:val="18"/>
              </w:rPr>
              <w:t>IS</w:t>
            </w:r>
          </w:p>
        </w:tc>
        <w:tc>
          <w:tcPr>
            <w:tcW w:w="1455" w:type="dxa"/>
            <w:tcBorders>
              <w:top w:val="single" w:sz="16" w:space="0" w:color="000000"/>
              <w:bottom w:val="single" w:sz="16" w:space="0" w:color="000000"/>
            </w:tcBorders>
            <w:shd w:val="clear" w:color="auto" w:fill="FFFFFF"/>
            <w:vAlign w:val="bottom"/>
          </w:tcPr>
          <w:p w:rsidR="00311FE5" w:rsidRPr="006F0303"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ante</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457" w:type="dxa"/>
            <w:tcBorders>
              <w:top w:val="single" w:sz="16" w:space="0" w:color="000000"/>
              <w:bottom w:val="single" w:sz="16" w:space="0" w:color="000000"/>
            </w:tcBorders>
            <w:shd w:val="clear" w:color="auto" w:fill="FFFFFF"/>
            <w:vAlign w:val="bottom"/>
          </w:tcPr>
          <w:p w:rsidR="00311FE5" w:rsidRPr="006F0303"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post</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457" w:type="dxa"/>
            <w:tcBorders>
              <w:top w:val="single" w:sz="16" w:space="0" w:color="000000"/>
              <w:bottom w:val="single" w:sz="16" w:space="0" w:color="000000"/>
              <w:right w:val="single" w:sz="16" w:space="0" w:color="000000"/>
            </w:tcBorders>
            <w:shd w:val="clear" w:color="auto" w:fill="FFFFFF"/>
            <w:vAlign w:val="bottom"/>
          </w:tcPr>
          <w:p w:rsidR="00311FE5" w:rsidRPr="006F0303"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6F0303">
              <w:rPr>
                <w:rFonts w:ascii="Arial" w:hAnsi="Arial" w:cs="Arial"/>
                <w:color w:val="000000"/>
                <w:sz w:val="18"/>
                <w:szCs w:val="18"/>
              </w:rPr>
              <w:t>Public</w:t>
            </w:r>
            <w:r>
              <w:rPr>
                <w:rFonts w:ascii="Arial" w:hAnsi="Arial" w:cs="Arial"/>
                <w:color w:val="000000"/>
                <w:sz w:val="18"/>
                <w:szCs w:val="18"/>
              </w:rPr>
              <w:t xml:space="preserve"> </w:t>
            </w:r>
            <w:r w:rsidRPr="006F0303">
              <w:rPr>
                <w:rFonts w:ascii="Arial" w:hAnsi="Arial" w:cs="Arial"/>
                <w:color w:val="000000"/>
                <w:sz w:val="18"/>
                <w:szCs w:val="18"/>
              </w:rPr>
              <w:t>enforcement</w:t>
            </w:r>
          </w:p>
        </w:tc>
      </w:tr>
      <w:tr w:rsidR="00311FE5" w:rsidRPr="006F0303" w:rsidTr="006F297E">
        <w:trPr>
          <w:cantSplit/>
          <w:tblHeader/>
        </w:trPr>
        <w:tc>
          <w:tcPr>
            <w:tcW w:w="1974" w:type="dxa"/>
            <w:vMerge w:val="restart"/>
            <w:tcBorders>
              <w:top w:val="single" w:sz="16" w:space="0" w:color="000000"/>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Pearson Correlation</w:t>
            </w:r>
          </w:p>
        </w:tc>
        <w:tc>
          <w:tcPr>
            <w:tcW w:w="2429" w:type="dxa"/>
            <w:tcBorders>
              <w:top w:val="single" w:sz="16" w:space="0" w:color="000000"/>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Aggregate</w:t>
            </w:r>
            <w:r>
              <w:rPr>
                <w:rFonts w:ascii="Arial" w:hAnsi="Arial" w:cs="Arial"/>
                <w:color w:val="000000"/>
                <w:sz w:val="18"/>
                <w:szCs w:val="18"/>
              </w:rPr>
              <w:t xml:space="preserve"> </w:t>
            </w:r>
            <w:r w:rsidRPr="006F0303">
              <w:rPr>
                <w:rFonts w:ascii="Arial" w:hAnsi="Arial" w:cs="Arial"/>
                <w:color w:val="000000"/>
                <w:sz w:val="18"/>
                <w:szCs w:val="18"/>
              </w:rPr>
              <w:t>IS</w:t>
            </w:r>
          </w:p>
        </w:tc>
        <w:tc>
          <w:tcPr>
            <w:tcW w:w="1308" w:type="dxa"/>
            <w:tcBorders>
              <w:top w:val="single" w:sz="16" w:space="0" w:color="000000"/>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1.000</w:t>
            </w:r>
          </w:p>
        </w:tc>
        <w:tc>
          <w:tcPr>
            <w:tcW w:w="1455" w:type="dxa"/>
            <w:tcBorders>
              <w:top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-.365</w:t>
            </w:r>
          </w:p>
        </w:tc>
        <w:tc>
          <w:tcPr>
            <w:tcW w:w="1457" w:type="dxa"/>
            <w:tcBorders>
              <w:top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-.340</w:t>
            </w:r>
          </w:p>
        </w:tc>
        <w:tc>
          <w:tcPr>
            <w:tcW w:w="1457" w:type="dxa"/>
            <w:tcBorders>
              <w:top w:val="single" w:sz="16" w:space="0" w:color="000000"/>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.341</w:t>
            </w:r>
          </w:p>
        </w:tc>
      </w:tr>
      <w:tr w:rsidR="00311FE5" w:rsidRPr="006F0303"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ante</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-.365</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1.000</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.646</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-.451</w:t>
            </w:r>
          </w:p>
        </w:tc>
      </w:tr>
      <w:tr w:rsidR="00311FE5" w:rsidRPr="006F0303"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post</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-.340</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.646</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1.000</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-.408</w:t>
            </w:r>
          </w:p>
        </w:tc>
      </w:tr>
      <w:tr w:rsidR="00311FE5" w:rsidRPr="006F0303"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Public</w:t>
            </w:r>
            <w:r>
              <w:rPr>
                <w:rFonts w:ascii="Arial" w:hAnsi="Arial" w:cs="Arial"/>
                <w:color w:val="000000"/>
                <w:sz w:val="18"/>
                <w:szCs w:val="18"/>
              </w:rPr>
              <w:t xml:space="preserve"> </w:t>
            </w:r>
            <w:r w:rsidRPr="006F0303">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.341</w:t>
            </w:r>
          </w:p>
        </w:tc>
        <w:tc>
          <w:tcPr>
            <w:tcW w:w="1455" w:type="dxa"/>
            <w:tcBorders>
              <w:top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-.451</w:t>
            </w:r>
          </w:p>
        </w:tc>
        <w:tc>
          <w:tcPr>
            <w:tcW w:w="1457" w:type="dxa"/>
            <w:tcBorders>
              <w:top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-.408</w:t>
            </w:r>
          </w:p>
        </w:tc>
        <w:tc>
          <w:tcPr>
            <w:tcW w:w="1457" w:type="dxa"/>
            <w:tcBorders>
              <w:top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1.000</w:t>
            </w:r>
          </w:p>
        </w:tc>
      </w:tr>
      <w:tr w:rsidR="00311FE5" w:rsidRPr="006F0303" w:rsidTr="006F297E">
        <w:trPr>
          <w:cantSplit/>
          <w:tblHeader/>
        </w:trPr>
        <w:tc>
          <w:tcPr>
            <w:tcW w:w="1974" w:type="dxa"/>
            <w:vMerge w:val="restart"/>
            <w:tcBorders>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Sig. (1-tailed)</w:t>
            </w:r>
          </w:p>
        </w:tc>
        <w:tc>
          <w:tcPr>
            <w:tcW w:w="2429" w:type="dxa"/>
            <w:tcBorders>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Aggregate</w:t>
            </w:r>
            <w:r>
              <w:rPr>
                <w:rFonts w:ascii="Arial" w:hAnsi="Arial" w:cs="Arial"/>
                <w:color w:val="000000"/>
                <w:sz w:val="18"/>
                <w:szCs w:val="18"/>
              </w:rPr>
              <w:t xml:space="preserve"> </w:t>
            </w:r>
            <w:r w:rsidRPr="006F0303">
              <w:rPr>
                <w:rFonts w:ascii="Arial" w:hAnsi="Arial" w:cs="Arial"/>
                <w:color w:val="000000"/>
                <w:sz w:val="18"/>
                <w:szCs w:val="18"/>
              </w:rPr>
              <w:t>IS</w:t>
            </w:r>
          </w:p>
        </w:tc>
        <w:tc>
          <w:tcPr>
            <w:tcW w:w="1308" w:type="dxa"/>
            <w:tcBorders>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w:t>
            </w:r>
          </w:p>
        </w:tc>
        <w:tc>
          <w:tcPr>
            <w:tcW w:w="1455" w:type="dxa"/>
            <w:tcBorders>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w:t>
            </w:r>
          </w:p>
        </w:tc>
        <w:tc>
          <w:tcPr>
            <w:tcW w:w="1457" w:type="dxa"/>
            <w:tcBorders>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.117</w:t>
            </w:r>
          </w:p>
        </w:tc>
        <w:tc>
          <w:tcPr>
            <w:tcW w:w="1457" w:type="dxa"/>
            <w:tcBorders>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.116</w:t>
            </w:r>
          </w:p>
        </w:tc>
      </w:tr>
      <w:tr w:rsidR="00311FE5" w:rsidRPr="006F0303" w:rsidTr="006F297E">
        <w:trPr>
          <w:cantSplit/>
          <w:tblHeader/>
        </w:trPr>
        <w:tc>
          <w:tcPr>
            <w:tcW w:w="1974" w:type="dxa"/>
            <w:vMerge/>
            <w:tcBorders>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ante</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.100</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.006</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.053</w:t>
            </w:r>
          </w:p>
        </w:tc>
      </w:tr>
      <w:tr w:rsidR="00311FE5" w:rsidRPr="006F0303" w:rsidTr="006F297E">
        <w:trPr>
          <w:cantSplit/>
          <w:tblHeader/>
        </w:trPr>
        <w:tc>
          <w:tcPr>
            <w:tcW w:w="1974" w:type="dxa"/>
            <w:vMerge/>
            <w:tcBorders>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post</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.117</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.006</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.074</w:t>
            </w:r>
          </w:p>
        </w:tc>
      </w:tr>
      <w:tr w:rsidR="00311FE5" w:rsidRPr="006F0303" w:rsidTr="006F297E">
        <w:trPr>
          <w:cantSplit/>
          <w:tblHeader/>
        </w:trPr>
        <w:tc>
          <w:tcPr>
            <w:tcW w:w="1974" w:type="dxa"/>
            <w:vMerge/>
            <w:tcBorders>
              <w:left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Public</w:t>
            </w:r>
            <w:r>
              <w:rPr>
                <w:rFonts w:ascii="Arial" w:hAnsi="Arial" w:cs="Arial"/>
                <w:color w:val="000000"/>
                <w:sz w:val="18"/>
                <w:szCs w:val="18"/>
              </w:rPr>
              <w:t xml:space="preserve"> </w:t>
            </w:r>
            <w:r w:rsidRPr="006F0303">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.116</w:t>
            </w:r>
          </w:p>
        </w:tc>
        <w:tc>
          <w:tcPr>
            <w:tcW w:w="1455" w:type="dxa"/>
            <w:tcBorders>
              <w:top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.053</w:t>
            </w:r>
          </w:p>
        </w:tc>
        <w:tc>
          <w:tcPr>
            <w:tcW w:w="1457" w:type="dxa"/>
            <w:tcBorders>
              <w:top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.074</w:t>
            </w:r>
          </w:p>
        </w:tc>
        <w:tc>
          <w:tcPr>
            <w:tcW w:w="1457" w:type="dxa"/>
            <w:tcBorders>
              <w:top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w:t>
            </w:r>
          </w:p>
        </w:tc>
      </w:tr>
      <w:tr w:rsidR="00311FE5" w:rsidRPr="006F0303" w:rsidTr="006F297E">
        <w:trPr>
          <w:cantSplit/>
          <w:tblHeader/>
        </w:trPr>
        <w:tc>
          <w:tcPr>
            <w:tcW w:w="1974" w:type="dxa"/>
            <w:vMerge w:val="restart"/>
            <w:tcBorders>
              <w:left w:val="single" w:sz="16" w:space="0" w:color="000000"/>
              <w:bottom w:val="single" w:sz="16" w:space="0" w:color="000000"/>
              <w:right w:val="nil"/>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N</w:t>
            </w:r>
          </w:p>
        </w:tc>
        <w:tc>
          <w:tcPr>
            <w:tcW w:w="2429" w:type="dxa"/>
            <w:tcBorders>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Aggregate</w:t>
            </w:r>
            <w:r>
              <w:rPr>
                <w:rFonts w:ascii="Arial" w:hAnsi="Arial" w:cs="Arial"/>
                <w:color w:val="000000"/>
                <w:sz w:val="18"/>
                <w:szCs w:val="18"/>
              </w:rPr>
              <w:t xml:space="preserve"> </w:t>
            </w:r>
            <w:r w:rsidRPr="006F0303">
              <w:rPr>
                <w:rFonts w:ascii="Arial" w:hAnsi="Arial" w:cs="Arial"/>
                <w:color w:val="000000"/>
                <w:sz w:val="18"/>
                <w:szCs w:val="18"/>
              </w:rPr>
              <w:t>IS</w:t>
            </w:r>
          </w:p>
        </w:tc>
        <w:tc>
          <w:tcPr>
            <w:tcW w:w="1308" w:type="dxa"/>
            <w:tcBorders>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5" w:type="dxa"/>
            <w:tcBorders>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r>
      <w:tr w:rsidR="00311FE5" w:rsidRPr="006F0303" w:rsidTr="006F297E">
        <w:trPr>
          <w:cantSplit/>
          <w:tblHeader/>
        </w:trPr>
        <w:tc>
          <w:tcPr>
            <w:tcW w:w="1974" w:type="dxa"/>
            <w:vMerge/>
            <w:tcBorders>
              <w:left w:val="single" w:sz="16" w:space="0" w:color="000000"/>
              <w:bottom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ante</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r>
      <w:tr w:rsidR="00311FE5" w:rsidRPr="006F0303" w:rsidTr="006F297E">
        <w:trPr>
          <w:cantSplit/>
          <w:tblHeader/>
        </w:trPr>
        <w:tc>
          <w:tcPr>
            <w:tcW w:w="1974" w:type="dxa"/>
            <w:vMerge/>
            <w:tcBorders>
              <w:left w:val="single" w:sz="16" w:space="0" w:color="000000"/>
              <w:bottom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Ex</w:t>
            </w:r>
            <w:r>
              <w:rPr>
                <w:rFonts w:ascii="Arial" w:hAnsi="Arial" w:cs="Arial"/>
                <w:color w:val="000000"/>
                <w:sz w:val="18"/>
                <w:szCs w:val="18"/>
              </w:rPr>
              <w:t xml:space="preserve"> </w:t>
            </w:r>
            <w:r w:rsidRPr="006F0303">
              <w:rPr>
                <w:rFonts w:ascii="Arial" w:hAnsi="Arial" w:cs="Arial"/>
                <w:color w:val="000000"/>
                <w:sz w:val="18"/>
                <w:szCs w:val="18"/>
              </w:rPr>
              <w:t>post</w:t>
            </w:r>
            <w:r>
              <w:rPr>
                <w:rFonts w:ascii="Arial" w:hAnsi="Arial" w:cs="Arial"/>
                <w:color w:val="000000"/>
                <w:sz w:val="18"/>
                <w:szCs w:val="18"/>
              </w:rPr>
              <w:t xml:space="preserve"> </w:t>
            </w:r>
            <w:r w:rsidRPr="006F0303">
              <w:rPr>
                <w:rFonts w:ascii="Arial" w:hAnsi="Arial" w:cs="Arial"/>
                <w:color w:val="000000"/>
                <w:sz w:val="18"/>
                <w:szCs w:val="18"/>
              </w:rPr>
              <w:t>private</w:t>
            </w:r>
            <w:r>
              <w:rPr>
                <w:rFonts w:ascii="Arial" w:hAnsi="Arial" w:cs="Arial"/>
                <w:color w:val="000000"/>
                <w:sz w:val="18"/>
                <w:szCs w:val="18"/>
              </w:rPr>
              <w:t xml:space="preserve"> </w:t>
            </w:r>
            <w:r w:rsidRPr="006F0303">
              <w:rPr>
                <w:rFonts w:ascii="Arial" w:hAnsi="Arial" w:cs="Arial"/>
                <w:color w:val="000000"/>
                <w:sz w:val="18"/>
                <w:szCs w:val="18"/>
              </w:rPr>
              <w:t>control</w:t>
            </w:r>
            <w:r>
              <w:rPr>
                <w:rFonts w:ascii="Arial" w:hAnsi="Arial" w:cs="Arial"/>
                <w:color w:val="000000"/>
                <w:sz w:val="18"/>
                <w:szCs w:val="18"/>
              </w:rPr>
              <w:t xml:space="preserve"> </w:t>
            </w:r>
            <w:r w:rsidRPr="006F0303">
              <w:rPr>
                <w:rFonts w:ascii="Arial" w:hAnsi="Arial" w:cs="Arial"/>
                <w:color w:val="000000"/>
                <w:sz w:val="18"/>
                <w:szCs w:val="18"/>
              </w:rPr>
              <w:t>of</w:t>
            </w:r>
            <w:r>
              <w:rPr>
                <w:rFonts w:ascii="Arial" w:hAnsi="Arial" w:cs="Arial"/>
                <w:color w:val="000000"/>
                <w:sz w:val="18"/>
                <w:szCs w:val="18"/>
              </w:rPr>
              <w:t xml:space="preserve"> </w:t>
            </w:r>
            <w:r w:rsidRPr="006F0303">
              <w:rPr>
                <w:rFonts w:ascii="Arial" w:hAnsi="Arial" w:cs="Arial"/>
                <w:color w:val="000000"/>
                <w:sz w:val="18"/>
                <w:szCs w:val="18"/>
              </w:rPr>
              <w:t>self</w:t>
            </w:r>
            <w:r>
              <w:rPr>
                <w:rFonts w:ascii="Arial" w:hAnsi="Arial" w:cs="Arial"/>
                <w:color w:val="000000"/>
                <w:sz w:val="18"/>
                <w:szCs w:val="18"/>
              </w:rPr>
              <w:t>-</w:t>
            </w:r>
            <w:r w:rsidRPr="006F0303">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5"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nil"/>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nil"/>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r>
      <w:tr w:rsidR="00311FE5" w:rsidRPr="006F0303" w:rsidTr="006F297E">
        <w:trPr>
          <w:cantSplit/>
        </w:trPr>
        <w:tc>
          <w:tcPr>
            <w:tcW w:w="1974" w:type="dxa"/>
            <w:vMerge/>
            <w:tcBorders>
              <w:left w:val="single" w:sz="16" w:space="0" w:color="000000"/>
              <w:bottom w:val="single" w:sz="16" w:space="0" w:color="000000"/>
              <w:right w:val="nil"/>
            </w:tcBorders>
            <w:shd w:val="clear" w:color="auto" w:fill="FFFFFF"/>
          </w:tcPr>
          <w:p w:rsidR="00311FE5" w:rsidRPr="006F0303"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single" w:sz="16" w:space="0" w:color="000000"/>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rPr>
                <w:rFonts w:ascii="Arial" w:hAnsi="Arial" w:cs="Arial"/>
                <w:color w:val="000000"/>
                <w:sz w:val="18"/>
                <w:szCs w:val="18"/>
              </w:rPr>
            </w:pPr>
            <w:r w:rsidRPr="006F0303">
              <w:rPr>
                <w:rFonts w:ascii="Arial" w:hAnsi="Arial" w:cs="Arial"/>
                <w:color w:val="000000"/>
                <w:sz w:val="18"/>
                <w:szCs w:val="18"/>
              </w:rPr>
              <w:t>Public</w:t>
            </w:r>
            <w:r>
              <w:rPr>
                <w:rFonts w:ascii="Arial" w:hAnsi="Arial" w:cs="Arial"/>
                <w:color w:val="000000"/>
                <w:sz w:val="18"/>
                <w:szCs w:val="18"/>
              </w:rPr>
              <w:t xml:space="preserve"> </w:t>
            </w:r>
            <w:r w:rsidRPr="006F0303">
              <w:rPr>
                <w:rFonts w:ascii="Arial" w:hAnsi="Arial" w:cs="Arial"/>
                <w:color w:val="000000"/>
                <w:sz w:val="18"/>
                <w:szCs w:val="18"/>
              </w:rPr>
              <w:t>enforcement</w:t>
            </w:r>
          </w:p>
        </w:tc>
        <w:tc>
          <w:tcPr>
            <w:tcW w:w="1308" w:type="dxa"/>
            <w:tcBorders>
              <w:top w:val="nil"/>
              <w:left w:val="single" w:sz="16" w:space="0" w:color="000000"/>
              <w:bottom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5" w:type="dxa"/>
            <w:tcBorders>
              <w:top w:val="nil"/>
              <w:bottom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c>
          <w:tcPr>
            <w:tcW w:w="1457" w:type="dxa"/>
            <w:tcBorders>
              <w:top w:val="nil"/>
              <w:bottom w:val="single" w:sz="16" w:space="0" w:color="000000"/>
              <w:right w:val="single" w:sz="16" w:space="0" w:color="000000"/>
            </w:tcBorders>
            <w:shd w:val="clear" w:color="auto" w:fill="FFFFFF"/>
          </w:tcPr>
          <w:p w:rsidR="00311FE5" w:rsidRPr="006F0303"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6F0303">
              <w:rPr>
                <w:rFonts w:ascii="Arial" w:hAnsi="Arial" w:cs="Arial"/>
                <w:color w:val="000000"/>
                <w:sz w:val="18"/>
                <w:szCs w:val="18"/>
              </w:rPr>
              <w:t>14</w:t>
            </w:r>
          </w:p>
        </w:tc>
      </w:tr>
    </w:tbl>
    <w:p w:rsidR="00311FE5" w:rsidRPr="006F0303" w:rsidRDefault="00311FE5" w:rsidP="006F297E">
      <w:pPr>
        <w:autoSpaceDE w:val="0"/>
        <w:autoSpaceDN w:val="0"/>
        <w:adjustRightInd w:val="0"/>
        <w:spacing w:line="240" w:lineRule="auto"/>
      </w:pPr>
    </w:p>
    <w:p w:rsidR="00311FE5" w:rsidRPr="006F0303" w:rsidRDefault="00311FE5" w:rsidP="006F297E">
      <w:pPr>
        <w:spacing w:line="240" w:lineRule="auto"/>
      </w:pPr>
    </w:p>
    <w:p w:rsidR="00311FE5" w:rsidRPr="006F0303" w:rsidRDefault="00311FE5" w:rsidP="006F297E">
      <w:pPr>
        <w:autoSpaceDE w:val="0"/>
        <w:autoSpaceDN w:val="0"/>
        <w:adjustRightInd w:val="0"/>
        <w:spacing w:line="240" w:lineRule="auto"/>
        <w:ind w:hanging="540"/>
      </w:pPr>
    </w:p>
    <w:p w:rsidR="00311FE5" w:rsidRPr="008B00E7" w:rsidRDefault="00311FE5" w:rsidP="006F297E">
      <w:pPr>
        <w:autoSpaceDE w:val="0"/>
        <w:autoSpaceDN w:val="0"/>
        <w:adjustRightInd w:val="0"/>
        <w:spacing w:line="240" w:lineRule="auto"/>
      </w:pPr>
    </w:p>
    <w:tbl>
      <w:tblPr>
        <w:tblW w:w="6480"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48"/>
        <w:gridCol w:w="852"/>
        <w:gridCol w:w="810"/>
        <w:gridCol w:w="900"/>
        <w:gridCol w:w="990"/>
        <w:gridCol w:w="1170"/>
        <w:gridCol w:w="1710"/>
      </w:tblGrid>
      <w:tr w:rsidR="00311FE5" w:rsidRPr="008B00E7" w:rsidTr="00581754">
        <w:trPr>
          <w:cantSplit/>
          <w:trHeight w:val="438"/>
          <w:tblHeader/>
        </w:trPr>
        <w:tc>
          <w:tcPr>
            <w:tcW w:w="90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rPr>
                <w:rFonts w:ascii="Arial" w:hAnsi="Arial" w:cs="Arial"/>
                <w:color w:val="000000"/>
                <w:sz w:val="18"/>
                <w:szCs w:val="18"/>
              </w:rPr>
            </w:pPr>
            <w:r w:rsidRPr="008B00E7">
              <w:rPr>
                <w:rFonts w:ascii="Arial" w:hAnsi="Arial" w:cs="Arial"/>
                <w:color w:val="000000"/>
                <w:sz w:val="18"/>
                <w:szCs w:val="18"/>
              </w:rPr>
              <w:t>Model</w:t>
            </w:r>
          </w:p>
        </w:tc>
        <w:tc>
          <w:tcPr>
            <w:tcW w:w="810" w:type="dxa"/>
            <w:vMerge w:val="restart"/>
            <w:tcBorders>
              <w:top w:val="single" w:sz="16" w:space="0" w:color="000000"/>
              <w:left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8B00E7">
              <w:rPr>
                <w:rFonts w:ascii="Arial" w:hAnsi="Arial" w:cs="Arial"/>
                <w:color w:val="000000"/>
                <w:sz w:val="18"/>
                <w:szCs w:val="18"/>
              </w:rPr>
              <w:t>R</w:t>
            </w:r>
          </w:p>
        </w:tc>
        <w:tc>
          <w:tcPr>
            <w:tcW w:w="900" w:type="dxa"/>
            <w:vMerge w:val="restart"/>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8B00E7">
              <w:rPr>
                <w:rFonts w:ascii="Arial" w:hAnsi="Arial" w:cs="Arial"/>
                <w:color w:val="000000"/>
                <w:sz w:val="18"/>
                <w:szCs w:val="18"/>
              </w:rPr>
              <w:t>R Square</w:t>
            </w:r>
          </w:p>
        </w:tc>
        <w:tc>
          <w:tcPr>
            <w:tcW w:w="990" w:type="dxa"/>
            <w:vMerge w:val="restart"/>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8B00E7">
              <w:rPr>
                <w:rFonts w:ascii="Arial" w:hAnsi="Arial" w:cs="Arial"/>
                <w:color w:val="000000"/>
                <w:sz w:val="18"/>
                <w:szCs w:val="18"/>
              </w:rPr>
              <w:t>Adjusted R Square</w:t>
            </w:r>
          </w:p>
        </w:tc>
        <w:tc>
          <w:tcPr>
            <w:tcW w:w="1170" w:type="dxa"/>
            <w:vMerge w:val="restart"/>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8B00E7">
              <w:rPr>
                <w:rFonts w:ascii="Arial" w:hAnsi="Arial" w:cs="Arial"/>
                <w:color w:val="000000"/>
                <w:sz w:val="18"/>
                <w:szCs w:val="18"/>
              </w:rPr>
              <w:t>Std. Error of the Estimate</w:t>
            </w:r>
          </w:p>
        </w:tc>
        <w:tc>
          <w:tcPr>
            <w:tcW w:w="1710" w:type="dxa"/>
            <w:vMerge w:val="restart"/>
            <w:tcBorders>
              <w:top w:val="single" w:sz="16" w:space="0" w:color="000000"/>
              <w:bottom w:val="single" w:sz="16" w:space="0" w:color="000000"/>
              <w:right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8B00E7">
              <w:rPr>
                <w:rFonts w:ascii="Arial" w:hAnsi="Arial" w:cs="Arial"/>
                <w:color w:val="000000"/>
                <w:sz w:val="18"/>
                <w:szCs w:val="18"/>
              </w:rPr>
              <w:t>Durbin-Watson</w:t>
            </w:r>
          </w:p>
        </w:tc>
      </w:tr>
      <w:tr w:rsidR="00311FE5" w:rsidRPr="008B00E7" w:rsidTr="00581754">
        <w:trPr>
          <w:cantSplit/>
          <w:trHeight w:val="438"/>
          <w:tblHeader/>
        </w:trPr>
        <w:tc>
          <w:tcPr>
            <w:tcW w:w="900"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c>
          <w:tcPr>
            <w:tcW w:w="810" w:type="dxa"/>
            <w:vMerge/>
            <w:tcBorders>
              <w:top w:val="single" w:sz="16" w:space="0" w:color="000000"/>
              <w:left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c>
          <w:tcPr>
            <w:tcW w:w="900" w:type="dxa"/>
            <w:vMerge/>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c>
          <w:tcPr>
            <w:tcW w:w="990" w:type="dxa"/>
            <w:vMerge/>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c>
          <w:tcPr>
            <w:tcW w:w="1170" w:type="dxa"/>
            <w:vMerge/>
            <w:tcBorders>
              <w:top w:val="single" w:sz="16" w:space="0" w:color="000000"/>
              <w:bottom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c>
          <w:tcPr>
            <w:tcW w:w="1710" w:type="dxa"/>
            <w:vMerge/>
            <w:tcBorders>
              <w:top w:val="single" w:sz="16" w:space="0" w:color="000000"/>
              <w:bottom w:val="single" w:sz="16" w:space="0" w:color="000000"/>
              <w:right w:val="single" w:sz="16" w:space="0" w:color="000000"/>
            </w:tcBorders>
            <w:shd w:val="clear" w:color="auto" w:fill="FFFFFF"/>
            <w:vAlign w:val="bottom"/>
          </w:tcPr>
          <w:p w:rsidR="00311FE5" w:rsidRPr="008B00E7" w:rsidRDefault="00311FE5" w:rsidP="006F297E">
            <w:pPr>
              <w:autoSpaceDE w:val="0"/>
              <w:autoSpaceDN w:val="0"/>
              <w:adjustRightInd w:val="0"/>
              <w:spacing w:line="240" w:lineRule="auto"/>
              <w:rPr>
                <w:rFonts w:ascii="Arial" w:hAnsi="Arial" w:cs="Arial"/>
                <w:color w:val="000000"/>
                <w:sz w:val="18"/>
                <w:szCs w:val="18"/>
              </w:rPr>
            </w:pPr>
          </w:p>
        </w:tc>
      </w:tr>
      <w:tr w:rsidR="00311FE5" w:rsidRPr="008B00E7" w:rsidTr="00581754">
        <w:trPr>
          <w:cantSplit/>
          <w:trHeight w:val="281"/>
          <w:tblHeader/>
        </w:trPr>
        <w:tc>
          <w:tcPr>
            <w:tcW w:w="48" w:type="dxa"/>
            <w:vMerge w:val="restart"/>
            <w:tcBorders>
              <w:top w:val="single" w:sz="16" w:space="0" w:color="000000"/>
              <w:left w:val="single" w:sz="16" w:space="0" w:color="000000"/>
              <w:bottom w:val="single" w:sz="16" w:space="0" w:color="000000"/>
              <w:right w:val="nil"/>
            </w:tcBorders>
            <w:shd w:val="clear" w:color="auto" w:fill="FFFFFF"/>
            <w:vAlign w:val="center"/>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2"/>
                <w:szCs w:val="2"/>
              </w:rPr>
            </w:pPr>
            <w:r w:rsidRPr="008B00E7">
              <w:rPr>
                <w:rFonts w:ascii="Arial" w:hAnsi="Arial" w:cs="Arial"/>
                <w:color w:val="000000"/>
                <w:sz w:val="2"/>
                <w:szCs w:val="2"/>
              </w:rPr>
              <w:t>dimension0</w:t>
            </w:r>
          </w:p>
        </w:tc>
        <w:tc>
          <w:tcPr>
            <w:tcW w:w="852" w:type="dxa"/>
            <w:tcBorders>
              <w:top w:val="single" w:sz="16" w:space="0" w:color="000000"/>
              <w:left w:val="nil"/>
              <w:bottom w:val="nil"/>
              <w:right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rPr>
                <w:rFonts w:ascii="Arial" w:hAnsi="Arial" w:cs="Arial"/>
                <w:color w:val="000000"/>
                <w:sz w:val="18"/>
                <w:szCs w:val="18"/>
              </w:rPr>
            </w:pPr>
            <w:r w:rsidRPr="008B00E7">
              <w:rPr>
                <w:rFonts w:ascii="Arial" w:hAnsi="Arial" w:cs="Arial"/>
                <w:color w:val="000000"/>
                <w:sz w:val="18"/>
                <w:szCs w:val="18"/>
              </w:rPr>
              <w:t>1</w:t>
            </w:r>
          </w:p>
        </w:tc>
        <w:tc>
          <w:tcPr>
            <w:tcW w:w="810" w:type="dxa"/>
            <w:tcBorders>
              <w:top w:val="single" w:sz="16" w:space="0" w:color="000000"/>
              <w:left w:val="single" w:sz="16" w:space="0" w:color="000000"/>
              <w:bottom w:val="nil"/>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.390</w:t>
            </w:r>
            <w:r w:rsidRPr="008B00E7">
              <w:rPr>
                <w:rFonts w:ascii="Arial" w:hAnsi="Arial" w:cs="Arial"/>
                <w:color w:val="000000"/>
                <w:sz w:val="18"/>
                <w:szCs w:val="18"/>
                <w:vertAlign w:val="superscript"/>
              </w:rPr>
              <w:t>a</w:t>
            </w:r>
          </w:p>
        </w:tc>
        <w:tc>
          <w:tcPr>
            <w:tcW w:w="900" w:type="dxa"/>
            <w:tcBorders>
              <w:top w:val="single" w:sz="16" w:space="0" w:color="000000"/>
              <w:bottom w:val="nil"/>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.152</w:t>
            </w:r>
          </w:p>
        </w:tc>
        <w:tc>
          <w:tcPr>
            <w:tcW w:w="990" w:type="dxa"/>
            <w:tcBorders>
              <w:top w:val="single" w:sz="16" w:space="0" w:color="000000"/>
              <w:bottom w:val="nil"/>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-.002</w:t>
            </w:r>
          </w:p>
        </w:tc>
        <w:tc>
          <w:tcPr>
            <w:tcW w:w="1170" w:type="dxa"/>
            <w:tcBorders>
              <w:top w:val="single" w:sz="16" w:space="0" w:color="000000"/>
              <w:bottom w:val="nil"/>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3.71500</w:t>
            </w:r>
          </w:p>
        </w:tc>
        <w:tc>
          <w:tcPr>
            <w:tcW w:w="1710" w:type="dxa"/>
            <w:tcBorders>
              <w:top w:val="single" w:sz="16" w:space="0" w:color="000000"/>
              <w:bottom w:val="nil"/>
              <w:right w:val="single" w:sz="16" w:space="0" w:color="000000"/>
            </w:tcBorders>
            <w:shd w:val="clear" w:color="auto" w:fill="FFFFFF"/>
            <w:vAlign w:val="center"/>
          </w:tcPr>
          <w:p w:rsidR="00311FE5" w:rsidRPr="008B00E7" w:rsidRDefault="00311FE5" w:rsidP="006F297E">
            <w:pPr>
              <w:autoSpaceDE w:val="0"/>
              <w:autoSpaceDN w:val="0"/>
              <w:adjustRightInd w:val="0"/>
              <w:spacing w:line="240" w:lineRule="auto"/>
              <w:jc w:val="center"/>
            </w:pPr>
          </w:p>
        </w:tc>
      </w:tr>
      <w:tr w:rsidR="00311FE5" w:rsidRPr="008B00E7" w:rsidTr="00581754">
        <w:trPr>
          <w:cantSplit/>
          <w:trHeight w:val="150"/>
          <w:tblHeader/>
        </w:trPr>
        <w:tc>
          <w:tcPr>
            <w:tcW w:w="48" w:type="dxa"/>
            <w:vMerge/>
            <w:tcBorders>
              <w:top w:val="single" w:sz="16" w:space="0" w:color="000000"/>
              <w:left w:val="single" w:sz="16" w:space="0" w:color="000000"/>
              <w:bottom w:val="single" w:sz="16" w:space="0" w:color="000000"/>
              <w:right w:val="nil"/>
            </w:tcBorders>
            <w:shd w:val="clear" w:color="auto" w:fill="FFFFFF"/>
            <w:vAlign w:val="center"/>
          </w:tcPr>
          <w:p w:rsidR="00311FE5" w:rsidRPr="008B00E7" w:rsidRDefault="00311FE5" w:rsidP="006F297E">
            <w:pPr>
              <w:autoSpaceDE w:val="0"/>
              <w:autoSpaceDN w:val="0"/>
              <w:adjustRightInd w:val="0"/>
              <w:spacing w:line="240" w:lineRule="auto"/>
            </w:pPr>
          </w:p>
        </w:tc>
        <w:tc>
          <w:tcPr>
            <w:tcW w:w="852" w:type="dxa"/>
            <w:tcBorders>
              <w:top w:val="nil"/>
              <w:left w:val="nil"/>
              <w:bottom w:val="single" w:sz="16" w:space="0" w:color="000000"/>
              <w:right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rPr>
                <w:rFonts w:ascii="Arial" w:hAnsi="Arial" w:cs="Arial"/>
                <w:color w:val="000000"/>
                <w:sz w:val="18"/>
                <w:szCs w:val="18"/>
              </w:rPr>
            </w:pPr>
            <w:r w:rsidRPr="008B00E7">
              <w:rPr>
                <w:rFonts w:ascii="Arial" w:hAnsi="Arial" w:cs="Arial"/>
                <w:color w:val="000000"/>
                <w:sz w:val="18"/>
                <w:szCs w:val="18"/>
              </w:rPr>
              <w:t>2</w:t>
            </w:r>
          </w:p>
        </w:tc>
        <w:tc>
          <w:tcPr>
            <w:tcW w:w="810" w:type="dxa"/>
            <w:tcBorders>
              <w:top w:val="nil"/>
              <w:left w:val="single" w:sz="16" w:space="0" w:color="000000"/>
              <w:bottom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.428</w:t>
            </w:r>
            <w:r w:rsidRPr="008B00E7">
              <w:rPr>
                <w:rFonts w:ascii="Arial" w:hAnsi="Arial" w:cs="Arial"/>
                <w:color w:val="000000"/>
                <w:sz w:val="18"/>
                <w:szCs w:val="18"/>
                <w:vertAlign w:val="superscript"/>
              </w:rPr>
              <w:t>b</w:t>
            </w:r>
          </w:p>
        </w:tc>
        <w:tc>
          <w:tcPr>
            <w:tcW w:w="900" w:type="dxa"/>
            <w:tcBorders>
              <w:top w:val="nil"/>
              <w:bottom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.183</w:t>
            </w:r>
          </w:p>
        </w:tc>
        <w:tc>
          <w:tcPr>
            <w:tcW w:w="990" w:type="dxa"/>
            <w:tcBorders>
              <w:top w:val="nil"/>
              <w:bottom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-.062</w:t>
            </w:r>
          </w:p>
        </w:tc>
        <w:tc>
          <w:tcPr>
            <w:tcW w:w="1170" w:type="dxa"/>
            <w:tcBorders>
              <w:top w:val="nil"/>
              <w:bottom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3.82337</w:t>
            </w:r>
          </w:p>
        </w:tc>
        <w:tc>
          <w:tcPr>
            <w:tcW w:w="1710" w:type="dxa"/>
            <w:tcBorders>
              <w:top w:val="nil"/>
              <w:bottom w:val="single" w:sz="16" w:space="0" w:color="000000"/>
              <w:right w:val="single" w:sz="16" w:space="0" w:color="000000"/>
            </w:tcBorders>
            <w:shd w:val="clear" w:color="auto" w:fill="FFFFFF"/>
          </w:tcPr>
          <w:p w:rsidR="00311FE5" w:rsidRPr="008B00E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8B00E7">
              <w:rPr>
                <w:rFonts w:ascii="Arial" w:hAnsi="Arial" w:cs="Arial"/>
                <w:color w:val="000000"/>
                <w:sz w:val="18"/>
                <w:szCs w:val="18"/>
              </w:rPr>
              <w:t>.</w:t>
            </w:r>
            <w:r>
              <w:rPr>
                <w:rFonts w:ascii="Arial" w:hAnsi="Arial" w:cs="Arial"/>
                <w:color w:val="000000"/>
                <w:sz w:val="18"/>
                <w:szCs w:val="18"/>
              </w:rPr>
              <w:t>9</w:t>
            </w:r>
            <w:r w:rsidRPr="008B00E7">
              <w:rPr>
                <w:rFonts w:ascii="Arial" w:hAnsi="Arial" w:cs="Arial"/>
                <w:color w:val="000000"/>
                <w:sz w:val="18"/>
                <w:szCs w:val="18"/>
              </w:rPr>
              <w:t>62</w:t>
            </w:r>
          </w:p>
        </w:tc>
      </w:tr>
    </w:tbl>
    <w:p w:rsidR="00311FE5" w:rsidRDefault="00311FE5" w:rsidP="00311FE5">
      <w:pPr>
        <w:autoSpaceDE w:val="0"/>
        <w:autoSpaceDN w:val="0"/>
        <w:adjustRightInd w:val="0"/>
      </w:pPr>
    </w:p>
    <w:p w:rsidR="006F297E" w:rsidRDefault="006F297E" w:rsidP="00311FE5">
      <w:pPr>
        <w:autoSpaceDE w:val="0"/>
        <w:autoSpaceDN w:val="0"/>
        <w:adjustRightInd w:val="0"/>
      </w:pPr>
    </w:p>
    <w:p w:rsidR="006F297E" w:rsidRPr="008B00E7" w:rsidRDefault="006F297E" w:rsidP="00311FE5">
      <w:pPr>
        <w:autoSpaceDE w:val="0"/>
        <w:autoSpaceDN w:val="0"/>
        <w:adjustRightInd w:val="0"/>
      </w:pPr>
    </w:p>
    <w:p w:rsidR="00311FE5" w:rsidRPr="006F297E" w:rsidRDefault="00311FE5" w:rsidP="00311FE5">
      <w:pPr>
        <w:pStyle w:val="Heading4"/>
        <w:spacing w:line="240" w:lineRule="auto"/>
        <w:rPr>
          <w:rFonts w:ascii="Calibri" w:hAnsi="Calibri"/>
          <w:b/>
          <w:color w:val="990000"/>
        </w:rPr>
      </w:pPr>
      <w:bookmarkStart w:id="133" w:name="_Toc268669799"/>
      <w:r w:rsidRPr="006F297E">
        <w:rPr>
          <w:rFonts w:ascii="Calibri" w:hAnsi="Calibri"/>
          <w:b/>
          <w:color w:val="990000"/>
        </w:rPr>
        <w:lastRenderedPageBreak/>
        <w:t xml:space="preserve">Appendix </w:t>
      </w:r>
      <w:r w:rsidR="00770738">
        <w:rPr>
          <w:rFonts w:ascii="Calibri" w:hAnsi="Calibri"/>
          <w:b/>
          <w:color w:val="990000"/>
        </w:rPr>
        <w:t>I</w:t>
      </w:r>
      <w:r w:rsidR="009F5D07">
        <w:rPr>
          <w:rFonts w:ascii="Calibri" w:hAnsi="Calibri"/>
          <w:b/>
          <w:color w:val="990000"/>
        </w:rPr>
        <w:tab/>
        <w:t>Correlation Matrix and Model Summary post-IFRS Period</w:t>
      </w:r>
      <w:bookmarkEnd w:id="133"/>
    </w:p>
    <w:p w:rsidR="00311FE5" w:rsidRDefault="00311FE5" w:rsidP="00311FE5"/>
    <w:p w:rsidR="00311FE5" w:rsidRPr="0074421A" w:rsidRDefault="00311FE5" w:rsidP="00311FE5">
      <w:pPr>
        <w:autoSpaceDE w:val="0"/>
        <w:autoSpaceDN w:val="0"/>
        <w:adjustRightInd w:val="0"/>
        <w:spacing w:line="240" w:lineRule="auto"/>
      </w:pPr>
    </w:p>
    <w:tbl>
      <w:tblPr>
        <w:tblW w:w="10080" w:type="dxa"/>
        <w:tblInd w:w="-49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974"/>
        <w:gridCol w:w="2429"/>
        <w:gridCol w:w="1308"/>
        <w:gridCol w:w="1455"/>
        <w:gridCol w:w="1457"/>
        <w:gridCol w:w="1457"/>
      </w:tblGrid>
      <w:tr w:rsidR="00311FE5" w:rsidRPr="0074421A" w:rsidTr="006F297E">
        <w:trPr>
          <w:cantSplit/>
          <w:tblHeader/>
        </w:trPr>
        <w:tc>
          <w:tcPr>
            <w:tcW w:w="10080" w:type="dxa"/>
            <w:gridSpan w:val="6"/>
            <w:tcBorders>
              <w:top w:val="nil"/>
              <w:left w:val="nil"/>
              <w:bottom w:val="nil"/>
              <w:right w:val="nil"/>
            </w:tcBorders>
            <w:shd w:val="clear" w:color="auto" w:fill="FFFFFF"/>
            <w:vAlign w:val="center"/>
          </w:tcPr>
          <w:p w:rsidR="00311FE5" w:rsidRPr="0074421A" w:rsidRDefault="00311FE5" w:rsidP="00311FE5">
            <w:pPr>
              <w:autoSpaceDE w:val="0"/>
              <w:autoSpaceDN w:val="0"/>
              <w:adjustRightInd w:val="0"/>
              <w:spacing w:line="240" w:lineRule="auto"/>
              <w:ind w:left="60" w:right="60"/>
              <w:jc w:val="center"/>
              <w:rPr>
                <w:rFonts w:ascii="Arial" w:hAnsi="Arial" w:cs="Arial"/>
                <w:color w:val="000000"/>
                <w:sz w:val="18"/>
                <w:szCs w:val="18"/>
              </w:rPr>
            </w:pPr>
            <w:r w:rsidRPr="0074421A">
              <w:rPr>
                <w:rFonts w:ascii="Arial" w:hAnsi="Arial" w:cs="Arial"/>
                <w:b/>
                <w:bCs/>
                <w:color w:val="000000"/>
                <w:sz w:val="18"/>
                <w:szCs w:val="18"/>
              </w:rPr>
              <w:t>Correlations</w:t>
            </w:r>
          </w:p>
        </w:tc>
      </w:tr>
      <w:tr w:rsidR="00311FE5" w:rsidRPr="0074421A" w:rsidTr="006F297E">
        <w:trPr>
          <w:cantSplit/>
          <w:tblHeader/>
        </w:trPr>
        <w:tc>
          <w:tcPr>
            <w:tcW w:w="4403" w:type="dxa"/>
            <w:gridSpan w:val="2"/>
            <w:tcBorders>
              <w:top w:val="single" w:sz="16" w:space="0" w:color="000000"/>
              <w:left w:val="single" w:sz="16" w:space="0" w:color="000000"/>
              <w:bottom w:val="single" w:sz="16" w:space="0" w:color="000000"/>
              <w:right w:val="single" w:sz="16" w:space="0" w:color="000000"/>
            </w:tcBorders>
            <w:shd w:val="clear" w:color="auto" w:fill="FFFFFF"/>
            <w:vAlign w:val="center"/>
          </w:tcPr>
          <w:p w:rsidR="00311FE5" w:rsidRPr="0074421A" w:rsidRDefault="00311FE5" w:rsidP="006F297E">
            <w:pPr>
              <w:autoSpaceDE w:val="0"/>
              <w:autoSpaceDN w:val="0"/>
              <w:adjustRightInd w:val="0"/>
              <w:spacing w:line="240" w:lineRule="auto"/>
              <w:jc w:val="center"/>
            </w:pPr>
          </w:p>
        </w:tc>
        <w:tc>
          <w:tcPr>
            <w:tcW w:w="1308" w:type="dxa"/>
            <w:tcBorders>
              <w:top w:val="single" w:sz="16" w:space="0" w:color="000000"/>
              <w:left w:val="single" w:sz="16" w:space="0" w:color="000000"/>
              <w:bottom w:val="single" w:sz="16" w:space="0" w:color="000000"/>
            </w:tcBorders>
            <w:shd w:val="clear" w:color="auto" w:fill="FFFFFF"/>
            <w:vAlign w:val="bottom"/>
          </w:tcPr>
          <w:p w:rsidR="00311FE5" w:rsidRPr="0074421A"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74421A">
              <w:rPr>
                <w:rFonts w:ascii="Arial" w:hAnsi="Arial" w:cs="Arial"/>
                <w:color w:val="000000"/>
                <w:sz w:val="18"/>
                <w:szCs w:val="18"/>
              </w:rPr>
              <w:t>Aggregate</w:t>
            </w:r>
            <w:r>
              <w:rPr>
                <w:rFonts w:ascii="Arial" w:hAnsi="Arial" w:cs="Arial"/>
                <w:color w:val="000000"/>
                <w:sz w:val="18"/>
                <w:szCs w:val="18"/>
              </w:rPr>
              <w:t xml:space="preserve"> </w:t>
            </w:r>
            <w:r w:rsidRPr="0074421A">
              <w:rPr>
                <w:rFonts w:ascii="Arial" w:hAnsi="Arial" w:cs="Arial"/>
                <w:color w:val="000000"/>
                <w:sz w:val="18"/>
                <w:szCs w:val="18"/>
              </w:rPr>
              <w:t>IS</w:t>
            </w:r>
          </w:p>
        </w:tc>
        <w:tc>
          <w:tcPr>
            <w:tcW w:w="1455" w:type="dxa"/>
            <w:tcBorders>
              <w:top w:val="single" w:sz="16" w:space="0" w:color="000000"/>
              <w:bottom w:val="single" w:sz="16" w:space="0" w:color="000000"/>
            </w:tcBorders>
            <w:shd w:val="clear" w:color="auto" w:fill="FFFFFF"/>
            <w:vAlign w:val="bottom"/>
          </w:tcPr>
          <w:p w:rsidR="00311FE5" w:rsidRPr="0074421A"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ante</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457" w:type="dxa"/>
            <w:tcBorders>
              <w:top w:val="single" w:sz="16" w:space="0" w:color="000000"/>
              <w:bottom w:val="single" w:sz="16" w:space="0" w:color="000000"/>
            </w:tcBorders>
            <w:shd w:val="clear" w:color="auto" w:fill="FFFFFF"/>
            <w:vAlign w:val="bottom"/>
          </w:tcPr>
          <w:p w:rsidR="00311FE5" w:rsidRPr="0074421A"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post</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457" w:type="dxa"/>
            <w:tcBorders>
              <w:top w:val="single" w:sz="16" w:space="0" w:color="000000"/>
              <w:bottom w:val="single" w:sz="16" w:space="0" w:color="000000"/>
              <w:right w:val="single" w:sz="16" w:space="0" w:color="000000"/>
            </w:tcBorders>
            <w:shd w:val="clear" w:color="auto" w:fill="FFFFFF"/>
            <w:vAlign w:val="bottom"/>
          </w:tcPr>
          <w:p w:rsidR="00311FE5" w:rsidRPr="0074421A"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74421A">
              <w:rPr>
                <w:rFonts w:ascii="Arial" w:hAnsi="Arial" w:cs="Arial"/>
                <w:color w:val="000000"/>
                <w:sz w:val="18"/>
                <w:szCs w:val="18"/>
              </w:rPr>
              <w:t>Public</w:t>
            </w:r>
            <w:r>
              <w:rPr>
                <w:rFonts w:ascii="Arial" w:hAnsi="Arial" w:cs="Arial"/>
                <w:color w:val="000000"/>
                <w:sz w:val="18"/>
                <w:szCs w:val="18"/>
              </w:rPr>
              <w:t xml:space="preserve"> </w:t>
            </w:r>
            <w:r w:rsidRPr="0074421A">
              <w:rPr>
                <w:rFonts w:ascii="Arial" w:hAnsi="Arial" w:cs="Arial"/>
                <w:color w:val="000000"/>
                <w:sz w:val="18"/>
                <w:szCs w:val="18"/>
              </w:rPr>
              <w:t>enforcement</w:t>
            </w:r>
          </w:p>
        </w:tc>
      </w:tr>
      <w:tr w:rsidR="00311FE5" w:rsidRPr="0074421A" w:rsidTr="006F297E">
        <w:trPr>
          <w:cantSplit/>
          <w:tblHeader/>
        </w:trPr>
        <w:tc>
          <w:tcPr>
            <w:tcW w:w="1974" w:type="dxa"/>
            <w:vMerge w:val="restart"/>
            <w:tcBorders>
              <w:top w:val="single" w:sz="16" w:space="0" w:color="000000"/>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Pearson Correlation</w:t>
            </w:r>
          </w:p>
        </w:tc>
        <w:tc>
          <w:tcPr>
            <w:tcW w:w="2429" w:type="dxa"/>
            <w:tcBorders>
              <w:top w:val="single" w:sz="16" w:space="0" w:color="000000"/>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Aggregate</w:t>
            </w:r>
            <w:r>
              <w:rPr>
                <w:rFonts w:ascii="Arial" w:hAnsi="Arial" w:cs="Arial"/>
                <w:color w:val="000000"/>
                <w:sz w:val="18"/>
                <w:szCs w:val="18"/>
              </w:rPr>
              <w:t xml:space="preserve"> </w:t>
            </w:r>
            <w:r w:rsidRPr="0074421A">
              <w:rPr>
                <w:rFonts w:ascii="Arial" w:hAnsi="Arial" w:cs="Arial"/>
                <w:color w:val="000000"/>
                <w:sz w:val="18"/>
                <w:szCs w:val="18"/>
              </w:rPr>
              <w:t>IS</w:t>
            </w:r>
          </w:p>
        </w:tc>
        <w:tc>
          <w:tcPr>
            <w:tcW w:w="1308" w:type="dxa"/>
            <w:tcBorders>
              <w:top w:val="single" w:sz="16" w:space="0" w:color="000000"/>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1.000</w:t>
            </w:r>
          </w:p>
        </w:tc>
        <w:tc>
          <w:tcPr>
            <w:tcW w:w="1455" w:type="dxa"/>
            <w:tcBorders>
              <w:top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-.408</w:t>
            </w:r>
          </w:p>
        </w:tc>
        <w:tc>
          <w:tcPr>
            <w:tcW w:w="1457" w:type="dxa"/>
            <w:tcBorders>
              <w:top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-.279</w:t>
            </w:r>
          </w:p>
        </w:tc>
        <w:tc>
          <w:tcPr>
            <w:tcW w:w="1457" w:type="dxa"/>
            <w:tcBorders>
              <w:top w:val="single" w:sz="16" w:space="0" w:color="000000"/>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.073</w:t>
            </w:r>
          </w:p>
        </w:tc>
      </w:tr>
      <w:tr w:rsidR="00311FE5" w:rsidRPr="0074421A"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ante</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-.408</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1.000</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.646</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-.451</w:t>
            </w:r>
          </w:p>
        </w:tc>
      </w:tr>
      <w:tr w:rsidR="00311FE5" w:rsidRPr="0074421A"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post</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-.279</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.646</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1.000</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-.408</w:t>
            </w:r>
          </w:p>
        </w:tc>
      </w:tr>
      <w:tr w:rsidR="00311FE5" w:rsidRPr="0074421A" w:rsidTr="006F297E">
        <w:trPr>
          <w:cantSplit/>
          <w:tblHeader/>
        </w:trPr>
        <w:tc>
          <w:tcPr>
            <w:tcW w:w="1974" w:type="dxa"/>
            <w:vMerge/>
            <w:tcBorders>
              <w:top w:val="single" w:sz="16" w:space="0" w:color="000000"/>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Public</w:t>
            </w:r>
            <w:r>
              <w:rPr>
                <w:rFonts w:ascii="Arial" w:hAnsi="Arial" w:cs="Arial"/>
                <w:color w:val="000000"/>
                <w:sz w:val="18"/>
                <w:szCs w:val="18"/>
              </w:rPr>
              <w:t xml:space="preserve"> </w:t>
            </w:r>
            <w:r w:rsidRPr="0074421A">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.073</w:t>
            </w:r>
          </w:p>
        </w:tc>
        <w:tc>
          <w:tcPr>
            <w:tcW w:w="1455" w:type="dxa"/>
            <w:tcBorders>
              <w:top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-.451</w:t>
            </w:r>
          </w:p>
        </w:tc>
        <w:tc>
          <w:tcPr>
            <w:tcW w:w="1457" w:type="dxa"/>
            <w:tcBorders>
              <w:top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-.408</w:t>
            </w:r>
          </w:p>
        </w:tc>
        <w:tc>
          <w:tcPr>
            <w:tcW w:w="1457" w:type="dxa"/>
            <w:tcBorders>
              <w:top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1.000</w:t>
            </w:r>
          </w:p>
        </w:tc>
      </w:tr>
      <w:tr w:rsidR="00311FE5" w:rsidRPr="0074421A" w:rsidTr="006F297E">
        <w:trPr>
          <w:cantSplit/>
          <w:tblHeader/>
        </w:trPr>
        <w:tc>
          <w:tcPr>
            <w:tcW w:w="1974" w:type="dxa"/>
            <w:vMerge w:val="restart"/>
            <w:tcBorders>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Sig. (1-tailed)</w:t>
            </w:r>
          </w:p>
        </w:tc>
        <w:tc>
          <w:tcPr>
            <w:tcW w:w="2429" w:type="dxa"/>
            <w:tcBorders>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Aggregate</w:t>
            </w:r>
            <w:r>
              <w:rPr>
                <w:rFonts w:ascii="Arial" w:hAnsi="Arial" w:cs="Arial"/>
                <w:color w:val="000000"/>
                <w:sz w:val="18"/>
                <w:szCs w:val="18"/>
              </w:rPr>
              <w:t xml:space="preserve"> </w:t>
            </w:r>
            <w:r w:rsidRPr="0074421A">
              <w:rPr>
                <w:rFonts w:ascii="Arial" w:hAnsi="Arial" w:cs="Arial"/>
                <w:color w:val="000000"/>
                <w:sz w:val="18"/>
                <w:szCs w:val="18"/>
              </w:rPr>
              <w:t>IS</w:t>
            </w:r>
          </w:p>
        </w:tc>
        <w:tc>
          <w:tcPr>
            <w:tcW w:w="1308" w:type="dxa"/>
            <w:tcBorders>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w:t>
            </w:r>
          </w:p>
        </w:tc>
        <w:tc>
          <w:tcPr>
            <w:tcW w:w="1455" w:type="dxa"/>
            <w:tcBorders>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.074</w:t>
            </w:r>
          </w:p>
        </w:tc>
        <w:tc>
          <w:tcPr>
            <w:tcW w:w="1457" w:type="dxa"/>
            <w:tcBorders>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.167</w:t>
            </w:r>
          </w:p>
        </w:tc>
        <w:tc>
          <w:tcPr>
            <w:tcW w:w="1457" w:type="dxa"/>
            <w:tcBorders>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.402</w:t>
            </w:r>
          </w:p>
        </w:tc>
      </w:tr>
      <w:tr w:rsidR="00311FE5" w:rsidRPr="0074421A" w:rsidTr="006F297E">
        <w:trPr>
          <w:cantSplit/>
          <w:tblHeader/>
        </w:trPr>
        <w:tc>
          <w:tcPr>
            <w:tcW w:w="1974" w:type="dxa"/>
            <w:vMerge/>
            <w:tcBorders>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ante</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.074</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.006</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.053</w:t>
            </w:r>
          </w:p>
        </w:tc>
      </w:tr>
      <w:tr w:rsidR="00311FE5" w:rsidRPr="0074421A" w:rsidTr="006F297E">
        <w:trPr>
          <w:cantSplit/>
          <w:tblHeader/>
        </w:trPr>
        <w:tc>
          <w:tcPr>
            <w:tcW w:w="1974" w:type="dxa"/>
            <w:vMerge/>
            <w:tcBorders>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post</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.167</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.006</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.074</w:t>
            </w:r>
          </w:p>
        </w:tc>
      </w:tr>
      <w:tr w:rsidR="00311FE5" w:rsidRPr="0074421A" w:rsidTr="006F297E">
        <w:trPr>
          <w:cantSplit/>
          <w:tblHeader/>
        </w:trPr>
        <w:tc>
          <w:tcPr>
            <w:tcW w:w="1974" w:type="dxa"/>
            <w:vMerge/>
            <w:tcBorders>
              <w:left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Public</w:t>
            </w:r>
            <w:r>
              <w:rPr>
                <w:rFonts w:ascii="Arial" w:hAnsi="Arial" w:cs="Arial"/>
                <w:color w:val="000000"/>
                <w:sz w:val="18"/>
                <w:szCs w:val="18"/>
              </w:rPr>
              <w:t xml:space="preserve"> </w:t>
            </w:r>
            <w:r w:rsidRPr="0074421A">
              <w:rPr>
                <w:rFonts w:ascii="Arial" w:hAnsi="Arial" w:cs="Arial"/>
                <w:color w:val="000000"/>
                <w:sz w:val="18"/>
                <w:szCs w:val="18"/>
              </w:rPr>
              <w:t>enforcement</w:t>
            </w:r>
          </w:p>
        </w:tc>
        <w:tc>
          <w:tcPr>
            <w:tcW w:w="1308" w:type="dxa"/>
            <w:tcBorders>
              <w:top w:val="nil"/>
              <w:lef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.402</w:t>
            </w:r>
          </w:p>
        </w:tc>
        <w:tc>
          <w:tcPr>
            <w:tcW w:w="1455" w:type="dxa"/>
            <w:tcBorders>
              <w:top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.053</w:t>
            </w:r>
          </w:p>
        </w:tc>
        <w:tc>
          <w:tcPr>
            <w:tcW w:w="1457" w:type="dxa"/>
            <w:tcBorders>
              <w:top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.074</w:t>
            </w:r>
          </w:p>
        </w:tc>
        <w:tc>
          <w:tcPr>
            <w:tcW w:w="1457" w:type="dxa"/>
            <w:tcBorders>
              <w:top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w:t>
            </w:r>
          </w:p>
        </w:tc>
      </w:tr>
      <w:tr w:rsidR="00311FE5" w:rsidRPr="0074421A" w:rsidTr="006F297E">
        <w:trPr>
          <w:cantSplit/>
          <w:tblHeader/>
        </w:trPr>
        <w:tc>
          <w:tcPr>
            <w:tcW w:w="1974" w:type="dxa"/>
            <w:vMerge w:val="restart"/>
            <w:tcBorders>
              <w:left w:val="single" w:sz="16" w:space="0" w:color="000000"/>
              <w:bottom w:val="single" w:sz="16" w:space="0" w:color="000000"/>
              <w:right w:val="nil"/>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N</w:t>
            </w:r>
          </w:p>
        </w:tc>
        <w:tc>
          <w:tcPr>
            <w:tcW w:w="2429" w:type="dxa"/>
            <w:tcBorders>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Aggregate</w:t>
            </w:r>
            <w:r>
              <w:rPr>
                <w:rFonts w:ascii="Arial" w:hAnsi="Arial" w:cs="Arial"/>
                <w:color w:val="000000"/>
                <w:sz w:val="18"/>
                <w:szCs w:val="18"/>
              </w:rPr>
              <w:t xml:space="preserve"> </w:t>
            </w:r>
            <w:r w:rsidRPr="0074421A">
              <w:rPr>
                <w:rFonts w:ascii="Arial" w:hAnsi="Arial" w:cs="Arial"/>
                <w:color w:val="000000"/>
                <w:sz w:val="18"/>
                <w:szCs w:val="18"/>
              </w:rPr>
              <w:t>IS</w:t>
            </w:r>
          </w:p>
        </w:tc>
        <w:tc>
          <w:tcPr>
            <w:tcW w:w="1308" w:type="dxa"/>
            <w:tcBorders>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5" w:type="dxa"/>
            <w:tcBorders>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r>
      <w:tr w:rsidR="00311FE5" w:rsidRPr="0074421A" w:rsidTr="006F297E">
        <w:trPr>
          <w:cantSplit/>
          <w:tblHeader/>
        </w:trPr>
        <w:tc>
          <w:tcPr>
            <w:tcW w:w="1974" w:type="dxa"/>
            <w:vMerge/>
            <w:tcBorders>
              <w:left w:val="single" w:sz="16" w:space="0" w:color="000000"/>
              <w:bottom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ante</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r>
      <w:tr w:rsidR="00311FE5" w:rsidRPr="0074421A" w:rsidTr="006F297E">
        <w:trPr>
          <w:cantSplit/>
          <w:tblHeader/>
        </w:trPr>
        <w:tc>
          <w:tcPr>
            <w:tcW w:w="1974" w:type="dxa"/>
            <w:vMerge/>
            <w:tcBorders>
              <w:left w:val="single" w:sz="16" w:space="0" w:color="000000"/>
              <w:bottom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Ex</w:t>
            </w:r>
            <w:r>
              <w:rPr>
                <w:rFonts w:ascii="Arial" w:hAnsi="Arial" w:cs="Arial"/>
                <w:color w:val="000000"/>
                <w:sz w:val="18"/>
                <w:szCs w:val="18"/>
              </w:rPr>
              <w:t xml:space="preserve"> </w:t>
            </w:r>
            <w:r w:rsidRPr="0074421A">
              <w:rPr>
                <w:rFonts w:ascii="Arial" w:hAnsi="Arial" w:cs="Arial"/>
                <w:color w:val="000000"/>
                <w:sz w:val="18"/>
                <w:szCs w:val="18"/>
              </w:rPr>
              <w:t>post</w:t>
            </w:r>
            <w:r>
              <w:rPr>
                <w:rFonts w:ascii="Arial" w:hAnsi="Arial" w:cs="Arial"/>
                <w:color w:val="000000"/>
                <w:sz w:val="18"/>
                <w:szCs w:val="18"/>
              </w:rPr>
              <w:t xml:space="preserve"> </w:t>
            </w:r>
            <w:r w:rsidRPr="0074421A">
              <w:rPr>
                <w:rFonts w:ascii="Arial" w:hAnsi="Arial" w:cs="Arial"/>
                <w:color w:val="000000"/>
                <w:sz w:val="18"/>
                <w:szCs w:val="18"/>
              </w:rPr>
              <w:t>private</w:t>
            </w:r>
            <w:r>
              <w:rPr>
                <w:rFonts w:ascii="Arial" w:hAnsi="Arial" w:cs="Arial"/>
                <w:color w:val="000000"/>
                <w:sz w:val="18"/>
                <w:szCs w:val="18"/>
              </w:rPr>
              <w:t xml:space="preserve"> </w:t>
            </w:r>
            <w:r w:rsidRPr="0074421A">
              <w:rPr>
                <w:rFonts w:ascii="Arial" w:hAnsi="Arial" w:cs="Arial"/>
                <w:color w:val="000000"/>
                <w:sz w:val="18"/>
                <w:szCs w:val="18"/>
              </w:rPr>
              <w:t>control</w:t>
            </w:r>
            <w:r>
              <w:rPr>
                <w:rFonts w:ascii="Arial" w:hAnsi="Arial" w:cs="Arial"/>
                <w:color w:val="000000"/>
                <w:sz w:val="18"/>
                <w:szCs w:val="18"/>
              </w:rPr>
              <w:t xml:space="preserve"> </w:t>
            </w:r>
            <w:r w:rsidRPr="0074421A">
              <w:rPr>
                <w:rFonts w:ascii="Arial" w:hAnsi="Arial" w:cs="Arial"/>
                <w:color w:val="000000"/>
                <w:sz w:val="18"/>
                <w:szCs w:val="18"/>
              </w:rPr>
              <w:t>of</w:t>
            </w:r>
            <w:r>
              <w:rPr>
                <w:rFonts w:ascii="Arial" w:hAnsi="Arial" w:cs="Arial"/>
                <w:color w:val="000000"/>
                <w:sz w:val="18"/>
                <w:szCs w:val="18"/>
              </w:rPr>
              <w:t xml:space="preserve"> </w:t>
            </w:r>
            <w:r w:rsidRPr="0074421A">
              <w:rPr>
                <w:rFonts w:ascii="Arial" w:hAnsi="Arial" w:cs="Arial"/>
                <w:color w:val="000000"/>
                <w:sz w:val="18"/>
                <w:szCs w:val="18"/>
              </w:rPr>
              <w:t>self</w:t>
            </w:r>
            <w:r>
              <w:rPr>
                <w:rFonts w:ascii="Arial" w:hAnsi="Arial" w:cs="Arial"/>
                <w:color w:val="000000"/>
                <w:sz w:val="18"/>
                <w:szCs w:val="18"/>
              </w:rPr>
              <w:t>-</w:t>
            </w:r>
            <w:r w:rsidRPr="0074421A">
              <w:rPr>
                <w:rFonts w:ascii="Arial" w:hAnsi="Arial" w:cs="Arial"/>
                <w:color w:val="000000"/>
                <w:sz w:val="18"/>
                <w:szCs w:val="18"/>
              </w:rPr>
              <w:t>dealing</w:t>
            </w:r>
          </w:p>
        </w:tc>
        <w:tc>
          <w:tcPr>
            <w:tcW w:w="1308" w:type="dxa"/>
            <w:tcBorders>
              <w:top w:val="nil"/>
              <w:left w:val="single" w:sz="16" w:space="0" w:color="000000"/>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5"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nil"/>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nil"/>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r>
      <w:tr w:rsidR="00311FE5" w:rsidRPr="0074421A" w:rsidTr="006F297E">
        <w:trPr>
          <w:cantSplit/>
        </w:trPr>
        <w:tc>
          <w:tcPr>
            <w:tcW w:w="1974" w:type="dxa"/>
            <w:vMerge/>
            <w:tcBorders>
              <w:left w:val="single" w:sz="16" w:space="0" w:color="000000"/>
              <w:bottom w:val="single" w:sz="16" w:space="0" w:color="000000"/>
              <w:right w:val="nil"/>
            </w:tcBorders>
            <w:shd w:val="clear" w:color="auto" w:fill="FFFFFF"/>
          </w:tcPr>
          <w:p w:rsidR="00311FE5" w:rsidRPr="0074421A" w:rsidRDefault="00311FE5" w:rsidP="006F297E">
            <w:pPr>
              <w:autoSpaceDE w:val="0"/>
              <w:autoSpaceDN w:val="0"/>
              <w:adjustRightInd w:val="0"/>
              <w:spacing w:line="240" w:lineRule="auto"/>
              <w:rPr>
                <w:rFonts w:ascii="Arial" w:hAnsi="Arial" w:cs="Arial"/>
                <w:color w:val="000000"/>
                <w:sz w:val="18"/>
                <w:szCs w:val="18"/>
              </w:rPr>
            </w:pPr>
          </w:p>
        </w:tc>
        <w:tc>
          <w:tcPr>
            <w:tcW w:w="2429" w:type="dxa"/>
            <w:tcBorders>
              <w:top w:val="nil"/>
              <w:left w:val="nil"/>
              <w:bottom w:val="single" w:sz="16" w:space="0" w:color="000000"/>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rPr>
                <w:rFonts w:ascii="Arial" w:hAnsi="Arial" w:cs="Arial"/>
                <w:color w:val="000000"/>
                <w:sz w:val="18"/>
                <w:szCs w:val="18"/>
              </w:rPr>
            </w:pPr>
            <w:r w:rsidRPr="0074421A">
              <w:rPr>
                <w:rFonts w:ascii="Arial" w:hAnsi="Arial" w:cs="Arial"/>
                <w:color w:val="000000"/>
                <w:sz w:val="18"/>
                <w:szCs w:val="18"/>
              </w:rPr>
              <w:t>Public</w:t>
            </w:r>
            <w:r>
              <w:rPr>
                <w:rFonts w:ascii="Arial" w:hAnsi="Arial" w:cs="Arial"/>
                <w:color w:val="000000"/>
                <w:sz w:val="18"/>
                <w:szCs w:val="18"/>
              </w:rPr>
              <w:t xml:space="preserve"> </w:t>
            </w:r>
            <w:r w:rsidRPr="0074421A">
              <w:rPr>
                <w:rFonts w:ascii="Arial" w:hAnsi="Arial" w:cs="Arial"/>
                <w:color w:val="000000"/>
                <w:sz w:val="18"/>
                <w:szCs w:val="18"/>
              </w:rPr>
              <w:t>enforcement</w:t>
            </w:r>
          </w:p>
        </w:tc>
        <w:tc>
          <w:tcPr>
            <w:tcW w:w="1308" w:type="dxa"/>
            <w:tcBorders>
              <w:top w:val="nil"/>
              <w:left w:val="single" w:sz="16" w:space="0" w:color="000000"/>
              <w:bottom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5" w:type="dxa"/>
            <w:tcBorders>
              <w:top w:val="nil"/>
              <w:bottom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c>
          <w:tcPr>
            <w:tcW w:w="1457" w:type="dxa"/>
            <w:tcBorders>
              <w:top w:val="nil"/>
              <w:bottom w:val="single" w:sz="16" w:space="0" w:color="000000"/>
              <w:right w:val="single" w:sz="16" w:space="0" w:color="000000"/>
            </w:tcBorders>
            <w:shd w:val="clear" w:color="auto" w:fill="FFFFFF"/>
          </w:tcPr>
          <w:p w:rsidR="00311FE5" w:rsidRPr="0074421A"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74421A">
              <w:rPr>
                <w:rFonts w:ascii="Arial" w:hAnsi="Arial" w:cs="Arial"/>
                <w:color w:val="000000"/>
                <w:sz w:val="18"/>
                <w:szCs w:val="18"/>
              </w:rPr>
              <w:t>14</w:t>
            </w:r>
          </w:p>
        </w:tc>
      </w:tr>
    </w:tbl>
    <w:p w:rsidR="00311FE5" w:rsidRPr="0074421A" w:rsidRDefault="00311FE5" w:rsidP="006F297E">
      <w:pPr>
        <w:autoSpaceDE w:val="0"/>
        <w:autoSpaceDN w:val="0"/>
        <w:adjustRightInd w:val="0"/>
        <w:spacing w:line="240" w:lineRule="auto"/>
      </w:pPr>
    </w:p>
    <w:p w:rsidR="00311FE5" w:rsidRPr="0074421A" w:rsidRDefault="00311FE5" w:rsidP="006F297E">
      <w:pPr>
        <w:spacing w:line="240" w:lineRule="auto"/>
      </w:pPr>
    </w:p>
    <w:p w:rsidR="00311FE5" w:rsidRDefault="00311FE5" w:rsidP="006F297E">
      <w:pPr>
        <w:spacing w:line="240" w:lineRule="auto"/>
      </w:pPr>
    </w:p>
    <w:p w:rsidR="00311FE5" w:rsidRPr="000B02F7" w:rsidRDefault="00311FE5" w:rsidP="006F297E">
      <w:pPr>
        <w:autoSpaceDE w:val="0"/>
        <w:autoSpaceDN w:val="0"/>
        <w:adjustRightInd w:val="0"/>
        <w:spacing w:line="240" w:lineRule="auto"/>
      </w:pPr>
    </w:p>
    <w:tbl>
      <w:tblPr>
        <w:tblW w:w="6570" w:type="dxa"/>
        <w:tblInd w:w="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50"/>
        <w:gridCol w:w="760"/>
        <w:gridCol w:w="900"/>
        <w:gridCol w:w="990"/>
        <w:gridCol w:w="990"/>
        <w:gridCol w:w="1440"/>
        <w:gridCol w:w="1440"/>
      </w:tblGrid>
      <w:tr w:rsidR="00311FE5" w:rsidRPr="000B02F7" w:rsidTr="00581754">
        <w:trPr>
          <w:cantSplit/>
          <w:trHeight w:val="438"/>
          <w:tblHeader/>
        </w:trPr>
        <w:tc>
          <w:tcPr>
            <w:tcW w:w="810" w:type="dxa"/>
            <w:gridSpan w:val="2"/>
            <w:vMerge w:val="restart"/>
            <w:tcBorders>
              <w:top w:val="single" w:sz="16" w:space="0" w:color="000000"/>
              <w:left w:val="single" w:sz="16" w:space="0" w:color="000000"/>
              <w:bottom w:val="single" w:sz="16" w:space="0" w:color="000000"/>
              <w:right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rPr>
                <w:rFonts w:ascii="Arial" w:hAnsi="Arial" w:cs="Arial"/>
                <w:color w:val="000000"/>
                <w:sz w:val="18"/>
                <w:szCs w:val="18"/>
              </w:rPr>
            </w:pPr>
            <w:r w:rsidRPr="000B02F7">
              <w:rPr>
                <w:rFonts w:ascii="Arial" w:hAnsi="Arial" w:cs="Arial"/>
                <w:color w:val="000000"/>
                <w:sz w:val="18"/>
                <w:szCs w:val="18"/>
              </w:rPr>
              <w:t>Model</w:t>
            </w:r>
          </w:p>
        </w:tc>
        <w:tc>
          <w:tcPr>
            <w:tcW w:w="900" w:type="dxa"/>
            <w:vMerge w:val="restart"/>
            <w:tcBorders>
              <w:top w:val="single" w:sz="16" w:space="0" w:color="000000"/>
              <w:left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0B02F7">
              <w:rPr>
                <w:rFonts w:ascii="Arial" w:hAnsi="Arial" w:cs="Arial"/>
                <w:color w:val="000000"/>
                <w:sz w:val="18"/>
                <w:szCs w:val="18"/>
              </w:rPr>
              <w:t>R</w:t>
            </w:r>
          </w:p>
        </w:tc>
        <w:tc>
          <w:tcPr>
            <w:tcW w:w="990" w:type="dxa"/>
            <w:vMerge w:val="restart"/>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0B02F7">
              <w:rPr>
                <w:rFonts w:ascii="Arial" w:hAnsi="Arial" w:cs="Arial"/>
                <w:color w:val="000000"/>
                <w:sz w:val="18"/>
                <w:szCs w:val="18"/>
              </w:rPr>
              <w:t>R Square</w:t>
            </w:r>
          </w:p>
        </w:tc>
        <w:tc>
          <w:tcPr>
            <w:tcW w:w="990" w:type="dxa"/>
            <w:vMerge w:val="restart"/>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0B02F7">
              <w:rPr>
                <w:rFonts w:ascii="Arial" w:hAnsi="Arial" w:cs="Arial"/>
                <w:color w:val="000000"/>
                <w:sz w:val="18"/>
                <w:szCs w:val="18"/>
              </w:rPr>
              <w:t>Adjusted R Square</w:t>
            </w:r>
          </w:p>
        </w:tc>
        <w:tc>
          <w:tcPr>
            <w:tcW w:w="1440" w:type="dxa"/>
            <w:vMerge w:val="restart"/>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0B02F7">
              <w:rPr>
                <w:rFonts w:ascii="Arial" w:hAnsi="Arial" w:cs="Arial"/>
                <w:color w:val="000000"/>
                <w:sz w:val="18"/>
                <w:szCs w:val="18"/>
              </w:rPr>
              <w:t>Std. Error of the Estimate</w:t>
            </w:r>
          </w:p>
        </w:tc>
        <w:tc>
          <w:tcPr>
            <w:tcW w:w="1440" w:type="dxa"/>
            <w:vMerge w:val="restart"/>
            <w:tcBorders>
              <w:top w:val="single" w:sz="16" w:space="0" w:color="000000"/>
              <w:bottom w:val="single" w:sz="16" w:space="0" w:color="000000"/>
              <w:right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ind w:left="60" w:right="60"/>
              <w:jc w:val="center"/>
              <w:rPr>
                <w:rFonts w:ascii="Arial" w:hAnsi="Arial" w:cs="Arial"/>
                <w:color w:val="000000"/>
                <w:sz w:val="18"/>
                <w:szCs w:val="18"/>
              </w:rPr>
            </w:pPr>
            <w:r w:rsidRPr="000B02F7">
              <w:rPr>
                <w:rFonts w:ascii="Arial" w:hAnsi="Arial" w:cs="Arial"/>
                <w:color w:val="000000"/>
                <w:sz w:val="18"/>
                <w:szCs w:val="18"/>
              </w:rPr>
              <w:t>Durbin-Watson</w:t>
            </w:r>
          </w:p>
        </w:tc>
      </w:tr>
      <w:tr w:rsidR="00311FE5" w:rsidRPr="000B02F7" w:rsidTr="00581754">
        <w:trPr>
          <w:cantSplit/>
          <w:trHeight w:val="438"/>
          <w:tblHeader/>
        </w:trPr>
        <w:tc>
          <w:tcPr>
            <w:tcW w:w="810" w:type="dxa"/>
            <w:gridSpan w:val="2"/>
            <w:vMerge/>
            <w:tcBorders>
              <w:top w:val="single" w:sz="16" w:space="0" w:color="000000"/>
              <w:left w:val="single" w:sz="16" w:space="0" w:color="000000"/>
              <w:bottom w:val="single" w:sz="16" w:space="0" w:color="000000"/>
              <w:right w:val="single" w:sz="16" w:space="0" w:color="000000"/>
            </w:tcBorders>
            <w:shd w:val="clear" w:color="auto" w:fill="FFFFFF"/>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c>
          <w:tcPr>
            <w:tcW w:w="900" w:type="dxa"/>
            <w:vMerge/>
            <w:tcBorders>
              <w:top w:val="single" w:sz="16" w:space="0" w:color="000000"/>
              <w:left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c>
          <w:tcPr>
            <w:tcW w:w="990" w:type="dxa"/>
            <w:vMerge/>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c>
          <w:tcPr>
            <w:tcW w:w="990" w:type="dxa"/>
            <w:vMerge/>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c>
          <w:tcPr>
            <w:tcW w:w="1440" w:type="dxa"/>
            <w:vMerge/>
            <w:tcBorders>
              <w:top w:val="single" w:sz="16" w:space="0" w:color="000000"/>
              <w:bottom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c>
          <w:tcPr>
            <w:tcW w:w="1440" w:type="dxa"/>
            <w:vMerge/>
            <w:tcBorders>
              <w:top w:val="single" w:sz="16" w:space="0" w:color="000000"/>
              <w:bottom w:val="single" w:sz="16" w:space="0" w:color="000000"/>
              <w:right w:val="single" w:sz="16" w:space="0" w:color="000000"/>
            </w:tcBorders>
            <w:shd w:val="clear" w:color="auto" w:fill="FFFFFF"/>
            <w:vAlign w:val="bottom"/>
          </w:tcPr>
          <w:p w:rsidR="00311FE5" w:rsidRPr="000B02F7" w:rsidRDefault="00311FE5" w:rsidP="006F297E">
            <w:pPr>
              <w:autoSpaceDE w:val="0"/>
              <w:autoSpaceDN w:val="0"/>
              <w:adjustRightInd w:val="0"/>
              <w:spacing w:line="240" w:lineRule="auto"/>
              <w:rPr>
                <w:rFonts w:ascii="Arial" w:hAnsi="Arial" w:cs="Arial"/>
                <w:color w:val="000000"/>
                <w:sz w:val="18"/>
                <w:szCs w:val="18"/>
              </w:rPr>
            </w:pPr>
          </w:p>
        </w:tc>
      </w:tr>
      <w:tr w:rsidR="00311FE5" w:rsidRPr="000B02F7" w:rsidTr="00581754">
        <w:trPr>
          <w:cantSplit/>
          <w:trHeight w:val="276"/>
          <w:tblHeader/>
        </w:trPr>
        <w:tc>
          <w:tcPr>
            <w:tcW w:w="50" w:type="dxa"/>
            <w:vMerge w:val="restart"/>
            <w:tcBorders>
              <w:top w:val="single" w:sz="16" w:space="0" w:color="000000"/>
              <w:left w:val="single" w:sz="16" w:space="0" w:color="000000"/>
              <w:bottom w:val="single" w:sz="16" w:space="0" w:color="000000"/>
              <w:right w:val="nil"/>
            </w:tcBorders>
            <w:shd w:val="clear" w:color="auto" w:fill="FFFFFF"/>
            <w:vAlign w:val="center"/>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2"/>
                <w:szCs w:val="2"/>
              </w:rPr>
            </w:pPr>
            <w:r w:rsidRPr="000B02F7">
              <w:rPr>
                <w:rFonts w:ascii="Arial" w:hAnsi="Arial" w:cs="Arial"/>
                <w:color w:val="000000"/>
                <w:sz w:val="2"/>
                <w:szCs w:val="2"/>
              </w:rPr>
              <w:t>dimension0</w:t>
            </w:r>
          </w:p>
        </w:tc>
        <w:tc>
          <w:tcPr>
            <w:tcW w:w="760" w:type="dxa"/>
            <w:tcBorders>
              <w:top w:val="single" w:sz="16" w:space="0" w:color="000000"/>
              <w:left w:val="nil"/>
              <w:bottom w:val="nil"/>
              <w:right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rPr>
                <w:rFonts w:ascii="Arial" w:hAnsi="Arial" w:cs="Arial"/>
                <w:color w:val="000000"/>
                <w:sz w:val="18"/>
                <w:szCs w:val="18"/>
              </w:rPr>
            </w:pPr>
            <w:r w:rsidRPr="000B02F7">
              <w:rPr>
                <w:rFonts w:ascii="Arial" w:hAnsi="Arial" w:cs="Arial"/>
                <w:color w:val="000000"/>
                <w:sz w:val="18"/>
                <w:szCs w:val="18"/>
              </w:rPr>
              <w:t>1</w:t>
            </w:r>
          </w:p>
        </w:tc>
        <w:tc>
          <w:tcPr>
            <w:tcW w:w="900" w:type="dxa"/>
            <w:tcBorders>
              <w:top w:val="single" w:sz="16" w:space="0" w:color="000000"/>
              <w:left w:val="single" w:sz="16" w:space="0" w:color="000000"/>
              <w:bottom w:val="nil"/>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.408</w:t>
            </w:r>
            <w:r w:rsidRPr="000B02F7">
              <w:rPr>
                <w:rFonts w:ascii="Arial" w:hAnsi="Arial" w:cs="Arial"/>
                <w:color w:val="000000"/>
                <w:sz w:val="18"/>
                <w:szCs w:val="18"/>
                <w:vertAlign w:val="superscript"/>
              </w:rPr>
              <w:t>a</w:t>
            </w:r>
          </w:p>
        </w:tc>
        <w:tc>
          <w:tcPr>
            <w:tcW w:w="990" w:type="dxa"/>
            <w:tcBorders>
              <w:top w:val="single" w:sz="16" w:space="0" w:color="000000"/>
              <w:bottom w:val="nil"/>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.167</w:t>
            </w:r>
          </w:p>
        </w:tc>
        <w:tc>
          <w:tcPr>
            <w:tcW w:w="990" w:type="dxa"/>
            <w:tcBorders>
              <w:top w:val="single" w:sz="16" w:space="0" w:color="000000"/>
              <w:bottom w:val="nil"/>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.015</w:t>
            </w:r>
          </w:p>
        </w:tc>
        <w:tc>
          <w:tcPr>
            <w:tcW w:w="1440" w:type="dxa"/>
            <w:tcBorders>
              <w:top w:val="single" w:sz="16" w:space="0" w:color="000000"/>
              <w:bottom w:val="nil"/>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3.81400</w:t>
            </w:r>
          </w:p>
        </w:tc>
        <w:tc>
          <w:tcPr>
            <w:tcW w:w="1440" w:type="dxa"/>
            <w:tcBorders>
              <w:top w:val="single" w:sz="16" w:space="0" w:color="000000"/>
              <w:bottom w:val="nil"/>
              <w:right w:val="single" w:sz="16" w:space="0" w:color="000000"/>
            </w:tcBorders>
            <w:shd w:val="clear" w:color="auto" w:fill="FFFFFF"/>
            <w:vAlign w:val="center"/>
          </w:tcPr>
          <w:p w:rsidR="00311FE5" w:rsidRPr="000B02F7" w:rsidRDefault="00311FE5" w:rsidP="006F297E">
            <w:pPr>
              <w:autoSpaceDE w:val="0"/>
              <w:autoSpaceDN w:val="0"/>
              <w:adjustRightInd w:val="0"/>
              <w:spacing w:line="240" w:lineRule="auto"/>
              <w:jc w:val="center"/>
            </w:pPr>
          </w:p>
        </w:tc>
      </w:tr>
      <w:tr w:rsidR="00311FE5" w:rsidRPr="000B02F7" w:rsidTr="00581754">
        <w:trPr>
          <w:cantSplit/>
          <w:trHeight w:val="147"/>
          <w:tblHeader/>
        </w:trPr>
        <w:tc>
          <w:tcPr>
            <w:tcW w:w="50" w:type="dxa"/>
            <w:vMerge/>
            <w:tcBorders>
              <w:top w:val="single" w:sz="16" w:space="0" w:color="000000"/>
              <w:left w:val="single" w:sz="16" w:space="0" w:color="000000"/>
              <w:bottom w:val="single" w:sz="16" w:space="0" w:color="000000"/>
              <w:right w:val="nil"/>
            </w:tcBorders>
            <w:shd w:val="clear" w:color="auto" w:fill="FFFFFF"/>
            <w:vAlign w:val="center"/>
          </w:tcPr>
          <w:p w:rsidR="00311FE5" w:rsidRPr="000B02F7" w:rsidRDefault="00311FE5" w:rsidP="006F297E">
            <w:pPr>
              <w:autoSpaceDE w:val="0"/>
              <w:autoSpaceDN w:val="0"/>
              <w:adjustRightInd w:val="0"/>
              <w:spacing w:line="240" w:lineRule="auto"/>
            </w:pPr>
          </w:p>
        </w:tc>
        <w:tc>
          <w:tcPr>
            <w:tcW w:w="760" w:type="dxa"/>
            <w:tcBorders>
              <w:top w:val="nil"/>
              <w:left w:val="nil"/>
              <w:bottom w:val="single" w:sz="16" w:space="0" w:color="000000"/>
              <w:right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rPr>
                <w:rFonts w:ascii="Arial" w:hAnsi="Arial" w:cs="Arial"/>
                <w:color w:val="000000"/>
                <w:sz w:val="18"/>
                <w:szCs w:val="18"/>
              </w:rPr>
            </w:pPr>
            <w:r w:rsidRPr="000B02F7">
              <w:rPr>
                <w:rFonts w:ascii="Arial" w:hAnsi="Arial" w:cs="Arial"/>
                <w:color w:val="000000"/>
                <w:sz w:val="18"/>
                <w:szCs w:val="18"/>
              </w:rPr>
              <w:t>2</w:t>
            </w:r>
          </w:p>
        </w:tc>
        <w:tc>
          <w:tcPr>
            <w:tcW w:w="900" w:type="dxa"/>
            <w:tcBorders>
              <w:top w:val="nil"/>
              <w:left w:val="single" w:sz="16" w:space="0" w:color="000000"/>
              <w:bottom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.428</w:t>
            </w:r>
            <w:r w:rsidRPr="000B02F7">
              <w:rPr>
                <w:rFonts w:ascii="Arial" w:hAnsi="Arial" w:cs="Arial"/>
                <w:color w:val="000000"/>
                <w:sz w:val="18"/>
                <w:szCs w:val="18"/>
                <w:vertAlign w:val="superscript"/>
              </w:rPr>
              <w:t>b</w:t>
            </w:r>
          </w:p>
        </w:tc>
        <w:tc>
          <w:tcPr>
            <w:tcW w:w="990" w:type="dxa"/>
            <w:tcBorders>
              <w:top w:val="nil"/>
              <w:bottom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.183</w:t>
            </w:r>
          </w:p>
        </w:tc>
        <w:tc>
          <w:tcPr>
            <w:tcW w:w="990" w:type="dxa"/>
            <w:tcBorders>
              <w:top w:val="nil"/>
              <w:bottom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-.062</w:t>
            </w:r>
          </w:p>
        </w:tc>
        <w:tc>
          <w:tcPr>
            <w:tcW w:w="1440" w:type="dxa"/>
            <w:tcBorders>
              <w:top w:val="nil"/>
              <w:bottom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3.95993</w:t>
            </w:r>
          </w:p>
        </w:tc>
        <w:tc>
          <w:tcPr>
            <w:tcW w:w="1440" w:type="dxa"/>
            <w:tcBorders>
              <w:top w:val="nil"/>
              <w:bottom w:val="single" w:sz="16" w:space="0" w:color="000000"/>
              <w:right w:val="single" w:sz="16" w:space="0" w:color="000000"/>
            </w:tcBorders>
            <w:shd w:val="clear" w:color="auto" w:fill="FFFFFF"/>
          </w:tcPr>
          <w:p w:rsidR="00311FE5" w:rsidRPr="000B02F7" w:rsidRDefault="00311FE5" w:rsidP="006F297E">
            <w:pPr>
              <w:autoSpaceDE w:val="0"/>
              <w:autoSpaceDN w:val="0"/>
              <w:adjustRightInd w:val="0"/>
              <w:spacing w:line="240" w:lineRule="auto"/>
              <w:ind w:left="60" w:right="60"/>
              <w:jc w:val="right"/>
              <w:rPr>
                <w:rFonts w:ascii="Arial" w:hAnsi="Arial" w:cs="Arial"/>
                <w:color w:val="000000"/>
                <w:sz w:val="18"/>
                <w:szCs w:val="18"/>
              </w:rPr>
            </w:pPr>
            <w:r w:rsidRPr="000B02F7">
              <w:rPr>
                <w:rFonts w:ascii="Arial" w:hAnsi="Arial" w:cs="Arial"/>
                <w:color w:val="000000"/>
                <w:sz w:val="18"/>
                <w:szCs w:val="18"/>
              </w:rPr>
              <w:t>.</w:t>
            </w:r>
            <w:r>
              <w:rPr>
                <w:rFonts w:ascii="Arial" w:hAnsi="Arial" w:cs="Arial"/>
                <w:color w:val="000000"/>
                <w:sz w:val="18"/>
                <w:szCs w:val="18"/>
              </w:rPr>
              <w:t>9</w:t>
            </w:r>
            <w:r w:rsidRPr="000B02F7">
              <w:rPr>
                <w:rFonts w:ascii="Arial" w:hAnsi="Arial" w:cs="Arial"/>
                <w:color w:val="000000"/>
                <w:sz w:val="18"/>
                <w:szCs w:val="18"/>
              </w:rPr>
              <w:t>75</w:t>
            </w:r>
          </w:p>
        </w:tc>
      </w:tr>
    </w:tbl>
    <w:p w:rsidR="00311FE5" w:rsidRPr="000B02F7" w:rsidRDefault="00311FE5" w:rsidP="006F297E">
      <w:pPr>
        <w:autoSpaceDE w:val="0"/>
        <w:autoSpaceDN w:val="0"/>
        <w:adjustRightInd w:val="0"/>
        <w:spacing w:line="240" w:lineRule="auto"/>
      </w:pPr>
    </w:p>
    <w:p w:rsidR="00311FE5" w:rsidRDefault="00311FE5" w:rsidP="009D1F7F">
      <w:pPr>
        <w:autoSpaceDE w:val="0"/>
        <w:autoSpaceDN w:val="0"/>
        <w:adjustRightInd w:val="0"/>
        <w:spacing w:after="0" w:line="360" w:lineRule="auto"/>
        <w:contextualSpacing/>
      </w:pPr>
    </w:p>
    <w:p w:rsidR="00967E57" w:rsidRDefault="00967E57" w:rsidP="009D1F7F">
      <w:pPr>
        <w:autoSpaceDE w:val="0"/>
        <w:autoSpaceDN w:val="0"/>
        <w:adjustRightInd w:val="0"/>
        <w:spacing w:after="0" w:line="360" w:lineRule="auto"/>
        <w:contextualSpacing/>
      </w:pPr>
    </w:p>
    <w:p w:rsidR="00967E57" w:rsidRPr="00967E57" w:rsidRDefault="00967E57" w:rsidP="00967E57">
      <w:pPr>
        <w:pStyle w:val="Heading4"/>
        <w:rPr>
          <w:rFonts w:ascii="Calibri" w:hAnsi="Calibri"/>
          <w:b/>
          <w:color w:val="9E0000"/>
        </w:rPr>
      </w:pPr>
      <w:bookmarkStart w:id="134" w:name="_Toc268669800"/>
      <w:r w:rsidRPr="00967E57">
        <w:rPr>
          <w:rFonts w:ascii="Calibri" w:hAnsi="Calibri"/>
          <w:b/>
          <w:color w:val="9E0000"/>
        </w:rPr>
        <w:lastRenderedPageBreak/>
        <w:t>Appendix J</w:t>
      </w:r>
      <w:r w:rsidRPr="00967E57">
        <w:rPr>
          <w:rFonts w:ascii="Calibri" w:hAnsi="Calibri"/>
          <w:b/>
          <w:color w:val="9E0000"/>
        </w:rPr>
        <w:tab/>
        <w:t>Earnings Management Measures from Leuz et al. (2003)</w:t>
      </w:r>
      <w:bookmarkEnd w:id="134"/>
    </w:p>
    <w:p w:rsidR="00967E57" w:rsidRDefault="00967E57" w:rsidP="00967E57"/>
    <w:p w:rsidR="00551CE4" w:rsidRDefault="00551CE4" w:rsidP="00967E57">
      <w:pPr>
        <w:rPr>
          <w:rFonts w:ascii="Times New Roman" w:hAnsi="Times New Roman" w:cs="Times New Roman"/>
          <w:i/>
        </w:rPr>
      </w:pPr>
      <w:r w:rsidRPr="0069784F">
        <w:rPr>
          <w:rFonts w:ascii="Times New Roman" w:hAnsi="Times New Roman" w:cs="Times New Roman"/>
          <w:i/>
        </w:rPr>
        <w:t>EM 1, EM 2 and the Aggregate EM score are calculated using the same formulas discussed in chapter 8.</w:t>
      </w:r>
    </w:p>
    <w:p w:rsidR="0069784F" w:rsidRPr="0069784F" w:rsidRDefault="0069784F" w:rsidP="00967E57">
      <w:pPr>
        <w:rPr>
          <w:rFonts w:ascii="Times New Roman" w:hAnsi="Times New Roman" w:cs="Times New Roman"/>
          <w:i/>
        </w:rPr>
      </w:pPr>
    </w:p>
    <w:tbl>
      <w:tblPr>
        <w:tblStyle w:val="LightShading-Accent4"/>
        <w:tblW w:w="6993" w:type="dxa"/>
        <w:tblInd w:w="1048" w:type="dxa"/>
        <w:tblLook w:val="04A0"/>
      </w:tblPr>
      <w:tblGrid>
        <w:gridCol w:w="1900"/>
        <w:gridCol w:w="1493"/>
        <w:gridCol w:w="1350"/>
        <w:gridCol w:w="2250"/>
      </w:tblGrid>
      <w:tr w:rsidR="00967E57" w:rsidRPr="0068142E" w:rsidTr="00432767">
        <w:trPr>
          <w:cnfStyle w:val="100000000000"/>
          <w:trHeight w:val="300"/>
        </w:trPr>
        <w:tc>
          <w:tcPr>
            <w:cnfStyle w:val="001000000000"/>
            <w:tcW w:w="1900" w:type="dxa"/>
            <w:noWrap/>
            <w:hideMark/>
          </w:tcPr>
          <w:p w:rsidR="00967E57" w:rsidRPr="00551CE4" w:rsidRDefault="00551CE4" w:rsidP="00967E57">
            <w:pPr>
              <w:contextualSpacing/>
              <w:jc w:val="left"/>
              <w:rPr>
                <w:rFonts w:ascii="Times New Roman" w:hAnsi="Times New Roman" w:cs="Times New Roman"/>
                <w:bCs w:val="0"/>
                <w:color w:val="auto"/>
                <w:sz w:val="22"/>
                <w:szCs w:val="22"/>
              </w:rPr>
            </w:pPr>
            <w:r w:rsidRPr="00551CE4">
              <w:rPr>
                <w:rFonts w:ascii="Times New Roman" w:hAnsi="Times New Roman" w:cs="Times New Roman"/>
                <w:bCs w:val="0"/>
                <w:color w:val="auto"/>
                <w:sz w:val="22"/>
                <w:szCs w:val="22"/>
              </w:rPr>
              <w:t>Country</w:t>
            </w:r>
          </w:p>
        </w:tc>
        <w:tc>
          <w:tcPr>
            <w:tcW w:w="1493" w:type="dxa"/>
            <w:noWrap/>
            <w:hideMark/>
          </w:tcPr>
          <w:p w:rsidR="00967E57" w:rsidRPr="00551CE4" w:rsidRDefault="00551CE4" w:rsidP="00551CE4">
            <w:pPr>
              <w:contextualSpacing/>
              <w:jc w:val="left"/>
              <w:cnfStyle w:val="100000000000"/>
              <w:rPr>
                <w:rFonts w:ascii="Times New Roman" w:hAnsi="Times New Roman" w:cs="Times New Roman"/>
                <w:bCs w:val="0"/>
                <w:color w:val="auto"/>
                <w:sz w:val="22"/>
                <w:szCs w:val="22"/>
              </w:rPr>
            </w:pPr>
            <w:r w:rsidRPr="00551CE4">
              <w:rPr>
                <w:rFonts w:ascii="Times New Roman" w:hAnsi="Times New Roman" w:cs="Times New Roman"/>
                <w:bCs w:val="0"/>
                <w:color w:val="auto"/>
                <w:sz w:val="22"/>
                <w:szCs w:val="22"/>
              </w:rPr>
              <w:t xml:space="preserve">EM </w:t>
            </w:r>
          </w:p>
        </w:tc>
        <w:tc>
          <w:tcPr>
            <w:tcW w:w="1350" w:type="dxa"/>
            <w:noWrap/>
            <w:hideMark/>
          </w:tcPr>
          <w:p w:rsidR="00967E57" w:rsidRPr="00551CE4" w:rsidRDefault="00551CE4" w:rsidP="00967E57">
            <w:pPr>
              <w:contextualSpacing/>
              <w:jc w:val="left"/>
              <w:cnfStyle w:val="100000000000"/>
              <w:rPr>
                <w:rFonts w:ascii="Times New Roman" w:hAnsi="Times New Roman" w:cs="Times New Roman"/>
                <w:bCs w:val="0"/>
                <w:color w:val="auto"/>
                <w:sz w:val="22"/>
                <w:szCs w:val="22"/>
              </w:rPr>
            </w:pPr>
            <w:r w:rsidRPr="00551CE4">
              <w:rPr>
                <w:rFonts w:ascii="Times New Roman" w:hAnsi="Times New Roman" w:cs="Times New Roman"/>
                <w:bCs w:val="0"/>
                <w:color w:val="auto"/>
                <w:sz w:val="22"/>
                <w:szCs w:val="22"/>
              </w:rPr>
              <w:t>EM 2</w:t>
            </w:r>
          </w:p>
        </w:tc>
        <w:tc>
          <w:tcPr>
            <w:tcW w:w="2250" w:type="dxa"/>
            <w:noWrap/>
            <w:hideMark/>
          </w:tcPr>
          <w:p w:rsidR="00551CE4" w:rsidRPr="00551CE4" w:rsidRDefault="00551CE4" w:rsidP="00551CE4">
            <w:pPr>
              <w:contextualSpacing/>
              <w:jc w:val="left"/>
              <w:cnfStyle w:val="100000000000"/>
              <w:rPr>
                <w:rFonts w:ascii="Times New Roman" w:hAnsi="Times New Roman" w:cs="Times New Roman"/>
                <w:bCs w:val="0"/>
                <w:color w:val="auto"/>
                <w:sz w:val="22"/>
                <w:szCs w:val="22"/>
              </w:rPr>
            </w:pPr>
            <w:r w:rsidRPr="00551CE4">
              <w:rPr>
                <w:rFonts w:ascii="Times New Roman" w:hAnsi="Times New Roman" w:cs="Times New Roman"/>
                <w:bCs w:val="0"/>
                <w:color w:val="auto"/>
                <w:sz w:val="22"/>
                <w:szCs w:val="22"/>
              </w:rPr>
              <w:t xml:space="preserve">Aggregate EM </w:t>
            </w:r>
          </w:p>
          <w:p w:rsidR="00967E57" w:rsidRPr="00551CE4" w:rsidRDefault="00551CE4" w:rsidP="00551CE4">
            <w:pPr>
              <w:contextualSpacing/>
              <w:jc w:val="left"/>
              <w:cnfStyle w:val="100000000000"/>
              <w:rPr>
                <w:rFonts w:ascii="Times New Roman" w:hAnsi="Times New Roman" w:cs="Times New Roman"/>
                <w:bCs w:val="0"/>
                <w:color w:val="auto"/>
                <w:sz w:val="22"/>
                <w:szCs w:val="22"/>
              </w:rPr>
            </w:pPr>
            <w:r w:rsidRPr="00551CE4">
              <w:rPr>
                <w:rFonts w:ascii="Times New Roman" w:hAnsi="Times New Roman" w:cs="Times New Roman"/>
                <w:bCs w:val="0"/>
                <w:color w:val="auto"/>
                <w:sz w:val="22"/>
                <w:szCs w:val="22"/>
              </w:rPr>
              <w:t>score</w:t>
            </w:r>
            <w:r w:rsidR="00967E57" w:rsidRPr="00551CE4">
              <w:rPr>
                <w:rFonts w:ascii="Times New Roman" w:hAnsi="Times New Roman" w:cs="Times New Roman"/>
                <w:bCs w:val="0"/>
                <w:color w:val="auto"/>
                <w:sz w:val="22"/>
                <w:szCs w:val="22"/>
              </w:rPr>
              <w:t xml:space="preserve"> </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Austria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0.345</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-0.921</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28.3</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Greece</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0.415</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-0.928</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28.3</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Korea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0.399</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-0.922</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26.8</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Portugal</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0.402</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-0.911</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25.1</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Italy</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0.488</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-0.912</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24.8</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Taiwan</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0.431</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-0.898</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22.5</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Switzerland</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0.473</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-0.873</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22.0</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Singapore</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0.455</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-0.882</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21.6</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Germany</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0.51</w:t>
            </w:r>
            <w:r w:rsidR="00432767">
              <w:rPr>
                <w:rFonts w:ascii="Times New Roman" w:hAnsi="Times New Roman" w:cs="Times New Roman"/>
                <w:color w:val="000000"/>
                <w:sz w:val="22"/>
                <w:szCs w:val="22"/>
              </w:rPr>
              <w:t>0</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-0.867</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21.5</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Japan</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0.56</w:t>
            </w:r>
            <w:r w:rsidR="00432767">
              <w:rPr>
                <w:rFonts w:ascii="Times New Roman" w:hAnsi="Times New Roman" w:cs="Times New Roman"/>
                <w:color w:val="000000"/>
                <w:sz w:val="22"/>
                <w:szCs w:val="22"/>
              </w:rPr>
              <w:t>0</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-0.905</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20.5</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Belgium</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0.526</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-0.831</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19.5</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Hong Kong</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0.451</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-0.850</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19.5</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India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0.523</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-0.867</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19.1</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Spain</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0.539</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-0.865</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18.6</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Indonesia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0.481</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-0.825</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18.3</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Thailand</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0.602</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-0.868</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18.3</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Pakistan</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0.508</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-0.913</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17.8</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Netherlands</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0.491</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-0.861</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16.5</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Denmark</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0.559</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-0.875</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16.0</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Malaysia</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0.569</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-0.857</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14.8</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France</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0.561</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-0.845</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13.5</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Finland</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0.555</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-0.818</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12</w:t>
            </w:r>
            <w:r w:rsidR="00432767">
              <w:rPr>
                <w:rFonts w:ascii="Times New Roman" w:hAnsi="Times New Roman" w:cs="Times New Roman"/>
                <w:color w:val="000000"/>
                <w:sz w:val="22"/>
                <w:szCs w:val="22"/>
              </w:rPr>
              <w:t>.0</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Philippines</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0.722</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-0.804</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8.8</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United Kingdom</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0.574</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-0.807</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7.0</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Sweden</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0.621</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-0.764</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6.8</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Norway</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0.713</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-0.722</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5.8</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South Africa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0.643</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-0.84</w:t>
            </w:r>
            <w:r w:rsidR="00432767">
              <w:rPr>
                <w:rFonts w:ascii="Times New Roman" w:hAnsi="Times New Roman" w:cs="Times New Roman"/>
                <w:color w:val="000000"/>
                <w:sz w:val="22"/>
                <w:szCs w:val="22"/>
              </w:rPr>
              <w:t>0</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5.6</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Canada</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0.649</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-0.759</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5.3</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Ireland</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0.607</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-0.788</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5.1</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Australia</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0.625</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-0.790</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4.8</w:t>
            </w: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USA</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0.765</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-0.740</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2.0</w:t>
            </w: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Mean</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0.541</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-0.849</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Median</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0.539</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-0.861</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Standard Deviation</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0.100</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0.056</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p>
        </w:tc>
      </w:tr>
      <w:tr w:rsidR="00967E57" w:rsidRPr="0068142E" w:rsidTr="00432767">
        <w:trPr>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Min</w:t>
            </w:r>
          </w:p>
        </w:tc>
        <w:tc>
          <w:tcPr>
            <w:tcW w:w="1493"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0.345</w:t>
            </w:r>
          </w:p>
        </w:tc>
        <w:tc>
          <w:tcPr>
            <w:tcW w:w="13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-0.928</w:t>
            </w:r>
          </w:p>
        </w:tc>
        <w:tc>
          <w:tcPr>
            <w:tcW w:w="2250" w:type="dxa"/>
            <w:noWrap/>
            <w:hideMark/>
          </w:tcPr>
          <w:p w:rsidR="00967E57" w:rsidRPr="00432767" w:rsidRDefault="00967E57" w:rsidP="00967E57">
            <w:pPr>
              <w:contextualSpacing/>
              <w:jc w:val="left"/>
              <w:cnfStyle w:val="000000000000"/>
              <w:rPr>
                <w:rFonts w:ascii="Times New Roman" w:hAnsi="Times New Roman" w:cs="Times New Roman"/>
                <w:color w:val="000000"/>
                <w:sz w:val="22"/>
                <w:szCs w:val="22"/>
              </w:rPr>
            </w:pPr>
          </w:p>
        </w:tc>
      </w:tr>
      <w:tr w:rsidR="00967E57" w:rsidRPr="0068142E" w:rsidTr="00432767">
        <w:trPr>
          <w:cnfStyle w:val="000000100000"/>
          <w:trHeight w:val="300"/>
        </w:trPr>
        <w:tc>
          <w:tcPr>
            <w:cnfStyle w:val="001000000000"/>
            <w:tcW w:w="1900" w:type="dxa"/>
            <w:noWrap/>
            <w:hideMark/>
          </w:tcPr>
          <w:p w:rsidR="00967E57" w:rsidRPr="00432767" w:rsidRDefault="00967E57" w:rsidP="00967E57">
            <w:pPr>
              <w:contextualSpacing/>
              <w:rPr>
                <w:rFonts w:ascii="Times New Roman" w:hAnsi="Times New Roman" w:cs="Times New Roman"/>
                <w:b w:val="0"/>
                <w:color w:val="000000"/>
                <w:sz w:val="22"/>
                <w:szCs w:val="22"/>
              </w:rPr>
            </w:pPr>
            <w:r w:rsidRPr="00432767">
              <w:rPr>
                <w:rFonts w:ascii="Times New Roman" w:hAnsi="Times New Roman" w:cs="Times New Roman"/>
                <w:b w:val="0"/>
                <w:color w:val="000000"/>
                <w:sz w:val="22"/>
                <w:szCs w:val="22"/>
              </w:rPr>
              <w:t>Max</w:t>
            </w:r>
          </w:p>
        </w:tc>
        <w:tc>
          <w:tcPr>
            <w:tcW w:w="1493"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0.765</w:t>
            </w:r>
          </w:p>
        </w:tc>
        <w:tc>
          <w:tcPr>
            <w:tcW w:w="13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r w:rsidRPr="00432767">
              <w:rPr>
                <w:rFonts w:ascii="Times New Roman" w:hAnsi="Times New Roman" w:cs="Times New Roman"/>
                <w:color w:val="000000"/>
                <w:sz w:val="22"/>
                <w:szCs w:val="22"/>
              </w:rPr>
              <w:t>-0.722</w:t>
            </w:r>
          </w:p>
        </w:tc>
        <w:tc>
          <w:tcPr>
            <w:tcW w:w="2250" w:type="dxa"/>
            <w:noWrap/>
            <w:hideMark/>
          </w:tcPr>
          <w:p w:rsidR="00967E57" w:rsidRPr="00432767" w:rsidRDefault="00967E57" w:rsidP="00967E57">
            <w:pPr>
              <w:contextualSpacing/>
              <w:jc w:val="left"/>
              <w:cnfStyle w:val="000000100000"/>
              <w:rPr>
                <w:rFonts w:ascii="Times New Roman" w:hAnsi="Times New Roman" w:cs="Times New Roman"/>
                <w:color w:val="000000"/>
                <w:sz w:val="22"/>
                <w:szCs w:val="22"/>
              </w:rPr>
            </w:pPr>
          </w:p>
        </w:tc>
      </w:tr>
    </w:tbl>
    <w:p w:rsidR="00967E57" w:rsidRDefault="00967E57" w:rsidP="00967E57">
      <w:pPr>
        <w:autoSpaceDE w:val="0"/>
        <w:autoSpaceDN w:val="0"/>
        <w:adjustRightInd w:val="0"/>
        <w:spacing w:after="0" w:line="240" w:lineRule="auto"/>
        <w:contextualSpacing/>
      </w:pPr>
    </w:p>
    <w:sectPr w:rsidR="00967E57" w:rsidSect="00AD7667">
      <w:footerReference w:type="default" r:id="rId24"/>
      <w:pgSz w:w="11906" w:h="16838"/>
      <w:pgMar w:top="1417" w:right="1417" w:bottom="1417" w:left="1417" w:header="544" w:footer="544" w:gutter="34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00AC5" w:rsidRDefault="00400AC5" w:rsidP="00436A45">
      <w:pPr>
        <w:spacing w:after="0" w:line="240" w:lineRule="auto"/>
      </w:pPr>
      <w:r>
        <w:separator/>
      </w:r>
    </w:p>
  </w:endnote>
  <w:endnote w:type="continuationSeparator" w:id="0">
    <w:p w:rsidR="00400AC5" w:rsidRDefault="00400AC5" w:rsidP="00436A4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PwC_Logo">
    <w:charset w:val="02"/>
    <w:family w:val="auto"/>
    <w:pitch w:val="variable"/>
    <w:sig w:usb0="00000000" w:usb1="10000000" w:usb2="00000000" w:usb3="00000000" w:csb0="80000000"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Cambria Math">
    <w:panose1 w:val="02040503050406030204"/>
    <w:charset w:val="00"/>
    <w:family w:val="roman"/>
    <w:pitch w:val="variable"/>
    <w:sig w:usb0="A00002EF" w:usb1="420020EB" w:usb2="00000000" w:usb3="00000000" w:csb0="0000009F" w:csb1="00000000"/>
  </w:font>
  <w:font w:name="SymbolMT">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20002A87" w:usb1="80000000" w:usb2="00000008" w:usb3="00000000" w:csb0="0000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9864225"/>
      <w:docPartObj>
        <w:docPartGallery w:val="Page Numbers (Bottom of Page)"/>
        <w:docPartUnique/>
      </w:docPartObj>
    </w:sdtPr>
    <w:sdtEndPr>
      <w:rPr>
        <w:color w:val="7F7F7F" w:themeColor="background1" w:themeShade="7F"/>
        <w:spacing w:val="60"/>
      </w:rPr>
    </w:sdtEndPr>
    <w:sdtContent>
      <w:p w:rsidR="00FA50DF" w:rsidRDefault="00FA50DF">
        <w:pPr>
          <w:pStyle w:val="Footer"/>
          <w:pBdr>
            <w:top w:val="single" w:sz="4" w:space="1" w:color="D9D9D9" w:themeColor="background1" w:themeShade="D9"/>
          </w:pBdr>
          <w:rPr>
            <w:color w:val="7F7F7F" w:themeColor="background1" w:themeShade="7F"/>
            <w:spacing w:val="60"/>
          </w:rPr>
        </w:pPr>
        <w:fldSimple w:instr=" PAGE   \* MERGEFORMAT ">
          <w:r w:rsidR="000313AE" w:rsidRPr="000313AE">
            <w:rPr>
              <w:b/>
              <w:noProof/>
            </w:rPr>
            <w:t>6</w:t>
          </w:r>
        </w:fldSimple>
        <w:r>
          <w:rPr>
            <w:b/>
          </w:rPr>
          <w:t xml:space="preserve"> | </w:t>
        </w:r>
        <w:r>
          <w:rPr>
            <w:color w:val="7F7F7F" w:themeColor="background1" w:themeShade="7F"/>
            <w:spacing w:val="60"/>
          </w:rPr>
          <w:t>Master thesis accounting, auditing and control</w:t>
        </w:r>
      </w:p>
      <w:p w:rsidR="00FA50DF" w:rsidRDefault="00FA50DF">
        <w:pPr>
          <w:pStyle w:val="Footer"/>
          <w:pBdr>
            <w:top w:val="single" w:sz="4" w:space="1" w:color="D9D9D9" w:themeColor="background1" w:themeShade="D9"/>
          </w:pBdr>
          <w:rPr>
            <w:b/>
          </w:rPr>
        </w:pPr>
      </w:p>
    </w:sdtContent>
  </w:sdt>
  <w:p w:rsidR="00FA50DF" w:rsidRDefault="00FA50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00AC5" w:rsidRDefault="00400AC5" w:rsidP="00436A45">
      <w:pPr>
        <w:spacing w:after="0" w:line="240" w:lineRule="auto"/>
      </w:pPr>
      <w:r>
        <w:separator/>
      </w:r>
    </w:p>
  </w:footnote>
  <w:footnote w:type="continuationSeparator" w:id="0">
    <w:p w:rsidR="00400AC5" w:rsidRDefault="00400AC5" w:rsidP="00436A45">
      <w:pPr>
        <w:spacing w:after="0" w:line="240" w:lineRule="auto"/>
      </w:pPr>
      <w:r>
        <w:continuationSeparator/>
      </w:r>
    </w:p>
  </w:footnote>
  <w:footnote w:id="1">
    <w:p w:rsidR="00FA50DF" w:rsidRPr="00363871" w:rsidRDefault="00FA50DF" w:rsidP="00432023">
      <w:pPr>
        <w:pStyle w:val="FootnoteText"/>
        <w:rPr>
          <w:lang w:val="en-US"/>
        </w:rPr>
      </w:pPr>
      <w:r>
        <w:rPr>
          <w:rStyle w:val="FootnoteReference"/>
        </w:rPr>
        <w:footnoteRef/>
      </w:r>
      <w:r w:rsidRPr="00363871">
        <w:rPr>
          <w:lang w:val="en-US"/>
        </w:rPr>
        <w:t xml:space="preserve"> Ronen and Yaari (2008) discuss three categories of earnings management: beneficial, pernicious and neutral earnings management. They argue that defining earnings management as a non-truth-telling strategy marks it as pernicious, which means that earnings management is immoral even when it does not involve fraud (p.29). Yet earnings management can be beneficial, which enhances the transparency of reports, or neutral, which is manipulation of reports within the boundaries of compliance with bright-line standards. At the end, they came to the conclusion that the definition by Healy and Wahlen (1999) best describes earnings management.</w:t>
      </w:r>
    </w:p>
    <w:p w:rsidR="00FA50DF" w:rsidRPr="00363871" w:rsidRDefault="00FA50DF" w:rsidP="00432023">
      <w:pPr>
        <w:pStyle w:val="FootnoteText"/>
        <w:rPr>
          <w:lang w:val="en-US"/>
        </w:rPr>
      </w:pPr>
    </w:p>
  </w:footnote>
  <w:footnote w:id="2">
    <w:p w:rsidR="00FA50DF" w:rsidRPr="00363871" w:rsidRDefault="00FA50DF" w:rsidP="00432023">
      <w:pPr>
        <w:pStyle w:val="FootnoteText"/>
        <w:rPr>
          <w:lang w:val="en-US"/>
        </w:rPr>
      </w:pPr>
      <w:r>
        <w:rPr>
          <w:rStyle w:val="FootnoteReference"/>
        </w:rPr>
        <w:footnoteRef/>
      </w:r>
      <w:r w:rsidRPr="00363871">
        <w:rPr>
          <w:lang w:val="en-US"/>
        </w:rPr>
        <w:t xml:space="preserve"> Ronen and Yaari (2008) acknowledge that there are several methods to engage in earnings management (p.32). Which are: choosing between treatment which are allowed under GAAP; the decision on the timing of the adoption of a new standard; a judgment call when GAAP requires estimates; classification of items as above or below the line of operating earnings in order to separate persistent earnings from transitory earnings; structuring transactions to achieve desired accounting outcomes; timing the recognition of expenses and revenues;  real production and investment decisions; managing the transparency of the presentation; managing the informativeness of earnings.</w:t>
      </w:r>
    </w:p>
  </w:footnote>
  <w:footnote w:id="3">
    <w:p w:rsidR="00FA50DF" w:rsidRPr="00363871" w:rsidRDefault="00FA50DF" w:rsidP="00432023">
      <w:pPr>
        <w:pStyle w:val="FootnoteText"/>
        <w:rPr>
          <w:lang w:val="en-US"/>
        </w:rPr>
      </w:pPr>
      <w:r>
        <w:rPr>
          <w:rStyle w:val="FootnoteReference"/>
        </w:rPr>
        <w:footnoteRef/>
      </w:r>
      <w:r w:rsidRPr="00363871">
        <w:rPr>
          <w:lang w:val="en-US"/>
        </w:rPr>
        <w:t xml:space="preserve"> A time-series model involves a sequence of data, typically measured at successive times, at often uniform time intervals. The objective of this type of model is to predict future events based on past events. Time-series models enable researchers to determine whether reported earnings for a series of years would have been more or less smooth if a particular variable had been excluded as a determinant of income (Dechow et al. 1995).</w:t>
      </w:r>
    </w:p>
  </w:footnote>
  <w:footnote w:id="4">
    <w:p w:rsidR="00FA50DF" w:rsidRPr="00363871" w:rsidRDefault="00FA50DF" w:rsidP="00432023">
      <w:pPr>
        <w:pStyle w:val="FootnoteText"/>
        <w:rPr>
          <w:lang w:val="en-US"/>
        </w:rPr>
      </w:pPr>
      <w:r>
        <w:rPr>
          <w:rStyle w:val="FootnoteReference"/>
        </w:rPr>
        <w:footnoteRef/>
      </w:r>
      <w:r w:rsidRPr="00363871">
        <w:rPr>
          <w:lang w:val="en-US"/>
        </w:rPr>
        <w:t xml:space="preserve"> Cross sectional models focus on the relationship between different variables at a certain point in time. In contrast to time-series models these models relate to how variables affect each other at the same time. </w:t>
      </w:r>
    </w:p>
  </w:footnote>
  <w:footnote w:id="5">
    <w:p w:rsidR="00FA50DF" w:rsidRPr="00363871" w:rsidRDefault="00FA50DF" w:rsidP="00432023">
      <w:pPr>
        <w:pStyle w:val="FootnoteText"/>
        <w:rPr>
          <w:lang w:val="en-US"/>
        </w:rPr>
      </w:pPr>
      <w:r>
        <w:rPr>
          <w:rStyle w:val="FootnoteReference"/>
        </w:rPr>
        <w:footnoteRef/>
      </w:r>
      <w:r w:rsidRPr="00363871">
        <w:rPr>
          <w:lang w:val="en-US"/>
        </w:rPr>
        <w:t xml:space="preserve">  Ronen and Yaari (2008) extensively discuss the modifications on the Jones model, which are the modified Jones model of Dechow, Sloan and Sweeney (1995), the forward-looking model of Dechow, Richardson and Tuna (2003), the performance adjusted models (Kang and Sivaramakrishnan (1995); Dechow and Dichev (2002); Kothari, Leone and Wasley (2005)) and the synthesis model of Ye (2006).</w:t>
      </w:r>
    </w:p>
  </w:footnote>
  <w:footnote w:id="6">
    <w:p w:rsidR="00FA50DF" w:rsidRPr="00363871" w:rsidRDefault="00FA50DF" w:rsidP="00432023">
      <w:pPr>
        <w:pStyle w:val="FootnoteText"/>
        <w:rPr>
          <w:lang w:val="en-US"/>
        </w:rPr>
      </w:pPr>
      <w:r>
        <w:rPr>
          <w:rStyle w:val="FootnoteReference"/>
        </w:rPr>
        <w:footnoteRef/>
      </w:r>
      <w:r w:rsidRPr="005E59B1">
        <w:rPr>
          <w:lang w:val="en-GB"/>
        </w:rPr>
        <w:t xml:space="preserve"> The IASB recognizes standards issued by the IASC.</w:t>
      </w:r>
    </w:p>
  </w:footnote>
  <w:footnote w:id="7">
    <w:p w:rsidR="00FA50DF" w:rsidRPr="00B236C3" w:rsidRDefault="00FA50DF" w:rsidP="00432023">
      <w:pPr>
        <w:tabs>
          <w:tab w:val="left" w:pos="4320"/>
          <w:tab w:val="left" w:pos="5760"/>
          <w:tab w:val="left" w:pos="5940"/>
        </w:tabs>
        <w:autoSpaceDE w:val="0"/>
        <w:autoSpaceDN w:val="0"/>
        <w:adjustRightInd w:val="0"/>
        <w:spacing w:line="360" w:lineRule="auto"/>
        <w:rPr>
          <w:lang w:val="en-GB"/>
        </w:rPr>
      </w:pPr>
      <w:r>
        <w:rPr>
          <w:rStyle w:val="FootnoteReference"/>
        </w:rPr>
        <w:footnoteRef/>
      </w:r>
      <w:r>
        <w:t xml:space="preserve"> </w:t>
      </w:r>
      <w:r w:rsidRPr="00C116A1">
        <w:rPr>
          <w:rFonts w:ascii="Times New Roman" w:hAnsi="Times New Roman" w:cs="Times New Roman"/>
          <w:lang w:val="en-GB"/>
        </w:rPr>
        <w:t>Changes of the variables above are calculated by year t – year t-1</w:t>
      </w:r>
    </w:p>
    <w:p w:rsidR="00FA50DF" w:rsidRPr="00363871" w:rsidRDefault="00FA50DF" w:rsidP="00432023">
      <w:pPr>
        <w:pStyle w:val="FootnoteText"/>
        <w:rPr>
          <w:lang w:val="en-US"/>
        </w:rPr>
      </w:pPr>
    </w:p>
  </w:footnote>
  <w:footnote w:id="8">
    <w:p w:rsidR="00FA50DF" w:rsidRPr="0078013B" w:rsidRDefault="00FA50DF" w:rsidP="000275FE">
      <w:pPr>
        <w:pStyle w:val="FootnoteText"/>
        <w:rPr>
          <w:color w:val="000000" w:themeColor="text1"/>
          <w:sz w:val="18"/>
          <w:szCs w:val="18"/>
          <w:lang w:val="en-US"/>
        </w:rPr>
      </w:pPr>
      <w:r w:rsidRPr="0078013B">
        <w:rPr>
          <w:rStyle w:val="FootnoteReference"/>
          <w:rFonts w:eastAsiaTheme="majorEastAsia"/>
          <w:color w:val="000000" w:themeColor="text1"/>
          <w:sz w:val="18"/>
          <w:szCs w:val="18"/>
        </w:rPr>
        <w:footnoteRef/>
      </w:r>
      <w:r w:rsidRPr="00F73ADA">
        <w:rPr>
          <w:color w:val="000000" w:themeColor="text1"/>
          <w:sz w:val="18"/>
          <w:szCs w:val="18"/>
          <w:lang w:val="en-US"/>
        </w:rPr>
        <w:t xml:space="preserve"> The use of IFRS will be required for Canadian publicly accountable profit-oriented enterprises for financial periods beginning on or after 1of January 2011</w:t>
      </w:r>
    </w:p>
  </w:footnote>
  <w:footnote w:id="9">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The SEC released its proposed written roadmap in November 2008 and reaffirmed its commitment to one global set of accounting standards in a statement released in February 2010.</w:t>
      </w:r>
    </w:p>
  </w:footnote>
  <w:footnote w:id="10">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Registrants at the main board of the SIX (Swiss Stock Exchange) are required to use either IFRS or US GAAP.</w:t>
      </w:r>
    </w:p>
  </w:footnote>
  <w:footnote w:id="11">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SFRS (Singapore Financial Reporting Standards) will fully converge with IFRS by 2012.</w:t>
      </w:r>
    </w:p>
  </w:footnote>
  <w:footnote w:id="12">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w:t>
      </w:r>
      <w:r w:rsidRPr="0078013B">
        <w:rPr>
          <w:sz w:val="18"/>
          <w:szCs w:val="18"/>
          <w:lang w:val="en-US"/>
        </w:rPr>
        <w:t>As of January 1</w:t>
      </w:r>
      <w:r w:rsidRPr="0078013B">
        <w:rPr>
          <w:sz w:val="18"/>
          <w:szCs w:val="18"/>
          <w:vertAlign w:val="superscript"/>
          <w:lang w:val="en-US"/>
        </w:rPr>
        <w:t>st</w:t>
      </w:r>
      <w:r w:rsidRPr="0078013B">
        <w:rPr>
          <w:sz w:val="18"/>
          <w:szCs w:val="18"/>
          <w:lang w:val="en-US"/>
        </w:rPr>
        <w:t xml:space="preserve"> 2005 all listed companies are required to report according to IFRS.</w:t>
      </w:r>
    </w:p>
  </w:footnote>
  <w:footnote w:id="13">
    <w:p w:rsidR="00FA50DF" w:rsidRPr="0078013B" w:rsidRDefault="00FA50DF" w:rsidP="000275FE">
      <w:pPr>
        <w:pStyle w:val="FootnoteText"/>
        <w:rPr>
          <w:color w:val="000000" w:themeColor="text1"/>
          <w:sz w:val="18"/>
          <w:szCs w:val="18"/>
          <w:lang w:val="en-US"/>
        </w:rPr>
      </w:pPr>
      <w:r w:rsidRPr="0078013B">
        <w:rPr>
          <w:rStyle w:val="FootnoteReference"/>
          <w:rFonts w:eastAsiaTheme="majorEastAsia"/>
          <w:color w:val="000000" w:themeColor="text1"/>
          <w:sz w:val="18"/>
          <w:szCs w:val="18"/>
        </w:rPr>
        <w:footnoteRef/>
      </w:r>
      <w:r w:rsidRPr="00F73ADA">
        <w:rPr>
          <w:color w:val="000000" w:themeColor="text1"/>
          <w:sz w:val="18"/>
          <w:szCs w:val="18"/>
          <w:lang w:val="en-US"/>
        </w:rPr>
        <w:t xml:space="preserve"> As of 2005, </w:t>
      </w:r>
      <w:hyperlink r:id="rId1" w:tooltip="Hong Kong Financial Reporting Standards" w:history="1">
        <w:r w:rsidRPr="00F73ADA">
          <w:rPr>
            <w:rStyle w:val="Hyperlink"/>
            <w:color w:val="000000" w:themeColor="text1"/>
            <w:sz w:val="18"/>
            <w:szCs w:val="18"/>
            <w:u w:val="none"/>
            <w:lang w:val="en-US"/>
          </w:rPr>
          <w:t>Hong Kong Financial Reporting Standards</w:t>
        </w:r>
      </w:hyperlink>
      <w:r w:rsidRPr="00F73ADA">
        <w:rPr>
          <w:color w:val="000000" w:themeColor="text1"/>
          <w:sz w:val="18"/>
          <w:szCs w:val="18"/>
          <w:lang w:val="en-US"/>
        </w:rPr>
        <w:t xml:space="preserve"> (HKFRS) are identical to International Financial Reporting Standards.</w:t>
      </w:r>
    </w:p>
  </w:footnote>
  <w:footnote w:id="14">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The Accounting Standards Board of Japan has agreed to resolve all inconsistencies between the current JP-GAAP and IFRS wholly by 2011.</w:t>
      </w:r>
    </w:p>
  </w:footnote>
  <w:footnote w:id="15">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w:t>
      </w:r>
      <w:r w:rsidRPr="0078013B">
        <w:rPr>
          <w:sz w:val="18"/>
          <w:szCs w:val="18"/>
          <w:lang w:val="en-US"/>
        </w:rPr>
        <w:t>Not all IFRS/IAS are obligatory for listed companies.</w:t>
      </w:r>
    </w:p>
  </w:footnote>
  <w:footnote w:id="16">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IFRS will be converged with local GAAP; some standards will be adopted as TAS (Thai GAAP) in 2011 and some in 2013. Full convergence is expected by January 1, 2013.</w:t>
      </w:r>
    </w:p>
  </w:footnote>
  <w:footnote w:id="17">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IFRS is required for consolidated and standalone/separate financial statements</w:t>
      </w:r>
    </w:p>
  </w:footnote>
  <w:footnote w:id="18">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w:t>
      </w:r>
      <w:r w:rsidRPr="0078013B">
        <w:rPr>
          <w:sz w:val="18"/>
          <w:szCs w:val="18"/>
          <w:lang w:val="en-US"/>
        </w:rPr>
        <w:t>Starting 2013 all listed companies will have to report according to IFRS.</w:t>
      </w:r>
    </w:p>
  </w:footnote>
  <w:footnote w:id="19">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Indonesia is planning</w:t>
      </w:r>
      <w:r w:rsidRPr="0078013B">
        <w:rPr>
          <w:sz w:val="18"/>
          <w:szCs w:val="18"/>
          <w:lang w:val="en-US"/>
        </w:rPr>
        <w:t xml:space="preserve"> to converge with IFRS by 2012.</w:t>
      </w:r>
    </w:p>
  </w:footnote>
  <w:footnote w:id="20">
    <w:p w:rsidR="00FA50DF" w:rsidRPr="00F30488" w:rsidRDefault="00FA50DF" w:rsidP="000275FE">
      <w:pPr>
        <w:pStyle w:val="FootnoteText"/>
        <w:rPr>
          <w:lang w:val="en-US"/>
        </w:rPr>
      </w:pPr>
      <w:r w:rsidRPr="0078013B">
        <w:rPr>
          <w:rStyle w:val="FootnoteReference"/>
          <w:rFonts w:eastAsiaTheme="majorEastAsia"/>
          <w:sz w:val="18"/>
          <w:szCs w:val="18"/>
        </w:rPr>
        <w:footnoteRef/>
      </w:r>
      <w:r w:rsidRPr="00F73ADA">
        <w:rPr>
          <w:sz w:val="18"/>
          <w:szCs w:val="18"/>
          <w:lang w:val="en-US"/>
        </w:rPr>
        <w:t xml:space="preserve"> Early adoption of IFRS, with exception of financial institutions, is permitted from 2009. Adoption of IFRS is required for all listed companies and certain financial institutions from 2011.</w:t>
      </w:r>
    </w:p>
  </w:footnote>
  <w:footnote w:id="21">
    <w:p w:rsidR="00FA50DF" w:rsidRPr="0078013B" w:rsidRDefault="00FA50DF" w:rsidP="000275FE">
      <w:pPr>
        <w:pStyle w:val="FootnoteText"/>
        <w:rPr>
          <w:sz w:val="18"/>
          <w:szCs w:val="18"/>
          <w:lang w:val="en-US"/>
        </w:rPr>
      </w:pPr>
      <w:r w:rsidRPr="0078013B">
        <w:rPr>
          <w:rStyle w:val="FootnoteReference"/>
          <w:rFonts w:eastAsiaTheme="majorEastAsia"/>
          <w:sz w:val="18"/>
          <w:szCs w:val="18"/>
        </w:rPr>
        <w:footnoteRef/>
      </w:r>
      <w:r w:rsidRPr="00F73ADA">
        <w:rPr>
          <w:sz w:val="18"/>
          <w:szCs w:val="18"/>
          <w:lang w:val="en-US"/>
        </w:rPr>
        <w:t xml:space="preserve"> The Malaysian Accounting Standards Board (MASB) announced on August 1, 2008, plans to bring Malaysia to full convergence with IFRS by January 1, 2012.</w:t>
      </w:r>
    </w:p>
  </w:footnote>
  <w:footnote w:id="22">
    <w:p w:rsidR="00FA50DF" w:rsidRPr="00547C86" w:rsidRDefault="00FA50DF" w:rsidP="000275FE">
      <w:pPr>
        <w:pStyle w:val="FootnoteText"/>
        <w:rPr>
          <w:lang w:val="en-US"/>
        </w:rPr>
      </w:pPr>
      <w:r w:rsidRPr="0078013B">
        <w:rPr>
          <w:rStyle w:val="FootnoteReference"/>
          <w:rFonts w:eastAsiaTheme="majorEastAsia"/>
          <w:color w:val="000000" w:themeColor="text1"/>
          <w:sz w:val="18"/>
          <w:szCs w:val="18"/>
        </w:rPr>
        <w:footnoteRef/>
      </w:r>
      <w:r w:rsidRPr="00F73ADA">
        <w:rPr>
          <w:color w:val="000000" w:themeColor="text1"/>
          <w:sz w:val="18"/>
          <w:szCs w:val="18"/>
          <w:lang w:val="en-US"/>
        </w:rPr>
        <w:t xml:space="preserve"> Financial statements must be prepared according to Indian GAAP. The </w:t>
      </w:r>
      <w:hyperlink r:id="rId2" w:tooltip="Institute of Chartered Accountants of India" w:history="1">
        <w:r w:rsidRPr="00F73ADA">
          <w:rPr>
            <w:rStyle w:val="Hyperlink"/>
            <w:color w:val="000000" w:themeColor="text1"/>
            <w:sz w:val="18"/>
            <w:szCs w:val="18"/>
            <w:u w:val="none"/>
            <w:lang w:val="en-US"/>
          </w:rPr>
          <w:t>Institute of Chartered Accountants of India</w:t>
        </w:r>
      </w:hyperlink>
      <w:r w:rsidRPr="00F73ADA">
        <w:rPr>
          <w:color w:val="000000" w:themeColor="text1"/>
          <w:sz w:val="18"/>
          <w:szCs w:val="18"/>
          <w:lang w:val="en-US"/>
        </w:rPr>
        <w:t xml:space="preserve"> (ICAI) has announced that IFRS will be mandatory in India for </w:t>
      </w:r>
      <w:hyperlink r:id="rId3" w:tooltip="Financial statements" w:history="1">
        <w:r w:rsidRPr="00F73ADA">
          <w:rPr>
            <w:rStyle w:val="Hyperlink"/>
            <w:color w:val="000000" w:themeColor="text1"/>
            <w:sz w:val="18"/>
            <w:szCs w:val="18"/>
            <w:u w:val="none"/>
            <w:lang w:val="en-US"/>
          </w:rPr>
          <w:t>financial statements</w:t>
        </w:r>
      </w:hyperlink>
      <w:r w:rsidRPr="00F73ADA">
        <w:rPr>
          <w:color w:val="000000" w:themeColor="text1"/>
          <w:sz w:val="18"/>
          <w:szCs w:val="18"/>
          <w:lang w:val="en-US"/>
        </w:rPr>
        <w:t xml:space="preserve"> for the periods beginning on or after 1 April 2011.</w:t>
      </w:r>
    </w:p>
  </w:footnote>
  <w:footnote w:id="23">
    <w:p w:rsidR="00FA50DF" w:rsidRPr="00BC6E1A" w:rsidRDefault="00FA50DF" w:rsidP="0017794F">
      <w:pPr>
        <w:pStyle w:val="FootnoteText"/>
        <w:rPr>
          <w:lang w:val="en-US"/>
        </w:rPr>
      </w:pPr>
      <w:r>
        <w:rPr>
          <w:rStyle w:val="FootnoteReference"/>
        </w:rPr>
        <w:footnoteRef/>
      </w:r>
      <w:r w:rsidRPr="00BC6E1A">
        <w:rPr>
          <w:lang w:val="en-US"/>
        </w:rPr>
        <w:t xml:space="preserve"> </w:t>
      </w:r>
      <w:r>
        <w:rPr>
          <w:lang w:val="en-US"/>
        </w:rPr>
        <w:t>PIGS: Portugal, Italy, Spain and Greece</w:t>
      </w:r>
    </w:p>
  </w:footnote>
  <w:footnote w:id="24">
    <w:p w:rsidR="00FA50DF" w:rsidRPr="00830BA1" w:rsidRDefault="00FA50DF">
      <w:pPr>
        <w:pStyle w:val="FootnoteText"/>
        <w:rPr>
          <w:lang w:val="en-US"/>
        </w:rPr>
      </w:pPr>
      <w:r>
        <w:rPr>
          <w:rStyle w:val="FootnoteReference"/>
        </w:rPr>
        <w:footnoteRef/>
      </w:r>
      <w:r w:rsidRPr="0011305B">
        <w:rPr>
          <w:lang w:val="en-US"/>
        </w:rPr>
        <w:t xml:space="preserve"> </w:t>
      </w:r>
      <w:r>
        <w:rPr>
          <w:lang w:val="en-US"/>
        </w:rPr>
        <w:t>IS 1 = σ(Operating earnings)/σ(Operating cash flows)</w:t>
      </w:r>
    </w:p>
  </w:footnote>
  <w:footnote w:id="25">
    <w:p w:rsidR="00FA50DF" w:rsidRPr="00830BA1" w:rsidRDefault="00FA50DF">
      <w:pPr>
        <w:pStyle w:val="FootnoteText"/>
        <w:rPr>
          <w:lang w:val="en-US"/>
        </w:rPr>
      </w:pPr>
      <w:r>
        <w:rPr>
          <w:rStyle w:val="FootnoteReference"/>
        </w:rPr>
        <w:footnoteRef/>
      </w:r>
      <w:r w:rsidRPr="0011305B">
        <w:rPr>
          <w:lang w:val="en-US"/>
        </w:rPr>
        <w:t xml:space="preserve"> </w:t>
      </w:r>
      <w:r>
        <w:rPr>
          <w:lang w:val="en-US"/>
        </w:rPr>
        <w:t>IS 2 = ρ (Δ Accruals, Δ Operating cash flows)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544DDE4"/>
    <w:lvl w:ilvl="0">
      <w:start w:val="1"/>
      <w:numFmt w:val="decimal"/>
      <w:lvlText w:val="%1."/>
      <w:lvlJc w:val="left"/>
      <w:pPr>
        <w:tabs>
          <w:tab w:val="num" w:pos="1492"/>
        </w:tabs>
        <w:ind w:left="1492" w:hanging="360"/>
      </w:pPr>
    </w:lvl>
  </w:abstractNum>
  <w:abstractNum w:abstractNumId="1">
    <w:nsid w:val="FFFFFF7D"/>
    <w:multiLevelType w:val="singleLevel"/>
    <w:tmpl w:val="CE9A8ADC"/>
    <w:lvl w:ilvl="0">
      <w:start w:val="1"/>
      <w:numFmt w:val="decimal"/>
      <w:lvlText w:val="%1."/>
      <w:lvlJc w:val="left"/>
      <w:pPr>
        <w:tabs>
          <w:tab w:val="num" w:pos="1209"/>
        </w:tabs>
        <w:ind w:left="1209" w:hanging="360"/>
      </w:pPr>
    </w:lvl>
  </w:abstractNum>
  <w:abstractNum w:abstractNumId="2">
    <w:nsid w:val="FFFFFF7E"/>
    <w:multiLevelType w:val="singleLevel"/>
    <w:tmpl w:val="5FC8F238"/>
    <w:lvl w:ilvl="0">
      <w:start w:val="1"/>
      <w:numFmt w:val="decimal"/>
      <w:lvlText w:val="%1."/>
      <w:lvlJc w:val="left"/>
      <w:pPr>
        <w:tabs>
          <w:tab w:val="num" w:pos="926"/>
        </w:tabs>
        <w:ind w:left="926" w:hanging="360"/>
      </w:pPr>
    </w:lvl>
  </w:abstractNum>
  <w:abstractNum w:abstractNumId="3">
    <w:nsid w:val="FFFFFF7F"/>
    <w:multiLevelType w:val="singleLevel"/>
    <w:tmpl w:val="F6BC28A4"/>
    <w:lvl w:ilvl="0">
      <w:start w:val="1"/>
      <w:numFmt w:val="decimal"/>
      <w:lvlText w:val="%1."/>
      <w:lvlJc w:val="left"/>
      <w:pPr>
        <w:tabs>
          <w:tab w:val="num" w:pos="643"/>
        </w:tabs>
        <w:ind w:left="643" w:hanging="360"/>
      </w:pPr>
    </w:lvl>
  </w:abstractNum>
  <w:abstractNum w:abstractNumId="4">
    <w:nsid w:val="FFFFFF80"/>
    <w:multiLevelType w:val="singleLevel"/>
    <w:tmpl w:val="57E2DF94"/>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054CA6AE"/>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B436FFDA"/>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B8A87A0C"/>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8F60F1BA"/>
    <w:lvl w:ilvl="0">
      <w:start w:val="1"/>
      <w:numFmt w:val="decimal"/>
      <w:lvlText w:val="%1."/>
      <w:lvlJc w:val="left"/>
      <w:pPr>
        <w:tabs>
          <w:tab w:val="num" w:pos="360"/>
        </w:tabs>
        <w:ind w:left="360" w:hanging="360"/>
      </w:pPr>
    </w:lvl>
  </w:abstractNum>
  <w:abstractNum w:abstractNumId="9">
    <w:nsid w:val="FFFFFF89"/>
    <w:multiLevelType w:val="singleLevel"/>
    <w:tmpl w:val="DD3CE9A4"/>
    <w:lvl w:ilvl="0">
      <w:start w:val="1"/>
      <w:numFmt w:val="bullet"/>
      <w:lvlText w:val=""/>
      <w:lvlJc w:val="left"/>
      <w:pPr>
        <w:tabs>
          <w:tab w:val="num" w:pos="360"/>
        </w:tabs>
        <w:ind w:left="360" w:hanging="360"/>
      </w:pPr>
      <w:rPr>
        <w:rFonts w:ascii="Symbol" w:hAnsi="Symbol" w:hint="default"/>
      </w:rPr>
    </w:lvl>
  </w:abstractNum>
  <w:abstractNum w:abstractNumId="10">
    <w:nsid w:val="0272712A"/>
    <w:multiLevelType w:val="hybridMultilevel"/>
    <w:tmpl w:val="61A2EAF0"/>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1">
    <w:nsid w:val="084204C2"/>
    <w:multiLevelType w:val="multilevel"/>
    <w:tmpl w:val="B790A32C"/>
    <w:name w:val="PwCListBullets15"/>
    <w:numStyleLink w:val="PwCListBullets1"/>
  </w:abstractNum>
  <w:abstractNum w:abstractNumId="12">
    <w:nsid w:val="0984408E"/>
    <w:multiLevelType w:val="multilevel"/>
    <w:tmpl w:val="CF020DFA"/>
    <w:name w:val="PwCListNumbers1"/>
    <w:styleLink w:val="PwCListNumbers1"/>
    <w:lvl w:ilvl="0">
      <w:start w:val="1"/>
      <w:numFmt w:val="decimal"/>
      <w:pStyle w:val="ListNumber"/>
      <w:lvlText w:val="%1."/>
      <w:lvlJc w:val="left"/>
      <w:pPr>
        <w:tabs>
          <w:tab w:val="num" w:pos="397"/>
        </w:tabs>
        <w:ind w:left="397" w:hanging="397"/>
      </w:pPr>
      <w:rPr>
        <w:rFonts w:hint="default"/>
      </w:rPr>
    </w:lvl>
    <w:lvl w:ilvl="1">
      <w:start w:val="1"/>
      <w:numFmt w:val="lowerLetter"/>
      <w:pStyle w:val="ListNumber2"/>
      <w:lvlText w:val="%2."/>
      <w:lvlJc w:val="left"/>
      <w:pPr>
        <w:tabs>
          <w:tab w:val="num" w:pos="794"/>
        </w:tabs>
        <w:ind w:left="794" w:hanging="397"/>
      </w:pPr>
      <w:rPr>
        <w:rFonts w:hint="default"/>
      </w:rPr>
    </w:lvl>
    <w:lvl w:ilvl="2">
      <w:start w:val="1"/>
      <w:numFmt w:val="lowerRoman"/>
      <w:pStyle w:val="ListNumber3"/>
      <w:lvlText w:val="%3."/>
      <w:lvlJc w:val="left"/>
      <w:pPr>
        <w:tabs>
          <w:tab w:val="num" w:pos="1191"/>
        </w:tabs>
        <w:ind w:left="1191" w:hanging="397"/>
      </w:pPr>
      <w:rPr>
        <w:rFonts w:hint="default"/>
      </w:rPr>
    </w:lvl>
    <w:lvl w:ilvl="3">
      <w:start w:val="1"/>
      <w:numFmt w:val="decimal"/>
      <w:pStyle w:val="ListNumber4"/>
      <w:lvlText w:val="%4."/>
      <w:lvlJc w:val="left"/>
      <w:pPr>
        <w:tabs>
          <w:tab w:val="num" w:pos="1588"/>
        </w:tabs>
        <w:ind w:left="1588" w:hanging="397"/>
      </w:pPr>
      <w:rPr>
        <w:rFonts w:hint="default"/>
      </w:rPr>
    </w:lvl>
    <w:lvl w:ilvl="4">
      <w:start w:val="1"/>
      <w:numFmt w:val="lowerLetter"/>
      <w:pStyle w:val="ListNumber5"/>
      <w:lvlText w:val="%5."/>
      <w:lvlJc w:val="left"/>
      <w:pPr>
        <w:tabs>
          <w:tab w:val="num" w:pos="1985"/>
        </w:tabs>
        <w:ind w:left="1985" w:hanging="397"/>
      </w:pPr>
      <w:rPr>
        <w:rFonts w:hint="default"/>
      </w:rPr>
    </w:lvl>
    <w:lvl w:ilvl="5">
      <w:start w:val="1"/>
      <w:numFmt w:val="lowerRoman"/>
      <w:lvlText w:val="%6."/>
      <w:lvlJc w:val="left"/>
      <w:pPr>
        <w:tabs>
          <w:tab w:val="num" w:pos="2381"/>
        </w:tabs>
        <w:ind w:left="2382" w:hanging="397"/>
      </w:pPr>
      <w:rPr>
        <w:rFonts w:hint="default"/>
      </w:rPr>
    </w:lvl>
    <w:lvl w:ilvl="6">
      <w:start w:val="1"/>
      <w:numFmt w:val="decimal"/>
      <w:lvlText w:val="%7."/>
      <w:lvlJc w:val="left"/>
      <w:pPr>
        <w:tabs>
          <w:tab w:val="num" w:pos="2778"/>
        </w:tabs>
        <w:ind w:left="2779" w:hanging="397"/>
      </w:pPr>
      <w:rPr>
        <w:rFonts w:hint="default"/>
      </w:rPr>
    </w:lvl>
    <w:lvl w:ilvl="7">
      <w:start w:val="1"/>
      <w:numFmt w:val="lowerLetter"/>
      <w:lvlText w:val="%8."/>
      <w:lvlJc w:val="left"/>
      <w:pPr>
        <w:tabs>
          <w:tab w:val="num" w:pos="3175"/>
        </w:tabs>
        <w:ind w:left="3176" w:hanging="397"/>
      </w:pPr>
      <w:rPr>
        <w:rFonts w:hint="default"/>
      </w:rPr>
    </w:lvl>
    <w:lvl w:ilvl="8">
      <w:start w:val="1"/>
      <w:numFmt w:val="lowerRoman"/>
      <w:lvlText w:val="%9."/>
      <w:lvlJc w:val="left"/>
      <w:pPr>
        <w:tabs>
          <w:tab w:val="num" w:pos="3572"/>
        </w:tabs>
        <w:ind w:left="3573" w:hanging="397"/>
      </w:pPr>
      <w:rPr>
        <w:rFonts w:hint="default"/>
      </w:rPr>
    </w:lvl>
  </w:abstractNum>
  <w:abstractNum w:abstractNumId="13">
    <w:nsid w:val="0F6F3E83"/>
    <w:multiLevelType w:val="multilevel"/>
    <w:tmpl w:val="C4D46CF8"/>
    <w:lvl w:ilvl="0">
      <w:start w:val="1"/>
      <w:numFmt w:val="decimal"/>
      <w:lvlText w:val="%1"/>
      <w:lvlJc w:val="left"/>
      <w:pPr>
        <w:ind w:left="720" w:hanging="72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nsid w:val="1FEC51F8"/>
    <w:multiLevelType w:val="multilevel"/>
    <w:tmpl w:val="C1021A8C"/>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5">
    <w:nsid w:val="210C752A"/>
    <w:multiLevelType w:val="multilevel"/>
    <w:tmpl w:val="4B045CD8"/>
    <w:lvl w:ilvl="0">
      <w:start w:val="6"/>
      <w:numFmt w:val="decimal"/>
      <w:lvlText w:val="%1"/>
      <w:lvlJc w:val="left"/>
      <w:pPr>
        <w:tabs>
          <w:tab w:val="num" w:pos="750"/>
        </w:tabs>
        <w:ind w:left="750" w:hanging="750"/>
      </w:pPr>
      <w:rPr>
        <w:rFonts w:cs="Times New Roman" w:hint="default"/>
        <w:sz w:val="20"/>
      </w:rPr>
    </w:lvl>
    <w:lvl w:ilvl="1">
      <w:start w:val="3"/>
      <w:numFmt w:val="decimal"/>
      <w:lvlText w:val="%1.%2"/>
      <w:lvlJc w:val="left"/>
      <w:pPr>
        <w:tabs>
          <w:tab w:val="num" w:pos="750"/>
        </w:tabs>
        <w:ind w:left="750" w:hanging="750"/>
      </w:pPr>
      <w:rPr>
        <w:rFonts w:cs="Times New Roman" w:hint="default"/>
        <w:sz w:val="20"/>
      </w:rPr>
    </w:lvl>
    <w:lvl w:ilvl="2">
      <w:start w:val="1"/>
      <w:numFmt w:val="decimal"/>
      <w:lvlText w:val="%1.%2.%3"/>
      <w:lvlJc w:val="left"/>
      <w:pPr>
        <w:tabs>
          <w:tab w:val="num" w:pos="750"/>
        </w:tabs>
        <w:ind w:left="750" w:hanging="750"/>
      </w:pPr>
      <w:rPr>
        <w:rFonts w:cs="Times New Roman" w:hint="default"/>
        <w:sz w:val="20"/>
      </w:rPr>
    </w:lvl>
    <w:lvl w:ilvl="3">
      <w:start w:val="1"/>
      <w:numFmt w:val="decimal"/>
      <w:lvlText w:val="%1.%2.%3.%4"/>
      <w:lvlJc w:val="left"/>
      <w:pPr>
        <w:tabs>
          <w:tab w:val="num" w:pos="750"/>
        </w:tabs>
        <w:ind w:left="750" w:hanging="750"/>
      </w:pPr>
      <w:rPr>
        <w:rFonts w:cs="Times New Roman" w:hint="default"/>
        <w:sz w:val="20"/>
      </w:rPr>
    </w:lvl>
    <w:lvl w:ilvl="4">
      <w:start w:val="1"/>
      <w:numFmt w:val="decimal"/>
      <w:lvlText w:val="%1.%2.%3.%4.%5"/>
      <w:lvlJc w:val="left"/>
      <w:pPr>
        <w:tabs>
          <w:tab w:val="num" w:pos="750"/>
        </w:tabs>
        <w:ind w:left="750" w:hanging="750"/>
      </w:pPr>
      <w:rPr>
        <w:rFonts w:cs="Times New Roman" w:hint="default"/>
        <w:sz w:val="20"/>
      </w:rPr>
    </w:lvl>
    <w:lvl w:ilvl="5">
      <w:start w:val="1"/>
      <w:numFmt w:val="decimal"/>
      <w:lvlText w:val="%1.%2.%3.%4.%5.%6"/>
      <w:lvlJc w:val="left"/>
      <w:pPr>
        <w:tabs>
          <w:tab w:val="num" w:pos="1080"/>
        </w:tabs>
        <w:ind w:left="1080" w:hanging="1080"/>
      </w:pPr>
      <w:rPr>
        <w:rFonts w:cs="Times New Roman" w:hint="default"/>
        <w:sz w:val="20"/>
      </w:rPr>
    </w:lvl>
    <w:lvl w:ilvl="6">
      <w:start w:val="1"/>
      <w:numFmt w:val="decimal"/>
      <w:lvlText w:val="%1.%2.%3.%4.%5.%6.%7"/>
      <w:lvlJc w:val="left"/>
      <w:pPr>
        <w:tabs>
          <w:tab w:val="num" w:pos="1080"/>
        </w:tabs>
        <w:ind w:left="1080" w:hanging="1080"/>
      </w:pPr>
      <w:rPr>
        <w:rFonts w:cs="Times New Roman" w:hint="default"/>
        <w:sz w:val="20"/>
      </w:rPr>
    </w:lvl>
    <w:lvl w:ilvl="7">
      <w:start w:val="1"/>
      <w:numFmt w:val="decimal"/>
      <w:lvlText w:val="%1.%2.%3.%4.%5.%6.%7.%8"/>
      <w:lvlJc w:val="left"/>
      <w:pPr>
        <w:tabs>
          <w:tab w:val="num" w:pos="1440"/>
        </w:tabs>
        <w:ind w:left="1440" w:hanging="1440"/>
      </w:pPr>
      <w:rPr>
        <w:rFonts w:cs="Times New Roman" w:hint="default"/>
        <w:sz w:val="20"/>
      </w:rPr>
    </w:lvl>
    <w:lvl w:ilvl="8">
      <w:start w:val="1"/>
      <w:numFmt w:val="decimal"/>
      <w:lvlText w:val="%1.%2.%3.%4.%5.%6.%7.%8.%9"/>
      <w:lvlJc w:val="left"/>
      <w:pPr>
        <w:tabs>
          <w:tab w:val="num" w:pos="1440"/>
        </w:tabs>
        <w:ind w:left="1440" w:hanging="1440"/>
      </w:pPr>
      <w:rPr>
        <w:rFonts w:cs="Times New Roman" w:hint="default"/>
        <w:sz w:val="20"/>
      </w:rPr>
    </w:lvl>
  </w:abstractNum>
  <w:abstractNum w:abstractNumId="16">
    <w:nsid w:val="233B4F97"/>
    <w:multiLevelType w:val="hybridMultilevel"/>
    <w:tmpl w:val="2DB2571E"/>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nsid w:val="23B62FBF"/>
    <w:multiLevelType w:val="multilevel"/>
    <w:tmpl w:val="B790A32C"/>
    <w:name w:val="PwCListBullets16"/>
    <w:numStyleLink w:val="PwCListBullets1"/>
  </w:abstractNum>
  <w:abstractNum w:abstractNumId="18">
    <w:nsid w:val="2A6476A6"/>
    <w:multiLevelType w:val="multilevel"/>
    <w:tmpl w:val="EAD2FCA8"/>
    <w:lvl w:ilvl="0">
      <w:start w:val="2"/>
      <w:numFmt w:val="decimal"/>
      <w:lvlText w:val="%1"/>
      <w:lvlJc w:val="left"/>
      <w:pPr>
        <w:tabs>
          <w:tab w:val="num" w:pos="765"/>
        </w:tabs>
        <w:ind w:left="765" w:hanging="765"/>
      </w:pPr>
      <w:rPr>
        <w:rFonts w:hint="default"/>
      </w:rPr>
    </w:lvl>
    <w:lvl w:ilvl="1">
      <w:start w:val="1"/>
      <w:numFmt w:val="decimal"/>
      <w:lvlText w:val="%1.%2"/>
      <w:lvlJc w:val="left"/>
      <w:pPr>
        <w:tabs>
          <w:tab w:val="num" w:pos="765"/>
        </w:tabs>
        <w:ind w:left="765" w:hanging="765"/>
      </w:pPr>
      <w:rPr>
        <w:rFonts w:hint="default"/>
      </w:rPr>
    </w:lvl>
    <w:lvl w:ilvl="2">
      <w:start w:val="2"/>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nsid w:val="2AF667C2"/>
    <w:multiLevelType w:val="multilevel"/>
    <w:tmpl w:val="B790A32C"/>
    <w:name w:val="PwCListBullets13"/>
    <w:numStyleLink w:val="PwCListBullets1"/>
  </w:abstractNum>
  <w:abstractNum w:abstractNumId="20">
    <w:nsid w:val="2B3261DA"/>
    <w:multiLevelType w:val="multilevel"/>
    <w:tmpl w:val="5564496E"/>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2EA645BD"/>
    <w:multiLevelType w:val="multilevel"/>
    <w:tmpl w:val="4ACE2728"/>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nsid w:val="322A21E4"/>
    <w:multiLevelType w:val="multilevel"/>
    <w:tmpl w:val="CF14E5AC"/>
    <w:lvl w:ilvl="0">
      <w:start w:val="2"/>
      <w:numFmt w:val="decimal"/>
      <w:lvlText w:val="%1"/>
      <w:lvlJc w:val="left"/>
      <w:pPr>
        <w:tabs>
          <w:tab w:val="num" w:pos="705"/>
        </w:tabs>
        <w:ind w:left="705" w:hanging="705"/>
      </w:pPr>
      <w:rPr>
        <w:rFonts w:hint="default"/>
      </w:rPr>
    </w:lvl>
    <w:lvl w:ilvl="1">
      <w:start w:val="1"/>
      <w:numFmt w:val="decimal"/>
      <w:lvlText w:val="%1.%2"/>
      <w:lvlJc w:val="left"/>
      <w:pPr>
        <w:tabs>
          <w:tab w:val="num" w:pos="705"/>
        </w:tabs>
        <w:ind w:left="705" w:hanging="70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nsid w:val="3677385F"/>
    <w:multiLevelType w:val="multilevel"/>
    <w:tmpl w:val="CF020DFA"/>
    <w:name w:val="PwCListNumbers12"/>
    <w:numStyleLink w:val="PwCListNumbers1"/>
  </w:abstractNum>
  <w:abstractNum w:abstractNumId="24">
    <w:nsid w:val="392C1967"/>
    <w:multiLevelType w:val="hybridMultilevel"/>
    <w:tmpl w:val="8C60A44E"/>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25">
    <w:nsid w:val="44B16D24"/>
    <w:multiLevelType w:val="multilevel"/>
    <w:tmpl w:val="B790A32C"/>
    <w:name w:val="PwCListBullets14"/>
    <w:numStyleLink w:val="PwCListBullets1"/>
  </w:abstractNum>
  <w:abstractNum w:abstractNumId="26">
    <w:nsid w:val="494B747C"/>
    <w:multiLevelType w:val="multilevel"/>
    <w:tmpl w:val="CF020DFA"/>
    <w:name w:val="PwCListNumbers13"/>
    <w:numStyleLink w:val="PwCListNumbers1"/>
  </w:abstractNum>
  <w:abstractNum w:abstractNumId="27">
    <w:nsid w:val="498D6199"/>
    <w:multiLevelType w:val="hybridMultilevel"/>
    <w:tmpl w:val="E8A0C24A"/>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8">
    <w:nsid w:val="4C651342"/>
    <w:multiLevelType w:val="multilevel"/>
    <w:tmpl w:val="0DCA3A8C"/>
    <w:lvl w:ilvl="0">
      <w:start w:val="5"/>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nsid w:val="50AF0B9B"/>
    <w:multiLevelType w:val="hybridMultilevel"/>
    <w:tmpl w:val="594078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1445E9B"/>
    <w:multiLevelType w:val="hybridMultilevel"/>
    <w:tmpl w:val="5948A20C"/>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4840A41"/>
    <w:multiLevelType w:val="multilevel"/>
    <w:tmpl w:val="CF020DFA"/>
    <w:name w:val="PwCListNumbers14"/>
    <w:numStyleLink w:val="PwCListNumbers1"/>
  </w:abstractNum>
  <w:abstractNum w:abstractNumId="32">
    <w:nsid w:val="56D43BC4"/>
    <w:multiLevelType w:val="hybridMultilevel"/>
    <w:tmpl w:val="2CECA9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7726A94"/>
    <w:multiLevelType w:val="multilevel"/>
    <w:tmpl w:val="EAD2FCA8"/>
    <w:lvl w:ilvl="0">
      <w:start w:val="2"/>
      <w:numFmt w:val="decimal"/>
      <w:lvlText w:val="%1"/>
      <w:lvlJc w:val="left"/>
      <w:pPr>
        <w:tabs>
          <w:tab w:val="num" w:pos="765"/>
        </w:tabs>
        <w:ind w:left="765" w:hanging="765"/>
      </w:pPr>
      <w:rPr>
        <w:rFonts w:hint="default"/>
      </w:rPr>
    </w:lvl>
    <w:lvl w:ilvl="1">
      <w:start w:val="1"/>
      <w:numFmt w:val="decimal"/>
      <w:lvlText w:val="%1.%2"/>
      <w:lvlJc w:val="left"/>
      <w:pPr>
        <w:tabs>
          <w:tab w:val="num" w:pos="765"/>
        </w:tabs>
        <w:ind w:left="765" w:hanging="765"/>
      </w:pPr>
      <w:rPr>
        <w:rFonts w:hint="default"/>
      </w:rPr>
    </w:lvl>
    <w:lvl w:ilvl="2">
      <w:start w:val="2"/>
      <w:numFmt w:val="decimal"/>
      <w:lvlText w:val="%1.%2.%3"/>
      <w:lvlJc w:val="left"/>
      <w:pPr>
        <w:tabs>
          <w:tab w:val="num" w:pos="765"/>
        </w:tabs>
        <w:ind w:left="765" w:hanging="765"/>
      </w:pPr>
      <w:rPr>
        <w:rFonts w:hint="default"/>
      </w:rPr>
    </w:lvl>
    <w:lvl w:ilvl="3">
      <w:start w:val="1"/>
      <w:numFmt w:val="decimal"/>
      <w:lvlText w:val="%1.%2.%3.%4"/>
      <w:lvlJc w:val="left"/>
      <w:pPr>
        <w:tabs>
          <w:tab w:val="num" w:pos="765"/>
        </w:tabs>
        <w:ind w:left="765" w:hanging="76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59973A65"/>
    <w:multiLevelType w:val="multilevel"/>
    <w:tmpl w:val="D2BADF4E"/>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5">
    <w:nsid w:val="5C307216"/>
    <w:multiLevelType w:val="multilevel"/>
    <w:tmpl w:val="0E72AE2C"/>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5C3D4B59"/>
    <w:multiLevelType w:val="multilevel"/>
    <w:tmpl w:val="B790A32C"/>
    <w:name w:val="PwCListBullets12"/>
    <w:numStyleLink w:val="PwCListBullets1"/>
  </w:abstractNum>
  <w:abstractNum w:abstractNumId="37">
    <w:nsid w:val="5F795EA6"/>
    <w:multiLevelType w:val="multilevel"/>
    <w:tmpl w:val="96A26F62"/>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8">
    <w:nsid w:val="64460F1F"/>
    <w:multiLevelType w:val="multilevel"/>
    <w:tmpl w:val="D5E093E2"/>
    <w:lvl w:ilvl="0">
      <w:start w:val="5"/>
      <w:numFmt w:val="decimal"/>
      <w:lvlText w:val="%1"/>
      <w:lvlJc w:val="left"/>
      <w:pPr>
        <w:ind w:left="360" w:hanging="360"/>
      </w:pPr>
      <w:rPr>
        <w:rFonts w:hint="default"/>
      </w:rPr>
    </w:lvl>
    <w:lvl w:ilvl="1">
      <w:start w:val="2"/>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39">
    <w:nsid w:val="6702082B"/>
    <w:multiLevelType w:val="multilevel"/>
    <w:tmpl w:val="F5A44224"/>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68A84C77"/>
    <w:multiLevelType w:val="multilevel"/>
    <w:tmpl w:val="8E94459A"/>
    <w:lvl w:ilvl="0">
      <w:start w:val="4"/>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nsid w:val="72591CA9"/>
    <w:multiLevelType w:val="multilevel"/>
    <w:tmpl w:val="B790A32C"/>
    <w:name w:val="PwCListBullets1"/>
    <w:styleLink w:val="PwCListBullets1"/>
    <w:lvl w:ilvl="0">
      <w:start w:val="1"/>
      <w:numFmt w:val="bullet"/>
      <w:pStyle w:val="ListBullet"/>
      <w:lvlText w:val=""/>
      <w:lvlJc w:val="left"/>
      <w:pPr>
        <w:tabs>
          <w:tab w:val="num" w:pos="397"/>
        </w:tabs>
        <w:ind w:left="397" w:hanging="397"/>
      </w:pPr>
      <w:rPr>
        <w:rFonts w:ascii="Symbol" w:hAnsi="Symbol" w:hint="default"/>
      </w:rPr>
    </w:lvl>
    <w:lvl w:ilvl="1">
      <w:start w:val="1"/>
      <w:numFmt w:val="bullet"/>
      <w:pStyle w:val="ListBullet2"/>
      <w:lvlText w:val=""/>
      <w:lvlJc w:val="left"/>
      <w:pPr>
        <w:tabs>
          <w:tab w:val="num" w:pos="794"/>
        </w:tabs>
        <w:ind w:left="794" w:hanging="397"/>
      </w:pPr>
      <w:rPr>
        <w:rFonts w:ascii="Symbol" w:hAnsi="Symbol" w:hint="default"/>
      </w:rPr>
    </w:lvl>
    <w:lvl w:ilvl="2">
      <w:start w:val="1"/>
      <w:numFmt w:val="bullet"/>
      <w:pStyle w:val="ListBullet3"/>
      <w:lvlText w:val=""/>
      <w:lvlJc w:val="left"/>
      <w:pPr>
        <w:tabs>
          <w:tab w:val="num" w:pos="1191"/>
        </w:tabs>
        <w:ind w:left="1191" w:hanging="397"/>
      </w:pPr>
      <w:rPr>
        <w:rFonts w:ascii="Symbol" w:hAnsi="Symbol" w:hint="default"/>
      </w:rPr>
    </w:lvl>
    <w:lvl w:ilvl="3">
      <w:start w:val="1"/>
      <w:numFmt w:val="bullet"/>
      <w:pStyle w:val="ListBullet4"/>
      <w:lvlText w:val=""/>
      <w:lvlJc w:val="left"/>
      <w:pPr>
        <w:tabs>
          <w:tab w:val="num" w:pos="1588"/>
        </w:tabs>
        <w:ind w:left="1588" w:hanging="397"/>
      </w:pPr>
      <w:rPr>
        <w:rFonts w:ascii="Symbol" w:hAnsi="Symbol" w:hint="default"/>
      </w:rPr>
    </w:lvl>
    <w:lvl w:ilvl="4">
      <w:start w:val="1"/>
      <w:numFmt w:val="bullet"/>
      <w:pStyle w:val="ListBullet5"/>
      <w:lvlText w:val=""/>
      <w:lvlJc w:val="left"/>
      <w:pPr>
        <w:tabs>
          <w:tab w:val="num" w:pos="1985"/>
        </w:tabs>
        <w:ind w:left="1985" w:hanging="397"/>
      </w:pPr>
      <w:rPr>
        <w:rFonts w:ascii="Symbol" w:hAnsi="Symbol" w:hint="default"/>
      </w:rPr>
    </w:lvl>
    <w:lvl w:ilvl="5">
      <w:start w:val="1"/>
      <w:numFmt w:val="bullet"/>
      <w:lvlText w:val=""/>
      <w:lvlJc w:val="left"/>
      <w:pPr>
        <w:tabs>
          <w:tab w:val="num" w:pos="2381"/>
        </w:tabs>
        <w:ind w:left="2382" w:hanging="397"/>
      </w:pPr>
      <w:rPr>
        <w:rFonts w:ascii="Symbol" w:hAnsi="Symbol" w:hint="default"/>
      </w:rPr>
    </w:lvl>
    <w:lvl w:ilvl="6">
      <w:start w:val="1"/>
      <w:numFmt w:val="bullet"/>
      <w:lvlText w:val=""/>
      <w:lvlJc w:val="left"/>
      <w:pPr>
        <w:tabs>
          <w:tab w:val="num" w:pos="2778"/>
        </w:tabs>
        <w:ind w:left="2779" w:hanging="397"/>
      </w:pPr>
      <w:rPr>
        <w:rFonts w:ascii="Symbol" w:hAnsi="Symbol" w:hint="default"/>
      </w:rPr>
    </w:lvl>
    <w:lvl w:ilvl="7">
      <w:start w:val="1"/>
      <w:numFmt w:val="bullet"/>
      <w:lvlText w:val=""/>
      <w:lvlJc w:val="left"/>
      <w:pPr>
        <w:tabs>
          <w:tab w:val="num" w:pos="3175"/>
        </w:tabs>
        <w:ind w:left="3176" w:hanging="397"/>
      </w:pPr>
      <w:rPr>
        <w:rFonts w:ascii="Symbol" w:hAnsi="Symbol" w:hint="default"/>
      </w:rPr>
    </w:lvl>
    <w:lvl w:ilvl="8">
      <w:start w:val="1"/>
      <w:numFmt w:val="bullet"/>
      <w:lvlText w:val=""/>
      <w:lvlJc w:val="left"/>
      <w:pPr>
        <w:tabs>
          <w:tab w:val="num" w:pos="3572"/>
        </w:tabs>
        <w:ind w:left="3573" w:hanging="397"/>
      </w:pPr>
      <w:rPr>
        <w:rFonts w:ascii="Symbol" w:hAnsi="Symbol" w:hint="default"/>
      </w:rPr>
    </w:lvl>
  </w:abstractNum>
  <w:abstractNum w:abstractNumId="42">
    <w:nsid w:val="77A125FC"/>
    <w:multiLevelType w:val="hybridMultilevel"/>
    <w:tmpl w:val="E7BEEA0E"/>
    <w:lvl w:ilvl="0" w:tplc="0409001B">
      <w:start w:val="1"/>
      <w:numFmt w:val="lowerRoman"/>
      <w:lvlText w:val="%1."/>
      <w:lvlJc w:val="righ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41"/>
  </w:num>
  <w:num w:numId="12">
    <w:abstractNumId w:val="36"/>
  </w:num>
  <w:num w:numId="13">
    <w:abstractNumId w:val="19"/>
  </w:num>
  <w:num w:numId="14">
    <w:abstractNumId w:val="25"/>
  </w:num>
  <w:num w:numId="15">
    <w:abstractNumId w:val="12"/>
  </w:num>
  <w:num w:numId="16">
    <w:abstractNumId w:val="23"/>
  </w:num>
  <w:num w:numId="17">
    <w:abstractNumId w:val="11"/>
  </w:num>
  <w:num w:numId="18">
    <w:abstractNumId w:val="17"/>
  </w:num>
  <w:num w:numId="19">
    <w:abstractNumId w:val="26"/>
  </w:num>
  <w:num w:numId="20">
    <w:abstractNumId w:val="31"/>
  </w:num>
  <w:num w:numId="21">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7"/>
  </w:num>
  <w:num w:numId="26">
    <w:abstractNumId w:val="42"/>
  </w:num>
  <w:num w:numId="27">
    <w:abstractNumId w:val="10"/>
  </w:num>
  <w:num w:numId="28">
    <w:abstractNumId w:val="33"/>
  </w:num>
  <w:num w:numId="29">
    <w:abstractNumId w:val="22"/>
  </w:num>
  <w:num w:numId="30">
    <w:abstractNumId w:val="18"/>
  </w:num>
  <w:num w:numId="31">
    <w:abstractNumId w:val="14"/>
  </w:num>
  <w:num w:numId="32">
    <w:abstractNumId w:val="37"/>
  </w:num>
  <w:num w:numId="33">
    <w:abstractNumId w:val="21"/>
  </w:num>
  <w:num w:numId="34">
    <w:abstractNumId w:val="40"/>
  </w:num>
  <w:num w:numId="35">
    <w:abstractNumId w:val="34"/>
  </w:num>
  <w:num w:numId="36">
    <w:abstractNumId w:val="20"/>
  </w:num>
  <w:num w:numId="37">
    <w:abstractNumId w:val="28"/>
  </w:num>
  <w:num w:numId="38">
    <w:abstractNumId w:val="16"/>
  </w:num>
  <w:num w:numId="39">
    <w:abstractNumId w:val="38"/>
  </w:num>
  <w:num w:numId="40">
    <w:abstractNumId w:val="39"/>
  </w:num>
  <w:num w:numId="41">
    <w:abstractNumId w:val="35"/>
  </w:num>
  <w:num w:numId="42">
    <w:abstractNumId w:val="24"/>
  </w:num>
  <w:num w:numId="43">
    <w:abstractNumId w:val="15"/>
  </w:num>
  <w:num w:numId="44">
    <w:abstractNumId w:val="30"/>
  </w:num>
  <w:num w:numId="45">
    <w:abstractNumId w:val="32"/>
  </w:num>
  <w:num w:numId="46">
    <w:abstractNumId w:val="29"/>
  </w:num>
  <w:num w:numId="4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00"/>
  <w:displayHorizontalDrawingGridEvery w:val="2"/>
  <w:characterSpacingControl w:val="doNotCompress"/>
  <w:hdrShapeDefaults>
    <o:shapedefaults v:ext="edit" spidmax="107522"/>
  </w:hdrShapeDefaults>
  <w:footnotePr>
    <w:footnote w:id="-1"/>
    <w:footnote w:id="0"/>
  </w:footnotePr>
  <w:endnotePr>
    <w:endnote w:id="-1"/>
    <w:endnote w:id="0"/>
  </w:endnotePr>
  <w:compat>
    <w:useFELayout/>
  </w:compat>
  <w:rsids>
    <w:rsidRoot w:val="005F0705"/>
    <w:rsid w:val="00001521"/>
    <w:rsid w:val="000050AF"/>
    <w:rsid w:val="00005882"/>
    <w:rsid w:val="000062E9"/>
    <w:rsid w:val="00011566"/>
    <w:rsid w:val="00013A39"/>
    <w:rsid w:val="000159CD"/>
    <w:rsid w:val="00020919"/>
    <w:rsid w:val="000242B5"/>
    <w:rsid w:val="000275FE"/>
    <w:rsid w:val="000313AE"/>
    <w:rsid w:val="000313EC"/>
    <w:rsid w:val="00031BE2"/>
    <w:rsid w:val="00031FD3"/>
    <w:rsid w:val="0003432D"/>
    <w:rsid w:val="00036AF8"/>
    <w:rsid w:val="00040B73"/>
    <w:rsid w:val="000458D5"/>
    <w:rsid w:val="000503FB"/>
    <w:rsid w:val="00053502"/>
    <w:rsid w:val="0005354B"/>
    <w:rsid w:val="00056542"/>
    <w:rsid w:val="0005660B"/>
    <w:rsid w:val="00056B94"/>
    <w:rsid w:val="00057376"/>
    <w:rsid w:val="00063019"/>
    <w:rsid w:val="00064591"/>
    <w:rsid w:val="00066939"/>
    <w:rsid w:val="00072177"/>
    <w:rsid w:val="000734E9"/>
    <w:rsid w:val="00075A18"/>
    <w:rsid w:val="00080644"/>
    <w:rsid w:val="00084A80"/>
    <w:rsid w:val="000859B7"/>
    <w:rsid w:val="000874EB"/>
    <w:rsid w:val="00095CE1"/>
    <w:rsid w:val="00096B29"/>
    <w:rsid w:val="000A02E0"/>
    <w:rsid w:val="000A18E8"/>
    <w:rsid w:val="000A4EBF"/>
    <w:rsid w:val="000A6EA8"/>
    <w:rsid w:val="000A7435"/>
    <w:rsid w:val="000A79CE"/>
    <w:rsid w:val="000B15F4"/>
    <w:rsid w:val="000B226C"/>
    <w:rsid w:val="000B2927"/>
    <w:rsid w:val="000B2A2D"/>
    <w:rsid w:val="000B3C73"/>
    <w:rsid w:val="000B71F3"/>
    <w:rsid w:val="000C0563"/>
    <w:rsid w:val="000C174A"/>
    <w:rsid w:val="000C5F90"/>
    <w:rsid w:val="000D1F0F"/>
    <w:rsid w:val="000D2E49"/>
    <w:rsid w:val="000D7DAE"/>
    <w:rsid w:val="000E33BC"/>
    <w:rsid w:val="000E5F31"/>
    <w:rsid w:val="000F076E"/>
    <w:rsid w:val="000F0B0A"/>
    <w:rsid w:val="000F2057"/>
    <w:rsid w:val="000F2488"/>
    <w:rsid w:val="000F325A"/>
    <w:rsid w:val="000F3E78"/>
    <w:rsid w:val="00101E85"/>
    <w:rsid w:val="00103A2D"/>
    <w:rsid w:val="00107DF1"/>
    <w:rsid w:val="001121F7"/>
    <w:rsid w:val="0011305B"/>
    <w:rsid w:val="00117900"/>
    <w:rsid w:val="0011793F"/>
    <w:rsid w:val="0012463C"/>
    <w:rsid w:val="0012582B"/>
    <w:rsid w:val="001325A2"/>
    <w:rsid w:val="00134C10"/>
    <w:rsid w:val="0014182B"/>
    <w:rsid w:val="001422A0"/>
    <w:rsid w:val="00142E12"/>
    <w:rsid w:val="001431A7"/>
    <w:rsid w:val="0014588B"/>
    <w:rsid w:val="00146977"/>
    <w:rsid w:val="00147B51"/>
    <w:rsid w:val="00154BFE"/>
    <w:rsid w:val="00155267"/>
    <w:rsid w:val="001567E1"/>
    <w:rsid w:val="00161E70"/>
    <w:rsid w:val="00163453"/>
    <w:rsid w:val="001677B2"/>
    <w:rsid w:val="0017624E"/>
    <w:rsid w:val="0017794F"/>
    <w:rsid w:val="00177954"/>
    <w:rsid w:val="0018044E"/>
    <w:rsid w:val="001806D3"/>
    <w:rsid w:val="00185D88"/>
    <w:rsid w:val="00194772"/>
    <w:rsid w:val="0019574D"/>
    <w:rsid w:val="00196601"/>
    <w:rsid w:val="00196F5D"/>
    <w:rsid w:val="001A5212"/>
    <w:rsid w:val="001A5903"/>
    <w:rsid w:val="001A7532"/>
    <w:rsid w:val="001B1949"/>
    <w:rsid w:val="001B1C9F"/>
    <w:rsid w:val="001B248E"/>
    <w:rsid w:val="001C04C3"/>
    <w:rsid w:val="001C1D3E"/>
    <w:rsid w:val="001C57AC"/>
    <w:rsid w:val="001C5CE2"/>
    <w:rsid w:val="001C5FEC"/>
    <w:rsid w:val="001C6499"/>
    <w:rsid w:val="001D7967"/>
    <w:rsid w:val="001E259D"/>
    <w:rsid w:val="001E4E90"/>
    <w:rsid w:val="001E5873"/>
    <w:rsid w:val="001F28EE"/>
    <w:rsid w:val="001F5CDD"/>
    <w:rsid w:val="00200CEB"/>
    <w:rsid w:val="00200E9F"/>
    <w:rsid w:val="00202472"/>
    <w:rsid w:val="0020494F"/>
    <w:rsid w:val="00216A4B"/>
    <w:rsid w:val="00216DC4"/>
    <w:rsid w:val="0022335B"/>
    <w:rsid w:val="00224440"/>
    <w:rsid w:val="00225151"/>
    <w:rsid w:val="00226421"/>
    <w:rsid w:val="002320CD"/>
    <w:rsid w:val="002333B6"/>
    <w:rsid w:val="002435B4"/>
    <w:rsid w:val="00244B86"/>
    <w:rsid w:val="0024508E"/>
    <w:rsid w:val="002548E9"/>
    <w:rsid w:val="00263107"/>
    <w:rsid w:val="002649B9"/>
    <w:rsid w:val="00265A8A"/>
    <w:rsid w:val="00266945"/>
    <w:rsid w:val="002705C4"/>
    <w:rsid w:val="00277D0B"/>
    <w:rsid w:val="002803D7"/>
    <w:rsid w:val="0028409C"/>
    <w:rsid w:val="00285DA4"/>
    <w:rsid w:val="002867B3"/>
    <w:rsid w:val="00290D91"/>
    <w:rsid w:val="002923AC"/>
    <w:rsid w:val="0029269A"/>
    <w:rsid w:val="002938B4"/>
    <w:rsid w:val="002A049C"/>
    <w:rsid w:val="002A17F1"/>
    <w:rsid w:val="002A1F95"/>
    <w:rsid w:val="002A44CA"/>
    <w:rsid w:val="002A50CA"/>
    <w:rsid w:val="002A635A"/>
    <w:rsid w:val="002A66A3"/>
    <w:rsid w:val="002A66CC"/>
    <w:rsid w:val="002B41F4"/>
    <w:rsid w:val="002B5C46"/>
    <w:rsid w:val="002C0ED0"/>
    <w:rsid w:val="002C16C9"/>
    <w:rsid w:val="002C1E97"/>
    <w:rsid w:val="002C3520"/>
    <w:rsid w:val="002C582E"/>
    <w:rsid w:val="002C5E5C"/>
    <w:rsid w:val="002C6F5D"/>
    <w:rsid w:val="002D1649"/>
    <w:rsid w:val="002D34BB"/>
    <w:rsid w:val="002E19D4"/>
    <w:rsid w:val="002E26BC"/>
    <w:rsid w:val="002E4C14"/>
    <w:rsid w:val="002F1327"/>
    <w:rsid w:val="002F245D"/>
    <w:rsid w:val="002F7D61"/>
    <w:rsid w:val="0030013D"/>
    <w:rsid w:val="00304720"/>
    <w:rsid w:val="00304A55"/>
    <w:rsid w:val="00311666"/>
    <w:rsid w:val="003117EC"/>
    <w:rsid w:val="00311FE5"/>
    <w:rsid w:val="00313B77"/>
    <w:rsid w:val="00315182"/>
    <w:rsid w:val="00315803"/>
    <w:rsid w:val="00316300"/>
    <w:rsid w:val="00317FC1"/>
    <w:rsid w:val="0032113F"/>
    <w:rsid w:val="00326534"/>
    <w:rsid w:val="00326EDE"/>
    <w:rsid w:val="0032729A"/>
    <w:rsid w:val="003450F4"/>
    <w:rsid w:val="00345F78"/>
    <w:rsid w:val="0034727E"/>
    <w:rsid w:val="0035100C"/>
    <w:rsid w:val="00351C17"/>
    <w:rsid w:val="003522FA"/>
    <w:rsid w:val="0035297E"/>
    <w:rsid w:val="00353FBA"/>
    <w:rsid w:val="00354640"/>
    <w:rsid w:val="00360ABA"/>
    <w:rsid w:val="00363483"/>
    <w:rsid w:val="00363871"/>
    <w:rsid w:val="003656D4"/>
    <w:rsid w:val="00365EC6"/>
    <w:rsid w:val="00370015"/>
    <w:rsid w:val="00370E18"/>
    <w:rsid w:val="00371D1E"/>
    <w:rsid w:val="003753FE"/>
    <w:rsid w:val="00375D57"/>
    <w:rsid w:val="00376030"/>
    <w:rsid w:val="003765B4"/>
    <w:rsid w:val="00382697"/>
    <w:rsid w:val="0038582D"/>
    <w:rsid w:val="00386C3C"/>
    <w:rsid w:val="0039259A"/>
    <w:rsid w:val="003A0F2C"/>
    <w:rsid w:val="003A5F53"/>
    <w:rsid w:val="003A6B28"/>
    <w:rsid w:val="003A7F6D"/>
    <w:rsid w:val="003B15CC"/>
    <w:rsid w:val="003B1750"/>
    <w:rsid w:val="003B2604"/>
    <w:rsid w:val="003B26A2"/>
    <w:rsid w:val="003B4B44"/>
    <w:rsid w:val="003B4FEF"/>
    <w:rsid w:val="003B53F2"/>
    <w:rsid w:val="003B5883"/>
    <w:rsid w:val="003C2786"/>
    <w:rsid w:val="003C64A6"/>
    <w:rsid w:val="003C6958"/>
    <w:rsid w:val="003D06EE"/>
    <w:rsid w:val="003E0623"/>
    <w:rsid w:val="003E1751"/>
    <w:rsid w:val="003E683F"/>
    <w:rsid w:val="003E749B"/>
    <w:rsid w:val="003F5FAC"/>
    <w:rsid w:val="003F6ED0"/>
    <w:rsid w:val="003F79B5"/>
    <w:rsid w:val="00400AC5"/>
    <w:rsid w:val="00402343"/>
    <w:rsid w:val="004026AC"/>
    <w:rsid w:val="0040339F"/>
    <w:rsid w:val="00404994"/>
    <w:rsid w:val="00404C86"/>
    <w:rsid w:val="004052C1"/>
    <w:rsid w:val="004059F7"/>
    <w:rsid w:val="0041120F"/>
    <w:rsid w:val="00411AA9"/>
    <w:rsid w:val="00412709"/>
    <w:rsid w:val="00414681"/>
    <w:rsid w:val="004154D3"/>
    <w:rsid w:val="0042011E"/>
    <w:rsid w:val="0042041F"/>
    <w:rsid w:val="00421F3A"/>
    <w:rsid w:val="00422379"/>
    <w:rsid w:val="00424FF2"/>
    <w:rsid w:val="004271CB"/>
    <w:rsid w:val="00430A47"/>
    <w:rsid w:val="00432023"/>
    <w:rsid w:val="00432767"/>
    <w:rsid w:val="00436A45"/>
    <w:rsid w:val="004371B5"/>
    <w:rsid w:val="00437EAE"/>
    <w:rsid w:val="0044215C"/>
    <w:rsid w:val="00444475"/>
    <w:rsid w:val="00445A06"/>
    <w:rsid w:val="00445ED1"/>
    <w:rsid w:val="00445F4E"/>
    <w:rsid w:val="00446DB4"/>
    <w:rsid w:val="00450C94"/>
    <w:rsid w:val="004511CD"/>
    <w:rsid w:val="004542DF"/>
    <w:rsid w:val="0046135F"/>
    <w:rsid w:val="0046674B"/>
    <w:rsid w:val="004702E0"/>
    <w:rsid w:val="00470945"/>
    <w:rsid w:val="0047261F"/>
    <w:rsid w:val="004729FC"/>
    <w:rsid w:val="00472B83"/>
    <w:rsid w:val="0047416B"/>
    <w:rsid w:val="0047530D"/>
    <w:rsid w:val="004771F6"/>
    <w:rsid w:val="00477D6A"/>
    <w:rsid w:val="00480E64"/>
    <w:rsid w:val="00481104"/>
    <w:rsid w:val="004831BF"/>
    <w:rsid w:val="00483334"/>
    <w:rsid w:val="00483C16"/>
    <w:rsid w:val="00484783"/>
    <w:rsid w:val="00485505"/>
    <w:rsid w:val="00487B7A"/>
    <w:rsid w:val="00490748"/>
    <w:rsid w:val="00491523"/>
    <w:rsid w:val="0049322D"/>
    <w:rsid w:val="00495E3E"/>
    <w:rsid w:val="00495F61"/>
    <w:rsid w:val="004975D5"/>
    <w:rsid w:val="004A0895"/>
    <w:rsid w:val="004A4009"/>
    <w:rsid w:val="004A5FBB"/>
    <w:rsid w:val="004B0AC4"/>
    <w:rsid w:val="004B1A10"/>
    <w:rsid w:val="004B21BC"/>
    <w:rsid w:val="004B3D20"/>
    <w:rsid w:val="004C7380"/>
    <w:rsid w:val="004D272E"/>
    <w:rsid w:val="004D3B17"/>
    <w:rsid w:val="004D4B07"/>
    <w:rsid w:val="004D4BF4"/>
    <w:rsid w:val="004E4FA4"/>
    <w:rsid w:val="004F2839"/>
    <w:rsid w:val="004F2A3F"/>
    <w:rsid w:val="004F41E8"/>
    <w:rsid w:val="004F5273"/>
    <w:rsid w:val="004F7B80"/>
    <w:rsid w:val="00500966"/>
    <w:rsid w:val="00501924"/>
    <w:rsid w:val="0050571A"/>
    <w:rsid w:val="0051011A"/>
    <w:rsid w:val="00510292"/>
    <w:rsid w:val="00510C35"/>
    <w:rsid w:val="00511138"/>
    <w:rsid w:val="00512B7B"/>
    <w:rsid w:val="00514D97"/>
    <w:rsid w:val="00517EE1"/>
    <w:rsid w:val="00520CC8"/>
    <w:rsid w:val="00524145"/>
    <w:rsid w:val="005243A6"/>
    <w:rsid w:val="00530004"/>
    <w:rsid w:val="00531A0B"/>
    <w:rsid w:val="00534845"/>
    <w:rsid w:val="00537982"/>
    <w:rsid w:val="00540A81"/>
    <w:rsid w:val="00541D59"/>
    <w:rsid w:val="0054330C"/>
    <w:rsid w:val="0054701E"/>
    <w:rsid w:val="00547862"/>
    <w:rsid w:val="005500CF"/>
    <w:rsid w:val="00550AB8"/>
    <w:rsid w:val="00551834"/>
    <w:rsid w:val="00551CE4"/>
    <w:rsid w:val="00554B64"/>
    <w:rsid w:val="00554CB1"/>
    <w:rsid w:val="00554DC6"/>
    <w:rsid w:val="005604E9"/>
    <w:rsid w:val="005616F3"/>
    <w:rsid w:val="0056537A"/>
    <w:rsid w:val="00566481"/>
    <w:rsid w:val="00574BB5"/>
    <w:rsid w:val="005803EA"/>
    <w:rsid w:val="005805BB"/>
    <w:rsid w:val="00581754"/>
    <w:rsid w:val="00592336"/>
    <w:rsid w:val="00597713"/>
    <w:rsid w:val="00597714"/>
    <w:rsid w:val="00597859"/>
    <w:rsid w:val="00597A6A"/>
    <w:rsid w:val="005A0162"/>
    <w:rsid w:val="005A0181"/>
    <w:rsid w:val="005A1396"/>
    <w:rsid w:val="005A28DA"/>
    <w:rsid w:val="005A3D32"/>
    <w:rsid w:val="005A5E22"/>
    <w:rsid w:val="005A70B0"/>
    <w:rsid w:val="005A7595"/>
    <w:rsid w:val="005B17B2"/>
    <w:rsid w:val="005B5E39"/>
    <w:rsid w:val="005B6F3C"/>
    <w:rsid w:val="005B7EED"/>
    <w:rsid w:val="005C2362"/>
    <w:rsid w:val="005C6464"/>
    <w:rsid w:val="005C7DDC"/>
    <w:rsid w:val="005D58C2"/>
    <w:rsid w:val="005D5D01"/>
    <w:rsid w:val="005D72B5"/>
    <w:rsid w:val="005D7F75"/>
    <w:rsid w:val="005E1B11"/>
    <w:rsid w:val="005E39C4"/>
    <w:rsid w:val="005E5046"/>
    <w:rsid w:val="005E6A21"/>
    <w:rsid w:val="005E6BFB"/>
    <w:rsid w:val="005F0705"/>
    <w:rsid w:val="005F0ED7"/>
    <w:rsid w:val="005F2F05"/>
    <w:rsid w:val="005F3E47"/>
    <w:rsid w:val="005F5C03"/>
    <w:rsid w:val="005F61ED"/>
    <w:rsid w:val="00600642"/>
    <w:rsid w:val="00603A16"/>
    <w:rsid w:val="00611048"/>
    <w:rsid w:val="00612B6D"/>
    <w:rsid w:val="006145B1"/>
    <w:rsid w:val="006170A6"/>
    <w:rsid w:val="00621A54"/>
    <w:rsid w:val="00623249"/>
    <w:rsid w:val="006232AE"/>
    <w:rsid w:val="00627181"/>
    <w:rsid w:val="00630808"/>
    <w:rsid w:val="00641836"/>
    <w:rsid w:val="00642F1B"/>
    <w:rsid w:val="00645FCB"/>
    <w:rsid w:val="00653B4E"/>
    <w:rsid w:val="00653DC3"/>
    <w:rsid w:val="00660C96"/>
    <w:rsid w:val="00662A4F"/>
    <w:rsid w:val="006632FC"/>
    <w:rsid w:val="00665AEB"/>
    <w:rsid w:val="0066691C"/>
    <w:rsid w:val="006725CE"/>
    <w:rsid w:val="006732D9"/>
    <w:rsid w:val="006740B0"/>
    <w:rsid w:val="00675205"/>
    <w:rsid w:val="00675358"/>
    <w:rsid w:val="00677AD7"/>
    <w:rsid w:val="00683FBC"/>
    <w:rsid w:val="00685DE6"/>
    <w:rsid w:val="006911DA"/>
    <w:rsid w:val="00691895"/>
    <w:rsid w:val="00692923"/>
    <w:rsid w:val="00692D50"/>
    <w:rsid w:val="00695809"/>
    <w:rsid w:val="00695CA8"/>
    <w:rsid w:val="0069784F"/>
    <w:rsid w:val="00697D47"/>
    <w:rsid w:val="006A0E9B"/>
    <w:rsid w:val="006A4BBB"/>
    <w:rsid w:val="006A61E4"/>
    <w:rsid w:val="006B00B3"/>
    <w:rsid w:val="006B1541"/>
    <w:rsid w:val="006B168B"/>
    <w:rsid w:val="006B2503"/>
    <w:rsid w:val="006B2AAE"/>
    <w:rsid w:val="006B54FB"/>
    <w:rsid w:val="006B5C98"/>
    <w:rsid w:val="006B641D"/>
    <w:rsid w:val="006C0B8B"/>
    <w:rsid w:val="006C0D3D"/>
    <w:rsid w:val="006C1653"/>
    <w:rsid w:val="006C178E"/>
    <w:rsid w:val="006C3EE5"/>
    <w:rsid w:val="006C7629"/>
    <w:rsid w:val="006D004D"/>
    <w:rsid w:val="006D0A22"/>
    <w:rsid w:val="006D0F4C"/>
    <w:rsid w:val="006D16C1"/>
    <w:rsid w:val="006E25F5"/>
    <w:rsid w:val="006E3383"/>
    <w:rsid w:val="006E792B"/>
    <w:rsid w:val="006F297E"/>
    <w:rsid w:val="006F2A1A"/>
    <w:rsid w:val="006F2A21"/>
    <w:rsid w:val="006F2DA7"/>
    <w:rsid w:val="006F4115"/>
    <w:rsid w:val="006F489C"/>
    <w:rsid w:val="006F7DC5"/>
    <w:rsid w:val="00702D4D"/>
    <w:rsid w:val="00702F66"/>
    <w:rsid w:val="00703D0D"/>
    <w:rsid w:val="00706EE7"/>
    <w:rsid w:val="00710EBF"/>
    <w:rsid w:val="0071306F"/>
    <w:rsid w:val="00716C73"/>
    <w:rsid w:val="00716FDB"/>
    <w:rsid w:val="00725398"/>
    <w:rsid w:val="00726524"/>
    <w:rsid w:val="007316A0"/>
    <w:rsid w:val="00733B10"/>
    <w:rsid w:val="00734FA0"/>
    <w:rsid w:val="00735217"/>
    <w:rsid w:val="0073687F"/>
    <w:rsid w:val="00737559"/>
    <w:rsid w:val="00737C68"/>
    <w:rsid w:val="00737E28"/>
    <w:rsid w:val="00743023"/>
    <w:rsid w:val="00743BE1"/>
    <w:rsid w:val="00746F4A"/>
    <w:rsid w:val="00747A05"/>
    <w:rsid w:val="00747D8C"/>
    <w:rsid w:val="0075116A"/>
    <w:rsid w:val="007525FF"/>
    <w:rsid w:val="00756FEA"/>
    <w:rsid w:val="00760CFC"/>
    <w:rsid w:val="0076247B"/>
    <w:rsid w:val="00770738"/>
    <w:rsid w:val="007722A3"/>
    <w:rsid w:val="007732C3"/>
    <w:rsid w:val="007739AF"/>
    <w:rsid w:val="007746EB"/>
    <w:rsid w:val="0077578C"/>
    <w:rsid w:val="00781645"/>
    <w:rsid w:val="00792CEB"/>
    <w:rsid w:val="007936C4"/>
    <w:rsid w:val="00795905"/>
    <w:rsid w:val="00795D9E"/>
    <w:rsid w:val="00795F1F"/>
    <w:rsid w:val="007A1231"/>
    <w:rsid w:val="007A3FC2"/>
    <w:rsid w:val="007A443B"/>
    <w:rsid w:val="007A4971"/>
    <w:rsid w:val="007A60E3"/>
    <w:rsid w:val="007A6CD6"/>
    <w:rsid w:val="007B1083"/>
    <w:rsid w:val="007B1AFF"/>
    <w:rsid w:val="007B3878"/>
    <w:rsid w:val="007B596F"/>
    <w:rsid w:val="007B6639"/>
    <w:rsid w:val="007B706B"/>
    <w:rsid w:val="007C3E92"/>
    <w:rsid w:val="007C6E90"/>
    <w:rsid w:val="007C7CDB"/>
    <w:rsid w:val="007C7DFF"/>
    <w:rsid w:val="007D0041"/>
    <w:rsid w:val="007D4C1B"/>
    <w:rsid w:val="007D5B83"/>
    <w:rsid w:val="007E27D4"/>
    <w:rsid w:val="007E40C6"/>
    <w:rsid w:val="007E4862"/>
    <w:rsid w:val="007E5DBE"/>
    <w:rsid w:val="007E740B"/>
    <w:rsid w:val="007F23B9"/>
    <w:rsid w:val="007F27D1"/>
    <w:rsid w:val="007F2A6D"/>
    <w:rsid w:val="007F7D6E"/>
    <w:rsid w:val="008025EC"/>
    <w:rsid w:val="008035D4"/>
    <w:rsid w:val="00803997"/>
    <w:rsid w:val="00804F7C"/>
    <w:rsid w:val="00811A30"/>
    <w:rsid w:val="0081252D"/>
    <w:rsid w:val="00816459"/>
    <w:rsid w:val="00820B4B"/>
    <w:rsid w:val="00822E8B"/>
    <w:rsid w:val="00824E42"/>
    <w:rsid w:val="008271E7"/>
    <w:rsid w:val="00830BA1"/>
    <w:rsid w:val="00833989"/>
    <w:rsid w:val="008355A1"/>
    <w:rsid w:val="00836435"/>
    <w:rsid w:val="008373E5"/>
    <w:rsid w:val="00843891"/>
    <w:rsid w:val="00846F18"/>
    <w:rsid w:val="00847128"/>
    <w:rsid w:val="00860998"/>
    <w:rsid w:val="00860FD5"/>
    <w:rsid w:val="00861489"/>
    <w:rsid w:val="00864AD4"/>
    <w:rsid w:val="00867669"/>
    <w:rsid w:val="008756E2"/>
    <w:rsid w:val="00877C14"/>
    <w:rsid w:val="00881480"/>
    <w:rsid w:val="00883283"/>
    <w:rsid w:val="00884BAC"/>
    <w:rsid w:val="00890D7E"/>
    <w:rsid w:val="00893749"/>
    <w:rsid w:val="00893857"/>
    <w:rsid w:val="008942D1"/>
    <w:rsid w:val="00897E5C"/>
    <w:rsid w:val="008A4439"/>
    <w:rsid w:val="008A69E3"/>
    <w:rsid w:val="008A6B37"/>
    <w:rsid w:val="008B0036"/>
    <w:rsid w:val="008B0524"/>
    <w:rsid w:val="008B1B32"/>
    <w:rsid w:val="008B2D41"/>
    <w:rsid w:val="008B3861"/>
    <w:rsid w:val="008B4801"/>
    <w:rsid w:val="008B4D32"/>
    <w:rsid w:val="008C042B"/>
    <w:rsid w:val="008C2E15"/>
    <w:rsid w:val="008D3B31"/>
    <w:rsid w:val="008D46F5"/>
    <w:rsid w:val="008D4A82"/>
    <w:rsid w:val="008D5347"/>
    <w:rsid w:val="008D6721"/>
    <w:rsid w:val="008D6CC0"/>
    <w:rsid w:val="008E0902"/>
    <w:rsid w:val="008E131D"/>
    <w:rsid w:val="008E1A31"/>
    <w:rsid w:val="008E2B50"/>
    <w:rsid w:val="008E4D48"/>
    <w:rsid w:val="008E7769"/>
    <w:rsid w:val="008E78E8"/>
    <w:rsid w:val="008F2A06"/>
    <w:rsid w:val="008F7142"/>
    <w:rsid w:val="00901759"/>
    <w:rsid w:val="0090362C"/>
    <w:rsid w:val="00911F07"/>
    <w:rsid w:val="009121F5"/>
    <w:rsid w:val="009178CB"/>
    <w:rsid w:val="009208D9"/>
    <w:rsid w:val="00923CFE"/>
    <w:rsid w:val="00926169"/>
    <w:rsid w:val="00933228"/>
    <w:rsid w:val="00935EC6"/>
    <w:rsid w:val="009370C3"/>
    <w:rsid w:val="0093792E"/>
    <w:rsid w:val="009431C8"/>
    <w:rsid w:val="00944842"/>
    <w:rsid w:val="00944BDC"/>
    <w:rsid w:val="0094726D"/>
    <w:rsid w:val="00950633"/>
    <w:rsid w:val="00952788"/>
    <w:rsid w:val="00952E94"/>
    <w:rsid w:val="00956934"/>
    <w:rsid w:val="00960882"/>
    <w:rsid w:val="00960BA7"/>
    <w:rsid w:val="00964312"/>
    <w:rsid w:val="0096550C"/>
    <w:rsid w:val="00966799"/>
    <w:rsid w:val="00967E57"/>
    <w:rsid w:val="009766F5"/>
    <w:rsid w:val="00981CB6"/>
    <w:rsid w:val="0098227E"/>
    <w:rsid w:val="0098229B"/>
    <w:rsid w:val="00982AB2"/>
    <w:rsid w:val="00984C2B"/>
    <w:rsid w:val="00985E1D"/>
    <w:rsid w:val="00986326"/>
    <w:rsid w:val="00986D67"/>
    <w:rsid w:val="00993F43"/>
    <w:rsid w:val="009962BF"/>
    <w:rsid w:val="00996CC5"/>
    <w:rsid w:val="009A05DC"/>
    <w:rsid w:val="009A1211"/>
    <w:rsid w:val="009A2235"/>
    <w:rsid w:val="009A6B62"/>
    <w:rsid w:val="009A7525"/>
    <w:rsid w:val="009B31B0"/>
    <w:rsid w:val="009B7121"/>
    <w:rsid w:val="009C134E"/>
    <w:rsid w:val="009C3BD9"/>
    <w:rsid w:val="009C4823"/>
    <w:rsid w:val="009D1CA0"/>
    <w:rsid w:val="009D1F7F"/>
    <w:rsid w:val="009D2196"/>
    <w:rsid w:val="009D3E09"/>
    <w:rsid w:val="009D4DC3"/>
    <w:rsid w:val="009D529A"/>
    <w:rsid w:val="009E0A48"/>
    <w:rsid w:val="009E0B8B"/>
    <w:rsid w:val="009E2A17"/>
    <w:rsid w:val="009E3231"/>
    <w:rsid w:val="009E32F9"/>
    <w:rsid w:val="009E3365"/>
    <w:rsid w:val="009E5079"/>
    <w:rsid w:val="009E6E2C"/>
    <w:rsid w:val="009E7DF4"/>
    <w:rsid w:val="009E7E44"/>
    <w:rsid w:val="009F0D35"/>
    <w:rsid w:val="009F3598"/>
    <w:rsid w:val="009F5368"/>
    <w:rsid w:val="009F5D07"/>
    <w:rsid w:val="009F5F8B"/>
    <w:rsid w:val="00A02098"/>
    <w:rsid w:val="00A02517"/>
    <w:rsid w:val="00A02D4D"/>
    <w:rsid w:val="00A04215"/>
    <w:rsid w:val="00A04808"/>
    <w:rsid w:val="00A04BFF"/>
    <w:rsid w:val="00A05BCE"/>
    <w:rsid w:val="00A074C2"/>
    <w:rsid w:val="00A13542"/>
    <w:rsid w:val="00A24F28"/>
    <w:rsid w:val="00A25AAA"/>
    <w:rsid w:val="00A25FD2"/>
    <w:rsid w:val="00A3187F"/>
    <w:rsid w:val="00A31F9B"/>
    <w:rsid w:val="00A34F2A"/>
    <w:rsid w:val="00A376BB"/>
    <w:rsid w:val="00A37A78"/>
    <w:rsid w:val="00A40089"/>
    <w:rsid w:val="00A4086B"/>
    <w:rsid w:val="00A44052"/>
    <w:rsid w:val="00A4412E"/>
    <w:rsid w:val="00A46183"/>
    <w:rsid w:val="00A55EB2"/>
    <w:rsid w:val="00A565FE"/>
    <w:rsid w:val="00A65B4B"/>
    <w:rsid w:val="00A6610A"/>
    <w:rsid w:val="00A66964"/>
    <w:rsid w:val="00A7583D"/>
    <w:rsid w:val="00A81017"/>
    <w:rsid w:val="00A82385"/>
    <w:rsid w:val="00A900E2"/>
    <w:rsid w:val="00A914B5"/>
    <w:rsid w:val="00A92414"/>
    <w:rsid w:val="00A9413C"/>
    <w:rsid w:val="00A94950"/>
    <w:rsid w:val="00A94F4D"/>
    <w:rsid w:val="00A9551C"/>
    <w:rsid w:val="00A97063"/>
    <w:rsid w:val="00A97C6F"/>
    <w:rsid w:val="00AA3956"/>
    <w:rsid w:val="00AA642C"/>
    <w:rsid w:val="00AB441C"/>
    <w:rsid w:val="00AB7B4B"/>
    <w:rsid w:val="00AC059F"/>
    <w:rsid w:val="00AC14D6"/>
    <w:rsid w:val="00AC4191"/>
    <w:rsid w:val="00AC650B"/>
    <w:rsid w:val="00AD12C6"/>
    <w:rsid w:val="00AD155C"/>
    <w:rsid w:val="00AD37E0"/>
    <w:rsid w:val="00AD400C"/>
    <w:rsid w:val="00AD476D"/>
    <w:rsid w:val="00AD7667"/>
    <w:rsid w:val="00AD7D9D"/>
    <w:rsid w:val="00AD7F94"/>
    <w:rsid w:val="00AE183B"/>
    <w:rsid w:val="00AE64BA"/>
    <w:rsid w:val="00AE6587"/>
    <w:rsid w:val="00AE6860"/>
    <w:rsid w:val="00AE7B95"/>
    <w:rsid w:val="00AF040A"/>
    <w:rsid w:val="00AF3FD5"/>
    <w:rsid w:val="00B00787"/>
    <w:rsid w:val="00B01B8A"/>
    <w:rsid w:val="00B04173"/>
    <w:rsid w:val="00B07595"/>
    <w:rsid w:val="00B118F3"/>
    <w:rsid w:val="00B125C1"/>
    <w:rsid w:val="00B15842"/>
    <w:rsid w:val="00B20256"/>
    <w:rsid w:val="00B203BC"/>
    <w:rsid w:val="00B229E1"/>
    <w:rsid w:val="00B32BD9"/>
    <w:rsid w:val="00B344EF"/>
    <w:rsid w:val="00B35A88"/>
    <w:rsid w:val="00B42328"/>
    <w:rsid w:val="00B45E5B"/>
    <w:rsid w:val="00B463A1"/>
    <w:rsid w:val="00B476FF"/>
    <w:rsid w:val="00B53056"/>
    <w:rsid w:val="00B53194"/>
    <w:rsid w:val="00B61030"/>
    <w:rsid w:val="00B61533"/>
    <w:rsid w:val="00B62851"/>
    <w:rsid w:val="00B635D7"/>
    <w:rsid w:val="00B64676"/>
    <w:rsid w:val="00B64D3B"/>
    <w:rsid w:val="00B65702"/>
    <w:rsid w:val="00B65E2C"/>
    <w:rsid w:val="00B72177"/>
    <w:rsid w:val="00B7252F"/>
    <w:rsid w:val="00B72DF2"/>
    <w:rsid w:val="00B7463C"/>
    <w:rsid w:val="00B7519E"/>
    <w:rsid w:val="00B758C1"/>
    <w:rsid w:val="00B77274"/>
    <w:rsid w:val="00B77A1E"/>
    <w:rsid w:val="00B833F1"/>
    <w:rsid w:val="00B92924"/>
    <w:rsid w:val="00BA16D5"/>
    <w:rsid w:val="00BB1B09"/>
    <w:rsid w:val="00BB2CC9"/>
    <w:rsid w:val="00BB69EE"/>
    <w:rsid w:val="00BB7079"/>
    <w:rsid w:val="00BC0127"/>
    <w:rsid w:val="00BC377B"/>
    <w:rsid w:val="00BC5CB0"/>
    <w:rsid w:val="00BC6030"/>
    <w:rsid w:val="00BC6B94"/>
    <w:rsid w:val="00BC6E1A"/>
    <w:rsid w:val="00BD28CD"/>
    <w:rsid w:val="00BD2923"/>
    <w:rsid w:val="00BD6BDE"/>
    <w:rsid w:val="00BD7E36"/>
    <w:rsid w:val="00BE04EC"/>
    <w:rsid w:val="00BE1ADC"/>
    <w:rsid w:val="00BE206B"/>
    <w:rsid w:val="00BE324E"/>
    <w:rsid w:val="00BE33D4"/>
    <w:rsid w:val="00BE3EA3"/>
    <w:rsid w:val="00BE5817"/>
    <w:rsid w:val="00BE634C"/>
    <w:rsid w:val="00BF1A03"/>
    <w:rsid w:val="00BF440B"/>
    <w:rsid w:val="00C00794"/>
    <w:rsid w:val="00C0242C"/>
    <w:rsid w:val="00C04338"/>
    <w:rsid w:val="00C05950"/>
    <w:rsid w:val="00C1166E"/>
    <w:rsid w:val="00C116A1"/>
    <w:rsid w:val="00C12FB2"/>
    <w:rsid w:val="00C243E8"/>
    <w:rsid w:val="00C304B2"/>
    <w:rsid w:val="00C31D09"/>
    <w:rsid w:val="00C47431"/>
    <w:rsid w:val="00C47F26"/>
    <w:rsid w:val="00C52109"/>
    <w:rsid w:val="00C60107"/>
    <w:rsid w:val="00C62076"/>
    <w:rsid w:val="00C62C2F"/>
    <w:rsid w:val="00C62C54"/>
    <w:rsid w:val="00C66E85"/>
    <w:rsid w:val="00C6785C"/>
    <w:rsid w:val="00C71FF2"/>
    <w:rsid w:val="00C82AA3"/>
    <w:rsid w:val="00C83B22"/>
    <w:rsid w:val="00C83D28"/>
    <w:rsid w:val="00C90AFF"/>
    <w:rsid w:val="00C93395"/>
    <w:rsid w:val="00C9416D"/>
    <w:rsid w:val="00C943E4"/>
    <w:rsid w:val="00C97946"/>
    <w:rsid w:val="00CA1960"/>
    <w:rsid w:val="00CA42B6"/>
    <w:rsid w:val="00CA718A"/>
    <w:rsid w:val="00CA7E4D"/>
    <w:rsid w:val="00CB1627"/>
    <w:rsid w:val="00CB1FC7"/>
    <w:rsid w:val="00CB3D2A"/>
    <w:rsid w:val="00CB6228"/>
    <w:rsid w:val="00CB6A2F"/>
    <w:rsid w:val="00CB6D8C"/>
    <w:rsid w:val="00CC01DD"/>
    <w:rsid w:val="00CC10E3"/>
    <w:rsid w:val="00CC1D47"/>
    <w:rsid w:val="00CC39F1"/>
    <w:rsid w:val="00CC479F"/>
    <w:rsid w:val="00CC4850"/>
    <w:rsid w:val="00CC520F"/>
    <w:rsid w:val="00CD265C"/>
    <w:rsid w:val="00CD56B3"/>
    <w:rsid w:val="00CD71CC"/>
    <w:rsid w:val="00CE0506"/>
    <w:rsid w:val="00CE3C41"/>
    <w:rsid w:val="00CF1963"/>
    <w:rsid w:val="00CF2733"/>
    <w:rsid w:val="00CF28F7"/>
    <w:rsid w:val="00CF55F4"/>
    <w:rsid w:val="00CF64C2"/>
    <w:rsid w:val="00CF6F35"/>
    <w:rsid w:val="00D00E82"/>
    <w:rsid w:val="00D053C9"/>
    <w:rsid w:val="00D14D37"/>
    <w:rsid w:val="00D15FEB"/>
    <w:rsid w:val="00D167A0"/>
    <w:rsid w:val="00D22536"/>
    <w:rsid w:val="00D2349B"/>
    <w:rsid w:val="00D30A42"/>
    <w:rsid w:val="00D43491"/>
    <w:rsid w:val="00D43F50"/>
    <w:rsid w:val="00D460E8"/>
    <w:rsid w:val="00D51DF9"/>
    <w:rsid w:val="00D53D62"/>
    <w:rsid w:val="00D55AA4"/>
    <w:rsid w:val="00D5708B"/>
    <w:rsid w:val="00D57D32"/>
    <w:rsid w:val="00D60642"/>
    <w:rsid w:val="00D66316"/>
    <w:rsid w:val="00D67323"/>
    <w:rsid w:val="00D74160"/>
    <w:rsid w:val="00D74C03"/>
    <w:rsid w:val="00D74FC5"/>
    <w:rsid w:val="00D754FF"/>
    <w:rsid w:val="00D757B0"/>
    <w:rsid w:val="00D80153"/>
    <w:rsid w:val="00D855CF"/>
    <w:rsid w:val="00DA5CE9"/>
    <w:rsid w:val="00DA6088"/>
    <w:rsid w:val="00DA6A34"/>
    <w:rsid w:val="00DA79B6"/>
    <w:rsid w:val="00DB064D"/>
    <w:rsid w:val="00DB0D46"/>
    <w:rsid w:val="00DB0FFC"/>
    <w:rsid w:val="00DB3F51"/>
    <w:rsid w:val="00DB6E86"/>
    <w:rsid w:val="00DB73BD"/>
    <w:rsid w:val="00DB7C33"/>
    <w:rsid w:val="00DC76A6"/>
    <w:rsid w:val="00DD0DC6"/>
    <w:rsid w:val="00DD11F8"/>
    <w:rsid w:val="00DD303C"/>
    <w:rsid w:val="00DD766E"/>
    <w:rsid w:val="00DD7E4A"/>
    <w:rsid w:val="00DE3AC6"/>
    <w:rsid w:val="00DE5EC7"/>
    <w:rsid w:val="00DE6D33"/>
    <w:rsid w:val="00DE78B8"/>
    <w:rsid w:val="00DF03FA"/>
    <w:rsid w:val="00DF2D0F"/>
    <w:rsid w:val="00DF2FFE"/>
    <w:rsid w:val="00DF7501"/>
    <w:rsid w:val="00E02964"/>
    <w:rsid w:val="00E02AE8"/>
    <w:rsid w:val="00E03FAD"/>
    <w:rsid w:val="00E05012"/>
    <w:rsid w:val="00E05695"/>
    <w:rsid w:val="00E05EFF"/>
    <w:rsid w:val="00E10C7E"/>
    <w:rsid w:val="00E12142"/>
    <w:rsid w:val="00E122F6"/>
    <w:rsid w:val="00E136F9"/>
    <w:rsid w:val="00E14399"/>
    <w:rsid w:val="00E14690"/>
    <w:rsid w:val="00E14CDD"/>
    <w:rsid w:val="00E15C36"/>
    <w:rsid w:val="00E21B23"/>
    <w:rsid w:val="00E22B85"/>
    <w:rsid w:val="00E25524"/>
    <w:rsid w:val="00E328D8"/>
    <w:rsid w:val="00E36CBC"/>
    <w:rsid w:val="00E37F4A"/>
    <w:rsid w:val="00E40F3C"/>
    <w:rsid w:val="00E41A1C"/>
    <w:rsid w:val="00E43F61"/>
    <w:rsid w:val="00E50560"/>
    <w:rsid w:val="00E5222D"/>
    <w:rsid w:val="00E52234"/>
    <w:rsid w:val="00E536A5"/>
    <w:rsid w:val="00E55E9A"/>
    <w:rsid w:val="00E6088D"/>
    <w:rsid w:val="00E619CE"/>
    <w:rsid w:val="00E62719"/>
    <w:rsid w:val="00E62D2A"/>
    <w:rsid w:val="00E64AA3"/>
    <w:rsid w:val="00E67CA6"/>
    <w:rsid w:val="00E7014F"/>
    <w:rsid w:val="00E7123F"/>
    <w:rsid w:val="00E71421"/>
    <w:rsid w:val="00E7201C"/>
    <w:rsid w:val="00E74BB1"/>
    <w:rsid w:val="00E819F6"/>
    <w:rsid w:val="00E830D2"/>
    <w:rsid w:val="00E85165"/>
    <w:rsid w:val="00E85664"/>
    <w:rsid w:val="00E85A0C"/>
    <w:rsid w:val="00E85DBB"/>
    <w:rsid w:val="00E92C6B"/>
    <w:rsid w:val="00E94A5C"/>
    <w:rsid w:val="00EA0AEE"/>
    <w:rsid w:val="00EA0CAE"/>
    <w:rsid w:val="00EA1FF2"/>
    <w:rsid w:val="00EA20C8"/>
    <w:rsid w:val="00EA4DDF"/>
    <w:rsid w:val="00EA4EDA"/>
    <w:rsid w:val="00EB2145"/>
    <w:rsid w:val="00EB4D8E"/>
    <w:rsid w:val="00EB6C95"/>
    <w:rsid w:val="00EB7EBB"/>
    <w:rsid w:val="00EC05B6"/>
    <w:rsid w:val="00EC65AC"/>
    <w:rsid w:val="00EC671B"/>
    <w:rsid w:val="00EC71CD"/>
    <w:rsid w:val="00EC7272"/>
    <w:rsid w:val="00ED1D55"/>
    <w:rsid w:val="00ED31D3"/>
    <w:rsid w:val="00ED5813"/>
    <w:rsid w:val="00ED73E5"/>
    <w:rsid w:val="00EE0C5B"/>
    <w:rsid w:val="00EE160F"/>
    <w:rsid w:val="00EE17C2"/>
    <w:rsid w:val="00EE232D"/>
    <w:rsid w:val="00EE261F"/>
    <w:rsid w:val="00EE51C2"/>
    <w:rsid w:val="00EE67FB"/>
    <w:rsid w:val="00EE7A41"/>
    <w:rsid w:val="00EF3A0D"/>
    <w:rsid w:val="00EF77BF"/>
    <w:rsid w:val="00F04CFC"/>
    <w:rsid w:val="00F05F46"/>
    <w:rsid w:val="00F07444"/>
    <w:rsid w:val="00F10B59"/>
    <w:rsid w:val="00F14861"/>
    <w:rsid w:val="00F14A50"/>
    <w:rsid w:val="00F1504D"/>
    <w:rsid w:val="00F17A8D"/>
    <w:rsid w:val="00F21B08"/>
    <w:rsid w:val="00F222D9"/>
    <w:rsid w:val="00F2323F"/>
    <w:rsid w:val="00F2508C"/>
    <w:rsid w:val="00F253C1"/>
    <w:rsid w:val="00F3158F"/>
    <w:rsid w:val="00F354C5"/>
    <w:rsid w:val="00F43BC6"/>
    <w:rsid w:val="00F450E9"/>
    <w:rsid w:val="00F46D7F"/>
    <w:rsid w:val="00F50523"/>
    <w:rsid w:val="00F51C5C"/>
    <w:rsid w:val="00F52F4E"/>
    <w:rsid w:val="00F53D5A"/>
    <w:rsid w:val="00F570B5"/>
    <w:rsid w:val="00F63935"/>
    <w:rsid w:val="00F64FC9"/>
    <w:rsid w:val="00F6678F"/>
    <w:rsid w:val="00F669E2"/>
    <w:rsid w:val="00F67510"/>
    <w:rsid w:val="00F72A8A"/>
    <w:rsid w:val="00F73ADA"/>
    <w:rsid w:val="00F74E8C"/>
    <w:rsid w:val="00F83CD3"/>
    <w:rsid w:val="00F83E32"/>
    <w:rsid w:val="00F847FE"/>
    <w:rsid w:val="00F848BE"/>
    <w:rsid w:val="00F85DE7"/>
    <w:rsid w:val="00F86D16"/>
    <w:rsid w:val="00F918E5"/>
    <w:rsid w:val="00F944E0"/>
    <w:rsid w:val="00F95034"/>
    <w:rsid w:val="00FA10B9"/>
    <w:rsid w:val="00FA50DF"/>
    <w:rsid w:val="00FA700A"/>
    <w:rsid w:val="00FB3255"/>
    <w:rsid w:val="00FB34E1"/>
    <w:rsid w:val="00FC1825"/>
    <w:rsid w:val="00FC1EA3"/>
    <w:rsid w:val="00FC3395"/>
    <w:rsid w:val="00FC33FA"/>
    <w:rsid w:val="00FC3FAA"/>
    <w:rsid w:val="00FC5742"/>
    <w:rsid w:val="00FD1D19"/>
    <w:rsid w:val="00FE2A68"/>
    <w:rsid w:val="00FE3BF3"/>
    <w:rsid w:val="00FE61FA"/>
    <w:rsid w:val="00FF0B31"/>
    <w:rsid w:val="00FF448F"/>
    <w:rsid w:val="00FF49B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7522"/>
    <o:shapelayout v:ext="edit">
      <o:idmap v:ext="edit" data="1"/>
      <o:rules v:ext="edit">
        <o:r id="V:Rule19" type="connector" idref="#_x0000_s1116"/>
        <o:r id="V:Rule20" type="connector" idref="#_x0000_s1110"/>
        <o:r id="V:Rule21" type="connector" idref="#_x0000_s1122"/>
        <o:r id="V:Rule22" type="connector" idref="#_x0000_s1056"/>
        <o:r id="V:Rule23" type="connector" idref="#_x0000_s1060"/>
        <o:r id="V:Rule24" type="connector" idref="#_x0000_s1120"/>
        <o:r id="V:Rule25" type="connector" idref="#_x0000_s1059"/>
        <o:r id="V:Rule26" type="connector" idref="#_x0000_s1119"/>
        <o:r id="V:Rule27" type="connector" idref="#_x0000_s1057"/>
        <o:r id="V:Rule28" type="connector" idref="#_x0000_s1111"/>
        <o:r id="V:Rule29" type="connector" idref="#_x0000_s1055"/>
        <o:r id="V:Rule30" type="connector" idref="#_x0000_s1121"/>
        <o:r id="V:Rule31" type="connector" idref="#_x0000_s1061"/>
        <o:r id="V:Rule32" type="connector" idref="#_x0000_s1113"/>
        <o:r id="V:Rule33" type="connector" idref="#_x0000_s1058"/>
        <o:r id="V:Rule34" type="connector" idref="#_x0000_s1117"/>
        <o:r id="V:Rule35" type="connector" idref="#_x0000_s1118"/>
        <o:r id="V:Rule36" type="connector" idref="#_x0000_s1062"/>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en-US" w:bidi="en-US"/>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List" w:uiPriority="14"/>
    <w:lsdException w:name="List 2" w:uiPriority="14"/>
    <w:lsdException w:name="List 3" w:uiPriority="14"/>
    <w:lsdException w:name="List 4" w:uiPriority="14"/>
    <w:lsdException w:name="List 5" w:uiPriority="14"/>
    <w:lsdException w:name="List Bullet 4" w:uiPriority="14"/>
    <w:lsdException w:name="List Bullet 5" w:uiPriority="14"/>
    <w:lsdException w:name="List Number 2" w:semiHidden="0" w:uiPriority="14" w:unhideWhenUsed="0"/>
    <w:lsdException w:name="List Number 3" w:semiHidden="0" w:uiPriority="14" w:unhideWhenUsed="0"/>
    <w:lsdException w:name="List Number 4" w:uiPriority="14"/>
    <w:lsdException w:name="List Number 5" w:uiPriority="14"/>
    <w:lsdException w:name="Title" w:semiHidden="0" w:uiPriority="10" w:unhideWhenUsed="0" w:qFormat="1"/>
    <w:lsdException w:name="Default Paragraph Font" w:uiPriority="1"/>
    <w:lsdException w:name="Body Text" w:uiPriority="0" w:qFormat="1"/>
    <w:lsdException w:name="List Continue" w:uiPriority="14"/>
    <w:lsdException w:name="List Continue 2" w:uiPriority="14"/>
    <w:lsdException w:name="List Continue 3" w:uiPriority="14"/>
    <w:lsdException w:name="List Continue 4" w:uiPriority="14"/>
    <w:lsdException w:name="List Continue 5" w:uiPriority="14"/>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Simple 1" w:uiPriority="0"/>
    <w:lsdException w:name="Table Simple 2" w:uiPriority="0"/>
    <w:lsdException w:name="Table Classic 2" w:uiPriority="0"/>
    <w:lsdException w:name="Table List 5" w:uiPriority="0"/>
    <w:lsdException w:name="Table Contemporary" w:uiPriority="0"/>
    <w:lsdException w:name="Table Web 2" w:uiPriority="0"/>
    <w:lsdException w:name="Table Web 3" w:uiPriority="0"/>
    <w:lsdException w:name="Balloon Text" w:uiPriority="0"/>
    <w:lsdException w:name="Table Grid" w:semiHidden="0" w:uiPriority="0" w:unhideWhenUsed="0"/>
    <w:lsdException w:name="Table Theme" w:uiPriority="0"/>
    <w:lsdException w:name="Placeholder Text" w:unhideWhenUsed="0"/>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uiPriority="29"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uiPriority="33" w:qFormat="1"/>
    <w:lsdException w:name="Bibliography" w:uiPriority="37"/>
    <w:lsdException w:name="TOC Heading" w:uiPriority="39" w:qFormat="1"/>
  </w:latentStyles>
  <w:style w:type="paragraph" w:default="1" w:styleId="Normal">
    <w:name w:val="Normal"/>
    <w:qFormat/>
    <w:rsid w:val="00ED31D3"/>
  </w:style>
  <w:style w:type="paragraph" w:styleId="Heading1">
    <w:name w:val="heading 1"/>
    <w:basedOn w:val="Normal"/>
    <w:next w:val="Normal"/>
    <w:link w:val="Heading1Char"/>
    <w:uiPriority w:val="9"/>
    <w:qFormat/>
    <w:rsid w:val="00ED31D3"/>
    <w:pPr>
      <w:spacing w:before="300" w:after="40"/>
      <w:jc w:val="left"/>
      <w:outlineLvl w:val="0"/>
    </w:pPr>
    <w:rPr>
      <w:smallCaps/>
      <w:spacing w:val="5"/>
      <w:sz w:val="32"/>
      <w:szCs w:val="32"/>
    </w:rPr>
  </w:style>
  <w:style w:type="paragraph" w:styleId="Heading2">
    <w:name w:val="heading 2"/>
    <w:basedOn w:val="Normal"/>
    <w:next w:val="Normal"/>
    <w:link w:val="Heading2Char"/>
    <w:uiPriority w:val="9"/>
    <w:unhideWhenUsed/>
    <w:qFormat/>
    <w:rsid w:val="00ED31D3"/>
    <w:pPr>
      <w:spacing w:before="240" w:after="80"/>
      <w:jc w:val="left"/>
      <w:outlineLvl w:val="1"/>
    </w:pPr>
    <w:rPr>
      <w:smallCaps/>
      <w:spacing w:val="5"/>
      <w:sz w:val="28"/>
      <w:szCs w:val="28"/>
    </w:rPr>
  </w:style>
  <w:style w:type="paragraph" w:styleId="Heading3">
    <w:name w:val="heading 3"/>
    <w:basedOn w:val="Normal"/>
    <w:next w:val="Normal"/>
    <w:link w:val="Heading3Char"/>
    <w:uiPriority w:val="9"/>
    <w:unhideWhenUsed/>
    <w:qFormat/>
    <w:rsid w:val="00ED31D3"/>
    <w:pPr>
      <w:spacing w:after="0"/>
      <w:jc w:val="left"/>
      <w:outlineLvl w:val="2"/>
    </w:pPr>
    <w:rPr>
      <w:smallCaps/>
      <w:spacing w:val="5"/>
      <w:sz w:val="24"/>
      <w:szCs w:val="24"/>
    </w:rPr>
  </w:style>
  <w:style w:type="paragraph" w:styleId="Heading4">
    <w:name w:val="heading 4"/>
    <w:basedOn w:val="Normal"/>
    <w:next w:val="Normal"/>
    <w:link w:val="Heading4Char"/>
    <w:uiPriority w:val="9"/>
    <w:unhideWhenUsed/>
    <w:qFormat/>
    <w:rsid w:val="00ED31D3"/>
    <w:pPr>
      <w:spacing w:before="240" w:after="0"/>
      <w:jc w:val="left"/>
      <w:outlineLvl w:val="3"/>
    </w:pPr>
    <w:rPr>
      <w:smallCaps/>
      <w:spacing w:val="10"/>
      <w:sz w:val="22"/>
      <w:szCs w:val="22"/>
    </w:rPr>
  </w:style>
  <w:style w:type="paragraph" w:styleId="Heading5">
    <w:name w:val="heading 5"/>
    <w:basedOn w:val="Normal"/>
    <w:next w:val="Normal"/>
    <w:link w:val="Heading5Char"/>
    <w:uiPriority w:val="9"/>
    <w:semiHidden/>
    <w:unhideWhenUsed/>
    <w:qFormat/>
    <w:rsid w:val="00ED31D3"/>
    <w:pPr>
      <w:spacing w:before="200" w:after="0"/>
      <w:jc w:val="left"/>
      <w:outlineLvl w:val="4"/>
    </w:pPr>
    <w:rPr>
      <w:smallCaps/>
      <w:color w:val="858585" w:themeColor="accent2" w:themeShade="BF"/>
      <w:spacing w:val="10"/>
      <w:sz w:val="22"/>
      <w:szCs w:val="26"/>
    </w:rPr>
  </w:style>
  <w:style w:type="paragraph" w:styleId="Heading6">
    <w:name w:val="heading 6"/>
    <w:basedOn w:val="Normal"/>
    <w:next w:val="Normal"/>
    <w:link w:val="Heading6Char"/>
    <w:uiPriority w:val="9"/>
    <w:semiHidden/>
    <w:unhideWhenUsed/>
    <w:qFormat/>
    <w:rsid w:val="00ED31D3"/>
    <w:pPr>
      <w:spacing w:after="0"/>
      <w:jc w:val="left"/>
      <w:outlineLvl w:val="5"/>
    </w:pPr>
    <w:rPr>
      <w:smallCaps/>
      <w:color w:val="B2B2B2" w:themeColor="accent2"/>
      <w:spacing w:val="5"/>
      <w:sz w:val="22"/>
    </w:rPr>
  </w:style>
  <w:style w:type="paragraph" w:styleId="Heading7">
    <w:name w:val="heading 7"/>
    <w:basedOn w:val="Normal"/>
    <w:next w:val="Normal"/>
    <w:link w:val="Heading7Char"/>
    <w:uiPriority w:val="9"/>
    <w:semiHidden/>
    <w:unhideWhenUsed/>
    <w:qFormat/>
    <w:rsid w:val="00ED31D3"/>
    <w:pPr>
      <w:spacing w:after="0"/>
      <w:jc w:val="left"/>
      <w:outlineLvl w:val="6"/>
    </w:pPr>
    <w:rPr>
      <w:b/>
      <w:smallCaps/>
      <w:color w:val="B2B2B2" w:themeColor="accent2"/>
      <w:spacing w:val="10"/>
    </w:rPr>
  </w:style>
  <w:style w:type="paragraph" w:styleId="Heading8">
    <w:name w:val="heading 8"/>
    <w:basedOn w:val="Normal"/>
    <w:next w:val="Normal"/>
    <w:link w:val="Heading8Char"/>
    <w:uiPriority w:val="9"/>
    <w:semiHidden/>
    <w:unhideWhenUsed/>
    <w:qFormat/>
    <w:rsid w:val="00ED31D3"/>
    <w:pPr>
      <w:spacing w:after="0"/>
      <w:jc w:val="left"/>
      <w:outlineLvl w:val="7"/>
    </w:pPr>
    <w:rPr>
      <w:b/>
      <w:i/>
      <w:smallCaps/>
      <w:color w:val="858585" w:themeColor="accent2" w:themeShade="BF"/>
    </w:rPr>
  </w:style>
  <w:style w:type="paragraph" w:styleId="Heading9">
    <w:name w:val="heading 9"/>
    <w:basedOn w:val="Normal"/>
    <w:next w:val="Normal"/>
    <w:link w:val="Heading9Char"/>
    <w:uiPriority w:val="9"/>
    <w:semiHidden/>
    <w:unhideWhenUsed/>
    <w:qFormat/>
    <w:rsid w:val="00ED31D3"/>
    <w:pPr>
      <w:spacing w:after="0"/>
      <w:jc w:val="left"/>
      <w:outlineLvl w:val="8"/>
    </w:pPr>
    <w:rPr>
      <w:b/>
      <w:i/>
      <w:smallCaps/>
      <w:color w:val="585858" w:themeColor="accent2"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2C1E97"/>
  </w:style>
  <w:style w:type="character" w:customStyle="1" w:styleId="BodyTextChar">
    <w:name w:val="Body Text Char"/>
    <w:basedOn w:val="DefaultParagraphFont"/>
    <w:link w:val="BodyText"/>
    <w:rsid w:val="00B758C1"/>
  </w:style>
  <w:style w:type="character" w:customStyle="1" w:styleId="Heading1Char">
    <w:name w:val="Heading 1 Char"/>
    <w:basedOn w:val="DefaultParagraphFont"/>
    <w:link w:val="Heading1"/>
    <w:uiPriority w:val="9"/>
    <w:rsid w:val="00ED31D3"/>
    <w:rPr>
      <w:smallCaps/>
      <w:spacing w:val="5"/>
      <w:sz w:val="32"/>
      <w:szCs w:val="32"/>
    </w:rPr>
  </w:style>
  <w:style w:type="paragraph" w:styleId="TOCHeading">
    <w:name w:val="TOC Heading"/>
    <w:basedOn w:val="Heading1"/>
    <w:next w:val="Normal"/>
    <w:uiPriority w:val="39"/>
    <w:semiHidden/>
    <w:unhideWhenUsed/>
    <w:qFormat/>
    <w:rsid w:val="00ED31D3"/>
    <w:pPr>
      <w:outlineLvl w:val="9"/>
    </w:pPr>
  </w:style>
  <w:style w:type="character" w:customStyle="1" w:styleId="Heading2Char">
    <w:name w:val="Heading 2 Char"/>
    <w:basedOn w:val="DefaultParagraphFont"/>
    <w:link w:val="Heading2"/>
    <w:uiPriority w:val="9"/>
    <w:rsid w:val="00ED31D3"/>
    <w:rPr>
      <w:smallCaps/>
      <w:spacing w:val="5"/>
      <w:sz w:val="28"/>
      <w:szCs w:val="28"/>
    </w:rPr>
  </w:style>
  <w:style w:type="character" w:customStyle="1" w:styleId="Heading3Char">
    <w:name w:val="Heading 3 Char"/>
    <w:basedOn w:val="DefaultParagraphFont"/>
    <w:link w:val="Heading3"/>
    <w:uiPriority w:val="9"/>
    <w:rsid w:val="00ED31D3"/>
    <w:rPr>
      <w:smallCaps/>
      <w:spacing w:val="5"/>
      <w:sz w:val="24"/>
      <w:szCs w:val="24"/>
    </w:rPr>
  </w:style>
  <w:style w:type="character" w:customStyle="1" w:styleId="Heading4Char">
    <w:name w:val="Heading 4 Char"/>
    <w:basedOn w:val="DefaultParagraphFont"/>
    <w:link w:val="Heading4"/>
    <w:uiPriority w:val="9"/>
    <w:rsid w:val="00ED31D3"/>
    <w:rPr>
      <w:smallCaps/>
      <w:spacing w:val="10"/>
      <w:sz w:val="22"/>
      <w:szCs w:val="22"/>
    </w:rPr>
  </w:style>
  <w:style w:type="character" w:customStyle="1" w:styleId="Heading5Char">
    <w:name w:val="Heading 5 Char"/>
    <w:basedOn w:val="DefaultParagraphFont"/>
    <w:link w:val="Heading5"/>
    <w:uiPriority w:val="9"/>
    <w:semiHidden/>
    <w:rsid w:val="00ED31D3"/>
    <w:rPr>
      <w:smallCaps/>
      <w:color w:val="858585" w:themeColor="accent2" w:themeShade="BF"/>
      <w:spacing w:val="10"/>
      <w:sz w:val="22"/>
      <w:szCs w:val="26"/>
    </w:rPr>
  </w:style>
  <w:style w:type="character" w:customStyle="1" w:styleId="Heading6Char">
    <w:name w:val="Heading 6 Char"/>
    <w:basedOn w:val="DefaultParagraphFont"/>
    <w:link w:val="Heading6"/>
    <w:uiPriority w:val="9"/>
    <w:semiHidden/>
    <w:rsid w:val="00ED31D3"/>
    <w:rPr>
      <w:smallCaps/>
      <w:color w:val="B2B2B2" w:themeColor="accent2"/>
      <w:spacing w:val="5"/>
      <w:sz w:val="22"/>
    </w:rPr>
  </w:style>
  <w:style w:type="character" w:customStyle="1" w:styleId="Heading7Char">
    <w:name w:val="Heading 7 Char"/>
    <w:basedOn w:val="DefaultParagraphFont"/>
    <w:link w:val="Heading7"/>
    <w:uiPriority w:val="9"/>
    <w:semiHidden/>
    <w:rsid w:val="00ED31D3"/>
    <w:rPr>
      <w:b/>
      <w:smallCaps/>
      <w:color w:val="B2B2B2" w:themeColor="accent2"/>
      <w:spacing w:val="10"/>
    </w:rPr>
  </w:style>
  <w:style w:type="character" w:customStyle="1" w:styleId="Heading8Char">
    <w:name w:val="Heading 8 Char"/>
    <w:basedOn w:val="DefaultParagraphFont"/>
    <w:link w:val="Heading8"/>
    <w:uiPriority w:val="9"/>
    <w:semiHidden/>
    <w:rsid w:val="00ED31D3"/>
    <w:rPr>
      <w:b/>
      <w:i/>
      <w:smallCaps/>
      <w:color w:val="858585" w:themeColor="accent2" w:themeShade="BF"/>
    </w:rPr>
  </w:style>
  <w:style w:type="character" w:customStyle="1" w:styleId="Heading9Char">
    <w:name w:val="Heading 9 Char"/>
    <w:basedOn w:val="DefaultParagraphFont"/>
    <w:link w:val="Heading9"/>
    <w:uiPriority w:val="9"/>
    <w:semiHidden/>
    <w:rsid w:val="00ED31D3"/>
    <w:rPr>
      <w:b/>
      <w:i/>
      <w:smallCaps/>
      <w:color w:val="585858" w:themeColor="accent2" w:themeShade="7F"/>
    </w:rPr>
  </w:style>
  <w:style w:type="paragraph" w:styleId="Title">
    <w:name w:val="Title"/>
    <w:basedOn w:val="Normal"/>
    <w:next w:val="Normal"/>
    <w:link w:val="TitleChar"/>
    <w:uiPriority w:val="10"/>
    <w:qFormat/>
    <w:rsid w:val="00ED31D3"/>
    <w:pPr>
      <w:pBdr>
        <w:top w:val="single" w:sz="12" w:space="1" w:color="B2B2B2" w:themeColor="accent2"/>
      </w:pBdr>
      <w:spacing w:line="240" w:lineRule="auto"/>
      <w:jc w:val="right"/>
    </w:pPr>
    <w:rPr>
      <w:smallCaps/>
      <w:sz w:val="48"/>
      <w:szCs w:val="48"/>
    </w:rPr>
  </w:style>
  <w:style w:type="character" w:customStyle="1" w:styleId="TitleChar">
    <w:name w:val="Title Char"/>
    <w:basedOn w:val="DefaultParagraphFont"/>
    <w:link w:val="Title"/>
    <w:uiPriority w:val="10"/>
    <w:rsid w:val="00ED31D3"/>
    <w:rPr>
      <w:smallCaps/>
      <w:sz w:val="48"/>
      <w:szCs w:val="48"/>
    </w:rPr>
  </w:style>
  <w:style w:type="paragraph" w:styleId="Subtitle">
    <w:name w:val="Subtitle"/>
    <w:basedOn w:val="Normal"/>
    <w:next w:val="Normal"/>
    <w:link w:val="SubtitleChar"/>
    <w:uiPriority w:val="11"/>
    <w:qFormat/>
    <w:rsid w:val="00ED31D3"/>
    <w:pPr>
      <w:spacing w:after="720" w:line="240" w:lineRule="auto"/>
      <w:jc w:val="right"/>
    </w:pPr>
    <w:rPr>
      <w:rFonts w:asciiTheme="majorHAnsi" w:eastAsiaTheme="majorEastAsia" w:hAnsiTheme="majorHAnsi" w:cstheme="majorBidi"/>
      <w:szCs w:val="22"/>
    </w:rPr>
  </w:style>
  <w:style w:type="character" w:customStyle="1" w:styleId="SubtitleChar">
    <w:name w:val="Subtitle Char"/>
    <w:basedOn w:val="DefaultParagraphFont"/>
    <w:link w:val="Subtitle"/>
    <w:uiPriority w:val="11"/>
    <w:rsid w:val="00ED31D3"/>
    <w:rPr>
      <w:rFonts w:asciiTheme="majorHAnsi" w:eastAsiaTheme="majorEastAsia" w:hAnsiTheme="majorHAnsi" w:cstheme="majorBidi"/>
      <w:szCs w:val="22"/>
    </w:rPr>
  </w:style>
  <w:style w:type="paragraph" w:styleId="Caption">
    <w:name w:val="caption"/>
    <w:basedOn w:val="Normal"/>
    <w:next w:val="Normal"/>
    <w:uiPriority w:val="35"/>
    <w:semiHidden/>
    <w:unhideWhenUsed/>
    <w:qFormat/>
    <w:rsid w:val="00ED31D3"/>
    <w:rPr>
      <w:b/>
      <w:bCs/>
      <w:caps/>
      <w:sz w:val="16"/>
      <w:szCs w:val="18"/>
    </w:rPr>
  </w:style>
  <w:style w:type="paragraph" w:styleId="BlockText">
    <w:name w:val="Block Text"/>
    <w:basedOn w:val="Normal"/>
    <w:uiPriority w:val="99"/>
    <w:semiHidden/>
    <w:unhideWhenUsed/>
    <w:rsid w:val="00756FEA"/>
    <w:pPr>
      <w:pBdr>
        <w:top w:val="single" w:sz="2" w:space="10" w:color="auto"/>
        <w:left w:val="single" w:sz="2" w:space="10" w:color="auto"/>
        <w:bottom w:val="single" w:sz="2" w:space="10" w:color="auto"/>
        <w:right w:val="single" w:sz="2" w:space="10" w:color="auto"/>
      </w:pBdr>
      <w:ind w:left="1152" w:right="1152"/>
    </w:pPr>
    <w:rPr>
      <w:i/>
      <w:iCs/>
      <w:sz w:val="22"/>
      <w:szCs w:val="22"/>
    </w:rPr>
  </w:style>
  <w:style w:type="character" w:styleId="IntenseEmphasis">
    <w:name w:val="Intense Emphasis"/>
    <w:uiPriority w:val="21"/>
    <w:qFormat/>
    <w:rsid w:val="00ED31D3"/>
    <w:rPr>
      <w:b/>
      <w:i/>
      <w:color w:val="B2B2B2" w:themeColor="accent2"/>
      <w:spacing w:val="10"/>
    </w:rPr>
  </w:style>
  <w:style w:type="paragraph" w:styleId="IntenseQuote">
    <w:name w:val="Intense Quote"/>
    <w:basedOn w:val="Normal"/>
    <w:next w:val="Normal"/>
    <w:link w:val="IntenseQuoteChar"/>
    <w:uiPriority w:val="30"/>
    <w:qFormat/>
    <w:rsid w:val="00ED31D3"/>
    <w:pPr>
      <w:pBdr>
        <w:top w:val="single" w:sz="8" w:space="10" w:color="858585" w:themeColor="accent2" w:themeShade="BF"/>
        <w:left w:val="single" w:sz="8" w:space="10" w:color="858585" w:themeColor="accent2" w:themeShade="BF"/>
        <w:bottom w:val="single" w:sz="8" w:space="10" w:color="858585" w:themeColor="accent2" w:themeShade="BF"/>
        <w:right w:val="single" w:sz="8" w:space="10" w:color="858585" w:themeColor="accent2" w:themeShade="BF"/>
      </w:pBdr>
      <w:shd w:val="clear" w:color="auto" w:fill="B2B2B2" w:themeFill="accent2"/>
      <w:spacing w:before="140" w:after="140"/>
      <w:ind w:left="1440" w:right="1440"/>
    </w:pPr>
    <w:rPr>
      <w:b/>
      <w:i/>
      <w:color w:val="FFFFFF" w:themeColor="background1"/>
    </w:rPr>
  </w:style>
  <w:style w:type="character" w:customStyle="1" w:styleId="IntenseQuoteChar">
    <w:name w:val="Intense Quote Char"/>
    <w:basedOn w:val="DefaultParagraphFont"/>
    <w:link w:val="IntenseQuote"/>
    <w:uiPriority w:val="30"/>
    <w:rsid w:val="00ED31D3"/>
    <w:rPr>
      <w:b/>
      <w:i/>
      <w:color w:val="FFFFFF" w:themeColor="background1"/>
      <w:shd w:val="clear" w:color="auto" w:fill="B2B2B2" w:themeFill="accent2"/>
    </w:rPr>
  </w:style>
  <w:style w:type="character" w:styleId="IntenseReference">
    <w:name w:val="Intense Reference"/>
    <w:uiPriority w:val="32"/>
    <w:qFormat/>
    <w:rsid w:val="00ED31D3"/>
    <w:rPr>
      <w:b/>
      <w:bCs/>
      <w:smallCaps/>
      <w:spacing w:val="5"/>
      <w:sz w:val="22"/>
      <w:szCs w:val="22"/>
      <w:u w:val="single"/>
    </w:rPr>
  </w:style>
  <w:style w:type="character" w:styleId="SubtleEmphasis">
    <w:name w:val="Subtle Emphasis"/>
    <w:uiPriority w:val="19"/>
    <w:qFormat/>
    <w:rsid w:val="00ED31D3"/>
    <w:rPr>
      <w:i/>
    </w:rPr>
  </w:style>
  <w:style w:type="character" w:styleId="SubtleReference">
    <w:name w:val="Subtle Reference"/>
    <w:uiPriority w:val="31"/>
    <w:qFormat/>
    <w:rsid w:val="00ED31D3"/>
    <w:rPr>
      <w:b/>
    </w:rPr>
  </w:style>
  <w:style w:type="paragraph" w:styleId="ListBullet">
    <w:name w:val="List Bullet"/>
    <w:basedOn w:val="Normal"/>
    <w:uiPriority w:val="14"/>
    <w:rsid w:val="00ED73E5"/>
    <w:pPr>
      <w:numPr>
        <w:numId w:val="11"/>
      </w:numPr>
    </w:pPr>
  </w:style>
  <w:style w:type="paragraph" w:styleId="ListBullet2">
    <w:name w:val="List Bullet 2"/>
    <w:basedOn w:val="Normal"/>
    <w:uiPriority w:val="14"/>
    <w:rsid w:val="00ED73E5"/>
    <w:pPr>
      <w:numPr>
        <w:ilvl w:val="1"/>
        <w:numId w:val="11"/>
      </w:numPr>
    </w:pPr>
  </w:style>
  <w:style w:type="paragraph" w:styleId="ListBullet3">
    <w:name w:val="List Bullet 3"/>
    <w:basedOn w:val="Normal"/>
    <w:uiPriority w:val="14"/>
    <w:rsid w:val="00ED73E5"/>
    <w:pPr>
      <w:numPr>
        <w:ilvl w:val="2"/>
        <w:numId w:val="11"/>
      </w:numPr>
    </w:pPr>
  </w:style>
  <w:style w:type="table" w:styleId="TableGrid">
    <w:name w:val="Table Grid"/>
    <w:basedOn w:val="TableNormal"/>
    <w:rsid w:val="00B635D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uiPriority w:val="22"/>
    <w:qFormat/>
    <w:rsid w:val="00ED31D3"/>
    <w:rPr>
      <w:b/>
      <w:color w:val="B2B2B2" w:themeColor="accent2"/>
    </w:rPr>
  </w:style>
  <w:style w:type="paragraph" w:styleId="ListNumber">
    <w:name w:val="List Number"/>
    <w:basedOn w:val="Normal"/>
    <w:uiPriority w:val="14"/>
    <w:rsid w:val="00ED73E5"/>
    <w:pPr>
      <w:numPr>
        <w:numId w:val="15"/>
      </w:numPr>
    </w:pPr>
  </w:style>
  <w:style w:type="paragraph" w:customStyle="1" w:styleId="BodySingle">
    <w:name w:val="Body Single"/>
    <w:basedOn w:val="BodyText"/>
    <w:link w:val="BodySingleChar"/>
    <w:uiPriority w:val="1"/>
    <w:rsid w:val="00B758C1"/>
    <w:pPr>
      <w:spacing w:after="0"/>
    </w:pPr>
  </w:style>
  <w:style w:type="character" w:customStyle="1" w:styleId="BodySingleChar">
    <w:name w:val="Body Single Char"/>
    <w:basedOn w:val="BodyTextChar"/>
    <w:link w:val="BodySingle"/>
    <w:uiPriority w:val="1"/>
    <w:rsid w:val="00B758C1"/>
  </w:style>
  <w:style w:type="paragraph" w:styleId="ListParagraph">
    <w:name w:val="List Paragraph"/>
    <w:basedOn w:val="Normal"/>
    <w:uiPriority w:val="34"/>
    <w:qFormat/>
    <w:rsid w:val="00ED31D3"/>
    <w:pPr>
      <w:ind w:left="720"/>
      <w:contextualSpacing/>
    </w:pPr>
  </w:style>
  <w:style w:type="paragraph" w:styleId="Header">
    <w:name w:val="header"/>
    <w:basedOn w:val="Normal"/>
    <w:link w:val="HeaderChar"/>
    <w:unhideWhenUsed/>
    <w:rsid w:val="00436A45"/>
    <w:pPr>
      <w:tabs>
        <w:tab w:val="center" w:pos="4513"/>
        <w:tab w:val="right" w:pos="9026"/>
      </w:tabs>
      <w:spacing w:after="0" w:line="240" w:lineRule="auto"/>
    </w:pPr>
  </w:style>
  <w:style w:type="character" w:customStyle="1" w:styleId="HeaderChar">
    <w:name w:val="Header Char"/>
    <w:basedOn w:val="DefaultParagraphFont"/>
    <w:link w:val="Header"/>
    <w:rsid w:val="00436A45"/>
  </w:style>
  <w:style w:type="paragraph" w:styleId="Footer">
    <w:name w:val="footer"/>
    <w:basedOn w:val="Normal"/>
    <w:link w:val="FooterChar"/>
    <w:uiPriority w:val="99"/>
    <w:unhideWhenUsed/>
    <w:rsid w:val="00436A45"/>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A45"/>
  </w:style>
  <w:style w:type="table" w:styleId="LightShading-Accent2">
    <w:name w:val="Light Shading Accent 2"/>
    <w:basedOn w:val="TableNormal"/>
    <w:uiPriority w:val="60"/>
    <w:rsid w:val="000D7DAE"/>
    <w:pPr>
      <w:spacing w:after="0" w:line="240" w:lineRule="auto"/>
    </w:pPr>
    <w:rPr>
      <w:color w:val="858585" w:themeColor="accent2" w:themeShade="BF"/>
    </w:rPr>
    <w:tblPr>
      <w:tblStyleRowBandSize w:val="1"/>
      <w:tblStyleColBandSize w:val="1"/>
      <w:tblInd w:w="0" w:type="dxa"/>
      <w:tblBorders>
        <w:top w:val="single" w:sz="8" w:space="0" w:color="B2B2B2" w:themeColor="accent2"/>
        <w:bottom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lastRow">
      <w:pPr>
        <w:spacing w:before="0" w:after="0" w:line="240" w:lineRule="auto"/>
      </w:pPr>
      <w:rPr>
        <w:b/>
        <w:bCs/>
      </w:rPr>
      <w:tblPr/>
      <w:tcPr>
        <w:tcBorders>
          <w:top w:val="single" w:sz="8" w:space="0" w:color="B2B2B2" w:themeColor="accent2"/>
          <w:left w:val="nil"/>
          <w:bottom w:val="single" w:sz="8" w:space="0" w:color="B2B2B2"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left w:val="nil"/>
          <w:right w:val="nil"/>
          <w:insideH w:val="nil"/>
          <w:insideV w:val="nil"/>
        </w:tcBorders>
        <w:shd w:val="clear" w:color="auto" w:fill="EBEBEB" w:themeFill="accent2" w:themeFillTint="3F"/>
      </w:tcPr>
    </w:tblStylePr>
  </w:style>
  <w:style w:type="table" w:styleId="MediumShading1-Accent4">
    <w:name w:val="Medium Shading 1 Accent 4"/>
    <w:basedOn w:val="TableNormal"/>
    <w:uiPriority w:val="63"/>
    <w:rsid w:val="000D7DAE"/>
    <w:pPr>
      <w:spacing w:after="0" w:line="240" w:lineRule="auto"/>
    </w:pPr>
    <w:tblPr>
      <w:tblStyleRowBandSize w:val="1"/>
      <w:tblStyleColBandSize w:val="1"/>
      <w:tblInd w:w="0" w:type="dxa"/>
      <w:tbl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single" w:sz="8" w:space="0" w:color="9F9F9F"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shd w:val="clear" w:color="auto" w:fill="808080" w:themeFill="accent4"/>
      </w:tcPr>
    </w:tblStylePr>
    <w:tblStylePr w:type="lastRow">
      <w:pPr>
        <w:spacing w:before="0" w:after="0" w:line="240" w:lineRule="auto"/>
      </w:pPr>
      <w:rPr>
        <w:b/>
        <w:bCs/>
      </w:rPr>
      <w:tblPr/>
      <w:tcPr>
        <w:tcBorders>
          <w:top w:val="double" w:sz="6" w:space="0" w:color="9F9F9F" w:themeColor="accent4" w:themeTint="BF"/>
          <w:left w:val="single" w:sz="8" w:space="0" w:color="9F9F9F" w:themeColor="accent4" w:themeTint="BF"/>
          <w:bottom w:val="single" w:sz="8" w:space="0" w:color="9F9F9F" w:themeColor="accent4" w:themeTint="BF"/>
          <w:right w:val="single" w:sz="8" w:space="0" w:color="9F9F9F"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FDF" w:themeFill="accent4" w:themeFillTint="3F"/>
      </w:tcPr>
    </w:tblStylePr>
    <w:tblStylePr w:type="band1Horz">
      <w:tblPr/>
      <w:tcPr>
        <w:tcBorders>
          <w:insideH w:val="nil"/>
          <w:insideV w:val="nil"/>
        </w:tcBorders>
        <w:shd w:val="clear" w:color="auto" w:fill="DFDFDF" w:themeFill="accent4" w:themeFillTint="3F"/>
      </w:tcPr>
    </w:tblStylePr>
    <w:tblStylePr w:type="band2Horz">
      <w:tblPr/>
      <w:tcPr>
        <w:tcBorders>
          <w:insideH w:val="nil"/>
          <w:insideV w:val="nil"/>
        </w:tcBorders>
      </w:tcPr>
    </w:tblStylePr>
  </w:style>
  <w:style w:type="table" w:customStyle="1" w:styleId="MediumShading11">
    <w:name w:val="Medium Shading 11"/>
    <w:basedOn w:val="TableNormal"/>
    <w:uiPriority w:val="63"/>
    <w:rsid w:val="000D7DAE"/>
    <w:pPr>
      <w:spacing w:after="0" w:line="240" w:lineRule="auto"/>
    </w:pPr>
    <w:rPr>
      <w:sz w:val="16"/>
    </w:r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MediumShading1-Accent11">
    <w:name w:val="Medium Shading 1 - Accent 11"/>
    <w:basedOn w:val="TableNormal"/>
    <w:uiPriority w:val="63"/>
    <w:rsid w:val="000D7DAE"/>
    <w:pPr>
      <w:spacing w:after="0" w:line="240" w:lineRule="auto"/>
    </w:pPr>
    <w:tblPr>
      <w:tblStyleRowBandSize w:val="1"/>
      <w:tblStyleColBandSize w:val="1"/>
      <w:tblInd w:w="0" w:type="dxa"/>
      <w:tbl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single" w:sz="8" w:space="0" w:color="E5E5E5"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shd w:val="clear" w:color="auto" w:fill="DDDDDD" w:themeFill="accent1"/>
      </w:tcPr>
    </w:tblStylePr>
    <w:tblStylePr w:type="lastRow">
      <w:pPr>
        <w:spacing w:before="0" w:after="0" w:line="240" w:lineRule="auto"/>
      </w:pPr>
      <w:rPr>
        <w:b/>
        <w:bCs/>
      </w:rPr>
      <w:tblPr/>
      <w:tcPr>
        <w:tcBorders>
          <w:top w:val="double" w:sz="6" w:space="0" w:color="E5E5E5" w:themeColor="accent1" w:themeTint="BF"/>
          <w:left w:val="single" w:sz="8" w:space="0" w:color="E5E5E5" w:themeColor="accent1" w:themeTint="BF"/>
          <w:bottom w:val="single" w:sz="8" w:space="0" w:color="E5E5E5" w:themeColor="accent1" w:themeTint="BF"/>
          <w:right w:val="single" w:sz="8" w:space="0" w:color="E5E5E5" w:themeColor="accent1" w:themeTint="BF"/>
          <w:insideH w:val="nil"/>
          <w:insideV w:val="nil"/>
        </w:tcBorders>
      </w:tcPr>
    </w:tblStylePr>
    <w:tblStylePr w:type="firstCol">
      <w:rPr>
        <w:b/>
        <w:bCs/>
      </w:rPr>
    </w:tblStylePr>
    <w:tblStylePr w:type="lastCol">
      <w:rPr>
        <w:b/>
        <w:bCs/>
      </w:rPr>
    </w:tblStylePr>
    <w:tblStylePr w:type="band1Vert">
      <w:tblPr/>
      <w:tcPr>
        <w:shd w:val="clear" w:color="auto" w:fill="F6F6F6" w:themeFill="accent1" w:themeFillTint="3F"/>
      </w:tcPr>
    </w:tblStylePr>
    <w:tblStylePr w:type="band1Horz">
      <w:tblPr/>
      <w:tcPr>
        <w:tcBorders>
          <w:insideH w:val="nil"/>
          <w:insideV w:val="nil"/>
        </w:tcBorders>
        <w:shd w:val="clear" w:color="auto" w:fill="F6F6F6" w:themeFill="accent1" w:themeFillTint="3F"/>
      </w:tcPr>
    </w:tblStylePr>
    <w:tblStylePr w:type="band2Horz">
      <w:tblPr/>
      <w:tcPr>
        <w:tcBorders>
          <w:insideH w:val="nil"/>
          <w:insideV w:val="nil"/>
        </w:tcBorders>
      </w:tcPr>
    </w:tblStylePr>
  </w:style>
  <w:style w:type="table" w:customStyle="1" w:styleId="LightList1">
    <w:name w:val="Light List1"/>
    <w:basedOn w:val="TableNormal"/>
    <w:uiPriority w:val="61"/>
    <w:rsid w:val="000D7DAE"/>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customStyle="1" w:styleId="LightList-Accent11">
    <w:name w:val="Light List - Accent 11"/>
    <w:basedOn w:val="TableNormal"/>
    <w:uiPriority w:val="61"/>
    <w:rsid w:val="000D7DAE"/>
    <w:pPr>
      <w:spacing w:after="0"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paragraph" w:customStyle="1" w:styleId="SectionHeading">
    <w:name w:val="Section Heading"/>
    <w:basedOn w:val="Heading1"/>
    <w:next w:val="BodyText"/>
    <w:uiPriority w:val="12"/>
    <w:rsid w:val="0054330C"/>
    <w:pPr>
      <w:pageBreakBefore/>
      <w:framePr w:w="10478" w:wrap="notBeside" w:vAnchor="page" w:hAnchor="margin" w:y="1135"/>
      <w:spacing w:line="720" w:lineRule="exact"/>
    </w:pPr>
    <w:rPr>
      <w:sz w:val="72"/>
    </w:rPr>
  </w:style>
  <w:style w:type="paragraph" w:customStyle="1" w:styleId="Logo">
    <w:name w:val="Logo"/>
    <w:basedOn w:val="Normal"/>
    <w:next w:val="BodyText"/>
    <w:uiPriority w:val="15"/>
    <w:unhideWhenUsed/>
    <w:rsid w:val="000B3C73"/>
    <w:pPr>
      <w:spacing w:after="0" w:line="204" w:lineRule="auto"/>
      <w:jc w:val="right"/>
    </w:pPr>
    <w:rPr>
      <w:rFonts w:ascii="PwC_Logo" w:hAnsi="PwC_Logo"/>
      <w:color w:val="000000" w:themeColor="text2"/>
      <w:sz w:val="48"/>
      <w:szCs w:val="48"/>
    </w:rPr>
  </w:style>
  <w:style w:type="paragraph" w:styleId="ListNumber2">
    <w:name w:val="List Number 2"/>
    <w:basedOn w:val="Normal"/>
    <w:uiPriority w:val="14"/>
    <w:rsid w:val="00ED73E5"/>
    <w:pPr>
      <w:numPr>
        <w:ilvl w:val="1"/>
        <w:numId w:val="15"/>
      </w:numPr>
    </w:pPr>
  </w:style>
  <w:style w:type="paragraph" w:styleId="ListNumber3">
    <w:name w:val="List Number 3"/>
    <w:basedOn w:val="Normal"/>
    <w:uiPriority w:val="14"/>
    <w:rsid w:val="00ED73E5"/>
    <w:pPr>
      <w:numPr>
        <w:ilvl w:val="2"/>
        <w:numId w:val="15"/>
      </w:numPr>
    </w:pPr>
  </w:style>
  <w:style w:type="table" w:customStyle="1" w:styleId="PwCTable1">
    <w:name w:val="PwC Table 1"/>
    <w:basedOn w:val="TableNormal"/>
    <w:uiPriority w:val="99"/>
    <w:qFormat/>
    <w:rsid w:val="007746EB"/>
    <w:pPr>
      <w:spacing w:after="0" w:line="240" w:lineRule="auto"/>
    </w:pPr>
    <w:rPr>
      <w:sz w:val="18"/>
      <w:szCs w:val="22"/>
    </w:rPr>
    <w:tblPr>
      <w:tblStyleRowBandSize w:val="1"/>
      <w:tblInd w:w="0" w:type="dxa"/>
      <w:tblBorders>
        <w:bottom w:val="single" w:sz="4" w:space="0" w:color="DDDDDD" w:themeColor="accent1"/>
        <w:insideH w:val="single" w:sz="4" w:space="0" w:color="DDDDDD" w:themeColor="accent1"/>
      </w:tblBorders>
      <w:tblCellMar>
        <w:top w:w="57" w:type="dxa"/>
        <w:left w:w="0" w:type="dxa"/>
        <w:bottom w:w="57" w:type="dxa"/>
        <w:right w:w="0" w:type="dxa"/>
      </w:tblCellMar>
    </w:tblPr>
    <w:tblStylePr w:type="firstRow">
      <w:pPr>
        <w:wordWrap/>
        <w:spacing w:beforeLines="0" w:beforeAutospacing="0" w:afterLines="0" w:afterAutospacing="0" w:line="210" w:lineRule="atLeast"/>
        <w:contextualSpacing w:val="0"/>
      </w:pPr>
      <w:rPr>
        <w:rFonts w:asciiTheme="majorHAnsi" w:hAnsiTheme="majorHAnsi"/>
        <w:b/>
        <w:color w:val="DDDDDD" w:themeColor="accent1"/>
        <w:sz w:val="18"/>
      </w:rPr>
      <w:tblPr/>
      <w:tcPr>
        <w:tcBorders>
          <w:top w:val="nil"/>
          <w:left w:val="nil"/>
          <w:bottom w:val="single" w:sz="8" w:space="0" w:color="000000" w:themeColor="text2"/>
          <w:right w:val="nil"/>
          <w:insideH w:val="nil"/>
          <w:insideV w:val="nil"/>
          <w:tl2br w:val="nil"/>
          <w:tr2bl w:val="nil"/>
        </w:tcBorders>
      </w:tcPr>
    </w:tblStylePr>
    <w:tblStylePr w:type="lastRow">
      <w:tblPr/>
      <w:tcPr>
        <w:tcBorders>
          <w:top w:val="nil"/>
          <w:left w:val="nil"/>
          <w:bottom w:val="single" w:sz="4" w:space="0" w:color="DDDDDD" w:themeColor="accent1"/>
          <w:right w:val="nil"/>
          <w:insideH w:val="nil"/>
          <w:insideV w:val="nil"/>
          <w:tl2br w:val="nil"/>
          <w:tr2bl w:val="nil"/>
        </w:tcBorders>
      </w:tcPr>
    </w:tblStylePr>
    <w:tblStylePr w:type="band1Horz">
      <w:pPr>
        <w:wordWrap/>
        <w:spacing w:beforeLines="0" w:beforeAutospacing="0" w:afterLines="0" w:afterAutospacing="0" w:line="210" w:lineRule="atLeast"/>
      </w:pPr>
    </w:tblStylePr>
    <w:tblStylePr w:type="band2Horz">
      <w:pPr>
        <w:wordWrap/>
        <w:spacing w:beforeLines="0" w:beforeAutospacing="0" w:afterLines="0" w:afterAutospacing="0" w:line="210" w:lineRule="atLeast"/>
      </w:pPr>
    </w:tblStylePr>
  </w:style>
  <w:style w:type="numbering" w:customStyle="1" w:styleId="PwCListBullets1">
    <w:name w:val="PwC List Bullets 1"/>
    <w:uiPriority w:val="99"/>
    <w:rsid w:val="00ED73E5"/>
    <w:pPr>
      <w:numPr>
        <w:numId w:val="11"/>
      </w:numPr>
    </w:pPr>
  </w:style>
  <w:style w:type="numbering" w:customStyle="1" w:styleId="PwCListNumbers1">
    <w:name w:val="PwC List Numbers 1"/>
    <w:uiPriority w:val="99"/>
    <w:rsid w:val="00ED73E5"/>
    <w:pPr>
      <w:numPr>
        <w:numId w:val="15"/>
      </w:numPr>
    </w:pPr>
  </w:style>
  <w:style w:type="paragraph" w:styleId="ListBullet4">
    <w:name w:val="List Bullet 4"/>
    <w:basedOn w:val="Normal"/>
    <w:uiPriority w:val="14"/>
    <w:semiHidden/>
    <w:unhideWhenUsed/>
    <w:rsid w:val="00ED73E5"/>
    <w:pPr>
      <w:numPr>
        <w:ilvl w:val="3"/>
        <w:numId w:val="11"/>
      </w:numPr>
    </w:pPr>
  </w:style>
  <w:style w:type="paragraph" w:styleId="ListContinue">
    <w:name w:val="List Continue"/>
    <w:basedOn w:val="Normal"/>
    <w:uiPriority w:val="14"/>
    <w:unhideWhenUsed/>
    <w:rsid w:val="00EE0C5B"/>
    <w:pPr>
      <w:ind w:left="397"/>
    </w:pPr>
  </w:style>
  <w:style w:type="paragraph" w:styleId="ListContinue2">
    <w:name w:val="List Continue 2"/>
    <w:basedOn w:val="Normal"/>
    <w:uiPriority w:val="14"/>
    <w:unhideWhenUsed/>
    <w:rsid w:val="00EE0C5B"/>
    <w:pPr>
      <w:ind w:left="794"/>
    </w:pPr>
  </w:style>
  <w:style w:type="paragraph" w:styleId="List3">
    <w:name w:val="List 3"/>
    <w:basedOn w:val="Normal"/>
    <w:uiPriority w:val="14"/>
    <w:rsid w:val="00EE0C5B"/>
    <w:pPr>
      <w:ind w:left="1191" w:hanging="397"/>
    </w:pPr>
  </w:style>
  <w:style w:type="paragraph" w:styleId="List4">
    <w:name w:val="List 4"/>
    <w:basedOn w:val="Normal"/>
    <w:uiPriority w:val="14"/>
    <w:semiHidden/>
    <w:unhideWhenUsed/>
    <w:rsid w:val="00EE0C5B"/>
    <w:pPr>
      <w:ind w:left="1588" w:hanging="397"/>
    </w:pPr>
  </w:style>
  <w:style w:type="paragraph" w:styleId="List5">
    <w:name w:val="List 5"/>
    <w:basedOn w:val="Normal"/>
    <w:uiPriority w:val="14"/>
    <w:semiHidden/>
    <w:unhideWhenUsed/>
    <w:rsid w:val="00EE0C5B"/>
    <w:pPr>
      <w:ind w:left="1985" w:hanging="397"/>
    </w:pPr>
  </w:style>
  <w:style w:type="paragraph" w:styleId="ListContinue3">
    <w:name w:val="List Continue 3"/>
    <w:basedOn w:val="Normal"/>
    <w:uiPriority w:val="14"/>
    <w:unhideWhenUsed/>
    <w:rsid w:val="003B26A2"/>
    <w:pPr>
      <w:ind w:left="1191"/>
    </w:pPr>
  </w:style>
  <w:style w:type="paragraph" w:styleId="ListContinue4">
    <w:name w:val="List Continue 4"/>
    <w:basedOn w:val="Normal"/>
    <w:uiPriority w:val="14"/>
    <w:semiHidden/>
    <w:unhideWhenUsed/>
    <w:rsid w:val="003B26A2"/>
    <w:pPr>
      <w:ind w:left="1588"/>
    </w:pPr>
  </w:style>
  <w:style w:type="paragraph" w:styleId="ListContinue5">
    <w:name w:val="List Continue 5"/>
    <w:basedOn w:val="Normal"/>
    <w:uiPriority w:val="14"/>
    <w:semiHidden/>
    <w:unhideWhenUsed/>
    <w:rsid w:val="003B26A2"/>
    <w:pPr>
      <w:ind w:left="1985"/>
    </w:pPr>
  </w:style>
  <w:style w:type="paragraph" w:styleId="ListNumber4">
    <w:name w:val="List Number 4"/>
    <w:basedOn w:val="Normal"/>
    <w:uiPriority w:val="14"/>
    <w:semiHidden/>
    <w:unhideWhenUsed/>
    <w:rsid w:val="00ED73E5"/>
    <w:pPr>
      <w:numPr>
        <w:ilvl w:val="3"/>
        <w:numId w:val="15"/>
      </w:numPr>
    </w:pPr>
  </w:style>
  <w:style w:type="paragraph" w:styleId="ListNumber5">
    <w:name w:val="List Number 5"/>
    <w:basedOn w:val="Normal"/>
    <w:uiPriority w:val="14"/>
    <w:semiHidden/>
    <w:unhideWhenUsed/>
    <w:rsid w:val="00ED73E5"/>
    <w:pPr>
      <w:numPr>
        <w:ilvl w:val="4"/>
        <w:numId w:val="15"/>
      </w:numPr>
    </w:pPr>
  </w:style>
  <w:style w:type="paragraph" w:styleId="ListBullet5">
    <w:name w:val="List Bullet 5"/>
    <w:basedOn w:val="Normal"/>
    <w:uiPriority w:val="14"/>
    <w:semiHidden/>
    <w:unhideWhenUsed/>
    <w:rsid w:val="00ED73E5"/>
    <w:pPr>
      <w:numPr>
        <w:ilvl w:val="4"/>
        <w:numId w:val="11"/>
      </w:numPr>
    </w:pPr>
  </w:style>
  <w:style w:type="paragraph" w:styleId="List2">
    <w:name w:val="List 2"/>
    <w:basedOn w:val="Normal"/>
    <w:uiPriority w:val="14"/>
    <w:rsid w:val="00EE0C5B"/>
    <w:pPr>
      <w:ind w:left="794" w:hanging="397"/>
    </w:pPr>
  </w:style>
  <w:style w:type="paragraph" w:styleId="List">
    <w:name w:val="List"/>
    <w:basedOn w:val="Normal"/>
    <w:uiPriority w:val="14"/>
    <w:rsid w:val="00EE0C5B"/>
    <w:pPr>
      <w:ind w:left="397" w:hanging="397"/>
    </w:pPr>
  </w:style>
  <w:style w:type="character" w:styleId="Hyperlink">
    <w:name w:val="Hyperlink"/>
    <w:basedOn w:val="DefaultParagraphFont"/>
    <w:uiPriority w:val="99"/>
    <w:rsid w:val="00200CEB"/>
    <w:rPr>
      <w:rFonts w:cs="Times New Roman"/>
      <w:color w:val="0000FF"/>
      <w:u w:val="single"/>
    </w:rPr>
  </w:style>
  <w:style w:type="paragraph" w:styleId="BalloonText">
    <w:name w:val="Balloon Text"/>
    <w:basedOn w:val="Normal"/>
    <w:link w:val="BalloonTextChar"/>
    <w:unhideWhenUsed/>
    <w:rsid w:val="00200C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200CEB"/>
    <w:rPr>
      <w:rFonts w:ascii="Tahoma" w:hAnsi="Tahoma" w:cs="Tahoma"/>
      <w:sz w:val="16"/>
      <w:szCs w:val="16"/>
    </w:rPr>
  </w:style>
  <w:style w:type="table" w:customStyle="1" w:styleId="LightShading1">
    <w:name w:val="Light Shading1"/>
    <w:basedOn w:val="TableNormal"/>
    <w:uiPriority w:val="60"/>
    <w:rsid w:val="00CA718A"/>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ColorfulList-Accent2">
    <w:name w:val="Colorful List Accent 2"/>
    <w:basedOn w:val="TableNormal"/>
    <w:uiPriority w:val="72"/>
    <w:rsid w:val="008B1B32"/>
    <w:pPr>
      <w:spacing w:after="0" w:line="240" w:lineRule="auto"/>
    </w:pPr>
    <w:tblPr>
      <w:tblStyleRowBandSize w:val="1"/>
      <w:tblStyleColBandSize w:val="1"/>
      <w:tblInd w:w="0" w:type="dxa"/>
      <w:tblCellMar>
        <w:top w:w="0" w:type="dxa"/>
        <w:left w:w="108" w:type="dxa"/>
        <w:bottom w:w="0" w:type="dxa"/>
        <w:right w:w="108" w:type="dxa"/>
      </w:tblCellMar>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table" w:styleId="ColorfulList-Accent3">
    <w:name w:val="Colorful List Accent 3"/>
    <w:basedOn w:val="TableNormal"/>
    <w:uiPriority w:val="72"/>
    <w:rsid w:val="008B1B32"/>
    <w:pPr>
      <w:spacing w:after="0" w:line="240" w:lineRule="auto"/>
    </w:pPr>
    <w:tblPr>
      <w:tblStyleRowBandSize w:val="1"/>
      <w:tblStyleColBandSize w:val="1"/>
      <w:tblInd w:w="0" w:type="dxa"/>
      <w:tblCellMar>
        <w:top w:w="0" w:type="dxa"/>
        <w:left w:w="108" w:type="dxa"/>
        <w:bottom w:w="0" w:type="dxa"/>
        <w:right w:w="108" w:type="dxa"/>
      </w:tblCellMar>
    </w:tblPr>
    <w:tcPr>
      <w:shd w:val="clear" w:color="auto" w:fill="F4F4F4" w:themeFill="accent3" w:themeFillTint="19"/>
    </w:tcPr>
    <w:tblStylePr w:type="firstRow">
      <w:rPr>
        <w:b/>
        <w:bCs/>
        <w:color w:val="FFFFFF" w:themeColor="background1"/>
      </w:rPr>
      <w:tblPr/>
      <w:tcPr>
        <w:tcBorders>
          <w:bottom w:val="single" w:sz="12" w:space="0" w:color="FFFFFF" w:themeColor="background1"/>
        </w:tcBorders>
        <w:shd w:val="clear" w:color="auto" w:fill="666666" w:themeFill="accent4" w:themeFillShade="CC"/>
      </w:tcPr>
    </w:tblStylePr>
    <w:tblStylePr w:type="lastRow">
      <w:rPr>
        <w:b/>
        <w:bCs/>
        <w:color w:val="666666"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E5E5" w:themeFill="accent3" w:themeFillTint="3F"/>
      </w:tcPr>
    </w:tblStylePr>
    <w:tblStylePr w:type="band1Horz">
      <w:tblPr/>
      <w:tcPr>
        <w:shd w:val="clear" w:color="auto" w:fill="EAEAEA" w:themeFill="accent3" w:themeFillTint="33"/>
      </w:tcPr>
    </w:tblStylePr>
  </w:style>
  <w:style w:type="table" w:styleId="ColorfulList-Accent1">
    <w:name w:val="Colorful List Accent 1"/>
    <w:basedOn w:val="TableNormal"/>
    <w:uiPriority w:val="72"/>
    <w:rsid w:val="008B1B32"/>
    <w:pPr>
      <w:spacing w:after="0" w:line="240" w:lineRule="auto"/>
    </w:pPr>
    <w:tblPr>
      <w:tblStyleRowBandSize w:val="1"/>
      <w:tblStyleColBandSize w:val="1"/>
      <w:tblInd w:w="0" w:type="dxa"/>
      <w:tblCellMar>
        <w:top w:w="0" w:type="dxa"/>
        <w:left w:w="108" w:type="dxa"/>
        <w:bottom w:w="0" w:type="dxa"/>
        <w:right w:w="108" w:type="dxa"/>
      </w:tblCellMar>
    </w:tblPr>
    <w:tcPr>
      <w:shd w:val="clear" w:color="auto" w:fill="FBFBFB" w:themeFill="accen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6F6F6" w:themeFill="accent1" w:themeFillTint="3F"/>
      </w:tcPr>
    </w:tblStylePr>
    <w:tblStylePr w:type="band1Horz">
      <w:tblPr/>
      <w:tcPr>
        <w:shd w:val="clear" w:color="auto" w:fill="F8F8F8" w:themeFill="accent1" w:themeFillTint="33"/>
      </w:tcPr>
    </w:tblStylePr>
  </w:style>
  <w:style w:type="table" w:customStyle="1" w:styleId="ColorfulList1">
    <w:name w:val="Colorful List1"/>
    <w:basedOn w:val="TableNormal"/>
    <w:uiPriority w:val="72"/>
    <w:rsid w:val="008B1B32"/>
    <w:pPr>
      <w:spacing w:after="0" w:line="240" w:lineRule="auto"/>
    </w:p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customStyle="1" w:styleId="LightList-Accent12">
    <w:name w:val="Light List - Accent 12"/>
    <w:basedOn w:val="TableNormal"/>
    <w:uiPriority w:val="61"/>
    <w:rsid w:val="008B1B32"/>
    <w:pPr>
      <w:spacing w:after="0" w:line="240" w:lineRule="auto"/>
    </w:p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DDDDDD" w:themeFill="accent1"/>
      </w:tcPr>
    </w:tblStylePr>
    <w:tblStylePr w:type="lastRow">
      <w:pPr>
        <w:spacing w:before="0" w:after="0" w:line="240" w:lineRule="auto"/>
      </w:pPr>
      <w:rPr>
        <w:b/>
        <w:bCs/>
      </w:rPr>
      <w:tblPr/>
      <w:tcPr>
        <w:tcBorders>
          <w:top w:val="double" w:sz="6" w:space="0" w:color="DDDDDD" w:themeColor="accent1"/>
          <w:left w:val="single" w:sz="8" w:space="0" w:color="DDDDDD" w:themeColor="accent1"/>
          <w:bottom w:val="single" w:sz="8" w:space="0" w:color="DDDDDD" w:themeColor="accent1"/>
          <w:right w:val="single" w:sz="8" w:space="0" w:color="DDDDDD" w:themeColor="accent1"/>
        </w:tcBorders>
      </w:tcPr>
    </w:tblStylePr>
    <w:tblStylePr w:type="firstCol">
      <w:rPr>
        <w:b/>
        <w:bCs/>
      </w:rPr>
    </w:tblStylePr>
    <w:tblStylePr w:type="lastCol">
      <w:rPr>
        <w:b/>
        <w:bCs/>
      </w:rPr>
    </w:tblStylePr>
    <w:tblStylePr w:type="band1Vert">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tblStylePr w:type="band1Horz">
      <w:tblPr/>
      <w:tcPr>
        <w:tcBorders>
          <w:top w:val="single" w:sz="8" w:space="0" w:color="DDDDDD" w:themeColor="accent1"/>
          <w:left w:val="single" w:sz="8" w:space="0" w:color="DDDDDD" w:themeColor="accent1"/>
          <w:bottom w:val="single" w:sz="8" w:space="0" w:color="DDDDDD" w:themeColor="accent1"/>
          <w:right w:val="single" w:sz="8" w:space="0" w:color="DDDDDD" w:themeColor="accent1"/>
        </w:tcBorders>
      </w:tcPr>
    </w:tblStylePr>
  </w:style>
  <w:style w:type="paragraph" w:styleId="FootnoteText">
    <w:name w:val="footnote text"/>
    <w:basedOn w:val="Normal"/>
    <w:link w:val="FootnoteTextChar"/>
    <w:uiPriority w:val="99"/>
    <w:semiHidden/>
    <w:unhideWhenUsed/>
    <w:rsid w:val="000275FE"/>
    <w:pPr>
      <w:spacing w:after="0" w:line="240" w:lineRule="auto"/>
    </w:pPr>
    <w:rPr>
      <w:rFonts w:ascii="Times New Roman" w:eastAsia="Times New Roman" w:hAnsi="Times New Roman" w:cs="Times New Roman"/>
      <w:lang w:val="nl-NL" w:eastAsia="nl-NL"/>
    </w:rPr>
  </w:style>
  <w:style w:type="character" w:customStyle="1" w:styleId="FootnoteTextChar">
    <w:name w:val="Footnote Text Char"/>
    <w:basedOn w:val="DefaultParagraphFont"/>
    <w:link w:val="FootnoteText"/>
    <w:uiPriority w:val="99"/>
    <w:semiHidden/>
    <w:rsid w:val="000275FE"/>
    <w:rPr>
      <w:rFonts w:ascii="Times New Roman" w:eastAsia="Times New Roman" w:hAnsi="Times New Roman" w:cs="Times New Roman"/>
      <w:color w:val="auto"/>
      <w:sz w:val="20"/>
      <w:szCs w:val="20"/>
      <w:lang w:val="nl-NL" w:eastAsia="nl-NL"/>
    </w:rPr>
  </w:style>
  <w:style w:type="character" w:styleId="FootnoteReference">
    <w:name w:val="footnote reference"/>
    <w:basedOn w:val="DefaultParagraphFont"/>
    <w:uiPriority w:val="99"/>
    <w:semiHidden/>
    <w:unhideWhenUsed/>
    <w:rsid w:val="000275FE"/>
    <w:rPr>
      <w:vertAlign w:val="superscript"/>
    </w:rPr>
  </w:style>
  <w:style w:type="table" w:styleId="MediumGrid2-Accent3">
    <w:name w:val="Medium Grid 2 Accent 3"/>
    <w:basedOn w:val="TableNormal"/>
    <w:uiPriority w:val="68"/>
    <w:rsid w:val="006B641D"/>
    <w:pPr>
      <w:spacing w:after="0" w:line="240" w:lineRule="auto"/>
    </w:pPr>
    <w:rPr>
      <w:rFonts w:asciiTheme="majorHAnsi" w:eastAsiaTheme="majorEastAsia" w:hAnsiTheme="majorHAnsi" w:cstheme="majorBidi"/>
    </w:rPr>
    <w:tblPr>
      <w:tblStyleRowBandSize w:val="1"/>
      <w:tblStyleColBandSize w:val="1"/>
      <w:tblInd w:w="0" w:type="dxa"/>
      <w:tblBorders>
        <w:top w:val="single" w:sz="8" w:space="0" w:color="969696" w:themeColor="accent3"/>
        <w:left w:val="single" w:sz="8" w:space="0" w:color="969696" w:themeColor="accent3"/>
        <w:bottom w:val="single" w:sz="8" w:space="0" w:color="969696" w:themeColor="accent3"/>
        <w:right w:val="single" w:sz="8" w:space="0" w:color="969696" w:themeColor="accent3"/>
        <w:insideH w:val="single" w:sz="8" w:space="0" w:color="969696" w:themeColor="accent3"/>
        <w:insideV w:val="single" w:sz="8" w:space="0" w:color="969696" w:themeColor="accent3"/>
      </w:tblBorders>
      <w:tblCellMar>
        <w:top w:w="0" w:type="dxa"/>
        <w:left w:w="108" w:type="dxa"/>
        <w:bottom w:w="0" w:type="dxa"/>
        <w:right w:w="108" w:type="dxa"/>
      </w:tblCellMar>
    </w:tblPr>
    <w:tcPr>
      <w:shd w:val="clear" w:color="auto" w:fill="E5E5E5" w:themeFill="accent3" w:themeFillTint="3F"/>
    </w:tcPr>
    <w:tblStylePr w:type="firstRow">
      <w:rPr>
        <w:b/>
        <w:bCs/>
        <w:color w:val="000000" w:themeColor="text1"/>
      </w:rPr>
      <w:tblPr/>
      <w:tcPr>
        <w:shd w:val="clear" w:color="auto" w:fill="F4F4F4"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EAEA" w:themeFill="accent3" w:themeFillTint="33"/>
      </w:tcPr>
    </w:tblStylePr>
    <w:tblStylePr w:type="band1Vert">
      <w:tblPr/>
      <w:tcPr>
        <w:shd w:val="clear" w:color="auto" w:fill="CACACA" w:themeFill="accent3" w:themeFillTint="7F"/>
      </w:tcPr>
    </w:tblStylePr>
    <w:tblStylePr w:type="band1Horz">
      <w:tblPr/>
      <w:tcPr>
        <w:tcBorders>
          <w:insideH w:val="single" w:sz="6" w:space="0" w:color="969696" w:themeColor="accent3"/>
          <w:insideV w:val="single" w:sz="6" w:space="0" w:color="969696" w:themeColor="accent3"/>
        </w:tcBorders>
        <w:shd w:val="clear" w:color="auto" w:fill="CACACA" w:themeFill="accent3"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6B641D"/>
    <w:pPr>
      <w:spacing w:after="0" w:line="240" w:lineRule="auto"/>
    </w:pPr>
    <w:rPr>
      <w:rFonts w:asciiTheme="majorHAnsi" w:eastAsiaTheme="majorEastAsia" w:hAnsiTheme="majorHAnsi" w:cstheme="majorBidi"/>
    </w:rPr>
    <w:tblPr>
      <w:tblStyleRowBandSize w:val="1"/>
      <w:tblStyleColBandSize w:val="1"/>
      <w:tblInd w:w="0" w:type="dxa"/>
      <w:tblBorders>
        <w:top w:val="single" w:sz="8" w:space="0" w:color="DDDDDD" w:themeColor="accent1"/>
        <w:left w:val="single" w:sz="8" w:space="0" w:color="DDDDDD" w:themeColor="accent1"/>
        <w:bottom w:val="single" w:sz="8" w:space="0" w:color="DDDDDD" w:themeColor="accent1"/>
        <w:right w:val="single" w:sz="8" w:space="0" w:color="DDDDDD" w:themeColor="accent1"/>
        <w:insideH w:val="single" w:sz="8" w:space="0" w:color="DDDDDD" w:themeColor="accent1"/>
        <w:insideV w:val="single" w:sz="8" w:space="0" w:color="DDDDDD" w:themeColor="accent1"/>
      </w:tblBorders>
      <w:tblCellMar>
        <w:top w:w="0" w:type="dxa"/>
        <w:left w:w="108" w:type="dxa"/>
        <w:bottom w:w="0" w:type="dxa"/>
        <w:right w:w="108" w:type="dxa"/>
      </w:tblCellMar>
    </w:tblPr>
    <w:tcPr>
      <w:shd w:val="clear" w:color="auto" w:fill="F6F6F6" w:themeFill="accent1" w:themeFillTint="3F"/>
    </w:tcPr>
    <w:tblStylePr w:type="firstRow">
      <w:rPr>
        <w:b/>
        <w:bCs/>
        <w:color w:val="000000" w:themeColor="text1"/>
      </w:rPr>
      <w:tblPr/>
      <w:tcPr>
        <w:shd w:val="clear" w:color="auto" w:fill="FBFBFB"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8F8F8" w:themeFill="accent1" w:themeFillTint="33"/>
      </w:tcPr>
    </w:tblStylePr>
    <w:tblStylePr w:type="band1Vert">
      <w:tblPr/>
      <w:tcPr>
        <w:shd w:val="clear" w:color="auto" w:fill="EEEEEE" w:themeFill="accent1" w:themeFillTint="7F"/>
      </w:tcPr>
    </w:tblStylePr>
    <w:tblStylePr w:type="band1Horz">
      <w:tblPr/>
      <w:tcPr>
        <w:tcBorders>
          <w:insideH w:val="single" w:sz="6" w:space="0" w:color="DDDDDD" w:themeColor="accent1"/>
          <w:insideV w:val="single" w:sz="6" w:space="0" w:color="DDDDDD" w:themeColor="accent1"/>
        </w:tcBorders>
        <w:shd w:val="clear" w:color="auto" w:fill="EEEEEE" w:themeFill="accent1" w:themeFillTint="7F"/>
      </w:tcPr>
    </w:tblStylePr>
    <w:tblStylePr w:type="nwCell">
      <w:tblPr/>
      <w:tcPr>
        <w:shd w:val="clear" w:color="auto" w:fill="FFFFFF" w:themeFill="background1"/>
      </w:tcPr>
    </w:tblStylePr>
  </w:style>
  <w:style w:type="table" w:styleId="LightList-Accent2">
    <w:name w:val="Light List Accent 2"/>
    <w:basedOn w:val="TableNormal"/>
    <w:uiPriority w:val="61"/>
    <w:rsid w:val="00A97063"/>
    <w:pPr>
      <w:spacing w:after="0" w:line="240" w:lineRule="auto"/>
    </w:p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B2B2B2" w:themeFill="accent2"/>
      </w:tcPr>
    </w:tblStylePr>
    <w:tblStylePr w:type="lastRow">
      <w:pPr>
        <w:spacing w:before="0" w:after="0" w:line="240" w:lineRule="auto"/>
      </w:pPr>
      <w:rPr>
        <w:b/>
        <w:bCs/>
      </w:rPr>
      <w:tblPr/>
      <w:tcPr>
        <w:tcBorders>
          <w:top w:val="double" w:sz="6" w:space="0" w:color="B2B2B2" w:themeColor="accent2"/>
          <w:left w:val="single" w:sz="8" w:space="0" w:color="B2B2B2" w:themeColor="accent2"/>
          <w:bottom w:val="single" w:sz="8" w:space="0" w:color="B2B2B2" w:themeColor="accent2"/>
          <w:right w:val="single" w:sz="8" w:space="0" w:color="B2B2B2" w:themeColor="accent2"/>
        </w:tcBorders>
      </w:tcPr>
    </w:tblStylePr>
    <w:tblStylePr w:type="firstCol">
      <w:rPr>
        <w:b/>
        <w:bCs/>
      </w:rPr>
    </w:tblStylePr>
    <w:tblStylePr w:type="lastCol">
      <w:rPr>
        <w:b/>
        <w:bCs/>
      </w:rPr>
    </w:tblStylePr>
    <w:tblStylePr w:type="band1Vert">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tblStylePr w:type="band1Horz">
      <w:tblPr/>
      <w:tcPr>
        <w:tcBorders>
          <w:top w:val="single" w:sz="8" w:space="0" w:color="B2B2B2" w:themeColor="accent2"/>
          <w:left w:val="single" w:sz="8" w:space="0" w:color="B2B2B2" w:themeColor="accent2"/>
          <w:bottom w:val="single" w:sz="8" w:space="0" w:color="B2B2B2" w:themeColor="accent2"/>
          <w:right w:val="single" w:sz="8" w:space="0" w:color="B2B2B2" w:themeColor="accent2"/>
        </w:tcBorders>
      </w:tcPr>
    </w:tblStylePr>
  </w:style>
  <w:style w:type="table" w:styleId="MediumShading1-Accent2">
    <w:name w:val="Medium Shading 1 Accent 2"/>
    <w:basedOn w:val="TableNormal"/>
    <w:uiPriority w:val="63"/>
    <w:rsid w:val="00A97063"/>
    <w:pPr>
      <w:spacing w:after="0" w:line="240" w:lineRule="auto"/>
    </w:pPr>
    <w:tblPr>
      <w:tblStyleRowBandSize w:val="1"/>
      <w:tblStyleColBandSize w:val="1"/>
      <w:tblInd w:w="0" w:type="dxa"/>
      <w:tbl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single" w:sz="8" w:space="0" w:color="C5C5C5"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shd w:val="clear" w:color="auto" w:fill="B2B2B2" w:themeFill="accent2"/>
      </w:tcPr>
    </w:tblStylePr>
    <w:tblStylePr w:type="lastRow">
      <w:pPr>
        <w:spacing w:before="0" w:after="0" w:line="240" w:lineRule="auto"/>
      </w:pPr>
      <w:rPr>
        <w:b/>
        <w:bCs/>
      </w:rPr>
      <w:tblPr/>
      <w:tcPr>
        <w:tcBorders>
          <w:top w:val="double" w:sz="6" w:space="0" w:color="C5C5C5" w:themeColor="accent2" w:themeTint="BF"/>
          <w:left w:val="single" w:sz="8" w:space="0" w:color="C5C5C5" w:themeColor="accent2" w:themeTint="BF"/>
          <w:bottom w:val="single" w:sz="8" w:space="0" w:color="C5C5C5" w:themeColor="accent2" w:themeTint="BF"/>
          <w:right w:val="single" w:sz="8" w:space="0" w:color="C5C5C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BEBEB" w:themeFill="accent2" w:themeFillTint="3F"/>
      </w:tcPr>
    </w:tblStylePr>
    <w:tblStylePr w:type="band1Horz">
      <w:tblPr/>
      <w:tcPr>
        <w:tcBorders>
          <w:insideH w:val="nil"/>
          <w:insideV w:val="nil"/>
        </w:tcBorders>
        <w:shd w:val="clear" w:color="auto" w:fill="EBEBEB" w:themeFill="accent2" w:themeFillTint="3F"/>
      </w:tcPr>
    </w:tblStylePr>
    <w:tblStylePr w:type="band2Horz">
      <w:tblPr/>
      <w:tcPr>
        <w:tcBorders>
          <w:insideH w:val="nil"/>
          <w:insideV w:val="nil"/>
        </w:tcBorders>
      </w:tcPr>
    </w:tblStylePr>
  </w:style>
  <w:style w:type="character" w:styleId="Emphasis">
    <w:name w:val="Emphasis"/>
    <w:uiPriority w:val="20"/>
    <w:qFormat/>
    <w:rsid w:val="00ED31D3"/>
    <w:rPr>
      <w:b/>
      <w:i/>
      <w:spacing w:val="10"/>
    </w:rPr>
  </w:style>
  <w:style w:type="paragraph" w:styleId="NoSpacing">
    <w:name w:val="No Spacing"/>
    <w:basedOn w:val="Normal"/>
    <w:link w:val="NoSpacingChar"/>
    <w:uiPriority w:val="1"/>
    <w:qFormat/>
    <w:rsid w:val="00ED31D3"/>
    <w:pPr>
      <w:spacing w:after="0" w:line="240" w:lineRule="auto"/>
    </w:pPr>
  </w:style>
  <w:style w:type="paragraph" w:styleId="Quote">
    <w:name w:val="Quote"/>
    <w:basedOn w:val="Normal"/>
    <w:next w:val="Normal"/>
    <w:link w:val="QuoteChar"/>
    <w:uiPriority w:val="29"/>
    <w:qFormat/>
    <w:rsid w:val="00ED31D3"/>
    <w:rPr>
      <w:i/>
    </w:rPr>
  </w:style>
  <w:style w:type="character" w:customStyle="1" w:styleId="QuoteChar">
    <w:name w:val="Quote Char"/>
    <w:basedOn w:val="DefaultParagraphFont"/>
    <w:link w:val="Quote"/>
    <w:uiPriority w:val="29"/>
    <w:rsid w:val="00ED31D3"/>
    <w:rPr>
      <w:i/>
    </w:rPr>
  </w:style>
  <w:style w:type="character" w:styleId="BookTitle">
    <w:name w:val="Book Title"/>
    <w:uiPriority w:val="33"/>
    <w:qFormat/>
    <w:rsid w:val="00ED31D3"/>
    <w:rPr>
      <w:rFonts w:asciiTheme="majorHAnsi" w:eastAsiaTheme="majorEastAsia" w:hAnsiTheme="majorHAnsi" w:cstheme="majorBidi"/>
      <w:i/>
      <w:iCs/>
      <w:sz w:val="20"/>
      <w:szCs w:val="20"/>
    </w:rPr>
  </w:style>
  <w:style w:type="paragraph" w:styleId="TOC4">
    <w:name w:val="toc 4"/>
    <w:basedOn w:val="Normal"/>
    <w:next w:val="Normal"/>
    <w:autoRedefine/>
    <w:uiPriority w:val="39"/>
    <w:rsid w:val="00432023"/>
    <w:pPr>
      <w:spacing w:after="100" w:line="240" w:lineRule="auto"/>
      <w:ind w:left="720"/>
    </w:pPr>
    <w:rPr>
      <w:rFonts w:ascii="Times New Roman" w:eastAsia="Times New Roman" w:hAnsi="Times New Roman" w:cs="Times New Roman"/>
      <w:sz w:val="24"/>
      <w:szCs w:val="24"/>
      <w:lang w:val="nl-NL" w:eastAsia="nl-NL" w:bidi="ar-SA"/>
    </w:rPr>
  </w:style>
  <w:style w:type="table" w:styleId="TableContemporary">
    <w:name w:val="Table Contemporary"/>
    <w:basedOn w:val="TableNormal"/>
    <w:rsid w:val="00432023"/>
    <w:pPr>
      <w:spacing w:after="0" w:line="240" w:lineRule="auto"/>
    </w:pPr>
    <w:rPr>
      <w:rFonts w:ascii="Times New Roman" w:eastAsia="Times New Roman" w:hAnsi="Times New Roman" w:cs="Times New Roman"/>
      <w:lang w:bidi="ar-SA"/>
    </w:rPr>
    <w:tblPr>
      <w:tblStyleRowBandSize w:val="1"/>
      <w:tblInd w:w="0" w:type="dxa"/>
      <w:tblBorders>
        <w:insideH w:val="single" w:sz="18" w:space="0" w:color="FFFFFF"/>
        <w:insideV w:val="single" w:sz="18" w:space="0" w:color="FFFFFF"/>
      </w:tblBorders>
      <w:tblCellMar>
        <w:top w:w="0" w:type="dxa"/>
        <w:left w:w="108" w:type="dxa"/>
        <w:bottom w:w="0" w:type="dxa"/>
        <w:right w:w="108" w:type="dxa"/>
      </w:tblCellMar>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Classic2">
    <w:name w:val="Table Classic 2"/>
    <w:basedOn w:val="TableNormal"/>
    <w:rsid w:val="00432023"/>
    <w:pPr>
      <w:spacing w:after="0" w:line="240" w:lineRule="auto"/>
    </w:pPr>
    <w:rPr>
      <w:rFonts w:ascii="Times New Roman" w:eastAsia="Times New Roman" w:hAnsi="Times New Roman" w:cs="Times New Roman"/>
      <w:lang w:bidi="ar-SA"/>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List5">
    <w:name w:val="Table List 5"/>
    <w:basedOn w:val="TableNormal"/>
    <w:rsid w:val="00432023"/>
    <w:pPr>
      <w:spacing w:after="0" w:line="240" w:lineRule="auto"/>
    </w:pPr>
    <w:rPr>
      <w:rFonts w:ascii="Times New Roman" w:eastAsia="Times New Roman" w:hAnsi="Times New Roman" w:cs="Times New Roman"/>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MediumShading2-Accent2">
    <w:name w:val="Medium Shading 2 Accent 2"/>
    <w:basedOn w:val="TableNormal"/>
    <w:uiPriority w:val="64"/>
    <w:rsid w:val="00432023"/>
    <w:pPr>
      <w:spacing w:after="0" w:line="240" w:lineRule="auto"/>
    </w:pPr>
    <w:rPr>
      <w:rFonts w:ascii="Times New Roman" w:eastAsia="Times New Roman" w:hAnsi="Times New Roman" w:cs="Times New Roman"/>
      <w:lang w:bidi="ar-SA"/>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B2B2B2"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B2B2B2" w:themeFill="accent2"/>
      </w:tcPr>
    </w:tblStylePr>
    <w:tblStylePr w:type="lastCol">
      <w:rPr>
        <w:b/>
        <w:bCs/>
        <w:color w:val="FFFFFF" w:themeColor="background1"/>
      </w:rPr>
      <w:tblPr/>
      <w:tcPr>
        <w:tcBorders>
          <w:left w:val="nil"/>
          <w:right w:val="nil"/>
          <w:insideH w:val="nil"/>
          <w:insideV w:val="nil"/>
        </w:tcBorders>
        <w:shd w:val="clear" w:color="auto" w:fill="B2B2B2"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customStyle="1" w:styleId="LightShading2">
    <w:name w:val="Light Shading2"/>
    <w:basedOn w:val="TableNormal"/>
    <w:uiPriority w:val="60"/>
    <w:rsid w:val="00432023"/>
    <w:pPr>
      <w:spacing w:after="0" w:line="240" w:lineRule="auto"/>
    </w:pPr>
    <w:rPr>
      <w:rFonts w:ascii="Times New Roman" w:eastAsia="Times New Roman" w:hAnsi="Times New Roman" w:cs="Times New Roman"/>
      <w:color w:val="000000" w:themeColor="text1" w:themeShade="BF"/>
      <w:lang w:bidi="ar-SA"/>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2-Accent2">
    <w:name w:val="Medium List 2 Accent 2"/>
    <w:basedOn w:val="TableNormal"/>
    <w:uiPriority w:val="66"/>
    <w:rsid w:val="00432023"/>
    <w:pPr>
      <w:spacing w:after="0" w:line="240" w:lineRule="auto"/>
    </w:pPr>
    <w:rPr>
      <w:rFonts w:asciiTheme="majorHAnsi" w:eastAsiaTheme="majorEastAsia" w:hAnsiTheme="majorHAnsi" w:cstheme="majorBidi"/>
      <w:color w:val="000000" w:themeColor="text1"/>
      <w:lang w:bidi="ar-SA"/>
    </w:rPr>
    <w:tblPr>
      <w:tblStyleRowBandSize w:val="1"/>
      <w:tblStyleColBandSize w:val="1"/>
      <w:tblInd w:w="0" w:type="dxa"/>
      <w:tblBorders>
        <w:top w:val="single" w:sz="8" w:space="0" w:color="B2B2B2" w:themeColor="accent2"/>
        <w:left w:val="single" w:sz="8" w:space="0" w:color="B2B2B2" w:themeColor="accent2"/>
        <w:bottom w:val="single" w:sz="8" w:space="0" w:color="B2B2B2" w:themeColor="accent2"/>
        <w:right w:val="single" w:sz="8" w:space="0" w:color="B2B2B2"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tblPr/>
      <w:tcPr>
        <w:tcBorders>
          <w:top w:val="single" w:sz="8" w:space="0" w:color="B2B2B2"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B2B2B2" w:themeColor="accent2"/>
          <w:insideH w:val="nil"/>
          <w:insideV w:val="nil"/>
        </w:tcBorders>
        <w:shd w:val="clear" w:color="auto" w:fill="FFFFFF" w:themeFill="background1"/>
      </w:tcPr>
    </w:tblStylePr>
    <w:tblStylePr w:type="lastCol">
      <w:tblPr/>
      <w:tcPr>
        <w:tcBorders>
          <w:top w:val="nil"/>
          <w:left w:val="single" w:sz="8" w:space="0" w:color="B2B2B2"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BEBEB" w:themeFill="accent2" w:themeFillTint="3F"/>
      </w:tcPr>
    </w:tblStylePr>
    <w:tblStylePr w:type="band1Horz">
      <w:tblPr/>
      <w:tcPr>
        <w:tcBorders>
          <w:top w:val="nil"/>
          <w:bottom w:val="nil"/>
          <w:insideH w:val="nil"/>
          <w:insideV w:val="nil"/>
        </w:tcBorders>
        <w:shd w:val="clear" w:color="auto" w:fill="EBEBE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ColorfulList-Accent6">
    <w:name w:val="Colorful List Accent 6"/>
    <w:basedOn w:val="TableNormal"/>
    <w:uiPriority w:val="72"/>
    <w:rsid w:val="00432023"/>
    <w:pPr>
      <w:spacing w:after="0" w:line="240" w:lineRule="auto"/>
    </w:pPr>
    <w:rPr>
      <w:rFonts w:ascii="Times New Roman" w:eastAsia="Times New Roman" w:hAnsi="Times New Roman" w:cs="Times New Roman"/>
      <w:color w:val="000000" w:themeColor="text1"/>
      <w:lang w:bidi="ar-SA"/>
    </w:rPr>
    <w:tblPr>
      <w:tblStyleRowBandSize w:val="1"/>
      <w:tblStyleColBandSize w:val="1"/>
      <w:tblInd w:w="0" w:type="dxa"/>
      <w:tblCellMar>
        <w:top w:w="0" w:type="dxa"/>
        <w:left w:w="108" w:type="dxa"/>
        <w:bottom w:w="0" w:type="dxa"/>
        <w:right w:w="108" w:type="dxa"/>
      </w:tblCellMar>
    </w:tblPr>
    <w:tcPr>
      <w:shd w:val="clear" w:color="auto" w:fill="EDEDED" w:themeFill="accent6" w:themeFillTint="19"/>
    </w:tcPr>
    <w:tblStylePr w:type="firstRow">
      <w:rPr>
        <w:b/>
        <w:bCs/>
        <w:color w:val="FFFFFF" w:themeColor="background1"/>
      </w:rPr>
      <w:tblPr/>
      <w:tcPr>
        <w:tcBorders>
          <w:bottom w:val="single" w:sz="12" w:space="0" w:color="FFFFFF" w:themeColor="background1"/>
        </w:tcBorders>
        <w:shd w:val="clear" w:color="auto" w:fill="4C4C4C" w:themeFill="accent5" w:themeFillShade="CC"/>
      </w:tcPr>
    </w:tblStylePr>
    <w:tblStylePr w:type="lastRow">
      <w:rPr>
        <w:b/>
        <w:bCs/>
        <w:color w:val="4C4C4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3D3" w:themeFill="accent6" w:themeFillTint="3F"/>
      </w:tcPr>
    </w:tblStylePr>
    <w:tblStylePr w:type="band1Horz">
      <w:tblPr/>
      <w:tcPr>
        <w:shd w:val="clear" w:color="auto" w:fill="DBDBDB" w:themeFill="accent6" w:themeFillTint="33"/>
      </w:tcPr>
    </w:tblStylePr>
  </w:style>
  <w:style w:type="table" w:styleId="ColorfulShading-Accent2">
    <w:name w:val="Colorful Shading Accent 2"/>
    <w:basedOn w:val="TableNormal"/>
    <w:uiPriority w:val="71"/>
    <w:rsid w:val="00432023"/>
    <w:pPr>
      <w:spacing w:after="0" w:line="240" w:lineRule="auto"/>
    </w:pPr>
    <w:rPr>
      <w:rFonts w:ascii="Times New Roman" w:eastAsia="Times New Roman" w:hAnsi="Times New Roman" w:cs="Times New Roman"/>
      <w:color w:val="000000" w:themeColor="text1"/>
      <w:lang w:bidi="ar-SA"/>
    </w:rPr>
    <w:tblPr>
      <w:tblStyleRowBandSize w:val="1"/>
      <w:tblStyleColBandSize w:val="1"/>
      <w:tblInd w:w="0" w:type="dxa"/>
      <w:tblBorders>
        <w:top w:val="single" w:sz="24" w:space="0" w:color="B2B2B2" w:themeColor="accent2"/>
        <w:left w:val="single" w:sz="4" w:space="0" w:color="B2B2B2" w:themeColor="accent2"/>
        <w:bottom w:val="single" w:sz="4" w:space="0" w:color="B2B2B2" w:themeColor="accent2"/>
        <w:right w:val="single" w:sz="4" w:space="0" w:color="B2B2B2"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7F7F7" w:themeFill="accent2" w:themeFillTint="19"/>
    </w:tcPr>
    <w:tblStylePr w:type="firstRow">
      <w:rPr>
        <w:b/>
        <w:bCs/>
      </w:rPr>
      <w:tblPr/>
      <w:tcPr>
        <w:tcBorders>
          <w:top w:val="nil"/>
          <w:left w:val="nil"/>
          <w:bottom w:val="single" w:sz="24" w:space="0" w:color="B2B2B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A6A6A" w:themeFill="accent2" w:themeFillShade="99"/>
      </w:tcPr>
    </w:tblStylePr>
    <w:tblStylePr w:type="firstCol">
      <w:rPr>
        <w:color w:val="FFFFFF" w:themeColor="background1"/>
      </w:rPr>
      <w:tblPr/>
      <w:tcPr>
        <w:tcBorders>
          <w:top w:val="nil"/>
          <w:left w:val="nil"/>
          <w:bottom w:val="nil"/>
          <w:right w:val="nil"/>
          <w:insideH w:val="single" w:sz="4" w:space="0" w:color="6A6A6A" w:themeColor="accent2" w:themeShade="99"/>
          <w:insideV w:val="nil"/>
        </w:tcBorders>
        <w:shd w:val="clear" w:color="auto" w:fill="6A6A6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6A6A6A" w:themeFill="accent2" w:themeFillShade="99"/>
      </w:tcPr>
    </w:tblStylePr>
    <w:tblStylePr w:type="band1Vert">
      <w:tblPr/>
      <w:tcPr>
        <w:shd w:val="clear" w:color="auto" w:fill="E0E0E0" w:themeFill="accent2" w:themeFillTint="66"/>
      </w:tcPr>
    </w:tblStylePr>
    <w:tblStylePr w:type="band1Horz">
      <w:tblPr/>
      <w:tcPr>
        <w:shd w:val="clear" w:color="auto" w:fill="D8D8D8" w:themeFill="accent2" w:themeFillTint="7F"/>
      </w:tcPr>
    </w:tblStylePr>
    <w:tblStylePr w:type="neCell">
      <w:rPr>
        <w:color w:val="000000" w:themeColor="text1"/>
      </w:rPr>
    </w:tblStylePr>
    <w:tblStylePr w:type="nwCell">
      <w:rPr>
        <w:color w:val="000000" w:themeColor="text1"/>
      </w:rPr>
    </w:tblStylePr>
  </w:style>
  <w:style w:type="table" w:styleId="MediumGrid3-Accent2">
    <w:name w:val="Medium Grid 3 Accent 2"/>
    <w:basedOn w:val="TableNormal"/>
    <w:uiPriority w:val="69"/>
    <w:rsid w:val="00432023"/>
    <w:pPr>
      <w:spacing w:after="0" w:line="240" w:lineRule="auto"/>
    </w:pPr>
    <w:rPr>
      <w:rFonts w:ascii="Times New Roman" w:eastAsia="Times New Roman" w:hAnsi="Times New Roman" w:cs="Times New Roman"/>
      <w:lang w:bidi="ar-SA"/>
    </w:r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table" w:styleId="TableWeb3">
    <w:name w:val="Table Web 3"/>
    <w:basedOn w:val="TableNormal"/>
    <w:rsid w:val="00432023"/>
    <w:pPr>
      <w:spacing w:after="0" w:line="240" w:lineRule="auto"/>
    </w:pPr>
    <w:rPr>
      <w:rFonts w:ascii="Times New Roman" w:eastAsia="Times New Roman" w:hAnsi="Times New Roman" w:cs="Times New Roman"/>
      <w:lang w:bidi="ar-SA"/>
    </w:rPr>
    <w:tblPr>
      <w:tblCellSpacing w:w="20" w:type="dxa"/>
      <w:tblInd w:w="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432023"/>
    <w:pPr>
      <w:spacing w:after="0" w:line="240" w:lineRule="auto"/>
    </w:pPr>
    <w:rPr>
      <w:rFonts w:ascii="Times New Roman" w:eastAsia="Times New Roman" w:hAnsi="Times New Roman" w:cs="Times New Roman"/>
      <w:lang w:bidi="ar-SA"/>
    </w:rPr>
    <w:tblPr>
      <w:tblCellSpacing w:w="20" w:type="dxa"/>
      <w:tblInd w:w="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Simple2">
    <w:name w:val="Table Simple 2"/>
    <w:basedOn w:val="TableNormal"/>
    <w:rsid w:val="00432023"/>
    <w:pPr>
      <w:spacing w:after="0" w:line="240" w:lineRule="auto"/>
    </w:pPr>
    <w:rPr>
      <w:rFonts w:ascii="Times New Roman" w:eastAsia="Times New Roman" w:hAnsi="Times New Roman" w:cs="Times New Roman"/>
      <w:lang w:bidi="ar-SA"/>
    </w:rPr>
    <w:tblPr>
      <w:tblInd w:w="0" w:type="dxa"/>
      <w:tblCellMar>
        <w:top w:w="0" w:type="dxa"/>
        <w:left w:w="108" w:type="dxa"/>
        <w:bottom w:w="0" w:type="dxa"/>
        <w:right w:w="108" w:type="dxa"/>
      </w:tblCellMa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1">
    <w:name w:val="Table Simple 1"/>
    <w:basedOn w:val="TableNormal"/>
    <w:rsid w:val="00432023"/>
    <w:pPr>
      <w:spacing w:after="0" w:line="240" w:lineRule="auto"/>
    </w:pPr>
    <w:rPr>
      <w:rFonts w:ascii="Times New Roman" w:eastAsia="Times New Roman" w:hAnsi="Times New Roman" w:cs="Times New Roman"/>
      <w:lang w:bidi="ar-SA"/>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Theme">
    <w:name w:val="Table Theme"/>
    <w:basedOn w:val="TableNormal"/>
    <w:rsid w:val="00432023"/>
    <w:pPr>
      <w:spacing w:after="0" w:line="240" w:lineRule="auto"/>
    </w:pPr>
    <w:rPr>
      <w:rFonts w:ascii="Times New Roman" w:eastAsia="Times New Roman" w:hAnsi="Times New Roman" w:cs="Times New Roman"/>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NoSpacingChar">
    <w:name w:val="No Spacing Char"/>
    <w:basedOn w:val="DefaultParagraphFont"/>
    <w:link w:val="NoSpacing"/>
    <w:uiPriority w:val="1"/>
    <w:rsid w:val="00ED31D3"/>
  </w:style>
  <w:style w:type="table" w:customStyle="1" w:styleId="LightShading-Accent11">
    <w:name w:val="Light Shading - Accent 11"/>
    <w:basedOn w:val="TableNormal"/>
    <w:uiPriority w:val="60"/>
    <w:rsid w:val="00B65702"/>
    <w:pPr>
      <w:spacing w:after="0" w:line="240" w:lineRule="auto"/>
      <w:jc w:val="left"/>
    </w:pPr>
    <w:rPr>
      <w:color w:val="A5A5A5" w:themeColor="accent1" w:themeShade="BF"/>
      <w:sz w:val="22"/>
      <w:szCs w:val="22"/>
    </w:rPr>
    <w:tblPr>
      <w:tblStyleRowBandSize w:val="1"/>
      <w:tblStyleColBandSize w:val="1"/>
      <w:tblInd w:w="0" w:type="dxa"/>
      <w:tblBorders>
        <w:top w:val="single" w:sz="8" w:space="0" w:color="DDDDDD" w:themeColor="accent1"/>
        <w:bottom w:val="single" w:sz="8" w:space="0" w:color="DDDDD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lastRow">
      <w:pPr>
        <w:spacing w:before="0" w:after="0" w:line="240" w:lineRule="auto"/>
      </w:pPr>
      <w:rPr>
        <w:b/>
        <w:bCs/>
      </w:rPr>
      <w:tblPr/>
      <w:tcPr>
        <w:tcBorders>
          <w:top w:val="single" w:sz="8" w:space="0" w:color="DDDDDD" w:themeColor="accent1"/>
          <w:left w:val="nil"/>
          <w:bottom w:val="single" w:sz="8" w:space="0" w:color="DDDDD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6F6F6" w:themeFill="accent1" w:themeFillTint="3F"/>
      </w:tcPr>
    </w:tblStylePr>
    <w:tblStylePr w:type="band1Horz">
      <w:tblPr/>
      <w:tcPr>
        <w:tcBorders>
          <w:left w:val="nil"/>
          <w:right w:val="nil"/>
          <w:insideH w:val="nil"/>
          <w:insideV w:val="nil"/>
        </w:tcBorders>
        <w:shd w:val="clear" w:color="auto" w:fill="F6F6F6" w:themeFill="accent1" w:themeFillTint="3F"/>
      </w:tcPr>
    </w:tblStylePr>
  </w:style>
  <w:style w:type="paragraph" w:styleId="TOC1">
    <w:name w:val="toc 1"/>
    <w:basedOn w:val="Normal"/>
    <w:next w:val="Normal"/>
    <w:autoRedefine/>
    <w:uiPriority w:val="39"/>
    <w:unhideWhenUsed/>
    <w:qFormat/>
    <w:rsid w:val="00B77A1E"/>
    <w:pPr>
      <w:spacing w:after="100"/>
    </w:pPr>
  </w:style>
  <w:style w:type="paragraph" w:styleId="TOC2">
    <w:name w:val="toc 2"/>
    <w:basedOn w:val="Normal"/>
    <w:next w:val="Normal"/>
    <w:autoRedefine/>
    <w:uiPriority w:val="39"/>
    <w:unhideWhenUsed/>
    <w:qFormat/>
    <w:rsid w:val="00B77A1E"/>
    <w:pPr>
      <w:spacing w:after="100"/>
      <w:ind w:left="220"/>
      <w:jc w:val="left"/>
    </w:pPr>
    <w:rPr>
      <w:sz w:val="22"/>
      <w:szCs w:val="22"/>
      <w:lang w:bidi="ar-SA"/>
    </w:rPr>
  </w:style>
  <w:style w:type="paragraph" w:styleId="TOC3">
    <w:name w:val="toc 3"/>
    <w:basedOn w:val="Normal"/>
    <w:next w:val="Normal"/>
    <w:autoRedefine/>
    <w:uiPriority w:val="39"/>
    <w:unhideWhenUsed/>
    <w:qFormat/>
    <w:rsid w:val="00B77A1E"/>
    <w:pPr>
      <w:spacing w:after="100"/>
      <w:ind w:left="440"/>
      <w:jc w:val="left"/>
    </w:pPr>
    <w:rPr>
      <w:sz w:val="22"/>
      <w:szCs w:val="22"/>
      <w:lang w:bidi="ar-SA"/>
    </w:rPr>
  </w:style>
  <w:style w:type="paragraph" w:customStyle="1" w:styleId="Style1">
    <w:name w:val="Style1"/>
    <w:basedOn w:val="Heading4"/>
    <w:link w:val="Style1Char"/>
    <w:qFormat/>
    <w:rsid w:val="00161E70"/>
    <w:rPr>
      <w:rFonts w:ascii="Calibri" w:eastAsia="Times New Roman" w:hAnsi="Calibri" w:cs="Times New Roman"/>
      <w:lang w:bidi="ar-SA"/>
    </w:rPr>
  </w:style>
  <w:style w:type="character" w:customStyle="1" w:styleId="Style1Char">
    <w:name w:val="Style1 Char"/>
    <w:basedOn w:val="Heading4Char"/>
    <w:link w:val="Style1"/>
    <w:rsid w:val="00161E70"/>
    <w:rPr>
      <w:rFonts w:ascii="Calibri" w:eastAsia="Times New Roman" w:hAnsi="Calibri" w:cs="Times New Roman"/>
      <w:smallCaps/>
      <w:lang w:bidi="ar-SA"/>
    </w:rPr>
  </w:style>
  <w:style w:type="character" w:styleId="PlaceholderText">
    <w:name w:val="Placeholder Text"/>
    <w:basedOn w:val="DefaultParagraphFont"/>
    <w:uiPriority w:val="99"/>
    <w:semiHidden/>
    <w:rsid w:val="00A02098"/>
    <w:rPr>
      <w:color w:val="808080"/>
    </w:rPr>
  </w:style>
  <w:style w:type="paragraph" w:styleId="NormalWeb">
    <w:name w:val="Normal (Web)"/>
    <w:basedOn w:val="Normal"/>
    <w:rsid w:val="00AD37E0"/>
    <w:pPr>
      <w:spacing w:before="100" w:beforeAutospacing="1" w:after="100" w:afterAutospacing="1" w:line="240" w:lineRule="auto"/>
      <w:jc w:val="left"/>
    </w:pPr>
    <w:rPr>
      <w:rFonts w:ascii="Times New Roman" w:eastAsia="Times New Roman" w:hAnsi="Times New Roman" w:cs="Times New Roman"/>
      <w:sz w:val="24"/>
      <w:szCs w:val="24"/>
      <w:lang w:bidi="ar-SA"/>
    </w:rPr>
  </w:style>
  <w:style w:type="character" w:customStyle="1" w:styleId="underline">
    <w:name w:val="underline"/>
    <w:basedOn w:val="DefaultParagraphFont"/>
    <w:rsid w:val="00A9551C"/>
    <w:rPr>
      <w:caps/>
      <w:u w:val="single"/>
    </w:rPr>
  </w:style>
  <w:style w:type="character" w:customStyle="1" w:styleId="title0">
    <w:name w:val="title"/>
    <w:basedOn w:val="DefaultParagraphFont"/>
    <w:rsid w:val="00A65B4B"/>
  </w:style>
  <w:style w:type="character" w:customStyle="1" w:styleId="mediatitle1">
    <w:name w:val="media_title1"/>
    <w:basedOn w:val="DefaultParagraphFont"/>
    <w:rsid w:val="00A65B4B"/>
    <w:rPr>
      <w:i/>
      <w:iCs/>
    </w:rPr>
  </w:style>
  <w:style w:type="table" w:styleId="LightShading-Accent4">
    <w:name w:val="Light Shading Accent 4"/>
    <w:basedOn w:val="TableNormal"/>
    <w:uiPriority w:val="60"/>
    <w:rsid w:val="00432767"/>
    <w:pPr>
      <w:spacing w:after="0" w:line="240" w:lineRule="auto"/>
    </w:pPr>
    <w:rPr>
      <w:color w:val="5F5F5F" w:themeColor="accent4" w:themeShade="BF"/>
    </w:rPr>
    <w:tblPr>
      <w:tblStyleRowBandSize w:val="1"/>
      <w:tblStyleColBandSize w:val="1"/>
      <w:tblInd w:w="0" w:type="dxa"/>
      <w:tblBorders>
        <w:top w:val="single" w:sz="8" w:space="0" w:color="808080" w:themeColor="accent4"/>
        <w:bottom w:val="single" w:sz="8" w:space="0" w:color="808080"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lastRow">
      <w:pPr>
        <w:spacing w:before="0" w:after="0" w:line="240" w:lineRule="auto"/>
      </w:pPr>
      <w:rPr>
        <w:b/>
        <w:bCs/>
      </w:rPr>
      <w:tblPr/>
      <w:tcPr>
        <w:tcBorders>
          <w:top w:val="single" w:sz="8" w:space="0" w:color="808080" w:themeColor="accent4"/>
          <w:left w:val="nil"/>
          <w:bottom w:val="single" w:sz="8" w:space="0" w:color="80808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FDF" w:themeFill="accent4" w:themeFillTint="3F"/>
      </w:tcPr>
    </w:tblStylePr>
    <w:tblStylePr w:type="band1Horz">
      <w:tblPr/>
      <w:tcPr>
        <w:tcBorders>
          <w:left w:val="nil"/>
          <w:right w:val="nil"/>
          <w:insideH w:val="nil"/>
          <w:insideV w:val="nil"/>
        </w:tcBorders>
        <w:shd w:val="clear" w:color="auto" w:fill="DFDFDF" w:themeFill="accent4" w:themeFillTint="3F"/>
      </w:tcPr>
    </w:tblStylePr>
  </w:style>
  <w:style w:type="paragraph" w:styleId="TOC5">
    <w:name w:val="toc 5"/>
    <w:basedOn w:val="Normal"/>
    <w:next w:val="Normal"/>
    <w:autoRedefine/>
    <w:uiPriority w:val="39"/>
    <w:unhideWhenUsed/>
    <w:rsid w:val="002A44CA"/>
    <w:pPr>
      <w:spacing w:after="100"/>
      <w:ind w:left="880"/>
      <w:jc w:val="left"/>
    </w:pPr>
    <w:rPr>
      <w:sz w:val="22"/>
      <w:szCs w:val="22"/>
      <w:lang w:bidi="ar-SA"/>
    </w:rPr>
  </w:style>
  <w:style w:type="paragraph" w:styleId="TOC6">
    <w:name w:val="toc 6"/>
    <w:basedOn w:val="Normal"/>
    <w:next w:val="Normal"/>
    <w:autoRedefine/>
    <w:uiPriority w:val="39"/>
    <w:unhideWhenUsed/>
    <w:rsid w:val="002A44CA"/>
    <w:pPr>
      <w:spacing w:after="100"/>
      <w:ind w:left="1100"/>
      <w:jc w:val="left"/>
    </w:pPr>
    <w:rPr>
      <w:sz w:val="22"/>
      <w:szCs w:val="22"/>
      <w:lang w:bidi="ar-SA"/>
    </w:rPr>
  </w:style>
  <w:style w:type="paragraph" w:styleId="TOC7">
    <w:name w:val="toc 7"/>
    <w:basedOn w:val="Normal"/>
    <w:next w:val="Normal"/>
    <w:autoRedefine/>
    <w:uiPriority w:val="39"/>
    <w:unhideWhenUsed/>
    <w:rsid w:val="002A44CA"/>
    <w:pPr>
      <w:spacing w:after="100"/>
      <w:ind w:left="1320"/>
      <w:jc w:val="left"/>
    </w:pPr>
    <w:rPr>
      <w:sz w:val="22"/>
      <w:szCs w:val="22"/>
      <w:lang w:bidi="ar-SA"/>
    </w:rPr>
  </w:style>
  <w:style w:type="paragraph" w:styleId="TOC8">
    <w:name w:val="toc 8"/>
    <w:basedOn w:val="Normal"/>
    <w:next w:val="Normal"/>
    <w:autoRedefine/>
    <w:uiPriority w:val="39"/>
    <w:unhideWhenUsed/>
    <w:rsid w:val="002A44CA"/>
    <w:pPr>
      <w:spacing w:after="100"/>
      <w:ind w:left="1540"/>
      <w:jc w:val="left"/>
    </w:pPr>
    <w:rPr>
      <w:sz w:val="22"/>
      <w:szCs w:val="22"/>
      <w:lang w:bidi="ar-SA"/>
    </w:rPr>
  </w:style>
  <w:style w:type="paragraph" w:styleId="TOC9">
    <w:name w:val="toc 9"/>
    <w:basedOn w:val="Normal"/>
    <w:next w:val="Normal"/>
    <w:autoRedefine/>
    <w:uiPriority w:val="39"/>
    <w:unhideWhenUsed/>
    <w:rsid w:val="002A44CA"/>
    <w:pPr>
      <w:spacing w:after="100"/>
      <w:ind w:left="1760"/>
      <w:jc w:val="left"/>
    </w:pPr>
    <w:rPr>
      <w:sz w:val="22"/>
      <w:szCs w:val="22"/>
      <w:lang w:bidi="ar-SA"/>
    </w:rPr>
  </w:style>
</w:styles>
</file>

<file path=word/webSettings.xml><?xml version="1.0" encoding="utf-8"?>
<w:webSettings xmlns:r="http://schemas.openxmlformats.org/officeDocument/2006/relationships" xmlns:w="http://schemas.openxmlformats.org/wordprocessingml/2006/main">
  <w:divs>
    <w:div w:id="193344333">
      <w:bodyDiv w:val="1"/>
      <w:marLeft w:val="0"/>
      <w:marRight w:val="0"/>
      <w:marTop w:val="0"/>
      <w:marBottom w:val="0"/>
      <w:divBdr>
        <w:top w:val="none" w:sz="0" w:space="0" w:color="auto"/>
        <w:left w:val="none" w:sz="0" w:space="0" w:color="auto"/>
        <w:bottom w:val="none" w:sz="0" w:space="0" w:color="auto"/>
        <w:right w:val="none" w:sz="0" w:space="0" w:color="auto"/>
      </w:divBdr>
      <w:divsChild>
        <w:div w:id="216673423">
          <w:marLeft w:val="0"/>
          <w:marRight w:val="0"/>
          <w:marTop w:val="0"/>
          <w:marBottom w:val="0"/>
          <w:divBdr>
            <w:top w:val="none" w:sz="0" w:space="0" w:color="auto"/>
            <w:left w:val="none" w:sz="0" w:space="0" w:color="auto"/>
            <w:bottom w:val="none" w:sz="0" w:space="0" w:color="auto"/>
            <w:right w:val="none" w:sz="0" w:space="0" w:color="auto"/>
          </w:divBdr>
          <w:divsChild>
            <w:div w:id="953437203">
              <w:marLeft w:val="0"/>
              <w:marRight w:val="0"/>
              <w:marTop w:val="0"/>
              <w:marBottom w:val="0"/>
              <w:divBdr>
                <w:top w:val="none" w:sz="0" w:space="0" w:color="auto"/>
                <w:left w:val="none" w:sz="0" w:space="0" w:color="auto"/>
                <w:bottom w:val="none" w:sz="0" w:space="0" w:color="auto"/>
                <w:right w:val="none" w:sz="0" w:space="0" w:color="auto"/>
              </w:divBdr>
              <w:divsChild>
                <w:div w:id="1351837901">
                  <w:marLeft w:val="0"/>
                  <w:marRight w:val="0"/>
                  <w:marTop w:val="0"/>
                  <w:marBottom w:val="0"/>
                  <w:divBdr>
                    <w:top w:val="none" w:sz="0" w:space="0" w:color="auto"/>
                    <w:left w:val="none" w:sz="0" w:space="0" w:color="auto"/>
                    <w:bottom w:val="none" w:sz="0" w:space="0" w:color="auto"/>
                    <w:right w:val="none" w:sz="0" w:space="0" w:color="auto"/>
                  </w:divBdr>
                  <w:divsChild>
                    <w:div w:id="1224945256">
                      <w:marLeft w:val="0"/>
                      <w:marRight w:val="0"/>
                      <w:marTop w:val="0"/>
                      <w:marBottom w:val="0"/>
                      <w:divBdr>
                        <w:top w:val="none" w:sz="0" w:space="0" w:color="auto"/>
                        <w:left w:val="none" w:sz="0" w:space="0" w:color="auto"/>
                        <w:bottom w:val="none" w:sz="0" w:space="0" w:color="auto"/>
                        <w:right w:val="none" w:sz="0" w:space="0" w:color="auto"/>
                      </w:divBdr>
                      <w:divsChild>
                        <w:div w:id="1395197154">
                          <w:marLeft w:val="0"/>
                          <w:marRight w:val="0"/>
                          <w:marTop w:val="0"/>
                          <w:marBottom w:val="0"/>
                          <w:divBdr>
                            <w:top w:val="none" w:sz="0" w:space="0" w:color="auto"/>
                            <w:left w:val="none" w:sz="0" w:space="0" w:color="auto"/>
                            <w:bottom w:val="none" w:sz="0" w:space="0" w:color="auto"/>
                            <w:right w:val="none" w:sz="0" w:space="0" w:color="auto"/>
                          </w:divBdr>
                          <w:divsChild>
                            <w:div w:id="2320013">
                              <w:marLeft w:val="0"/>
                              <w:marRight w:val="0"/>
                              <w:marTop w:val="0"/>
                              <w:marBottom w:val="0"/>
                              <w:divBdr>
                                <w:top w:val="none" w:sz="0" w:space="0" w:color="auto"/>
                                <w:left w:val="none" w:sz="0" w:space="0" w:color="auto"/>
                                <w:bottom w:val="none" w:sz="0" w:space="0" w:color="auto"/>
                                <w:right w:val="none" w:sz="0" w:space="0" w:color="auto"/>
                              </w:divBdr>
                              <w:divsChild>
                                <w:div w:id="1774276013">
                                  <w:marLeft w:val="0"/>
                                  <w:marRight w:val="0"/>
                                  <w:marTop w:val="0"/>
                                  <w:marBottom w:val="0"/>
                                  <w:divBdr>
                                    <w:top w:val="none" w:sz="0" w:space="0" w:color="auto"/>
                                    <w:left w:val="none" w:sz="0" w:space="0" w:color="auto"/>
                                    <w:bottom w:val="none" w:sz="0" w:space="0" w:color="auto"/>
                                    <w:right w:val="none" w:sz="0" w:space="0" w:color="auto"/>
                                  </w:divBdr>
                                  <w:divsChild>
                                    <w:div w:id="68979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04816510">
      <w:bodyDiv w:val="1"/>
      <w:marLeft w:val="0"/>
      <w:marRight w:val="0"/>
      <w:marTop w:val="0"/>
      <w:marBottom w:val="0"/>
      <w:divBdr>
        <w:top w:val="none" w:sz="0" w:space="0" w:color="auto"/>
        <w:left w:val="none" w:sz="0" w:space="0" w:color="auto"/>
        <w:bottom w:val="none" w:sz="0" w:space="0" w:color="auto"/>
        <w:right w:val="none" w:sz="0" w:space="0" w:color="auto"/>
      </w:divBdr>
      <w:divsChild>
        <w:div w:id="1998918908">
          <w:marLeft w:val="0"/>
          <w:marRight w:val="0"/>
          <w:marTop w:val="0"/>
          <w:marBottom w:val="0"/>
          <w:divBdr>
            <w:top w:val="none" w:sz="0" w:space="0" w:color="auto"/>
            <w:left w:val="none" w:sz="0" w:space="0" w:color="auto"/>
            <w:bottom w:val="none" w:sz="0" w:space="0" w:color="auto"/>
            <w:right w:val="none" w:sz="0" w:space="0" w:color="auto"/>
          </w:divBdr>
          <w:divsChild>
            <w:div w:id="1232958765">
              <w:marLeft w:val="0"/>
              <w:marRight w:val="0"/>
              <w:marTop w:val="0"/>
              <w:marBottom w:val="0"/>
              <w:divBdr>
                <w:top w:val="none" w:sz="0" w:space="0" w:color="auto"/>
                <w:left w:val="none" w:sz="0" w:space="0" w:color="auto"/>
                <w:bottom w:val="none" w:sz="0" w:space="0" w:color="auto"/>
                <w:right w:val="none" w:sz="0" w:space="0" w:color="auto"/>
              </w:divBdr>
              <w:divsChild>
                <w:div w:id="1037512412">
                  <w:marLeft w:val="0"/>
                  <w:marRight w:val="0"/>
                  <w:marTop w:val="0"/>
                  <w:marBottom w:val="0"/>
                  <w:divBdr>
                    <w:top w:val="none" w:sz="0" w:space="0" w:color="auto"/>
                    <w:left w:val="none" w:sz="0" w:space="0" w:color="auto"/>
                    <w:bottom w:val="none" w:sz="0" w:space="0" w:color="auto"/>
                    <w:right w:val="none" w:sz="0" w:space="0" w:color="auto"/>
                  </w:divBdr>
                  <w:divsChild>
                    <w:div w:id="1436288305">
                      <w:marLeft w:val="0"/>
                      <w:marRight w:val="0"/>
                      <w:marTop w:val="0"/>
                      <w:marBottom w:val="0"/>
                      <w:divBdr>
                        <w:top w:val="none" w:sz="0" w:space="0" w:color="auto"/>
                        <w:left w:val="none" w:sz="0" w:space="0" w:color="auto"/>
                        <w:bottom w:val="none" w:sz="0" w:space="0" w:color="auto"/>
                        <w:right w:val="none" w:sz="0" w:space="0" w:color="auto"/>
                      </w:divBdr>
                      <w:divsChild>
                        <w:div w:id="326788642">
                          <w:marLeft w:val="0"/>
                          <w:marRight w:val="0"/>
                          <w:marTop w:val="0"/>
                          <w:marBottom w:val="0"/>
                          <w:divBdr>
                            <w:top w:val="none" w:sz="0" w:space="0" w:color="auto"/>
                            <w:left w:val="none" w:sz="0" w:space="0" w:color="auto"/>
                            <w:bottom w:val="none" w:sz="0" w:space="0" w:color="auto"/>
                            <w:right w:val="none" w:sz="0" w:space="0" w:color="auto"/>
                          </w:divBdr>
                          <w:divsChild>
                            <w:div w:id="152767913">
                              <w:marLeft w:val="0"/>
                              <w:marRight w:val="0"/>
                              <w:marTop w:val="0"/>
                              <w:marBottom w:val="0"/>
                              <w:divBdr>
                                <w:top w:val="none" w:sz="0" w:space="0" w:color="auto"/>
                                <w:left w:val="none" w:sz="0" w:space="0" w:color="auto"/>
                                <w:bottom w:val="none" w:sz="0" w:space="0" w:color="auto"/>
                                <w:right w:val="none" w:sz="0" w:space="0" w:color="auto"/>
                              </w:divBdr>
                              <w:divsChild>
                                <w:div w:id="1770271704">
                                  <w:marLeft w:val="0"/>
                                  <w:marRight w:val="0"/>
                                  <w:marTop w:val="0"/>
                                  <w:marBottom w:val="0"/>
                                  <w:divBdr>
                                    <w:top w:val="none" w:sz="0" w:space="0" w:color="auto"/>
                                    <w:left w:val="none" w:sz="0" w:space="0" w:color="auto"/>
                                    <w:bottom w:val="none" w:sz="0" w:space="0" w:color="auto"/>
                                    <w:right w:val="none" w:sz="0" w:space="0" w:color="auto"/>
                                  </w:divBdr>
                                  <w:divsChild>
                                    <w:div w:id="1678994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506855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dei.fr/display.php?a=356" TargetMode="External"/><Relationship Id="rId18" Type="http://schemas.openxmlformats.org/officeDocument/2006/relationships/hyperlink" Target="http://www.sciencedirect.com/science?_ob=ArticleURL&amp;_udi=B6VFF-3V72TM1-N&amp;_user=499884&amp;_coverDate=08%2F31%2F1998&amp;_rdoc=1&amp;_fmt=high&amp;_orig=search&amp;_sort=d&amp;_docanchor=&amp;view=c&amp;_searchStrId=1420076444&amp;_rerunOrigin=google&amp;_acct=C000024499&amp;_version=1&amp;_urlVersion=0&amp;_userid=499884&amp;md5=49f06c1c7f0b4019278e0675c47310a3"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idei.fr/display.php?a=736" TargetMode="External"/><Relationship Id="rId7" Type="http://schemas.openxmlformats.org/officeDocument/2006/relationships/endnotes" Target="endnotes.xml"/><Relationship Id="rId12" Type="http://schemas.openxmlformats.org/officeDocument/2006/relationships/hyperlink" Target="http://idei.fr/display.php?a=736" TargetMode="External"/><Relationship Id="rId17" Type="http://schemas.openxmlformats.org/officeDocument/2006/relationships/hyperlink" Target="http://ideas.repec.org/s/eee/jfinec.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ideas.repec.org/a/eee/jfinec/v81y2006i2p411-439.html" TargetMode="External"/><Relationship Id="rId20" Type="http://schemas.openxmlformats.org/officeDocument/2006/relationships/hyperlink" Target="http://idei.fr/display.php?a=35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dei.fr/display.php?a=356"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idei.fr/display.php?a=356" TargetMode="External"/><Relationship Id="rId23" Type="http://schemas.openxmlformats.org/officeDocument/2006/relationships/image" Target="media/image3.emf"/><Relationship Id="rId10" Type="http://schemas.openxmlformats.org/officeDocument/2006/relationships/hyperlink" Target="http://idei.fr/display.php?a=736" TargetMode="External"/><Relationship Id="rId19" Type="http://schemas.openxmlformats.org/officeDocument/2006/relationships/hyperlink" Target="http://idei.fr/display.php?a=736"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idei.fr/display.php?a=736" TargetMode="External"/><Relationship Id="rId22" Type="http://schemas.openxmlformats.org/officeDocument/2006/relationships/hyperlink" Target="http://idei.fr/display.php?a=356" TargetMode="External"/></Relationships>
</file>

<file path=word/_rels/footnotes.xml.rels><?xml version="1.0" encoding="UTF-8" standalone="yes"?>
<Relationships xmlns="http://schemas.openxmlformats.org/package/2006/relationships"><Relationship Id="rId3" Type="http://schemas.openxmlformats.org/officeDocument/2006/relationships/hyperlink" Target="http://en.wikipedia.org/wiki/Financial_statements" TargetMode="External"/><Relationship Id="rId2" Type="http://schemas.openxmlformats.org/officeDocument/2006/relationships/hyperlink" Target="http://en.wikipedia.org/wiki/Institute_of_Chartered_Accountants_of_India" TargetMode="External"/><Relationship Id="rId1" Type="http://schemas.openxmlformats.org/officeDocument/2006/relationships/hyperlink" Target="http://en.wikipedia.org/wiki/Hong_Kong_Financial_Reporting_Standards" TargetMode="External"/></Relationships>
</file>

<file path=word/theme/_rels/theme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Foundry">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Foundry">
      <a:majorFont>
        <a:latin typeface="Rockwell"/>
        <a:ea typeface=""/>
        <a:cs typeface=""/>
        <a:font script="Grek" typeface="Cambria"/>
        <a:font script="Cyrl" typeface="Cambria"/>
        <a:font script="Jpan" typeface="HG明朝B"/>
        <a:font script="Hang" typeface="바탕"/>
        <a:font script="Hans" typeface="方正姚体"/>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HG明朝B"/>
        <a:font script="Hang" typeface="바탕"/>
        <a:font script="Hans" typeface="方正姚体"/>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Paper">
      <a:fillStyleLst>
        <a:solidFill>
          <a:schemeClr val="phClr"/>
        </a:solidFill>
        <a:blipFill>
          <a:blip xmlns:r="http://schemas.openxmlformats.org/officeDocument/2006/relationships" r:embed="rId1">
            <a:duotone>
              <a:schemeClr val="phClr">
                <a:shade val="63000"/>
                <a:tint val="82000"/>
              </a:schemeClr>
              <a:schemeClr val="phClr">
                <a:tint val="10000"/>
                <a:satMod val="400000"/>
              </a:schemeClr>
            </a:duotone>
          </a:blip>
          <a:tile tx="0" ty="0" sx="40000" sy="40000" flip="none" algn="tl"/>
        </a:blipFill>
        <a:blipFill>
          <a:blip xmlns:r="http://schemas.openxmlformats.org/officeDocument/2006/relationships" r:embed="rId1">
            <a:duotone>
              <a:schemeClr val="phClr">
                <a:shade val="40000"/>
              </a:schemeClr>
              <a:schemeClr val="phClr">
                <a:tint val="42000"/>
              </a:schemeClr>
            </a:duotone>
          </a:blip>
          <a:tile tx="0" ty="0" sx="40000" sy="40000" flip="none" algn="tl"/>
        </a:blipFill>
      </a:fillStyleLst>
      <a:lnStyleLst>
        <a:ln w="12700" cap="flat" cmpd="sng" algn="ctr">
          <a:solidFill>
            <a:schemeClr val="phClr"/>
          </a:solidFill>
          <a:prstDash val="solid"/>
        </a:ln>
        <a:ln w="38100" cap="flat" cmpd="sng" algn="ctr">
          <a:solidFill>
            <a:schemeClr val="phClr"/>
          </a:solidFill>
          <a:prstDash val="solid"/>
        </a:ln>
        <a:ln w="63500" cap="flat" cmpd="sng" algn="ctr">
          <a:solidFill>
            <a:schemeClr val="phClr"/>
          </a:solidFill>
          <a:prstDash val="solid"/>
        </a:ln>
      </a:lnStyleLst>
      <a:effectStyleLst>
        <a:effectStyle>
          <a:effectLst>
            <a:outerShdw blurRad="95000" rotWithShape="0">
              <a:srgbClr val="000000">
                <a:alpha val="50000"/>
              </a:srgbClr>
            </a:outerShdw>
            <a:softEdge rad="12700"/>
          </a:effectLst>
        </a:effectStyle>
        <a:effectStyle>
          <a:effectLst>
            <a:outerShdw blurRad="95000" rotWithShape="0">
              <a:srgbClr val="000000">
                <a:alpha val="50000"/>
              </a:srgbClr>
            </a:outerShdw>
            <a:softEdge rad="12700"/>
          </a:effectLst>
        </a:effectStyle>
        <a:effectStyle>
          <a:effectLst>
            <a:outerShdw blurRad="95000" algn="tl" rotWithShape="0">
              <a:srgbClr val="000000">
                <a:alpha val="50000"/>
              </a:srgbClr>
            </a:outerShdw>
          </a:effectLst>
          <a:scene3d>
            <a:camera prst="orthographicFront"/>
            <a:lightRig rig="soft" dir="t">
              <a:rot lat="0" lon="0" rev="18000000"/>
            </a:lightRig>
          </a:scene3d>
          <a:sp3d prstMaterial="dkEdge">
            <a:bevelT w="73660" h="44450" prst="riblet"/>
          </a:sp3d>
        </a:effectStyle>
      </a:effectStyleLst>
      <a:bgFillStyleLst>
        <a:solidFill>
          <a:schemeClr val="phClr"/>
        </a:solidFill>
        <a:gradFill rotWithShape="1">
          <a:gsLst>
            <a:gs pos="0">
              <a:schemeClr val="phClr">
                <a:tint val="75000"/>
                <a:satMod val="400000"/>
              </a:schemeClr>
            </a:gs>
            <a:gs pos="20000">
              <a:schemeClr val="phClr">
                <a:tint val="80000"/>
                <a:satMod val="355000"/>
              </a:schemeClr>
            </a:gs>
            <a:gs pos="100000">
              <a:schemeClr val="phClr">
                <a:tint val="95000"/>
                <a:shade val="55000"/>
                <a:satMod val="355000"/>
              </a:schemeClr>
            </a:gs>
          </a:gsLst>
          <a:path path="circle">
            <a:fillToRect l="67500" t="35000" r="32500" b="65000"/>
          </a:path>
        </a:gradFill>
        <a:blipFill>
          <a:blip xmlns:r="http://schemas.openxmlformats.org/officeDocument/2006/relationships" r:embed="rId2">
            <a:duotone>
              <a:schemeClr val="phClr">
                <a:shade val="30000"/>
                <a:satMod val="120000"/>
              </a:schemeClr>
              <a:schemeClr val="phClr">
                <a:tint val="70000"/>
                <a:satMod val="250000"/>
              </a:schemeClr>
            </a:duotone>
          </a:blip>
          <a:tile tx="0" ty="0" sx="50000" sy="50000" flip="none" algn="t"/>
        </a:blip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90C56E-036B-4F71-8E6B-7FBC33E784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TotalTime>
  <Pages>100</Pages>
  <Words>27677</Words>
  <Characters>157759</Characters>
  <Application>Microsoft Office Word</Application>
  <DocSecurity>0</DocSecurity>
  <Lines>1314</Lines>
  <Paragraphs>370</Paragraphs>
  <ScaleCrop>false</ScaleCrop>
  <HeadingPairs>
    <vt:vector size="2" baseType="variant">
      <vt:variant>
        <vt:lpstr>Title</vt:lpstr>
      </vt:variant>
      <vt:variant>
        <vt:i4>1</vt:i4>
      </vt:variant>
    </vt:vector>
  </HeadingPairs>
  <TitlesOfParts>
    <vt:vector size="1" baseType="lpstr">
      <vt:lpstr>Investor protection: a motive for not cooking the books?”</vt:lpstr>
    </vt:vector>
  </TitlesOfParts>
  <Company>PricewaterhouseCoopers</Company>
  <LinksUpToDate>false</LinksUpToDate>
  <CharactersWithSpaces>185066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Investor protection: a motive for not cooking the books?”</dc:title>
  <dc:subject/>
  <dc:creator>zwilliam001</dc:creator>
  <cp:keywords/>
  <dc:description/>
  <cp:lastModifiedBy>R. William</cp:lastModifiedBy>
  <cp:revision>31</cp:revision>
  <cp:lastPrinted>2010-08-04T05:27:00Z</cp:lastPrinted>
  <dcterms:created xsi:type="dcterms:W3CDTF">2010-08-04T03:59:00Z</dcterms:created>
  <dcterms:modified xsi:type="dcterms:W3CDTF">2010-08-04T05:27:00Z</dcterms:modified>
</cp:coreProperties>
</file>