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tbl>
      <w:tblPr>
        <w:tblpPr w:leftFromText="187" w:rightFromText="187" w:horzAnchor="margin" w:tblpXSpec="center" w:tblpY="2881"/>
        <w:tblW w:w="4000" w:type="pct"/>
        <w:tblBorders>
          <w:left w:val="single" w:sz="18" w:space="0" w:color="4F81BD"/>
        </w:tblBorders>
        <w:tblLook w:val="00A0"/>
      </w:tblPr>
      <w:tblGrid>
        <w:gridCol w:w="7440"/>
      </w:tblGrid>
      <w:tr w:rsidR="00926DB2" w:rsidTr="001D6EB9">
        <w:tc>
          <w:tcPr>
            <w:tcW w:w="7440" w:type="dxa"/>
            <w:tcMar>
              <w:top w:w="216" w:type="dxa"/>
              <w:left w:w="115" w:type="dxa"/>
              <w:bottom w:w="216" w:type="dxa"/>
              <w:right w:w="115" w:type="dxa"/>
            </w:tcMar>
          </w:tcPr>
          <w:p w:rsidR="00926DB2" w:rsidRPr="00680B49" w:rsidRDefault="00926DB2" w:rsidP="00384780">
            <w:pPr>
              <w:pStyle w:val="Geenafstand"/>
              <w:rPr>
                <w:rFonts w:ascii="Times New Roman" w:hAnsi="Times New Roman" w:cs="Times New Roman"/>
              </w:rPr>
            </w:pPr>
            <w:bookmarkStart w:id="0" w:name="_Toc266716094"/>
            <w:bookmarkStart w:id="1" w:name="_Toc266716100"/>
            <w:bookmarkStart w:id="2" w:name="_Toc266716099"/>
            <w:bookmarkStart w:id="3" w:name="_Toc266716098"/>
            <w:r w:rsidRPr="00680B49">
              <w:rPr>
                <w:rFonts w:ascii="Times New Roman" w:hAnsi="Times New Roman" w:cs="Times New Roman"/>
                <w:sz w:val="32"/>
                <w:szCs w:val="32"/>
              </w:rPr>
              <w:t>Erasmus University Rotterdam</w:t>
            </w:r>
          </w:p>
        </w:tc>
      </w:tr>
      <w:tr w:rsidR="00926DB2" w:rsidTr="001D6EB9">
        <w:tc>
          <w:tcPr>
            <w:tcW w:w="7440" w:type="dxa"/>
          </w:tcPr>
          <w:p w:rsidR="00926DB2" w:rsidRPr="005C0352" w:rsidRDefault="00926DB2" w:rsidP="00384780">
            <w:pPr>
              <w:pStyle w:val="Geenafstand"/>
              <w:rPr>
                <w:rFonts w:ascii="Times New Roman" w:hAnsi="Times New Roman" w:cs="Times New Roman"/>
                <w:color w:val="4F81BD"/>
                <w:sz w:val="80"/>
                <w:szCs w:val="80"/>
                <w:lang w:val="en-US"/>
              </w:rPr>
            </w:pPr>
            <w:r>
              <w:rPr>
                <w:rFonts w:ascii="Times New Roman" w:hAnsi="Times New Roman" w:cs="Times New Roman"/>
                <w:color w:val="4F81BD"/>
                <w:sz w:val="44"/>
                <w:szCs w:val="44"/>
                <w:lang w:val="en-US"/>
              </w:rPr>
              <w:t>The rela</w:t>
            </w:r>
            <w:r w:rsidRPr="005C0352">
              <w:rPr>
                <w:rFonts w:ascii="Times New Roman" w:hAnsi="Times New Roman" w:cs="Times New Roman"/>
                <w:color w:val="4F81BD"/>
                <w:sz w:val="44"/>
                <w:szCs w:val="44"/>
                <w:lang w:val="en-US"/>
              </w:rPr>
              <w:t>tionship betwe</w:t>
            </w:r>
            <w:r>
              <w:rPr>
                <w:rFonts w:ascii="Times New Roman" w:hAnsi="Times New Roman" w:cs="Times New Roman"/>
                <w:color w:val="4F81BD"/>
                <w:sz w:val="44"/>
                <w:szCs w:val="44"/>
                <w:lang w:val="en-US"/>
              </w:rPr>
              <w:t>en accounting conservatism and W</w:t>
            </w:r>
            <w:r w:rsidRPr="005C0352">
              <w:rPr>
                <w:rFonts w:ascii="Times New Roman" w:hAnsi="Times New Roman" w:cs="Times New Roman"/>
                <w:color w:val="4F81BD"/>
                <w:sz w:val="44"/>
                <w:szCs w:val="44"/>
                <w:lang w:val="en-US"/>
              </w:rPr>
              <w:t>est-European bank performance during the recent financial crisis</w:t>
            </w:r>
          </w:p>
        </w:tc>
      </w:tr>
      <w:tr w:rsidR="00926DB2" w:rsidTr="001D6EB9">
        <w:trPr>
          <w:trHeight w:val="931"/>
        </w:trPr>
        <w:tc>
          <w:tcPr>
            <w:tcW w:w="7440" w:type="dxa"/>
            <w:tcMar>
              <w:top w:w="216" w:type="dxa"/>
              <w:left w:w="115" w:type="dxa"/>
              <w:bottom w:w="216" w:type="dxa"/>
              <w:right w:w="115" w:type="dxa"/>
            </w:tcMar>
          </w:tcPr>
          <w:p w:rsidR="00926DB2" w:rsidRPr="005C0352" w:rsidRDefault="00926DB2" w:rsidP="00384780">
            <w:pPr>
              <w:pStyle w:val="Geenafstand"/>
              <w:rPr>
                <w:rFonts w:ascii="Times New Roman" w:hAnsi="Times New Roman" w:cs="Times New Roman"/>
                <w:lang w:val="en-US"/>
              </w:rPr>
            </w:pPr>
            <w:r w:rsidRPr="00680B49">
              <w:rPr>
                <w:rFonts w:ascii="Times New Roman" w:hAnsi="Times New Roman" w:cs="Times New Roman"/>
                <w:bCs/>
                <w:sz w:val="32"/>
                <w:szCs w:val="32"/>
                <w:lang w:val="en-US" w:eastAsia="en-AU" w:bidi="th-TH"/>
              </w:rPr>
              <w:t>An empirical study of conservatism in the West-European banking sector</w:t>
            </w:r>
          </w:p>
        </w:tc>
      </w:tr>
    </w:tbl>
    <w:p w:rsidR="00926DB2" w:rsidRPr="005C0352" w:rsidRDefault="001D6EB9">
      <w:pPr>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sidRPr="001D6EB9">
        <w:rPr>
          <w:lang w:val="en-US"/>
        </w:rPr>
        <w:drawing>
          <wp:inline distT="0" distB="0" distL="0" distR="0">
            <wp:extent cx="1714500" cy="962025"/>
            <wp:effectExtent l="19050" t="0" r="0" b="0"/>
            <wp:docPr id="11" name="Afbeelding 4" descr="erasmus_uni_logo_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_uni_logo_200.png"/>
                    <pic:cNvPicPr/>
                  </pic:nvPicPr>
                  <pic:blipFill>
                    <a:blip r:embed="rId7"/>
                    <a:stretch>
                      <a:fillRect/>
                    </a:stretch>
                  </pic:blipFill>
                  <pic:spPr>
                    <a:xfrm>
                      <a:off x="0" y="0"/>
                      <a:ext cx="1714500" cy="962025"/>
                    </a:xfrm>
                    <a:prstGeom prst="rect">
                      <a:avLst/>
                    </a:prstGeom>
                  </pic:spPr>
                </pic:pic>
              </a:graphicData>
            </a:graphic>
          </wp:inline>
        </w:drawing>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p>
    <w:p w:rsidR="00926DB2" w:rsidRPr="005C0352" w:rsidRDefault="00926DB2">
      <w:pPr>
        <w:rPr>
          <w:lang w:val="en-US"/>
        </w:rPr>
      </w:pPr>
    </w:p>
    <w:p w:rsidR="00926DB2" w:rsidRPr="005C0352" w:rsidRDefault="00926DB2">
      <w:pPr>
        <w:rPr>
          <w:lang w:val="en-US"/>
        </w:rPr>
      </w:pPr>
    </w:p>
    <w:p w:rsidR="00926DB2" w:rsidRDefault="00926DB2" w:rsidP="00046654">
      <w:pPr>
        <w:jc w:val="both"/>
        <w:rPr>
          <w:b/>
          <w:bCs/>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Pr="00680B49" w:rsidRDefault="00926DB2" w:rsidP="00680B49">
      <w:pPr>
        <w:rPr>
          <w:sz w:val="28"/>
          <w:szCs w:val="28"/>
          <w:lang w:val="en-US"/>
        </w:rPr>
      </w:pPr>
    </w:p>
    <w:p w:rsidR="00926DB2" w:rsidRDefault="00926DB2" w:rsidP="00046654">
      <w:pPr>
        <w:jc w:val="both"/>
        <w:rPr>
          <w:sz w:val="28"/>
          <w:szCs w:val="28"/>
          <w:lang w:val="en-US"/>
        </w:rPr>
      </w:pPr>
    </w:p>
    <w:p w:rsidR="00926DB2" w:rsidRDefault="00926DB2" w:rsidP="00046654">
      <w:pPr>
        <w:jc w:val="both"/>
        <w:rPr>
          <w:sz w:val="28"/>
          <w:szCs w:val="28"/>
          <w:lang w:val="en-US"/>
        </w:rPr>
      </w:pPr>
    </w:p>
    <w:p w:rsidR="00926DB2" w:rsidRDefault="00926DB2" w:rsidP="00046654">
      <w:pPr>
        <w:jc w:val="both"/>
        <w:rPr>
          <w:sz w:val="28"/>
          <w:szCs w:val="28"/>
          <w:lang w:val="en-US"/>
        </w:rPr>
      </w:pPr>
    </w:p>
    <w:p w:rsidR="00926DB2" w:rsidRDefault="00926DB2" w:rsidP="00046654">
      <w:pPr>
        <w:jc w:val="both"/>
        <w:rPr>
          <w:sz w:val="28"/>
          <w:szCs w:val="28"/>
          <w:lang w:val="en-US"/>
        </w:rPr>
      </w:pPr>
    </w:p>
    <w:tbl>
      <w:tblPr>
        <w:tblpPr w:leftFromText="180" w:rightFromText="180" w:vertAnchor="text" w:horzAnchor="page" w:tblpXSpec="center" w:tblpY="85"/>
        <w:tblW w:w="0" w:type="auto"/>
        <w:tblBorders>
          <w:top w:val="single" w:sz="8" w:space="0" w:color="4F81BD"/>
          <w:left w:val="single" w:sz="8" w:space="0" w:color="4F81BD"/>
          <w:bottom w:val="single" w:sz="8" w:space="0" w:color="4F81BD"/>
          <w:right w:val="single" w:sz="8" w:space="0" w:color="4F81BD"/>
        </w:tblBorders>
        <w:tblLook w:val="00A0"/>
      </w:tblPr>
      <w:tblGrid>
        <w:gridCol w:w="2802"/>
      </w:tblGrid>
      <w:tr w:rsidR="00926DB2" w:rsidRPr="00EC2F47" w:rsidTr="00FF080B">
        <w:trPr>
          <w:trHeight w:val="1698"/>
        </w:trPr>
        <w:tc>
          <w:tcPr>
            <w:tcW w:w="2802" w:type="dxa"/>
            <w:tcBorders>
              <w:top w:val="nil"/>
              <w:left w:val="nil"/>
              <w:bottom w:val="single" w:sz="24" w:space="0" w:color="4F81BD"/>
              <w:right w:val="nil"/>
            </w:tcBorders>
            <w:shd w:val="clear" w:color="auto" w:fill="FFFFFF"/>
          </w:tcPr>
          <w:p w:rsidR="00926DB2" w:rsidRPr="005C0352" w:rsidRDefault="00926DB2" w:rsidP="004C267B">
            <w:pPr>
              <w:rPr>
                <w:rFonts w:cs="Times New Roman"/>
                <w:color w:val="000000"/>
                <w:sz w:val="40"/>
                <w:szCs w:val="40"/>
                <w:lang w:val="de-DE"/>
              </w:rPr>
            </w:pPr>
            <w:r w:rsidRPr="005C0352">
              <w:rPr>
                <w:rFonts w:cs="Times New Roman"/>
                <w:color w:val="000000"/>
                <w:sz w:val="40"/>
                <w:szCs w:val="40"/>
                <w:lang w:val="de-DE"/>
              </w:rPr>
              <w:t>Tarik</w:t>
            </w:r>
            <w:r w:rsidRPr="002C33CA">
              <w:rPr>
                <w:rFonts w:cs="Times New Roman"/>
                <w:color w:val="000000"/>
                <w:sz w:val="40"/>
                <w:szCs w:val="40"/>
                <w:lang w:val="en-GB"/>
              </w:rPr>
              <w:t xml:space="preserve"> El</w:t>
            </w:r>
            <w:r w:rsidRPr="005C0352">
              <w:rPr>
                <w:rFonts w:cs="Times New Roman"/>
                <w:color w:val="000000"/>
                <w:sz w:val="40"/>
                <w:szCs w:val="40"/>
                <w:lang w:val="de-DE"/>
              </w:rPr>
              <w:t xml:space="preserve"> Allali</w:t>
            </w:r>
          </w:p>
          <w:p w:rsidR="00926DB2" w:rsidRPr="005C0352" w:rsidRDefault="00926DB2" w:rsidP="004C267B">
            <w:pPr>
              <w:rPr>
                <w:rFonts w:cs="Times New Roman"/>
                <w:color w:val="000000"/>
                <w:sz w:val="40"/>
                <w:szCs w:val="40"/>
                <w:lang w:val="de-DE"/>
              </w:rPr>
            </w:pPr>
            <w:r w:rsidRPr="005C0352">
              <w:rPr>
                <w:rFonts w:cs="Times New Roman"/>
                <w:color w:val="000000"/>
                <w:sz w:val="40"/>
                <w:szCs w:val="40"/>
                <w:lang w:val="de-DE"/>
              </w:rPr>
              <w:t>Master Thesis</w:t>
            </w:r>
          </w:p>
          <w:p w:rsidR="004C267B" w:rsidRPr="005C0352" w:rsidRDefault="00926DB2" w:rsidP="004C267B">
            <w:pPr>
              <w:rPr>
                <w:rFonts w:cs="Times New Roman"/>
                <w:color w:val="000000"/>
                <w:sz w:val="40"/>
                <w:szCs w:val="40"/>
                <w:lang w:val="de-DE"/>
              </w:rPr>
            </w:pPr>
            <w:r w:rsidRPr="005C0352">
              <w:rPr>
                <w:rFonts w:cs="Times New Roman"/>
                <w:color w:val="000000"/>
                <w:sz w:val="40"/>
                <w:szCs w:val="40"/>
                <w:lang w:val="de-DE"/>
              </w:rPr>
              <w:t>Juli 201</w:t>
            </w:r>
            <w:r w:rsidR="00384780">
              <w:rPr>
                <w:rFonts w:cs="Times New Roman"/>
                <w:color w:val="000000"/>
                <w:sz w:val="40"/>
                <w:szCs w:val="40"/>
                <w:lang w:val="de-DE"/>
              </w:rPr>
              <w:t>0</w:t>
            </w:r>
          </w:p>
        </w:tc>
      </w:tr>
    </w:tbl>
    <w:p w:rsidR="00926DB2" w:rsidRPr="005C0352" w:rsidRDefault="00926DB2" w:rsidP="00046654">
      <w:pPr>
        <w:jc w:val="both"/>
        <w:rPr>
          <w:sz w:val="28"/>
          <w:szCs w:val="28"/>
          <w:lang w:val="de-DE"/>
        </w:rPr>
      </w:pPr>
    </w:p>
    <w:p w:rsidR="00926DB2" w:rsidRPr="005C0352" w:rsidRDefault="00926DB2" w:rsidP="00046654">
      <w:pPr>
        <w:jc w:val="both"/>
        <w:rPr>
          <w:sz w:val="28"/>
          <w:szCs w:val="28"/>
          <w:lang w:val="de-DE"/>
        </w:rPr>
      </w:pPr>
    </w:p>
    <w:p w:rsidR="00926DB2" w:rsidRPr="005C0352" w:rsidRDefault="00926DB2" w:rsidP="00046654">
      <w:pPr>
        <w:jc w:val="both"/>
        <w:rPr>
          <w:sz w:val="28"/>
          <w:szCs w:val="28"/>
          <w:lang w:val="de-DE"/>
        </w:rPr>
      </w:pPr>
    </w:p>
    <w:p w:rsidR="00926DB2" w:rsidRPr="005C0352" w:rsidRDefault="00926DB2" w:rsidP="00046654">
      <w:pPr>
        <w:jc w:val="both"/>
        <w:rPr>
          <w:sz w:val="28"/>
          <w:szCs w:val="28"/>
          <w:lang w:val="de-DE"/>
        </w:rPr>
      </w:pPr>
    </w:p>
    <w:p w:rsidR="00926DB2" w:rsidRPr="005C0352" w:rsidRDefault="00926DB2" w:rsidP="00046654">
      <w:pPr>
        <w:jc w:val="both"/>
        <w:rPr>
          <w:sz w:val="28"/>
          <w:szCs w:val="28"/>
          <w:lang w:val="de-DE"/>
        </w:rPr>
      </w:pPr>
    </w:p>
    <w:p w:rsidR="00926DB2" w:rsidRPr="005C0352" w:rsidRDefault="00926DB2" w:rsidP="00046654">
      <w:pPr>
        <w:jc w:val="both"/>
        <w:rPr>
          <w:sz w:val="28"/>
          <w:szCs w:val="28"/>
          <w:lang w:val="de-DE"/>
        </w:rPr>
      </w:pPr>
    </w:p>
    <w:p w:rsidR="00926DB2" w:rsidRPr="005C0352" w:rsidRDefault="00926DB2" w:rsidP="00046654">
      <w:pPr>
        <w:jc w:val="both"/>
        <w:rPr>
          <w:sz w:val="28"/>
          <w:szCs w:val="28"/>
          <w:lang w:val="de-DE"/>
        </w:rPr>
      </w:pPr>
    </w:p>
    <w:p w:rsidR="00926DB2" w:rsidRPr="005C0352" w:rsidRDefault="00926DB2" w:rsidP="00046654">
      <w:pPr>
        <w:jc w:val="both"/>
        <w:rPr>
          <w:sz w:val="28"/>
          <w:szCs w:val="28"/>
          <w:lang w:val="de-DE"/>
        </w:rPr>
      </w:pPr>
    </w:p>
    <w:p w:rsidR="00926DB2" w:rsidRDefault="00926DB2" w:rsidP="00A84EFB">
      <w:pPr>
        <w:jc w:val="both"/>
        <w:rPr>
          <w:b/>
          <w:sz w:val="28"/>
          <w:szCs w:val="28"/>
          <w:lang w:val="de-DE"/>
        </w:rPr>
      </w:pPr>
      <w:r w:rsidRPr="005C0352">
        <w:rPr>
          <w:b/>
          <w:sz w:val="28"/>
          <w:szCs w:val="28"/>
          <w:lang w:val="de-DE"/>
        </w:rPr>
        <w:br w:type="page"/>
      </w:r>
    </w:p>
    <w:p w:rsidR="00926DB2" w:rsidRPr="005C0352" w:rsidRDefault="00926DB2" w:rsidP="00046654">
      <w:pPr>
        <w:jc w:val="both"/>
        <w:rPr>
          <w:b/>
          <w:bCs/>
          <w:sz w:val="28"/>
          <w:szCs w:val="28"/>
          <w:lang w:val="de-DE"/>
        </w:rPr>
      </w:pPr>
    </w:p>
    <w:p w:rsidR="00926DB2" w:rsidRDefault="00926DB2" w:rsidP="005C0352">
      <w:pPr>
        <w:jc w:val="center"/>
        <w:rPr>
          <w:rFonts w:cs="Times New Roman"/>
          <w:b/>
          <w:bCs/>
          <w:sz w:val="28"/>
          <w:szCs w:val="28"/>
          <w:lang w:val="en-US"/>
        </w:rPr>
      </w:pPr>
      <w:r>
        <w:rPr>
          <w:rFonts w:cs="Times New Roman"/>
          <w:b/>
          <w:bCs/>
          <w:sz w:val="28"/>
          <w:szCs w:val="28"/>
          <w:lang w:val="en-US"/>
        </w:rPr>
        <w:t>The re</w:t>
      </w:r>
      <w:r w:rsidRPr="005C0352">
        <w:rPr>
          <w:rFonts w:cs="Times New Roman"/>
          <w:b/>
          <w:bCs/>
          <w:sz w:val="28"/>
          <w:szCs w:val="28"/>
          <w:lang w:val="en-US"/>
        </w:rPr>
        <w:t>l</w:t>
      </w:r>
      <w:r>
        <w:rPr>
          <w:rFonts w:cs="Times New Roman"/>
          <w:b/>
          <w:bCs/>
          <w:sz w:val="28"/>
          <w:szCs w:val="28"/>
          <w:lang w:val="en-US"/>
        </w:rPr>
        <w:t>a</w:t>
      </w:r>
      <w:r w:rsidRPr="005C0352">
        <w:rPr>
          <w:rFonts w:cs="Times New Roman"/>
          <w:b/>
          <w:bCs/>
          <w:sz w:val="28"/>
          <w:szCs w:val="28"/>
          <w:lang w:val="en-US"/>
        </w:rPr>
        <w:t>tionship betwe</w:t>
      </w:r>
      <w:r>
        <w:rPr>
          <w:rFonts w:cs="Times New Roman"/>
          <w:b/>
          <w:bCs/>
          <w:sz w:val="28"/>
          <w:szCs w:val="28"/>
          <w:lang w:val="en-US"/>
        </w:rPr>
        <w:t>en accounting conservatism and W</w:t>
      </w:r>
      <w:r w:rsidRPr="005C0352">
        <w:rPr>
          <w:rFonts w:cs="Times New Roman"/>
          <w:b/>
          <w:bCs/>
          <w:sz w:val="28"/>
          <w:szCs w:val="28"/>
          <w:lang w:val="en-US"/>
        </w:rPr>
        <w:t>est-European bank performance during the recent financial crisis</w:t>
      </w:r>
    </w:p>
    <w:p w:rsidR="00926DB2" w:rsidRDefault="00926DB2" w:rsidP="005C0352">
      <w:pPr>
        <w:rPr>
          <w:rFonts w:cs="Times New Roman"/>
          <w:b/>
          <w:bCs/>
          <w:sz w:val="28"/>
          <w:szCs w:val="28"/>
          <w:lang w:val="en-US"/>
        </w:rPr>
      </w:pPr>
    </w:p>
    <w:p w:rsidR="00926DB2" w:rsidRDefault="00926DB2" w:rsidP="005C0352">
      <w:pPr>
        <w:jc w:val="center"/>
        <w:rPr>
          <w:rFonts w:cs="Times New Roman"/>
          <w:sz w:val="28"/>
          <w:szCs w:val="28"/>
          <w:lang w:val="en-US"/>
        </w:rPr>
      </w:pPr>
      <w:r w:rsidRPr="005C0352">
        <w:rPr>
          <w:rFonts w:cs="Times New Roman"/>
          <w:sz w:val="28"/>
          <w:szCs w:val="28"/>
          <w:lang w:val="en-US"/>
        </w:rPr>
        <w:t>An empirical study of conservatism in the West-European banking sector</w:t>
      </w:r>
    </w:p>
    <w:p w:rsidR="00926DB2" w:rsidRDefault="00926DB2" w:rsidP="005C0352">
      <w:pPr>
        <w:jc w:val="center"/>
        <w:rPr>
          <w:rFonts w:cs="Times New Roman"/>
          <w:sz w:val="28"/>
          <w:szCs w:val="28"/>
          <w:lang w:val="en-US"/>
        </w:rPr>
      </w:pPr>
    </w:p>
    <w:p w:rsidR="00926DB2" w:rsidRDefault="00926DB2" w:rsidP="005C0352">
      <w:pPr>
        <w:jc w:val="center"/>
        <w:rPr>
          <w:rFonts w:cs="Times New Roman"/>
          <w:sz w:val="28"/>
          <w:szCs w:val="28"/>
          <w:lang w:val="en-US"/>
        </w:rPr>
      </w:pPr>
    </w:p>
    <w:p w:rsidR="00926DB2" w:rsidRPr="005C0352" w:rsidRDefault="00926DB2" w:rsidP="005C0352">
      <w:pPr>
        <w:jc w:val="center"/>
        <w:rPr>
          <w:sz w:val="28"/>
          <w:szCs w:val="28"/>
          <w:lang w:val="en-US"/>
        </w:rPr>
      </w:pPr>
      <w:r>
        <w:rPr>
          <w:rFonts w:cs="Times New Roman"/>
          <w:sz w:val="28"/>
          <w:szCs w:val="28"/>
          <w:lang w:val="en-US"/>
        </w:rPr>
        <w:t>Tarik El Allali</w:t>
      </w:r>
    </w:p>
    <w:p w:rsidR="00926DB2" w:rsidRDefault="00926DB2" w:rsidP="005C0352">
      <w:pPr>
        <w:jc w:val="center"/>
        <w:rPr>
          <w:b/>
          <w:bCs/>
          <w:sz w:val="28"/>
          <w:szCs w:val="28"/>
          <w:lang w:val="en-US"/>
        </w:rPr>
      </w:pPr>
    </w:p>
    <w:p w:rsidR="00926DB2" w:rsidRPr="000A3906" w:rsidRDefault="00926DB2" w:rsidP="000A3906">
      <w:pPr>
        <w:jc w:val="center"/>
        <w:rPr>
          <w:sz w:val="28"/>
          <w:szCs w:val="28"/>
          <w:lang w:val="en-US"/>
        </w:rPr>
      </w:pPr>
      <w:r w:rsidRPr="005C0352">
        <w:rPr>
          <w:sz w:val="28"/>
          <w:szCs w:val="28"/>
          <w:lang w:val="en-US"/>
        </w:rPr>
        <w:t>2</w:t>
      </w:r>
      <w:r w:rsidR="00EA6D67">
        <w:rPr>
          <w:sz w:val="28"/>
          <w:szCs w:val="28"/>
          <w:lang w:val="en-US"/>
        </w:rPr>
        <w:t>6</w:t>
      </w:r>
      <w:r w:rsidRPr="005C0352">
        <w:rPr>
          <w:sz w:val="28"/>
          <w:szCs w:val="28"/>
          <w:lang w:val="en-US"/>
        </w:rPr>
        <w:t>-07-2010</w:t>
      </w:r>
    </w:p>
    <w:p w:rsidR="00926DB2" w:rsidRDefault="00926DB2" w:rsidP="005C0352">
      <w:pPr>
        <w:jc w:val="center"/>
        <w:rPr>
          <w:sz w:val="32"/>
          <w:szCs w:val="32"/>
          <w:lang w:val="en-US"/>
        </w:rPr>
      </w:pPr>
    </w:p>
    <w:p w:rsidR="00926DB2" w:rsidRPr="004C267B" w:rsidRDefault="00926DB2" w:rsidP="004C267B">
      <w:pPr>
        <w:pStyle w:val="Kop1"/>
        <w:jc w:val="center"/>
        <w:rPr>
          <w:b w:val="0"/>
          <w:szCs w:val="28"/>
          <w:lang w:val="en-US"/>
        </w:rPr>
      </w:pPr>
      <w:bookmarkStart w:id="4" w:name="_Toc268186012"/>
      <w:r w:rsidRPr="004C267B">
        <w:rPr>
          <w:b w:val="0"/>
          <w:szCs w:val="28"/>
          <w:lang w:val="en-US"/>
        </w:rPr>
        <w:t>Abstract</w:t>
      </w:r>
      <w:bookmarkEnd w:id="4"/>
    </w:p>
    <w:tbl>
      <w:tblPr>
        <w:tblpPr w:leftFromText="180" w:rightFromText="180" w:vertAnchor="text" w:horzAnchor="margin" w:tblpXSpec="center"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86"/>
      </w:tblGrid>
      <w:tr w:rsidR="00926DB2" w:rsidTr="00B4509F">
        <w:trPr>
          <w:trHeight w:val="5157"/>
        </w:trPr>
        <w:tc>
          <w:tcPr>
            <w:tcW w:w="9286" w:type="dxa"/>
            <w:tcBorders>
              <w:top w:val="single" w:sz="24" w:space="0" w:color="auto"/>
              <w:bottom w:val="single" w:sz="24" w:space="0" w:color="auto"/>
            </w:tcBorders>
          </w:tcPr>
          <w:p w:rsidR="00926DB2" w:rsidRPr="00B4509F" w:rsidRDefault="00926DB2" w:rsidP="00B4509F">
            <w:pPr>
              <w:spacing w:line="360" w:lineRule="auto"/>
              <w:jc w:val="both"/>
              <w:rPr>
                <w:b/>
                <w:bCs/>
                <w:sz w:val="32"/>
                <w:szCs w:val="32"/>
                <w:lang w:val="en-US"/>
              </w:rPr>
            </w:pPr>
            <w:r w:rsidRPr="00B4509F">
              <w:rPr>
                <w:b/>
                <w:bCs/>
                <w:sz w:val="32"/>
                <w:szCs w:val="32"/>
                <w:lang w:val="en-US"/>
              </w:rPr>
              <w:t xml:space="preserve">  </w:t>
            </w:r>
          </w:p>
          <w:p w:rsidR="00926DB2" w:rsidRPr="00B4509F" w:rsidRDefault="00926DB2" w:rsidP="00B4509F">
            <w:pPr>
              <w:spacing w:line="360" w:lineRule="auto"/>
              <w:jc w:val="both"/>
              <w:rPr>
                <w:lang w:val="en-US"/>
              </w:rPr>
            </w:pPr>
            <w:r w:rsidRPr="00B4509F">
              <w:rPr>
                <w:lang w:val="en-US"/>
              </w:rPr>
              <w:t xml:space="preserve">Accounting conservatism is a well acknowledged and important concept in accounting and prior research indicates its significance. This research examines the relationship between accounting conservatism and bank performance. There is no prior research of which I am aware of that investigated this relation. This research focuses itself on the West-European banking sector. The conditional type of conservatism is measured in this research. There are three sample periods in this research the full sample period, pre-crisis period and crisis period. The degree of conservatism will be measured for all these periods. Subsequently the banks will be divided in good performing and bad performing banks. Finally the relation between conservatism in the pre-crisis period and </w:t>
            </w:r>
            <w:r w:rsidR="003C4076" w:rsidRPr="00B4509F">
              <w:rPr>
                <w:lang w:val="en-US"/>
              </w:rPr>
              <w:t>bank performance</w:t>
            </w:r>
            <w:r w:rsidRPr="00B4509F">
              <w:rPr>
                <w:lang w:val="en-US"/>
              </w:rPr>
              <w:t xml:space="preserve"> in the crisis period will be examined. The most significant result of this research was that good performing banks in the crisis periods were conservative in the pre-crisis period (at the 10% significance level).</w:t>
            </w:r>
            <w:r w:rsidR="00384780">
              <w:rPr>
                <w:lang w:val="en-US"/>
              </w:rPr>
              <w:t xml:space="preserve"> </w:t>
            </w:r>
          </w:p>
        </w:tc>
      </w:tr>
    </w:tbl>
    <w:p w:rsidR="00926DB2" w:rsidRDefault="00926DB2" w:rsidP="00046654">
      <w:pPr>
        <w:jc w:val="both"/>
        <w:rPr>
          <w:lang w:val="en-US"/>
        </w:rPr>
      </w:pPr>
    </w:p>
    <w:p w:rsidR="00926DB2" w:rsidRPr="000A3906" w:rsidRDefault="00926DB2" w:rsidP="001E6773">
      <w:pPr>
        <w:jc w:val="both"/>
        <w:rPr>
          <w:i/>
          <w:iCs/>
          <w:lang w:val="en-US"/>
        </w:rPr>
      </w:pPr>
      <w:r w:rsidRPr="000A3906">
        <w:rPr>
          <w:lang w:val="en-US"/>
        </w:rPr>
        <w:t xml:space="preserve">Key words: </w:t>
      </w:r>
      <w:r w:rsidRPr="000A3906">
        <w:rPr>
          <w:i/>
          <w:iCs/>
          <w:lang w:val="en-US"/>
        </w:rPr>
        <w:t>conditional conservatism, financial crisis, West-European banks</w:t>
      </w:r>
    </w:p>
    <w:p w:rsidR="00926DB2" w:rsidRPr="000A3906" w:rsidRDefault="00926DB2" w:rsidP="00046654">
      <w:pPr>
        <w:jc w:val="both"/>
        <w:rPr>
          <w:i/>
          <w:iCs/>
          <w:sz w:val="32"/>
          <w:szCs w:val="32"/>
          <w:lang w:val="en-US"/>
        </w:rPr>
      </w:pPr>
    </w:p>
    <w:p w:rsidR="00926DB2" w:rsidRPr="000A3906" w:rsidRDefault="00926DB2" w:rsidP="00046654">
      <w:pPr>
        <w:jc w:val="both"/>
        <w:rPr>
          <w:lang w:val="en-US"/>
        </w:rPr>
      </w:pPr>
    </w:p>
    <w:p w:rsidR="00926DB2" w:rsidRDefault="00926DB2" w:rsidP="000A3906">
      <w:pPr>
        <w:rPr>
          <w:lang w:val="en-US"/>
        </w:rPr>
      </w:pPr>
      <w:smartTag w:uri="urn:schemas-microsoft-com:office:smarttags" w:element="PlaceName">
        <w:r>
          <w:rPr>
            <w:lang w:val="en-US"/>
          </w:rPr>
          <w:t>Erasmus</w:t>
        </w:r>
      </w:smartTag>
      <w:r>
        <w:rPr>
          <w:lang w:val="en-US"/>
        </w:rPr>
        <w:t xml:space="preserve"> </w:t>
      </w:r>
      <w:smartTag w:uri="urn:schemas-microsoft-com:office:smarttags" w:element="PlaceType">
        <w:r>
          <w:rPr>
            <w:lang w:val="en-US"/>
          </w:rPr>
          <w:t>University</w:t>
        </w:r>
      </w:smartTag>
      <w:r>
        <w:rPr>
          <w:lang w:val="en-US"/>
        </w:rPr>
        <w:t xml:space="preserve"> </w:t>
      </w:r>
      <w:smartTag w:uri="urn:schemas-microsoft-com:office:smarttags" w:element="City">
        <w:smartTag w:uri="urn:schemas-microsoft-com:office:smarttags" w:element="place">
          <w:r>
            <w:rPr>
              <w:lang w:val="en-US"/>
            </w:rPr>
            <w:t>Rotterdam</w:t>
          </w:r>
        </w:smartTag>
      </w:smartTag>
      <w:r>
        <w:rPr>
          <w:lang w:val="en-US"/>
        </w:rPr>
        <w:tab/>
      </w:r>
      <w:r>
        <w:rPr>
          <w:lang w:val="en-US"/>
        </w:rPr>
        <w:tab/>
      </w:r>
      <w:r>
        <w:rPr>
          <w:lang w:val="en-US"/>
        </w:rPr>
        <w:tab/>
      </w:r>
      <w:r>
        <w:rPr>
          <w:lang w:val="en-US"/>
        </w:rPr>
        <w:tab/>
        <w:t>Name:</w:t>
      </w:r>
      <w:r>
        <w:rPr>
          <w:lang w:val="en-US"/>
        </w:rPr>
        <w:tab/>
      </w:r>
      <w:r>
        <w:rPr>
          <w:lang w:val="en-US"/>
        </w:rPr>
        <w:tab/>
        <w:t>Tarik El Allali</w:t>
      </w:r>
    </w:p>
    <w:p w:rsidR="00926DB2" w:rsidRDefault="00926DB2" w:rsidP="000A3906">
      <w:pPr>
        <w:rPr>
          <w:lang w:val="en-US"/>
        </w:rPr>
      </w:pPr>
      <w:smartTag w:uri="urn:schemas-microsoft-com:office:smarttags" w:element="PlaceName">
        <w:smartTag w:uri="urn:schemas-microsoft-com:office:smarttags" w:element="place">
          <w:r>
            <w:rPr>
              <w:lang w:val="en-US"/>
            </w:rPr>
            <w:t>Erasmus</w:t>
          </w:r>
        </w:smartTag>
        <w:r>
          <w:rPr>
            <w:lang w:val="en-US"/>
          </w:rPr>
          <w:t xml:space="preserve"> </w:t>
        </w:r>
        <w:smartTag w:uri="urn:schemas-microsoft-com:office:smarttags" w:element="PlaceType">
          <w:r>
            <w:rPr>
              <w:lang w:val="en-US"/>
            </w:rPr>
            <w:t>School</w:t>
          </w:r>
        </w:smartTag>
      </w:smartTag>
      <w:r>
        <w:rPr>
          <w:lang w:val="en-US"/>
        </w:rPr>
        <w:t xml:space="preserve"> of Economics</w:t>
      </w:r>
      <w:r>
        <w:rPr>
          <w:lang w:val="en-US"/>
        </w:rPr>
        <w:tab/>
      </w:r>
      <w:r>
        <w:rPr>
          <w:lang w:val="en-US"/>
        </w:rPr>
        <w:tab/>
      </w:r>
      <w:r>
        <w:rPr>
          <w:lang w:val="en-US"/>
        </w:rPr>
        <w:tab/>
      </w:r>
      <w:r>
        <w:rPr>
          <w:lang w:val="en-US"/>
        </w:rPr>
        <w:tab/>
        <w:t>Number:</w:t>
      </w:r>
      <w:r>
        <w:rPr>
          <w:lang w:val="en-US"/>
        </w:rPr>
        <w:tab/>
        <w:t>302206</w:t>
      </w:r>
    </w:p>
    <w:p w:rsidR="00926DB2" w:rsidRDefault="00926DB2" w:rsidP="000A3906">
      <w:pPr>
        <w:rPr>
          <w:lang w:val="en-US"/>
        </w:rPr>
      </w:pPr>
      <w:r>
        <w:rPr>
          <w:lang w:val="en-US"/>
        </w:rPr>
        <w:t xml:space="preserve">Master Accountancy, Auditing </w:t>
      </w:r>
      <w:r w:rsidR="00384780">
        <w:rPr>
          <w:lang w:val="en-US"/>
        </w:rPr>
        <w:t>and control</w:t>
      </w:r>
      <w:r w:rsidR="00384780">
        <w:rPr>
          <w:lang w:val="en-US"/>
        </w:rPr>
        <w:tab/>
      </w:r>
      <w:r w:rsidR="00384780">
        <w:rPr>
          <w:lang w:val="en-US"/>
        </w:rPr>
        <w:tab/>
      </w:r>
      <w:r w:rsidR="00384780">
        <w:rPr>
          <w:lang w:val="en-US"/>
        </w:rPr>
        <w:tab/>
        <w:t>Supervisor:</w:t>
      </w:r>
      <w:r w:rsidR="00384780">
        <w:rPr>
          <w:lang w:val="en-US"/>
        </w:rPr>
        <w:tab/>
        <w:t>Ms. Dr</w:t>
      </w:r>
      <w:r>
        <w:rPr>
          <w:lang w:val="en-US"/>
        </w:rPr>
        <w:t>. Y. Wang</w:t>
      </w:r>
    </w:p>
    <w:p w:rsidR="00926DB2" w:rsidRPr="000A3906" w:rsidRDefault="00926DB2" w:rsidP="000A3906">
      <w:pPr>
        <w:rPr>
          <w:lang w:val="en-US"/>
        </w:rPr>
      </w:pPr>
      <w:r>
        <w:rPr>
          <w:lang w:val="en-US"/>
        </w:rPr>
        <w:t>Master Thesis</w:t>
      </w:r>
      <w:r>
        <w:rPr>
          <w:lang w:val="en-US"/>
        </w:rPr>
        <w:tab/>
      </w:r>
      <w:r>
        <w:rPr>
          <w:lang w:val="en-US"/>
        </w:rPr>
        <w:tab/>
      </w:r>
      <w:r>
        <w:rPr>
          <w:lang w:val="en-US"/>
        </w:rPr>
        <w:tab/>
      </w:r>
      <w:r>
        <w:rPr>
          <w:lang w:val="en-US"/>
        </w:rPr>
        <w:tab/>
      </w:r>
      <w:r>
        <w:rPr>
          <w:lang w:val="en-US"/>
        </w:rPr>
        <w:tab/>
      </w:r>
      <w:r>
        <w:rPr>
          <w:lang w:val="en-US"/>
        </w:rPr>
        <w:tab/>
      </w:r>
      <w:r>
        <w:rPr>
          <w:lang w:val="en-US"/>
        </w:rPr>
        <w:tab/>
        <w:t>Co-Reader:</w:t>
      </w:r>
      <w:r>
        <w:rPr>
          <w:lang w:val="en-US"/>
        </w:rPr>
        <w:tab/>
        <w:t>Mr. Dr. C. Knoops</w:t>
      </w:r>
    </w:p>
    <w:p w:rsidR="00926DB2" w:rsidRPr="005C0352" w:rsidRDefault="00926DB2" w:rsidP="000A3906">
      <w:pPr>
        <w:rPr>
          <w:b/>
          <w:bCs/>
          <w:sz w:val="32"/>
          <w:szCs w:val="32"/>
          <w:lang w:val="en-US"/>
        </w:rPr>
      </w:pPr>
    </w:p>
    <w:p w:rsidR="00926DB2" w:rsidRPr="005C0352" w:rsidRDefault="00926DB2" w:rsidP="00046654">
      <w:pPr>
        <w:jc w:val="both"/>
        <w:rPr>
          <w:b/>
          <w:bCs/>
          <w:sz w:val="32"/>
          <w:szCs w:val="32"/>
          <w:lang w:val="en-US"/>
        </w:rPr>
      </w:pPr>
    </w:p>
    <w:p w:rsidR="00926DB2" w:rsidRDefault="00926DB2" w:rsidP="00046654">
      <w:pPr>
        <w:jc w:val="both"/>
        <w:rPr>
          <w:b/>
          <w:bCs/>
          <w:sz w:val="32"/>
          <w:szCs w:val="32"/>
          <w:lang w:val="en-US"/>
        </w:rPr>
      </w:pPr>
    </w:p>
    <w:p w:rsidR="003C4076" w:rsidRPr="005C0352" w:rsidRDefault="003C4076" w:rsidP="00046654">
      <w:pPr>
        <w:jc w:val="both"/>
        <w:rPr>
          <w:b/>
          <w:bCs/>
          <w:sz w:val="32"/>
          <w:szCs w:val="32"/>
          <w:lang w:val="en-US"/>
        </w:rPr>
      </w:pPr>
    </w:p>
    <w:p w:rsidR="00926DB2" w:rsidRPr="004F6EE3" w:rsidRDefault="004F6EE3" w:rsidP="004F6EE3">
      <w:pPr>
        <w:pStyle w:val="Kop1"/>
        <w:jc w:val="center"/>
        <w:rPr>
          <w:szCs w:val="28"/>
        </w:rPr>
      </w:pPr>
      <w:bookmarkStart w:id="5" w:name="_Toc268186013"/>
      <w:r w:rsidRPr="004F6EE3">
        <w:rPr>
          <w:szCs w:val="28"/>
        </w:rPr>
        <w:lastRenderedPageBreak/>
        <w:t>Acknowledgements</w:t>
      </w:r>
      <w:bookmarkEnd w:id="5"/>
    </w:p>
    <w:p w:rsidR="00926DB2" w:rsidRDefault="00926DB2" w:rsidP="00046654">
      <w:pPr>
        <w:jc w:val="both"/>
        <w:rPr>
          <w:lang w:val="en-US"/>
        </w:rPr>
      </w:pPr>
    </w:p>
    <w:p w:rsidR="00926DB2" w:rsidRDefault="00926DB2" w:rsidP="00046654">
      <w:pPr>
        <w:jc w:val="both"/>
        <w:rPr>
          <w:lang w:val="en-US"/>
        </w:rPr>
      </w:pPr>
    </w:p>
    <w:p w:rsidR="00926DB2" w:rsidRPr="00811C3B" w:rsidRDefault="00926DB2" w:rsidP="00FE1A79">
      <w:pPr>
        <w:spacing w:line="360" w:lineRule="auto"/>
        <w:jc w:val="both"/>
        <w:rPr>
          <w:b/>
          <w:bCs/>
          <w:lang w:val="en-US"/>
        </w:rPr>
      </w:pPr>
      <w:r w:rsidRPr="00811C3B">
        <w:rPr>
          <w:b/>
          <w:bCs/>
          <w:lang w:val="en-US"/>
        </w:rPr>
        <w:t>Writing th</w:t>
      </w:r>
      <w:r w:rsidR="003C4076">
        <w:rPr>
          <w:b/>
          <w:bCs/>
          <w:lang w:val="en-US"/>
        </w:rPr>
        <w:t xml:space="preserve">is master thesis and performing </w:t>
      </w:r>
      <w:r w:rsidRPr="00811C3B">
        <w:rPr>
          <w:b/>
          <w:bCs/>
          <w:lang w:val="en-US"/>
        </w:rPr>
        <w:t xml:space="preserve">the research was a great learning opportunity in the field of conducting scientific research. </w:t>
      </w:r>
      <w:r w:rsidR="003C4076" w:rsidRPr="00811C3B">
        <w:rPr>
          <w:b/>
          <w:bCs/>
          <w:lang w:val="en-US"/>
        </w:rPr>
        <w:t>Furthermore</w:t>
      </w:r>
      <w:r w:rsidRPr="00811C3B">
        <w:rPr>
          <w:b/>
          <w:bCs/>
          <w:lang w:val="en-US"/>
        </w:rPr>
        <w:t xml:space="preserve"> it was a great joy and wonderful experience hence I have been interested in accounting for a long time. The last </w:t>
      </w:r>
      <w:r w:rsidR="003C4076" w:rsidRPr="00811C3B">
        <w:rPr>
          <w:b/>
          <w:bCs/>
          <w:lang w:val="en-US"/>
        </w:rPr>
        <w:t>couples of weeks were</w:t>
      </w:r>
      <w:r w:rsidRPr="00811C3B">
        <w:rPr>
          <w:b/>
          <w:bCs/>
          <w:lang w:val="en-US"/>
        </w:rPr>
        <w:t xml:space="preserve"> very challenging for me but in the end conducting a proper research and graduating with a good mark for the thesis is all worth the effort. This year I have had the opportunity to discuss accounting and economic subjects during the seminars with students from all over the world under the guidance of experienced teachers. </w:t>
      </w:r>
    </w:p>
    <w:p w:rsidR="00926DB2" w:rsidRPr="00811C3B" w:rsidRDefault="00926DB2" w:rsidP="00FE1A79">
      <w:pPr>
        <w:spacing w:line="360" w:lineRule="auto"/>
        <w:jc w:val="both"/>
        <w:rPr>
          <w:b/>
          <w:bCs/>
          <w:lang w:val="en-US"/>
        </w:rPr>
      </w:pPr>
    </w:p>
    <w:p w:rsidR="00926DB2" w:rsidRPr="00811C3B" w:rsidRDefault="00926DB2" w:rsidP="006129FC">
      <w:pPr>
        <w:spacing w:line="360" w:lineRule="auto"/>
        <w:jc w:val="both"/>
        <w:rPr>
          <w:b/>
          <w:bCs/>
          <w:lang w:val="en-US"/>
        </w:rPr>
      </w:pPr>
      <w:r w:rsidRPr="00811C3B">
        <w:rPr>
          <w:b/>
          <w:bCs/>
          <w:lang w:val="en-US"/>
        </w:rPr>
        <w:t>During the course of making this thesis I have had help from students and teachers who provided comments and gave advises to improve my thesis. The first thanks go out to Ms. Yue Wang, she was my lecturer during the seminar and guided me through the whole writing process with comments and advises</w:t>
      </w:r>
      <w:r w:rsidR="000A6E82">
        <w:rPr>
          <w:b/>
          <w:bCs/>
          <w:lang w:val="en-US"/>
        </w:rPr>
        <w:t>, she provided a huge contribution</w:t>
      </w:r>
      <w:r w:rsidRPr="00811C3B">
        <w:rPr>
          <w:b/>
          <w:bCs/>
          <w:lang w:val="en-US"/>
        </w:rPr>
        <w:t xml:space="preserve">. Second I would like to thank my co-reader Chris Knoops in advance for his efforts in reading and judging the thesis. </w:t>
      </w:r>
    </w:p>
    <w:p w:rsidR="00926DB2" w:rsidRPr="00811C3B" w:rsidRDefault="00926DB2" w:rsidP="00FE1A79">
      <w:pPr>
        <w:spacing w:line="360" w:lineRule="auto"/>
        <w:jc w:val="both"/>
        <w:rPr>
          <w:b/>
          <w:bCs/>
          <w:lang w:val="en-US"/>
        </w:rPr>
      </w:pPr>
    </w:p>
    <w:p w:rsidR="00926DB2" w:rsidRPr="00811C3B" w:rsidRDefault="00926DB2" w:rsidP="00FE1A79">
      <w:pPr>
        <w:spacing w:line="360" w:lineRule="auto"/>
        <w:jc w:val="both"/>
        <w:rPr>
          <w:b/>
          <w:bCs/>
          <w:lang w:val="en-US"/>
        </w:rPr>
      </w:pPr>
      <w:r w:rsidRPr="00811C3B">
        <w:rPr>
          <w:b/>
          <w:bCs/>
          <w:lang w:val="en-US"/>
        </w:rPr>
        <w:t>I also would like to thank KPMG for their support and providing me an internship to write the thesis in their office. Especially my KPMG-</w:t>
      </w:r>
      <w:r>
        <w:rPr>
          <w:b/>
          <w:bCs/>
          <w:lang w:val="en-US"/>
        </w:rPr>
        <w:t xml:space="preserve">supervisor; </w:t>
      </w:r>
      <w:r w:rsidRPr="00811C3B">
        <w:rPr>
          <w:b/>
          <w:bCs/>
          <w:lang w:val="en-US"/>
        </w:rPr>
        <w:t xml:space="preserve">Marjolijn Heemskerk who </w:t>
      </w:r>
      <w:r>
        <w:rPr>
          <w:b/>
          <w:bCs/>
          <w:lang w:val="en-US"/>
        </w:rPr>
        <w:t>helped me a lot and was very kind.</w:t>
      </w:r>
    </w:p>
    <w:p w:rsidR="00926DB2" w:rsidRPr="00811C3B" w:rsidRDefault="00926DB2" w:rsidP="00FE1A79">
      <w:pPr>
        <w:spacing w:line="360" w:lineRule="auto"/>
        <w:jc w:val="both"/>
        <w:rPr>
          <w:b/>
          <w:bCs/>
          <w:lang w:val="en-US"/>
        </w:rPr>
      </w:pPr>
    </w:p>
    <w:p w:rsidR="003C4076" w:rsidRDefault="00926DB2" w:rsidP="006129FC">
      <w:pPr>
        <w:spacing w:line="360" w:lineRule="auto"/>
        <w:jc w:val="both"/>
        <w:rPr>
          <w:b/>
          <w:bCs/>
          <w:lang w:val="en-US"/>
        </w:rPr>
      </w:pPr>
      <w:r w:rsidRPr="00811C3B">
        <w:rPr>
          <w:b/>
          <w:bCs/>
          <w:lang w:val="en-US"/>
        </w:rPr>
        <w:t>And also I would like to thank my relatives and</w:t>
      </w:r>
      <w:r w:rsidRPr="00361F4F">
        <w:rPr>
          <w:b/>
          <w:bCs/>
          <w:lang w:val="en-US"/>
        </w:rPr>
        <w:t xml:space="preserve"> friends</w:t>
      </w:r>
      <w:r w:rsidRPr="00361F4F">
        <w:rPr>
          <w:b/>
          <w:bCs/>
          <w:sz w:val="48"/>
          <w:szCs w:val="48"/>
          <w:lang w:val="en-US"/>
        </w:rPr>
        <w:t xml:space="preserve"> </w:t>
      </w:r>
      <w:r w:rsidRPr="00811C3B">
        <w:rPr>
          <w:b/>
          <w:bCs/>
          <w:lang w:val="en-US"/>
        </w:rPr>
        <w:t xml:space="preserve">for their </w:t>
      </w:r>
      <w:r>
        <w:rPr>
          <w:b/>
          <w:bCs/>
          <w:lang w:val="en-US"/>
        </w:rPr>
        <w:t xml:space="preserve">support </w:t>
      </w:r>
      <w:r w:rsidR="003C4076">
        <w:rPr>
          <w:b/>
          <w:bCs/>
          <w:lang w:val="en-US"/>
        </w:rPr>
        <w:t xml:space="preserve">in </w:t>
      </w:r>
      <w:r>
        <w:rPr>
          <w:b/>
          <w:bCs/>
          <w:lang w:val="en-US"/>
        </w:rPr>
        <w:t xml:space="preserve">me. Without the kindness and patient of especially my parents I </w:t>
      </w:r>
      <w:r w:rsidR="003C4076">
        <w:rPr>
          <w:b/>
          <w:bCs/>
          <w:lang w:val="en-US"/>
        </w:rPr>
        <w:t xml:space="preserve">would </w:t>
      </w:r>
      <w:r w:rsidR="00471019">
        <w:rPr>
          <w:b/>
          <w:bCs/>
          <w:lang w:val="en-US"/>
        </w:rPr>
        <w:t>have never made it this far.</w:t>
      </w:r>
    </w:p>
    <w:p w:rsidR="003C4076" w:rsidRDefault="003C4076" w:rsidP="006129FC">
      <w:pPr>
        <w:spacing w:line="360" w:lineRule="auto"/>
        <w:jc w:val="both"/>
        <w:rPr>
          <w:b/>
          <w:bCs/>
          <w:lang w:val="en-US"/>
        </w:rPr>
      </w:pPr>
    </w:p>
    <w:p w:rsidR="003C4076" w:rsidRDefault="003C4076" w:rsidP="006129FC">
      <w:pPr>
        <w:spacing w:line="360" w:lineRule="auto"/>
        <w:jc w:val="both"/>
        <w:rPr>
          <w:b/>
          <w:bCs/>
          <w:lang w:val="en-US"/>
        </w:rPr>
      </w:pPr>
      <w:r>
        <w:rPr>
          <w:b/>
          <w:bCs/>
          <w:lang w:val="en-US"/>
        </w:rPr>
        <w:t xml:space="preserve">Thanks, </w:t>
      </w:r>
    </w:p>
    <w:p w:rsidR="003C4076" w:rsidRDefault="003C4076" w:rsidP="006129FC">
      <w:pPr>
        <w:spacing w:line="360" w:lineRule="auto"/>
        <w:jc w:val="both"/>
        <w:rPr>
          <w:b/>
          <w:bCs/>
          <w:lang w:val="en-US"/>
        </w:rPr>
      </w:pPr>
    </w:p>
    <w:p w:rsidR="003C4076" w:rsidRDefault="003C4076" w:rsidP="00E44F93">
      <w:pPr>
        <w:spacing w:line="360" w:lineRule="auto"/>
        <w:jc w:val="center"/>
        <w:rPr>
          <w:b/>
          <w:bCs/>
          <w:lang w:val="en-US"/>
        </w:rPr>
      </w:pPr>
      <w:r>
        <w:rPr>
          <w:b/>
          <w:bCs/>
          <w:lang w:val="en-US"/>
        </w:rPr>
        <w:t>Tarik El Allali</w:t>
      </w:r>
      <w:r w:rsidR="001D6EB9">
        <w:rPr>
          <w:b/>
          <w:bCs/>
          <w:lang w:val="en-US"/>
        </w:rPr>
        <w:tab/>
      </w:r>
      <w:r w:rsidR="001D6EB9">
        <w:rPr>
          <w:b/>
          <w:bCs/>
          <w:lang w:val="en-US"/>
        </w:rPr>
        <w:tab/>
      </w:r>
      <w:r w:rsidR="001D6EB9">
        <w:rPr>
          <w:b/>
          <w:bCs/>
          <w:lang w:val="en-US"/>
        </w:rPr>
        <w:tab/>
        <w:t>26</w:t>
      </w:r>
      <w:r w:rsidR="00E44F93">
        <w:rPr>
          <w:b/>
          <w:bCs/>
          <w:lang w:val="en-US"/>
        </w:rPr>
        <w:t>-07-2010</w:t>
      </w:r>
    </w:p>
    <w:p w:rsidR="00B6673E" w:rsidRDefault="00E44F93" w:rsidP="006129FC">
      <w:pPr>
        <w:spacing w:line="360" w:lineRule="auto"/>
        <w:jc w:val="both"/>
        <w:rPr>
          <w:b/>
          <w:bCs/>
          <w:lang w:val="en-US"/>
        </w:rPr>
        <w:sectPr w:rsidR="00B6673E" w:rsidSect="004F6EE3">
          <w:headerReference w:type="default" r:id="rId8"/>
          <w:footerReference w:type="even" r:id="rId9"/>
          <w:footerReference w:type="default" r:id="rId10"/>
          <w:pgSz w:w="11906" w:h="16838" w:code="9"/>
          <w:pgMar w:top="1418" w:right="1418" w:bottom="1418" w:left="1418" w:header="709" w:footer="709" w:gutter="0"/>
          <w:pgNumType w:start="0"/>
          <w:cols w:space="708"/>
          <w:titlePg/>
          <w:docGrid w:linePitch="360"/>
        </w:sectPr>
      </w:pPr>
      <w:r>
        <w:rPr>
          <w:b/>
          <w:bCs/>
          <w:lang w:val="en-US"/>
        </w:rPr>
        <w:tab/>
      </w:r>
      <w:r>
        <w:rPr>
          <w:b/>
          <w:bCs/>
          <w:lang w:val="en-US"/>
        </w:rPr>
        <w:tab/>
      </w:r>
      <w:r>
        <w:rPr>
          <w:b/>
          <w:bCs/>
          <w:lang w:val="en-US"/>
        </w:rPr>
        <w:tab/>
      </w:r>
    </w:p>
    <w:p w:rsidR="00B6673E" w:rsidRPr="00B6673E" w:rsidRDefault="00471019" w:rsidP="00B6673E">
      <w:pPr>
        <w:pStyle w:val="Kop1"/>
        <w:spacing w:line="360" w:lineRule="auto"/>
        <w:jc w:val="both"/>
        <w:rPr>
          <w:szCs w:val="28"/>
        </w:rPr>
      </w:pPr>
      <w:bookmarkStart w:id="6" w:name="_Toc267323012"/>
      <w:bookmarkStart w:id="7" w:name="_Toc267649032"/>
      <w:bookmarkStart w:id="8" w:name="_Toc268186014"/>
      <w:r w:rsidRPr="00B554EB">
        <w:lastRenderedPageBreak/>
        <w:t xml:space="preserve">Table of </w:t>
      </w:r>
      <w:bookmarkEnd w:id="6"/>
      <w:bookmarkEnd w:id="7"/>
      <w:r w:rsidR="000E53A1" w:rsidRPr="00B554EB">
        <w:t>contents</w:t>
      </w:r>
      <w:r w:rsidR="000E53A1">
        <w:t>:</w:t>
      </w:r>
      <w:bookmarkEnd w:id="8"/>
    </w:p>
    <w:p w:rsidR="001D6EB9" w:rsidRDefault="00542395">
      <w:pPr>
        <w:pStyle w:val="Inhopg1"/>
        <w:rPr>
          <w:rFonts w:asciiTheme="minorHAnsi" w:eastAsiaTheme="minorEastAsia" w:hAnsiTheme="minorHAnsi" w:cstheme="minorBidi"/>
          <w:b w:val="0"/>
          <w:bCs w:val="0"/>
          <w:sz w:val="22"/>
          <w:szCs w:val="22"/>
          <w:lang w:val="nl-NL" w:eastAsia="nl-NL" w:bidi="ar-SA"/>
        </w:rPr>
      </w:pPr>
      <w:r w:rsidRPr="00542395">
        <w:rPr>
          <w:sz w:val="28"/>
          <w:szCs w:val="28"/>
          <w:lang w:val="en-US"/>
        </w:rPr>
        <w:fldChar w:fldCharType="begin"/>
      </w:r>
      <w:r w:rsidR="00926DB2" w:rsidRPr="000A3906">
        <w:rPr>
          <w:sz w:val="28"/>
          <w:szCs w:val="28"/>
          <w:lang w:val="en-US"/>
        </w:rPr>
        <w:instrText xml:space="preserve"> TOC \o "1-3" \h \z \u </w:instrText>
      </w:r>
      <w:r w:rsidRPr="00542395">
        <w:rPr>
          <w:sz w:val="28"/>
          <w:szCs w:val="28"/>
          <w:lang w:val="en-US"/>
        </w:rPr>
        <w:fldChar w:fldCharType="separate"/>
      </w:r>
      <w:hyperlink w:anchor="_Toc268186012" w:history="1">
        <w:r w:rsidR="001D6EB9" w:rsidRPr="00F5701B">
          <w:rPr>
            <w:rStyle w:val="Hyperlink"/>
            <w:lang w:val="en-US"/>
          </w:rPr>
          <w:t>Abstract</w:t>
        </w:r>
        <w:r w:rsidR="001D6EB9">
          <w:rPr>
            <w:webHidden/>
          </w:rPr>
          <w:tab/>
        </w:r>
        <w:r w:rsidR="001D6EB9">
          <w:rPr>
            <w:webHidden/>
          </w:rPr>
          <w:fldChar w:fldCharType="begin"/>
        </w:r>
        <w:r w:rsidR="001D6EB9">
          <w:rPr>
            <w:webHidden/>
          </w:rPr>
          <w:instrText xml:space="preserve"> PAGEREF _Toc268186012 \h </w:instrText>
        </w:r>
        <w:r w:rsidR="001D6EB9">
          <w:rPr>
            <w:webHidden/>
          </w:rPr>
        </w:r>
        <w:r w:rsidR="001D6EB9">
          <w:rPr>
            <w:webHidden/>
          </w:rPr>
          <w:fldChar w:fldCharType="separate"/>
        </w:r>
        <w:r w:rsidR="002C33CA">
          <w:rPr>
            <w:webHidden/>
          </w:rPr>
          <w:t>1</w:t>
        </w:r>
        <w:r w:rsidR="001D6EB9">
          <w:rPr>
            <w:webHidden/>
          </w:rPr>
          <w:fldChar w:fldCharType="end"/>
        </w:r>
      </w:hyperlink>
    </w:p>
    <w:p w:rsidR="001D6EB9" w:rsidRDefault="001D6EB9">
      <w:pPr>
        <w:pStyle w:val="Inhopg1"/>
        <w:rPr>
          <w:rFonts w:asciiTheme="minorHAnsi" w:eastAsiaTheme="minorEastAsia" w:hAnsiTheme="minorHAnsi" w:cstheme="minorBidi"/>
          <w:b w:val="0"/>
          <w:bCs w:val="0"/>
          <w:sz w:val="22"/>
          <w:szCs w:val="22"/>
          <w:lang w:val="nl-NL" w:eastAsia="nl-NL" w:bidi="ar-SA"/>
        </w:rPr>
      </w:pPr>
      <w:hyperlink w:anchor="_Toc268186013" w:history="1">
        <w:r w:rsidRPr="00F5701B">
          <w:rPr>
            <w:rStyle w:val="Hyperlink"/>
          </w:rPr>
          <w:t>Acknowledgements</w:t>
        </w:r>
        <w:r>
          <w:rPr>
            <w:webHidden/>
          </w:rPr>
          <w:tab/>
        </w:r>
        <w:r>
          <w:rPr>
            <w:webHidden/>
          </w:rPr>
          <w:fldChar w:fldCharType="begin"/>
        </w:r>
        <w:r>
          <w:rPr>
            <w:webHidden/>
          </w:rPr>
          <w:instrText xml:space="preserve"> PAGEREF _Toc268186013 \h </w:instrText>
        </w:r>
        <w:r>
          <w:rPr>
            <w:webHidden/>
          </w:rPr>
        </w:r>
        <w:r>
          <w:rPr>
            <w:webHidden/>
          </w:rPr>
          <w:fldChar w:fldCharType="separate"/>
        </w:r>
        <w:r w:rsidR="002C33CA">
          <w:rPr>
            <w:webHidden/>
          </w:rPr>
          <w:t>2</w:t>
        </w:r>
        <w:r>
          <w:rPr>
            <w:webHidden/>
          </w:rPr>
          <w:fldChar w:fldCharType="end"/>
        </w:r>
      </w:hyperlink>
    </w:p>
    <w:p w:rsidR="001D6EB9" w:rsidRDefault="001D6EB9">
      <w:pPr>
        <w:pStyle w:val="Inhopg1"/>
        <w:rPr>
          <w:rFonts w:asciiTheme="minorHAnsi" w:eastAsiaTheme="minorEastAsia" w:hAnsiTheme="minorHAnsi" w:cstheme="minorBidi"/>
          <w:b w:val="0"/>
          <w:bCs w:val="0"/>
          <w:sz w:val="22"/>
          <w:szCs w:val="22"/>
          <w:lang w:val="nl-NL" w:eastAsia="nl-NL" w:bidi="ar-SA"/>
        </w:rPr>
      </w:pPr>
      <w:hyperlink w:anchor="_Toc268186014" w:history="1">
        <w:r w:rsidRPr="00F5701B">
          <w:rPr>
            <w:rStyle w:val="Hyperlink"/>
          </w:rPr>
          <w:t>Table of contents:</w:t>
        </w:r>
        <w:r>
          <w:rPr>
            <w:webHidden/>
          </w:rPr>
          <w:tab/>
        </w:r>
        <w:r>
          <w:rPr>
            <w:webHidden/>
          </w:rPr>
          <w:fldChar w:fldCharType="begin"/>
        </w:r>
        <w:r>
          <w:rPr>
            <w:webHidden/>
          </w:rPr>
          <w:instrText xml:space="preserve"> PAGEREF _Toc268186014 \h </w:instrText>
        </w:r>
        <w:r>
          <w:rPr>
            <w:webHidden/>
          </w:rPr>
        </w:r>
        <w:r>
          <w:rPr>
            <w:webHidden/>
          </w:rPr>
          <w:fldChar w:fldCharType="separate"/>
        </w:r>
        <w:r w:rsidR="002C33CA">
          <w:rPr>
            <w:webHidden/>
          </w:rPr>
          <w:t>3</w:t>
        </w:r>
        <w:r>
          <w:rPr>
            <w:webHidden/>
          </w:rPr>
          <w:fldChar w:fldCharType="end"/>
        </w:r>
      </w:hyperlink>
    </w:p>
    <w:p w:rsidR="001D6EB9" w:rsidRDefault="001D6EB9">
      <w:pPr>
        <w:pStyle w:val="Inhopg1"/>
        <w:rPr>
          <w:rFonts w:asciiTheme="minorHAnsi" w:eastAsiaTheme="minorEastAsia" w:hAnsiTheme="minorHAnsi" w:cstheme="minorBidi"/>
          <w:b w:val="0"/>
          <w:bCs w:val="0"/>
          <w:sz w:val="22"/>
          <w:szCs w:val="22"/>
          <w:lang w:val="nl-NL" w:eastAsia="nl-NL" w:bidi="ar-SA"/>
        </w:rPr>
      </w:pPr>
      <w:hyperlink w:anchor="_Toc268186015" w:history="1">
        <w:r w:rsidRPr="00F5701B">
          <w:rPr>
            <w:rStyle w:val="Hyperlink"/>
          </w:rPr>
          <w:t>1 Introduction</w:t>
        </w:r>
        <w:r>
          <w:rPr>
            <w:webHidden/>
          </w:rPr>
          <w:tab/>
        </w:r>
        <w:r>
          <w:rPr>
            <w:webHidden/>
          </w:rPr>
          <w:fldChar w:fldCharType="begin"/>
        </w:r>
        <w:r>
          <w:rPr>
            <w:webHidden/>
          </w:rPr>
          <w:instrText xml:space="preserve"> PAGEREF _Toc268186015 \h </w:instrText>
        </w:r>
        <w:r>
          <w:rPr>
            <w:webHidden/>
          </w:rPr>
        </w:r>
        <w:r>
          <w:rPr>
            <w:webHidden/>
          </w:rPr>
          <w:fldChar w:fldCharType="separate"/>
        </w:r>
        <w:r w:rsidR="002C33CA">
          <w:rPr>
            <w:webHidden/>
          </w:rPr>
          <w:t>5</w:t>
        </w:r>
        <w:r>
          <w:rPr>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16" w:history="1">
        <w:r w:rsidRPr="00F5701B">
          <w:rPr>
            <w:rStyle w:val="Hyperlink"/>
            <w:noProof/>
          </w:rPr>
          <w:t>1.1 Introduction to accounting conservatism</w:t>
        </w:r>
        <w:r>
          <w:rPr>
            <w:noProof/>
            <w:webHidden/>
          </w:rPr>
          <w:tab/>
        </w:r>
        <w:r>
          <w:rPr>
            <w:noProof/>
            <w:webHidden/>
          </w:rPr>
          <w:fldChar w:fldCharType="begin"/>
        </w:r>
        <w:r>
          <w:rPr>
            <w:noProof/>
            <w:webHidden/>
          </w:rPr>
          <w:instrText xml:space="preserve"> PAGEREF _Toc268186016 \h </w:instrText>
        </w:r>
        <w:r>
          <w:rPr>
            <w:noProof/>
            <w:webHidden/>
          </w:rPr>
        </w:r>
        <w:r>
          <w:rPr>
            <w:noProof/>
            <w:webHidden/>
          </w:rPr>
          <w:fldChar w:fldCharType="separate"/>
        </w:r>
        <w:r w:rsidR="002C33CA">
          <w:rPr>
            <w:noProof/>
            <w:webHidden/>
          </w:rPr>
          <w:t>6</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17" w:history="1">
        <w:r w:rsidRPr="00F5701B">
          <w:rPr>
            <w:rStyle w:val="Hyperlink"/>
            <w:noProof/>
          </w:rPr>
          <w:t>1.2 Introduction to recent financial crisis</w:t>
        </w:r>
        <w:r>
          <w:rPr>
            <w:noProof/>
            <w:webHidden/>
          </w:rPr>
          <w:tab/>
        </w:r>
        <w:r>
          <w:rPr>
            <w:noProof/>
            <w:webHidden/>
          </w:rPr>
          <w:fldChar w:fldCharType="begin"/>
        </w:r>
        <w:r>
          <w:rPr>
            <w:noProof/>
            <w:webHidden/>
          </w:rPr>
          <w:instrText xml:space="preserve"> PAGEREF _Toc268186017 \h </w:instrText>
        </w:r>
        <w:r>
          <w:rPr>
            <w:noProof/>
            <w:webHidden/>
          </w:rPr>
        </w:r>
        <w:r>
          <w:rPr>
            <w:noProof/>
            <w:webHidden/>
          </w:rPr>
          <w:fldChar w:fldCharType="separate"/>
        </w:r>
        <w:r w:rsidR="002C33CA">
          <w:rPr>
            <w:noProof/>
            <w:webHidden/>
          </w:rPr>
          <w:t>6</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18" w:history="1">
        <w:r w:rsidRPr="00F5701B">
          <w:rPr>
            <w:rStyle w:val="Hyperlink"/>
            <w:noProof/>
          </w:rPr>
          <w:t>1.3 Economic consequences of the crisis</w:t>
        </w:r>
        <w:r>
          <w:rPr>
            <w:noProof/>
            <w:webHidden/>
          </w:rPr>
          <w:tab/>
        </w:r>
        <w:r>
          <w:rPr>
            <w:noProof/>
            <w:webHidden/>
          </w:rPr>
          <w:fldChar w:fldCharType="begin"/>
        </w:r>
        <w:r>
          <w:rPr>
            <w:noProof/>
            <w:webHidden/>
          </w:rPr>
          <w:instrText xml:space="preserve"> PAGEREF _Toc268186018 \h </w:instrText>
        </w:r>
        <w:r>
          <w:rPr>
            <w:noProof/>
            <w:webHidden/>
          </w:rPr>
        </w:r>
        <w:r>
          <w:rPr>
            <w:noProof/>
            <w:webHidden/>
          </w:rPr>
          <w:fldChar w:fldCharType="separate"/>
        </w:r>
        <w:r w:rsidR="002C33CA">
          <w:rPr>
            <w:noProof/>
            <w:webHidden/>
          </w:rPr>
          <w:t>7</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19" w:history="1">
        <w:r w:rsidRPr="00F5701B">
          <w:rPr>
            <w:rStyle w:val="Hyperlink"/>
            <w:noProof/>
          </w:rPr>
          <w:t>1.4 Introduction of main research question and sub-questions</w:t>
        </w:r>
        <w:r>
          <w:rPr>
            <w:noProof/>
            <w:webHidden/>
          </w:rPr>
          <w:tab/>
        </w:r>
        <w:r>
          <w:rPr>
            <w:noProof/>
            <w:webHidden/>
          </w:rPr>
          <w:fldChar w:fldCharType="begin"/>
        </w:r>
        <w:r>
          <w:rPr>
            <w:noProof/>
            <w:webHidden/>
          </w:rPr>
          <w:instrText xml:space="preserve"> PAGEREF _Toc268186019 \h </w:instrText>
        </w:r>
        <w:r>
          <w:rPr>
            <w:noProof/>
            <w:webHidden/>
          </w:rPr>
        </w:r>
        <w:r>
          <w:rPr>
            <w:noProof/>
            <w:webHidden/>
          </w:rPr>
          <w:fldChar w:fldCharType="separate"/>
        </w:r>
        <w:r w:rsidR="002C33CA">
          <w:rPr>
            <w:noProof/>
            <w:webHidden/>
          </w:rPr>
          <w:t>8</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20" w:history="1">
        <w:r w:rsidRPr="00F5701B">
          <w:rPr>
            <w:rStyle w:val="Hyperlink"/>
            <w:noProof/>
            <w:lang w:val="en-US"/>
          </w:rPr>
          <w:t>1.5 Validation research question</w:t>
        </w:r>
        <w:r>
          <w:rPr>
            <w:noProof/>
            <w:webHidden/>
          </w:rPr>
          <w:tab/>
        </w:r>
        <w:r>
          <w:rPr>
            <w:noProof/>
            <w:webHidden/>
          </w:rPr>
          <w:fldChar w:fldCharType="begin"/>
        </w:r>
        <w:r>
          <w:rPr>
            <w:noProof/>
            <w:webHidden/>
          </w:rPr>
          <w:instrText xml:space="preserve"> PAGEREF _Toc268186020 \h </w:instrText>
        </w:r>
        <w:r>
          <w:rPr>
            <w:noProof/>
            <w:webHidden/>
          </w:rPr>
        </w:r>
        <w:r>
          <w:rPr>
            <w:noProof/>
            <w:webHidden/>
          </w:rPr>
          <w:fldChar w:fldCharType="separate"/>
        </w:r>
        <w:r w:rsidR="002C33CA">
          <w:rPr>
            <w:noProof/>
            <w:webHidden/>
          </w:rPr>
          <w:t>9</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21" w:history="1">
        <w:r w:rsidRPr="00F5701B">
          <w:rPr>
            <w:rStyle w:val="Hyperlink"/>
            <w:noProof/>
            <w:lang w:val="en-US"/>
          </w:rPr>
          <w:t>1.6 Methodology</w:t>
        </w:r>
        <w:r>
          <w:rPr>
            <w:noProof/>
            <w:webHidden/>
          </w:rPr>
          <w:tab/>
        </w:r>
        <w:r>
          <w:rPr>
            <w:noProof/>
            <w:webHidden/>
          </w:rPr>
          <w:fldChar w:fldCharType="begin"/>
        </w:r>
        <w:r>
          <w:rPr>
            <w:noProof/>
            <w:webHidden/>
          </w:rPr>
          <w:instrText xml:space="preserve"> PAGEREF _Toc268186021 \h </w:instrText>
        </w:r>
        <w:r>
          <w:rPr>
            <w:noProof/>
            <w:webHidden/>
          </w:rPr>
        </w:r>
        <w:r>
          <w:rPr>
            <w:noProof/>
            <w:webHidden/>
          </w:rPr>
          <w:fldChar w:fldCharType="separate"/>
        </w:r>
        <w:r w:rsidR="002C33CA">
          <w:rPr>
            <w:noProof/>
            <w:webHidden/>
          </w:rPr>
          <w:t>10</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22" w:history="1">
        <w:r w:rsidRPr="00F5701B">
          <w:rPr>
            <w:rStyle w:val="Hyperlink"/>
            <w:noProof/>
            <w:lang w:val="en-US"/>
          </w:rPr>
          <w:t>1.7 Structure</w:t>
        </w:r>
        <w:r>
          <w:rPr>
            <w:noProof/>
            <w:webHidden/>
          </w:rPr>
          <w:tab/>
        </w:r>
        <w:r>
          <w:rPr>
            <w:noProof/>
            <w:webHidden/>
          </w:rPr>
          <w:fldChar w:fldCharType="begin"/>
        </w:r>
        <w:r>
          <w:rPr>
            <w:noProof/>
            <w:webHidden/>
          </w:rPr>
          <w:instrText xml:space="preserve"> PAGEREF _Toc268186022 \h </w:instrText>
        </w:r>
        <w:r>
          <w:rPr>
            <w:noProof/>
            <w:webHidden/>
          </w:rPr>
        </w:r>
        <w:r>
          <w:rPr>
            <w:noProof/>
            <w:webHidden/>
          </w:rPr>
          <w:fldChar w:fldCharType="separate"/>
        </w:r>
        <w:r w:rsidR="002C33CA">
          <w:rPr>
            <w:noProof/>
            <w:webHidden/>
          </w:rPr>
          <w:t>11</w:t>
        </w:r>
        <w:r>
          <w:rPr>
            <w:noProof/>
            <w:webHidden/>
          </w:rPr>
          <w:fldChar w:fldCharType="end"/>
        </w:r>
      </w:hyperlink>
    </w:p>
    <w:p w:rsidR="001D6EB9" w:rsidRDefault="001D6EB9">
      <w:pPr>
        <w:pStyle w:val="Inhopg1"/>
        <w:rPr>
          <w:rStyle w:val="Hyperlink"/>
        </w:rPr>
      </w:pPr>
    </w:p>
    <w:p w:rsidR="001D6EB9" w:rsidRDefault="001D6EB9">
      <w:pPr>
        <w:pStyle w:val="Inhopg1"/>
        <w:rPr>
          <w:rFonts w:asciiTheme="minorHAnsi" w:eastAsiaTheme="minorEastAsia" w:hAnsiTheme="minorHAnsi" w:cstheme="minorBidi"/>
          <w:b w:val="0"/>
          <w:bCs w:val="0"/>
          <w:sz w:val="22"/>
          <w:szCs w:val="22"/>
          <w:lang w:val="nl-NL" w:eastAsia="nl-NL" w:bidi="ar-SA"/>
        </w:rPr>
      </w:pPr>
      <w:hyperlink w:anchor="_Toc268186023" w:history="1">
        <w:r w:rsidRPr="00F5701B">
          <w:rPr>
            <w:rStyle w:val="Hyperlink"/>
            <w:lang w:val="en-US"/>
          </w:rPr>
          <w:t>2 West-European countries</w:t>
        </w:r>
        <w:r>
          <w:rPr>
            <w:webHidden/>
          </w:rPr>
          <w:tab/>
        </w:r>
        <w:r>
          <w:rPr>
            <w:webHidden/>
          </w:rPr>
          <w:fldChar w:fldCharType="begin"/>
        </w:r>
        <w:r>
          <w:rPr>
            <w:webHidden/>
          </w:rPr>
          <w:instrText xml:space="preserve"> PAGEREF _Toc268186023 \h </w:instrText>
        </w:r>
        <w:r>
          <w:rPr>
            <w:webHidden/>
          </w:rPr>
        </w:r>
        <w:r>
          <w:rPr>
            <w:webHidden/>
          </w:rPr>
          <w:fldChar w:fldCharType="separate"/>
        </w:r>
        <w:r w:rsidR="002C33CA">
          <w:rPr>
            <w:webHidden/>
          </w:rPr>
          <w:t>12</w:t>
        </w:r>
        <w:r>
          <w:rPr>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24" w:history="1">
        <w:r w:rsidRPr="00F5701B">
          <w:rPr>
            <w:rStyle w:val="Hyperlink"/>
            <w:noProof/>
            <w:lang w:val="en-US"/>
          </w:rPr>
          <w:t>2.1 Economic background West-European countries</w:t>
        </w:r>
        <w:r>
          <w:rPr>
            <w:noProof/>
            <w:webHidden/>
          </w:rPr>
          <w:tab/>
        </w:r>
        <w:r>
          <w:rPr>
            <w:noProof/>
            <w:webHidden/>
          </w:rPr>
          <w:fldChar w:fldCharType="begin"/>
        </w:r>
        <w:r>
          <w:rPr>
            <w:noProof/>
            <w:webHidden/>
          </w:rPr>
          <w:instrText xml:space="preserve"> PAGEREF _Toc268186024 \h </w:instrText>
        </w:r>
        <w:r>
          <w:rPr>
            <w:noProof/>
            <w:webHidden/>
          </w:rPr>
        </w:r>
        <w:r>
          <w:rPr>
            <w:noProof/>
            <w:webHidden/>
          </w:rPr>
          <w:fldChar w:fldCharType="separate"/>
        </w:r>
        <w:r w:rsidR="002C33CA">
          <w:rPr>
            <w:noProof/>
            <w:webHidden/>
          </w:rPr>
          <w:t>12</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25" w:history="1">
        <w:r w:rsidRPr="00F5701B">
          <w:rPr>
            <w:rStyle w:val="Hyperlink"/>
            <w:noProof/>
          </w:rPr>
          <w:t>2.2 The capital Basle Accords</w:t>
        </w:r>
        <w:r>
          <w:rPr>
            <w:noProof/>
            <w:webHidden/>
          </w:rPr>
          <w:tab/>
        </w:r>
        <w:r>
          <w:rPr>
            <w:noProof/>
            <w:webHidden/>
          </w:rPr>
          <w:fldChar w:fldCharType="begin"/>
        </w:r>
        <w:r>
          <w:rPr>
            <w:noProof/>
            <w:webHidden/>
          </w:rPr>
          <w:instrText xml:space="preserve"> PAGEREF _Toc268186025 \h </w:instrText>
        </w:r>
        <w:r>
          <w:rPr>
            <w:noProof/>
            <w:webHidden/>
          </w:rPr>
        </w:r>
        <w:r>
          <w:rPr>
            <w:noProof/>
            <w:webHidden/>
          </w:rPr>
          <w:fldChar w:fldCharType="separate"/>
        </w:r>
        <w:r w:rsidR="002C33CA">
          <w:rPr>
            <w:noProof/>
            <w:webHidden/>
          </w:rPr>
          <w:t>18</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26" w:history="1">
        <w:r w:rsidRPr="00F5701B">
          <w:rPr>
            <w:rStyle w:val="Hyperlink"/>
            <w:i/>
            <w:iCs/>
            <w:noProof/>
          </w:rPr>
          <w:t>2.2.1 Basle Accord І</w:t>
        </w:r>
        <w:r>
          <w:rPr>
            <w:noProof/>
            <w:webHidden/>
          </w:rPr>
          <w:tab/>
        </w:r>
        <w:r>
          <w:rPr>
            <w:noProof/>
            <w:webHidden/>
          </w:rPr>
          <w:fldChar w:fldCharType="begin"/>
        </w:r>
        <w:r>
          <w:rPr>
            <w:noProof/>
            <w:webHidden/>
          </w:rPr>
          <w:instrText xml:space="preserve"> PAGEREF _Toc268186026 \h </w:instrText>
        </w:r>
        <w:r>
          <w:rPr>
            <w:noProof/>
            <w:webHidden/>
          </w:rPr>
        </w:r>
        <w:r>
          <w:rPr>
            <w:noProof/>
            <w:webHidden/>
          </w:rPr>
          <w:fldChar w:fldCharType="separate"/>
        </w:r>
        <w:r w:rsidR="002C33CA">
          <w:rPr>
            <w:noProof/>
            <w:webHidden/>
          </w:rPr>
          <w:t>18</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27" w:history="1">
        <w:r w:rsidRPr="00F5701B">
          <w:rPr>
            <w:rStyle w:val="Hyperlink"/>
            <w:i/>
            <w:iCs/>
            <w:noProof/>
          </w:rPr>
          <w:t>2.2.2 Basle Accord ІІ</w:t>
        </w:r>
        <w:r>
          <w:rPr>
            <w:noProof/>
            <w:webHidden/>
          </w:rPr>
          <w:tab/>
        </w:r>
        <w:r>
          <w:rPr>
            <w:noProof/>
            <w:webHidden/>
          </w:rPr>
          <w:fldChar w:fldCharType="begin"/>
        </w:r>
        <w:r>
          <w:rPr>
            <w:noProof/>
            <w:webHidden/>
          </w:rPr>
          <w:instrText xml:space="preserve"> PAGEREF _Toc268186027 \h </w:instrText>
        </w:r>
        <w:r>
          <w:rPr>
            <w:noProof/>
            <w:webHidden/>
          </w:rPr>
        </w:r>
        <w:r>
          <w:rPr>
            <w:noProof/>
            <w:webHidden/>
          </w:rPr>
          <w:fldChar w:fldCharType="separate"/>
        </w:r>
        <w:r w:rsidR="002C33CA">
          <w:rPr>
            <w:noProof/>
            <w:webHidden/>
          </w:rPr>
          <w:t>20</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28" w:history="1">
        <w:r w:rsidRPr="00F5701B">
          <w:rPr>
            <w:rStyle w:val="Hyperlink"/>
            <w:i/>
            <w:iCs/>
            <w:noProof/>
          </w:rPr>
          <w:t>2.2.3 Significance of the Basle Accords in the banking sector</w:t>
        </w:r>
        <w:r>
          <w:rPr>
            <w:noProof/>
            <w:webHidden/>
          </w:rPr>
          <w:tab/>
        </w:r>
        <w:r>
          <w:rPr>
            <w:noProof/>
            <w:webHidden/>
          </w:rPr>
          <w:fldChar w:fldCharType="begin"/>
        </w:r>
        <w:r>
          <w:rPr>
            <w:noProof/>
            <w:webHidden/>
          </w:rPr>
          <w:instrText xml:space="preserve"> PAGEREF _Toc268186028 \h </w:instrText>
        </w:r>
        <w:r>
          <w:rPr>
            <w:noProof/>
            <w:webHidden/>
          </w:rPr>
        </w:r>
        <w:r>
          <w:rPr>
            <w:noProof/>
            <w:webHidden/>
          </w:rPr>
          <w:fldChar w:fldCharType="separate"/>
        </w:r>
        <w:r w:rsidR="002C33CA">
          <w:rPr>
            <w:noProof/>
            <w:webHidden/>
          </w:rPr>
          <w:t>23</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29" w:history="1">
        <w:r w:rsidRPr="00F5701B">
          <w:rPr>
            <w:rStyle w:val="Hyperlink"/>
            <w:noProof/>
          </w:rPr>
          <w:t>2.3 Summary</w:t>
        </w:r>
        <w:r>
          <w:rPr>
            <w:noProof/>
            <w:webHidden/>
          </w:rPr>
          <w:tab/>
        </w:r>
        <w:r>
          <w:rPr>
            <w:noProof/>
            <w:webHidden/>
          </w:rPr>
          <w:fldChar w:fldCharType="begin"/>
        </w:r>
        <w:r>
          <w:rPr>
            <w:noProof/>
            <w:webHidden/>
          </w:rPr>
          <w:instrText xml:space="preserve"> PAGEREF _Toc268186029 \h </w:instrText>
        </w:r>
        <w:r>
          <w:rPr>
            <w:noProof/>
            <w:webHidden/>
          </w:rPr>
        </w:r>
        <w:r>
          <w:rPr>
            <w:noProof/>
            <w:webHidden/>
          </w:rPr>
          <w:fldChar w:fldCharType="separate"/>
        </w:r>
        <w:r w:rsidR="002C33CA">
          <w:rPr>
            <w:noProof/>
            <w:webHidden/>
          </w:rPr>
          <w:t>23</w:t>
        </w:r>
        <w:r>
          <w:rPr>
            <w:noProof/>
            <w:webHidden/>
          </w:rPr>
          <w:fldChar w:fldCharType="end"/>
        </w:r>
      </w:hyperlink>
    </w:p>
    <w:p w:rsidR="001D6EB9" w:rsidRDefault="001D6EB9">
      <w:pPr>
        <w:pStyle w:val="Inhopg1"/>
        <w:rPr>
          <w:rStyle w:val="Hyperlink"/>
        </w:rPr>
      </w:pPr>
    </w:p>
    <w:p w:rsidR="001D6EB9" w:rsidRDefault="001D6EB9">
      <w:pPr>
        <w:pStyle w:val="Inhopg1"/>
        <w:rPr>
          <w:rFonts w:asciiTheme="minorHAnsi" w:eastAsiaTheme="minorEastAsia" w:hAnsiTheme="minorHAnsi" w:cstheme="minorBidi"/>
          <w:b w:val="0"/>
          <w:bCs w:val="0"/>
          <w:sz w:val="22"/>
          <w:szCs w:val="22"/>
          <w:lang w:val="nl-NL" w:eastAsia="nl-NL" w:bidi="ar-SA"/>
        </w:rPr>
      </w:pPr>
      <w:hyperlink w:anchor="_Toc268186030" w:history="1">
        <w:r w:rsidRPr="00F5701B">
          <w:rPr>
            <w:rStyle w:val="Hyperlink"/>
          </w:rPr>
          <w:t>3 Accounting conservatism</w:t>
        </w:r>
        <w:r>
          <w:rPr>
            <w:webHidden/>
          </w:rPr>
          <w:tab/>
        </w:r>
        <w:r>
          <w:rPr>
            <w:webHidden/>
          </w:rPr>
          <w:fldChar w:fldCharType="begin"/>
        </w:r>
        <w:r>
          <w:rPr>
            <w:webHidden/>
          </w:rPr>
          <w:instrText xml:space="preserve"> PAGEREF _Toc268186030 \h </w:instrText>
        </w:r>
        <w:r>
          <w:rPr>
            <w:webHidden/>
          </w:rPr>
        </w:r>
        <w:r>
          <w:rPr>
            <w:webHidden/>
          </w:rPr>
          <w:fldChar w:fldCharType="separate"/>
        </w:r>
        <w:r w:rsidR="002C33CA">
          <w:rPr>
            <w:webHidden/>
          </w:rPr>
          <w:t>24</w:t>
        </w:r>
        <w:r>
          <w:rPr>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31" w:history="1">
        <w:r w:rsidRPr="00F5701B">
          <w:rPr>
            <w:rStyle w:val="Hyperlink"/>
            <w:noProof/>
          </w:rPr>
          <w:t>3.1 Definition</w:t>
        </w:r>
        <w:r>
          <w:rPr>
            <w:noProof/>
            <w:webHidden/>
          </w:rPr>
          <w:tab/>
        </w:r>
        <w:r>
          <w:rPr>
            <w:noProof/>
            <w:webHidden/>
          </w:rPr>
          <w:fldChar w:fldCharType="begin"/>
        </w:r>
        <w:r>
          <w:rPr>
            <w:noProof/>
            <w:webHidden/>
          </w:rPr>
          <w:instrText xml:space="preserve"> PAGEREF _Toc268186031 \h </w:instrText>
        </w:r>
        <w:r>
          <w:rPr>
            <w:noProof/>
            <w:webHidden/>
          </w:rPr>
        </w:r>
        <w:r>
          <w:rPr>
            <w:noProof/>
            <w:webHidden/>
          </w:rPr>
          <w:fldChar w:fldCharType="separate"/>
        </w:r>
        <w:r w:rsidR="002C33CA">
          <w:rPr>
            <w:noProof/>
            <w:webHidden/>
          </w:rPr>
          <w:t>24</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32" w:history="1">
        <w:r w:rsidRPr="00F5701B">
          <w:rPr>
            <w:rStyle w:val="Hyperlink"/>
            <w:noProof/>
          </w:rPr>
          <w:t>3.2 Conditional and unconditional accounting conservatism</w:t>
        </w:r>
        <w:r>
          <w:rPr>
            <w:noProof/>
            <w:webHidden/>
          </w:rPr>
          <w:tab/>
        </w:r>
        <w:r>
          <w:rPr>
            <w:noProof/>
            <w:webHidden/>
          </w:rPr>
          <w:fldChar w:fldCharType="begin"/>
        </w:r>
        <w:r>
          <w:rPr>
            <w:noProof/>
            <w:webHidden/>
          </w:rPr>
          <w:instrText xml:space="preserve"> PAGEREF _Toc268186032 \h </w:instrText>
        </w:r>
        <w:r>
          <w:rPr>
            <w:noProof/>
            <w:webHidden/>
          </w:rPr>
        </w:r>
        <w:r>
          <w:rPr>
            <w:noProof/>
            <w:webHidden/>
          </w:rPr>
          <w:fldChar w:fldCharType="separate"/>
        </w:r>
        <w:r w:rsidR="002C33CA">
          <w:rPr>
            <w:noProof/>
            <w:webHidden/>
          </w:rPr>
          <w:t>24</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33" w:history="1">
        <w:r w:rsidRPr="00F5701B">
          <w:rPr>
            <w:rStyle w:val="Hyperlink"/>
            <w:noProof/>
          </w:rPr>
          <w:t>3.3 Explanations of accounting conservatism</w:t>
        </w:r>
        <w:r>
          <w:rPr>
            <w:noProof/>
            <w:webHidden/>
          </w:rPr>
          <w:tab/>
        </w:r>
        <w:r>
          <w:rPr>
            <w:noProof/>
            <w:webHidden/>
          </w:rPr>
          <w:fldChar w:fldCharType="begin"/>
        </w:r>
        <w:r>
          <w:rPr>
            <w:noProof/>
            <w:webHidden/>
          </w:rPr>
          <w:instrText xml:space="preserve"> PAGEREF _Toc268186033 \h </w:instrText>
        </w:r>
        <w:r>
          <w:rPr>
            <w:noProof/>
            <w:webHidden/>
          </w:rPr>
        </w:r>
        <w:r>
          <w:rPr>
            <w:noProof/>
            <w:webHidden/>
          </w:rPr>
          <w:fldChar w:fldCharType="separate"/>
        </w:r>
        <w:r w:rsidR="002C33CA">
          <w:rPr>
            <w:noProof/>
            <w:webHidden/>
          </w:rPr>
          <w:t>25</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34" w:history="1">
        <w:r w:rsidRPr="00F5701B">
          <w:rPr>
            <w:rStyle w:val="Hyperlink"/>
            <w:i/>
            <w:iCs/>
            <w:noProof/>
            <w:lang w:val="en-US"/>
          </w:rPr>
          <w:t>3.3.1 Contracting</w:t>
        </w:r>
        <w:r>
          <w:rPr>
            <w:noProof/>
            <w:webHidden/>
          </w:rPr>
          <w:tab/>
        </w:r>
        <w:r>
          <w:rPr>
            <w:noProof/>
            <w:webHidden/>
          </w:rPr>
          <w:fldChar w:fldCharType="begin"/>
        </w:r>
        <w:r>
          <w:rPr>
            <w:noProof/>
            <w:webHidden/>
          </w:rPr>
          <w:instrText xml:space="preserve"> PAGEREF _Toc268186034 \h </w:instrText>
        </w:r>
        <w:r>
          <w:rPr>
            <w:noProof/>
            <w:webHidden/>
          </w:rPr>
        </w:r>
        <w:r>
          <w:rPr>
            <w:noProof/>
            <w:webHidden/>
          </w:rPr>
          <w:fldChar w:fldCharType="separate"/>
        </w:r>
        <w:r w:rsidR="002C33CA">
          <w:rPr>
            <w:noProof/>
            <w:webHidden/>
          </w:rPr>
          <w:t>25</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35" w:history="1">
        <w:r w:rsidRPr="00F5701B">
          <w:rPr>
            <w:rStyle w:val="Hyperlink"/>
            <w:i/>
            <w:iCs/>
            <w:noProof/>
          </w:rPr>
          <w:t>3.3.2 Shareholder litigation</w:t>
        </w:r>
        <w:r>
          <w:rPr>
            <w:noProof/>
            <w:webHidden/>
          </w:rPr>
          <w:tab/>
        </w:r>
        <w:r>
          <w:rPr>
            <w:noProof/>
            <w:webHidden/>
          </w:rPr>
          <w:fldChar w:fldCharType="begin"/>
        </w:r>
        <w:r>
          <w:rPr>
            <w:noProof/>
            <w:webHidden/>
          </w:rPr>
          <w:instrText xml:space="preserve"> PAGEREF _Toc268186035 \h </w:instrText>
        </w:r>
        <w:r>
          <w:rPr>
            <w:noProof/>
            <w:webHidden/>
          </w:rPr>
        </w:r>
        <w:r>
          <w:rPr>
            <w:noProof/>
            <w:webHidden/>
          </w:rPr>
          <w:fldChar w:fldCharType="separate"/>
        </w:r>
        <w:r w:rsidR="002C33CA">
          <w:rPr>
            <w:noProof/>
            <w:webHidden/>
          </w:rPr>
          <w:t>27</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36" w:history="1">
        <w:r w:rsidRPr="00F5701B">
          <w:rPr>
            <w:rStyle w:val="Hyperlink"/>
            <w:i/>
            <w:iCs/>
            <w:noProof/>
          </w:rPr>
          <w:t>3.3.3 Income tax &amp; Firm governance</w:t>
        </w:r>
        <w:r>
          <w:rPr>
            <w:noProof/>
            <w:webHidden/>
          </w:rPr>
          <w:tab/>
        </w:r>
        <w:r>
          <w:rPr>
            <w:noProof/>
            <w:webHidden/>
          </w:rPr>
          <w:fldChar w:fldCharType="begin"/>
        </w:r>
        <w:r>
          <w:rPr>
            <w:noProof/>
            <w:webHidden/>
          </w:rPr>
          <w:instrText xml:space="preserve"> PAGEREF _Toc268186036 \h </w:instrText>
        </w:r>
        <w:r>
          <w:rPr>
            <w:noProof/>
            <w:webHidden/>
          </w:rPr>
        </w:r>
        <w:r>
          <w:rPr>
            <w:noProof/>
            <w:webHidden/>
          </w:rPr>
          <w:fldChar w:fldCharType="separate"/>
        </w:r>
        <w:r w:rsidR="002C33CA">
          <w:rPr>
            <w:noProof/>
            <w:webHidden/>
          </w:rPr>
          <w:t>27</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37" w:history="1">
        <w:r w:rsidRPr="00F5701B">
          <w:rPr>
            <w:rStyle w:val="Hyperlink"/>
            <w:i/>
            <w:iCs/>
            <w:noProof/>
            <w:lang w:val="en-US"/>
          </w:rPr>
          <w:t>3.3.4 Accounting Regulation</w:t>
        </w:r>
        <w:r>
          <w:rPr>
            <w:noProof/>
            <w:webHidden/>
          </w:rPr>
          <w:tab/>
        </w:r>
        <w:r>
          <w:rPr>
            <w:noProof/>
            <w:webHidden/>
          </w:rPr>
          <w:fldChar w:fldCharType="begin"/>
        </w:r>
        <w:r>
          <w:rPr>
            <w:noProof/>
            <w:webHidden/>
          </w:rPr>
          <w:instrText xml:space="preserve"> PAGEREF _Toc268186037 \h </w:instrText>
        </w:r>
        <w:r>
          <w:rPr>
            <w:noProof/>
            <w:webHidden/>
          </w:rPr>
        </w:r>
        <w:r>
          <w:rPr>
            <w:noProof/>
            <w:webHidden/>
          </w:rPr>
          <w:fldChar w:fldCharType="separate"/>
        </w:r>
        <w:r w:rsidR="002C33CA">
          <w:rPr>
            <w:noProof/>
            <w:webHidden/>
          </w:rPr>
          <w:t>27</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38" w:history="1">
        <w:r w:rsidRPr="00F5701B">
          <w:rPr>
            <w:rStyle w:val="Hyperlink"/>
            <w:noProof/>
          </w:rPr>
          <w:t>3.4 Summary</w:t>
        </w:r>
        <w:r>
          <w:rPr>
            <w:noProof/>
            <w:webHidden/>
          </w:rPr>
          <w:tab/>
        </w:r>
        <w:r>
          <w:rPr>
            <w:noProof/>
            <w:webHidden/>
          </w:rPr>
          <w:fldChar w:fldCharType="begin"/>
        </w:r>
        <w:r>
          <w:rPr>
            <w:noProof/>
            <w:webHidden/>
          </w:rPr>
          <w:instrText xml:space="preserve"> PAGEREF _Toc268186038 \h </w:instrText>
        </w:r>
        <w:r>
          <w:rPr>
            <w:noProof/>
            <w:webHidden/>
          </w:rPr>
        </w:r>
        <w:r>
          <w:rPr>
            <w:noProof/>
            <w:webHidden/>
          </w:rPr>
          <w:fldChar w:fldCharType="separate"/>
        </w:r>
        <w:r w:rsidR="002C33CA">
          <w:rPr>
            <w:noProof/>
            <w:webHidden/>
          </w:rPr>
          <w:t>28</w:t>
        </w:r>
        <w:r>
          <w:rPr>
            <w:noProof/>
            <w:webHidden/>
          </w:rPr>
          <w:fldChar w:fldCharType="end"/>
        </w:r>
      </w:hyperlink>
    </w:p>
    <w:p w:rsidR="001D6EB9" w:rsidRDefault="001D6EB9">
      <w:pPr>
        <w:pStyle w:val="Inhopg1"/>
        <w:rPr>
          <w:rStyle w:val="Hyperlink"/>
        </w:rPr>
      </w:pPr>
    </w:p>
    <w:p w:rsidR="001D6EB9" w:rsidRDefault="001D6EB9">
      <w:pPr>
        <w:pStyle w:val="Inhopg1"/>
        <w:rPr>
          <w:rFonts w:asciiTheme="minorHAnsi" w:eastAsiaTheme="minorEastAsia" w:hAnsiTheme="minorHAnsi" w:cstheme="minorBidi"/>
          <w:b w:val="0"/>
          <w:bCs w:val="0"/>
          <w:sz w:val="22"/>
          <w:szCs w:val="22"/>
          <w:lang w:val="nl-NL" w:eastAsia="nl-NL" w:bidi="ar-SA"/>
        </w:rPr>
      </w:pPr>
      <w:hyperlink w:anchor="_Toc268186039" w:history="1">
        <w:r w:rsidRPr="00F5701B">
          <w:rPr>
            <w:rStyle w:val="Hyperlink"/>
          </w:rPr>
          <w:t>4 Literature review</w:t>
        </w:r>
        <w:r>
          <w:rPr>
            <w:webHidden/>
          </w:rPr>
          <w:tab/>
        </w:r>
        <w:r>
          <w:rPr>
            <w:webHidden/>
          </w:rPr>
          <w:fldChar w:fldCharType="begin"/>
        </w:r>
        <w:r>
          <w:rPr>
            <w:webHidden/>
          </w:rPr>
          <w:instrText xml:space="preserve"> PAGEREF _Toc268186039 \h </w:instrText>
        </w:r>
        <w:r>
          <w:rPr>
            <w:webHidden/>
          </w:rPr>
        </w:r>
        <w:r>
          <w:rPr>
            <w:webHidden/>
          </w:rPr>
          <w:fldChar w:fldCharType="separate"/>
        </w:r>
        <w:r w:rsidR="002C33CA">
          <w:rPr>
            <w:webHidden/>
          </w:rPr>
          <w:t>29</w:t>
        </w:r>
        <w:r>
          <w:rPr>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40" w:history="1">
        <w:r w:rsidRPr="00F5701B">
          <w:rPr>
            <w:rStyle w:val="Hyperlink"/>
            <w:noProof/>
          </w:rPr>
          <w:t>4.1 measures for accounting conservatism</w:t>
        </w:r>
        <w:r>
          <w:rPr>
            <w:noProof/>
            <w:webHidden/>
          </w:rPr>
          <w:tab/>
        </w:r>
        <w:r>
          <w:rPr>
            <w:noProof/>
            <w:webHidden/>
          </w:rPr>
          <w:fldChar w:fldCharType="begin"/>
        </w:r>
        <w:r>
          <w:rPr>
            <w:noProof/>
            <w:webHidden/>
          </w:rPr>
          <w:instrText xml:space="preserve"> PAGEREF _Toc268186040 \h </w:instrText>
        </w:r>
        <w:r>
          <w:rPr>
            <w:noProof/>
            <w:webHidden/>
          </w:rPr>
        </w:r>
        <w:r>
          <w:rPr>
            <w:noProof/>
            <w:webHidden/>
          </w:rPr>
          <w:fldChar w:fldCharType="separate"/>
        </w:r>
        <w:r w:rsidR="002C33CA">
          <w:rPr>
            <w:noProof/>
            <w:webHidden/>
          </w:rPr>
          <w:t>29</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41" w:history="1">
        <w:r w:rsidRPr="00F5701B">
          <w:rPr>
            <w:rStyle w:val="Hyperlink"/>
            <w:i/>
            <w:iCs/>
            <w:noProof/>
          </w:rPr>
          <w:t>4.1.1 Net assets measures (Feltham and Ohlsen models)</w:t>
        </w:r>
        <w:r>
          <w:rPr>
            <w:noProof/>
            <w:webHidden/>
          </w:rPr>
          <w:tab/>
        </w:r>
        <w:r>
          <w:rPr>
            <w:noProof/>
            <w:webHidden/>
          </w:rPr>
          <w:fldChar w:fldCharType="begin"/>
        </w:r>
        <w:r>
          <w:rPr>
            <w:noProof/>
            <w:webHidden/>
          </w:rPr>
          <w:instrText xml:space="preserve"> PAGEREF _Toc268186041 \h </w:instrText>
        </w:r>
        <w:r>
          <w:rPr>
            <w:noProof/>
            <w:webHidden/>
          </w:rPr>
        </w:r>
        <w:r>
          <w:rPr>
            <w:noProof/>
            <w:webHidden/>
          </w:rPr>
          <w:fldChar w:fldCharType="separate"/>
        </w:r>
        <w:r w:rsidR="002C33CA">
          <w:rPr>
            <w:noProof/>
            <w:webHidden/>
          </w:rPr>
          <w:t>29</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42" w:history="1">
        <w:r w:rsidRPr="00F5701B">
          <w:rPr>
            <w:rStyle w:val="Hyperlink"/>
            <w:i/>
            <w:iCs/>
            <w:noProof/>
            <w:lang w:val="en-US"/>
          </w:rPr>
          <w:t>4.1.2 Net asset measures (book-to-market and conditional conservatism)</w:t>
        </w:r>
        <w:r>
          <w:rPr>
            <w:noProof/>
            <w:webHidden/>
          </w:rPr>
          <w:tab/>
        </w:r>
        <w:r>
          <w:rPr>
            <w:noProof/>
            <w:webHidden/>
          </w:rPr>
          <w:fldChar w:fldCharType="begin"/>
        </w:r>
        <w:r>
          <w:rPr>
            <w:noProof/>
            <w:webHidden/>
          </w:rPr>
          <w:instrText xml:space="preserve"> PAGEREF _Toc268186042 \h </w:instrText>
        </w:r>
        <w:r>
          <w:rPr>
            <w:noProof/>
            <w:webHidden/>
          </w:rPr>
        </w:r>
        <w:r>
          <w:rPr>
            <w:noProof/>
            <w:webHidden/>
          </w:rPr>
          <w:fldChar w:fldCharType="separate"/>
        </w:r>
        <w:r w:rsidR="002C33CA">
          <w:rPr>
            <w:noProof/>
            <w:webHidden/>
          </w:rPr>
          <w:t>29</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43" w:history="1">
        <w:r w:rsidRPr="00F5701B">
          <w:rPr>
            <w:rStyle w:val="Hyperlink"/>
            <w:i/>
            <w:iCs/>
            <w:noProof/>
            <w:lang w:val="en-US"/>
          </w:rPr>
          <w:t>4.1.3 Earnings/Accrual Measures</w:t>
        </w:r>
        <w:r>
          <w:rPr>
            <w:noProof/>
            <w:webHidden/>
          </w:rPr>
          <w:tab/>
        </w:r>
        <w:r>
          <w:rPr>
            <w:noProof/>
            <w:webHidden/>
          </w:rPr>
          <w:fldChar w:fldCharType="begin"/>
        </w:r>
        <w:r>
          <w:rPr>
            <w:noProof/>
            <w:webHidden/>
          </w:rPr>
          <w:instrText xml:space="preserve"> PAGEREF _Toc268186043 \h </w:instrText>
        </w:r>
        <w:r>
          <w:rPr>
            <w:noProof/>
            <w:webHidden/>
          </w:rPr>
        </w:r>
        <w:r>
          <w:rPr>
            <w:noProof/>
            <w:webHidden/>
          </w:rPr>
          <w:fldChar w:fldCharType="separate"/>
        </w:r>
        <w:r w:rsidR="002C33CA">
          <w:rPr>
            <w:noProof/>
            <w:webHidden/>
          </w:rPr>
          <w:t>30</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44" w:history="1">
        <w:r w:rsidRPr="00F5701B">
          <w:rPr>
            <w:rStyle w:val="Hyperlink"/>
            <w:i/>
            <w:iCs/>
            <w:noProof/>
            <w:lang w:val="en-US" w:eastAsia="nl-NL"/>
          </w:rPr>
          <w:t>4.1.4 Earnings/stock returns relation measures</w:t>
        </w:r>
        <w:r>
          <w:rPr>
            <w:noProof/>
            <w:webHidden/>
          </w:rPr>
          <w:tab/>
        </w:r>
        <w:r>
          <w:rPr>
            <w:noProof/>
            <w:webHidden/>
          </w:rPr>
          <w:fldChar w:fldCharType="begin"/>
        </w:r>
        <w:r>
          <w:rPr>
            <w:noProof/>
            <w:webHidden/>
          </w:rPr>
          <w:instrText xml:space="preserve"> PAGEREF _Toc268186044 \h </w:instrText>
        </w:r>
        <w:r>
          <w:rPr>
            <w:noProof/>
            <w:webHidden/>
          </w:rPr>
        </w:r>
        <w:r>
          <w:rPr>
            <w:noProof/>
            <w:webHidden/>
          </w:rPr>
          <w:fldChar w:fldCharType="separate"/>
        </w:r>
        <w:r w:rsidR="002C33CA">
          <w:rPr>
            <w:noProof/>
            <w:webHidden/>
          </w:rPr>
          <w:t>31</w:t>
        </w:r>
        <w:r>
          <w:rPr>
            <w:noProof/>
            <w:webHidden/>
          </w:rPr>
          <w:fldChar w:fldCharType="end"/>
        </w:r>
      </w:hyperlink>
    </w:p>
    <w:p w:rsidR="001D6EB9" w:rsidRDefault="001D6EB9">
      <w:pPr>
        <w:pStyle w:val="Inhopg2"/>
        <w:tabs>
          <w:tab w:val="left" w:pos="960"/>
          <w:tab w:val="right" w:leader="dot" w:pos="9060"/>
        </w:tabs>
        <w:rPr>
          <w:rFonts w:asciiTheme="minorHAnsi" w:eastAsiaTheme="minorEastAsia" w:hAnsiTheme="minorHAnsi" w:cstheme="minorBidi"/>
          <w:noProof/>
          <w:sz w:val="22"/>
          <w:szCs w:val="22"/>
          <w:lang w:val="nl-NL" w:eastAsia="nl-NL" w:bidi="ar-SA"/>
        </w:rPr>
      </w:pPr>
      <w:hyperlink w:anchor="_Toc268186045" w:history="1">
        <w:r w:rsidRPr="00F5701B">
          <w:rPr>
            <w:rStyle w:val="Hyperlink"/>
            <w:noProof/>
            <w:lang w:val="en-US" w:eastAsia="nl-NL"/>
          </w:rPr>
          <w:t>4.2</w:t>
        </w:r>
        <w:r>
          <w:rPr>
            <w:rFonts w:asciiTheme="minorHAnsi" w:eastAsiaTheme="minorEastAsia" w:hAnsiTheme="minorHAnsi" w:cstheme="minorBidi"/>
            <w:noProof/>
            <w:sz w:val="22"/>
            <w:szCs w:val="22"/>
            <w:lang w:val="nl-NL" w:eastAsia="nl-NL" w:bidi="ar-SA"/>
          </w:rPr>
          <w:t xml:space="preserve"> </w:t>
        </w:r>
        <w:r w:rsidRPr="00F5701B">
          <w:rPr>
            <w:rStyle w:val="Hyperlink"/>
            <w:noProof/>
            <w:lang w:val="en-US" w:eastAsia="nl-NL"/>
          </w:rPr>
          <w:t>Alternative measures of conditional conservatism</w:t>
        </w:r>
        <w:r>
          <w:rPr>
            <w:noProof/>
            <w:webHidden/>
          </w:rPr>
          <w:tab/>
        </w:r>
        <w:r>
          <w:rPr>
            <w:noProof/>
            <w:webHidden/>
          </w:rPr>
          <w:fldChar w:fldCharType="begin"/>
        </w:r>
        <w:r>
          <w:rPr>
            <w:noProof/>
            <w:webHidden/>
          </w:rPr>
          <w:instrText xml:space="preserve"> PAGEREF _Toc268186045 \h </w:instrText>
        </w:r>
        <w:r>
          <w:rPr>
            <w:noProof/>
            <w:webHidden/>
          </w:rPr>
        </w:r>
        <w:r>
          <w:rPr>
            <w:noProof/>
            <w:webHidden/>
          </w:rPr>
          <w:fldChar w:fldCharType="separate"/>
        </w:r>
        <w:r w:rsidR="002C33CA">
          <w:rPr>
            <w:noProof/>
            <w:webHidden/>
          </w:rPr>
          <w:t>31</w:t>
        </w:r>
        <w:r>
          <w:rPr>
            <w:noProof/>
            <w:webHidden/>
          </w:rPr>
          <w:fldChar w:fldCharType="end"/>
        </w:r>
      </w:hyperlink>
    </w:p>
    <w:p w:rsidR="001D6EB9" w:rsidRDefault="001D6EB9">
      <w:pPr>
        <w:pStyle w:val="Inhopg3"/>
        <w:tabs>
          <w:tab w:val="left" w:pos="1200"/>
          <w:tab w:val="right" w:leader="dot" w:pos="9060"/>
        </w:tabs>
        <w:rPr>
          <w:rFonts w:asciiTheme="minorHAnsi" w:eastAsiaTheme="minorEastAsia" w:hAnsiTheme="minorHAnsi" w:cstheme="minorBidi"/>
          <w:noProof/>
          <w:sz w:val="22"/>
          <w:szCs w:val="22"/>
          <w:lang w:val="nl-NL" w:eastAsia="nl-NL" w:bidi="ar-SA"/>
        </w:rPr>
      </w:pPr>
      <w:hyperlink w:anchor="_Toc268186046" w:history="1">
        <w:r w:rsidRPr="00F5701B">
          <w:rPr>
            <w:rStyle w:val="Hyperlink"/>
            <w:i/>
            <w:iCs/>
            <w:noProof/>
            <w:lang w:val="en-US" w:eastAsia="nl-NL"/>
          </w:rPr>
          <w:t>4.2.1</w:t>
        </w:r>
        <w:r>
          <w:rPr>
            <w:rFonts w:asciiTheme="minorHAnsi" w:eastAsiaTheme="minorEastAsia" w:hAnsiTheme="minorHAnsi" w:cstheme="minorBidi"/>
            <w:noProof/>
            <w:sz w:val="22"/>
            <w:szCs w:val="22"/>
            <w:lang w:val="nl-NL" w:eastAsia="nl-NL" w:bidi="ar-SA"/>
          </w:rPr>
          <w:t xml:space="preserve"> </w:t>
        </w:r>
        <w:r w:rsidRPr="00F5701B">
          <w:rPr>
            <w:rStyle w:val="Hyperlink"/>
            <w:i/>
            <w:iCs/>
            <w:noProof/>
            <w:lang w:val="en-US" w:eastAsia="nl-NL"/>
          </w:rPr>
          <w:t>Measures based on asymmetric reversion</w:t>
        </w:r>
        <w:r>
          <w:rPr>
            <w:noProof/>
            <w:webHidden/>
          </w:rPr>
          <w:tab/>
        </w:r>
        <w:r>
          <w:rPr>
            <w:noProof/>
            <w:webHidden/>
          </w:rPr>
          <w:fldChar w:fldCharType="begin"/>
        </w:r>
        <w:r>
          <w:rPr>
            <w:noProof/>
            <w:webHidden/>
          </w:rPr>
          <w:instrText xml:space="preserve"> PAGEREF _Toc268186046 \h </w:instrText>
        </w:r>
        <w:r>
          <w:rPr>
            <w:noProof/>
            <w:webHidden/>
          </w:rPr>
        </w:r>
        <w:r>
          <w:rPr>
            <w:noProof/>
            <w:webHidden/>
          </w:rPr>
          <w:fldChar w:fldCharType="separate"/>
        </w:r>
        <w:r w:rsidR="002C33CA">
          <w:rPr>
            <w:noProof/>
            <w:webHidden/>
          </w:rPr>
          <w:t>32</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47" w:history="1">
        <w:r w:rsidRPr="00F5701B">
          <w:rPr>
            <w:rStyle w:val="Hyperlink"/>
            <w:i/>
            <w:iCs/>
            <w:noProof/>
            <w:lang w:val="en-US" w:eastAsia="nl-NL"/>
          </w:rPr>
          <w:t>4.2.2 Accruals-based asymmetry measures</w:t>
        </w:r>
        <w:r>
          <w:rPr>
            <w:noProof/>
            <w:webHidden/>
          </w:rPr>
          <w:tab/>
        </w:r>
        <w:r>
          <w:rPr>
            <w:noProof/>
            <w:webHidden/>
          </w:rPr>
          <w:fldChar w:fldCharType="begin"/>
        </w:r>
        <w:r>
          <w:rPr>
            <w:noProof/>
            <w:webHidden/>
          </w:rPr>
          <w:instrText xml:space="preserve"> PAGEREF _Toc268186047 \h </w:instrText>
        </w:r>
        <w:r>
          <w:rPr>
            <w:noProof/>
            <w:webHidden/>
          </w:rPr>
        </w:r>
        <w:r>
          <w:rPr>
            <w:noProof/>
            <w:webHidden/>
          </w:rPr>
          <w:fldChar w:fldCharType="separate"/>
        </w:r>
        <w:r w:rsidR="002C33CA">
          <w:rPr>
            <w:noProof/>
            <w:webHidden/>
          </w:rPr>
          <w:t>32</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48" w:history="1">
        <w:r w:rsidRPr="00F5701B">
          <w:rPr>
            <w:rStyle w:val="Hyperlink"/>
            <w:i/>
            <w:iCs/>
            <w:noProof/>
            <w:lang w:val="en-US" w:eastAsia="nl-NL"/>
          </w:rPr>
          <w:t>4.2.3 Left skew in accounting income</w:t>
        </w:r>
        <w:r>
          <w:rPr>
            <w:noProof/>
            <w:webHidden/>
          </w:rPr>
          <w:tab/>
        </w:r>
        <w:r>
          <w:rPr>
            <w:noProof/>
            <w:webHidden/>
          </w:rPr>
          <w:fldChar w:fldCharType="begin"/>
        </w:r>
        <w:r>
          <w:rPr>
            <w:noProof/>
            <w:webHidden/>
          </w:rPr>
          <w:instrText xml:space="preserve"> PAGEREF _Toc268186048 \h </w:instrText>
        </w:r>
        <w:r>
          <w:rPr>
            <w:noProof/>
            <w:webHidden/>
          </w:rPr>
        </w:r>
        <w:r>
          <w:rPr>
            <w:noProof/>
            <w:webHidden/>
          </w:rPr>
          <w:fldChar w:fldCharType="separate"/>
        </w:r>
        <w:r w:rsidR="002C33CA">
          <w:rPr>
            <w:noProof/>
            <w:webHidden/>
          </w:rPr>
          <w:t>32</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49" w:history="1">
        <w:r w:rsidRPr="00F5701B">
          <w:rPr>
            <w:rStyle w:val="Hyperlink"/>
            <w:noProof/>
          </w:rPr>
          <w:t>4.3 Empirical evidence on accounting conservatism</w:t>
        </w:r>
        <w:r>
          <w:rPr>
            <w:noProof/>
            <w:webHidden/>
          </w:rPr>
          <w:tab/>
        </w:r>
        <w:r>
          <w:rPr>
            <w:noProof/>
            <w:webHidden/>
          </w:rPr>
          <w:fldChar w:fldCharType="begin"/>
        </w:r>
        <w:r>
          <w:rPr>
            <w:noProof/>
            <w:webHidden/>
          </w:rPr>
          <w:instrText xml:space="preserve"> PAGEREF _Toc268186049 \h </w:instrText>
        </w:r>
        <w:r>
          <w:rPr>
            <w:noProof/>
            <w:webHidden/>
          </w:rPr>
        </w:r>
        <w:r>
          <w:rPr>
            <w:noProof/>
            <w:webHidden/>
          </w:rPr>
          <w:fldChar w:fldCharType="separate"/>
        </w:r>
        <w:r w:rsidR="002C33CA">
          <w:rPr>
            <w:noProof/>
            <w:webHidden/>
          </w:rPr>
          <w:t>33</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50" w:history="1">
        <w:r w:rsidRPr="00F5701B">
          <w:rPr>
            <w:rStyle w:val="Hyperlink"/>
            <w:noProof/>
            <w:lang w:val="en-US"/>
          </w:rPr>
          <w:t>4.4 International institutional factors effect on accounting earnings</w:t>
        </w:r>
        <w:r>
          <w:rPr>
            <w:noProof/>
            <w:webHidden/>
          </w:rPr>
          <w:tab/>
        </w:r>
        <w:r>
          <w:rPr>
            <w:noProof/>
            <w:webHidden/>
          </w:rPr>
          <w:fldChar w:fldCharType="begin"/>
        </w:r>
        <w:r>
          <w:rPr>
            <w:noProof/>
            <w:webHidden/>
          </w:rPr>
          <w:instrText xml:space="preserve"> PAGEREF _Toc268186050 \h </w:instrText>
        </w:r>
        <w:r>
          <w:rPr>
            <w:noProof/>
            <w:webHidden/>
          </w:rPr>
        </w:r>
        <w:r>
          <w:rPr>
            <w:noProof/>
            <w:webHidden/>
          </w:rPr>
          <w:fldChar w:fldCharType="separate"/>
        </w:r>
        <w:r w:rsidR="002C33CA">
          <w:rPr>
            <w:noProof/>
            <w:webHidden/>
          </w:rPr>
          <w:t>34</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51" w:history="1">
        <w:r w:rsidRPr="00F5701B">
          <w:rPr>
            <w:rStyle w:val="Hyperlink"/>
            <w:i/>
            <w:iCs/>
            <w:noProof/>
            <w:lang w:val="en-US"/>
          </w:rPr>
          <w:t>4.4.1 Differences due to different GAAP regulations</w:t>
        </w:r>
        <w:r>
          <w:rPr>
            <w:noProof/>
            <w:webHidden/>
          </w:rPr>
          <w:tab/>
        </w:r>
        <w:r>
          <w:rPr>
            <w:noProof/>
            <w:webHidden/>
          </w:rPr>
          <w:fldChar w:fldCharType="begin"/>
        </w:r>
        <w:r>
          <w:rPr>
            <w:noProof/>
            <w:webHidden/>
          </w:rPr>
          <w:instrText xml:space="preserve"> PAGEREF _Toc268186051 \h </w:instrText>
        </w:r>
        <w:r>
          <w:rPr>
            <w:noProof/>
            <w:webHidden/>
          </w:rPr>
        </w:r>
        <w:r>
          <w:rPr>
            <w:noProof/>
            <w:webHidden/>
          </w:rPr>
          <w:fldChar w:fldCharType="separate"/>
        </w:r>
        <w:r w:rsidR="002C33CA">
          <w:rPr>
            <w:noProof/>
            <w:webHidden/>
          </w:rPr>
          <w:t>34</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52" w:history="1">
        <w:r w:rsidRPr="00F5701B">
          <w:rPr>
            <w:rStyle w:val="Hyperlink"/>
            <w:i/>
            <w:iCs/>
            <w:noProof/>
            <w:lang w:val="en-US"/>
          </w:rPr>
          <w:t>4.4.2 Legal differences</w:t>
        </w:r>
        <w:r>
          <w:rPr>
            <w:noProof/>
            <w:webHidden/>
          </w:rPr>
          <w:tab/>
        </w:r>
        <w:r>
          <w:rPr>
            <w:noProof/>
            <w:webHidden/>
          </w:rPr>
          <w:fldChar w:fldCharType="begin"/>
        </w:r>
        <w:r>
          <w:rPr>
            <w:noProof/>
            <w:webHidden/>
          </w:rPr>
          <w:instrText xml:space="preserve"> PAGEREF _Toc268186052 \h </w:instrText>
        </w:r>
        <w:r>
          <w:rPr>
            <w:noProof/>
            <w:webHidden/>
          </w:rPr>
        </w:r>
        <w:r>
          <w:rPr>
            <w:noProof/>
            <w:webHidden/>
          </w:rPr>
          <w:fldChar w:fldCharType="separate"/>
        </w:r>
        <w:r w:rsidR="002C33CA">
          <w:rPr>
            <w:noProof/>
            <w:webHidden/>
          </w:rPr>
          <w:t>35</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53" w:history="1">
        <w:r w:rsidRPr="00F5701B">
          <w:rPr>
            <w:rStyle w:val="Hyperlink"/>
            <w:noProof/>
            <w:lang w:val="en-US"/>
          </w:rPr>
          <w:t>4.5 Accounting conservatism and IFRS</w:t>
        </w:r>
        <w:r>
          <w:rPr>
            <w:noProof/>
            <w:webHidden/>
          </w:rPr>
          <w:tab/>
        </w:r>
        <w:r>
          <w:rPr>
            <w:noProof/>
            <w:webHidden/>
          </w:rPr>
          <w:fldChar w:fldCharType="begin"/>
        </w:r>
        <w:r>
          <w:rPr>
            <w:noProof/>
            <w:webHidden/>
          </w:rPr>
          <w:instrText xml:space="preserve"> PAGEREF _Toc268186053 \h </w:instrText>
        </w:r>
        <w:r>
          <w:rPr>
            <w:noProof/>
            <w:webHidden/>
          </w:rPr>
        </w:r>
        <w:r>
          <w:rPr>
            <w:noProof/>
            <w:webHidden/>
          </w:rPr>
          <w:fldChar w:fldCharType="separate"/>
        </w:r>
        <w:r w:rsidR="002C33CA">
          <w:rPr>
            <w:noProof/>
            <w:webHidden/>
          </w:rPr>
          <w:t>36</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54" w:history="1">
        <w:r w:rsidRPr="00F5701B">
          <w:rPr>
            <w:rStyle w:val="Hyperlink"/>
            <w:i/>
            <w:iCs/>
            <w:noProof/>
            <w:lang w:val="en-US"/>
          </w:rPr>
          <w:t>4.5.1 Introduction to IFRS</w:t>
        </w:r>
        <w:r>
          <w:rPr>
            <w:noProof/>
            <w:webHidden/>
          </w:rPr>
          <w:tab/>
        </w:r>
        <w:r>
          <w:rPr>
            <w:noProof/>
            <w:webHidden/>
          </w:rPr>
          <w:fldChar w:fldCharType="begin"/>
        </w:r>
        <w:r>
          <w:rPr>
            <w:noProof/>
            <w:webHidden/>
          </w:rPr>
          <w:instrText xml:space="preserve"> PAGEREF _Toc268186054 \h </w:instrText>
        </w:r>
        <w:r>
          <w:rPr>
            <w:noProof/>
            <w:webHidden/>
          </w:rPr>
        </w:r>
        <w:r>
          <w:rPr>
            <w:noProof/>
            <w:webHidden/>
          </w:rPr>
          <w:fldChar w:fldCharType="separate"/>
        </w:r>
        <w:r w:rsidR="002C33CA">
          <w:rPr>
            <w:noProof/>
            <w:webHidden/>
          </w:rPr>
          <w:t>36</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55" w:history="1">
        <w:r w:rsidRPr="00F5701B">
          <w:rPr>
            <w:rStyle w:val="Hyperlink"/>
            <w:i/>
            <w:iCs/>
            <w:noProof/>
            <w:lang w:val="en-US"/>
          </w:rPr>
          <w:t>4.5.2 Conservatism and IFRS</w:t>
        </w:r>
        <w:r>
          <w:rPr>
            <w:noProof/>
            <w:webHidden/>
          </w:rPr>
          <w:tab/>
        </w:r>
        <w:r>
          <w:rPr>
            <w:noProof/>
            <w:webHidden/>
          </w:rPr>
          <w:fldChar w:fldCharType="begin"/>
        </w:r>
        <w:r>
          <w:rPr>
            <w:noProof/>
            <w:webHidden/>
          </w:rPr>
          <w:instrText xml:space="preserve"> PAGEREF _Toc268186055 \h </w:instrText>
        </w:r>
        <w:r>
          <w:rPr>
            <w:noProof/>
            <w:webHidden/>
          </w:rPr>
        </w:r>
        <w:r>
          <w:rPr>
            <w:noProof/>
            <w:webHidden/>
          </w:rPr>
          <w:fldChar w:fldCharType="separate"/>
        </w:r>
        <w:r w:rsidR="002C33CA">
          <w:rPr>
            <w:noProof/>
            <w:webHidden/>
          </w:rPr>
          <w:t>36</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56" w:history="1">
        <w:r w:rsidRPr="00F5701B">
          <w:rPr>
            <w:rStyle w:val="Hyperlink"/>
            <w:noProof/>
            <w:lang w:val="en-US" w:eastAsia="nl-NL"/>
          </w:rPr>
          <w:t>4.6 The Basu model</w:t>
        </w:r>
        <w:r>
          <w:rPr>
            <w:noProof/>
            <w:webHidden/>
          </w:rPr>
          <w:tab/>
        </w:r>
        <w:r>
          <w:rPr>
            <w:noProof/>
            <w:webHidden/>
          </w:rPr>
          <w:fldChar w:fldCharType="begin"/>
        </w:r>
        <w:r>
          <w:rPr>
            <w:noProof/>
            <w:webHidden/>
          </w:rPr>
          <w:instrText xml:space="preserve"> PAGEREF _Toc268186056 \h </w:instrText>
        </w:r>
        <w:r>
          <w:rPr>
            <w:noProof/>
            <w:webHidden/>
          </w:rPr>
        </w:r>
        <w:r>
          <w:rPr>
            <w:noProof/>
            <w:webHidden/>
          </w:rPr>
          <w:fldChar w:fldCharType="separate"/>
        </w:r>
        <w:r w:rsidR="002C33CA">
          <w:rPr>
            <w:noProof/>
            <w:webHidden/>
          </w:rPr>
          <w:t>37</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57" w:history="1">
        <w:r w:rsidRPr="00F5701B">
          <w:rPr>
            <w:rStyle w:val="Hyperlink"/>
            <w:noProof/>
            <w:lang w:val="en-US"/>
          </w:rPr>
          <w:t>4.7 The Basu model limitations</w:t>
        </w:r>
        <w:r>
          <w:rPr>
            <w:noProof/>
            <w:webHidden/>
          </w:rPr>
          <w:tab/>
        </w:r>
        <w:r>
          <w:rPr>
            <w:noProof/>
            <w:webHidden/>
          </w:rPr>
          <w:fldChar w:fldCharType="begin"/>
        </w:r>
        <w:r>
          <w:rPr>
            <w:noProof/>
            <w:webHidden/>
          </w:rPr>
          <w:instrText xml:space="preserve"> PAGEREF _Toc268186057 \h </w:instrText>
        </w:r>
        <w:r>
          <w:rPr>
            <w:noProof/>
            <w:webHidden/>
          </w:rPr>
        </w:r>
        <w:r>
          <w:rPr>
            <w:noProof/>
            <w:webHidden/>
          </w:rPr>
          <w:fldChar w:fldCharType="separate"/>
        </w:r>
        <w:r w:rsidR="002C33CA">
          <w:rPr>
            <w:noProof/>
            <w:webHidden/>
          </w:rPr>
          <w:t>38</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58" w:history="1">
        <w:r w:rsidRPr="00F5701B">
          <w:rPr>
            <w:rStyle w:val="Hyperlink"/>
            <w:noProof/>
            <w:lang w:val="en-US"/>
          </w:rPr>
          <w:t>4.8 Summary</w:t>
        </w:r>
        <w:r>
          <w:rPr>
            <w:noProof/>
            <w:webHidden/>
          </w:rPr>
          <w:tab/>
        </w:r>
        <w:r>
          <w:rPr>
            <w:noProof/>
            <w:webHidden/>
          </w:rPr>
          <w:fldChar w:fldCharType="begin"/>
        </w:r>
        <w:r>
          <w:rPr>
            <w:noProof/>
            <w:webHidden/>
          </w:rPr>
          <w:instrText xml:space="preserve"> PAGEREF _Toc268186058 \h </w:instrText>
        </w:r>
        <w:r>
          <w:rPr>
            <w:noProof/>
            <w:webHidden/>
          </w:rPr>
        </w:r>
        <w:r>
          <w:rPr>
            <w:noProof/>
            <w:webHidden/>
          </w:rPr>
          <w:fldChar w:fldCharType="separate"/>
        </w:r>
        <w:r w:rsidR="002C33CA">
          <w:rPr>
            <w:noProof/>
            <w:webHidden/>
          </w:rPr>
          <w:t>39</w:t>
        </w:r>
        <w:r>
          <w:rPr>
            <w:noProof/>
            <w:webHidden/>
          </w:rPr>
          <w:fldChar w:fldCharType="end"/>
        </w:r>
      </w:hyperlink>
    </w:p>
    <w:p w:rsidR="001D6EB9" w:rsidRDefault="001D6EB9">
      <w:pPr>
        <w:pStyle w:val="Inhopg1"/>
        <w:rPr>
          <w:rStyle w:val="Hyperlink"/>
        </w:rPr>
      </w:pPr>
    </w:p>
    <w:p w:rsidR="001D6EB9" w:rsidRDefault="001D6EB9">
      <w:pPr>
        <w:pStyle w:val="Inhopg1"/>
        <w:rPr>
          <w:rFonts w:asciiTheme="minorHAnsi" w:eastAsiaTheme="minorEastAsia" w:hAnsiTheme="minorHAnsi" w:cstheme="minorBidi"/>
          <w:b w:val="0"/>
          <w:bCs w:val="0"/>
          <w:sz w:val="22"/>
          <w:szCs w:val="22"/>
          <w:lang w:val="nl-NL" w:eastAsia="nl-NL" w:bidi="ar-SA"/>
        </w:rPr>
      </w:pPr>
      <w:hyperlink w:anchor="_Toc268186059" w:history="1">
        <w:r w:rsidRPr="00F5701B">
          <w:rPr>
            <w:rStyle w:val="Hyperlink"/>
          </w:rPr>
          <w:t>5 Research design</w:t>
        </w:r>
        <w:r>
          <w:rPr>
            <w:webHidden/>
          </w:rPr>
          <w:tab/>
        </w:r>
        <w:r>
          <w:rPr>
            <w:webHidden/>
          </w:rPr>
          <w:fldChar w:fldCharType="begin"/>
        </w:r>
        <w:r>
          <w:rPr>
            <w:webHidden/>
          </w:rPr>
          <w:instrText xml:space="preserve"> PAGEREF _Toc268186059 \h </w:instrText>
        </w:r>
        <w:r>
          <w:rPr>
            <w:webHidden/>
          </w:rPr>
        </w:r>
        <w:r>
          <w:rPr>
            <w:webHidden/>
          </w:rPr>
          <w:fldChar w:fldCharType="separate"/>
        </w:r>
        <w:r w:rsidR="002C33CA">
          <w:rPr>
            <w:webHidden/>
          </w:rPr>
          <w:t>41</w:t>
        </w:r>
        <w:r>
          <w:rPr>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60" w:history="1">
        <w:r w:rsidRPr="00F5701B">
          <w:rPr>
            <w:rStyle w:val="Hyperlink"/>
            <w:noProof/>
            <w:lang w:val="en-US" w:eastAsia="ar-SA"/>
          </w:rPr>
          <w:t>5.1 Research approach</w:t>
        </w:r>
        <w:r>
          <w:rPr>
            <w:noProof/>
            <w:webHidden/>
          </w:rPr>
          <w:tab/>
        </w:r>
        <w:r>
          <w:rPr>
            <w:noProof/>
            <w:webHidden/>
          </w:rPr>
          <w:fldChar w:fldCharType="begin"/>
        </w:r>
        <w:r>
          <w:rPr>
            <w:noProof/>
            <w:webHidden/>
          </w:rPr>
          <w:instrText xml:space="preserve"> PAGEREF _Toc268186060 \h </w:instrText>
        </w:r>
        <w:r>
          <w:rPr>
            <w:noProof/>
            <w:webHidden/>
          </w:rPr>
        </w:r>
        <w:r>
          <w:rPr>
            <w:noProof/>
            <w:webHidden/>
          </w:rPr>
          <w:fldChar w:fldCharType="separate"/>
        </w:r>
        <w:r w:rsidR="002C33CA">
          <w:rPr>
            <w:noProof/>
            <w:webHidden/>
          </w:rPr>
          <w:t>41</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61" w:history="1">
        <w:r w:rsidRPr="00F5701B">
          <w:rPr>
            <w:rStyle w:val="Hyperlink"/>
            <w:i/>
            <w:iCs/>
            <w:noProof/>
          </w:rPr>
          <w:t>5.1.1 Research type</w:t>
        </w:r>
        <w:r>
          <w:rPr>
            <w:noProof/>
            <w:webHidden/>
          </w:rPr>
          <w:tab/>
        </w:r>
        <w:r>
          <w:rPr>
            <w:noProof/>
            <w:webHidden/>
          </w:rPr>
          <w:fldChar w:fldCharType="begin"/>
        </w:r>
        <w:r>
          <w:rPr>
            <w:noProof/>
            <w:webHidden/>
          </w:rPr>
          <w:instrText xml:space="preserve"> PAGEREF _Toc268186061 \h </w:instrText>
        </w:r>
        <w:r>
          <w:rPr>
            <w:noProof/>
            <w:webHidden/>
          </w:rPr>
        </w:r>
        <w:r>
          <w:rPr>
            <w:noProof/>
            <w:webHidden/>
          </w:rPr>
          <w:fldChar w:fldCharType="separate"/>
        </w:r>
        <w:r w:rsidR="002C33CA">
          <w:rPr>
            <w:noProof/>
            <w:webHidden/>
          </w:rPr>
          <w:t>41</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62" w:history="1">
        <w:r w:rsidRPr="00F5701B">
          <w:rPr>
            <w:rStyle w:val="Hyperlink"/>
            <w:noProof/>
          </w:rPr>
          <w:t>5.2 Hypotheses</w:t>
        </w:r>
        <w:r>
          <w:rPr>
            <w:noProof/>
            <w:webHidden/>
          </w:rPr>
          <w:tab/>
        </w:r>
        <w:r>
          <w:rPr>
            <w:noProof/>
            <w:webHidden/>
          </w:rPr>
          <w:fldChar w:fldCharType="begin"/>
        </w:r>
        <w:r>
          <w:rPr>
            <w:noProof/>
            <w:webHidden/>
          </w:rPr>
          <w:instrText xml:space="preserve"> PAGEREF _Toc268186062 \h </w:instrText>
        </w:r>
        <w:r>
          <w:rPr>
            <w:noProof/>
            <w:webHidden/>
          </w:rPr>
        </w:r>
        <w:r>
          <w:rPr>
            <w:noProof/>
            <w:webHidden/>
          </w:rPr>
          <w:fldChar w:fldCharType="separate"/>
        </w:r>
        <w:r w:rsidR="002C33CA">
          <w:rPr>
            <w:noProof/>
            <w:webHidden/>
          </w:rPr>
          <w:t>42</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63" w:history="1">
        <w:r w:rsidRPr="00F5701B">
          <w:rPr>
            <w:rStyle w:val="Hyperlink"/>
            <w:noProof/>
            <w:lang w:val="en-US" w:eastAsia="ar-SA"/>
          </w:rPr>
          <w:t>5.3 Visual overview of the hypotheses:</w:t>
        </w:r>
        <w:r>
          <w:rPr>
            <w:noProof/>
            <w:webHidden/>
          </w:rPr>
          <w:tab/>
        </w:r>
        <w:r>
          <w:rPr>
            <w:noProof/>
            <w:webHidden/>
          </w:rPr>
          <w:fldChar w:fldCharType="begin"/>
        </w:r>
        <w:r>
          <w:rPr>
            <w:noProof/>
            <w:webHidden/>
          </w:rPr>
          <w:instrText xml:space="preserve"> PAGEREF _Toc268186063 \h </w:instrText>
        </w:r>
        <w:r>
          <w:rPr>
            <w:noProof/>
            <w:webHidden/>
          </w:rPr>
        </w:r>
        <w:r>
          <w:rPr>
            <w:noProof/>
            <w:webHidden/>
          </w:rPr>
          <w:fldChar w:fldCharType="separate"/>
        </w:r>
        <w:r w:rsidR="002C33CA">
          <w:rPr>
            <w:noProof/>
            <w:webHidden/>
          </w:rPr>
          <w:t>44</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66" w:history="1">
        <w:r w:rsidRPr="00F5701B">
          <w:rPr>
            <w:rStyle w:val="Hyperlink"/>
            <w:noProof/>
          </w:rPr>
          <w:t>5.4 Research model</w:t>
        </w:r>
        <w:r>
          <w:rPr>
            <w:noProof/>
            <w:webHidden/>
          </w:rPr>
          <w:tab/>
        </w:r>
        <w:r>
          <w:rPr>
            <w:noProof/>
            <w:webHidden/>
          </w:rPr>
          <w:fldChar w:fldCharType="begin"/>
        </w:r>
        <w:r>
          <w:rPr>
            <w:noProof/>
            <w:webHidden/>
          </w:rPr>
          <w:instrText xml:space="preserve"> PAGEREF _Toc268186066 \h </w:instrText>
        </w:r>
        <w:r>
          <w:rPr>
            <w:noProof/>
            <w:webHidden/>
          </w:rPr>
        </w:r>
        <w:r>
          <w:rPr>
            <w:noProof/>
            <w:webHidden/>
          </w:rPr>
          <w:fldChar w:fldCharType="separate"/>
        </w:r>
        <w:r w:rsidR="002C33CA">
          <w:rPr>
            <w:noProof/>
            <w:webHidden/>
          </w:rPr>
          <w:t>46</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67" w:history="1">
        <w:r w:rsidRPr="00F5701B">
          <w:rPr>
            <w:rStyle w:val="Hyperlink"/>
            <w:i/>
            <w:iCs/>
            <w:noProof/>
            <w:lang w:val="en-US" w:eastAsia="nl-NL"/>
          </w:rPr>
          <w:t>5.4.1 Model motivation</w:t>
        </w:r>
        <w:r>
          <w:rPr>
            <w:noProof/>
            <w:webHidden/>
          </w:rPr>
          <w:tab/>
        </w:r>
        <w:r>
          <w:rPr>
            <w:noProof/>
            <w:webHidden/>
          </w:rPr>
          <w:fldChar w:fldCharType="begin"/>
        </w:r>
        <w:r>
          <w:rPr>
            <w:noProof/>
            <w:webHidden/>
          </w:rPr>
          <w:instrText xml:space="preserve"> PAGEREF _Toc268186067 \h </w:instrText>
        </w:r>
        <w:r>
          <w:rPr>
            <w:noProof/>
            <w:webHidden/>
          </w:rPr>
        </w:r>
        <w:r>
          <w:rPr>
            <w:noProof/>
            <w:webHidden/>
          </w:rPr>
          <w:fldChar w:fldCharType="separate"/>
        </w:r>
        <w:r w:rsidR="002C33CA">
          <w:rPr>
            <w:noProof/>
            <w:webHidden/>
          </w:rPr>
          <w:t>46</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68" w:history="1">
        <w:r w:rsidRPr="00F5701B">
          <w:rPr>
            <w:rStyle w:val="Hyperlink"/>
            <w:i/>
            <w:iCs/>
            <w:noProof/>
            <w:lang w:val="en-US" w:eastAsia="ar-SA"/>
          </w:rPr>
          <w:t>5.4.2 Basu regression model</w:t>
        </w:r>
        <w:r>
          <w:rPr>
            <w:noProof/>
            <w:webHidden/>
          </w:rPr>
          <w:tab/>
        </w:r>
        <w:r>
          <w:rPr>
            <w:noProof/>
            <w:webHidden/>
          </w:rPr>
          <w:fldChar w:fldCharType="begin"/>
        </w:r>
        <w:r>
          <w:rPr>
            <w:noProof/>
            <w:webHidden/>
          </w:rPr>
          <w:instrText xml:space="preserve"> PAGEREF _Toc268186068 \h </w:instrText>
        </w:r>
        <w:r>
          <w:rPr>
            <w:noProof/>
            <w:webHidden/>
          </w:rPr>
        </w:r>
        <w:r>
          <w:rPr>
            <w:noProof/>
            <w:webHidden/>
          </w:rPr>
          <w:fldChar w:fldCharType="separate"/>
        </w:r>
        <w:r w:rsidR="002C33CA">
          <w:rPr>
            <w:noProof/>
            <w:webHidden/>
          </w:rPr>
          <w:t>46</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69" w:history="1">
        <w:r w:rsidRPr="00F5701B">
          <w:rPr>
            <w:rStyle w:val="Hyperlink"/>
            <w:noProof/>
          </w:rPr>
          <w:t>5.5 Proxies for the variables</w:t>
        </w:r>
        <w:r>
          <w:rPr>
            <w:noProof/>
            <w:webHidden/>
          </w:rPr>
          <w:tab/>
        </w:r>
        <w:r>
          <w:rPr>
            <w:noProof/>
            <w:webHidden/>
          </w:rPr>
          <w:fldChar w:fldCharType="begin"/>
        </w:r>
        <w:r>
          <w:rPr>
            <w:noProof/>
            <w:webHidden/>
          </w:rPr>
          <w:instrText xml:space="preserve"> PAGEREF _Toc268186069 \h </w:instrText>
        </w:r>
        <w:r>
          <w:rPr>
            <w:noProof/>
            <w:webHidden/>
          </w:rPr>
        </w:r>
        <w:r>
          <w:rPr>
            <w:noProof/>
            <w:webHidden/>
          </w:rPr>
          <w:fldChar w:fldCharType="separate"/>
        </w:r>
        <w:r w:rsidR="002C33CA">
          <w:rPr>
            <w:noProof/>
            <w:webHidden/>
          </w:rPr>
          <w:t>47</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70" w:history="1">
        <w:r w:rsidRPr="00F5701B">
          <w:rPr>
            <w:rStyle w:val="Hyperlink"/>
            <w:noProof/>
            <w:lang w:val="en-US"/>
          </w:rPr>
          <w:t>5.6 Sample selection, periods and data</w:t>
        </w:r>
        <w:r>
          <w:rPr>
            <w:noProof/>
            <w:webHidden/>
          </w:rPr>
          <w:tab/>
        </w:r>
        <w:r>
          <w:rPr>
            <w:noProof/>
            <w:webHidden/>
          </w:rPr>
          <w:fldChar w:fldCharType="begin"/>
        </w:r>
        <w:r>
          <w:rPr>
            <w:noProof/>
            <w:webHidden/>
          </w:rPr>
          <w:instrText xml:space="preserve"> PAGEREF _Toc268186070 \h </w:instrText>
        </w:r>
        <w:r>
          <w:rPr>
            <w:noProof/>
            <w:webHidden/>
          </w:rPr>
        </w:r>
        <w:r>
          <w:rPr>
            <w:noProof/>
            <w:webHidden/>
          </w:rPr>
          <w:fldChar w:fldCharType="separate"/>
        </w:r>
        <w:r w:rsidR="002C33CA">
          <w:rPr>
            <w:noProof/>
            <w:webHidden/>
          </w:rPr>
          <w:t>48</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71" w:history="1">
        <w:r w:rsidRPr="00F5701B">
          <w:rPr>
            <w:rStyle w:val="Hyperlink"/>
            <w:noProof/>
            <w:kern w:val="32"/>
            <w:lang w:val="en-US"/>
          </w:rPr>
          <w:t>5.7 Summary</w:t>
        </w:r>
        <w:r>
          <w:rPr>
            <w:noProof/>
            <w:webHidden/>
          </w:rPr>
          <w:tab/>
        </w:r>
        <w:r>
          <w:rPr>
            <w:noProof/>
            <w:webHidden/>
          </w:rPr>
          <w:fldChar w:fldCharType="begin"/>
        </w:r>
        <w:r>
          <w:rPr>
            <w:noProof/>
            <w:webHidden/>
          </w:rPr>
          <w:instrText xml:space="preserve"> PAGEREF _Toc268186071 \h </w:instrText>
        </w:r>
        <w:r>
          <w:rPr>
            <w:noProof/>
            <w:webHidden/>
          </w:rPr>
        </w:r>
        <w:r>
          <w:rPr>
            <w:noProof/>
            <w:webHidden/>
          </w:rPr>
          <w:fldChar w:fldCharType="separate"/>
        </w:r>
        <w:r w:rsidR="002C33CA">
          <w:rPr>
            <w:noProof/>
            <w:webHidden/>
          </w:rPr>
          <w:t>50</w:t>
        </w:r>
        <w:r>
          <w:rPr>
            <w:noProof/>
            <w:webHidden/>
          </w:rPr>
          <w:fldChar w:fldCharType="end"/>
        </w:r>
      </w:hyperlink>
    </w:p>
    <w:p w:rsidR="001D6EB9" w:rsidRDefault="001D6EB9">
      <w:pPr>
        <w:pStyle w:val="Inhopg1"/>
        <w:rPr>
          <w:rStyle w:val="Hyperlink"/>
        </w:rPr>
      </w:pPr>
    </w:p>
    <w:p w:rsidR="001D6EB9" w:rsidRDefault="001D6EB9">
      <w:pPr>
        <w:pStyle w:val="Inhopg1"/>
        <w:rPr>
          <w:rFonts w:asciiTheme="minorHAnsi" w:eastAsiaTheme="minorEastAsia" w:hAnsiTheme="minorHAnsi" w:cstheme="minorBidi"/>
          <w:b w:val="0"/>
          <w:bCs w:val="0"/>
          <w:sz w:val="22"/>
          <w:szCs w:val="22"/>
          <w:lang w:val="nl-NL" w:eastAsia="nl-NL" w:bidi="ar-SA"/>
        </w:rPr>
      </w:pPr>
      <w:hyperlink w:anchor="_Toc268186072" w:history="1">
        <w:r w:rsidRPr="00F5701B">
          <w:rPr>
            <w:rStyle w:val="Hyperlink"/>
          </w:rPr>
          <w:t>6 Analysis and results</w:t>
        </w:r>
        <w:r>
          <w:rPr>
            <w:webHidden/>
          </w:rPr>
          <w:tab/>
        </w:r>
        <w:r>
          <w:rPr>
            <w:webHidden/>
          </w:rPr>
          <w:fldChar w:fldCharType="begin"/>
        </w:r>
        <w:r>
          <w:rPr>
            <w:webHidden/>
          </w:rPr>
          <w:instrText xml:space="preserve"> PAGEREF _Toc268186072 \h </w:instrText>
        </w:r>
        <w:r>
          <w:rPr>
            <w:webHidden/>
          </w:rPr>
        </w:r>
        <w:r>
          <w:rPr>
            <w:webHidden/>
          </w:rPr>
          <w:fldChar w:fldCharType="separate"/>
        </w:r>
        <w:r w:rsidR="002C33CA">
          <w:rPr>
            <w:webHidden/>
          </w:rPr>
          <w:t>52</w:t>
        </w:r>
        <w:r>
          <w:rPr>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73" w:history="1">
        <w:r w:rsidRPr="00F5701B">
          <w:rPr>
            <w:rStyle w:val="Hyperlink"/>
            <w:noProof/>
            <w:lang w:val="en-US"/>
          </w:rPr>
          <w:t>6.1 Regressions</w:t>
        </w:r>
        <w:r>
          <w:rPr>
            <w:noProof/>
            <w:webHidden/>
          </w:rPr>
          <w:tab/>
        </w:r>
        <w:r>
          <w:rPr>
            <w:noProof/>
            <w:webHidden/>
          </w:rPr>
          <w:fldChar w:fldCharType="begin"/>
        </w:r>
        <w:r>
          <w:rPr>
            <w:noProof/>
            <w:webHidden/>
          </w:rPr>
          <w:instrText xml:space="preserve"> PAGEREF _Toc268186073 \h </w:instrText>
        </w:r>
        <w:r>
          <w:rPr>
            <w:noProof/>
            <w:webHidden/>
          </w:rPr>
        </w:r>
        <w:r>
          <w:rPr>
            <w:noProof/>
            <w:webHidden/>
          </w:rPr>
          <w:fldChar w:fldCharType="separate"/>
        </w:r>
        <w:r w:rsidR="002C33CA">
          <w:rPr>
            <w:noProof/>
            <w:webHidden/>
          </w:rPr>
          <w:t>52</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74" w:history="1">
        <w:r w:rsidRPr="00F5701B">
          <w:rPr>
            <w:rStyle w:val="Hyperlink"/>
            <w:i/>
            <w:iCs/>
            <w:noProof/>
            <w:lang w:val="en-US"/>
          </w:rPr>
          <w:t>6.1.1 Hypotheses 1</w:t>
        </w:r>
        <w:r>
          <w:rPr>
            <w:noProof/>
            <w:webHidden/>
          </w:rPr>
          <w:tab/>
        </w:r>
        <w:r>
          <w:rPr>
            <w:noProof/>
            <w:webHidden/>
          </w:rPr>
          <w:fldChar w:fldCharType="begin"/>
        </w:r>
        <w:r>
          <w:rPr>
            <w:noProof/>
            <w:webHidden/>
          </w:rPr>
          <w:instrText xml:space="preserve"> PAGEREF _Toc268186074 \h </w:instrText>
        </w:r>
        <w:r>
          <w:rPr>
            <w:noProof/>
            <w:webHidden/>
          </w:rPr>
        </w:r>
        <w:r>
          <w:rPr>
            <w:noProof/>
            <w:webHidden/>
          </w:rPr>
          <w:fldChar w:fldCharType="separate"/>
        </w:r>
        <w:r w:rsidR="002C33CA">
          <w:rPr>
            <w:noProof/>
            <w:webHidden/>
          </w:rPr>
          <w:t>52</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75" w:history="1">
        <w:r w:rsidRPr="00F5701B">
          <w:rPr>
            <w:rStyle w:val="Hyperlink"/>
            <w:i/>
            <w:iCs/>
            <w:noProof/>
            <w:lang w:val="en-US" w:eastAsia="nl-NL"/>
          </w:rPr>
          <w:t>6.1.2 Descriptive statistics regression 1</w:t>
        </w:r>
        <w:r>
          <w:rPr>
            <w:noProof/>
            <w:webHidden/>
          </w:rPr>
          <w:tab/>
        </w:r>
        <w:r>
          <w:rPr>
            <w:noProof/>
            <w:webHidden/>
          </w:rPr>
          <w:fldChar w:fldCharType="begin"/>
        </w:r>
        <w:r>
          <w:rPr>
            <w:noProof/>
            <w:webHidden/>
          </w:rPr>
          <w:instrText xml:space="preserve"> PAGEREF _Toc268186075 \h </w:instrText>
        </w:r>
        <w:r>
          <w:rPr>
            <w:noProof/>
            <w:webHidden/>
          </w:rPr>
        </w:r>
        <w:r>
          <w:rPr>
            <w:noProof/>
            <w:webHidden/>
          </w:rPr>
          <w:fldChar w:fldCharType="separate"/>
        </w:r>
        <w:r w:rsidR="002C33CA">
          <w:rPr>
            <w:noProof/>
            <w:webHidden/>
          </w:rPr>
          <w:t>53</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76" w:history="1">
        <w:r w:rsidRPr="00F5701B">
          <w:rPr>
            <w:rStyle w:val="Hyperlink"/>
            <w:i/>
            <w:iCs/>
            <w:noProof/>
            <w:lang w:val="en-US" w:eastAsia="nl-NL"/>
          </w:rPr>
          <w:t>6.1.3 Conditional conservatism in the West-European banking sector during full sample period</w:t>
        </w:r>
        <w:r>
          <w:rPr>
            <w:noProof/>
            <w:webHidden/>
          </w:rPr>
          <w:tab/>
        </w:r>
        <w:r>
          <w:rPr>
            <w:noProof/>
            <w:webHidden/>
          </w:rPr>
          <w:fldChar w:fldCharType="begin"/>
        </w:r>
        <w:r>
          <w:rPr>
            <w:noProof/>
            <w:webHidden/>
          </w:rPr>
          <w:instrText xml:space="preserve"> PAGEREF _Toc268186076 \h </w:instrText>
        </w:r>
        <w:r>
          <w:rPr>
            <w:noProof/>
            <w:webHidden/>
          </w:rPr>
        </w:r>
        <w:r>
          <w:rPr>
            <w:noProof/>
            <w:webHidden/>
          </w:rPr>
          <w:fldChar w:fldCharType="separate"/>
        </w:r>
        <w:r w:rsidR="002C33CA">
          <w:rPr>
            <w:noProof/>
            <w:webHidden/>
          </w:rPr>
          <w:t>54</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77" w:history="1">
        <w:r w:rsidRPr="00F5701B">
          <w:rPr>
            <w:rStyle w:val="Hyperlink"/>
            <w:i/>
            <w:iCs/>
            <w:noProof/>
            <w:lang w:val="en-US" w:eastAsia="en-US"/>
          </w:rPr>
          <w:t xml:space="preserve">6.1.4 </w:t>
        </w:r>
        <w:r w:rsidRPr="00F5701B">
          <w:rPr>
            <w:rStyle w:val="Hyperlink"/>
            <w:i/>
            <w:iCs/>
            <w:noProof/>
            <w:lang w:val="en-US" w:eastAsia="nl-NL"/>
          </w:rPr>
          <w:t>Hypotheses 2</w:t>
        </w:r>
        <w:r>
          <w:rPr>
            <w:noProof/>
            <w:webHidden/>
          </w:rPr>
          <w:tab/>
        </w:r>
        <w:r>
          <w:rPr>
            <w:noProof/>
            <w:webHidden/>
          </w:rPr>
          <w:fldChar w:fldCharType="begin"/>
        </w:r>
        <w:r>
          <w:rPr>
            <w:noProof/>
            <w:webHidden/>
          </w:rPr>
          <w:instrText xml:space="preserve"> PAGEREF _Toc268186077 \h </w:instrText>
        </w:r>
        <w:r>
          <w:rPr>
            <w:noProof/>
            <w:webHidden/>
          </w:rPr>
        </w:r>
        <w:r>
          <w:rPr>
            <w:noProof/>
            <w:webHidden/>
          </w:rPr>
          <w:fldChar w:fldCharType="separate"/>
        </w:r>
        <w:r w:rsidR="002C33CA">
          <w:rPr>
            <w:noProof/>
            <w:webHidden/>
          </w:rPr>
          <w:t>55</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78" w:history="1">
        <w:r w:rsidRPr="00F5701B">
          <w:rPr>
            <w:rStyle w:val="Hyperlink"/>
            <w:i/>
            <w:iCs/>
            <w:noProof/>
            <w:lang w:val="en-US" w:eastAsia="nl-NL"/>
          </w:rPr>
          <w:t>6.1.</w:t>
        </w:r>
        <w:r w:rsidRPr="00F5701B">
          <w:rPr>
            <w:rStyle w:val="Hyperlink"/>
            <w:i/>
            <w:iCs/>
            <w:noProof/>
          </w:rPr>
          <w:t xml:space="preserve">5 </w:t>
        </w:r>
        <w:r w:rsidRPr="00F5701B">
          <w:rPr>
            <w:rStyle w:val="Hyperlink"/>
            <w:i/>
            <w:iCs/>
            <w:noProof/>
            <w:lang w:val="en-US" w:eastAsia="nl-NL"/>
          </w:rPr>
          <w:t>Descriptive statistics regression 7a &amp; 7b</w:t>
        </w:r>
        <w:r>
          <w:rPr>
            <w:noProof/>
            <w:webHidden/>
          </w:rPr>
          <w:tab/>
        </w:r>
        <w:r>
          <w:rPr>
            <w:noProof/>
            <w:webHidden/>
          </w:rPr>
          <w:fldChar w:fldCharType="begin"/>
        </w:r>
        <w:r>
          <w:rPr>
            <w:noProof/>
            <w:webHidden/>
          </w:rPr>
          <w:instrText xml:space="preserve"> PAGEREF _Toc268186078 \h </w:instrText>
        </w:r>
        <w:r>
          <w:rPr>
            <w:noProof/>
            <w:webHidden/>
          </w:rPr>
        </w:r>
        <w:r>
          <w:rPr>
            <w:noProof/>
            <w:webHidden/>
          </w:rPr>
          <w:fldChar w:fldCharType="separate"/>
        </w:r>
        <w:r w:rsidR="002C33CA">
          <w:rPr>
            <w:noProof/>
            <w:webHidden/>
          </w:rPr>
          <w:t>55</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79" w:history="1">
        <w:r w:rsidRPr="00F5701B">
          <w:rPr>
            <w:rStyle w:val="Hyperlink"/>
            <w:i/>
            <w:iCs/>
            <w:noProof/>
            <w:lang w:val="en-US" w:eastAsia="nl-NL"/>
          </w:rPr>
          <w:t>6.1.6 Conditional conservatism in the West-European banking sector during the pre-crisis and crisis period</w:t>
        </w:r>
        <w:r>
          <w:rPr>
            <w:noProof/>
            <w:webHidden/>
          </w:rPr>
          <w:tab/>
        </w:r>
        <w:r>
          <w:rPr>
            <w:noProof/>
            <w:webHidden/>
          </w:rPr>
          <w:fldChar w:fldCharType="begin"/>
        </w:r>
        <w:r>
          <w:rPr>
            <w:noProof/>
            <w:webHidden/>
          </w:rPr>
          <w:instrText xml:space="preserve"> PAGEREF _Toc268186079 \h </w:instrText>
        </w:r>
        <w:r>
          <w:rPr>
            <w:noProof/>
            <w:webHidden/>
          </w:rPr>
        </w:r>
        <w:r>
          <w:rPr>
            <w:noProof/>
            <w:webHidden/>
          </w:rPr>
          <w:fldChar w:fldCharType="separate"/>
        </w:r>
        <w:r w:rsidR="002C33CA">
          <w:rPr>
            <w:noProof/>
            <w:webHidden/>
          </w:rPr>
          <w:t>57</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80" w:history="1">
        <w:r w:rsidRPr="00F5701B">
          <w:rPr>
            <w:rStyle w:val="Hyperlink"/>
            <w:i/>
            <w:iCs/>
            <w:noProof/>
            <w:lang w:val="en-US" w:eastAsia="nl-NL"/>
          </w:rPr>
          <w:t>6.1.7 Hypothesis 3</w:t>
        </w:r>
        <w:r>
          <w:rPr>
            <w:noProof/>
            <w:webHidden/>
          </w:rPr>
          <w:tab/>
        </w:r>
        <w:r>
          <w:rPr>
            <w:noProof/>
            <w:webHidden/>
          </w:rPr>
          <w:fldChar w:fldCharType="begin"/>
        </w:r>
        <w:r>
          <w:rPr>
            <w:noProof/>
            <w:webHidden/>
          </w:rPr>
          <w:instrText xml:space="preserve"> PAGEREF _Toc268186080 \h </w:instrText>
        </w:r>
        <w:r>
          <w:rPr>
            <w:noProof/>
            <w:webHidden/>
          </w:rPr>
        </w:r>
        <w:r>
          <w:rPr>
            <w:noProof/>
            <w:webHidden/>
          </w:rPr>
          <w:fldChar w:fldCharType="separate"/>
        </w:r>
        <w:r w:rsidR="002C33CA">
          <w:rPr>
            <w:noProof/>
            <w:webHidden/>
          </w:rPr>
          <w:t>58</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81" w:history="1">
        <w:r w:rsidRPr="00F5701B">
          <w:rPr>
            <w:rStyle w:val="Hyperlink"/>
            <w:i/>
            <w:iCs/>
            <w:noProof/>
            <w:lang w:val="en-US" w:eastAsia="nl-NL"/>
          </w:rPr>
          <w:t>6.1.</w:t>
        </w:r>
        <w:r w:rsidRPr="00F5701B">
          <w:rPr>
            <w:rStyle w:val="Hyperlink"/>
            <w:i/>
            <w:iCs/>
            <w:noProof/>
            <w:lang w:val="en-US"/>
          </w:rPr>
          <w:t>8</w:t>
        </w:r>
        <w:r w:rsidRPr="00F5701B">
          <w:rPr>
            <w:rStyle w:val="Hyperlink"/>
            <w:i/>
            <w:iCs/>
            <w:noProof/>
          </w:rPr>
          <w:t xml:space="preserve"> </w:t>
        </w:r>
        <w:r w:rsidRPr="00F5701B">
          <w:rPr>
            <w:rStyle w:val="Hyperlink"/>
            <w:i/>
            <w:iCs/>
            <w:noProof/>
            <w:lang w:val="en-US" w:eastAsia="nl-NL"/>
          </w:rPr>
          <w:t>Descriptive statistics regression 8a &amp; 8b</w:t>
        </w:r>
        <w:r>
          <w:rPr>
            <w:noProof/>
            <w:webHidden/>
          </w:rPr>
          <w:tab/>
        </w:r>
        <w:r>
          <w:rPr>
            <w:noProof/>
            <w:webHidden/>
          </w:rPr>
          <w:fldChar w:fldCharType="begin"/>
        </w:r>
        <w:r>
          <w:rPr>
            <w:noProof/>
            <w:webHidden/>
          </w:rPr>
          <w:instrText xml:space="preserve"> PAGEREF _Toc268186081 \h </w:instrText>
        </w:r>
        <w:r>
          <w:rPr>
            <w:noProof/>
            <w:webHidden/>
          </w:rPr>
        </w:r>
        <w:r>
          <w:rPr>
            <w:noProof/>
            <w:webHidden/>
          </w:rPr>
          <w:fldChar w:fldCharType="separate"/>
        </w:r>
        <w:r w:rsidR="002C33CA">
          <w:rPr>
            <w:noProof/>
            <w:webHidden/>
          </w:rPr>
          <w:t>59</w:t>
        </w:r>
        <w:r>
          <w:rPr>
            <w:noProof/>
            <w:webHidden/>
          </w:rPr>
          <w:fldChar w:fldCharType="end"/>
        </w:r>
      </w:hyperlink>
    </w:p>
    <w:p w:rsidR="001D6EB9" w:rsidRDefault="001D6EB9">
      <w:pPr>
        <w:pStyle w:val="Inhopg3"/>
        <w:tabs>
          <w:tab w:val="right" w:leader="dot" w:pos="9060"/>
        </w:tabs>
        <w:rPr>
          <w:rFonts w:asciiTheme="minorHAnsi" w:eastAsiaTheme="minorEastAsia" w:hAnsiTheme="minorHAnsi" w:cstheme="minorBidi"/>
          <w:noProof/>
          <w:sz w:val="22"/>
          <w:szCs w:val="22"/>
          <w:lang w:val="nl-NL" w:eastAsia="nl-NL" w:bidi="ar-SA"/>
        </w:rPr>
      </w:pPr>
      <w:hyperlink w:anchor="_Toc268186082" w:history="1">
        <w:r w:rsidRPr="00F5701B">
          <w:rPr>
            <w:rStyle w:val="Hyperlink"/>
            <w:i/>
            <w:iCs/>
            <w:noProof/>
            <w:lang w:val="en-US" w:eastAsia="nl-NL"/>
          </w:rPr>
          <w:t>6.1.9 Conditional conservatism in the West-European banking sector and the relationship with firm performance.</w:t>
        </w:r>
        <w:r>
          <w:rPr>
            <w:noProof/>
            <w:webHidden/>
          </w:rPr>
          <w:tab/>
        </w:r>
        <w:r>
          <w:rPr>
            <w:noProof/>
            <w:webHidden/>
          </w:rPr>
          <w:fldChar w:fldCharType="begin"/>
        </w:r>
        <w:r>
          <w:rPr>
            <w:noProof/>
            <w:webHidden/>
          </w:rPr>
          <w:instrText xml:space="preserve"> PAGEREF _Toc268186082 \h </w:instrText>
        </w:r>
        <w:r>
          <w:rPr>
            <w:noProof/>
            <w:webHidden/>
          </w:rPr>
        </w:r>
        <w:r>
          <w:rPr>
            <w:noProof/>
            <w:webHidden/>
          </w:rPr>
          <w:fldChar w:fldCharType="separate"/>
        </w:r>
        <w:r w:rsidR="002C33CA">
          <w:rPr>
            <w:noProof/>
            <w:webHidden/>
          </w:rPr>
          <w:t>60</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83" w:history="1">
        <w:r w:rsidRPr="00F5701B">
          <w:rPr>
            <w:rStyle w:val="Hyperlink"/>
            <w:noProof/>
            <w:lang w:val="en-US" w:eastAsia="en-US"/>
          </w:rPr>
          <w:t>6.2 Summary</w:t>
        </w:r>
        <w:r>
          <w:rPr>
            <w:noProof/>
            <w:webHidden/>
          </w:rPr>
          <w:tab/>
        </w:r>
        <w:r>
          <w:rPr>
            <w:noProof/>
            <w:webHidden/>
          </w:rPr>
          <w:fldChar w:fldCharType="begin"/>
        </w:r>
        <w:r>
          <w:rPr>
            <w:noProof/>
            <w:webHidden/>
          </w:rPr>
          <w:instrText xml:space="preserve"> PAGEREF _Toc268186083 \h </w:instrText>
        </w:r>
        <w:r>
          <w:rPr>
            <w:noProof/>
            <w:webHidden/>
          </w:rPr>
        </w:r>
        <w:r>
          <w:rPr>
            <w:noProof/>
            <w:webHidden/>
          </w:rPr>
          <w:fldChar w:fldCharType="separate"/>
        </w:r>
        <w:r w:rsidR="002C33CA">
          <w:rPr>
            <w:noProof/>
            <w:webHidden/>
          </w:rPr>
          <w:t>61</w:t>
        </w:r>
        <w:r>
          <w:rPr>
            <w:noProof/>
            <w:webHidden/>
          </w:rPr>
          <w:fldChar w:fldCharType="end"/>
        </w:r>
      </w:hyperlink>
    </w:p>
    <w:p w:rsidR="001D6EB9" w:rsidRDefault="001D6EB9">
      <w:pPr>
        <w:pStyle w:val="Inhopg1"/>
        <w:rPr>
          <w:rStyle w:val="Hyperlink"/>
        </w:rPr>
      </w:pPr>
    </w:p>
    <w:p w:rsidR="001D6EB9" w:rsidRDefault="001D6EB9">
      <w:pPr>
        <w:pStyle w:val="Inhopg1"/>
        <w:rPr>
          <w:rFonts w:asciiTheme="minorHAnsi" w:eastAsiaTheme="minorEastAsia" w:hAnsiTheme="minorHAnsi" w:cstheme="minorBidi"/>
          <w:b w:val="0"/>
          <w:bCs w:val="0"/>
          <w:sz w:val="22"/>
          <w:szCs w:val="22"/>
          <w:lang w:val="nl-NL" w:eastAsia="nl-NL" w:bidi="ar-SA"/>
        </w:rPr>
      </w:pPr>
      <w:hyperlink w:anchor="_Toc268186084" w:history="1">
        <w:r w:rsidRPr="00F5701B">
          <w:rPr>
            <w:rStyle w:val="Hyperlink"/>
          </w:rPr>
          <w:t>7 Summary and conclusions</w:t>
        </w:r>
        <w:r>
          <w:rPr>
            <w:webHidden/>
          </w:rPr>
          <w:tab/>
        </w:r>
        <w:r>
          <w:rPr>
            <w:webHidden/>
          </w:rPr>
          <w:fldChar w:fldCharType="begin"/>
        </w:r>
        <w:r>
          <w:rPr>
            <w:webHidden/>
          </w:rPr>
          <w:instrText xml:space="preserve"> PAGEREF _Toc268186084 \h </w:instrText>
        </w:r>
        <w:r>
          <w:rPr>
            <w:webHidden/>
          </w:rPr>
        </w:r>
        <w:r>
          <w:rPr>
            <w:webHidden/>
          </w:rPr>
          <w:fldChar w:fldCharType="separate"/>
        </w:r>
        <w:r w:rsidR="002C33CA">
          <w:rPr>
            <w:webHidden/>
          </w:rPr>
          <w:t>63</w:t>
        </w:r>
        <w:r>
          <w:rPr>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85" w:history="1">
        <w:r w:rsidRPr="00F5701B">
          <w:rPr>
            <w:rStyle w:val="Hyperlink"/>
            <w:noProof/>
          </w:rPr>
          <w:t>7.1 Summary</w:t>
        </w:r>
        <w:r>
          <w:rPr>
            <w:noProof/>
            <w:webHidden/>
          </w:rPr>
          <w:tab/>
        </w:r>
        <w:r>
          <w:rPr>
            <w:noProof/>
            <w:webHidden/>
          </w:rPr>
          <w:fldChar w:fldCharType="begin"/>
        </w:r>
        <w:r>
          <w:rPr>
            <w:noProof/>
            <w:webHidden/>
          </w:rPr>
          <w:instrText xml:space="preserve"> PAGEREF _Toc268186085 \h </w:instrText>
        </w:r>
        <w:r>
          <w:rPr>
            <w:noProof/>
            <w:webHidden/>
          </w:rPr>
        </w:r>
        <w:r>
          <w:rPr>
            <w:noProof/>
            <w:webHidden/>
          </w:rPr>
          <w:fldChar w:fldCharType="separate"/>
        </w:r>
        <w:r w:rsidR="002C33CA">
          <w:rPr>
            <w:noProof/>
            <w:webHidden/>
          </w:rPr>
          <w:t>63</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86" w:history="1">
        <w:r w:rsidRPr="00F5701B">
          <w:rPr>
            <w:rStyle w:val="Hyperlink"/>
            <w:noProof/>
          </w:rPr>
          <w:t>7.2 Conclusions</w:t>
        </w:r>
        <w:r>
          <w:rPr>
            <w:noProof/>
            <w:webHidden/>
          </w:rPr>
          <w:tab/>
        </w:r>
        <w:r>
          <w:rPr>
            <w:noProof/>
            <w:webHidden/>
          </w:rPr>
          <w:fldChar w:fldCharType="begin"/>
        </w:r>
        <w:r>
          <w:rPr>
            <w:noProof/>
            <w:webHidden/>
          </w:rPr>
          <w:instrText xml:space="preserve"> PAGEREF _Toc268186086 \h </w:instrText>
        </w:r>
        <w:r>
          <w:rPr>
            <w:noProof/>
            <w:webHidden/>
          </w:rPr>
        </w:r>
        <w:r>
          <w:rPr>
            <w:noProof/>
            <w:webHidden/>
          </w:rPr>
          <w:fldChar w:fldCharType="separate"/>
        </w:r>
        <w:r w:rsidR="002C33CA">
          <w:rPr>
            <w:noProof/>
            <w:webHidden/>
          </w:rPr>
          <w:t>64</w:t>
        </w:r>
        <w:r>
          <w:rPr>
            <w:noProof/>
            <w:webHidden/>
          </w:rPr>
          <w:fldChar w:fldCharType="end"/>
        </w:r>
      </w:hyperlink>
    </w:p>
    <w:p w:rsidR="001D6EB9" w:rsidRDefault="001D6EB9">
      <w:pPr>
        <w:pStyle w:val="Inhopg2"/>
        <w:tabs>
          <w:tab w:val="right" w:leader="dot" w:pos="9060"/>
        </w:tabs>
        <w:rPr>
          <w:rFonts w:asciiTheme="minorHAnsi" w:eastAsiaTheme="minorEastAsia" w:hAnsiTheme="minorHAnsi" w:cstheme="minorBidi"/>
          <w:noProof/>
          <w:sz w:val="22"/>
          <w:szCs w:val="22"/>
          <w:lang w:val="nl-NL" w:eastAsia="nl-NL" w:bidi="ar-SA"/>
        </w:rPr>
      </w:pPr>
      <w:hyperlink w:anchor="_Toc268186087" w:history="1">
        <w:r w:rsidRPr="00F5701B">
          <w:rPr>
            <w:rStyle w:val="Hyperlink"/>
            <w:noProof/>
          </w:rPr>
          <w:t>7.3 Scope, constraints of the research and suggestions for further research</w:t>
        </w:r>
        <w:r>
          <w:rPr>
            <w:noProof/>
            <w:webHidden/>
          </w:rPr>
          <w:tab/>
        </w:r>
        <w:r>
          <w:rPr>
            <w:noProof/>
            <w:webHidden/>
          </w:rPr>
          <w:fldChar w:fldCharType="begin"/>
        </w:r>
        <w:r>
          <w:rPr>
            <w:noProof/>
            <w:webHidden/>
          </w:rPr>
          <w:instrText xml:space="preserve"> PAGEREF _Toc268186087 \h </w:instrText>
        </w:r>
        <w:r>
          <w:rPr>
            <w:noProof/>
            <w:webHidden/>
          </w:rPr>
        </w:r>
        <w:r>
          <w:rPr>
            <w:noProof/>
            <w:webHidden/>
          </w:rPr>
          <w:fldChar w:fldCharType="separate"/>
        </w:r>
        <w:r w:rsidR="002C33CA">
          <w:rPr>
            <w:noProof/>
            <w:webHidden/>
          </w:rPr>
          <w:t>65</w:t>
        </w:r>
        <w:r>
          <w:rPr>
            <w:noProof/>
            <w:webHidden/>
          </w:rPr>
          <w:fldChar w:fldCharType="end"/>
        </w:r>
      </w:hyperlink>
    </w:p>
    <w:p w:rsidR="001D6EB9" w:rsidRDefault="001D6EB9">
      <w:pPr>
        <w:pStyle w:val="Inhopg1"/>
        <w:rPr>
          <w:rStyle w:val="Hyperlink"/>
        </w:rPr>
      </w:pPr>
    </w:p>
    <w:p w:rsidR="001D6EB9" w:rsidRDefault="001D6EB9">
      <w:pPr>
        <w:pStyle w:val="Inhopg1"/>
        <w:rPr>
          <w:rFonts w:asciiTheme="minorHAnsi" w:eastAsiaTheme="minorEastAsia" w:hAnsiTheme="minorHAnsi" w:cstheme="minorBidi"/>
          <w:b w:val="0"/>
          <w:bCs w:val="0"/>
          <w:sz w:val="22"/>
          <w:szCs w:val="22"/>
          <w:lang w:val="nl-NL" w:eastAsia="nl-NL" w:bidi="ar-SA"/>
        </w:rPr>
      </w:pPr>
      <w:hyperlink w:anchor="_Toc268186088" w:history="1">
        <w:r w:rsidRPr="00F5701B">
          <w:rPr>
            <w:rStyle w:val="Hyperlink"/>
          </w:rPr>
          <w:t>Appendix 1 Reference List</w:t>
        </w:r>
        <w:r>
          <w:rPr>
            <w:webHidden/>
          </w:rPr>
          <w:tab/>
        </w:r>
        <w:r>
          <w:rPr>
            <w:webHidden/>
          </w:rPr>
          <w:fldChar w:fldCharType="begin"/>
        </w:r>
        <w:r>
          <w:rPr>
            <w:webHidden/>
          </w:rPr>
          <w:instrText xml:space="preserve"> PAGEREF _Toc268186088 \h </w:instrText>
        </w:r>
        <w:r>
          <w:rPr>
            <w:webHidden/>
          </w:rPr>
        </w:r>
        <w:r>
          <w:rPr>
            <w:webHidden/>
          </w:rPr>
          <w:fldChar w:fldCharType="separate"/>
        </w:r>
        <w:r w:rsidR="002C33CA">
          <w:rPr>
            <w:webHidden/>
          </w:rPr>
          <w:t>67</w:t>
        </w:r>
        <w:r>
          <w:rPr>
            <w:webHidden/>
          </w:rPr>
          <w:fldChar w:fldCharType="end"/>
        </w:r>
      </w:hyperlink>
    </w:p>
    <w:p w:rsidR="001D6EB9" w:rsidRDefault="001D6EB9">
      <w:pPr>
        <w:pStyle w:val="Inhopg1"/>
        <w:rPr>
          <w:rStyle w:val="Hyperlink"/>
        </w:rPr>
      </w:pPr>
    </w:p>
    <w:p w:rsidR="001D6EB9" w:rsidRDefault="001D6EB9">
      <w:pPr>
        <w:pStyle w:val="Inhopg1"/>
        <w:rPr>
          <w:rFonts w:asciiTheme="minorHAnsi" w:eastAsiaTheme="minorEastAsia" w:hAnsiTheme="minorHAnsi" w:cstheme="minorBidi"/>
          <w:b w:val="0"/>
          <w:bCs w:val="0"/>
          <w:sz w:val="22"/>
          <w:szCs w:val="22"/>
          <w:lang w:val="nl-NL" w:eastAsia="nl-NL" w:bidi="ar-SA"/>
        </w:rPr>
      </w:pPr>
      <w:hyperlink w:anchor="_Toc268186089" w:history="1">
        <w:r w:rsidRPr="00F5701B">
          <w:rPr>
            <w:rStyle w:val="Hyperlink"/>
            <w:lang w:val="en-US"/>
          </w:rPr>
          <w:t>Appendix 2: Literature table and list of banks</w:t>
        </w:r>
        <w:r>
          <w:rPr>
            <w:webHidden/>
          </w:rPr>
          <w:tab/>
        </w:r>
        <w:r>
          <w:rPr>
            <w:webHidden/>
          </w:rPr>
          <w:fldChar w:fldCharType="begin"/>
        </w:r>
        <w:r>
          <w:rPr>
            <w:webHidden/>
          </w:rPr>
          <w:instrText xml:space="preserve"> PAGEREF _Toc268186089 \h </w:instrText>
        </w:r>
        <w:r>
          <w:rPr>
            <w:webHidden/>
          </w:rPr>
        </w:r>
        <w:r>
          <w:rPr>
            <w:webHidden/>
          </w:rPr>
          <w:fldChar w:fldCharType="separate"/>
        </w:r>
        <w:r w:rsidR="002C33CA">
          <w:rPr>
            <w:webHidden/>
          </w:rPr>
          <w:t>75</w:t>
        </w:r>
        <w:r>
          <w:rPr>
            <w:webHidden/>
          </w:rPr>
          <w:fldChar w:fldCharType="end"/>
        </w:r>
      </w:hyperlink>
    </w:p>
    <w:p w:rsidR="001D6EB9" w:rsidRPr="001D6EB9" w:rsidRDefault="00542395" w:rsidP="007C3F59">
      <w:pPr>
        <w:pStyle w:val="Kop1"/>
      </w:pPr>
      <w:r w:rsidRPr="000A3906">
        <w:rPr>
          <w:szCs w:val="28"/>
          <w:lang w:val="en-US"/>
        </w:rPr>
        <w:lastRenderedPageBreak/>
        <w:fldChar w:fldCharType="end"/>
      </w:r>
      <w:bookmarkStart w:id="9" w:name="_Toc251228820"/>
      <w:bookmarkStart w:id="10" w:name="_Toc267323013"/>
      <w:bookmarkStart w:id="11" w:name="_Toc268186015"/>
      <w:r w:rsidR="001D6EB9">
        <w:t>1 Int</w:t>
      </w:r>
      <w:r w:rsidR="001D6EB9" w:rsidRPr="00215A47">
        <w:t>roduction</w:t>
      </w:r>
    </w:p>
    <w:bookmarkEnd w:id="9"/>
    <w:bookmarkEnd w:id="10"/>
    <w:bookmarkEnd w:id="11"/>
    <w:p w:rsidR="00926DB2" w:rsidRPr="00361F4F" w:rsidRDefault="00926DB2" w:rsidP="00361F4F"/>
    <w:p w:rsidR="00926DB2" w:rsidRPr="00215A47" w:rsidRDefault="00926DB2" w:rsidP="00046654">
      <w:pPr>
        <w:spacing w:line="360" w:lineRule="auto"/>
        <w:jc w:val="both"/>
        <w:rPr>
          <w:rFonts w:cs="Times New Roman"/>
          <w:lang w:val="en-US"/>
        </w:rPr>
      </w:pPr>
      <w:r w:rsidRPr="00215A47">
        <w:rPr>
          <w:rFonts w:cs="Times New Roman"/>
          <w:lang w:val="en-US"/>
        </w:rPr>
        <w:t>This thesis examine</w:t>
      </w:r>
      <w:r w:rsidR="00E44F93">
        <w:rPr>
          <w:rFonts w:cs="Times New Roman"/>
          <w:lang w:val="en-US"/>
        </w:rPr>
        <w:t xml:space="preserve">s the relationship between </w:t>
      </w:r>
      <w:r w:rsidRPr="004C1BC8">
        <w:rPr>
          <w:rFonts w:cs="Times New Roman"/>
          <w:lang w:val="en-US"/>
        </w:rPr>
        <w:t>performanc</w:t>
      </w:r>
      <w:r w:rsidR="00E44F93">
        <w:rPr>
          <w:rFonts w:cs="Times New Roman"/>
          <w:lang w:val="en-US"/>
        </w:rPr>
        <w:t>e in the</w:t>
      </w:r>
      <w:r w:rsidR="00FB0BC7">
        <w:rPr>
          <w:rFonts w:cs="Times New Roman"/>
          <w:lang w:val="en-US"/>
        </w:rPr>
        <w:t xml:space="preserve"> West</w:t>
      </w:r>
      <w:r w:rsidR="00EA462B">
        <w:rPr>
          <w:rFonts w:cs="Times New Roman"/>
          <w:lang w:val="en-US"/>
        </w:rPr>
        <w:t>-</w:t>
      </w:r>
      <w:r w:rsidR="00FB0BC7">
        <w:rPr>
          <w:rFonts w:cs="Times New Roman"/>
          <w:lang w:val="en-US"/>
        </w:rPr>
        <w:t>European</w:t>
      </w:r>
      <w:r w:rsidR="0042434C">
        <w:rPr>
          <w:rFonts w:cs="Times New Roman"/>
          <w:lang w:val="en-US"/>
        </w:rPr>
        <w:t xml:space="preserve"> </w:t>
      </w:r>
      <w:r w:rsidR="00E44F93">
        <w:rPr>
          <w:rFonts w:cs="Times New Roman"/>
          <w:lang w:val="en-US"/>
        </w:rPr>
        <w:t xml:space="preserve">banking sector and </w:t>
      </w:r>
      <w:r>
        <w:rPr>
          <w:rFonts w:cs="Times New Roman"/>
          <w:lang w:val="en-US"/>
        </w:rPr>
        <w:t xml:space="preserve">the </w:t>
      </w:r>
      <w:r w:rsidRPr="004C1BC8">
        <w:rPr>
          <w:rFonts w:cs="Times New Roman"/>
          <w:lang w:val="en-US"/>
        </w:rPr>
        <w:t>accounting</w:t>
      </w:r>
      <w:r>
        <w:rPr>
          <w:rFonts w:cs="Times New Roman"/>
          <w:lang w:val="en-US"/>
        </w:rPr>
        <w:t xml:space="preserve"> conservatism</w:t>
      </w:r>
      <w:r w:rsidRPr="004C1BC8">
        <w:rPr>
          <w:rFonts w:cs="Times New Roman"/>
          <w:lang w:val="en-US"/>
        </w:rPr>
        <w:t xml:space="preserve"> p</w:t>
      </w:r>
      <w:r w:rsidR="00E44F93">
        <w:rPr>
          <w:rFonts w:cs="Times New Roman"/>
          <w:lang w:val="en-US"/>
        </w:rPr>
        <w:t>rinciple. The focus of my thesis</w:t>
      </w:r>
      <w:r w:rsidRPr="004C1BC8">
        <w:rPr>
          <w:rFonts w:cs="Times New Roman"/>
          <w:lang w:val="en-US"/>
        </w:rPr>
        <w:t xml:space="preserve"> is the West-European Banking sector that subsequently </w:t>
      </w:r>
      <w:r>
        <w:rPr>
          <w:rFonts w:cs="Times New Roman"/>
          <w:lang w:val="en-US"/>
        </w:rPr>
        <w:t xml:space="preserve">performed well or disastrous during </w:t>
      </w:r>
      <w:r w:rsidR="000E53A1">
        <w:rPr>
          <w:rFonts w:cs="Times New Roman"/>
          <w:lang w:val="en-US"/>
        </w:rPr>
        <w:t xml:space="preserve">the </w:t>
      </w:r>
      <w:r w:rsidR="000E53A1" w:rsidRPr="004C1BC8">
        <w:rPr>
          <w:rFonts w:cs="Times New Roman"/>
          <w:lang w:val="en-US"/>
        </w:rPr>
        <w:t>pre</w:t>
      </w:r>
      <w:r w:rsidRPr="004C1BC8">
        <w:rPr>
          <w:rFonts w:cs="Times New Roman"/>
          <w:lang w:val="en-US"/>
        </w:rPr>
        <w:t>-cris</w:t>
      </w:r>
      <w:r w:rsidR="0042434C">
        <w:rPr>
          <w:rFonts w:cs="Times New Roman"/>
          <w:lang w:val="en-US"/>
        </w:rPr>
        <w:t xml:space="preserve">is and crisis periods. The </w:t>
      </w:r>
      <w:r w:rsidRPr="004C1BC8">
        <w:rPr>
          <w:rFonts w:cs="Times New Roman"/>
          <w:lang w:val="en-US"/>
        </w:rPr>
        <w:t>financ</w:t>
      </w:r>
      <w:r>
        <w:rPr>
          <w:rFonts w:cs="Times New Roman"/>
          <w:lang w:val="en-US"/>
        </w:rPr>
        <w:t>ial crisis had a massive</w:t>
      </w:r>
      <w:r w:rsidR="00E44F93">
        <w:rPr>
          <w:rFonts w:cs="Times New Roman"/>
          <w:lang w:val="en-US"/>
        </w:rPr>
        <w:t xml:space="preserve"> impact on </w:t>
      </w:r>
      <w:r w:rsidRPr="004C1BC8">
        <w:rPr>
          <w:rFonts w:cs="Times New Roman"/>
          <w:lang w:val="en-US"/>
        </w:rPr>
        <w:t>companies</w:t>
      </w:r>
      <w:r w:rsidRPr="00215A47">
        <w:rPr>
          <w:rFonts w:cs="Times New Roman"/>
          <w:lang w:val="en-US"/>
        </w:rPr>
        <w:t xml:space="preserve"> and especially the financial s</w:t>
      </w:r>
      <w:r w:rsidR="0042434C">
        <w:rPr>
          <w:rFonts w:cs="Times New Roman"/>
          <w:lang w:val="en-US"/>
        </w:rPr>
        <w:t>ector in significant parts</w:t>
      </w:r>
      <w:r>
        <w:rPr>
          <w:rFonts w:cs="Times New Roman"/>
          <w:lang w:val="en-US"/>
        </w:rPr>
        <w:t xml:space="preserve"> of the</w:t>
      </w:r>
      <w:r w:rsidRPr="00215A47">
        <w:rPr>
          <w:rFonts w:cs="Times New Roman"/>
          <w:lang w:val="en-US"/>
        </w:rPr>
        <w:t xml:space="preserve"> world. Business operations of financial institutions were largel</w:t>
      </w:r>
      <w:r>
        <w:rPr>
          <w:rFonts w:cs="Times New Roman"/>
          <w:lang w:val="en-US"/>
        </w:rPr>
        <w:t xml:space="preserve">y based on the presumptions of </w:t>
      </w:r>
      <w:r w:rsidRPr="00215A47">
        <w:rPr>
          <w:rFonts w:cs="Times New Roman"/>
          <w:lang w:val="en-US"/>
        </w:rPr>
        <w:t>stable</w:t>
      </w:r>
      <w:r w:rsidR="0042434C">
        <w:rPr>
          <w:rFonts w:cs="Times New Roman"/>
          <w:lang w:val="en-US"/>
        </w:rPr>
        <w:t xml:space="preserve"> economic environments</w:t>
      </w:r>
      <w:r w:rsidRPr="00215A47">
        <w:rPr>
          <w:rFonts w:cs="Times New Roman"/>
          <w:lang w:val="en-US"/>
        </w:rPr>
        <w:t xml:space="preserve"> and strong economic performance. Nevertheless these optimistic </w:t>
      </w:r>
      <w:r>
        <w:rPr>
          <w:rFonts w:cs="Times New Roman"/>
          <w:lang w:val="en-US"/>
        </w:rPr>
        <w:t>business practices led to an</w:t>
      </w:r>
      <w:r w:rsidRPr="00215A47">
        <w:rPr>
          <w:rFonts w:cs="Times New Roman"/>
          <w:lang w:val="en-US"/>
        </w:rPr>
        <w:t xml:space="preserve"> economic crisis that emerged in 2007 and t</w:t>
      </w:r>
      <w:r>
        <w:rPr>
          <w:rFonts w:cs="Times New Roman"/>
          <w:lang w:val="en-US"/>
        </w:rPr>
        <w:t>he neg</w:t>
      </w:r>
      <w:r w:rsidR="00E44F93">
        <w:rPr>
          <w:rFonts w:cs="Times New Roman"/>
          <w:lang w:val="en-US"/>
        </w:rPr>
        <w:t>ative distortions are still felt</w:t>
      </w:r>
      <w:r>
        <w:rPr>
          <w:rFonts w:cs="Times New Roman"/>
          <w:lang w:val="en-US"/>
        </w:rPr>
        <w:t xml:space="preserve"> today.</w:t>
      </w:r>
    </w:p>
    <w:p w:rsidR="00926DB2" w:rsidRPr="00215A47" w:rsidRDefault="00926DB2" w:rsidP="00046654">
      <w:pPr>
        <w:spacing w:line="360" w:lineRule="auto"/>
        <w:jc w:val="both"/>
        <w:rPr>
          <w:lang w:val="en-US"/>
        </w:rPr>
      </w:pPr>
    </w:p>
    <w:p w:rsidR="00926DB2" w:rsidRDefault="00926DB2" w:rsidP="00046654">
      <w:pPr>
        <w:spacing w:line="360" w:lineRule="auto"/>
        <w:jc w:val="both"/>
        <w:rPr>
          <w:lang w:val="en-US"/>
        </w:rPr>
      </w:pPr>
      <w:r w:rsidRPr="00215A47">
        <w:rPr>
          <w:lang w:val="en-US"/>
        </w:rPr>
        <w:t xml:space="preserve"> I will discuss the </w:t>
      </w:r>
      <w:r w:rsidR="0042434C">
        <w:rPr>
          <w:lang w:val="en-US"/>
        </w:rPr>
        <w:t xml:space="preserve">accounting </w:t>
      </w:r>
      <w:r w:rsidRPr="00215A47">
        <w:rPr>
          <w:lang w:val="en-US"/>
        </w:rPr>
        <w:t>conservatism principle</w:t>
      </w:r>
      <w:r w:rsidRPr="00A7020C">
        <w:rPr>
          <w:lang w:val="en-US"/>
        </w:rPr>
        <w:t>, elaborate on evidence of conservatism in di</w:t>
      </w:r>
      <w:r>
        <w:rPr>
          <w:lang w:val="en-US"/>
        </w:rPr>
        <w:t>fferent scientific papers and then empirically</w:t>
      </w:r>
      <w:r w:rsidRPr="00A7020C">
        <w:rPr>
          <w:lang w:val="en-US"/>
        </w:rPr>
        <w:t xml:space="preserve"> investigate the</w:t>
      </w:r>
      <w:r>
        <w:rPr>
          <w:lang w:val="en-US"/>
        </w:rPr>
        <w:t xml:space="preserve"> degree of conservatism of the West-European banks before and during the crisis. Subsequently the </w:t>
      </w:r>
      <w:r w:rsidRPr="00A7020C">
        <w:rPr>
          <w:lang w:val="en-US"/>
        </w:rPr>
        <w:t>relationship</w:t>
      </w:r>
      <w:r w:rsidR="00E44F93">
        <w:rPr>
          <w:lang w:val="en-US"/>
        </w:rPr>
        <w:t xml:space="preserve"> between bank </w:t>
      </w:r>
      <w:r w:rsidRPr="00215A47">
        <w:rPr>
          <w:lang w:val="en-US"/>
        </w:rPr>
        <w:t xml:space="preserve">performance </w:t>
      </w:r>
      <w:r>
        <w:rPr>
          <w:lang w:val="en-US"/>
        </w:rPr>
        <w:t xml:space="preserve">during the recent financial crisis </w:t>
      </w:r>
      <w:r w:rsidRPr="00215A47">
        <w:rPr>
          <w:lang w:val="en-US"/>
        </w:rPr>
        <w:t xml:space="preserve">and conservatism before </w:t>
      </w:r>
      <w:r>
        <w:rPr>
          <w:lang w:val="en-US"/>
        </w:rPr>
        <w:t>the crisis will be examined.</w:t>
      </w:r>
    </w:p>
    <w:p w:rsidR="00926DB2" w:rsidRDefault="00926DB2" w:rsidP="00046654">
      <w:pPr>
        <w:spacing w:line="360" w:lineRule="auto"/>
        <w:jc w:val="both"/>
        <w:rPr>
          <w:lang w:val="en-US"/>
        </w:rPr>
      </w:pPr>
    </w:p>
    <w:p w:rsidR="00926DB2" w:rsidRDefault="00926DB2" w:rsidP="009F3963">
      <w:pPr>
        <w:spacing w:line="360" w:lineRule="auto"/>
        <w:jc w:val="both"/>
        <w:rPr>
          <w:lang w:val="en-US"/>
        </w:rPr>
      </w:pPr>
      <w:r w:rsidRPr="00215A47">
        <w:rPr>
          <w:lang w:val="en-US"/>
        </w:rPr>
        <w:t>This re</w:t>
      </w:r>
      <w:r>
        <w:rPr>
          <w:lang w:val="en-US"/>
        </w:rPr>
        <w:t xml:space="preserve">search will be based </w:t>
      </w:r>
      <w:r w:rsidRPr="00215A47">
        <w:rPr>
          <w:lang w:val="en-US"/>
        </w:rPr>
        <w:t>on the</w:t>
      </w:r>
      <w:r>
        <w:rPr>
          <w:lang w:val="en-US"/>
        </w:rPr>
        <w:t xml:space="preserve"> Basu </w:t>
      </w:r>
      <w:r w:rsidR="000A6E82">
        <w:rPr>
          <w:lang w:val="en-US"/>
        </w:rPr>
        <w:t>model and I will make an innovative</w:t>
      </w:r>
      <w:r w:rsidRPr="00215A47">
        <w:rPr>
          <w:lang w:val="en-US"/>
        </w:rPr>
        <w:t xml:space="preserve"> analysis by researching conservatism and its relati</w:t>
      </w:r>
      <w:r>
        <w:rPr>
          <w:lang w:val="en-US"/>
        </w:rPr>
        <w:t xml:space="preserve">on on </w:t>
      </w:r>
      <w:r w:rsidRPr="00A7020C">
        <w:rPr>
          <w:lang w:val="en-US"/>
        </w:rPr>
        <w:t>the performance of large</w:t>
      </w:r>
      <w:r>
        <w:rPr>
          <w:lang w:val="en-US"/>
        </w:rPr>
        <w:t xml:space="preserve"> </w:t>
      </w:r>
      <w:r w:rsidRPr="00A7020C">
        <w:rPr>
          <w:lang w:val="en-US"/>
        </w:rPr>
        <w:t>West-European banks</w:t>
      </w:r>
      <w:r w:rsidR="001223B0">
        <w:rPr>
          <w:lang w:val="en-US"/>
        </w:rPr>
        <w:t xml:space="preserve"> before and during the recent financial crisis</w:t>
      </w:r>
      <w:r>
        <w:rPr>
          <w:lang w:val="en-US"/>
        </w:rPr>
        <w:t xml:space="preserve">. This thesis will be of value and importance for </w:t>
      </w:r>
      <w:r w:rsidRPr="00215A47">
        <w:rPr>
          <w:lang w:val="en-US"/>
        </w:rPr>
        <w:t>practitioners, financial analysts, accounting students and other g</w:t>
      </w:r>
      <w:r>
        <w:rPr>
          <w:lang w:val="en-US"/>
        </w:rPr>
        <w:t>enerally interested readers. This thesis w</w:t>
      </w:r>
      <w:r w:rsidR="001223B0">
        <w:rPr>
          <w:lang w:val="en-US"/>
        </w:rPr>
        <w:t xml:space="preserve">ill contribute and extend </w:t>
      </w:r>
      <w:r w:rsidRPr="00215A47">
        <w:rPr>
          <w:lang w:val="en-US"/>
        </w:rPr>
        <w:t>prior literature by pro</w:t>
      </w:r>
      <w:r>
        <w:rPr>
          <w:lang w:val="en-US"/>
        </w:rPr>
        <w:t xml:space="preserve">viding empirical evidence on </w:t>
      </w:r>
      <w:r w:rsidRPr="00215A47">
        <w:rPr>
          <w:lang w:val="en-US"/>
        </w:rPr>
        <w:t>the relationship between accounting conservatism and performance of banks for pre-crisis and c</w:t>
      </w:r>
      <w:r>
        <w:rPr>
          <w:lang w:val="en-US"/>
        </w:rPr>
        <w:t xml:space="preserve">risis periods. This thesis will </w:t>
      </w:r>
      <w:r w:rsidRPr="00215A47">
        <w:rPr>
          <w:lang w:val="en-US"/>
        </w:rPr>
        <w:t>introduce a basis for examining the link between a</w:t>
      </w:r>
      <w:r w:rsidR="00E44F93">
        <w:rPr>
          <w:lang w:val="en-US"/>
        </w:rPr>
        <w:t xml:space="preserve">ccounting conservatism and bank (firm) </w:t>
      </w:r>
      <w:r w:rsidRPr="00215A47">
        <w:rPr>
          <w:lang w:val="en-US"/>
        </w:rPr>
        <w:t xml:space="preserve">performance. Previous studies regarding accounting conservatism </w:t>
      </w:r>
      <w:r>
        <w:rPr>
          <w:lang w:val="en-US"/>
        </w:rPr>
        <w:t>such</w:t>
      </w:r>
      <w:r w:rsidRPr="00215A47">
        <w:rPr>
          <w:lang w:val="en-US"/>
        </w:rPr>
        <w:t>like Basu (1997) examined the conservatism principle and the asymme</w:t>
      </w:r>
      <w:r>
        <w:rPr>
          <w:lang w:val="en-US"/>
        </w:rPr>
        <w:t xml:space="preserve">tric timeliness by using the </w:t>
      </w:r>
      <w:r w:rsidR="00810E7C">
        <w:rPr>
          <w:lang w:val="en-US"/>
        </w:rPr>
        <w:t>firm’s</w:t>
      </w:r>
      <w:r>
        <w:rPr>
          <w:lang w:val="en-US"/>
        </w:rPr>
        <w:t xml:space="preserve"> </w:t>
      </w:r>
      <w:r w:rsidRPr="00215A47">
        <w:rPr>
          <w:lang w:val="en-US"/>
        </w:rPr>
        <w:t>stock ret</w:t>
      </w:r>
      <w:r>
        <w:rPr>
          <w:lang w:val="en-US"/>
        </w:rPr>
        <w:t>urns. The main conclusion of this research</w:t>
      </w:r>
      <w:r w:rsidRPr="00215A47">
        <w:rPr>
          <w:lang w:val="en-US"/>
        </w:rPr>
        <w:t xml:space="preserve"> was that the sensitivity of earnings to negative returns (proxy for bad news) is at least two times larger than the sensitivity of earnings to positive returns (proxy for good news). Dietrich et al. (2007) designed a research in </w:t>
      </w:r>
      <w:r>
        <w:rPr>
          <w:lang w:val="en-US"/>
        </w:rPr>
        <w:t xml:space="preserve">which stock returns are incorporated </w:t>
      </w:r>
      <w:r w:rsidRPr="00215A47">
        <w:rPr>
          <w:lang w:val="en-US"/>
        </w:rPr>
        <w:t>t</w:t>
      </w:r>
      <w:r>
        <w:rPr>
          <w:lang w:val="en-US"/>
        </w:rPr>
        <w:t>o assess whether “bad” news is recognized more timely</w:t>
      </w:r>
      <w:r w:rsidRPr="00215A47">
        <w:rPr>
          <w:lang w:val="en-US"/>
        </w:rPr>
        <w:t xml:space="preserve"> than “good” news. Mcleay and Raonic (2004) presented additional proof on timeliness a</w:t>
      </w:r>
      <w:r>
        <w:rPr>
          <w:lang w:val="en-US"/>
        </w:rPr>
        <w:t>nd conservatism using one</w:t>
      </w:r>
      <w:r w:rsidRPr="00215A47">
        <w:rPr>
          <w:lang w:val="en-US"/>
        </w:rPr>
        <w:t xml:space="preserve"> dataset of European firms that traded their equity on ex</w:t>
      </w:r>
      <w:r>
        <w:rPr>
          <w:lang w:val="en-US"/>
        </w:rPr>
        <w:t xml:space="preserve">change markets in multiple European </w:t>
      </w:r>
      <w:r w:rsidR="00810E7C">
        <w:rPr>
          <w:lang w:val="en-US"/>
        </w:rPr>
        <w:t>countries</w:t>
      </w:r>
      <w:r w:rsidRPr="00215A47">
        <w:rPr>
          <w:lang w:val="en-US"/>
        </w:rPr>
        <w:t>. Ross L. Watts</w:t>
      </w:r>
      <w:r>
        <w:rPr>
          <w:lang w:val="en-US"/>
        </w:rPr>
        <w:t xml:space="preserve"> (2003)</w:t>
      </w:r>
      <w:r w:rsidRPr="00215A47">
        <w:rPr>
          <w:lang w:val="en-US"/>
        </w:rPr>
        <w:t xml:space="preserve"> studied conservatism in accounting for decades and in his two-part series paper of </w:t>
      </w:r>
      <w:r>
        <w:rPr>
          <w:lang w:val="en-US"/>
        </w:rPr>
        <w:t xml:space="preserve">2003, </w:t>
      </w:r>
      <w:r>
        <w:rPr>
          <w:lang w:val="en-US"/>
        </w:rPr>
        <w:lastRenderedPageBreak/>
        <w:t>Watts</w:t>
      </w:r>
      <w:r w:rsidRPr="00215A47">
        <w:rPr>
          <w:lang w:val="en-US"/>
        </w:rPr>
        <w:t xml:space="preserve"> extensively elaborate</w:t>
      </w:r>
      <w:r>
        <w:rPr>
          <w:lang w:val="en-US"/>
        </w:rPr>
        <w:t>s on</w:t>
      </w:r>
      <w:r w:rsidR="0042434C">
        <w:rPr>
          <w:lang w:val="en-US"/>
        </w:rPr>
        <w:t xml:space="preserve"> the main </w:t>
      </w:r>
      <w:r w:rsidRPr="00215A47">
        <w:rPr>
          <w:lang w:val="en-US"/>
        </w:rPr>
        <w:t>explanations for accounting conservati</w:t>
      </w:r>
      <w:r>
        <w:rPr>
          <w:lang w:val="en-US"/>
        </w:rPr>
        <w:t>sm and presents arguments that the</w:t>
      </w:r>
      <w:r w:rsidR="00EA03A4">
        <w:rPr>
          <w:lang w:val="en-US"/>
        </w:rPr>
        <w:t xml:space="preserve"> accounting conservatism principle still is very significant in improving financial reporting. </w:t>
      </w:r>
    </w:p>
    <w:p w:rsidR="00926DB2" w:rsidRPr="00361F4F" w:rsidRDefault="00926DB2" w:rsidP="00361F4F">
      <w:pPr>
        <w:pStyle w:val="Kop2"/>
        <w:rPr>
          <w:rStyle w:val="Nadruk"/>
          <w:rFonts w:ascii="Times New Roman" w:hAnsi="Times New Roman"/>
          <w:b/>
          <w:sz w:val="24"/>
          <w:szCs w:val="24"/>
        </w:rPr>
      </w:pPr>
      <w:bookmarkStart w:id="12" w:name="_Toc267323014"/>
      <w:bookmarkStart w:id="13" w:name="_Toc268186016"/>
      <w:r w:rsidRPr="00361F4F">
        <w:rPr>
          <w:rStyle w:val="Nadruk"/>
          <w:rFonts w:ascii="Times New Roman" w:hAnsi="Times New Roman"/>
          <w:b/>
          <w:sz w:val="24"/>
          <w:szCs w:val="24"/>
        </w:rPr>
        <w:t>1.1 Introduction to accounting conservatism</w:t>
      </w:r>
      <w:bookmarkEnd w:id="12"/>
      <w:bookmarkEnd w:id="13"/>
    </w:p>
    <w:p w:rsidR="00926DB2" w:rsidRPr="006424A1" w:rsidRDefault="00926DB2" w:rsidP="00046654">
      <w:pPr>
        <w:jc w:val="both"/>
      </w:pPr>
    </w:p>
    <w:p w:rsidR="00B04E68" w:rsidRDefault="00926DB2" w:rsidP="00046654">
      <w:pPr>
        <w:spacing w:line="360" w:lineRule="auto"/>
        <w:jc w:val="both"/>
        <w:rPr>
          <w:lang w:val="en-US"/>
        </w:rPr>
      </w:pPr>
      <w:r>
        <w:rPr>
          <w:lang w:val="en-US"/>
        </w:rPr>
        <w:t>Accounting conservatism refers to th</w:t>
      </w:r>
      <w:r w:rsidR="00916F95">
        <w:rPr>
          <w:lang w:val="en-US"/>
        </w:rPr>
        <w:t>e understatement</w:t>
      </w:r>
      <w:r>
        <w:rPr>
          <w:lang w:val="en-US"/>
        </w:rPr>
        <w:t xml:space="preserve"> of assets and</w:t>
      </w:r>
      <w:r w:rsidR="00916F95">
        <w:rPr>
          <w:lang w:val="en-US"/>
        </w:rPr>
        <w:t xml:space="preserve"> revenues and the overstatement</w:t>
      </w:r>
      <w:r>
        <w:rPr>
          <w:lang w:val="en-US"/>
        </w:rPr>
        <w:t xml:space="preserve"> of liabili</w:t>
      </w:r>
      <w:r w:rsidR="00916F95">
        <w:rPr>
          <w:lang w:val="en-US"/>
        </w:rPr>
        <w:t xml:space="preserve">ties and expenses. The recognition of losses should take place when it is assumed that these losses will occur, even when there is no legal claim for this. Recognition of gains on the other hand should only take place when there is a legal claim for it (Watts 2003). </w:t>
      </w:r>
      <w:r>
        <w:rPr>
          <w:lang w:val="en-US"/>
        </w:rPr>
        <w:t xml:space="preserve">The conservatism principle states that in reporting the financial statements, a more pessimistic picture (understate) than an optimistic picture (overstate) will be described, due </w:t>
      </w:r>
      <w:r w:rsidR="00E65BBD">
        <w:rPr>
          <w:lang w:val="en-US"/>
        </w:rPr>
        <w:t>to this it is less probable</w:t>
      </w:r>
      <w:r w:rsidR="00E44F93">
        <w:rPr>
          <w:lang w:val="en-US"/>
        </w:rPr>
        <w:t xml:space="preserve"> that </w:t>
      </w:r>
      <w:r>
        <w:rPr>
          <w:lang w:val="en-US"/>
        </w:rPr>
        <w:t>user</w:t>
      </w:r>
      <w:r w:rsidR="00E65BBD">
        <w:rPr>
          <w:lang w:val="en-US"/>
        </w:rPr>
        <w:t>s of financial information will be</w:t>
      </w:r>
      <w:r>
        <w:rPr>
          <w:lang w:val="en-US"/>
        </w:rPr>
        <w:t xml:space="preserve"> hurt relying on prepared finan</w:t>
      </w:r>
      <w:r w:rsidR="00916F95">
        <w:rPr>
          <w:lang w:val="en-US"/>
        </w:rPr>
        <w:t xml:space="preserve">cial statements. The </w:t>
      </w:r>
      <w:r>
        <w:rPr>
          <w:lang w:val="en-US"/>
        </w:rPr>
        <w:t>conservatism princip</w:t>
      </w:r>
      <w:r w:rsidR="00916F95">
        <w:rPr>
          <w:lang w:val="en-US"/>
        </w:rPr>
        <w:t xml:space="preserve">le is one of the most significant </w:t>
      </w:r>
      <w:r>
        <w:rPr>
          <w:lang w:val="en-US"/>
        </w:rPr>
        <w:t>and longstanding princ</w:t>
      </w:r>
      <w:r w:rsidR="00916F95">
        <w:rPr>
          <w:lang w:val="en-US"/>
        </w:rPr>
        <w:t>iples in the accounting. Conservatism has been influencing accounting for hundreds of years (Basu 1997).</w:t>
      </w:r>
      <w:r w:rsidR="00E76294">
        <w:rPr>
          <w:lang w:val="en-US"/>
        </w:rPr>
        <w:t xml:space="preserve"> </w:t>
      </w:r>
      <w:r>
        <w:rPr>
          <w:lang w:val="en-US"/>
        </w:rPr>
        <w:t>Sterling (1970) described conservatism as the most influential principle of valuation in accounting theory.</w:t>
      </w:r>
      <w:r w:rsidRPr="00131F7E">
        <w:rPr>
          <w:i/>
          <w:lang w:val="en-US"/>
        </w:rPr>
        <w:t xml:space="preserve"> </w:t>
      </w:r>
      <w:r w:rsidR="00E76294">
        <w:rPr>
          <w:lang w:val="en-US"/>
        </w:rPr>
        <w:t>Watts (2003) stated</w:t>
      </w:r>
      <w:r>
        <w:rPr>
          <w:lang w:val="en-US"/>
        </w:rPr>
        <w:t xml:space="preserve"> in his paper concer</w:t>
      </w:r>
      <w:r w:rsidR="00E76294">
        <w:rPr>
          <w:lang w:val="en-US"/>
        </w:rPr>
        <w:t xml:space="preserve">ning conservatism in accounting, that </w:t>
      </w:r>
      <w:r w:rsidR="00B04E68">
        <w:rPr>
          <w:lang w:val="en-US"/>
        </w:rPr>
        <w:t xml:space="preserve">future research on conservatism would be of big interest for the accounting science and practice. </w:t>
      </w:r>
    </w:p>
    <w:p w:rsidR="00B04E68" w:rsidRDefault="00B04E68" w:rsidP="00046654">
      <w:pPr>
        <w:spacing w:line="360" w:lineRule="auto"/>
        <w:jc w:val="both"/>
        <w:rPr>
          <w:lang w:val="en-US"/>
        </w:rPr>
      </w:pPr>
    </w:p>
    <w:p w:rsidR="00926DB2" w:rsidRPr="006424A1" w:rsidRDefault="00926DB2" w:rsidP="00046654">
      <w:pPr>
        <w:spacing w:line="360" w:lineRule="auto"/>
        <w:jc w:val="both"/>
        <w:rPr>
          <w:rStyle w:val="Nadruk"/>
          <w:rFonts w:cs="Angsana New"/>
          <w:b w:val="0"/>
          <w:i w:val="0"/>
          <w:iCs w:val="0"/>
          <w:lang w:val="en-US"/>
        </w:rPr>
      </w:pPr>
      <w:r>
        <w:rPr>
          <w:lang w:val="en-US"/>
        </w:rPr>
        <w:t>In</w:t>
      </w:r>
      <w:r w:rsidR="00E65BBD">
        <w:rPr>
          <w:lang w:val="en-US"/>
        </w:rPr>
        <w:t xml:space="preserve"> my opinion it would be of great scientific benefit to</w:t>
      </w:r>
      <w:r>
        <w:rPr>
          <w:lang w:val="en-US"/>
        </w:rPr>
        <w:t xml:space="preserve"> further explore the effects of this important and longstanding principle in </w:t>
      </w:r>
      <w:r w:rsidR="00810E7C">
        <w:rPr>
          <w:lang w:val="en-US"/>
        </w:rPr>
        <w:t>relation with</w:t>
      </w:r>
      <w:r>
        <w:rPr>
          <w:lang w:val="en-US"/>
        </w:rPr>
        <w:t xml:space="preserve"> the performance of West-European banks before and during the financial crisis. </w:t>
      </w:r>
    </w:p>
    <w:p w:rsidR="00926DB2" w:rsidRPr="00361F4F" w:rsidRDefault="00926DB2" w:rsidP="00361F4F">
      <w:pPr>
        <w:pStyle w:val="Kop2"/>
        <w:rPr>
          <w:rStyle w:val="Nadruk"/>
          <w:rFonts w:ascii="Times New Roman" w:hAnsi="Times New Roman"/>
          <w:b/>
          <w:iCs/>
          <w:sz w:val="24"/>
          <w:szCs w:val="24"/>
        </w:rPr>
      </w:pPr>
      <w:bookmarkStart w:id="14" w:name="_Toc267323015"/>
      <w:bookmarkStart w:id="15" w:name="_Toc268186017"/>
      <w:r w:rsidRPr="00361F4F">
        <w:rPr>
          <w:rStyle w:val="Nadruk"/>
          <w:rFonts w:ascii="Times New Roman" w:hAnsi="Times New Roman"/>
          <w:b/>
          <w:iCs/>
          <w:sz w:val="24"/>
          <w:szCs w:val="24"/>
        </w:rPr>
        <w:t>1.2 Introduction to recent financial crisis</w:t>
      </w:r>
      <w:bookmarkEnd w:id="14"/>
      <w:bookmarkEnd w:id="15"/>
    </w:p>
    <w:p w:rsidR="00926DB2" w:rsidRPr="006424A1" w:rsidRDefault="00926DB2" w:rsidP="00046654">
      <w:pPr>
        <w:jc w:val="both"/>
      </w:pPr>
    </w:p>
    <w:p w:rsidR="00B00108" w:rsidRDefault="00926DB2" w:rsidP="00046654">
      <w:pPr>
        <w:spacing w:line="360" w:lineRule="auto"/>
        <w:jc w:val="both"/>
        <w:rPr>
          <w:lang w:val="en-US"/>
        </w:rPr>
      </w:pPr>
      <w:r>
        <w:rPr>
          <w:lang w:val="en-US"/>
        </w:rPr>
        <w:t>The recent financial crisis emerged in 2007 and at the moment of writing this thesis the effects and economic consequence</w:t>
      </w:r>
      <w:r w:rsidR="00337DAB">
        <w:rPr>
          <w:lang w:val="en-US"/>
        </w:rPr>
        <w:t>s are still visible and active. A discussion will be provided concerning the principal factors that</w:t>
      </w:r>
      <w:r w:rsidR="00124707">
        <w:rPr>
          <w:lang w:val="en-US"/>
        </w:rPr>
        <w:t xml:space="preserve"> contributed to the crisis and made the crisis resilient.</w:t>
      </w:r>
      <w:r w:rsidR="00B00108">
        <w:rPr>
          <w:lang w:val="en-US"/>
        </w:rPr>
        <w:t xml:space="preserve"> </w:t>
      </w:r>
    </w:p>
    <w:p w:rsidR="00B00108" w:rsidRDefault="00926DB2" w:rsidP="00046654">
      <w:pPr>
        <w:spacing w:line="360" w:lineRule="auto"/>
        <w:jc w:val="both"/>
        <w:rPr>
          <w:lang w:val="en-US"/>
        </w:rPr>
      </w:pPr>
      <w:r w:rsidRPr="003602E7">
        <w:rPr>
          <w:lang w:val="en-US"/>
        </w:rPr>
        <w:t>First of all the financial crisis emerged in the United States in the end of 2</w:t>
      </w:r>
      <w:r w:rsidR="00B00108">
        <w:rPr>
          <w:lang w:val="en-US"/>
        </w:rPr>
        <w:t>007. The risky and incorrect lending</w:t>
      </w:r>
      <w:r w:rsidR="005A20A3">
        <w:rPr>
          <w:lang w:val="en-US"/>
        </w:rPr>
        <w:t xml:space="preserve"> procedures</w:t>
      </w:r>
      <w:r w:rsidR="00B00108">
        <w:rPr>
          <w:lang w:val="en-US"/>
        </w:rPr>
        <w:t xml:space="preserve"> of US top banks are considered to be the principal factors of the financial crisis</w:t>
      </w:r>
      <w:r w:rsidR="005A20A3">
        <w:rPr>
          <w:lang w:val="en-US"/>
        </w:rPr>
        <w:t>. US banks provided risky financial products to their clients, mainly mortgages</w:t>
      </w:r>
      <w:r w:rsidR="001672E9">
        <w:rPr>
          <w:lang w:val="en-US"/>
        </w:rPr>
        <w:t>. The clients were given the tag; prime borrowers, without taken the lending proceedings into consideration. Hence had the banks done this then a great part of the clients</w:t>
      </w:r>
      <w:r w:rsidR="00616B04">
        <w:rPr>
          <w:lang w:val="en-US"/>
        </w:rPr>
        <w:t xml:space="preserve"> would have never obtained a loan or mortgage from the bank (Mishkin 2008).</w:t>
      </w:r>
      <w:r w:rsidR="001672E9">
        <w:rPr>
          <w:lang w:val="en-US"/>
        </w:rPr>
        <w:t xml:space="preserve"> </w:t>
      </w:r>
    </w:p>
    <w:p w:rsidR="00B00108" w:rsidRDefault="00B00108" w:rsidP="00046654">
      <w:pPr>
        <w:spacing w:line="360" w:lineRule="auto"/>
        <w:jc w:val="both"/>
        <w:rPr>
          <w:lang w:val="en-US"/>
        </w:rPr>
      </w:pPr>
    </w:p>
    <w:p w:rsidR="00AA6762" w:rsidRDefault="00064EB0" w:rsidP="00046654">
      <w:pPr>
        <w:spacing w:line="360" w:lineRule="auto"/>
        <w:jc w:val="both"/>
        <w:rPr>
          <w:lang w:val="en-US"/>
        </w:rPr>
      </w:pPr>
      <w:r>
        <w:rPr>
          <w:lang w:val="en-US"/>
        </w:rPr>
        <w:lastRenderedPageBreak/>
        <w:t>The risk</w:t>
      </w:r>
      <w:r w:rsidR="00AF69BB">
        <w:rPr>
          <w:lang w:val="en-US"/>
        </w:rPr>
        <w:t>s</w:t>
      </w:r>
      <w:r>
        <w:rPr>
          <w:lang w:val="en-US"/>
        </w:rPr>
        <w:t xml:space="preserve"> incorporated in the securities that functioned as a cover for the mortgages were difficult to estimate.</w:t>
      </w:r>
      <w:r w:rsidR="00AF69BB">
        <w:rPr>
          <w:lang w:val="en-US"/>
        </w:rPr>
        <w:t xml:space="preserve"> Institutions and bank clients that were illiquid </w:t>
      </w:r>
      <w:r w:rsidR="00AA6762">
        <w:rPr>
          <w:lang w:val="en-US"/>
        </w:rPr>
        <w:t>obtained credit from the banks. Repayment of the loans in</w:t>
      </w:r>
      <w:r w:rsidR="006C31AA">
        <w:rPr>
          <w:lang w:val="en-US"/>
        </w:rPr>
        <w:t xml:space="preserve"> </w:t>
      </w:r>
      <w:r w:rsidR="00AA6762">
        <w:rPr>
          <w:lang w:val="en-US"/>
        </w:rPr>
        <w:t>future</w:t>
      </w:r>
      <w:r w:rsidR="006C31AA">
        <w:rPr>
          <w:lang w:val="en-US"/>
        </w:rPr>
        <w:t xml:space="preserve"> periods</w:t>
      </w:r>
      <w:r w:rsidR="00AA6762">
        <w:rPr>
          <w:lang w:val="en-US"/>
        </w:rPr>
        <w:t xml:space="preserve"> by the clients and institutions was assumed by the banks. </w:t>
      </w:r>
      <w:r w:rsidR="006C31AA">
        <w:rPr>
          <w:lang w:val="en-US"/>
        </w:rPr>
        <w:t>While e</w:t>
      </w:r>
      <w:r w:rsidR="00AA6762">
        <w:rPr>
          <w:lang w:val="en-US"/>
        </w:rPr>
        <w:t xml:space="preserve">xamining the liquidity status of these groups they had no chance to repay the loans. Bank managers only aimed at gaining bonuses by selling the financial products and only had a short term horizon. These immoral lending practices are considered to be unconservative and have led to major </w:t>
      </w:r>
      <w:r w:rsidR="006C31AA">
        <w:rPr>
          <w:lang w:val="en-US"/>
        </w:rPr>
        <w:t>failure</w:t>
      </w:r>
      <w:r w:rsidR="00AA6762" w:rsidRPr="00282EA5">
        <w:rPr>
          <w:lang w:val="en-US"/>
        </w:rPr>
        <w:t xml:space="preserve"> and bankruptcy of many banks and financial institutions across the world.</w:t>
      </w:r>
      <w:r w:rsidR="006C31AA">
        <w:rPr>
          <w:lang w:val="en-US"/>
        </w:rPr>
        <w:t xml:space="preserve"> </w:t>
      </w:r>
    </w:p>
    <w:p w:rsidR="008C0BC4" w:rsidRDefault="008C0BC4" w:rsidP="00046654">
      <w:pPr>
        <w:spacing w:line="360" w:lineRule="auto"/>
        <w:jc w:val="both"/>
        <w:rPr>
          <w:lang w:val="en-US"/>
        </w:rPr>
      </w:pPr>
    </w:p>
    <w:p w:rsidR="00926DB2" w:rsidRPr="00F63490" w:rsidRDefault="006C31AA" w:rsidP="00046654">
      <w:pPr>
        <w:spacing w:line="360" w:lineRule="auto"/>
        <w:jc w:val="both"/>
        <w:rPr>
          <w:lang w:val="en-US"/>
        </w:rPr>
      </w:pPr>
      <w:r>
        <w:rPr>
          <w:lang w:val="en-US"/>
        </w:rPr>
        <w:t>These dubious lending practices were strengthened by an increase in petrol and food prices, a credit boom and a speculative bubble in real estate and equities (</w:t>
      </w:r>
      <w:r w:rsidRPr="00C67B46">
        <w:rPr>
          <w:lang w:val="en-US"/>
        </w:rPr>
        <w:t>Roubini 2009).</w:t>
      </w:r>
      <w:r w:rsidR="00B9129D">
        <w:rPr>
          <w:lang w:val="en-US"/>
        </w:rPr>
        <w:t xml:space="preserve"> The beginning of a financial crisis in 2007 was a fact when immense losses were made on the risky loans. Due to these losses and the fall of Lehman Brothers in mid-2008 the financial world was turned upside down and hysteria overruled.</w:t>
      </w:r>
      <w:r w:rsidR="005572B9">
        <w:rPr>
          <w:lang w:val="en-US"/>
        </w:rPr>
        <w:t xml:space="preserve"> From this point on a huge decrease of stock prices and real estate price</w:t>
      </w:r>
      <w:r w:rsidR="00F63490">
        <w:rPr>
          <w:lang w:val="en-US"/>
        </w:rPr>
        <w:t>s</w:t>
      </w:r>
      <w:r w:rsidR="005572B9">
        <w:rPr>
          <w:lang w:val="en-US"/>
        </w:rPr>
        <w:t xml:space="preserve"> caused major financial complications and even bankruptcy of  numerous banks and investment companies in Europe and The US.</w:t>
      </w:r>
    </w:p>
    <w:p w:rsidR="00926DB2" w:rsidRPr="00361F4F" w:rsidRDefault="00926DB2" w:rsidP="00361F4F">
      <w:pPr>
        <w:pStyle w:val="Kop2"/>
        <w:rPr>
          <w:rStyle w:val="Nadruk"/>
          <w:rFonts w:ascii="Times New Roman" w:hAnsi="Times New Roman"/>
          <w:b/>
          <w:sz w:val="24"/>
          <w:szCs w:val="24"/>
        </w:rPr>
      </w:pPr>
      <w:bookmarkStart w:id="16" w:name="_Toc267323016"/>
      <w:bookmarkStart w:id="17" w:name="_Toc268186018"/>
      <w:r w:rsidRPr="00361F4F">
        <w:rPr>
          <w:rStyle w:val="Nadruk"/>
          <w:rFonts w:ascii="Times New Roman" w:hAnsi="Times New Roman"/>
          <w:b/>
          <w:sz w:val="24"/>
          <w:szCs w:val="24"/>
        </w:rPr>
        <w:t>1.3 Economic consequences of the crisis</w:t>
      </w:r>
      <w:bookmarkEnd w:id="16"/>
      <w:bookmarkEnd w:id="17"/>
    </w:p>
    <w:p w:rsidR="00926DB2" w:rsidRPr="006424A1" w:rsidRDefault="00926DB2" w:rsidP="00046654">
      <w:pPr>
        <w:ind w:left="720"/>
        <w:jc w:val="both"/>
      </w:pPr>
    </w:p>
    <w:p w:rsidR="00E36E71" w:rsidRDefault="00926DB2" w:rsidP="006D6A3D">
      <w:pPr>
        <w:spacing w:line="360" w:lineRule="auto"/>
        <w:jc w:val="both"/>
      </w:pPr>
      <w:r>
        <w:t xml:space="preserve">This </w:t>
      </w:r>
      <w:r w:rsidR="00F63490">
        <w:t>global</w:t>
      </w:r>
      <w:r>
        <w:t xml:space="preserve"> crisis translated itself in several economic</w:t>
      </w:r>
      <w:r w:rsidR="00F63490">
        <w:t xml:space="preserve"> distortions</w:t>
      </w:r>
      <w:r>
        <w:t>; rapidly increasing unemployment rates, a mitigation of commodity prices, a fall of international trade and one of the most important consequences of all is a lack of trust of the public in financial institutions and banks. The public began to set question marks on management policies, st</w:t>
      </w:r>
      <w:r w:rsidR="00F63490">
        <w:t xml:space="preserve">rategies and ethical behaviour. Economists predict </w:t>
      </w:r>
      <w:r w:rsidR="00E36E71">
        <w:t xml:space="preserve">that this </w:t>
      </w:r>
      <w:r w:rsidR="00F63490">
        <w:t>crisis will be the greatest si</w:t>
      </w:r>
      <w:r w:rsidR="00E36E71">
        <w:t>nce the Great Depression of 1930</w:t>
      </w:r>
      <w:r w:rsidR="00810E7C" w:rsidRPr="00F70590">
        <w:t xml:space="preserve"> </w:t>
      </w:r>
      <w:r w:rsidR="000A6E82">
        <w:t xml:space="preserve">(Lightman </w:t>
      </w:r>
      <w:r w:rsidRPr="00F70590">
        <w:t>2009; Finch 2009).</w:t>
      </w:r>
      <w:r>
        <w:t xml:space="preserve"> This </w:t>
      </w:r>
      <w:r w:rsidR="00E36E71">
        <w:t xml:space="preserve">crisis stimulates </w:t>
      </w:r>
      <w:r>
        <w:t>scientist</w:t>
      </w:r>
      <w:r w:rsidR="00E36E71">
        <w:t>s</w:t>
      </w:r>
      <w:r>
        <w:t xml:space="preserve"> and practitioners to investigate the </w:t>
      </w:r>
      <w:r w:rsidR="004A13D4">
        <w:t>causes,</w:t>
      </w:r>
      <w:r>
        <w:t xml:space="preserve"> </w:t>
      </w:r>
      <w:r w:rsidR="00E36E71">
        <w:t>possible prevention methods and regulations for banks to prevent a crisis of this scale in the future.</w:t>
      </w:r>
    </w:p>
    <w:p w:rsidR="00E36E71" w:rsidRDefault="00E36E71" w:rsidP="00046654">
      <w:pPr>
        <w:spacing w:line="360" w:lineRule="auto"/>
        <w:jc w:val="both"/>
      </w:pPr>
    </w:p>
    <w:p w:rsidR="002E1319" w:rsidRDefault="002E1319" w:rsidP="00046654">
      <w:pPr>
        <w:spacing w:line="360" w:lineRule="auto"/>
        <w:jc w:val="both"/>
      </w:pPr>
    </w:p>
    <w:p w:rsidR="002E1319" w:rsidRDefault="002E1319" w:rsidP="00046654">
      <w:pPr>
        <w:spacing w:line="360" w:lineRule="auto"/>
        <w:jc w:val="both"/>
      </w:pPr>
    </w:p>
    <w:p w:rsidR="002E1319" w:rsidRDefault="002E1319" w:rsidP="00046654">
      <w:pPr>
        <w:spacing w:line="360" w:lineRule="auto"/>
        <w:jc w:val="both"/>
      </w:pPr>
    </w:p>
    <w:p w:rsidR="002E1319" w:rsidRDefault="002E1319" w:rsidP="00046654">
      <w:pPr>
        <w:spacing w:line="360" w:lineRule="auto"/>
        <w:jc w:val="both"/>
      </w:pPr>
    </w:p>
    <w:p w:rsidR="002E1319" w:rsidRDefault="002E1319" w:rsidP="00046654">
      <w:pPr>
        <w:spacing w:line="360" w:lineRule="auto"/>
        <w:jc w:val="both"/>
      </w:pPr>
    </w:p>
    <w:p w:rsidR="002E1319" w:rsidRDefault="002E1319" w:rsidP="00046654">
      <w:pPr>
        <w:spacing w:line="360" w:lineRule="auto"/>
        <w:jc w:val="both"/>
      </w:pPr>
    </w:p>
    <w:p w:rsidR="002E1319" w:rsidRDefault="002E1319" w:rsidP="00046654">
      <w:pPr>
        <w:spacing w:line="360" w:lineRule="auto"/>
        <w:jc w:val="both"/>
      </w:pPr>
    </w:p>
    <w:p w:rsidR="00926DB2" w:rsidRDefault="00926DB2" w:rsidP="00046654">
      <w:pPr>
        <w:spacing w:line="360" w:lineRule="auto"/>
        <w:jc w:val="both"/>
      </w:pPr>
      <w:r>
        <w:lastRenderedPageBreak/>
        <w:t>Below a further elaboration on the causes of the economic crisis is given, I will mention some of them while others that are more significant for my research will be p</w:t>
      </w:r>
      <w:r w:rsidR="00E36E71">
        <w:t xml:space="preserve">resented more elaborately. </w:t>
      </w:r>
      <w:r w:rsidR="002E1319">
        <w:t>It is argued by p</w:t>
      </w:r>
      <w:r>
        <w:t xml:space="preserve">ractitioners and researchers that the below mentioned economic effects are the main causes of the financial crisis:  </w:t>
      </w:r>
    </w:p>
    <w:p w:rsidR="00926DB2" w:rsidRDefault="00926DB2" w:rsidP="00046654">
      <w:pPr>
        <w:spacing w:line="360" w:lineRule="auto"/>
        <w:jc w:val="both"/>
      </w:pPr>
    </w:p>
    <w:p w:rsidR="00926DB2" w:rsidRDefault="00926DB2" w:rsidP="00046654">
      <w:pPr>
        <w:pStyle w:val="Lijstalinea"/>
        <w:numPr>
          <w:ilvl w:val="0"/>
          <w:numId w:val="5"/>
        </w:numPr>
        <w:spacing w:line="360" w:lineRule="auto"/>
        <w:jc w:val="both"/>
      </w:pPr>
      <w:r>
        <w:t>Over-leveraging (Credit Default Swaps and Collaterized Debt Obligations)</w:t>
      </w:r>
    </w:p>
    <w:p w:rsidR="00926DB2" w:rsidRDefault="00926DB2" w:rsidP="00046654">
      <w:pPr>
        <w:pStyle w:val="Lijstalinea"/>
        <w:numPr>
          <w:ilvl w:val="0"/>
          <w:numId w:val="5"/>
        </w:numPr>
        <w:spacing w:line="360" w:lineRule="auto"/>
        <w:jc w:val="both"/>
      </w:pPr>
      <w:r>
        <w:t>Increase of oil prices</w:t>
      </w:r>
    </w:p>
    <w:p w:rsidR="00926DB2" w:rsidRDefault="00926DB2" w:rsidP="00046654">
      <w:pPr>
        <w:pStyle w:val="Lijstalinea"/>
        <w:numPr>
          <w:ilvl w:val="0"/>
          <w:numId w:val="5"/>
        </w:numPr>
        <w:spacing w:line="360" w:lineRule="auto"/>
        <w:jc w:val="both"/>
      </w:pPr>
      <w:r>
        <w:t>Weakened regulation activities by the government</w:t>
      </w:r>
    </w:p>
    <w:p w:rsidR="00926DB2" w:rsidRDefault="00926DB2" w:rsidP="00FE47B5">
      <w:pPr>
        <w:pStyle w:val="Lijstalinea"/>
        <w:numPr>
          <w:ilvl w:val="0"/>
          <w:numId w:val="5"/>
        </w:numPr>
        <w:spacing w:line="360" w:lineRule="auto"/>
        <w:jc w:val="both"/>
      </w:pPr>
      <w:r>
        <w:t xml:space="preserve">Improper and deficient functioning of the Federal Reserve Bank CEO; Alan Greenspan </w:t>
      </w:r>
    </w:p>
    <w:p w:rsidR="00FE47B5" w:rsidRDefault="00FE47B5" w:rsidP="00FE47B5">
      <w:pPr>
        <w:pStyle w:val="Lijstalinea"/>
        <w:spacing w:line="360" w:lineRule="auto"/>
        <w:jc w:val="both"/>
      </w:pPr>
    </w:p>
    <w:p w:rsidR="00926DB2" w:rsidRPr="00FE47B5" w:rsidRDefault="002E1319" w:rsidP="00FE47B5">
      <w:pPr>
        <w:pStyle w:val="Lijstalinea"/>
        <w:spacing w:line="360" w:lineRule="auto"/>
        <w:ind w:left="0"/>
        <w:jc w:val="both"/>
        <w:rPr>
          <w:rStyle w:val="Nadruk"/>
          <w:rFonts w:cs="Angsana New"/>
          <w:b w:val="0"/>
          <w:i w:val="0"/>
          <w:iCs w:val="0"/>
        </w:rPr>
      </w:pPr>
      <w:r>
        <w:t>The degree of risk in the Collateralized Debt Obligation (CDO) and Credit Default Swaps (CDS) was estimated incorrectly</w:t>
      </w:r>
      <w:r w:rsidR="00FE47B5">
        <w:t xml:space="preserve"> by</w:t>
      </w:r>
      <w:r>
        <w:t xml:space="preserve"> a significant amount of banks. CDO´s are obligations covered by collateral. A Contractual agreement between two parties that assign the credit risk to another party are referred to as a CDS.</w:t>
      </w:r>
      <w:r w:rsidR="00FE47B5">
        <w:t xml:space="preserve"> </w:t>
      </w:r>
      <w:r w:rsidR="00926DB2" w:rsidRPr="00A203A9">
        <w:t xml:space="preserve">With these instruments banks </w:t>
      </w:r>
      <w:r w:rsidR="00926DB2">
        <w:t xml:space="preserve">and investors were able to benefit </w:t>
      </w:r>
      <w:r w:rsidR="00926DB2" w:rsidRPr="00A203A9">
        <w:t>of</w:t>
      </w:r>
      <w:r w:rsidR="00926DB2">
        <w:t xml:space="preserve"> the</w:t>
      </w:r>
      <w:r w:rsidR="00926DB2" w:rsidRPr="00A203A9">
        <w:t xml:space="preserve"> lo</w:t>
      </w:r>
      <w:r w:rsidR="00926DB2">
        <w:t>w interest rates and borrow massive</w:t>
      </w:r>
      <w:r w:rsidR="00926DB2" w:rsidRPr="00A203A9">
        <w:t xml:space="preserve"> sums of money that they only could pay back if the housing mark</w:t>
      </w:r>
      <w:r w:rsidR="00926DB2" w:rsidRPr="00F70590">
        <w:t>et continued to increa</w:t>
      </w:r>
      <w:r w:rsidR="003D496E">
        <w:t>se in value (Salmon</w:t>
      </w:r>
      <w:r w:rsidR="00926DB2" w:rsidRPr="00F70590">
        <w:t xml:space="preserve"> 2009). Banks</w:t>
      </w:r>
      <w:r w:rsidR="00926DB2">
        <w:t xml:space="preserve"> </w:t>
      </w:r>
      <w:r w:rsidR="00FE47B5">
        <w:t>depended</w:t>
      </w:r>
      <w:r w:rsidR="00926DB2" w:rsidRPr="00A203A9">
        <w:t xml:space="preserve"> </w:t>
      </w:r>
      <w:r w:rsidR="00FE47B5">
        <w:t>on future earnings such as the gains</w:t>
      </w:r>
      <w:r w:rsidR="00926DB2" w:rsidRPr="00A203A9">
        <w:t xml:space="preserve"> they assumed to make of the mortgages, what they didn’t take into consideration is the</w:t>
      </w:r>
      <w:r w:rsidR="00FE47B5">
        <w:t xml:space="preserve"> level of risk incorporated in these mortgages. </w:t>
      </w:r>
      <w:r w:rsidR="00926DB2">
        <w:t xml:space="preserve">The banks </w:t>
      </w:r>
      <w:r w:rsidR="00926DB2" w:rsidRPr="00A203A9">
        <w:t>overstated their future earnings</w:t>
      </w:r>
      <w:r w:rsidR="00926DB2">
        <w:t xml:space="preserve">; these earnings were not </w:t>
      </w:r>
      <w:r w:rsidR="004A13D4">
        <w:t>verifiably realized, even though</w:t>
      </w:r>
      <w:r w:rsidR="00926DB2">
        <w:t xml:space="preserve"> the banks and managers continued to count themselves rich. This is an unconservative</w:t>
      </w:r>
      <w:r w:rsidR="003D496E">
        <w:t xml:space="preserve"> and improper</w:t>
      </w:r>
      <w:r w:rsidR="00926DB2">
        <w:t xml:space="preserve"> way of accounting and an </w:t>
      </w:r>
      <w:r w:rsidR="00240DAE">
        <w:t>inappropriate</w:t>
      </w:r>
      <w:r w:rsidR="00926DB2">
        <w:t xml:space="preserve"> way of banks doing business.</w:t>
      </w:r>
    </w:p>
    <w:p w:rsidR="00926DB2" w:rsidRPr="00361F4F" w:rsidRDefault="00926DB2" w:rsidP="00361F4F">
      <w:pPr>
        <w:pStyle w:val="Kop2"/>
        <w:rPr>
          <w:rStyle w:val="Nadruk"/>
          <w:rFonts w:ascii="Times New Roman" w:hAnsi="Times New Roman"/>
          <w:b/>
          <w:sz w:val="24"/>
          <w:szCs w:val="24"/>
        </w:rPr>
      </w:pPr>
      <w:bookmarkStart w:id="18" w:name="_Toc267323018"/>
      <w:bookmarkStart w:id="19" w:name="_Toc268186019"/>
      <w:r w:rsidRPr="00361F4F">
        <w:rPr>
          <w:rStyle w:val="Nadruk"/>
          <w:rFonts w:ascii="Times New Roman" w:hAnsi="Times New Roman"/>
          <w:b/>
          <w:sz w:val="24"/>
          <w:szCs w:val="24"/>
        </w:rPr>
        <w:t>1.4 Introduction of main research question and sub-questions</w:t>
      </w:r>
      <w:bookmarkEnd w:id="18"/>
      <w:bookmarkEnd w:id="19"/>
    </w:p>
    <w:p w:rsidR="00926DB2" w:rsidRDefault="00926DB2" w:rsidP="00046654">
      <w:pPr>
        <w:spacing w:line="360" w:lineRule="auto"/>
        <w:jc w:val="both"/>
      </w:pPr>
    </w:p>
    <w:p w:rsidR="00926DB2" w:rsidRDefault="00926DB2" w:rsidP="00046654">
      <w:pPr>
        <w:spacing w:line="360" w:lineRule="auto"/>
        <w:jc w:val="both"/>
      </w:pPr>
      <w:r>
        <w:t>I</w:t>
      </w:r>
      <w:r w:rsidR="00924977">
        <w:t xml:space="preserve"> </w:t>
      </w:r>
      <w:r>
        <w:t xml:space="preserve"> introduced a brief definition of accounting conservatism and gave a short explanation of the recent financial crisis. With the above </w:t>
      </w:r>
      <w:r w:rsidR="00924977">
        <w:t>mentioned information</w:t>
      </w:r>
      <w:r>
        <w:t xml:space="preserve"> evidence is provided to further investigate if there is a link between the accounting conservatism principle and the performance of West-European banks during the economic crisis. Later in this chapter more evidence will be provided regarding resear</w:t>
      </w:r>
      <w:r w:rsidR="00924977">
        <w:t>ching the above mentioned link</w:t>
      </w:r>
      <w:r>
        <w:t>. Having enriched myself with this information I am interested in investigating what the influence of</w:t>
      </w:r>
      <w:r w:rsidRPr="005E76DC">
        <w:t xml:space="preserve"> accounting conservatism </w:t>
      </w:r>
      <w:r w:rsidRPr="00184D6C">
        <w:t>is on the performances of West-European banks.</w:t>
      </w:r>
      <w:r>
        <w:t xml:space="preserve"> </w:t>
      </w:r>
    </w:p>
    <w:p w:rsidR="00FE47B5" w:rsidRDefault="00FE47B5" w:rsidP="00046654">
      <w:pPr>
        <w:spacing w:line="360" w:lineRule="auto"/>
        <w:jc w:val="both"/>
      </w:pPr>
    </w:p>
    <w:p w:rsidR="00FE47B5" w:rsidRDefault="00FE47B5" w:rsidP="00046654">
      <w:pPr>
        <w:spacing w:line="360" w:lineRule="auto"/>
        <w:jc w:val="both"/>
      </w:pPr>
    </w:p>
    <w:p w:rsidR="00926DB2" w:rsidRDefault="00926DB2" w:rsidP="00046654">
      <w:pPr>
        <w:spacing w:line="360" w:lineRule="auto"/>
        <w:jc w:val="both"/>
      </w:pPr>
      <w:r>
        <w:lastRenderedPageBreak/>
        <w:t>The main research question of the thesis is:</w:t>
      </w:r>
    </w:p>
    <w:p w:rsidR="00926DB2" w:rsidRDefault="00926DB2" w:rsidP="00046654">
      <w:pPr>
        <w:spacing w:line="360" w:lineRule="auto"/>
        <w:jc w:val="both"/>
      </w:pPr>
    </w:p>
    <w:p w:rsidR="00926DB2" w:rsidRPr="00184D6C" w:rsidRDefault="00926DB2" w:rsidP="00046654">
      <w:pPr>
        <w:spacing w:line="360" w:lineRule="auto"/>
        <w:jc w:val="both"/>
        <w:rPr>
          <w:i/>
        </w:rPr>
      </w:pPr>
      <w:r w:rsidRPr="00184D6C">
        <w:rPr>
          <w:i/>
        </w:rPr>
        <w:t>What is the relationship between the conditional conservatism principle and the performance of the West-European banking sector during the financial crisis?</w:t>
      </w:r>
    </w:p>
    <w:p w:rsidR="00926DB2" w:rsidRPr="00184D6C" w:rsidRDefault="00926DB2" w:rsidP="00046654">
      <w:pPr>
        <w:spacing w:line="360" w:lineRule="auto"/>
        <w:jc w:val="both"/>
        <w:rPr>
          <w:i/>
        </w:rPr>
      </w:pPr>
    </w:p>
    <w:p w:rsidR="00926DB2" w:rsidRDefault="00926DB2" w:rsidP="00046654">
      <w:pPr>
        <w:spacing w:line="360" w:lineRule="auto"/>
        <w:jc w:val="both"/>
      </w:pPr>
      <w:r>
        <w:t>In order to answer the main research question the following sub questions are formulated:</w:t>
      </w:r>
    </w:p>
    <w:p w:rsidR="00926DB2" w:rsidRDefault="00926DB2" w:rsidP="00046654">
      <w:pPr>
        <w:spacing w:line="360" w:lineRule="auto"/>
        <w:jc w:val="both"/>
      </w:pPr>
    </w:p>
    <w:p w:rsidR="00926DB2" w:rsidRDefault="00926DB2" w:rsidP="00506D65">
      <w:pPr>
        <w:pStyle w:val="Lijstalinea"/>
        <w:numPr>
          <w:ilvl w:val="0"/>
          <w:numId w:val="7"/>
        </w:numPr>
        <w:spacing w:line="360" w:lineRule="auto"/>
        <w:ind w:left="1701" w:hanging="425"/>
        <w:jc w:val="both"/>
      </w:pPr>
      <w:r>
        <w:t>What is accounting conservatism?</w:t>
      </w:r>
    </w:p>
    <w:p w:rsidR="00926DB2" w:rsidRDefault="00926DB2" w:rsidP="00506D65">
      <w:pPr>
        <w:pStyle w:val="Lijstalinea"/>
        <w:numPr>
          <w:ilvl w:val="0"/>
          <w:numId w:val="7"/>
        </w:numPr>
        <w:spacing w:line="360" w:lineRule="auto"/>
        <w:ind w:left="1701" w:hanging="425"/>
        <w:jc w:val="both"/>
      </w:pPr>
      <w:r>
        <w:t>What are the main causes of the financial crisis?</w:t>
      </w:r>
    </w:p>
    <w:p w:rsidR="00926DB2" w:rsidRPr="00A8068E" w:rsidRDefault="00926DB2" w:rsidP="00506D65">
      <w:pPr>
        <w:pStyle w:val="Lijstalinea"/>
        <w:numPr>
          <w:ilvl w:val="0"/>
          <w:numId w:val="7"/>
        </w:numPr>
        <w:spacing w:line="360" w:lineRule="auto"/>
        <w:ind w:left="1701" w:hanging="425"/>
        <w:jc w:val="both"/>
        <w:rPr>
          <w:color w:val="000000"/>
        </w:rPr>
      </w:pPr>
      <w:r w:rsidRPr="00A8068E">
        <w:t>Which prior research was conducted on accounting conservatism?</w:t>
      </w:r>
    </w:p>
    <w:p w:rsidR="00926DB2" w:rsidRPr="00A8068E" w:rsidRDefault="00926DB2" w:rsidP="00506D65">
      <w:pPr>
        <w:pStyle w:val="Lijstalinea"/>
        <w:numPr>
          <w:ilvl w:val="0"/>
          <w:numId w:val="7"/>
        </w:numPr>
        <w:spacing w:line="360" w:lineRule="auto"/>
        <w:ind w:left="1701" w:hanging="424"/>
        <w:jc w:val="both"/>
        <w:rPr>
          <w:color w:val="000000"/>
        </w:rPr>
      </w:pPr>
      <w:r w:rsidRPr="00A8068E">
        <w:rPr>
          <w:color w:val="000000"/>
        </w:rPr>
        <w:t xml:space="preserve">What type of </w:t>
      </w:r>
      <w:r w:rsidR="000D4BD5">
        <w:rPr>
          <w:color w:val="000000"/>
        </w:rPr>
        <w:t>conservatism is relevant for this research</w:t>
      </w:r>
      <w:r w:rsidRPr="00A8068E">
        <w:rPr>
          <w:color w:val="000000"/>
        </w:rPr>
        <w:t>?</w:t>
      </w:r>
    </w:p>
    <w:p w:rsidR="00926DB2" w:rsidRPr="00A8068E" w:rsidRDefault="00926DB2" w:rsidP="00506D65">
      <w:pPr>
        <w:pStyle w:val="Lijstalinea"/>
        <w:numPr>
          <w:ilvl w:val="0"/>
          <w:numId w:val="7"/>
        </w:numPr>
        <w:spacing w:line="360" w:lineRule="auto"/>
        <w:ind w:left="1701" w:hanging="424"/>
        <w:jc w:val="both"/>
      </w:pPr>
      <w:r w:rsidRPr="00A8068E">
        <w:t>What are measures for accounting conservatism?</w:t>
      </w:r>
    </w:p>
    <w:p w:rsidR="00926DB2" w:rsidRPr="00A8068E" w:rsidRDefault="00926DB2" w:rsidP="00506D65">
      <w:pPr>
        <w:pStyle w:val="Lijstalinea"/>
        <w:numPr>
          <w:ilvl w:val="0"/>
          <w:numId w:val="7"/>
        </w:numPr>
        <w:spacing w:line="360" w:lineRule="auto"/>
        <w:ind w:left="1701" w:hanging="425"/>
        <w:jc w:val="both"/>
        <w:rPr>
          <w:color w:val="000000"/>
        </w:rPr>
      </w:pPr>
      <w:r w:rsidRPr="00A8068E">
        <w:rPr>
          <w:color w:val="000000"/>
        </w:rPr>
        <w:t>What other factors influence accounting conservatism?</w:t>
      </w:r>
    </w:p>
    <w:p w:rsidR="00926DB2" w:rsidRPr="00A8068E" w:rsidRDefault="000D4BD5" w:rsidP="00506D65">
      <w:pPr>
        <w:pStyle w:val="Lijstalinea"/>
        <w:numPr>
          <w:ilvl w:val="0"/>
          <w:numId w:val="7"/>
        </w:numPr>
        <w:spacing w:line="360" w:lineRule="auto"/>
        <w:ind w:left="1701" w:hanging="425"/>
        <w:jc w:val="both"/>
        <w:rPr>
          <w:color w:val="000000"/>
        </w:rPr>
      </w:pPr>
      <w:r>
        <w:t>What are measures for bank</w:t>
      </w:r>
      <w:r w:rsidR="00926DB2" w:rsidRPr="00A8068E">
        <w:t xml:space="preserve"> performance?</w:t>
      </w:r>
    </w:p>
    <w:p w:rsidR="00926DB2" w:rsidRPr="00A8068E" w:rsidRDefault="00926DB2" w:rsidP="00506D65">
      <w:pPr>
        <w:pStyle w:val="Lijstalinea"/>
        <w:numPr>
          <w:ilvl w:val="0"/>
          <w:numId w:val="7"/>
        </w:numPr>
        <w:spacing w:line="360" w:lineRule="auto"/>
        <w:ind w:left="1701" w:hanging="425"/>
        <w:jc w:val="both"/>
        <w:rPr>
          <w:color w:val="000000"/>
        </w:rPr>
      </w:pPr>
      <w:r w:rsidRPr="00A8068E">
        <w:rPr>
          <w:color w:val="000000"/>
        </w:rPr>
        <w:t>Are West-European banks conservative?</w:t>
      </w:r>
    </w:p>
    <w:p w:rsidR="00926DB2" w:rsidRPr="00361F4F" w:rsidRDefault="00926DB2" w:rsidP="00361F4F">
      <w:pPr>
        <w:pStyle w:val="Lijstalinea"/>
        <w:numPr>
          <w:ilvl w:val="0"/>
          <w:numId w:val="7"/>
        </w:numPr>
        <w:spacing w:line="360" w:lineRule="auto"/>
        <w:ind w:left="1701" w:hanging="425"/>
        <w:jc w:val="both"/>
        <w:rPr>
          <w:color w:val="000000"/>
        </w:rPr>
      </w:pPr>
      <w:r w:rsidRPr="00A8068E">
        <w:t>What is the relationship between accounting conservatism and the performance of European banks?</w:t>
      </w:r>
    </w:p>
    <w:p w:rsidR="00926DB2" w:rsidRPr="00361F4F" w:rsidRDefault="00926DB2" w:rsidP="00361F4F">
      <w:pPr>
        <w:pStyle w:val="Kop2"/>
        <w:rPr>
          <w:rFonts w:ascii="Times New Roman" w:hAnsi="Times New Roman" w:cs="Times New Roman"/>
          <w:i w:val="0"/>
          <w:iCs w:val="0"/>
          <w:sz w:val="24"/>
          <w:szCs w:val="24"/>
          <w:lang w:val="en-US"/>
        </w:rPr>
      </w:pPr>
      <w:bookmarkStart w:id="20" w:name="_Toc268186020"/>
      <w:r w:rsidRPr="00361F4F">
        <w:rPr>
          <w:rFonts w:ascii="Times New Roman" w:hAnsi="Times New Roman" w:cs="Times New Roman"/>
          <w:i w:val="0"/>
          <w:iCs w:val="0"/>
          <w:sz w:val="24"/>
          <w:szCs w:val="24"/>
          <w:lang w:val="en-US"/>
        </w:rPr>
        <w:t>1.5 Validation research question</w:t>
      </w:r>
      <w:bookmarkEnd w:id="20"/>
    </w:p>
    <w:p w:rsidR="00926DB2" w:rsidRPr="00A24BB6" w:rsidRDefault="00926DB2" w:rsidP="00A24BB6">
      <w:pPr>
        <w:spacing w:line="360" w:lineRule="auto"/>
        <w:ind w:left="360"/>
        <w:jc w:val="both"/>
        <w:rPr>
          <w:b/>
          <w:lang w:val="en-US"/>
        </w:rPr>
      </w:pPr>
    </w:p>
    <w:p w:rsidR="00926DB2" w:rsidRPr="00FE47B5" w:rsidRDefault="00926DB2" w:rsidP="00361F4F">
      <w:pPr>
        <w:spacing w:line="360" w:lineRule="auto"/>
        <w:jc w:val="both"/>
      </w:pPr>
      <w:r w:rsidRPr="00A8068E">
        <w:t xml:space="preserve">In my understanding a research of the relation between accounting conservatism and bank performance in West-Europe during the recent financial crisis </w:t>
      </w:r>
      <w:r>
        <w:t>has not been performed before. T</w:t>
      </w:r>
      <w:r w:rsidRPr="00A8068E">
        <w:t xml:space="preserve">here are studies that </w:t>
      </w:r>
      <w:r w:rsidR="00FE47B5">
        <w:t xml:space="preserve">have </w:t>
      </w:r>
      <w:r w:rsidRPr="00A8068E">
        <w:t>inves</w:t>
      </w:r>
      <w:r w:rsidR="00810E7C">
        <w:t>tigated the impact of financial crises</w:t>
      </w:r>
      <w:r w:rsidRPr="00A8068E">
        <w:t xml:space="preserve"> on conservatism. During a financial crisis financial reporting is less conservative </w:t>
      </w:r>
      <w:r w:rsidRPr="00A24BB6">
        <w:t>and timely (Vich</w:t>
      </w:r>
      <w:r>
        <w:t>itsarawong et al. 2010</w:t>
      </w:r>
      <w:r w:rsidRPr="00A24BB6">
        <w:t xml:space="preserve">). Companies that suffer from a financial crisis communicate much positive financial information to shareholders to reduce the negative effects of the crisis. This presided in the worry that management would exaggerate in publishing more positive information than normal and postpone publishment of negative information hence contemptuous investors respond faster to bad news than good </w:t>
      </w:r>
      <w:r>
        <w:t xml:space="preserve">news </w:t>
      </w:r>
      <w:r w:rsidRPr="00841B22">
        <w:t>(Kodres and Pritsker 1998; Kaminsky and Schmukler 1999). When examining post-crisis periods an increase in conservative accounting that is even greater than the level of conservatism in the pre-crisis period is seen. (Givo</w:t>
      </w:r>
      <w:r w:rsidRPr="00A8068E">
        <w:t xml:space="preserve">ly and Hayn 2000). </w:t>
      </w:r>
      <w:r>
        <w:t xml:space="preserve">Hence I </w:t>
      </w:r>
      <w:r w:rsidR="000D4BD5">
        <w:t xml:space="preserve">assume </w:t>
      </w:r>
      <w:r w:rsidRPr="00A8068E">
        <w:t>that there is a positive relationship between accounting conserva</w:t>
      </w:r>
      <w:r>
        <w:t xml:space="preserve">tism and </w:t>
      </w:r>
      <w:r w:rsidR="000D4BD5">
        <w:t xml:space="preserve">bank </w:t>
      </w:r>
      <w:r>
        <w:t>performance.</w:t>
      </w:r>
      <w:r w:rsidRPr="00A8068E">
        <w:t xml:space="preserve"> I assume </w:t>
      </w:r>
      <w:r>
        <w:t xml:space="preserve">that </w:t>
      </w:r>
      <w:r w:rsidRPr="00A8068E">
        <w:t>in times of financial crisis, th</w:t>
      </w:r>
      <w:r w:rsidR="003D496E">
        <w:t xml:space="preserve">us times in which there is a lower degree of </w:t>
      </w:r>
      <w:r w:rsidRPr="00A8068E">
        <w:t xml:space="preserve">conservative accounting the performances of banks will be </w:t>
      </w:r>
      <w:r w:rsidRPr="00A8068E">
        <w:lastRenderedPageBreak/>
        <w:t xml:space="preserve">more negative than in normal periods. Conservatism </w:t>
      </w:r>
      <w:r w:rsidR="00FE47B5">
        <w:t xml:space="preserve">means that gains and losses are recognized differently. </w:t>
      </w:r>
      <w:r w:rsidRPr="00A8068E">
        <w:rPr>
          <w:lang w:val="en-US"/>
        </w:rPr>
        <w:t>Losses should be recognized immediately and gains only when it is verifiable that they will be realized (Watts 2003). Thus</w:t>
      </w:r>
      <w:r>
        <w:rPr>
          <w:lang w:val="en-US"/>
        </w:rPr>
        <w:t xml:space="preserve"> </w:t>
      </w:r>
      <w:r w:rsidR="000D4BD5">
        <w:rPr>
          <w:lang w:val="en-US"/>
        </w:rPr>
        <w:t xml:space="preserve">for </w:t>
      </w:r>
      <w:r>
        <w:rPr>
          <w:lang w:val="en-US"/>
        </w:rPr>
        <w:t>less conservative</w:t>
      </w:r>
      <w:r w:rsidR="000D4BD5">
        <w:rPr>
          <w:lang w:val="en-US"/>
        </w:rPr>
        <w:t xml:space="preserve"> banks</w:t>
      </w:r>
      <w:r>
        <w:rPr>
          <w:lang w:val="en-US"/>
        </w:rPr>
        <w:t xml:space="preserve"> </w:t>
      </w:r>
      <w:r w:rsidRPr="00A8068E">
        <w:rPr>
          <w:lang w:val="en-US"/>
        </w:rPr>
        <w:t xml:space="preserve">it is much more likely that gains would be recognized before it is sure that these gains will be obtained. Or in the case of losses that losses would not be taken immediately when they are recognized but will be postponed. Taking the above </w:t>
      </w:r>
      <w:r>
        <w:rPr>
          <w:lang w:val="en-US"/>
        </w:rPr>
        <w:t xml:space="preserve">mentioned into consideration it is more likely for a bank </w:t>
      </w:r>
      <w:r w:rsidRPr="00A8068E">
        <w:rPr>
          <w:lang w:val="en-US"/>
        </w:rPr>
        <w:t>with a low degree of conservatism to interlace in fi</w:t>
      </w:r>
      <w:r>
        <w:rPr>
          <w:lang w:val="en-US"/>
        </w:rPr>
        <w:t xml:space="preserve">nancial discomforts than a bank </w:t>
      </w:r>
      <w:r w:rsidRPr="00A8068E">
        <w:rPr>
          <w:lang w:val="en-US"/>
        </w:rPr>
        <w:t>with a high degree of conservatism. This is the main motivati</w:t>
      </w:r>
      <w:r w:rsidR="000D4BD5">
        <w:rPr>
          <w:lang w:val="en-US"/>
        </w:rPr>
        <w:t>on to conduct a research on bank</w:t>
      </w:r>
      <w:r w:rsidRPr="00A8068E">
        <w:rPr>
          <w:lang w:val="en-US"/>
        </w:rPr>
        <w:t xml:space="preserve"> performance linking it to conservatism; my assumption is that there will be a positive relationship between the degree of conservatism in th</w:t>
      </w:r>
      <w:r>
        <w:rPr>
          <w:lang w:val="en-US"/>
        </w:rPr>
        <w:t xml:space="preserve">e pre-crisis period </w:t>
      </w:r>
      <w:r w:rsidRPr="00A8068E">
        <w:rPr>
          <w:lang w:val="en-US"/>
        </w:rPr>
        <w:t>and the pe</w:t>
      </w:r>
      <w:r>
        <w:rPr>
          <w:lang w:val="en-US"/>
        </w:rPr>
        <w:t>rformances of banks in the crisis-period</w:t>
      </w:r>
      <w:r w:rsidR="000D4BD5">
        <w:rPr>
          <w:lang w:val="en-US"/>
        </w:rPr>
        <w:t>. Hence</w:t>
      </w:r>
      <w:r w:rsidRPr="00A8068E">
        <w:rPr>
          <w:lang w:val="en-US"/>
        </w:rPr>
        <w:t xml:space="preserve"> the prudence of the conservatism principle will contribute to </w:t>
      </w:r>
      <w:r w:rsidR="000D4BD5">
        <w:rPr>
          <w:lang w:val="en-US"/>
        </w:rPr>
        <w:t>enhancement of bank</w:t>
      </w:r>
      <w:r w:rsidRPr="00B87A68">
        <w:rPr>
          <w:lang w:val="en-US"/>
        </w:rPr>
        <w:t xml:space="preserve"> performances by declining financial discomforts</w:t>
      </w:r>
      <w:r>
        <w:rPr>
          <w:lang w:val="en-US"/>
        </w:rPr>
        <w:t xml:space="preserve">. </w:t>
      </w:r>
    </w:p>
    <w:p w:rsidR="00926DB2" w:rsidRPr="00361F4F" w:rsidRDefault="00926DB2" w:rsidP="00361F4F">
      <w:pPr>
        <w:pStyle w:val="Kop2"/>
        <w:rPr>
          <w:rFonts w:ascii="Times New Roman" w:hAnsi="Times New Roman" w:cs="Times New Roman"/>
          <w:i w:val="0"/>
          <w:iCs w:val="0"/>
          <w:sz w:val="24"/>
          <w:szCs w:val="24"/>
          <w:lang w:val="en-US"/>
        </w:rPr>
      </w:pPr>
      <w:bookmarkStart w:id="21" w:name="_Toc268186021"/>
      <w:r w:rsidRPr="00361F4F">
        <w:rPr>
          <w:rFonts w:ascii="Times New Roman" w:hAnsi="Times New Roman" w:cs="Times New Roman"/>
          <w:i w:val="0"/>
          <w:iCs w:val="0"/>
          <w:sz w:val="24"/>
          <w:szCs w:val="24"/>
          <w:lang w:val="en-US"/>
        </w:rPr>
        <w:t>1.6 Methodology</w:t>
      </w:r>
      <w:bookmarkEnd w:id="21"/>
    </w:p>
    <w:p w:rsidR="00926DB2" w:rsidRPr="00B87A68" w:rsidRDefault="00926DB2" w:rsidP="00046654">
      <w:pPr>
        <w:spacing w:line="360" w:lineRule="auto"/>
        <w:jc w:val="both"/>
        <w:rPr>
          <w:b/>
          <w:lang w:val="en-US"/>
        </w:rPr>
      </w:pPr>
    </w:p>
    <w:p w:rsidR="00926DB2" w:rsidRDefault="00926DB2" w:rsidP="00361F4F">
      <w:pPr>
        <w:spacing w:line="360" w:lineRule="auto"/>
        <w:jc w:val="both"/>
        <w:rPr>
          <w:lang w:val="en-US"/>
        </w:rPr>
      </w:pPr>
      <w:r w:rsidRPr="00B87A68">
        <w:rPr>
          <w:lang w:val="en-US"/>
        </w:rPr>
        <w:t>In order to answer th</w:t>
      </w:r>
      <w:r>
        <w:rPr>
          <w:lang w:val="en-US"/>
        </w:rPr>
        <w:t xml:space="preserve">e sub-questions 1, 2, 3, 4, 5, 6 and 7. </w:t>
      </w:r>
      <w:r w:rsidRPr="00B87A68">
        <w:rPr>
          <w:lang w:val="en-US"/>
        </w:rPr>
        <w:t xml:space="preserve"> I will do an extensive literature review on accounting conservatism and elaborate on previous studies concerning</w:t>
      </w:r>
      <w:r>
        <w:rPr>
          <w:lang w:val="en-US"/>
        </w:rPr>
        <w:t xml:space="preserve"> accounting conservatism. I</w:t>
      </w:r>
      <w:r w:rsidRPr="00B87A68">
        <w:rPr>
          <w:lang w:val="en-US"/>
        </w:rPr>
        <w:t xml:space="preserve"> will provide information about the link between </w:t>
      </w:r>
      <w:r>
        <w:rPr>
          <w:lang w:val="en-US"/>
        </w:rPr>
        <w:t>accounting conservatism and bank</w:t>
      </w:r>
      <w:r w:rsidRPr="00B87A68">
        <w:rPr>
          <w:lang w:val="en-US"/>
        </w:rPr>
        <w:t xml:space="preserve"> performance and about the recent financi</w:t>
      </w:r>
      <w:r>
        <w:rPr>
          <w:lang w:val="en-US"/>
        </w:rPr>
        <w:t xml:space="preserve">al crisis. In order to answer </w:t>
      </w:r>
      <w:r w:rsidRPr="00B87A68">
        <w:rPr>
          <w:lang w:val="en-US"/>
        </w:rPr>
        <w:t>sub-questi</w:t>
      </w:r>
      <w:r>
        <w:rPr>
          <w:lang w:val="en-US"/>
        </w:rPr>
        <w:t>ons 8 and 9</w:t>
      </w:r>
      <w:r w:rsidRPr="00B87A68">
        <w:rPr>
          <w:lang w:val="en-US"/>
        </w:rPr>
        <w:t xml:space="preserve"> an empirical research is conducted. The data that will be used for this research exist of financial information from West</w:t>
      </w:r>
      <w:r>
        <w:rPr>
          <w:lang w:val="en-US"/>
        </w:rPr>
        <w:t xml:space="preserve">-European banks from the period 1997-2009 and within this period 2 sub-periods; 1997-2006 and 2007-2009. </w:t>
      </w:r>
      <w:r w:rsidRPr="00B87A68">
        <w:rPr>
          <w:lang w:val="en-US"/>
        </w:rPr>
        <w:t>This information will be extr</w:t>
      </w:r>
      <w:r>
        <w:rPr>
          <w:lang w:val="en-US"/>
        </w:rPr>
        <w:t>acted from</w:t>
      </w:r>
      <w:r w:rsidR="000D4BD5">
        <w:rPr>
          <w:lang w:val="en-US"/>
        </w:rPr>
        <w:t xml:space="preserve"> the Bankscope Databank and</w:t>
      </w:r>
      <w:r>
        <w:rPr>
          <w:lang w:val="en-US"/>
        </w:rPr>
        <w:t xml:space="preserve"> Thomson One banker. </w:t>
      </w:r>
      <w:r w:rsidRPr="00B87A68">
        <w:rPr>
          <w:lang w:val="en-US"/>
        </w:rPr>
        <w:t>The Ba</w:t>
      </w:r>
      <w:r>
        <w:rPr>
          <w:lang w:val="en-US"/>
        </w:rPr>
        <w:t xml:space="preserve">su-model (Basu 1997) is used to </w:t>
      </w:r>
      <w:r w:rsidRPr="00B87A68">
        <w:rPr>
          <w:lang w:val="en-US"/>
        </w:rPr>
        <w:t xml:space="preserve">measure the degree of conservatism. </w:t>
      </w:r>
      <w:r>
        <w:rPr>
          <w:lang w:val="en-US"/>
        </w:rPr>
        <w:t>The data consists of earnings and returns data and performance measurement data.</w:t>
      </w:r>
    </w:p>
    <w:p w:rsidR="00C23F11" w:rsidRDefault="00C23F11" w:rsidP="00361F4F">
      <w:pPr>
        <w:spacing w:line="360" w:lineRule="auto"/>
        <w:jc w:val="both"/>
        <w:rPr>
          <w:lang w:val="en-US"/>
        </w:rPr>
      </w:pPr>
    </w:p>
    <w:p w:rsidR="00C23F11" w:rsidRPr="003B4088" w:rsidRDefault="00A625DC" w:rsidP="003B4088">
      <w:pPr>
        <w:spacing w:line="360" w:lineRule="auto"/>
        <w:jc w:val="both"/>
        <w:rPr>
          <w:lang w:val="en-US"/>
        </w:rPr>
      </w:pPr>
      <w:r>
        <w:rPr>
          <w:lang w:val="en-US"/>
        </w:rPr>
        <w:t xml:space="preserve">In this research I provide evidence for the existence of conservatism in the West-European banking sector during the period 1997-2009. Further my results indicate conservatism in the pre-crisis period (1997-2006), subsequently </w:t>
      </w:r>
      <w:r w:rsidR="00EA6D67">
        <w:rPr>
          <w:lang w:val="en-US"/>
        </w:rPr>
        <w:t xml:space="preserve">I found </w:t>
      </w:r>
      <w:r>
        <w:rPr>
          <w:lang w:val="en-US"/>
        </w:rPr>
        <w:t xml:space="preserve">no significant sign of conservatism in the crisis period (2007-2009). These results are in line with my assumptions concerning the existence of conservatism in the different sample periods. Furthermore evidence is provided for the positive relationship between conservatism and bank performance. Hence good performing banks (in the crisis period) were conservative during the pre-crisis period and bad </w:t>
      </w:r>
      <w:r>
        <w:rPr>
          <w:lang w:val="en-US"/>
        </w:rPr>
        <w:lastRenderedPageBreak/>
        <w:t>performing banks were not conservative. A remark must be made that this relationship is only significant at the 10 pe</w:t>
      </w:r>
      <w:r w:rsidR="007428CE">
        <w:rPr>
          <w:lang w:val="en-US"/>
        </w:rPr>
        <w:t>r</w:t>
      </w:r>
      <w:r>
        <w:rPr>
          <w:lang w:val="en-US"/>
        </w:rPr>
        <w:t>cent confidence level.</w:t>
      </w:r>
    </w:p>
    <w:p w:rsidR="00926DB2" w:rsidRPr="00361F4F" w:rsidRDefault="00926DB2" w:rsidP="00361F4F">
      <w:pPr>
        <w:pStyle w:val="Kop2"/>
        <w:rPr>
          <w:rFonts w:ascii="Times New Roman" w:hAnsi="Times New Roman" w:cs="Times New Roman"/>
          <w:i w:val="0"/>
          <w:iCs w:val="0"/>
          <w:sz w:val="24"/>
          <w:szCs w:val="24"/>
          <w:lang w:val="en-US"/>
        </w:rPr>
      </w:pPr>
      <w:bookmarkStart w:id="22" w:name="_Toc268186022"/>
      <w:r w:rsidRPr="00361F4F">
        <w:rPr>
          <w:rFonts w:ascii="Times New Roman" w:hAnsi="Times New Roman" w:cs="Times New Roman"/>
          <w:i w:val="0"/>
          <w:iCs w:val="0"/>
          <w:sz w:val="24"/>
          <w:szCs w:val="24"/>
          <w:lang w:val="en-US"/>
        </w:rPr>
        <w:t>1.7 Structure</w:t>
      </w:r>
      <w:bookmarkEnd w:id="22"/>
    </w:p>
    <w:p w:rsidR="00926DB2" w:rsidRPr="00B87A68" w:rsidRDefault="00926DB2" w:rsidP="001564DF">
      <w:pPr>
        <w:spacing w:line="360" w:lineRule="auto"/>
        <w:jc w:val="both"/>
        <w:rPr>
          <w:b/>
          <w:lang w:val="en-US"/>
        </w:rPr>
      </w:pPr>
    </w:p>
    <w:p w:rsidR="00926DB2" w:rsidRDefault="00926DB2" w:rsidP="00046654">
      <w:pPr>
        <w:spacing w:line="360" w:lineRule="auto"/>
        <w:jc w:val="both"/>
        <w:rPr>
          <w:lang w:val="en-US"/>
        </w:rPr>
      </w:pPr>
      <w:r w:rsidRPr="00B87A68">
        <w:rPr>
          <w:lang w:val="en-US"/>
        </w:rPr>
        <w:t>The remainder of this thesis is structured as follows</w:t>
      </w:r>
      <w:r>
        <w:rPr>
          <w:lang w:val="en-US"/>
        </w:rPr>
        <w:t xml:space="preserve">: First economic background of the countries in the sample and background on banking regulation is provided in chapter 2. </w:t>
      </w:r>
      <w:r w:rsidRPr="00B87A68">
        <w:rPr>
          <w:lang w:val="en-US"/>
        </w:rPr>
        <w:t>In order to</w:t>
      </w:r>
      <w:r>
        <w:rPr>
          <w:lang w:val="en-US"/>
        </w:rPr>
        <w:t xml:space="preserve"> gain</w:t>
      </w:r>
      <w:r w:rsidRPr="00B87A68">
        <w:rPr>
          <w:lang w:val="en-US"/>
        </w:rPr>
        <w:t xml:space="preserve"> insight into previous literature studies and results and get a thorough understanding of the conservatism conce</w:t>
      </w:r>
      <w:r>
        <w:rPr>
          <w:lang w:val="en-US"/>
        </w:rPr>
        <w:t xml:space="preserve">pt I will conduct an extensive elaboration on this concept in chapter 3 </w:t>
      </w:r>
      <w:r w:rsidRPr="00B87A68">
        <w:rPr>
          <w:lang w:val="en-US"/>
        </w:rPr>
        <w:t xml:space="preserve">of the paper, in this chapter I will describe accounting conservatism in a way that is relevant for my research. The </w:t>
      </w:r>
      <w:r>
        <w:rPr>
          <w:lang w:val="en-US"/>
        </w:rPr>
        <w:t>4</w:t>
      </w:r>
      <w:r w:rsidRPr="008D63B1">
        <w:rPr>
          <w:vertAlign w:val="superscript"/>
          <w:lang w:val="en-US"/>
        </w:rPr>
        <w:t>th</w:t>
      </w:r>
      <w:r>
        <w:rPr>
          <w:lang w:val="en-US"/>
        </w:rPr>
        <w:t xml:space="preserve"> chapter presents the literature review which will </w:t>
      </w:r>
      <w:r w:rsidR="00760F8A">
        <w:rPr>
          <w:lang w:val="en-US"/>
        </w:rPr>
        <w:t>generate a basis</w:t>
      </w:r>
      <w:r w:rsidRPr="00B87A68">
        <w:rPr>
          <w:lang w:val="en-US"/>
        </w:rPr>
        <w:t xml:space="preserve"> for my empiri</w:t>
      </w:r>
      <w:r>
        <w:rPr>
          <w:lang w:val="en-US"/>
        </w:rPr>
        <w:t>cal research and I</w:t>
      </w:r>
      <w:r w:rsidRPr="00B87A68">
        <w:rPr>
          <w:lang w:val="en-US"/>
        </w:rPr>
        <w:t xml:space="preserve"> will introduce several approaches to assess accounting conservatism; I will discuss a variety of measurements for conservatism and specific approaches to assess this accounting princip</w:t>
      </w:r>
      <w:r>
        <w:rPr>
          <w:lang w:val="en-US"/>
        </w:rPr>
        <w:t>le. Furthermore in this chapter</w:t>
      </w:r>
      <w:r w:rsidRPr="00B87A68">
        <w:rPr>
          <w:lang w:val="en-US"/>
        </w:rPr>
        <w:t xml:space="preserve"> I will explain the Basu model, </w:t>
      </w:r>
      <w:r>
        <w:rPr>
          <w:lang w:val="en-US"/>
        </w:rPr>
        <w:t xml:space="preserve">which will be the basis for the </w:t>
      </w:r>
      <w:r w:rsidRPr="00B87A68">
        <w:rPr>
          <w:lang w:val="en-US"/>
        </w:rPr>
        <w:t>empi</w:t>
      </w:r>
      <w:bookmarkStart w:id="23" w:name="_Toc251228823"/>
      <w:r>
        <w:rPr>
          <w:lang w:val="en-US"/>
        </w:rPr>
        <w:t>rical research. Chapter 5 provides the hypotheses development and explanation of t</w:t>
      </w:r>
      <w:r w:rsidRPr="00B87A68">
        <w:rPr>
          <w:lang w:val="en-US"/>
        </w:rPr>
        <w:t xml:space="preserve">he regression model and </w:t>
      </w:r>
      <w:bookmarkEnd w:id="23"/>
      <w:r>
        <w:rPr>
          <w:lang w:val="en-US"/>
        </w:rPr>
        <w:t>elaboration on data and sample periods. Chapter 6 shows the analyses and re</w:t>
      </w:r>
      <w:r w:rsidR="00EA6D67">
        <w:rPr>
          <w:lang w:val="en-US"/>
        </w:rPr>
        <w:t>sults of the research. Chapter 7</w:t>
      </w:r>
      <w:r>
        <w:rPr>
          <w:lang w:val="en-US"/>
        </w:rPr>
        <w:t xml:space="preserve"> summarizes and concludes.</w:t>
      </w: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b/>
          <w:sz w:val="28"/>
          <w:szCs w:val="28"/>
          <w:lang w:val="en-US"/>
        </w:rPr>
      </w:pPr>
    </w:p>
    <w:p w:rsidR="00926DB2" w:rsidRDefault="00926DB2" w:rsidP="008C56A9">
      <w:pPr>
        <w:pStyle w:val="Kop1"/>
        <w:rPr>
          <w:lang w:val="en-US"/>
        </w:rPr>
      </w:pPr>
      <w:bookmarkStart w:id="24" w:name="_Toc268186023"/>
      <w:r w:rsidRPr="001C0CC0">
        <w:rPr>
          <w:lang w:val="en-US"/>
        </w:rPr>
        <w:lastRenderedPageBreak/>
        <w:t>2 West-European countries</w:t>
      </w:r>
      <w:bookmarkEnd w:id="24"/>
    </w:p>
    <w:p w:rsidR="00926DB2" w:rsidRPr="00F73967" w:rsidRDefault="00926DB2" w:rsidP="00046654">
      <w:pPr>
        <w:spacing w:line="360" w:lineRule="auto"/>
        <w:jc w:val="both"/>
        <w:rPr>
          <w:b/>
          <w:sz w:val="28"/>
          <w:szCs w:val="28"/>
          <w:lang w:val="en-US"/>
        </w:rPr>
      </w:pPr>
    </w:p>
    <w:p w:rsidR="00926DB2" w:rsidRPr="001C0CC0" w:rsidRDefault="00926DB2" w:rsidP="008C56A9">
      <w:pPr>
        <w:spacing w:line="360" w:lineRule="auto"/>
        <w:jc w:val="both"/>
        <w:rPr>
          <w:lang w:val="en-US"/>
        </w:rPr>
      </w:pPr>
      <w:r>
        <w:rPr>
          <w:lang w:val="en-US"/>
        </w:rPr>
        <w:t>In this chapter relevant economic background will be provided of the countries and the effects of the financial crisis. This will be done separately for each country in the sample in order to give more insight in the economical and financial situations of the countries. Furthermore two significant Accords concerning banking policies and regulations on an international level will be extensively discussed.</w:t>
      </w:r>
    </w:p>
    <w:p w:rsidR="00926DB2" w:rsidRPr="008C56A9" w:rsidRDefault="00926DB2" w:rsidP="008C56A9">
      <w:pPr>
        <w:pStyle w:val="Kop2"/>
        <w:rPr>
          <w:rFonts w:ascii="Times New Roman" w:hAnsi="Times New Roman" w:cs="Times New Roman"/>
          <w:i w:val="0"/>
          <w:iCs w:val="0"/>
          <w:sz w:val="24"/>
          <w:szCs w:val="24"/>
          <w:lang w:val="en-US"/>
        </w:rPr>
      </w:pPr>
      <w:bookmarkStart w:id="25" w:name="_Toc268186024"/>
      <w:r w:rsidRPr="008C56A9">
        <w:rPr>
          <w:rFonts w:ascii="Times New Roman" w:hAnsi="Times New Roman" w:cs="Times New Roman"/>
          <w:i w:val="0"/>
          <w:iCs w:val="0"/>
          <w:sz w:val="24"/>
          <w:szCs w:val="24"/>
          <w:lang w:val="en-US"/>
        </w:rPr>
        <w:t>2.1 Economic background West-European countries</w:t>
      </w:r>
      <w:bookmarkEnd w:id="25"/>
    </w:p>
    <w:p w:rsidR="00926DB2" w:rsidRPr="00E5334A" w:rsidRDefault="00926DB2" w:rsidP="00046654">
      <w:pPr>
        <w:spacing w:line="360" w:lineRule="auto"/>
        <w:jc w:val="both"/>
        <w:rPr>
          <w:b/>
          <w:lang w:val="en-US"/>
        </w:rPr>
      </w:pPr>
    </w:p>
    <w:p w:rsidR="00926DB2" w:rsidRDefault="00926DB2" w:rsidP="008C56A9">
      <w:pPr>
        <w:spacing w:line="360" w:lineRule="auto"/>
        <w:jc w:val="both"/>
        <w:rPr>
          <w:lang w:val="en-US"/>
        </w:rPr>
      </w:pPr>
      <w:r>
        <w:rPr>
          <w:lang w:val="en-US"/>
        </w:rPr>
        <w:t>The bank</w:t>
      </w:r>
      <w:r w:rsidRPr="001C0CC0">
        <w:rPr>
          <w:lang w:val="en-US"/>
        </w:rPr>
        <w:t xml:space="preserve"> sample</w:t>
      </w:r>
      <w:r>
        <w:rPr>
          <w:lang w:val="en-US"/>
        </w:rPr>
        <w:t xml:space="preserve"> in this research</w:t>
      </w:r>
      <w:r w:rsidRPr="001C0CC0">
        <w:rPr>
          <w:lang w:val="en-US"/>
        </w:rPr>
        <w:t xml:space="preserve"> </w:t>
      </w:r>
      <w:r>
        <w:rPr>
          <w:lang w:val="en-US"/>
        </w:rPr>
        <w:t>consists of 15</w:t>
      </w:r>
      <w:r w:rsidRPr="001C0CC0">
        <w:rPr>
          <w:lang w:val="en-US"/>
        </w:rPr>
        <w:t xml:space="preserve"> Western-European countries. The </w:t>
      </w:r>
      <w:r>
        <w:rPr>
          <w:lang w:val="en-US"/>
        </w:rPr>
        <w:t xml:space="preserve">following </w:t>
      </w:r>
      <w:r w:rsidRPr="001C0CC0">
        <w:rPr>
          <w:lang w:val="en-US"/>
        </w:rPr>
        <w:t xml:space="preserve"> European countries will b</w:t>
      </w:r>
      <w:r w:rsidR="00760F8A">
        <w:rPr>
          <w:lang w:val="en-US"/>
        </w:rPr>
        <w:t>e part of the sample that is</w:t>
      </w:r>
      <w:r w:rsidRPr="001C0CC0">
        <w:rPr>
          <w:lang w:val="en-US"/>
        </w:rPr>
        <w:t xml:space="preserve"> chosen to select banks from:</w:t>
      </w:r>
      <w:r>
        <w:rPr>
          <w:lang w:val="en-US"/>
        </w:rPr>
        <w:t xml:space="preserve"> </w:t>
      </w:r>
      <w:r w:rsidRPr="007F2F9C">
        <w:rPr>
          <w:lang w:val="en-US"/>
        </w:rPr>
        <w:t>Austria, Belgium, Germany, Denmark, Spain, Finland, France, Great-Britain, Ireland, Lithuania, Luxembourg, Netherlands, Norway, Portugal and Sweden.</w:t>
      </w:r>
    </w:p>
    <w:p w:rsidR="003F4E6D" w:rsidRDefault="003F4E6D" w:rsidP="003F4E6D">
      <w:bookmarkStart w:id="26" w:name="_Toc267647427"/>
      <w:bookmarkStart w:id="27" w:name="_Toc267649043"/>
      <w:bookmarkStart w:id="28" w:name="_Toc267653495"/>
    </w:p>
    <w:p w:rsidR="00926DB2" w:rsidRPr="003F4E6D" w:rsidRDefault="00926DB2" w:rsidP="003F4E6D">
      <w:pPr>
        <w:rPr>
          <w:i/>
        </w:rPr>
      </w:pPr>
      <w:r w:rsidRPr="003F4E6D">
        <w:rPr>
          <w:i/>
        </w:rPr>
        <w:t>Austria</w:t>
      </w:r>
      <w:bookmarkEnd w:id="26"/>
      <w:bookmarkEnd w:id="27"/>
      <w:bookmarkEnd w:id="28"/>
    </w:p>
    <w:p w:rsidR="00926DB2" w:rsidRDefault="00926DB2" w:rsidP="00046654">
      <w:pPr>
        <w:spacing w:line="360" w:lineRule="auto"/>
        <w:jc w:val="both"/>
        <w:rPr>
          <w:i/>
          <w:lang w:val="en-US"/>
        </w:rPr>
      </w:pPr>
    </w:p>
    <w:p w:rsidR="00926DB2" w:rsidRDefault="00926DB2" w:rsidP="00046654">
      <w:pPr>
        <w:spacing w:line="360" w:lineRule="auto"/>
        <w:jc w:val="both"/>
        <w:rPr>
          <w:iCs/>
          <w:lang w:val="en-US"/>
        </w:rPr>
      </w:pPr>
      <w:r>
        <w:rPr>
          <w:iCs/>
          <w:lang w:val="en-US"/>
        </w:rPr>
        <w:t xml:space="preserve">The economy of Austria belongs </w:t>
      </w:r>
      <w:r w:rsidR="00810E7C">
        <w:rPr>
          <w:iCs/>
          <w:lang w:val="en-US"/>
        </w:rPr>
        <w:t>to</w:t>
      </w:r>
      <w:r>
        <w:rPr>
          <w:iCs/>
          <w:lang w:val="en-US"/>
        </w:rPr>
        <w:t xml:space="preserve"> the top economies of the world in terms of development and total gross income of the country (International Monetary Fund 2009). Austria has a high level of prosperity. The most significant parts of the economy are the high-tech industry and international touristry. Since Austria has entered the European Union</w:t>
      </w:r>
      <w:r w:rsidR="00130DEB">
        <w:rPr>
          <w:iCs/>
          <w:lang w:val="en-US"/>
        </w:rPr>
        <w:t>,</w:t>
      </w:r>
      <w:r>
        <w:rPr>
          <w:iCs/>
          <w:lang w:val="en-US"/>
        </w:rPr>
        <w:t xml:space="preserve"> the occupation of trade within Europe expanded and the dependency with the </w:t>
      </w:r>
      <w:r w:rsidR="00810E7C">
        <w:rPr>
          <w:iCs/>
          <w:lang w:val="en-US"/>
        </w:rPr>
        <w:t>conventional commodity</w:t>
      </w:r>
      <w:r>
        <w:rPr>
          <w:iCs/>
          <w:lang w:val="en-US"/>
        </w:rPr>
        <w:t xml:space="preserve"> relations has been mitigated (Austrian National bank). </w:t>
      </w:r>
    </w:p>
    <w:p w:rsidR="00926DB2" w:rsidRDefault="00926DB2" w:rsidP="00046654">
      <w:pPr>
        <w:spacing w:line="360" w:lineRule="auto"/>
        <w:jc w:val="both"/>
        <w:rPr>
          <w:iCs/>
          <w:lang w:val="en-US"/>
        </w:rPr>
      </w:pPr>
    </w:p>
    <w:p w:rsidR="00926DB2" w:rsidRPr="008C56A9" w:rsidRDefault="00130DEB" w:rsidP="008C56A9">
      <w:pPr>
        <w:spacing w:line="360" w:lineRule="auto"/>
        <w:jc w:val="both"/>
        <w:rPr>
          <w:iCs/>
          <w:lang w:val="en-US"/>
        </w:rPr>
      </w:pPr>
      <w:r>
        <w:rPr>
          <w:iCs/>
          <w:lang w:val="en-US"/>
        </w:rPr>
        <w:t>The increase</w:t>
      </w:r>
      <w:r w:rsidR="00926DB2">
        <w:rPr>
          <w:iCs/>
          <w:lang w:val="en-US"/>
        </w:rPr>
        <w:t xml:space="preserve"> of the Austrian economy was mitigated by the financial crisis in the middle of 2007. When comparing this downturn in economic progression with other developed European countries; the mitigating effect on the economy in Austria was less significant (Economic survey Austria 2009). The main negative effects of the crisis in Austria where restrictions of credit.</w:t>
      </w:r>
    </w:p>
    <w:p w:rsidR="003F4E6D" w:rsidRDefault="003F4E6D" w:rsidP="003F4E6D">
      <w:pPr>
        <w:rPr>
          <w:i/>
        </w:rPr>
      </w:pPr>
      <w:bookmarkStart w:id="29" w:name="_Toc267647428"/>
      <w:bookmarkStart w:id="30" w:name="_Toc267649044"/>
      <w:bookmarkStart w:id="31" w:name="_Toc267653496"/>
    </w:p>
    <w:p w:rsidR="00926DB2" w:rsidRPr="003F4E6D" w:rsidRDefault="00926DB2" w:rsidP="003F4E6D">
      <w:pPr>
        <w:rPr>
          <w:i/>
        </w:rPr>
      </w:pPr>
      <w:r w:rsidRPr="003F4E6D">
        <w:rPr>
          <w:i/>
        </w:rPr>
        <w:t>Belgium</w:t>
      </w:r>
      <w:bookmarkEnd w:id="29"/>
      <w:bookmarkEnd w:id="30"/>
      <w:bookmarkEnd w:id="31"/>
    </w:p>
    <w:p w:rsidR="00926DB2" w:rsidRPr="00441B47" w:rsidRDefault="00926DB2" w:rsidP="00046654">
      <w:pPr>
        <w:spacing w:line="360" w:lineRule="auto"/>
        <w:jc w:val="both"/>
        <w:rPr>
          <w:i/>
          <w:iCs/>
        </w:rPr>
      </w:pPr>
    </w:p>
    <w:p w:rsidR="00926DB2" w:rsidRDefault="00926DB2" w:rsidP="00046654">
      <w:pPr>
        <w:spacing w:line="360" w:lineRule="auto"/>
        <w:jc w:val="both"/>
      </w:pPr>
      <w:r w:rsidRPr="00441B47">
        <w:t>The economy of Belgium traditionally focuses itself on the mining and steel industry, commercialization and its dedicated and advanced transporting system. The main succesfactor in this is the centred location of Belgium within Europe</w:t>
      </w:r>
      <w:r>
        <w:t xml:space="preserve"> (US Department of State 2010</w:t>
      </w:r>
      <w:r w:rsidRPr="00441B47">
        <w:t>). Belgium mainly imports</w:t>
      </w:r>
      <w:r>
        <w:t xml:space="preserve"> raw-materials and exports them </w:t>
      </w:r>
      <w:r w:rsidRPr="00441B47">
        <w:t xml:space="preserve">when fabricated. Belgium has almost </w:t>
      </w:r>
      <w:r w:rsidR="00A152D6">
        <w:lastRenderedPageBreak/>
        <w:t xml:space="preserve">no agricultural sector and the </w:t>
      </w:r>
      <w:r>
        <w:t>national</w:t>
      </w:r>
      <w:r w:rsidR="00A152D6">
        <w:t xml:space="preserve"> debt </w:t>
      </w:r>
      <w:r>
        <w:t xml:space="preserve">is almost equivalent to its GDP (CIA World Fact Book 2010). </w:t>
      </w:r>
    </w:p>
    <w:p w:rsidR="00926DB2" w:rsidRDefault="00926DB2" w:rsidP="00046654">
      <w:pPr>
        <w:spacing w:line="360" w:lineRule="auto"/>
        <w:jc w:val="both"/>
      </w:pPr>
    </w:p>
    <w:p w:rsidR="00926DB2" w:rsidRPr="00EC7E8E" w:rsidRDefault="00926DB2" w:rsidP="008C56A9">
      <w:pPr>
        <w:spacing w:line="360" w:lineRule="auto"/>
        <w:jc w:val="both"/>
      </w:pPr>
      <w:r>
        <w:t>Belgium was heavily struck by the recent financial crisis. The most relevant and important negative effects were the rigorous complications with the biggest banks of the country; Fortis and Dexia. Fortis, the largest bank in the Benelux suffered heavy liquidity problems and the stock value swiftly dec</w:t>
      </w:r>
      <w:r w:rsidR="003D496E">
        <w:t>lined, the take over of ABN-AMRO</w:t>
      </w:r>
      <w:r>
        <w:t xml:space="preserve"> strengt</w:t>
      </w:r>
      <w:r w:rsidR="003D496E">
        <w:t xml:space="preserve">hened these negative effects </w:t>
      </w:r>
      <w:r>
        <w:t>(International Herald tribune 2008).</w:t>
      </w:r>
    </w:p>
    <w:p w:rsidR="003F4E6D" w:rsidRPr="003F4E6D" w:rsidRDefault="003F4E6D" w:rsidP="003F4E6D">
      <w:pPr>
        <w:rPr>
          <w:i/>
        </w:rPr>
      </w:pPr>
      <w:bookmarkStart w:id="32" w:name="_Toc267647429"/>
      <w:bookmarkStart w:id="33" w:name="_Toc267649045"/>
      <w:bookmarkStart w:id="34" w:name="_Toc267653497"/>
    </w:p>
    <w:p w:rsidR="00926DB2" w:rsidRPr="003F4E6D" w:rsidRDefault="00926DB2" w:rsidP="003F4E6D">
      <w:pPr>
        <w:rPr>
          <w:i/>
        </w:rPr>
      </w:pPr>
      <w:r w:rsidRPr="003F4E6D">
        <w:rPr>
          <w:i/>
        </w:rPr>
        <w:t>Germany</w:t>
      </w:r>
      <w:bookmarkEnd w:id="32"/>
      <w:bookmarkEnd w:id="33"/>
      <w:bookmarkEnd w:id="34"/>
    </w:p>
    <w:p w:rsidR="00926DB2" w:rsidRPr="007D2206" w:rsidRDefault="00926DB2" w:rsidP="00046654">
      <w:pPr>
        <w:spacing w:line="360" w:lineRule="auto"/>
        <w:jc w:val="both"/>
        <w:rPr>
          <w:lang w:val="en-US"/>
        </w:rPr>
      </w:pPr>
    </w:p>
    <w:p w:rsidR="00572686" w:rsidRDefault="00926DB2" w:rsidP="00046654">
      <w:pPr>
        <w:spacing w:line="360" w:lineRule="auto"/>
        <w:jc w:val="both"/>
      </w:pPr>
      <w:r w:rsidRPr="007D2206">
        <w:rPr>
          <w:lang w:val="en-US"/>
        </w:rPr>
        <w:t>The economy of Germany is the largest of Europe and de fourth largest in the world. Since the early 1800’s Germany has a sublime highly innovative economy. The export</w:t>
      </w:r>
      <w:r>
        <w:rPr>
          <w:lang w:val="en-US"/>
        </w:rPr>
        <w:t xml:space="preserve"> trade</w:t>
      </w:r>
      <w:r w:rsidRPr="007D2206">
        <w:rPr>
          <w:lang w:val="en-US"/>
        </w:rPr>
        <w:t xml:space="preserve"> of Germany contributes to more than thirty percent of the national income </w:t>
      </w:r>
      <w:r>
        <w:t>(CIA</w:t>
      </w:r>
      <w:r w:rsidR="00130DEB">
        <w:t xml:space="preserve"> Worls</w:t>
      </w:r>
      <w:r>
        <w:t xml:space="preserve"> Fact B</w:t>
      </w:r>
      <w:r w:rsidRPr="00441B47">
        <w:t>ook). The main products that Germany produces are cars, engineering goods, machinery and chemicals.</w:t>
      </w:r>
    </w:p>
    <w:p w:rsidR="00926DB2" w:rsidRPr="00572686" w:rsidRDefault="00926DB2" w:rsidP="00046654">
      <w:pPr>
        <w:spacing w:line="360" w:lineRule="auto"/>
        <w:jc w:val="both"/>
      </w:pPr>
      <w:r w:rsidRPr="00441B47">
        <w:t xml:space="preserve">Germany has little natural </w:t>
      </w:r>
      <w:r w:rsidR="00240DAE" w:rsidRPr="00441B47">
        <w:t>resources;</w:t>
      </w:r>
      <w:r w:rsidRPr="00441B47">
        <w:t xml:space="preserve"> more than sixty percent of the oil, gas and raw materials that Germany needs for production ar</w:t>
      </w:r>
      <w:r>
        <w:t>e imported from other countries (Federal Ministry of Economics and Technology 2009).</w:t>
      </w:r>
      <w:r w:rsidRPr="00441B47">
        <w:t xml:space="preserve"> In contrast to for example France and The United Kingdom the eco</w:t>
      </w:r>
      <w:r>
        <w:t xml:space="preserve">nomic headquarter of Germany </w:t>
      </w:r>
      <w:r w:rsidR="003D496E">
        <w:t xml:space="preserve">is </w:t>
      </w:r>
      <w:r w:rsidRPr="00441B47">
        <w:t xml:space="preserve">not </w:t>
      </w:r>
      <w:r w:rsidR="00810E7C" w:rsidRPr="00441B47">
        <w:t>centred</w:t>
      </w:r>
      <w:r w:rsidRPr="00441B47">
        <w:t xml:space="preserve"> around one city but among a number of cities. </w:t>
      </w:r>
      <w:r w:rsidRPr="00ED7F1F">
        <w:rPr>
          <w:lang w:val="de-DE"/>
        </w:rPr>
        <w:t>These economic</w:t>
      </w:r>
      <w:r w:rsidRPr="002C33CA">
        <w:rPr>
          <w:lang w:val="en-GB"/>
        </w:rPr>
        <w:t xml:space="preserve"> centres</w:t>
      </w:r>
      <w:r w:rsidRPr="00ED7F1F">
        <w:rPr>
          <w:lang w:val="de-DE"/>
        </w:rPr>
        <w:t xml:space="preserve"> are Frankfurt,  Wolfsburg, Stuttgart and </w:t>
      </w:r>
      <w:r w:rsidR="007C3F59" w:rsidRPr="00ED7F1F">
        <w:rPr>
          <w:lang w:val="de-DE"/>
        </w:rPr>
        <w:t>München</w:t>
      </w:r>
      <w:r w:rsidRPr="00ED7F1F">
        <w:rPr>
          <w:lang w:val="de-DE"/>
        </w:rPr>
        <w:t xml:space="preserve"> (</w:t>
      </w:r>
      <w:r w:rsidR="00240DAE" w:rsidRPr="00ED7F1F">
        <w:rPr>
          <w:lang w:val="de-DE"/>
        </w:rPr>
        <w:t>Gürtler</w:t>
      </w:r>
      <w:r w:rsidRPr="00ED7F1F">
        <w:rPr>
          <w:lang w:val="de-DE"/>
        </w:rPr>
        <w:t xml:space="preserve">, Detlef Wirtschaftsatlas </w:t>
      </w:r>
      <w:r w:rsidR="00240DAE" w:rsidRPr="00ED7F1F">
        <w:rPr>
          <w:lang w:val="de-DE"/>
        </w:rPr>
        <w:t>Deutschland</w:t>
      </w:r>
      <w:r w:rsidRPr="00ED7F1F">
        <w:rPr>
          <w:lang w:val="de-DE"/>
        </w:rPr>
        <w:t>).</w:t>
      </w:r>
    </w:p>
    <w:p w:rsidR="00926DB2" w:rsidRPr="00ED7F1F" w:rsidRDefault="00926DB2" w:rsidP="00046654">
      <w:pPr>
        <w:spacing w:line="360" w:lineRule="auto"/>
        <w:jc w:val="both"/>
        <w:rPr>
          <w:lang w:val="de-DE"/>
        </w:rPr>
      </w:pPr>
    </w:p>
    <w:p w:rsidR="00926DB2" w:rsidRDefault="00926DB2" w:rsidP="00046654">
      <w:pPr>
        <w:spacing w:line="360" w:lineRule="auto"/>
        <w:jc w:val="both"/>
      </w:pPr>
      <w:r>
        <w:t>The effects of the financial crisis decreased the national income during the final half of 2008. From this point Germany entered a financial recession (Bloomberg). The industry production of Germany decreased with more than 3 % during this period and the president of Germany authorized more than 50 billion to help stir up the economy (France 24 2009).</w:t>
      </w:r>
    </w:p>
    <w:p w:rsidR="003F4E6D" w:rsidRPr="003F4E6D" w:rsidRDefault="003F4E6D" w:rsidP="00046654">
      <w:pPr>
        <w:spacing w:line="360" w:lineRule="auto"/>
        <w:jc w:val="both"/>
        <w:rPr>
          <w:i/>
        </w:rPr>
      </w:pPr>
    </w:p>
    <w:p w:rsidR="003F4E6D" w:rsidRDefault="003F4E6D" w:rsidP="00046654">
      <w:pPr>
        <w:spacing w:line="360" w:lineRule="auto"/>
        <w:jc w:val="both"/>
        <w:rPr>
          <w:i/>
        </w:rPr>
      </w:pPr>
      <w:r w:rsidRPr="003F4E6D">
        <w:rPr>
          <w:i/>
        </w:rPr>
        <w:t xml:space="preserve">Denmark </w:t>
      </w:r>
    </w:p>
    <w:p w:rsidR="008C0BC4" w:rsidRPr="008C0BC4" w:rsidRDefault="008C0BC4" w:rsidP="00046654">
      <w:pPr>
        <w:spacing w:line="360" w:lineRule="auto"/>
        <w:jc w:val="both"/>
        <w:rPr>
          <w:i/>
        </w:rPr>
      </w:pPr>
    </w:p>
    <w:p w:rsidR="00926DB2" w:rsidRDefault="00926DB2" w:rsidP="00046654">
      <w:pPr>
        <w:spacing w:line="360" w:lineRule="auto"/>
        <w:jc w:val="both"/>
      </w:pPr>
      <w:r w:rsidRPr="0025324B">
        <w:t>The economy of Denmark is driven by the service</w:t>
      </w:r>
      <w:r w:rsidR="00A152D6">
        <w:t>s</w:t>
      </w:r>
      <w:r w:rsidRPr="0025324B">
        <w:t xml:space="preserve"> sector. This sector provides the majority of employment and economic activities in the country. The economy of Denmark is characterized by </w:t>
      </w:r>
      <w:r w:rsidR="00A152D6">
        <w:t>i</w:t>
      </w:r>
      <w:r>
        <w:t>ndustrial companies, import</w:t>
      </w:r>
      <w:r w:rsidRPr="0025324B">
        <w:t xml:space="preserve"> of resources and international exchange of </w:t>
      </w:r>
      <w:r w:rsidRPr="0025324B">
        <w:lastRenderedPageBreak/>
        <w:t>products. The prosperity level of Denmark is equal to that of other West-European countries (</w:t>
      </w:r>
      <w:r>
        <w:t xml:space="preserve">Human Development Index). </w:t>
      </w:r>
    </w:p>
    <w:p w:rsidR="00572686" w:rsidRDefault="00572686" w:rsidP="008C56A9">
      <w:pPr>
        <w:spacing w:line="360" w:lineRule="auto"/>
        <w:jc w:val="both"/>
      </w:pPr>
    </w:p>
    <w:p w:rsidR="00926DB2" w:rsidRPr="008C56A9" w:rsidRDefault="00926DB2" w:rsidP="008C56A9">
      <w:pPr>
        <w:spacing w:line="360" w:lineRule="auto"/>
        <w:jc w:val="both"/>
      </w:pPr>
      <w:r>
        <w:t xml:space="preserve">The economy of Denmark has been struck by the recent financial crisis. The major fall </w:t>
      </w:r>
      <w:r w:rsidR="00572686">
        <w:t xml:space="preserve">down in international business; </w:t>
      </w:r>
      <w:r>
        <w:t xml:space="preserve">the </w:t>
      </w:r>
      <w:r w:rsidR="00240DAE">
        <w:t>culmination of construction activities has</w:t>
      </w:r>
      <w:r>
        <w:t xml:space="preserve"> had a huge negative impact on the Danish economy. Furthermore the employment has been heavily mitigated (Economic Survey Denmark 2009).</w:t>
      </w:r>
    </w:p>
    <w:p w:rsidR="003F4E6D" w:rsidRDefault="003F4E6D" w:rsidP="003F4E6D">
      <w:pPr>
        <w:rPr>
          <w:i/>
        </w:rPr>
      </w:pPr>
      <w:bookmarkStart w:id="35" w:name="_Toc267647431"/>
      <w:bookmarkStart w:id="36" w:name="_Toc267649047"/>
      <w:bookmarkStart w:id="37" w:name="_Toc267653499"/>
    </w:p>
    <w:p w:rsidR="00926DB2" w:rsidRPr="003F4E6D" w:rsidRDefault="00926DB2" w:rsidP="003F4E6D">
      <w:pPr>
        <w:rPr>
          <w:i/>
        </w:rPr>
      </w:pPr>
      <w:r w:rsidRPr="003F4E6D">
        <w:rPr>
          <w:i/>
        </w:rPr>
        <w:t>Spain</w:t>
      </w:r>
      <w:bookmarkEnd w:id="35"/>
      <w:bookmarkEnd w:id="36"/>
      <w:bookmarkEnd w:id="37"/>
    </w:p>
    <w:p w:rsidR="00926DB2" w:rsidRPr="00AC1EA3" w:rsidRDefault="00926DB2" w:rsidP="00046654">
      <w:pPr>
        <w:spacing w:line="360" w:lineRule="auto"/>
        <w:jc w:val="both"/>
      </w:pPr>
    </w:p>
    <w:p w:rsidR="00926DB2" w:rsidRPr="00AC1EA3" w:rsidRDefault="00926DB2" w:rsidP="00046654">
      <w:pPr>
        <w:spacing w:line="360" w:lineRule="auto"/>
        <w:jc w:val="both"/>
      </w:pPr>
      <w:r w:rsidRPr="00AC1EA3">
        <w:t xml:space="preserve">The economy of Spain could be seen as a highly impulsive economy that is very able in obtaining international financing (La Moncloa 2008). Within the last ten years Spain created </w:t>
      </w:r>
    </w:p>
    <w:p w:rsidR="00926DB2" w:rsidRDefault="00926DB2" w:rsidP="00046654">
      <w:pPr>
        <w:spacing w:line="360" w:lineRule="auto"/>
        <w:jc w:val="both"/>
      </w:pPr>
      <w:r>
        <w:t xml:space="preserve">a significant part of </w:t>
      </w:r>
      <w:r w:rsidRPr="00AC1EA3">
        <w:t xml:space="preserve">the jobs in the European Union. Unfortunately this dynamic trend of growth and prosperity has strongly been declined the last years. The economy of Spain heavily depends on the agricultural and construction sector, during the recent financial crisis this last mentioned sector has </w:t>
      </w:r>
      <w:r w:rsidR="00572686">
        <w:t xml:space="preserve">suffered much </w:t>
      </w:r>
      <w:r w:rsidRPr="00AC1EA3">
        <w:t>(Tre</w:t>
      </w:r>
      <w:r>
        <w:t>mlett and Giles 2006).</w:t>
      </w:r>
    </w:p>
    <w:p w:rsidR="00926DB2" w:rsidRDefault="00926DB2" w:rsidP="00046654">
      <w:pPr>
        <w:spacing w:line="360" w:lineRule="auto"/>
        <w:jc w:val="both"/>
      </w:pPr>
    </w:p>
    <w:p w:rsidR="00926DB2" w:rsidRPr="008D437F" w:rsidRDefault="00926DB2" w:rsidP="008C56A9">
      <w:pPr>
        <w:spacing w:line="360" w:lineRule="auto"/>
        <w:jc w:val="both"/>
      </w:pPr>
      <w:r>
        <w:t xml:space="preserve">The main cause of the financial crisis in </w:t>
      </w:r>
      <w:r w:rsidR="00810E7C">
        <w:t>Spain is</w:t>
      </w:r>
      <w:r>
        <w:t xml:space="preserve"> the long term issued debt, the collapse of the property market which went together with the liquidation of many large firms. Another significant negative effect caused by the crisis is the expansion of the unemployment to more than 14% (Economia 2009).</w:t>
      </w:r>
    </w:p>
    <w:p w:rsidR="003F4E6D" w:rsidRDefault="003F4E6D" w:rsidP="003F4E6D">
      <w:bookmarkStart w:id="38" w:name="_Toc267647432"/>
      <w:bookmarkStart w:id="39" w:name="_Toc267649048"/>
      <w:bookmarkStart w:id="40" w:name="_Toc267653500"/>
    </w:p>
    <w:p w:rsidR="00926DB2" w:rsidRPr="003F4E6D" w:rsidRDefault="00926DB2" w:rsidP="003F4E6D">
      <w:pPr>
        <w:rPr>
          <w:i/>
        </w:rPr>
      </w:pPr>
      <w:r w:rsidRPr="003F4E6D">
        <w:rPr>
          <w:i/>
        </w:rPr>
        <w:t>Finland</w:t>
      </w:r>
      <w:bookmarkEnd w:id="38"/>
      <w:bookmarkEnd w:id="39"/>
      <w:bookmarkEnd w:id="40"/>
    </w:p>
    <w:p w:rsidR="00926DB2" w:rsidRPr="008D437F" w:rsidRDefault="00926DB2" w:rsidP="00046654">
      <w:pPr>
        <w:spacing w:line="360" w:lineRule="auto"/>
        <w:jc w:val="both"/>
      </w:pPr>
    </w:p>
    <w:p w:rsidR="00926DB2" w:rsidRPr="008D437F" w:rsidRDefault="00926DB2" w:rsidP="00046654">
      <w:pPr>
        <w:spacing w:line="360" w:lineRule="auto"/>
        <w:jc w:val="both"/>
      </w:pPr>
      <w:r w:rsidRPr="008D437F">
        <w:t>The economy of Finland has a mixed character with both large industries and a large services sector. The output per head i</w:t>
      </w:r>
      <w:r w:rsidR="00572686">
        <w:t xml:space="preserve">s comparable with economies like those </w:t>
      </w:r>
      <w:r w:rsidRPr="008D437F">
        <w:t>of France, Germany and the UK (Statistics Finland 2007). The Industrial sector is very important for the export of Finland. Finland</w:t>
      </w:r>
      <w:r>
        <w:t xml:space="preserve"> is ranked </w:t>
      </w:r>
      <w:r w:rsidRPr="008D437F">
        <w:t>high within Europe as a know-how economy and has excellent international connections for distribution of its products (Embassy of Finland 2008).</w:t>
      </w:r>
    </w:p>
    <w:p w:rsidR="00926DB2" w:rsidRDefault="00926DB2" w:rsidP="00046654">
      <w:pPr>
        <w:spacing w:line="360" w:lineRule="auto"/>
        <w:jc w:val="both"/>
        <w:rPr>
          <w:lang w:val="en-US"/>
        </w:rPr>
      </w:pPr>
    </w:p>
    <w:p w:rsidR="00926DB2" w:rsidRPr="008C56A9" w:rsidRDefault="00926DB2" w:rsidP="008C56A9">
      <w:pPr>
        <w:spacing w:line="360" w:lineRule="auto"/>
        <w:jc w:val="both"/>
        <w:rPr>
          <w:lang w:val="en-US"/>
        </w:rPr>
      </w:pPr>
      <w:r>
        <w:rPr>
          <w:lang w:val="en-US"/>
        </w:rPr>
        <w:t>The financial crisis has mitigated and restricted the resources of banks and financial institutions to acquire financing. The forecasts are that the unemployment will increase and the economy will decline. Also the private expenditures will decline (Bank of Finland).</w:t>
      </w:r>
    </w:p>
    <w:p w:rsidR="003F4E6D" w:rsidRPr="003F4E6D" w:rsidRDefault="003F4E6D" w:rsidP="003F4E6D">
      <w:pPr>
        <w:rPr>
          <w:i/>
        </w:rPr>
      </w:pPr>
      <w:bookmarkStart w:id="41" w:name="_Toc267647433"/>
      <w:bookmarkStart w:id="42" w:name="_Toc267649049"/>
      <w:bookmarkStart w:id="43" w:name="_Toc267653501"/>
    </w:p>
    <w:p w:rsidR="00572686" w:rsidRDefault="00572686" w:rsidP="003F4E6D">
      <w:pPr>
        <w:rPr>
          <w:i/>
        </w:rPr>
      </w:pPr>
    </w:p>
    <w:p w:rsidR="00572686" w:rsidRDefault="00572686" w:rsidP="003F4E6D">
      <w:pPr>
        <w:rPr>
          <w:i/>
        </w:rPr>
      </w:pPr>
    </w:p>
    <w:p w:rsidR="00926DB2" w:rsidRPr="003F4E6D" w:rsidRDefault="00926DB2" w:rsidP="003F4E6D">
      <w:pPr>
        <w:rPr>
          <w:i/>
        </w:rPr>
      </w:pPr>
      <w:r w:rsidRPr="003F4E6D">
        <w:rPr>
          <w:i/>
        </w:rPr>
        <w:lastRenderedPageBreak/>
        <w:t>France</w:t>
      </w:r>
      <w:bookmarkEnd w:id="41"/>
      <w:bookmarkEnd w:id="42"/>
      <w:bookmarkEnd w:id="43"/>
    </w:p>
    <w:p w:rsidR="00926DB2" w:rsidRPr="0051698C" w:rsidRDefault="00926DB2" w:rsidP="00046654">
      <w:pPr>
        <w:spacing w:line="360" w:lineRule="auto"/>
        <w:jc w:val="both"/>
        <w:rPr>
          <w:i/>
          <w:lang w:val="en-US"/>
        </w:rPr>
      </w:pPr>
    </w:p>
    <w:p w:rsidR="00926DB2" w:rsidRPr="007D2206" w:rsidRDefault="00926DB2" w:rsidP="00046654">
      <w:pPr>
        <w:spacing w:line="360" w:lineRule="auto"/>
        <w:jc w:val="both"/>
        <w:rPr>
          <w:lang w:val="en-US"/>
        </w:rPr>
      </w:pPr>
      <w:r w:rsidRPr="007D2206">
        <w:rPr>
          <w:lang w:val="en-US"/>
        </w:rPr>
        <w:t>The economy of France has a mixed character; it is the fifth strongest economy in the world a</w:t>
      </w:r>
      <w:r>
        <w:rPr>
          <w:lang w:val="en-US"/>
        </w:rPr>
        <w:t>nd the second of Europe (World B</w:t>
      </w:r>
      <w:r w:rsidRPr="007D2206">
        <w:rPr>
          <w:lang w:val="en-US"/>
        </w:rPr>
        <w:t xml:space="preserve">ank 2010). Traditionally the economy of France is defined by much government regulation. Many companies and private banks were nationalized. Although during the recent two decades much of this regulation was declined and liberalization expanded, the government remains having significant shares in sectors like the banking, communication and services. France has a mix of both a highly industrialized and agricultural economy. </w:t>
      </w:r>
    </w:p>
    <w:p w:rsidR="00926DB2" w:rsidRDefault="00926DB2" w:rsidP="0084284F">
      <w:pPr>
        <w:suppressAutoHyphens/>
        <w:spacing w:line="360" w:lineRule="auto"/>
        <w:jc w:val="both"/>
        <w:rPr>
          <w:i/>
          <w:shd w:val="clear" w:color="auto" w:fill="FFFF00"/>
          <w:lang w:val="en-US"/>
        </w:rPr>
      </w:pPr>
    </w:p>
    <w:p w:rsidR="00926DB2" w:rsidRPr="008C56A9" w:rsidRDefault="00926DB2" w:rsidP="008C56A9">
      <w:pPr>
        <w:spacing w:line="360" w:lineRule="auto"/>
        <w:jc w:val="both"/>
      </w:pPr>
      <w:r w:rsidRPr="00BD4057">
        <w:t xml:space="preserve">The economy of France also has been </w:t>
      </w:r>
      <w:r>
        <w:t>hit by the financial crisis. The principal negative effect of the financial crisis in France is that many citizens have problems with repaying their credit loans. Many citizens in France relied on debt and credit loans to support them. Because of the decreasing economy, increasing unemployment and mitigated economic activities these people are aren’t able to repay the credit that was provided to them. Also international financing and credit companies are closing in France.</w:t>
      </w:r>
    </w:p>
    <w:p w:rsidR="003F4E6D" w:rsidRDefault="003F4E6D" w:rsidP="003F4E6D">
      <w:bookmarkStart w:id="44" w:name="_Toc267647434"/>
      <w:bookmarkStart w:id="45" w:name="_Toc267649050"/>
      <w:bookmarkStart w:id="46" w:name="_Toc267653502"/>
    </w:p>
    <w:p w:rsidR="00926DB2" w:rsidRPr="003F4E6D" w:rsidRDefault="00926DB2" w:rsidP="003F4E6D">
      <w:pPr>
        <w:rPr>
          <w:i/>
        </w:rPr>
      </w:pPr>
      <w:r w:rsidRPr="003F4E6D">
        <w:rPr>
          <w:i/>
        </w:rPr>
        <w:t>Great-Britain</w:t>
      </w:r>
      <w:bookmarkEnd w:id="44"/>
      <w:bookmarkEnd w:id="45"/>
      <w:bookmarkEnd w:id="46"/>
    </w:p>
    <w:p w:rsidR="00926DB2" w:rsidRDefault="00926DB2" w:rsidP="003468B6">
      <w:pPr>
        <w:spacing w:line="360" w:lineRule="auto"/>
        <w:jc w:val="both"/>
        <w:rPr>
          <w:i/>
        </w:rPr>
      </w:pPr>
    </w:p>
    <w:p w:rsidR="00926DB2" w:rsidRDefault="00926DB2" w:rsidP="003468B6">
      <w:pPr>
        <w:spacing w:line="360" w:lineRule="auto"/>
        <w:jc w:val="both"/>
      </w:pPr>
      <w:r>
        <w:t>Great Britain is a big producer of engineering goods, cars, airplanes and fabrics. Besides this, the financial sector is one of the most important drivers of the British economy. London belongs to the top concerning financing, banking and insurances. Today the services sector is the most significan</w:t>
      </w:r>
      <w:r w:rsidR="00572686">
        <w:t xml:space="preserve">t driver of welfare in Britain </w:t>
      </w:r>
      <w:r>
        <w:t>where</w:t>
      </w:r>
      <w:r w:rsidR="00572686">
        <w:t>as</w:t>
      </w:r>
      <w:r>
        <w:t xml:space="preserve"> the influence of the fabricating industries on the economy is decreasing (CIA </w:t>
      </w:r>
      <w:r w:rsidR="00572686">
        <w:t xml:space="preserve">World </w:t>
      </w:r>
      <w:r>
        <w:t>Fact Book 2010).</w:t>
      </w:r>
    </w:p>
    <w:p w:rsidR="003C4076" w:rsidRDefault="00926DB2" w:rsidP="003C4076">
      <w:pPr>
        <w:spacing w:before="240" w:line="360" w:lineRule="auto"/>
        <w:jc w:val="both"/>
      </w:pPr>
      <w:r>
        <w:t>One of the most significant financial centres in the world is situated in London. The recent financial crisis especially struck the segments in which the financial services sector of London was specialized namely securitization and derivatives (Hutchinson 2009). Subsequently the damage will cause huge losses in the financial sector, which will ultimately lead to a mitigation of the financial services sector of London. A significant part of these loses will be accounted for by the tax-payers (Hutchinson 2009).</w:t>
      </w:r>
    </w:p>
    <w:p w:rsidR="003F4E6D" w:rsidRDefault="00926DB2" w:rsidP="003F4E6D">
      <w:pPr>
        <w:rPr>
          <w:i/>
        </w:rPr>
      </w:pPr>
      <w:r w:rsidRPr="003F4E6D">
        <w:rPr>
          <w:i/>
        </w:rPr>
        <w:t xml:space="preserve"> </w:t>
      </w:r>
    </w:p>
    <w:p w:rsidR="003F4E6D" w:rsidRDefault="00926DB2" w:rsidP="003F4E6D">
      <w:pPr>
        <w:rPr>
          <w:i/>
        </w:rPr>
      </w:pPr>
      <w:r w:rsidRPr="003F4E6D">
        <w:rPr>
          <w:i/>
        </w:rPr>
        <w:t>Ireland</w:t>
      </w:r>
    </w:p>
    <w:p w:rsidR="003F4E6D" w:rsidRPr="003F4E6D" w:rsidRDefault="003F4E6D" w:rsidP="003F4E6D">
      <w:pPr>
        <w:rPr>
          <w:i/>
        </w:rPr>
      </w:pPr>
    </w:p>
    <w:p w:rsidR="00926DB2" w:rsidRDefault="00926DB2" w:rsidP="003468B6">
      <w:pPr>
        <w:spacing w:line="360" w:lineRule="auto"/>
        <w:jc w:val="both"/>
      </w:pPr>
      <w:r w:rsidRPr="008A1A67">
        <w:t xml:space="preserve">The economy of Ireland has undergone a transformation during the last couple of years, the main economic activity lied in the agricultural sector but </w:t>
      </w:r>
      <w:r w:rsidR="00572686">
        <w:t>Ireland has</w:t>
      </w:r>
      <w:r w:rsidRPr="008A1A67">
        <w:t xml:space="preserve"> shifted to a highly </w:t>
      </w:r>
      <w:r w:rsidRPr="008A1A67">
        <w:lastRenderedPageBreak/>
        <w:t xml:space="preserve">technical international exchange economy. Ireland is considered to be one of </w:t>
      </w:r>
      <w:r>
        <w:t>the richest</w:t>
      </w:r>
      <w:r w:rsidRPr="008A1A67">
        <w:t xml:space="preserve"> nations in Europe (OECD). A remarkable fact is that the GDP of Ireland is significantly greater than the GNP. Since mid-ninety's the economy of Ireland has made great progression, this has mainly to do with a lowering of tax rates which stimulated consuming and trade (Smith 2009). </w:t>
      </w:r>
    </w:p>
    <w:p w:rsidR="00572686" w:rsidRPr="008A1A67" w:rsidRDefault="00572686" w:rsidP="003468B6">
      <w:pPr>
        <w:spacing w:line="360" w:lineRule="auto"/>
        <w:jc w:val="both"/>
      </w:pPr>
    </w:p>
    <w:p w:rsidR="00926DB2" w:rsidRPr="008C56A9" w:rsidRDefault="00926DB2" w:rsidP="008C56A9">
      <w:pPr>
        <w:spacing w:line="360" w:lineRule="auto"/>
        <w:jc w:val="both"/>
      </w:pPr>
      <w:r w:rsidRPr="008A1A67">
        <w:t xml:space="preserve">The current </w:t>
      </w:r>
      <w:r>
        <w:t>financial crisis had a huge impact on the economy of Ireland</w:t>
      </w:r>
      <w:r w:rsidRPr="008A1A67">
        <w:t>; this has mainly to do with national economic problems that are linked with the downfall of the housing market. Ireland was the first country in the European Union that officially moved into a recession (Central</w:t>
      </w:r>
      <w:r>
        <w:t xml:space="preserve"> Statistics Office). Ireland</w:t>
      </w:r>
      <w:r w:rsidRPr="008A1A67">
        <w:t xml:space="preserve"> is</w:t>
      </w:r>
      <w:r>
        <w:t xml:space="preserve"> now</w:t>
      </w:r>
      <w:r w:rsidRPr="008A1A67">
        <w:t xml:space="preserve"> associated with disconcerted countries in Europe like Italy, Portugal, Greece and Spain due to the bad financial position and large debt of the country (Evans-Pritchard 2008).</w:t>
      </w:r>
    </w:p>
    <w:p w:rsidR="003F4E6D" w:rsidRDefault="003F4E6D" w:rsidP="003F4E6D">
      <w:bookmarkStart w:id="47" w:name="_Toc267647435"/>
      <w:bookmarkStart w:id="48" w:name="_Toc267649051"/>
      <w:bookmarkStart w:id="49" w:name="_Toc267653503"/>
    </w:p>
    <w:p w:rsidR="00926DB2" w:rsidRPr="003F4E6D" w:rsidRDefault="00926DB2" w:rsidP="003F4E6D">
      <w:pPr>
        <w:rPr>
          <w:i/>
        </w:rPr>
      </w:pPr>
      <w:r w:rsidRPr="003F4E6D">
        <w:rPr>
          <w:i/>
        </w:rPr>
        <w:t>Lithuania</w:t>
      </w:r>
      <w:bookmarkEnd w:id="47"/>
      <w:bookmarkEnd w:id="48"/>
      <w:bookmarkEnd w:id="49"/>
    </w:p>
    <w:p w:rsidR="00926DB2" w:rsidRDefault="00926DB2" w:rsidP="003468B6">
      <w:pPr>
        <w:spacing w:line="360" w:lineRule="auto"/>
        <w:jc w:val="both"/>
        <w:rPr>
          <w:i/>
          <w:shd w:val="clear" w:color="auto" w:fill="FFFF00"/>
          <w:lang w:val="en-US"/>
        </w:rPr>
      </w:pPr>
    </w:p>
    <w:p w:rsidR="00926DB2" w:rsidRPr="00612E3E" w:rsidRDefault="00926DB2" w:rsidP="003468B6">
      <w:pPr>
        <w:spacing w:line="360" w:lineRule="auto"/>
        <w:jc w:val="both"/>
      </w:pPr>
      <w:r>
        <w:t xml:space="preserve">Lithuania has fortunate regulations for business activities hence the country has a high position in the Eastern-European region concerning economic freedom (World </w:t>
      </w:r>
      <w:r w:rsidR="003D496E">
        <w:t>Bank group</w:t>
      </w:r>
      <w:r>
        <w:t xml:space="preserve"> 2010). This factor stimulates the growth and expanding of economic activities in the country. Another factor that stimulated growth in Lithuania is the fact that it was the first country that separated itself from the Soviet-Union which improved capitalism and independence.</w:t>
      </w:r>
    </w:p>
    <w:p w:rsidR="00926DB2" w:rsidRDefault="00926DB2" w:rsidP="003468B6">
      <w:pPr>
        <w:spacing w:line="360" w:lineRule="auto"/>
        <w:jc w:val="both"/>
        <w:rPr>
          <w:shd w:val="clear" w:color="auto" w:fill="FFFF00"/>
          <w:lang w:val="en-US"/>
        </w:rPr>
      </w:pPr>
    </w:p>
    <w:p w:rsidR="00926DB2" w:rsidRPr="008C56A9" w:rsidRDefault="00926DB2" w:rsidP="008C56A9">
      <w:pPr>
        <w:spacing w:line="360" w:lineRule="auto"/>
        <w:jc w:val="both"/>
      </w:pPr>
      <w:r>
        <w:t>Analysts project that the firms of Lithuania will feel the negative effects of the crisis in the foreign trad</w:t>
      </w:r>
      <w:r w:rsidR="00572686">
        <w:t xml:space="preserve">e market and that the </w:t>
      </w:r>
      <w:r>
        <w:t>growth will mitigate. It is expected that suppliance of credit will be restricted. Also investing capital will be lower (Pavilenene 2008).</w:t>
      </w:r>
    </w:p>
    <w:p w:rsidR="003F4E6D" w:rsidRDefault="003F4E6D" w:rsidP="003F4E6D">
      <w:bookmarkStart w:id="50" w:name="_Toc267647436"/>
      <w:bookmarkStart w:id="51" w:name="_Toc267649052"/>
      <w:bookmarkStart w:id="52" w:name="_Toc267653504"/>
    </w:p>
    <w:p w:rsidR="00926DB2" w:rsidRPr="003F4E6D" w:rsidRDefault="00926DB2" w:rsidP="003F4E6D">
      <w:pPr>
        <w:rPr>
          <w:i/>
        </w:rPr>
      </w:pPr>
      <w:r w:rsidRPr="003F4E6D">
        <w:rPr>
          <w:i/>
        </w:rPr>
        <w:t>Luxembourg</w:t>
      </w:r>
      <w:bookmarkEnd w:id="50"/>
      <w:bookmarkEnd w:id="51"/>
      <w:bookmarkEnd w:id="52"/>
    </w:p>
    <w:p w:rsidR="00926DB2" w:rsidRPr="009271F4" w:rsidRDefault="00926DB2" w:rsidP="003468B6">
      <w:pPr>
        <w:spacing w:line="360" w:lineRule="auto"/>
        <w:jc w:val="both"/>
      </w:pPr>
    </w:p>
    <w:p w:rsidR="00926DB2" w:rsidRDefault="00926DB2" w:rsidP="003468B6">
      <w:pPr>
        <w:spacing w:line="360" w:lineRule="auto"/>
        <w:jc w:val="both"/>
      </w:pPr>
      <w:r w:rsidRPr="009271F4">
        <w:t>The economy of Luxembourg</w:t>
      </w:r>
      <w:r>
        <w:t xml:space="preserve"> heavily </w:t>
      </w:r>
      <w:r w:rsidRPr="009271F4">
        <w:t>depends on the steel and financial sector. The GDP of Luxembourg is one of the highest in the world and a large part of the country’s economy depends on international trade. Furthermore the economy</w:t>
      </w:r>
      <w:r>
        <w:t xml:space="preserve"> has a splendid growth (CIA</w:t>
      </w:r>
      <w:r w:rsidR="007A23AB">
        <w:t xml:space="preserve"> World</w:t>
      </w:r>
      <w:r>
        <w:t xml:space="preserve"> Fact B</w:t>
      </w:r>
      <w:r w:rsidRPr="009271F4">
        <w:t>ook 2007). Financing contributes t</w:t>
      </w:r>
      <w:r>
        <w:t>o the most important and significant</w:t>
      </w:r>
      <w:r w:rsidRPr="009271F4">
        <w:t xml:space="preserve"> part of the economy. </w:t>
      </w:r>
    </w:p>
    <w:p w:rsidR="00926DB2" w:rsidRPr="005C0352" w:rsidRDefault="00926DB2" w:rsidP="003468B6">
      <w:pPr>
        <w:spacing w:before="100" w:beforeAutospacing="1" w:after="100" w:afterAutospacing="1" w:line="360" w:lineRule="auto"/>
        <w:jc w:val="both"/>
        <w:rPr>
          <w:rFonts w:cs="Times New Roman"/>
          <w:lang w:val="en-US" w:eastAsia="nl-NL" w:bidi="ar-SA"/>
        </w:rPr>
      </w:pPr>
      <w:r w:rsidRPr="005C0352">
        <w:rPr>
          <w:rFonts w:cs="Times New Roman"/>
          <w:lang w:val="en-US" w:eastAsia="nl-NL" w:bidi="ar-SA"/>
        </w:rPr>
        <w:t>The economy of Luxembourg</w:t>
      </w:r>
      <w:r w:rsidRPr="00405355">
        <w:rPr>
          <w:rFonts w:cs="Times New Roman"/>
          <w:lang w:val="en-GB" w:eastAsia="nl-NL" w:bidi="ar-SA"/>
        </w:rPr>
        <w:t xml:space="preserve"> mainly</w:t>
      </w:r>
      <w:r w:rsidRPr="002048A6">
        <w:rPr>
          <w:rFonts w:cs="Times New Roman"/>
          <w:lang w:val="en-GB" w:eastAsia="nl-NL" w:bidi="ar-SA"/>
        </w:rPr>
        <w:t xml:space="preserve"> experienced</w:t>
      </w:r>
      <w:r w:rsidRPr="005C0352">
        <w:rPr>
          <w:rFonts w:cs="Times New Roman"/>
          <w:lang w:val="en-US" w:eastAsia="nl-NL" w:bidi="ar-SA"/>
        </w:rPr>
        <w:t xml:space="preserve"> the</w:t>
      </w:r>
      <w:r w:rsidRPr="002048A6">
        <w:rPr>
          <w:rFonts w:cs="Times New Roman"/>
          <w:lang w:val="en-GB" w:eastAsia="nl-NL" w:bidi="ar-SA"/>
        </w:rPr>
        <w:t xml:space="preserve"> negative</w:t>
      </w:r>
      <w:r w:rsidRPr="005C0352">
        <w:rPr>
          <w:rFonts w:cs="Times New Roman"/>
          <w:lang w:val="en-US" w:eastAsia="nl-NL" w:bidi="ar-SA"/>
        </w:rPr>
        <w:t xml:space="preserve"> effects of the crisis in the financial sector</w:t>
      </w:r>
      <w:r w:rsidR="007A23AB">
        <w:rPr>
          <w:rFonts w:cs="Times New Roman"/>
          <w:lang w:val="en-US" w:eastAsia="nl-NL" w:bidi="ar-SA"/>
        </w:rPr>
        <w:t xml:space="preserve"> by</w:t>
      </w:r>
      <w:r w:rsidRPr="00405355">
        <w:rPr>
          <w:rFonts w:cs="Times New Roman"/>
          <w:lang w:val="en-GB" w:eastAsia="nl-NL" w:bidi="ar-SA"/>
        </w:rPr>
        <w:t xml:space="preserve"> restricting</w:t>
      </w:r>
      <w:r w:rsidRPr="005C0352">
        <w:rPr>
          <w:rFonts w:cs="Times New Roman"/>
          <w:lang w:val="en-US" w:eastAsia="nl-NL" w:bidi="ar-SA"/>
        </w:rPr>
        <w:t xml:space="preserve"> credit supply. Also the fabricating sector of the economy has </w:t>
      </w:r>
      <w:r w:rsidRPr="005C0352">
        <w:rPr>
          <w:rFonts w:cs="Times New Roman"/>
          <w:lang w:val="en-US" w:eastAsia="nl-NL" w:bidi="ar-SA"/>
        </w:rPr>
        <w:lastRenderedPageBreak/>
        <w:t>been struck due to the d</w:t>
      </w:r>
      <w:r w:rsidR="007A23AB">
        <w:rPr>
          <w:rFonts w:cs="Times New Roman"/>
          <w:lang w:val="en-US" w:eastAsia="nl-NL" w:bidi="ar-SA"/>
        </w:rPr>
        <w:t xml:space="preserve">ecline in international export; this </w:t>
      </w:r>
      <w:r w:rsidRPr="005C0352">
        <w:rPr>
          <w:rFonts w:cs="Times New Roman"/>
          <w:lang w:val="en-US" w:eastAsia="nl-NL" w:bidi="ar-SA"/>
        </w:rPr>
        <w:t>has led to a lower GDP (OECD Observer).</w:t>
      </w:r>
    </w:p>
    <w:p w:rsidR="00926DB2" w:rsidRPr="003F4E6D" w:rsidRDefault="00926DB2" w:rsidP="003F4E6D">
      <w:pPr>
        <w:rPr>
          <w:i/>
        </w:rPr>
      </w:pPr>
      <w:bookmarkStart w:id="53" w:name="_Toc267647437"/>
      <w:bookmarkStart w:id="54" w:name="_Toc267649053"/>
      <w:bookmarkStart w:id="55" w:name="_Toc267653505"/>
      <w:r w:rsidRPr="003F4E6D">
        <w:rPr>
          <w:i/>
        </w:rPr>
        <w:t>Netherlands</w:t>
      </w:r>
      <w:bookmarkEnd w:id="53"/>
      <w:bookmarkEnd w:id="54"/>
      <w:bookmarkEnd w:id="55"/>
    </w:p>
    <w:p w:rsidR="00926DB2" w:rsidRPr="009271F4" w:rsidRDefault="00926DB2" w:rsidP="003468B6">
      <w:pPr>
        <w:spacing w:line="360" w:lineRule="auto"/>
        <w:jc w:val="both"/>
      </w:pPr>
    </w:p>
    <w:p w:rsidR="00926DB2" w:rsidRDefault="00926DB2" w:rsidP="003468B6">
      <w:pPr>
        <w:spacing w:line="360" w:lineRule="auto"/>
        <w:jc w:val="both"/>
      </w:pPr>
      <w:r w:rsidRPr="009271F4">
        <w:t xml:space="preserve">The Dutch economy is the sixteenth largest economy in the world according to GDP. </w:t>
      </w:r>
      <w:r>
        <w:t xml:space="preserve">The Dutch economy is strongly dependent on international trade; which is stimulated by the open character of the Dutch economy. </w:t>
      </w:r>
      <w:r w:rsidRPr="009271F4">
        <w:t>On the Index of Economic Freedom the Netherlands is the thirtee</w:t>
      </w:r>
      <w:r>
        <w:t xml:space="preserve">nth most laissez-fairs economy. </w:t>
      </w:r>
      <w:r w:rsidRPr="009271F4">
        <w:t>The main economic activities lie in the highly advanced agricultural sector, oil refinement and t</w:t>
      </w:r>
      <w:r>
        <w:t>ransport sector (CIA World Fact</w:t>
      </w:r>
      <w:r w:rsidR="003D496E">
        <w:t xml:space="preserve"> B</w:t>
      </w:r>
      <w:r w:rsidRPr="009271F4">
        <w:t>ook).</w:t>
      </w:r>
    </w:p>
    <w:p w:rsidR="00926DB2" w:rsidRPr="009D79B1" w:rsidRDefault="00926DB2" w:rsidP="009D79B1"/>
    <w:p w:rsidR="00926DB2" w:rsidRPr="008C56A9" w:rsidRDefault="00926DB2" w:rsidP="008C56A9">
      <w:pPr>
        <w:spacing w:line="360" w:lineRule="auto"/>
        <w:jc w:val="both"/>
      </w:pPr>
      <w:r w:rsidRPr="009D79B1">
        <w:t xml:space="preserve">The main negative effect caused by the financial crisis in the Dutch economy is the increase of the mortgage rates. Considering the fact that the prices of property are already high this increase in mortgage rates further </w:t>
      </w:r>
      <w:r w:rsidR="003D496E" w:rsidRPr="009D79B1">
        <w:t>breaks</w:t>
      </w:r>
      <w:r w:rsidRPr="009D79B1">
        <w:t xml:space="preserve"> down the real estate market. Subsequently this will lead to less construction of properties and a lower demand for construction companies (</w:t>
      </w:r>
      <w:r w:rsidR="003D496E">
        <w:t xml:space="preserve">De </w:t>
      </w:r>
      <w:r w:rsidRPr="009D79B1">
        <w:t>Stentor 2007)</w:t>
      </w:r>
      <w:r w:rsidR="007A23AB">
        <w:t>.</w:t>
      </w:r>
    </w:p>
    <w:p w:rsidR="003F4E6D" w:rsidRDefault="003F4E6D" w:rsidP="003F4E6D">
      <w:bookmarkStart w:id="56" w:name="_Toc267647438"/>
      <w:bookmarkStart w:id="57" w:name="_Toc267649054"/>
      <w:bookmarkStart w:id="58" w:name="_Toc267653506"/>
    </w:p>
    <w:p w:rsidR="00926DB2" w:rsidRPr="003F4E6D" w:rsidRDefault="00926DB2" w:rsidP="003F4E6D">
      <w:pPr>
        <w:rPr>
          <w:i/>
        </w:rPr>
      </w:pPr>
      <w:r w:rsidRPr="003F4E6D">
        <w:rPr>
          <w:i/>
        </w:rPr>
        <w:t>Norway</w:t>
      </w:r>
      <w:bookmarkEnd w:id="56"/>
      <w:bookmarkEnd w:id="57"/>
      <w:bookmarkEnd w:id="58"/>
    </w:p>
    <w:p w:rsidR="00926DB2" w:rsidRPr="00CA7C82" w:rsidRDefault="00926DB2" w:rsidP="00CA7C82">
      <w:pPr>
        <w:spacing w:line="360" w:lineRule="auto"/>
        <w:jc w:val="both"/>
      </w:pPr>
    </w:p>
    <w:p w:rsidR="00926DB2" w:rsidRDefault="00926DB2" w:rsidP="00CA7C82">
      <w:pPr>
        <w:spacing w:line="360" w:lineRule="auto"/>
        <w:jc w:val="both"/>
      </w:pPr>
      <w:r w:rsidRPr="00CA7C82">
        <w:t xml:space="preserve">Norway’s economy runs mainly on </w:t>
      </w:r>
      <w:r w:rsidR="003D496E" w:rsidRPr="00CA7C82">
        <w:t>its</w:t>
      </w:r>
      <w:r w:rsidRPr="00CA7C82">
        <w:t xml:space="preserve"> resources. These resources are exploration of petrol and fabricating this petrol into fuels. Also the fishing industry and </w:t>
      </w:r>
      <w:r>
        <w:t>a</w:t>
      </w:r>
      <w:r w:rsidRPr="00CA7C82">
        <w:t>gricultural sector are grand pillars of the Norwegian economy.</w:t>
      </w:r>
      <w:r>
        <w:t xml:space="preserve"> The social security system and level of welfare in Norway are significant to that of other develop</w:t>
      </w:r>
      <w:r w:rsidR="00E07184">
        <w:t>ed Western countries (Economic S</w:t>
      </w:r>
      <w:r>
        <w:t>urvey Norway 2010).</w:t>
      </w:r>
    </w:p>
    <w:p w:rsidR="00926DB2" w:rsidRDefault="00926DB2" w:rsidP="00CA7C82">
      <w:pPr>
        <w:spacing w:line="360" w:lineRule="auto"/>
        <w:jc w:val="both"/>
      </w:pPr>
    </w:p>
    <w:p w:rsidR="00926DB2" w:rsidRPr="007E0BA9" w:rsidRDefault="00926DB2" w:rsidP="00A84EFB">
      <w:pPr>
        <w:spacing w:line="360" w:lineRule="auto"/>
        <w:jc w:val="both"/>
      </w:pPr>
      <w:r>
        <w:t>The financial crisis had mitigated negative effects on</w:t>
      </w:r>
      <w:r w:rsidR="00E07184">
        <w:t xml:space="preserve"> the economy of Norway. This is </w:t>
      </w:r>
      <w:r>
        <w:t xml:space="preserve">translated into a relative low decrease in employment and a low drawback in economic activities. The financial sector of Norway is passing the crisis with relatively little devastations (Economic </w:t>
      </w:r>
      <w:r w:rsidR="00E07184">
        <w:t>S</w:t>
      </w:r>
      <w:r>
        <w:t>urvey 2010).</w:t>
      </w:r>
    </w:p>
    <w:p w:rsidR="003F4E6D" w:rsidRDefault="003F4E6D" w:rsidP="003F4E6D"/>
    <w:p w:rsidR="00926DB2" w:rsidRPr="003F4E6D" w:rsidRDefault="00926DB2" w:rsidP="003F4E6D">
      <w:pPr>
        <w:rPr>
          <w:i/>
        </w:rPr>
      </w:pPr>
      <w:r w:rsidRPr="003F4E6D">
        <w:rPr>
          <w:i/>
        </w:rPr>
        <w:t xml:space="preserve"> </w:t>
      </w:r>
      <w:bookmarkStart w:id="59" w:name="_Toc267647439"/>
      <w:bookmarkStart w:id="60" w:name="_Toc267649055"/>
      <w:bookmarkStart w:id="61" w:name="_Toc267653507"/>
      <w:r w:rsidRPr="003F4E6D">
        <w:rPr>
          <w:i/>
        </w:rPr>
        <w:t>Portugal</w:t>
      </w:r>
      <w:bookmarkEnd w:id="59"/>
      <w:bookmarkEnd w:id="60"/>
      <w:bookmarkEnd w:id="61"/>
    </w:p>
    <w:p w:rsidR="00926DB2" w:rsidRPr="009271F4" w:rsidRDefault="00926DB2" w:rsidP="009271F4">
      <w:pPr>
        <w:spacing w:line="360" w:lineRule="auto"/>
      </w:pPr>
    </w:p>
    <w:p w:rsidR="00926DB2" w:rsidRDefault="00926DB2" w:rsidP="007E0BA9">
      <w:pPr>
        <w:spacing w:line="360" w:lineRule="auto"/>
        <w:jc w:val="both"/>
      </w:pPr>
      <w:r w:rsidRPr="009271F4">
        <w:t>Portugal has a mixed-economy, in the mid-ninety’s the fishing and agricultural sector made up a signi</w:t>
      </w:r>
      <w:r>
        <w:t xml:space="preserve">ficant part of the economy, </w:t>
      </w:r>
      <w:r w:rsidRPr="009271F4">
        <w:t>during the last thirty years these sectors have declined from 25 percent to 4 percent of the economy. The economy depends on export mainly within the borders of Europe.</w:t>
      </w:r>
    </w:p>
    <w:p w:rsidR="00926DB2" w:rsidRDefault="00926DB2" w:rsidP="007E0BA9">
      <w:pPr>
        <w:spacing w:line="360" w:lineRule="auto"/>
        <w:jc w:val="both"/>
      </w:pPr>
      <w:r>
        <w:lastRenderedPageBreak/>
        <w:t>Due to the recent crisis the growth will be slowed down, the state debt will increase and the unemployment will increase significantly. Other effects are lower trade and investing activities (OECD Observer).</w:t>
      </w:r>
    </w:p>
    <w:p w:rsidR="008C0BC4" w:rsidRPr="008C0BC4" w:rsidRDefault="008C0BC4" w:rsidP="007E0BA9">
      <w:pPr>
        <w:spacing w:line="360" w:lineRule="auto"/>
        <w:jc w:val="both"/>
      </w:pPr>
    </w:p>
    <w:p w:rsidR="00926DB2" w:rsidRPr="003F4E6D" w:rsidRDefault="00926DB2" w:rsidP="003F4E6D">
      <w:pPr>
        <w:rPr>
          <w:i/>
        </w:rPr>
      </w:pPr>
      <w:bookmarkStart w:id="62" w:name="_Toc267647440"/>
      <w:bookmarkStart w:id="63" w:name="_Toc267649056"/>
      <w:bookmarkStart w:id="64" w:name="_Toc267653508"/>
      <w:r w:rsidRPr="003F4E6D">
        <w:rPr>
          <w:i/>
        </w:rPr>
        <w:t>Sweden</w:t>
      </w:r>
      <w:bookmarkEnd w:id="62"/>
      <w:bookmarkEnd w:id="63"/>
      <w:bookmarkEnd w:id="64"/>
    </w:p>
    <w:p w:rsidR="00926DB2" w:rsidRDefault="00926DB2" w:rsidP="007E0BA9">
      <w:pPr>
        <w:spacing w:line="360" w:lineRule="auto"/>
        <w:jc w:val="both"/>
        <w:rPr>
          <w:i/>
        </w:rPr>
      </w:pPr>
    </w:p>
    <w:p w:rsidR="00926DB2" w:rsidRPr="00860B69" w:rsidRDefault="00926DB2" w:rsidP="007E0BA9">
      <w:pPr>
        <w:spacing w:line="360" w:lineRule="auto"/>
        <w:jc w:val="both"/>
      </w:pPr>
      <w:r>
        <w:t xml:space="preserve">The economy of Sweden consists of </w:t>
      </w:r>
      <w:r w:rsidR="00A152D6">
        <w:t>the</w:t>
      </w:r>
      <w:r>
        <w:t xml:space="preserve"> exploration of resour</w:t>
      </w:r>
      <w:r w:rsidR="00A152D6">
        <w:t xml:space="preserve">ces (mainly steel and wood), production and </w:t>
      </w:r>
      <w:r>
        <w:t>export of medicines, communication products and automobiles. Hence the economy of Sweden is significantly dependent on the export of these products and resources. A significant fact is that almost half of the GDP of Sweden consists of tax income.</w:t>
      </w:r>
    </w:p>
    <w:p w:rsidR="00926DB2" w:rsidRPr="00860B69" w:rsidRDefault="00926DB2" w:rsidP="009F7DF7">
      <w:pPr>
        <w:pStyle w:val="Normaalweb"/>
        <w:spacing w:line="360" w:lineRule="auto"/>
        <w:jc w:val="both"/>
      </w:pPr>
      <w:r>
        <w:t>The Swedish economy has faced a major decline in export levels due to the crisis. The unemployment is rising in the country. The consummation is expected to fall. The projection is that the economy will recover when the trade will revive (OECD Observer).</w:t>
      </w:r>
    </w:p>
    <w:p w:rsidR="00926DB2" w:rsidRPr="00A84EFB" w:rsidRDefault="00926DB2" w:rsidP="00A84EFB">
      <w:pPr>
        <w:pStyle w:val="Kop2"/>
        <w:rPr>
          <w:rFonts w:ascii="Times New Roman" w:hAnsi="Times New Roman" w:cs="Times New Roman"/>
          <w:i w:val="0"/>
          <w:iCs w:val="0"/>
          <w:sz w:val="24"/>
          <w:szCs w:val="24"/>
        </w:rPr>
      </w:pPr>
      <w:bookmarkStart w:id="65" w:name="_Toc268186025"/>
      <w:r w:rsidRPr="00A84EFB">
        <w:rPr>
          <w:rFonts w:ascii="Times New Roman" w:hAnsi="Times New Roman" w:cs="Times New Roman"/>
          <w:i w:val="0"/>
          <w:iCs w:val="0"/>
          <w:sz w:val="24"/>
          <w:szCs w:val="24"/>
        </w:rPr>
        <w:t>2.2 The capital Basle Accords</w:t>
      </w:r>
      <w:bookmarkEnd w:id="65"/>
    </w:p>
    <w:p w:rsidR="00926DB2" w:rsidRDefault="00926DB2" w:rsidP="00046654">
      <w:pPr>
        <w:jc w:val="both"/>
        <w:rPr>
          <w:b/>
        </w:rPr>
      </w:pPr>
    </w:p>
    <w:p w:rsidR="00926DB2" w:rsidRPr="004F1663" w:rsidRDefault="00926DB2" w:rsidP="00046654">
      <w:pPr>
        <w:spacing w:line="360" w:lineRule="auto"/>
        <w:jc w:val="both"/>
        <w:rPr>
          <w:b/>
        </w:rPr>
      </w:pPr>
      <w:r>
        <w:t xml:space="preserve">In this sub-chapter the Basle Accords will be discussed and elaborated on. The Basle Accords are very influential concerning banking policies in the Western-World. Hence in this research a sample </w:t>
      </w:r>
      <w:r w:rsidR="00BC1A5F">
        <w:t>of West-European banks is used</w:t>
      </w:r>
      <w:r w:rsidR="007C7570">
        <w:t>. R</w:t>
      </w:r>
      <w:r w:rsidR="00BC1A5F">
        <w:t xml:space="preserve">elevant </w:t>
      </w:r>
      <w:r>
        <w:t xml:space="preserve">information concerning the Basle </w:t>
      </w:r>
      <w:r w:rsidR="00810E7C">
        <w:t>Accords will</w:t>
      </w:r>
      <w:r>
        <w:t xml:space="preserve"> be provided.</w:t>
      </w:r>
    </w:p>
    <w:p w:rsidR="00926DB2" w:rsidRPr="00A84EFB" w:rsidRDefault="00926DB2" w:rsidP="00A84EFB">
      <w:pPr>
        <w:spacing w:line="360" w:lineRule="auto"/>
        <w:jc w:val="both"/>
      </w:pPr>
      <w:r>
        <w:rPr>
          <w:b/>
        </w:rPr>
        <w:br/>
      </w:r>
      <w:r>
        <w:t>The capital Basle accord is a cooperation agreement between Western banks. In 1930 the joint cooperation; the Bank for International Settlements (BIS) was founded. BIS was founded because Germany struggled with very high debts caused by the War. Since the Second World War BIS guards the solvability levels of Central Banks to guarantee financial health in the Western World (Capital Basle Accord 2003).</w:t>
      </w:r>
    </w:p>
    <w:p w:rsidR="00926DB2" w:rsidRPr="00810E7C" w:rsidRDefault="00810E7C" w:rsidP="00810E7C">
      <w:pPr>
        <w:pStyle w:val="Kop3"/>
        <w:rPr>
          <w:rFonts w:ascii="Times New Roman" w:hAnsi="Times New Roman"/>
          <w:b w:val="0"/>
          <w:bCs w:val="0"/>
          <w:i/>
          <w:iCs/>
          <w:color w:val="auto"/>
        </w:rPr>
      </w:pPr>
      <w:bookmarkStart w:id="66" w:name="_Toc268186026"/>
      <w:r w:rsidRPr="00810E7C">
        <w:rPr>
          <w:rFonts w:ascii="Times New Roman" w:hAnsi="Times New Roman"/>
          <w:b w:val="0"/>
          <w:bCs w:val="0"/>
          <w:i/>
          <w:iCs/>
          <w:color w:val="auto"/>
        </w:rPr>
        <w:t xml:space="preserve">2.2.1 Basle </w:t>
      </w:r>
      <w:r w:rsidR="00926DB2" w:rsidRPr="00810E7C">
        <w:rPr>
          <w:rFonts w:ascii="Times New Roman" w:hAnsi="Times New Roman"/>
          <w:b w:val="0"/>
          <w:bCs w:val="0"/>
          <w:i/>
          <w:iCs/>
          <w:color w:val="auto"/>
        </w:rPr>
        <w:t>Accord</w:t>
      </w:r>
      <w:r w:rsidRPr="00810E7C">
        <w:rPr>
          <w:rFonts w:ascii="Times New Roman" w:hAnsi="Times New Roman"/>
          <w:b w:val="0"/>
          <w:bCs w:val="0"/>
          <w:i/>
          <w:iCs/>
          <w:color w:val="auto"/>
        </w:rPr>
        <w:t xml:space="preserve"> І</w:t>
      </w:r>
      <w:bookmarkEnd w:id="66"/>
      <w:r w:rsidR="00926DB2" w:rsidRPr="00810E7C">
        <w:rPr>
          <w:rFonts w:ascii="Times New Roman" w:hAnsi="Times New Roman"/>
          <w:b w:val="0"/>
          <w:bCs w:val="0"/>
          <w:i/>
          <w:iCs/>
          <w:color w:val="auto"/>
        </w:rPr>
        <w:t xml:space="preserve"> </w:t>
      </w:r>
      <w:r w:rsidR="00926DB2" w:rsidRPr="00810E7C">
        <w:rPr>
          <w:rFonts w:ascii="Times New Roman" w:hAnsi="Times New Roman"/>
          <w:b w:val="0"/>
          <w:bCs w:val="0"/>
          <w:i/>
          <w:iCs/>
          <w:color w:val="auto"/>
        </w:rPr>
        <w:tab/>
      </w:r>
    </w:p>
    <w:p w:rsidR="00926DB2" w:rsidRDefault="00926DB2" w:rsidP="00046654">
      <w:pPr>
        <w:spacing w:line="360" w:lineRule="auto"/>
        <w:jc w:val="both"/>
      </w:pPr>
    </w:p>
    <w:p w:rsidR="00926DB2" w:rsidRDefault="00926DB2" w:rsidP="00046654">
      <w:pPr>
        <w:spacing w:line="360" w:lineRule="auto"/>
        <w:jc w:val="both"/>
        <w:rPr>
          <w:rFonts w:cs="Times New Roman"/>
        </w:rPr>
      </w:pPr>
      <w:r>
        <w:t>Now</w:t>
      </w:r>
      <w:r w:rsidR="007C7570">
        <w:t>adays</w:t>
      </w:r>
      <w:r>
        <w:t xml:space="preserve"> there are 2 Basle Accords; Basle </w:t>
      </w:r>
      <w:r>
        <w:rPr>
          <w:rFonts w:cs="Times New Roman"/>
        </w:rPr>
        <w:t xml:space="preserve">І </w:t>
      </w:r>
      <w:r>
        <w:t xml:space="preserve">and Basle </w:t>
      </w:r>
      <w:r>
        <w:rPr>
          <w:rFonts w:cs="Times New Roman"/>
        </w:rPr>
        <w:t>ІІ</w:t>
      </w:r>
      <w:r>
        <w:t xml:space="preserve">. Basle </w:t>
      </w:r>
      <w:r>
        <w:rPr>
          <w:rFonts w:cs="Times New Roman"/>
        </w:rPr>
        <w:t>І</w:t>
      </w:r>
      <w:r>
        <w:t xml:space="preserve"> was founded in 1988 in Basel, Switzerland. The focus of Basle </w:t>
      </w:r>
      <w:r>
        <w:rPr>
          <w:rFonts w:cs="Times New Roman"/>
        </w:rPr>
        <w:t xml:space="preserve">І </w:t>
      </w:r>
      <w:r>
        <w:t xml:space="preserve">was mainly to set a borderline for the capital standards of banks (Capital Basle Accord 2003). The Basle </w:t>
      </w:r>
      <w:r>
        <w:rPr>
          <w:rFonts w:cs="Times New Roman"/>
        </w:rPr>
        <w:t>І Accord first only was applicable in the G-10 countries; France, Germany,</w:t>
      </w:r>
      <w:r w:rsidR="00A152D6">
        <w:rPr>
          <w:rFonts w:cs="Times New Roman"/>
        </w:rPr>
        <w:t xml:space="preserve"> Canada, Belgium, Italy, </w:t>
      </w:r>
      <w:r>
        <w:rPr>
          <w:rFonts w:cs="Times New Roman"/>
        </w:rPr>
        <w:t>Sweden, Switzerland, the United Kingdom, The Netherlands and Japan.</w:t>
      </w:r>
    </w:p>
    <w:p w:rsidR="00926DB2" w:rsidRDefault="00926DB2" w:rsidP="00046654">
      <w:pPr>
        <w:spacing w:line="360" w:lineRule="auto"/>
        <w:ind w:left="567"/>
        <w:jc w:val="both"/>
        <w:rPr>
          <w:rFonts w:cs="Times New Roman"/>
        </w:rPr>
      </w:pPr>
    </w:p>
    <w:p w:rsidR="00926DB2" w:rsidRDefault="00926DB2" w:rsidP="00046654">
      <w:pPr>
        <w:spacing w:line="360" w:lineRule="auto"/>
        <w:jc w:val="both"/>
        <w:rPr>
          <w:rFonts w:cs="Times New Roman"/>
        </w:rPr>
      </w:pPr>
      <w:r>
        <w:rPr>
          <w:rFonts w:cs="Times New Roman"/>
        </w:rPr>
        <w:lastRenderedPageBreak/>
        <w:t>The Capital Basle Accord was designed for banks and markets operating in these well</w:t>
      </w:r>
      <w:r w:rsidR="007C7570">
        <w:rPr>
          <w:rFonts w:cs="Times New Roman"/>
        </w:rPr>
        <w:t xml:space="preserve"> developed countries. The</w:t>
      </w:r>
      <w:r>
        <w:rPr>
          <w:rFonts w:cs="Times New Roman"/>
        </w:rPr>
        <w:t xml:space="preserve"> Capital Basle Accord</w:t>
      </w:r>
      <w:r w:rsidR="007C7570">
        <w:rPr>
          <w:rFonts w:cs="Times New Roman"/>
        </w:rPr>
        <w:t>s are</w:t>
      </w:r>
      <w:r>
        <w:rPr>
          <w:rFonts w:cs="Times New Roman"/>
        </w:rPr>
        <w:t xml:space="preserve"> explicitly not designed for upcoming and developing e</w:t>
      </w:r>
      <w:r w:rsidR="00A152D6">
        <w:rPr>
          <w:rFonts w:cs="Times New Roman"/>
        </w:rPr>
        <w:t xml:space="preserve">conomies (B. Balin 2008). Basle </w:t>
      </w:r>
      <w:r>
        <w:rPr>
          <w:rFonts w:cs="Times New Roman"/>
        </w:rPr>
        <w:t>І mainly concentrates itself on the providence of minimal standards of capital for banks in order to mitigate the credit risk of the banks. Basle І does not authorize capital for protection against volatility of currency’s or economic recessions (B. Balin 2008). Basle І promotes banks and governments to obtain and maintain more conservative banking laws and regulations. Basle І consists of four pillars which will be discussed:</w:t>
      </w:r>
    </w:p>
    <w:p w:rsidR="00926DB2" w:rsidRDefault="00926DB2" w:rsidP="00046654">
      <w:pPr>
        <w:spacing w:line="360" w:lineRule="auto"/>
        <w:jc w:val="both"/>
        <w:rPr>
          <w:rFonts w:cs="Times New Roman"/>
        </w:rPr>
      </w:pPr>
    </w:p>
    <w:p w:rsidR="00926DB2" w:rsidRDefault="00926DB2" w:rsidP="00A84EFB">
      <w:pPr>
        <w:numPr>
          <w:ilvl w:val="0"/>
          <w:numId w:val="11"/>
        </w:numPr>
        <w:spacing w:line="360" w:lineRule="auto"/>
        <w:jc w:val="both"/>
        <w:rPr>
          <w:rFonts w:cs="Times New Roman"/>
        </w:rPr>
      </w:pPr>
      <w:r>
        <w:rPr>
          <w:rFonts w:cs="Times New Roman"/>
        </w:rPr>
        <w:t>The Constituents of Capital; this pillar describes what class of on-hand capital could be classified as banks reserves and the amount of each class that a bank can maintain. This pillar contains two Tiers see table 1 below:</w:t>
      </w:r>
    </w:p>
    <w:p w:rsidR="00926DB2" w:rsidRPr="00A84EFB" w:rsidRDefault="00926DB2" w:rsidP="00A84EFB">
      <w:pPr>
        <w:spacing w:line="360" w:lineRule="auto"/>
        <w:ind w:left="360"/>
        <w:jc w:val="both"/>
        <w:rPr>
          <w:rFonts w:cs="Times New Roman"/>
        </w:rPr>
      </w:pPr>
    </w:p>
    <w:p w:rsidR="00926DB2" w:rsidRPr="00683FF6" w:rsidRDefault="00926DB2" w:rsidP="00AE17B7">
      <w:pPr>
        <w:spacing w:line="360" w:lineRule="auto"/>
        <w:jc w:val="both"/>
        <w:rPr>
          <w:rFonts w:cs="Times New Roman"/>
          <w:u w:val="single"/>
        </w:rPr>
      </w:pPr>
      <w:r w:rsidRPr="0089232E">
        <w:rPr>
          <w:rFonts w:cs="Times New Roman"/>
          <w:b/>
          <w:u w:val="single"/>
        </w:rPr>
        <w:t>Table 1.</w:t>
      </w:r>
      <w:r w:rsidRPr="0089232E">
        <w:rPr>
          <w:rFonts w:cs="Times New Roman"/>
          <w:u w:val="single"/>
        </w:rPr>
        <w:t xml:space="preserve"> Tiers of the constituents of capital pillar (Capital Basle Accord 2003)</w:t>
      </w:r>
    </w:p>
    <w:tbl>
      <w:tblPr>
        <w:tblpPr w:leftFromText="141" w:rightFromText="141" w:vertAnchor="text" w:horzAnchor="margin" w:tblpXSpec="center" w:tblpY="390"/>
        <w:tblW w:w="0" w:type="auto"/>
        <w:tblBorders>
          <w:top w:val="single" w:sz="8" w:space="0" w:color="000000"/>
          <w:bottom w:val="single" w:sz="8" w:space="0" w:color="000000"/>
        </w:tblBorders>
        <w:tblLook w:val="00A0"/>
      </w:tblPr>
      <w:tblGrid>
        <w:gridCol w:w="931"/>
        <w:gridCol w:w="953"/>
        <w:gridCol w:w="792"/>
        <w:gridCol w:w="770"/>
        <w:gridCol w:w="1359"/>
        <w:gridCol w:w="1211"/>
      </w:tblGrid>
      <w:tr w:rsidR="00926DB2" w:rsidTr="00FF080B">
        <w:trPr>
          <w:gridAfter w:val="4"/>
          <w:wAfter w:w="4132" w:type="dxa"/>
        </w:trPr>
        <w:tc>
          <w:tcPr>
            <w:tcW w:w="931" w:type="dxa"/>
            <w:tcBorders>
              <w:top w:val="single" w:sz="8" w:space="0" w:color="000000"/>
              <w:left w:val="nil"/>
              <w:bottom w:val="single" w:sz="8" w:space="0" w:color="000000"/>
              <w:right w:val="nil"/>
            </w:tcBorders>
          </w:tcPr>
          <w:p w:rsidR="00926DB2" w:rsidRPr="00FF080B" w:rsidRDefault="00926DB2" w:rsidP="00FF080B">
            <w:pPr>
              <w:spacing w:line="360" w:lineRule="auto"/>
              <w:jc w:val="both"/>
              <w:rPr>
                <w:rFonts w:cs="Times New Roman"/>
                <w:b/>
                <w:bCs/>
                <w:color w:val="000000"/>
              </w:rPr>
            </w:pPr>
            <w:r w:rsidRPr="00FF080B">
              <w:rPr>
                <w:rFonts w:cs="Times New Roman"/>
                <w:b/>
                <w:bCs/>
                <w:color w:val="000000"/>
                <w:sz w:val="22"/>
                <w:szCs w:val="22"/>
              </w:rPr>
              <w:t>Tiers:</w:t>
            </w:r>
          </w:p>
        </w:tc>
        <w:tc>
          <w:tcPr>
            <w:tcW w:w="953" w:type="dxa"/>
            <w:tcBorders>
              <w:top w:val="single" w:sz="8" w:space="0" w:color="000000"/>
              <w:left w:val="nil"/>
              <w:bottom w:val="single" w:sz="8" w:space="0" w:color="000000"/>
              <w:right w:val="nil"/>
            </w:tcBorders>
            <w:shd w:val="clear" w:color="auto" w:fill="C0C0C0"/>
          </w:tcPr>
          <w:p w:rsidR="00926DB2" w:rsidRPr="00FF080B" w:rsidRDefault="00926DB2" w:rsidP="00FF080B">
            <w:pPr>
              <w:spacing w:line="360" w:lineRule="auto"/>
              <w:jc w:val="both"/>
              <w:rPr>
                <w:rFonts w:cs="Times New Roman"/>
                <w:b/>
                <w:bCs/>
                <w:color w:val="000000"/>
              </w:rPr>
            </w:pPr>
            <w:r w:rsidRPr="00FF080B">
              <w:rPr>
                <w:rFonts w:cs="Times New Roman"/>
                <w:b/>
                <w:bCs/>
                <w:color w:val="000000"/>
                <w:sz w:val="22"/>
                <w:szCs w:val="22"/>
              </w:rPr>
              <w:t>Types of fund</w:t>
            </w:r>
          </w:p>
        </w:tc>
      </w:tr>
      <w:tr w:rsidR="00926DB2" w:rsidTr="00FF080B">
        <w:trPr>
          <w:gridAfter w:val="3"/>
          <w:wAfter w:w="3340" w:type="dxa"/>
          <w:trHeight w:val="929"/>
        </w:trPr>
        <w:tc>
          <w:tcPr>
            <w:tcW w:w="931" w:type="dxa"/>
            <w:tcBorders>
              <w:left w:val="nil"/>
              <w:right w:val="nil"/>
            </w:tcBorders>
            <w:shd w:val="clear" w:color="auto" w:fill="C0C0C0"/>
          </w:tcPr>
          <w:p w:rsidR="00926DB2" w:rsidRPr="00FF080B" w:rsidRDefault="00926DB2" w:rsidP="00FF080B">
            <w:pPr>
              <w:spacing w:line="360" w:lineRule="auto"/>
              <w:jc w:val="both"/>
              <w:rPr>
                <w:rFonts w:cs="Times New Roman"/>
                <w:b/>
                <w:bCs/>
                <w:color w:val="000000"/>
              </w:rPr>
            </w:pPr>
            <w:r w:rsidRPr="00FF080B">
              <w:rPr>
                <w:rFonts w:cs="Times New Roman"/>
                <w:b/>
                <w:bCs/>
                <w:color w:val="000000"/>
                <w:sz w:val="22"/>
                <w:szCs w:val="22"/>
              </w:rPr>
              <w:t>Tier 1 Capital</w:t>
            </w:r>
          </w:p>
        </w:tc>
        <w:tc>
          <w:tcPr>
            <w:tcW w:w="953" w:type="dxa"/>
            <w:tcBorders>
              <w:left w:val="nil"/>
              <w:bottom w:val="nil"/>
              <w:right w:val="nil"/>
            </w:tcBorders>
            <w:shd w:val="clear" w:color="auto" w:fill="C0C0C0"/>
          </w:tcPr>
          <w:p w:rsidR="00926DB2" w:rsidRPr="00FF080B" w:rsidRDefault="00926DB2" w:rsidP="00FF080B">
            <w:pPr>
              <w:spacing w:line="360" w:lineRule="auto"/>
              <w:jc w:val="both"/>
              <w:rPr>
                <w:rFonts w:cs="Times New Roman"/>
                <w:color w:val="000000"/>
              </w:rPr>
            </w:pPr>
            <w:r w:rsidRPr="00FF080B">
              <w:rPr>
                <w:rFonts w:cs="Times New Roman"/>
                <w:color w:val="000000"/>
                <w:sz w:val="22"/>
                <w:szCs w:val="22"/>
              </w:rPr>
              <w:t>Cash reserves</w:t>
            </w:r>
          </w:p>
        </w:tc>
        <w:tc>
          <w:tcPr>
            <w:tcW w:w="792" w:type="dxa"/>
            <w:tcBorders>
              <w:left w:val="nil"/>
              <w:right w:val="nil"/>
            </w:tcBorders>
            <w:shd w:val="clear" w:color="auto" w:fill="C0C0C0"/>
          </w:tcPr>
          <w:p w:rsidR="00926DB2" w:rsidRPr="00FF080B" w:rsidRDefault="00926DB2" w:rsidP="00FF080B">
            <w:pPr>
              <w:spacing w:line="360" w:lineRule="auto"/>
              <w:jc w:val="both"/>
              <w:rPr>
                <w:rFonts w:cs="Times New Roman"/>
                <w:color w:val="000000"/>
              </w:rPr>
            </w:pPr>
            <w:r w:rsidRPr="00FF080B">
              <w:rPr>
                <w:rFonts w:cs="Times New Roman"/>
                <w:color w:val="000000"/>
                <w:sz w:val="22"/>
                <w:szCs w:val="22"/>
              </w:rPr>
              <w:t>Sale of Bank equity</w:t>
            </w:r>
          </w:p>
        </w:tc>
      </w:tr>
      <w:tr w:rsidR="00926DB2" w:rsidTr="00FF080B">
        <w:trPr>
          <w:trHeight w:val="914"/>
        </w:trPr>
        <w:tc>
          <w:tcPr>
            <w:tcW w:w="931" w:type="dxa"/>
            <w:tcBorders>
              <w:bottom w:val="single" w:sz="8" w:space="0" w:color="000000"/>
            </w:tcBorders>
          </w:tcPr>
          <w:p w:rsidR="00926DB2" w:rsidRPr="00FF080B" w:rsidRDefault="00926DB2" w:rsidP="00FF080B">
            <w:pPr>
              <w:spacing w:line="360" w:lineRule="auto"/>
              <w:jc w:val="both"/>
              <w:rPr>
                <w:rFonts w:cs="Times New Roman"/>
                <w:b/>
                <w:bCs/>
                <w:color w:val="000000"/>
              </w:rPr>
            </w:pPr>
            <w:r w:rsidRPr="00FF080B">
              <w:rPr>
                <w:rFonts w:cs="Times New Roman"/>
                <w:b/>
                <w:bCs/>
                <w:color w:val="000000"/>
                <w:sz w:val="22"/>
                <w:szCs w:val="22"/>
              </w:rPr>
              <w:t>Tier 2 Capital</w:t>
            </w:r>
          </w:p>
        </w:tc>
        <w:tc>
          <w:tcPr>
            <w:tcW w:w="953" w:type="dxa"/>
            <w:tcBorders>
              <w:bottom w:val="single" w:sz="8" w:space="0" w:color="000000"/>
            </w:tcBorders>
            <w:shd w:val="clear" w:color="auto" w:fill="C0C0C0"/>
          </w:tcPr>
          <w:p w:rsidR="00A152D6" w:rsidRDefault="00A152D6" w:rsidP="00FF080B">
            <w:pPr>
              <w:spacing w:line="360" w:lineRule="auto"/>
              <w:ind w:left="-1280" w:firstLine="1280"/>
              <w:jc w:val="both"/>
              <w:rPr>
                <w:rFonts w:cs="Times New Roman"/>
                <w:color w:val="000000"/>
                <w:sz w:val="22"/>
                <w:szCs w:val="22"/>
              </w:rPr>
            </w:pPr>
          </w:p>
          <w:p w:rsidR="00926DB2" w:rsidRPr="00FF080B" w:rsidRDefault="00926DB2" w:rsidP="00FF080B">
            <w:pPr>
              <w:spacing w:line="360" w:lineRule="auto"/>
              <w:ind w:left="-1280" w:firstLine="1280"/>
              <w:jc w:val="both"/>
              <w:rPr>
                <w:rFonts w:cs="Times New Roman"/>
                <w:color w:val="000000"/>
              </w:rPr>
            </w:pPr>
            <w:r w:rsidRPr="00FF080B">
              <w:rPr>
                <w:rFonts w:cs="Times New Roman"/>
                <w:color w:val="000000"/>
                <w:sz w:val="22"/>
                <w:szCs w:val="22"/>
              </w:rPr>
              <w:t>Reserves to cover:</w:t>
            </w:r>
          </w:p>
        </w:tc>
        <w:tc>
          <w:tcPr>
            <w:tcW w:w="792" w:type="dxa"/>
            <w:tcBorders>
              <w:bottom w:val="single" w:sz="8" w:space="0" w:color="000000"/>
            </w:tcBorders>
          </w:tcPr>
          <w:p w:rsidR="00926DB2" w:rsidRPr="00FF080B" w:rsidRDefault="00542395" w:rsidP="00FF080B">
            <w:pPr>
              <w:spacing w:line="360" w:lineRule="auto"/>
              <w:jc w:val="both"/>
              <w:rPr>
                <w:rFonts w:cs="Times New Roman"/>
                <w:color w:val="000000"/>
              </w:rPr>
            </w:pPr>
            <w:r w:rsidRPr="00542395">
              <w:rPr>
                <w:noProof/>
                <w:lang w:val="en-US" w:eastAsia="en-US" w:bidi="ar-SA"/>
              </w:rPr>
              <w:pict>
                <v:shapetype id="_x0000_t32" coordsize="21600,21600" o:spt="32" o:oned="t" path="m,l21600,21600e" filled="f">
                  <v:path arrowok="t" fillok="f" o:connecttype="none"/>
                  <o:lock v:ext="edit" shapetype="t"/>
                </v:shapetype>
                <v:shape id="_x0000_s1028" type="#_x0000_t32" style="position:absolute;left:0;text-align:left;margin-left:2.85pt;margin-top:24.05pt;width:25.5pt;height:0;z-index:251659776;mso-position-horizontal-relative:text;mso-position-vertical-relative:text" o:connectortype="straight">
                  <v:stroke endarrow="block"/>
                </v:shape>
              </w:pict>
            </w:r>
          </w:p>
        </w:tc>
        <w:tc>
          <w:tcPr>
            <w:tcW w:w="770" w:type="dxa"/>
            <w:tcBorders>
              <w:bottom w:val="single" w:sz="8" w:space="0" w:color="000000"/>
            </w:tcBorders>
            <w:shd w:val="clear" w:color="auto" w:fill="C0C0C0"/>
          </w:tcPr>
          <w:p w:rsidR="00A152D6" w:rsidRDefault="00A152D6" w:rsidP="00FF080B">
            <w:pPr>
              <w:spacing w:line="360" w:lineRule="auto"/>
              <w:jc w:val="both"/>
              <w:rPr>
                <w:rFonts w:cs="Times New Roman"/>
                <w:color w:val="000000"/>
                <w:sz w:val="22"/>
                <w:szCs w:val="22"/>
              </w:rPr>
            </w:pPr>
          </w:p>
          <w:p w:rsidR="00926DB2" w:rsidRPr="00FF080B" w:rsidRDefault="00926DB2" w:rsidP="00FF080B">
            <w:pPr>
              <w:spacing w:line="360" w:lineRule="auto"/>
              <w:jc w:val="both"/>
              <w:rPr>
                <w:rFonts w:cs="Times New Roman"/>
                <w:color w:val="000000"/>
              </w:rPr>
            </w:pPr>
            <w:r w:rsidRPr="00FF080B">
              <w:rPr>
                <w:rFonts w:cs="Times New Roman"/>
                <w:color w:val="000000"/>
                <w:sz w:val="22"/>
                <w:szCs w:val="22"/>
              </w:rPr>
              <w:t>Loan losses</w:t>
            </w:r>
          </w:p>
        </w:tc>
        <w:tc>
          <w:tcPr>
            <w:tcW w:w="1359" w:type="dxa"/>
            <w:tcBorders>
              <w:bottom w:val="single" w:sz="8" w:space="0" w:color="000000"/>
            </w:tcBorders>
          </w:tcPr>
          <w:p w:rsidR="00A152D6" w:rsidRDefault="00A152D6" w:rsidP="00FF080B">
            <w:pPr>
              <w:spacing w:line="360" w:lineRule="auto"/>
              <w:jc w:val="both"/>
              <w:rPr>
                <w:rFonts w:cs="Times New Roman"/>
                <w:color w:val="000000"/>
                <w:sz w:val="22"/>
                <w:szCs w:val="22"/>
              </w:rPr>
            </w:pPr>
          </w:p>
          <w:p w:rsidR="00926DB2" w:rsidRPr="00FF080B" w:rsidRDefault="00926DB2" w:rsidP="00FF080B">
            <w:pPr>
              <w:spacing w:line="360" w:lineRule="auto"/>
              <w:jc w:val="both"/>
              <w:rPr>
                <w:rFonts w:cs="Times New Roman"/>
                <w:color w:val="000000"/>
              </w:rPr>
            </w:pPr>
            <w:r w:rsidRPr="00FF080B">
              <w:rPr>
                <w:rFonts w:cs="Times New Roman"/>
                <w:color w:val="000000"/>
                <w:sz w:val="22"/>
                <w:szCs w:val="22"/>
              </w:rPr>
              <w:t>Holdings of subordinated debt</w:t>
            </w:r>
          </w:p>
        </w:tc>
        <w:tc>
          <w:tcPr>
            <w:tcW w:w="1211" w:type="dxa"/>
            <w:tcBorders>
              <w:bottom w:val="single" w:sz="8" w:space="0" w:color="000000"/>
            </w:tcBorders>
            <w:shd w:val="clear" w:color="auto" w:fill="C0C0C0"/>
          </w:tcPr>
          <w:p w:rsidR="00926DB2" w:rsidRPr="00FF080B" w:rsidRDefault="00926DB2" w:rsidP="00FF080B">
            <w:pPr>
              <w:spacing w:line="360" w:lineRule="auto"/>
              <w:jc w:val="both"/>
              <w:rPr>
                <w:rFonts w:cs="Times New Roman"/>
                <w:color w:val="000000"/>
              </w:rPr>
            </w:pPr>
            <w:r w:rsidRPr="00FF080B">
              <w:rPr>
                <w:rFonts w:cs="Times New Roman"/>
                <w:color w:val="000000"/>
                <w:sz w:val="22"/>
                <w:szCs w:val="22"/>
              </w:rPr>
              <w:t>Hybrid debt/equity instrument holdings</w:t>
            </w:r>
          </w:p>
        </w:tc>
      </w:tr>
    </w:tbl>
    <w:p w:rsidR="00926DB2" w:rsidRDefault="00926DB2" w:rsidP="00AE17B7">
      <w:pPr>
        <w:spacing w:line="360" w:lineRule="auto"/>
        <w:jc w:val="both"/>
        <w:rPr>
          <w:rFonts w:cs="Times New Roman"/>
        </w:rPr>
      </w:pPr>
    </w:p>
    <w:p w:rsidR="00926DB2" w:rsidRDefault="00926DB2" w:rsidP="00AE17B7">
      <w:pPr>
        <w:spacing w:line="360" w:lineRule="auto"/>
        <w:jc w:val="both"/>
        <w:rPr>
          <w:rFonts w:cs="Times New Roman"/>
        </w:rPr>
      </w:pPr>
    </w:p>
    <w:p w:rsidR="00926DB2" w:rsidRDefault="00926DB2" w:rsidP="00AE17B7">
      <w:pPr>
        <w:spacing w:line="360" w:lineRule="auto"/>
        <w:jc w:val="both"/>
        <w:rPr>
          <w:rFonts w:cs="Times New Roman"/>
        </w:rPr>
      </w:pPr>
    </w:p>
    <w:p w:rsidR="00926DB2" w:rsidRDefault="00926DB2" w:rsidP="00AE17B7">
      <w:pPr>
        <w:spacing w:line="360" w:lineRule="auto"/>
        <w:jc w:val="both"/>
        <w:rPr>
          <w:rFonts w:cs="Times New Roman"/>
        </w:rPr>
      </w:pPr>
    </w:p>
    <w:p w:rsidR="00926DB2" w:rsidRDefault="00926DB2" w:rsidP="00AE17B7">
      <w:pPr>
        <w:spacing w:line="360" w:lineRule="auto"/>
        <w:jc w:val="both"/>
        <w:rPr>
          <w:rFonts w:cs="Times New Roman"/>
        </w:rPr>
      </w:pPr>
    </w:p>
    <w:p w:rsidR="00926DB2" w:rsidRDefault="00926DB2" w:rsidP="00AE17B7">
      <w:pPr>
        <w:spacing w:line="360" w:lineRule="auto"/>
        <w:jc w:val="both"/>
        <w:rPr>
          <w:rFonts w:cs="Times New Roman"/>
        </w:rPr>
      </w:pPr>
    </w:p>
    <w:p w:rsidR="00926DB2" w:rsidRDefault="00926DB2" w:rsidP="00AE17B7">
      <w:pPr>
        <w:spacing w:line="360" w:lineRule="auto"/>
        <w:jc w:val="both"/>
        <w:rPr>
          <w:rFonts w:cs="Times New Roman"/>
        </w:rPr>
      </w:pPr>
    </w:p>
    <w:p w:rsidR="00926DB2" w:rsidRDefault="00926DB2" w:rsidP="00AE17B7">
      <w:pPr>
        <w:spacing w:line="360" w:lineRule="auto"/>
        <w:jc w:val="both"/>
        <w:rPr>
          <w:rFonts w:cs="Times New Roman"/>
        </w:rPr>
      </w:pPr>
    </w:p>
    <w:p w:rsidR="00926DB2" w:rsidRDefault="00926DB2" w:rsidP="00AE17B7">
      <w:pPr>
        <w:spacing w:line="360" w:lineRule="auto"/>
        <w:jc w:val="both"/>
        <w:rPr>
          <w:rFonts w:cs="Times New Roman"/>
        </w:rPr>
      </w:pPr>
    </w:p>
    <w:p w:rsidR="00926DB2" w:rsidRDefault="00926DB2" w:rsidP="00AE17B7">
      <w:pPr>
        <w:spacing w:line="360" w:lineRule="auto"/>
        <w:jc w:val="both"/>
        <w:rPr>
          <w:rFonts w:cs="Times New Roman"/>
        </w:rPr>
      </w:pPr>
    </w:p>
    <w:p w:rsidR="00926DB2" w:rsidRDefault="00926DB2" w:rsidP="00AE17B7">
      <w:pPr>
        <w:spacing w:line="360" w:lineRule="auto"/>
        <w:jc w:val="both"/>
        <w:rPr>
          <w:rFonts w:cs="Times New Roman"/>
        </w:rPr>
      </w:pPr>
    </w:p>
    <w:p w:rsidR="00926DB2" w:rsidRDefault="00926DB2" w:rsidP="00AE17B7">
      <w:pPr>
        <w:spacing w:line="360" w:lineRule="auto"/>
        <w:jc w:val="both"/>
        <w:rPr>
          <w:rFonts w:cs="Times New Roman"/>
        </w:rPr>
      </w:pPr>
    </w:p>
    <w:p w:rsidR="00926DB2" w:rsidRDefault="00926DB2" w:rsidP="00AE17B7">
      <w:pPr>
        <w:numPr>
          <w:ilvl w:val="0"/>
          <w:numId w:val="11"/>
        </w:numPr>
        <w:spacing w:line="360" w:lineRule="auto"/>
        <w:jc w:val="both"/>
        <w:rPr>
          <w:rFonts w:cs="Times New Roman"/>
        </w:rPr>
      </w:pPr>
      <w:r>
        <w:rPr>
          <w:rFonts w:cs="Times New Roman"/>
        </w:rPr>
        <w:t xml:space="preserve">Risk Weighting; this is a scheme to measure the risk in the assets of a bank. There are five types of risk schemes to measure the risk in the assets (B. </w:t>
      </w:r>
      <w:r w:rsidR="00BC1A5F">
        <w:rPr>
          <w:rFonts w:cs="Times New Roman"/>
        </w:rPr>
        <w:t>Balin 2008). See table 2 below:</w:t>
      </w:r>
    </w:p>
    <w:p w:rsidR="00926DB2" w:rsidRDefault="00926DB2" w:rsidP="00A84EFB">
      <w:pPr>
        <w:spacing w:line="360" w:lineRule="auto"/>
        <w:ind w:left="720"/>
        <w:jc w:val="both"/>
        <w:rPr>
          <w:rFonts w:cs="Times New Roman"/>
        </w:rPr>
      </w:pPr>
    </w:p>
    <w:p w:rsidR="00926DB2" w:rsidRDefault="00926DB2" w:rsidP="00A84EFB">
      <w:pPr>
        <w:spacing w:line="360" w:lineRule="auto"/>
        <w:ind w:left="720"/>
        <w:jc w:val="both"/>
        <w:rPr>
          <w:rFonts w:cs="Times New Roman"/>
        </w:rPr>
      </w:pPr>
    </w:p>
    <w:p w:rsidR="00926DB2" w:rsidRDefault="00926DB2" w:rsidP="00A84EFB">
      <w:pPr>
        <w:spacing w:line="360" w:lineRule="auto"/>
        <w:ind w:left="720"/>
        <w:jc w:val="both"/>
        <w:rPr>
          <w:rFonts w:cs="Times New Roman"/>
        </w:rPr>
      </w:pPr>
    </w:p>
    <w:p w:rsidR="00926DB2" w:rsidRDefault="00926DB2" w:rsidP="00A84EFB">
      <w:pPr>
        <w:spacing w:line="360" w:lineRule="auto"/>
        <w:ind w:left="720"/>
        <w:jc w:val="both"/>
        <w:rPr>
          <w:rFonts w:cs="Times New Roman"/>
        </w:rPr>
      </w:pPr>
    </w:p>
    <w:p w:rsidR="00926DB2" w:rsidRDefault="00926DB2" w:rsidP="007C7570">
      <w:pPr>
        <w:spacing w:line="360" w:lineRule="auto"/>
        <w:jc w:val="both"/>
        <w:rPr>
          <w:rFonts w:cs="Times New Roman"/>
        </w:rPr>
      </w:pPr>
    </w:p>
    <w:p w:rsidR="00926DB2" w:rsidRPr="00A84EFB" w:rsidRDefault="00926DB2" w:rsidP="00A84EFB">
      <w:pPr>
        <w:spacing w:line="360" w:lineRule="auto"/>
        <w:ind w:left="720"/>
        <w:jc w:val="both"/>
        <w:rPr>
          <w:rFonts w:cs="Times New Roman"/>
        </w:rPr>
      </w:pPr>
      <w:r w:rsidRPr="0089232E">
        <w:rPr>
          <w:rFonts w:cs="Times New Roman"/>
          <w:b/>
          <w:u w:val="single"/>
        </w:rPr>
        <w:lastRenderedPageBreak/>
        <w:t>Table 2.</w:t>
      </w:r>
      <w:r w:rsidRPr="0089232E">
        <w:rPr>
          <w:rFonts w:cs="Times New Roman"/>
          <w:u w:val="single"/>
        </w:rPr>
        <w:t xml:space="preserve"> Risk types of assets</w:t>
      </w:r>
    </w:p>
    <w:p w:rsidR="00926DB2" w:rsidRDefault="00926DB2" w:rsidP="00046654">
      <w:pPr>
        <w:spacing w:line="360" w:lineRule="auto"/>
        <w:jc w:val="both"/>
        <w:rPr>
          <w:rFonts w:cs="Times New Roman"/>
        </w:rPr>
      </w:pPr>
    </w:p>
    <w:tbl>
      <w:tblPr>
        <w:tblpPr w:leftFromText="141" w:rightFromText="141" w:vertAnchor="page" w:horzAnchor="margin" w:tblpXSpec="center" w:tblpY="2266"/>
        <w:tblW w:w="0" w:type="auto"/>
        <w:tblBorders>
          <w:top w:val="single" w:sz="8" w:space="0" w:color="000000"/>
          <w:bottom w:val="single" w:sz="8" w:space="0" w:color="000000"/>
        </w:tblBorders>
        <w:tblLook w:val="00A0"/>
      </w:tblPr>
      <w:tblGrid>
        <w:gridCol w:w="1842"/>
        <w:gridCol w:w="1842"/>
        <w:gridCol w:w="1842"/>
      </w:tblGrid>
      <w:tr w:rsidR="007C7570" w:rsidTr="007C7570">
        <w:tc>
          <w:tcPr>
            <w:tcW w:w="1842" w:type="dxa"/>
            <w:tcBorders>
              <w:top w:val="single" w:sz="8" w:space="0" w:color="000000"/>
              <w:left w:val="nil"/>
              <w:bottom w:val="single" w:sz="8" w:space="0" w:color="000000"/>
              <w:right w:val="nil"/>
            </w:tcBorders>
          </w:tcPr>
          <w:p w:rsidR="007C7570" w:rsidRPr="00E956E6" w:rsidRDefault="007C7570" w:rsidP="007C7570">
            <w:pPr>
              <w:tabs>
                <w:tab w:val="left" w:pos="851"/>
              </w:tabs>
              <w:spacing w:line="360" w:lineRule="auto"/>
              <w:ind w:right="350"/>
              <w:jc w:val="both"/>
              <w:rPr>
                <w:rFonts w:cs="Times New Roman"/>
                <w:b/>
                <w:bCs/>
                <w:color w:val="000000"/>
              </w:rPr>
            </w:pPr>
            <w:r w:rsidRPr="00E956E6">
              <w:rPr>
                <w:rFonts w:cs="Times New Roman"/>
                <w:b/>
                <w:bCs/>
                <w:color w:val="000000"/>
                <w:sz w:val="22"/>
                <w:szCs w:val="22"/>
              </w:rPr>
              <w:t>Risk type</w:t>
            </w:r>
          </w:p>
        </w:tc>
        <w:tc>
          <w:tcPr>
            <w:tcW w:w="1842" w:type="dxa"/>
            <w:tcBorders>
              <w:top w:val="single" w:sz="8" w:space="0" w:color="000000"/>
              <w:left w:val="nil"/>
              <w:bottom w:val="single" w:sz="8" w:space="0" w:color="000000"/>
              <w:right w:val="nil"/>
            </w:tcBorders>
          </w:tcPr>
          <w:p w:rsidR="007C7570" w:rsidRPr="00E956E6" w:rsidRDefault="007C7570" w:rsidP="007C7570">
            <w:pPr>
              <w:spacing w:line="360" w:lineRule="auto"/>
              <w:jc w:val="both"/>
              <w:rPr>
                <w:rFonts w:cs="Times New Roman"/>
                <w:b/>
                <w:bCs/>
                <w:color w:val="000000"/>
              </w:rPr>
            </w:pPr>
            <w:r w:rsidRPr="00E956E6">
              <w:rPr>
                <w:rFonts w:cs="Times New Roman"/>
                <w:b/>
                <w:bCs/>
                <w:color w:val="000000"/>
                <w:sz w:val="22"/>
                <w:szCs w:val="22"/>
              </w:rPr>
              <w:t>Percentage risk assets</w:t>
            </w:r>
          </w:p>
        </w:tc>
        <w:tc>
          <w:tcPr>
            <w:tcW w:w="1842" w:type="dxa"/>
            <w:tcBorders>
              <w:top w:val="single" w:sz="8" w:space="0" w:color="000000"/>
              <w:left w:val="nil"/>
              <w:bottom w:val="single" w:sz="8" w:space="0" w:color="000000"/>
              <w:right w:val="nil"/>
            </w:tcBorders>
          </w:tcPr>
          <w:p w:rsidR="007C7570" w:rsidRPr="00E956E6" w:rsidRDefault="007C7570" w:rsidP="007C7570">
            <w:pPr>
              <w:spacing w:line="360" w:lineRule="auto"/>
              <w:jc w:val="both"/>
              <w:rPr>
                <w:rFonts w:cs="Times New Roman"/>
                <w:b/>
                <w:bCs/>
                <w:color w:val="000000"/>
              </w:rPr>
            </w:pPr>
            <w:r w:rsidRPr="00E956E6">
              <w:rPr>
                <w:rFonts w:cs="Times New Roman"/>
                <w:b/>
                <w:bCs/>
                <w:color w:val="000000"/>
                <w:sz w:val="22"/>
                <w:szCs w:val="22"/>
              </w:rPr>
              <w:t xml:space="preserve">Example </w:t>
            </w:r>
          </w:p>
        </w:tc>
      </w:tr>
      <w:tr w:rsidR="007C7570" w:rsidTr="007C7570">
        <w:tc>
          <w:tcPr>
            <w:tcW w:w="1842" w:type="dxa"/>
            <w:tcBorders>
              <w:left w:val="nil"/>
              <w:right w:val="nil"/>
            </w:tcBorders>
            <w:shd w:val="clear" w:color="auto" w:fill="C0C0C0"/>
          </w:tcPr>
          <w:p w:rsidR="007C7570" w:rsidRPr="00E956E6" w:rsidRDefault="007C7570" w:rsidP="007C7570">
            <w:pPr>
              <w:spacing w:line="360" w:lineRule="auto"/>
              <w:jc w:val="both"/>
              <w:rPr>
                <w:rFonts w:cs="Times New Roman"/>
                <w:b/>
                <w:bCs/>
                <w:color w:val="000000"/>
              </w:rPr>
            </w:pPr>
            <w:r w:rsidRPr="00E956E6">
              <w:rPr>
                <w:rFonts w:cs="Times New Roman"/>
                <w:b/>
                <w:bCs/>
                <w:color w:val="000000"/>
                <w:sz w:val="22"/>
                <w:szCs w:val="22"/>
              </w:rPr>
              <w:t>1 Riskless</w:t>
            </w:r>
          </w:p>
        </w:tc>
        <w:tc>
          <w:tcPr>
            <w:tcW w:w="1842" w:type="dxa"/>
            <w:tcBorders>
              <w:left w:val="nil"/>
              <w:right w:val="nil"/>
            </w:tcBorders>
            <w:shd w:val="clear" w:color="auto" w:fill="C0C0C0"/>
          </w:tcPr>
          <w:p w:rsidR="007C7570" w:rsidRPr="00E956E6" w:rsidRDefault="007C7570" w:rsidP="007C7570">
            <w:pPr>
              <w:spacing w:line="360" w:lineRule="auto"/>
              <w:jc w:val="both"/>
              <w:rPr>
                <w:rFonts w:cs="Times New Roman"/>
                <w:color w:val="000000"/>
              </w:rPr>
            </w:pPr>
            <w:r w:rsidRPr="00E956E6">
              <w:rPr>
                <w:rFonts w:cs="Times New Roman"/>
                <w:color w:val="000000"/>
                <w:sz w:val="22"/>
                <w:szCs w:val="22"/>
              </w:rPr>
              <w:t>0 %</w:t>
            </w:r>
          </w:p>
        </w:tc>
        <w:tc>
          <w:tcPr>
            <w:tcW w:w="1842" w:type="dxa"/>
            <w:tcBorders>
              <w:left w:val="nil"/>
              <w:right w:val="nil"/>
            </w:tcBorders>
            <w:shd w:val="clear" w:color="auto" w:fill="C0C0C0"/>
          </w:tcPr>
          <w:p w:rsidR="007C7570" w:rsidRPr="00E956E6" w:rsidRDefault="007C7570" w:rsidP="007C7570">
            <w:pPr>
              <w:spacing w:line="360" w:lineRule="auto"/>
              <w:jc w:val="both"/>
              <w:rPr>
                <w:rFonts w:cs="Times New Roman"/>
                <w:color w:val="000000"/>
              </w:rPr>
            </w:pPr>
            <w:r w:rsidRPr="00E956E6">
              <w:rPr>
                <w:rFonts w:cs="Times New Roman"/>
                <w:color w:val="000000"/>
                <w:sz w:val="22"/>
                <w:szCs w:val="22"/>
              </w:rPr>
              <w:t>Bank cash</w:t>
            </w:r>
          </w:p>
        </w:tc>
      </w:tr>
      <w:tr w:rsidR="007C7570" w:rsidTr="007C7570">
        <w:tc>
          <w:tcPr>
            <w:tcW w:w="1842" w:type="dxa"/>
          </w:tcPr>
          <w:p w:rsidR="007C7570" w:rsidRPr="00E956E6" w:rsidRDefault="007C7570" w:rsidP="007C7570">
            <w:pPr>
              <w:spacing w:line="360" w:lineRule="auto"/>
              <w:jc w:val="both"/>
              <w:rPr>
                <w:rFonts w:cs="Times New Roman"/>
                <w:b/>
                <w:bCs/>
                <w:color w:val="000000"/>
              </w:rPr>
            </w:pPr>
            <w:r w:rsidRPr="00E956E6">
              <w:rPr>
                <w:rFonts w:cs="Times New Roman"/>
                <w:b/>
                <w:bCs/>
                <w:color w:val="000000"/>
                <w:sz w:val="22"/>
                <w:szCs w:val="22"/>
              </w:rPr>
              <w:t>2 Low risk</w:t>
            </w:r>
          </w:p>
        </w:tc>
        <w:tc>
          <w:tcPr>
            <w:tcW w:w="1842" w:type="dxa"/>
          </w:tcPr>
          <w:p w:rsidR="007C7570" w:rsidRPr="00E956E6" w:rsidRDefault="007C7570" w:rsidP="007C7570">
            <w:pPr>
              <w:spacing w:line="360" w:lineRule="auto"/>
              <w:jc w:val="both"/>
              <w:rPr>
                <w:rFonts w:cs="Times New Roman"/>
                <w:color w:val="000000"/>
              </w:rPr>
            </w:pPr>
            <w:r w:rsidRPr="00E956E6">
              <w:rPr>
                <w:rFonts w:cs="Times New Roman"/>
                <w:color w:val="000000"/>
                <w:sz w:val="22"/>
                <w:szCs w:val="22"/>
              </w:rPr>
              <w:t>20 %</w:t>
            </w:r>
          </w:p>
        </w:tc>
        <w:tc>
          <w:tcPr>
            <w:tcW w:w="1842" w:type="dxa"/>
          </w:tcPr>
          <w:p w:rsidR="007C7570" w:rsidRPr="00E956E6" w:rsidRDefault="007C7570" w:rsidP="007C7570">
            <w:pPr>
              <w:spacing w:line="360" w:lineRule="auto"/>
              <w:jc w:val="both"/>
              <w:rPr>
                <w:rFonts w:cs="Times New Roman"/>
                <w:color w:val="000000"/>
              </w:rPr>
            </w:pPr>
            <w:r w:rsidRPr="00E956E6">
              <w:rPr>
                <w:rFonts w:cs="Times New Roman"/>
                <w:color w:val="000000"/>
                <w:sz w:val="22"/>
                <w:szCs w:val="22"/>
              </w:rPr>
              <w:t>Non-OECD bank debt &lt; 1yr</w:t>
            </w:r>
          </w:p>
        </w:tc>
      </w:tr>
      <w:tr w:rsidR="007C7570" w:rsidTr="007C7570">
        <w:tc>
          <w:tcPr>
            <w:tcW w:w="1842" w:type="dxa"/>
            <w:tcBorders>
              <w:left w:val="nil"/>
              <w:right w:val="nil"/>
            </w:tcBorders>
            <w:shd w:val="clear" w:color="auto" w:fill="C0C0C0"/>
          </w:tcPr>
          <w:p w:rsidR="007C7570" w:rsidRPr="00E956E6" w:rsidRDefault="007C7570" w:rsidP="007C7570">
            <w:pPr>
              <w:spacing w:line="360" w:lineRule="auto"/>
              <w:jc w:val="both"/>
              <w:rPr>
                <w:rFonts w:cs="Times New Roman"/>
                <w:b/>
                <w:bCs/>
                <w:color w:val="000000"/>
              </w:rPr>
            </w:pPr>
            <w:r w:rsidRPr="00E956E6">
              <w:rPr>
                <w:rFonts w:cs="Times New Roman"/>
                <w:b/>
                <w:bCs/>
                <w:color w:val="000000"/>
                <w:sz w:val="22"/>
                <w:szCs w:val="22"/>
              </w:rPr>
              <w:t>3 Moderate risk</w:t>
            </w:r>
          </w:p>
        </w:tc>
        <w:tc>
          <w:tcPr>
            <w:tcW w:w="1842" w:type="dxa"/>
            <w:tcBorders>
              <w:left w:val="nil"/>
              <w:right w:val="nil"/>
            </w:tcBorders>
            <w:shd w:val="clear" w:color="auto" w:fill="C0C0C0"/>
          </w:tcPr>
          <w:p w:rsidR="007C7570" w:rsidRPr="00E956E6" w:rsidRDefault="007C7570" w:rsidP="007C7570">
            <w:pPr>
              <w:spacing w:line="360" w:lineRule="auto"/>
              <w:jc w:val="both"/>
              <w:rPr>
                <w:rFonts w:cs="Times New Roman"/>
                <w:color w:val="000000"/>
              </w:rPr>
            </w:pPr>
            <w:r w:rsidRPr="00E956E6">
              <w:rPr>
                <w:rFonts w:cs="Times New Roman"/>
                <w:color w:val="000000"/>
                <w:sz w:val="22"/>
                <w:szCs w:val="22"/>
              </w:rPr>
              <w:t>50 %</w:t>
            </w:r>
          </w:p>
        </w:tc>
        <w:tc>
          <w:tcPr>
            <w:tcW w:w="1842" w:type="dxa"/>
            <w:tcBorders>
              <w:left w:val="nil"/>
              <w:right w:val="nil"/>
            </w:tcBorders>
            <w:shd w:val="clear" w:color="auto" w:fill="C0C0C0"/>
          </w:tcPr>
          <w:p w:rsidR="007C7570" w:rsidRPr="00E956E6" w:rsidRDefault="007C7570" w:rsidP="007C7570">
            <w:pPr>
              <w:spacing w:line="360" w:lineRule="auto"/>
              <w:jc w:val="both"/>
              <w:rPr>
                <w:rFonts w:cs="Times New Roman"/>
                <w:color w:val="000000"/>
              </w:rPr>
            </w:pPr>
            <w:r w:rsidRPr="00E956E6">
              <w:rPr>
                <w:rFonts w:cs="Times New Roman"/>
                <w:color w:val="000000"/>
                <w:sz w:val="22"/>
                <w:szCs w:val="22"/>
              </w:rPr>
              <w:t>Residential mortgages</w:t>
            </w:r>
          </w:p>
        </w:tc>
      </w:tr>
      <w:tr w:rsidR="007C7570" w:rsidTr="007C7570">
        <w:tc>
          <w:tcPr>
            <w:tcW w:w="1842" w:type="dxa"/>
          </w:tcPr>
          <w:p w:rsidR="007C7570" w:rsidRPr="00E956E6" w:rsidRDefault="007C7570" w:rsidP="007C7570">
            <w:pPr>
              <w:spacing w:line="360" w:lineRule="auto"/>
              <w:jc w:val="both"/>
              <w:rPr>
                <w:rFonts w:cs="Times New Roman"/>
                <w:b/>
                <w:bCs/>
                <w:color w:val="000000"/>
              </w:rPr>
            </w:pPr>
            <w:r w:rsidRPr="00E956E6">
              <w:rPr>
                <w:rFonts w:cs="Times New Roman"/>
                <w:b/>
                <w:bCs/>
                <w:color w:val="000000"/>
                <w:sz w:val="22"/>
                <w:szCs w:val="22"/>
              </w:rPr>
              <w:t>4 High risk</w:t>
            </w:r>
          </w:p>
        </w:tc>
        <w:tc>
          <w:tcPr>
            <w:tcW w:w="1842" w:type="dxa"/>
          </w:tcPr>
          <w:p w:rsidR="007C7570" w:rsidRPr="00E956E6" w:rsidRDefault="007C7570" w:rsidP="007C7570">
            <w:pPr>
              <w:spacing w:line="360" w:lineRule="auto"/>
              <w:jc w:val="both"/>
              <w:rPr>
                <w:rFonts w:cs="Times New Roman"/>
                <w:color w:val="000000"/>
              </w:rPr>
            </w:pPr>
            <w:r w:rsidRPr="00E956E6">
              <w:rPr>
                <w:rFonts w:cs="Times New Roman"/>
                <w:color w:val="000000"/>
                <w:sz w:val="22"/>
                <w:szCs w:val="22"/>
              </w:rPr>
              <w:t>100 %</w:t>
            </w:r>
          </w:p>
        </w:tc>
        <w:tc>
          <w:tcPr>
            <w:tcW w:w="1842" w:type="dxa"/>
          </w:tcPr>
          <w:p w:rsidR="007C7570" w:rsidRPr="00E956E6" w:rsidRDefault="007C7570" w:rsidP="007C7570">
            <w:pPr>
              <w:spacing w:line="360" w:lineRule="auto"/>
              <w:jc w:val="both"/>
              <w:rPr>
                <w:rFonts w:cs="Times New Roman"/>
                <w:color w:val="000000"/>
              </w:rPr>
            </w:pPr>
            <w:r w:rsidRPr="00E956E6">
              <w:rPr>
                <w:rFonts w:cs="Times New Roman"/>
                <w:color w:val="000000"/>
                <w:sz w:val="22"/>
                <w:szCs w:val="22"/>
              </w:rPr>
              <w:t>Non-OECD bank debt &gt;1yr</w:t>
            </w:r>
          </w:p>
        </w:tc>
      </w:tr>
      <w:tr w:rsidR="007C7570" w:rsidTr="007C7570">
        <w:tc>
          <w:tcPr>
            <w:tcW w:w="1842" w:type="dxa"/>
            <w:tcBorders>
              <w:left w:val="nil"/>
              <w:bottom w:val="single" w:sz="8" w:space="0" w:color="000000"/>
              <w:right w:val="nil"/>
            </w:tcBorders>
            <w:shd w:val="clear" w:color="auto" w:fill="C0C0C0"/>
          </w:tcPr>
          <w:p w:rsidR="007C7570" w:rsidRPr="00E956E6" w:rsidRDefault="007C7570" w:rsidP="007C7570">
            <w:pPr>
              <w:spacing w:line="360" w:lineRule="auto"/>
              <w:jc w:val="both"/>
              <w:rPr>
                <w:rFonts w:cs="Times New Roman"/>
                <w:b/>
                <w:bCs/>
                <w:color w:val="000000"/>
              </w:rPr>
            </w:pPr>
            <w:r w:rsidRPr="00E956E6">
              <w:rPr>
                <w:rFonts w:cs="Times New Roman"/>
                <w:b/>
                <w:bCs/>
                <w:color w:val="000000"/>
                <w:sz w:val="22"/>
                <w:szCs w:val="22"/>
              </w:rPr>
              <w:t>5 Variable risk</w:t>
            </w:r>
          </w:p>
        </w:tc>
        <w:tc>
          <w:tcPr>
            <w:tcW w:w="1842" w:type="dxa"/>
            <w:tcBorders>
              <w:left w:val="nil"/>
              <w:bottom w:val="single" w:sz="8" w:space="0" w:color="000000"/>
              <w:right w:val="nil"/>
            </w:tcBorders>
            <w:shd w:val="clear" w:color="auto" w:fill="C0C0C0"/>
          </w:tcPr>
          <w:p w:rsidR="007C7570" w:rsidRPr="00E956E6" w:rsidRDefault="007C7570" w:rsidP="007C7570">
            <w:pPr>
              <w:spacing w:line="360" w:lineRule="auto"/>
              <w:jc w:val="both"/>
              <w:rPr>
                <w:rFonts w:cs="Times New Roman"/>
                <w:color w:val="000000"/>
              </w:rPr>
            </w:pPr>
            <w:r w:rsidRPr="00E956E6">
              <w:rPr>
                <w:rFonts w:cs="Times New Roman"/>
                <w:color w:val="000000"/>
                <w:sz w:val="22"/>
                <w:szCs w:val="22"/>
              </w:rPr>
              <w:t>Variable 0, 10, 20 or 50%</w:t>
            </w:r>
          </w:p>
        </w:tc>
        <w:tc>
          <w:tcPr>
            <w:tcW w:w="1842" w:type="dxa"/>
            <w:tcBorders>
              <w:left w:val="nil"/>
              <w:bottom w:val="single" w:sz="8" w:space="0" w:color="000000"/>
              <w:right w:val="nil"/>
            </w:tcBorders>
            <w:shd w:val="clear" w:color="auto" w:fill="C0C0C0"/>
          </w:tcPr>
          <w:p w:rsidR="007C7570" w:rsidRPr="00E956E6" w:rsidRDefault="007C7570" w:rsidP="007C7570">
            <w:pPr>
              <w:spacing w:line="360" w:lineRule="auto"/>
              <w:jc w:val="both"/>
              <w:rPr>
                <w:rFonts w:cs="Times New Roman"/>
                <w:color w:val="000000"/>
              </w:rPr>
            </w:pPr>
            <w:r w:rsidRPr="00E956E6">
              <w:rPr>
                <w:rFonts w:cs="Times New Roman"/>
                <w:color w:val="000000"/>
                <w:sz w:val="22"/>
                <w:szCs w:val="22"/>
              </w:rPr>
              <w:t>Claims on domestic public entities</w:t>
            </w:r>
          </w:p>
        </w:tc>
      </w:tr>
    </w:tbl>
    <w:p w:rsidR="00926DB2" w:rsidRDefault="00926DB2" w:rsidP="00046654">
      <w:pPr>
        <w:spacing w:line="360" w:lineRule="auto"/>
        <w:jc w:val="both"/>
        <w:rPr>
          <w:rFonts w:cs="Times New Roman"/>
        </w:rPr>
      </w:pPr>
    </w:p>
    <w:p w:rsidR="00926DB2" w:rsidRDefault="00926DB2" w:rsidP="00D408B7">
      <w:pPr>
        <w:spacing w:line="360" w:lineRule="auto"/>
        <w:jc w:val="both"/>
      </w:pPr>
      <w:r>
        <w:rPr>
          <w:rFonts w:cs="Times New Roman"/>
        </w:rPr>
        <w:t xml:space="preserve"> </w:t>
      </w:r>
      <w:r>
        <w:t xml:space="preserve"> </w:t>
      </w:r>
    </w:p>
    <w:p w:rsidR="00926DB2" w:rsidRDefault="00926DB2" w:rsidP="00D408B7">
      <w:pPr>
        <w:spacing w:line="360" w:lineRule="auto"/>
        <w:ind w:left="360"/>
        <w:jc w:val="both"/>
      </w:pPr>
    </w:p>
    <w:p w:rsidR="00926DB2" w:rsidRDefault="00926DB2" w:rsidP="00D408B7">
      <w:pPr>
        <w:spacing w:line="360" w:lineRule="auto"/>
        <w:ind w:left="360"/>
        <w:jc w:val="both"/>
      </w:pPr>
    </w:p>
    <w:p w:rsidR="00926DB2" w:rsidRDefault="00926DB2" w:rsidP="00D408B7">
      <w:pPr>
        <w:spacing w:line="360" w:lineRule="auto"/>
        <w:ind w:left="360"/>
        <w:jc w:val="both"/>
      </w:pPr>
    </w:p>
    <w:p w:rsidR="00926DB2" w:rsidRDefault="00926DB2" w:rsidP="00D408B7">
      <w:pPr>
        <w:spacing w:line="360" w:lineRule="auto"/>
        <w:ind w:left="360"/>
        <w:jc w:val="both"/>
      </w:pPr>
    </w:p>
    <w:p w:rsidR="00926DB2" w:rsidRDefault="00926DB2" w:rsidP="00D408B7">
      <w:pPr>
        <w:spacing w:line="360" w:lineRule="auto"/>
        <w:ind w:left="360"/>
        <w:jc w:val="both"/>
      </w:pPr>
    </w:p>
    <w:p w:rsidR="00926DB2" w:rsidRDefault="00926DB2" w:rsidP="00D408B7">
      <w:pPr>
        <w:spacing w:line="360" w:lineRule="auto"/>
        <w:ind w:left="360"/>
        <w:jc w:val="both"/>
      </w:pPr>
    </w:p>
    <w:p w:rsidR="00926DB2" w:rsidRDefault="00926DB2" w:rsidP="00D408B7">
      <w:pPr>
        <w:spacing w:line="360" w:lineRule="auto"/>
        <w:ind w:left="360"/>
        <w:jc w:val="both"/>
      </w:pPr>
    </w:p>
    <w:p w:rsidR="00926DB2" w:rsidRDefault="00926DB2" w:rsidP="00D408B7">
      <w:pPr>
        <w:spacing w:line="360" w:lineRule="auto"/>
        <w:ind w:left="360"/>
        <w:jc w:val="both"/>
      </w:pPr>
    </w:p>
    <w:p w:rsidR="00926DB2" w:rsidRDefault="00926DB2" w:rsidP="00D408B7">
      <w:pPr>
        <w:spacing w:line="360" w:lineRule="auto"/>
        <w:jc w:val="both"/>
      </w:pPr>
    </w:p>
    <w:p w:rsidR="00926DB2" w:rsidRDefault="00926DB2" w:rsidP="00D408B7">
      <w:pPr>
        <w:spacing w:line="360" w:lineRule="auto"/>
        <w:jc w:val="both"/>
      </w:pPr>
    </w:p>
    <w:p w:rsidR="00926DB2" w:rsidRDefault="00926DB2" w:rsidP="00D408B7">
      <w:pPr>
        <w:spacing w:line="360" w:lineRule="auto"/>
        <w:jc w:val="both"/>
      </w:pPr>
    </w:p>
    <w:p w:rsidR="00926DB2" w:rsidRDefault="00926DB2" w:rsidP="00BA0A98">
      <w:pPr>
        <w:numPr>
          <w:ilvl w:val="0"/>
          <w:numId w:val="12"/>
        </w:numPr>
        <w:spacing w:line="360" w:lineRule="auto"/>
        <w:jc w:val="both"/>
      </w:pPr>
      <w:r>
        <w:t xml:space="preserve">The Target Standard Ratio; this pillar converges the first two pillars of the Basle Accords. It provides a general rule whereby 8% of the risk-weighted assets of the bank must be assured by the capital reserves in Tier 1 and 2 (Basle Capital Accord 2003). </w:t>
      </w:r>
    </w:p>
    <w:p w:rsidR="00926DB2" w:rsidRDefault="00926DB2" w:rsidP="00046654">
      <w:pPr>
        <w:spacing w:line="360" w:lineRule="auto"/>
        <w:jc w:val="both"/>
      </w:pPr>
    </w:p>
    <w:p w:rsidR="00926DB2" w:rsidRPr="00A84EFB" w:rsidRDefault="00926DB2" w:rsidP="00A84EFB">
      <w:pPr>
        <w:numPr>
          <w:ilvl w:val="0"/>
          <w:numId w:val="13"/>
        </w:numPr>
        <w:spacing w:line="360" w:lineRule="auto"/>
        <w:jc w:val="both"/>
      </w:pPr>
      <w:r>
        <w:t>The Transitional and Implementing Agreements; this could be seen as an inspection and control system to assure perseverance of the Basle Accord (B. Balin 2008).</w:t>
      </w:r>
    </w:p>
    <w:p w:rsidR="00926DB2" w:rsidRPr="00A84EFB" w:rsidRDefault="00926DB2" w:rsidP="00A84EFB">
      <w:pPr>
        <w:pStyle w:val="Kop3"/>
        <w:rPr>
          <w:rFonts w:ascii="Times New Roman" w:hAnsi="Times New Roman" w:cs="Times New Roman"/>
          <w:b w:val="0"/>
          <w:bCs w:val="0"/>
          <w:i/>
          <w:iCs/>
          <w:color w:val="auto"/>
        </w:rPr>
      </w:pPr>
      <w:bookmarkStart w:id="67" w:name="_Toc268186027"/>
      <w:r w:rsidRPr="00A84EFB">
        <w:rPr>
          <w:rFonts w:ascii="Times New Roman" w:hAnsi="Times New Roman" w:cs="Times New Roman"/>
          <w:b w:val="0"/>
          <w:bCs w:val="0"/>
          <w:i/>
          <w:iCs/>
          <w:color w:val="auto"/>
        </w:rPr>
        <w:t>2.2.2 Basle Accord ІІ</w:t>
      </w:r>
      <w:bookmarkEnd w:id="67"/>
    </w:p>
    <w:p w:rsidR="00926DB2" w:rsidRDefault="00926DB2" w:rsidP="00046654">
      <w:pPr>
        <w:spacing w:line="360" w:lineRule="auto"/>
        <w:jc w:val="both"/>
        <w:rPr>
          <w:rFonts w:cs="Times New Roman"/>
          <w:i/>
        </w:rPr>
      </w:pPr>
    </w:p>
    <w:p w:rsidR="00926DB2" w:rsidRDefault="00926DB2" w:rsidP="00046654">
      <w:pPr>
        <w:spacing w:line="360" w:lineRule="auto"/>
        <w:jc w:val="both"/>
        <w:rPr>
          <w:rFonts w:cs="Times New Roman"/>
        </w:rPr>
      </w:pPr>
      <w:r>
        <w:rPr>
          <w:rFonts w:cs="Times New Roman"/>
        </w:rPr>
        <w:t>Because of the rapidly changing and dynamic economy the Basle Committee introduced a more</w:t>
      </w:r>
      <w:r w:rsidR="006B00A5">
        <w:rPr>
          <w:rFonts w:cs="Times New Roman"/>
        </w:rPr>
        <w:t xml:space="preserve"> broad agreement. This agreement</w:t>
      </w:r>
      <w:r>
        <w:rPr>
          <w:rFonts w:cs="Times New Roman"/>
        </w:rPr>
        <w:t xml:space="preserve"> is known as Basle </w:t>
      </w:r>
      <w:r w:rsidRPr="002B5967">
        <w:rPr>
          <w:rFonts w:cs="Times New Roman"/>
        </w:rPr>
        <w:t>ІІ</w:t>
      </w:r>
      <w:r>
        <w:rPr>
          <w:rFonts w:cs="Times New Roman"/>
        </w:rPr>
        <w:t xml:space="preserve"> (Capital Basle Accord 2005). The second Basle accord enlarges the reach, technicality and profundity of Basle І. The original frame and pillars of the Basle І accord are strongly enlarged and broadened to cover new positions to credit risk, operational, and interest risk, and include market control (B. Balin 2008).</w:t>
      </w:r>
    </w:p>
    <w:p w:rsidR="00926DB2" w:rsidRDefault="00926DB2" w:rsidP="00046654">
      <w:pPr>
        <w:spacing w:line="360" w:lineRule="auto"/>
        <w:jc w:val="both"/>
        <w:rPr>
          <w:rFonts w:cs="Times New Roman"/>
        </w:rPr>
      </w:pPr>
    </w:p>
    <w:p w:rsidR="00926DB2" w:rsidRDefault="00926DB2" w:rsidP="00A84EFB">
      <w:pPr>
        <w:spacing w:line="360" w:lineRule="auto"/>
        <w:jc w:val="both"/>
        <w:rPr>
          <w:rFonts w:cs="Times New Roman"/>
        </w:rPr>
      </w:pPr>
      <w:r>
        <w:rPr>
          <w:rFonts w:cs="Times New Roman"/>
        </w:rPr>
        <w:t xml:space="preserve">The significant and complex improvements in Basle </w:t>
      </w:r>
      <w:r w:rsidRPr="002B5967">
        <w:rPr>
          <w:rFonts w:cs="Times New Roman"/>
        </w:rPr>
        <w:t>ІІ</w:t>
      </w:r>
      <w:r w:rsidR="00BC1A5F">
        <w:rPr>
          <w:rFonts w:cs="Times New Roman"/>
        </w:rPr>
        <w:t xml:space="preserve"> are in the first pillar:</w:t>
      </w:r>
      <w:r>
        <w:rPr>
          <w:rFonts w:cs="Times New Roman"/>
        </w:rPr>
        <w:t xml:space="preserve"> </w:t>
      </w:r>
      <w:r w:rsidRPr="00970800">
        <w:rPr>
          <w:rFonts w:cs="Times New Roman"/>
          <w:i/>
        </w:rPr>
        <w:t>Minimal Capital Requirements</w:t>
      </w:r>
      <w:r>
        <w:rPr>
          <w:rFonts w:cs="Times New Roman"/>
          <w:i/>
        </w:rPr>
        <w:t>.</w:t>
      </w:r>
      <w:r>
        <w:rPr>
          <w:rFonts w:cs="Times New Roman"/>
        </w:rPr>
        <w:t xml:space="preserve"> Basle </w:t>
      </w:r>
      <w:r w:rsidRPr="002B5967">
        <w:rPr>
          <w:rFonts w:cs="Times New Roman"/>
        </w:rPr>
        <w:t>ІІ</w:t>
      </w:r>
      <w:r>
        <w:rPr>
          <w:rFonts w:cs="Times New Roman"/>
        </w:rPr>
        <w:t xml:space="preserve"> introduces a more detailed way of measuring risk in the bank’s assets. Also Basle </w:t>
      </w:r>
      <w:r w:rsidRPr="002B5967">
        <w:rPr>
          <w:rFonts w:cs="Times New Roman"/>
        </w:rPr>
        <w:t>ІІ</w:t>
      </w:r>
      <w:r>
        <w:rPr>
          <w:rFonts w:cs="Times New Roman"/>
        </w:rPr>
        <w:t xml:space="preserve"> attempts to mitigate the flaws in Basle І concerning bank’s increasing risk while falsely displaying minimum capital requirements (Basle Capital Accord 2005).</w:t>
      </w:r>
    </w:p>
    <w:p w:rsidR="00926DB2" w:rsidRDefault="00926DB2" w:rsidP="00046654">
      <w:pPr>
        <w:spacing w:line="360" w:lineRule="auto"/>
        <w:jc w:val="both"/>
        <w:rPr>
          <w:rFonts w:cs="Times New Roman"/>
        </w:rPr>
      </w:pPr>
      <w:r>
        <w:rPr>
          <w:rFonts w:cs="Times New Roman"/>
        </w:rPr>
        <w:lastRenderedPageBreak/>
        <w:t xml:space="preserve">There are three methods to classify the risk in the bank’s </w:t>
      </w:r>
      <w:r w:rsidR="00810E7C">
        <w:rPr>
          <w:rFonts w:cs="Times New Roman"/>
        </w:rPr>
        <w:t>assets;</w:t>
      </w:r>
      <w:r>
        <w:rPr>
          <w:rFonts w:cs="Times New Roman"/>
        </w:rPr>
        <w:t xml:space="preserve"> these will be shown in the table 3 below:</w:t>
      </w:r>
    </w:p>
    <w:p w:rsidR="00926DB2" w:rsidRDefault="00926DB2" w:rsidP="00046654">
      <w:pPr>
        <w:spacing w:line="360" w:lineRule="auto"/>
        <w:jc w:val="both"/>
        <w:rPr>
          <w:rFonts w:cs="Times New Roman"/>
        </w:rPr>
      </w:pPr>
    </w:p>
    <w:p w:rsidR="00926DB2" w:rsidRPr="0089232E" w:rsidRDefault="00926DB2" w:rsidP="00AE17B7">
      <w:pPr>
        <w:spacing w:line="360" w:lineRule="auto"/>
        <w:jc w:val="both"/>
        <w:rPr>
          <w:rFonts w:cs="Times New Roman"/>
          <w:u w:val="single"/>
        </w:rPr>
      </w:pPr>
      <w:r w:rsidRPr="0089232E">
        <w:rPr>
          <w:rFonts w:cs="Times New Roman"/>
          <w:b/>
          <w:u w:val="single"/>
        </w:rPr>
        <w:t>Table 3.</w:t>
      </w:r>
      <w:r w:rsidRPr="0089232E">
        <w:rPr>
          <w:rFonts w:cs="Times New Roman"/>
          <w:u w:val="single"/>
        </w:rPr>
        <w:t xml:space="preserve"> Standardized approach</w:t>
      </w:r>
    </w:p>
    <w:p w:rsidR="00926DB2" w:rsidRPr="00970800" w:rsidRDefault="00926DB2" w:rsidP="00046654">
      <w:pPr>
        <w:spacing w:line="360" w:lineRule="auto"/>
        <w:jc w:val="center"/>
        <w:rPr>
          <w:rFonts w:cs="Times New Roman"/>
        </w:rPr>
      </w:pPr>
    </w:p>
    <w:tbl>
      <w:tblPr>
        <w:tblW w:w="0" w:type="auto"/>
        <w:jc w:val="center"/>
        <w:tblBorders>
          <w:top w:val="single" w:sz="8" w:space="0" w:color="000000"/>
          <w:bottom w:val="single" w:sz="8" w:space="0" w:color="000000"/>
        </w:tblBorders>
        <w:tblLook w:val="00A0"/>
      </w:tblPr>
      <w:tblGrid>
        <w:gridCol w:w="1535"/>
        <w:gridCol w:w="1535"/>
        <w:gridCol w:w="1535"/>
        <w:gridCol w:w="1535"/>
        <w:gridCol w:w="1535"/>
        <w:gridCol w:w="1535"/>
      </w:tblGrid>
      <w:tr w:rsidR="00926DB2" w:rsidTr="00AE17B7">
        <w:trPr>
          <w:trHeight w:val="1560"/>
          <w:jc w:val="center"/>
        </w:trPr>
        <w:tc>
          <w:tcPr>
            <w:tcW w:w="1535" w:type="dxa"/>
            <w:tcBorders>
              <w:top w:val="single" w:sz="8" w:space="0" w:color="000000"/>
              <w:left w:val="nil"/>
              <w:bottom w:val="single" w:sz="8" w:space="0" w:color="000000"/>
              <w:right w:val="nil"/>
            </w:tcBorders>
          </w:tcPr>
          <w:p w:rsidR="00926DB2" w:rsidRPr="00E956E6" w:rsidRDefault="00926DB2" w:rsidP="00046654">
            <w:pPr>
              <w:spacing w:line="360" w:lineRule="auto"/>
              <w:jc w:val="center"/>
              <w:rPr>
                <w:rFonts w:cs="Times New Roman"/>
                <w:b/>
                <w:bCs/>
                <w:color w:val="000000"/>
              </w:rPr>
            </w:pPr>
            <w:r w:rsidRPr="00E956E6">
              <w:rPr>
                <w:rFonts w:cs="Times New Roman"/>
                <w:bCs/>
                <w:color w:val="000000"/>
                <w:sz w:val="22"/>
                <w:szCs w:val="22"/>
              </w:rPr>
              <w:t>Rating of debt by authorized rating institution</w:t>
            </w:r>
          </w:p>
        </w:tc>
        <w:tc>
          <w:tcPr>
            <w:tcW w:w="1535" w:type="dxa"/>
            <w:tcBorders>
              <w:top w:val="single" w:sz="8" w:space="0" w:color="000000"/>
              <w:left w:val="nil"/>
              <w:bottom w:val="single" w:sz="8" w:space="0" w:color="000000"/>
              <w:right w:val="nil"/>
            </w:tcBorders>
          </w:tcPr>
          <w:p w:rsidR="00926DB2" w:rsidRPr="00E956E6" w:rsidRDefault="00926DB2" w:rsidP="00046654">
            <w:pPr>
              <w:spacing w:line="360" w:lineRule="auto"/>
              <w:jc w:val="center"/>
              <w:rPr>
                <w:rFonts w:cs="Times New Roman"/>
                <w:b/>
                <w:bCs/>
                <w:color w:val="000000"/>
              </w:rPr>
            </w:pPr>
            <w:r w:rsidRPr="00E956E6">
              <w:rPr>
                <w:rFonts w:cs="Times New Roman"/>
                <w:bCs/>
                <w:color w:val="000000"/>
                <w:sz w:val="22"/>
                <w:szCs w:val="22"/>
              </w:rPr>
              <w:t>AAA till AAA-</w:t>
            </w:r>
          </w:p>
        </w:tc>
        <w:tc>
          <w:tcPr>
            <w:tcW w:w="1535" w:type="dxa"/>
            <w:tcBorders>
              <w:top w:val="single" w:sz="8" w:space="0" w:color="000000"/>
              <w:left w:val="nil"/>
              <w:bottom w:val="single" w:sz="8" w:space="0" w:color="000000"/>
              <w:right w:val="nil"/>
            </w:tcBorders>
          </w:tcPr>
          <w:p w:rsidR="00926DB2" w:rsidRPr="00E956E6" w:rsidRDefault="00926DB2" w:rsidP="00046654">
            <w:pPr>
              <w:spacing w:line="360" w:lineRule="auto"/>
              <w:jc w:val="center"/>
              <w:rPr>
                <w:rFonts w:cs="Times New Roman"/>
                <w:b/>
                <w:bCs/>
                <w:color w:val="000000"/>
              </w:rPr>
            </w:pPr>
            <w:r w:rsidRPr="00E956E6">
              <w:rPr>
                <w:rFonts w:cs="Times New Roman"/>
                <w:bCs/>
                <w:color w:val="000000"/>
                <w:sz w:val="22"/>
                <w:szCs w:val="22"/>
              </w:rPr>
              <w:t>A</w:t>
            </w:r>
            <w:r>
              <w:rPr>
                <w:rFonts w:cs="Times New Roman"/>
                <w:bCs/>
                <w:color w:val="000000"/>
                <w:sz w:val="22"/>
                <w:szCs w:val="22"/>
              </w:rPr>
              <w:t xml:space="preserve"> </w:t>
            </w:r>
            <w:r w:rsidRPr="00E956E6">
              <w:rPr>
                <w:rFonts w:cs="Times New Roman"/>
                <w:bCs/>
                <w:color w:val="000000"/>
                <w:sz w:val="22"/>
                <w:szCs w:val="22"/>
              </w:rPr>
              <w:t>+ till A</w:t>
            </w:r>
            <w:r>
              <w:rPr>
                <w:rFonts w:cs="Times New Roman"/>
                <w:bCs/>
                <w:color w:val="000000"/>
                <w:sz w:val="22"/>
                <w:szCs w:val="22"/>
              </w:rPr>
              <w:t xml:space="preserve"> </w:t>
            </w:r>
            <w:r w:rsidRPr="00E956E6">
              <w:rPr>
                <w:rFonts w:cs="Times New Roman"/>
                <w:bCs/>
                <w:color w:val="000000"/>
                <w:sz w:val="22"/>
                <w:szCs w:val="22"/>
              </w:rPr>
              <w:t>-</w:t>
            </w:r>
          </w:p>
        </w:tc>
        <w:tc>
          <w:tcPr>
            <w:tcW w:w="1535" w:type="dxa"/>
            <w:tcBorders>
              <w:top w:val="single" w:sz="8" w:space="0" w:color="000000"/>
              <w:left w:val="nil"/>
              <w:bottom w:val="single" w:sz="8" w:space="0" w:color="000000"/>
              <w:right w:val="nil"/>
            </w:tcBorders>
          </w:tcPr>
          <w:p w:rsidR="00926DB2" w:rsidRPr="00E956E6" w:rsidRDefault="00926DB2" w:rsidP="00046654">
            <w:pPr>
              <w:spacing w:line="360" w:lineRule="auto"/>
              <w:jc w:val="center"/>
              <w:rPr>
                <w:rFonts w:cs="Times New Roman"/>
                <w:b/>
                <w:bCs/>
                <w:color w:val="000000"/>
              </w:rPr>
            </w:pPr>
            <w:r w:rsidRPr="00E956E6">
              <w:rPr>
                <w:rFonts w:cs="Times New Roman"/>
                <w:bCs/>
                <w:color w:val="000000"/>
                <w:sz w:val="22"/>
                <w:szCs w:val="22"/>
              </w:rPr>
              <w:t>BBB</w:t>
            </w:r>
            <w:r>
              <w:rPr>
                <w:rFonts w:cs="Times New Roman"/>
                <w:bCs/>
                <w:color w:val="000000"/>
                <w:sz w:val="22"/>
                <w:szCs w:val="22"/>
              </w:rPr>
              <w:t xml:space="preserve"> </w:t>
            </w:r>
            <w:r w:rsidRPr="00E956E6">
              <w:rPr>
                <w:rFonts w:cs="Times New Roman"/>
                <w:bCs/>
                <w:color w:val="000000"/>
                <w:sz w:val="22"/>
                <w:szCs w:val="22"/>
              </w:rPr>
              <w:t xml:space="preserve">+ </w:t>
            </w:r>
            <w:r>
              <w:rPr>
                <w:rFonts w:cs="Times New Roman"/>
                <w:bCs/>
                <w:color w:val="000000"/>
                <w:sz w:val="22"/>
                <w:szCs w:val="22"/>
              </w:rPr>
              <w:t xml:space="preserve"> </w:t>
            </w:r>
            <w:r w:rsidRPr="00E956E6">
              <w:rPr>
                <w:rFonts w:cs="Times New Roman"/>
                <w:bCs/>
                <w:color w:val="000000"/>
                <w:sz w:val="22"/>
                <w:szCs w:val="22"/>
              </w:rPr>
              <w:t>till BBB</w:t>
            </w:r>
            <w:r>
              <w:rPr>
                <w:rFonts w:cs="Times New Roman"/>
                <w:bCs/>
                <w:color w:val="000000"/>
                <w:sz w:val="22"/>
                <w:szCs w:val="22"/>
              </w:rPr>
              <w:t xml:space="preserve"> </w:t>
            </w:r>
            <w:r w:rsidRPr="00E956E6">
              <w:rPr>
                <w:rFonts w:cs="Times New Roman"/>
                <w:bCs/>
                <w:color w:val="000000"/>
                <w:sz w:val="22"/>
                <w:szCs w:val="22"/>
              </w:rPr>
              <w:t>-</w:t>
            </w:r>
          </w:p>
        </w:tc>
        <w:tc>
          <w:tcPr>
            <w:tcW w:w="1535" w:type="dxa"/>
            <w:tcBorders>
              <w:top w:val="single" w:sz="8" w:space="0" w:color="000000"/>
              <w:left w:val="nil"/>
              <w:bottom w:val="single" w:sz="8" w:space="0" w:color="000000"/>
              <w:right w:val="nil"/>
            </w:tcBorders>
          </w:tcPr>
          <w:p w:rsidR="00926DB2" w:rsidRPr="00E956E6" w:rsidRDefault="00A152D6" w:rsidP="00046654">
            <w:pPr>
              <w:spacing w:line="360" w:lineRule="auto"/>
              <w:jc w:val="center"/>
              <w:rPr>
                <w:rFonts w:cs="Times New Roman"/>
                <w:b/>
                <w:bCs/>
                <w:color w:val="000000"/>
              </w:rPr>
            </w:pPr>
            <w:r>
              <w:rPr>
                <w:rFonts w:cs="Times New Roman"/>
                <w:bCs/>
                <w:color w:val="000000"/>
                <w:sz w:val="22"/>
                <w:szCs w:val="22"/>
              </w:rPr>
              <w:t xml:space="preserve">  </w:t>
            </w:r>
            <w:r w:rsidR="00926DB2" w:rsidRPr="00E956E6">
              <w:rPr>
                <w:rFonts w:cs="Times New Roman"/>
                <w:bCs/>
                <w:color w:val="000000"/>
                <w:sz w:val="22"/>
                <w:szCs w:val="22"/>
              </w:rPr>
              <w:t>BB+ till BB</w:t>
            </w:r>
            <w:r w:rsidR="00926DB2">
              <w:rPr>
                <w:rFonts w:cs="Times New Roman"/>
                <w:bCs/>
                <w:color w:val="000000"/>
                <w:sz w:val="22"/>
                <w:szCs w:val="22"/>
              </w:rPr>
              <w:t xml:space="preserve"> </w:t>
            </w:r>
            <w:r w:rsidR="00926DB2" w:rsidRPr="00E956E6">
              <w:rPr>
                <w:rFonts w:cs="Times New Roman"/>
                <w:bCs/>
                <w:color w:val="000000"/>
                <w:sz w:val="22"/>
                <w:szCs w:val="22"/>
              </w:rPr>
              <w:t>-</w:t>
            </w:r>
          </w:p>
        </w:tc>
        <w:tc>
          <w:tcPr>
            <w:tcW w:w="1535" w:type="dxa"/>
            <w:tcBorders>
              <w:top w:val="single" w:sz="8" w:space="0" w:color="000000"/>
              <w:left w:val="nil"/>
              <w:bottom w:val="single" w:sz="8" w:space="0" w:color="000000"/>
              <w:right w:val="nil"/>
            </w:tcBorders>
          </w:tcPr>
          <w:p w:rsidR="00926DB2" w:rsidRPr="00E956E6" w:rsidRDefault="00926DB2" w:rsidP="00046654">
            <w:pPr>
              <w:spacing w:line="360" w:lineRule="auto"/>
              <w:jc w:val="center"/>
              <w:rPr>
                <w:rFonts w:cs="Times New Roman"/>
                <w:b/>
                <w:bCs/>
                <w:color w:val="000000"/>
              </w:rPr>
            </w:pPr>
            <w:r w:rsidRPr="00E956E6">
              <w:rPr>
                <w:rFonts w:cs="Times New Roman"/>
                <w:bCs/>
                <w:color w:val="000000"/>
                <w:sz w:val="22"/>
                <w:szCs w:val="22"/>
              </w:rPr>
              <w:t>&lt;</w:t>
            </w:r>
            <w:r>
              <w:rPr>
                <w:rFonts w:cs="Times New Roman"/>
                <w:bCs/>
                <w:color w:val="000000"/>
                <w:sz w:val="22"/>
                <w:szCs w:val="22"/>
              </w:rPr>
              <w:t xml:space="preserve"> </w:t>
            </w:r>
            <w:r w:rsidRPr="00E956E6">
              <w:rPr>
                <w:rFonts w:cs="Times New Roman"/>
                <w:bCs/>
                <w:color w:val="000000"/>
                <w:sz w:val="22"/>
                <w:szCs w:val="22"/>
              </w:rPr>
              <w:t>B</w:t>
            </w:r>
            <w:r>
              <w:rPr>
                <w:rFonts w:cs="Times New Roman"/>
                <w:bCs/>
                <w:color w:val="000000"/>
                <w:sz w:val="22"/>
                <w:szCs w:val="22"/>
              </w:rPr>
              <w:t xml:space="preserve"> </w:t>
            </w:r>
            <w:r w:rsidRPr="00E956E6">
              <w:rPr>
                <w:rFonts w:cs="Times New Roman"/>
                <w:bCs/>
                <w:color w:val="000000"/>
                <w:sz w:val="22"/>
                <w:szCs w:val="22"/>
              </w:rPr>
              <w:t>-</w:t>
            </w:r>
          </w:p>
        </w:tc>
      </w:tr>
      <w:tr w:rsidR="00926DB2" w:rsidTr="00AE17B7">
        <w:trPr>
          <w:trHeight w:val="1036"/>
          <w:jc w:val="center"/>
        </w:trPr>
        <w:tc>
          <w:tcPr>
            <w:tcW w:w="1535" w:type="dxa"/>
            <w:tcBorders>
              <w:left w:val="nil"/>
              <w:bottom w:val="single" w:sz="8" w:space="0" w:color="000000"/>
              <w:right w:val="nil"/>
            </w:tcBorders>
            <w:shd w:val="clear" w:color="auto" w:fill="C0C0C0"/>
          </w:tcPr>
          <w:p w:rsidR="00926DB2" w:rsidRPr="00E956E6" w:rsidRDefault="00926DB2" w:rsidP="00046654">
            <w:pPr>
              <w:spacing w:line="360" w:lineRule="auto"/>
              <w:jc w:val="center"/>
              <w:rPr>
                <w:rFonts w:cs="Times New Roman"/>
                <w:b/>
                <w:bCs/>
                <w:color w:val="000000"/>
              </w:rPr>
            </w:pPr>
            <w:r w:rsidRPr="00E956E6">
              <w:rPr>
                <w:rFonts w:cs="Times New Roman"/>
                <w:bCs/>
                <w:color w:val="000000"/>
                <w:sz w:val="22"/>
                <w:szCs w:val="22"/>
              </w:rPr>
              <w:t>Percentage risk</w:t>
            </w:r>
          </w:p>
        </w:tc>
        <w:tc>
          <w:tcPr>
            <w:tcW w:w="1535" w:type="dxa"/>
            <w:tcBorders>
              <w:left w:val="nil"/>
              <w:bottom w:val="single" w:sz="8" w:space="0" w:color="000000"/>
              <w:right w:val="nil"/>
            </w:tcBorders>
            <w:shd w:val="clear" w:color="auto" w:fill="C0C0C0"/>
          </w:tcPr>
          <w:p w:rsidR="00926DB2" w:rsidRPr="00E956E6" w:rsidRDefault="00926DB2" w:rsidP="00046654">
            <w:pPr>
              <w:spacing w:line="360" w:lineRule="auto"/>
              <w:jc w:val="center"/>
              <w:rPr>
                <w:rFonts w:cs="Times New Roman"/>
                <w:b/>
                <w:color w:val="000000"/>
              </w:rPr>
            </w:pPr>
            <w:r w:rsidRPr="00E956E6">
              <w:rPr>
                <w:rFonts w:cs="Times New Roman"/>
                <w:b/>
                <w:color w:val="000000"/>
                <w:sz w:val="22"/>
                <w:szCs w:val="22"/>
              </w:rPr>
              <w:t>0%</w:t>
            </w:r>
          </w:p>
        </w:tc>
        <w:tc>
          <w:tcPr>
            <w:tcW w:w="1535" w:type="dxa"/>
            <w:tcBorders>
              <w:left w:val="nil"/>
              <w:bottom w:val="single" w:sz="8" w:space="0" w:color="000000"/>
              <w:right w:val="nil"/>
            </w:tcBorders>
            <w:shd w:val="clear" w:color="auto" w:fill="C0C0C0"/>
          </w:tcPr>
          <w:p w:rsidR="00926DB2" w:rsidRPr="00E956E6" w:rsidRDefault="00926DB2" w:rsidP="00046654">
            <w:pPr>
              <w:spacing w:line="360" w:lineRule="auto"/>
              <w:jc w:val="center"/>
              <w:rPr>
                <w:rFonts w:cs="Times New Roman"/>
                <w:b/>
                <w:color w:val="000000"/>
              </w:rPr>
            </w:pPr>
            <w:r w:rsidRPr="00E956E6">
              <w:rPr>
                <w:rFonts w:cs="Times New Roman"/>
                <w:b/>
                <w:color w:val="000000"/>
                <w:sz w:val="22"/>
                <w:szCs w:val="22"/>
              </w:rPr>
              <w:t>20%</w:t>
            </w:r>
          </w:p>
        </w:tc>
        <w:tc>
          <w:tcPr>
            <w:tcW w:w="1535" w:type="dxa"/>
            <w:tcBorders>
              <w:left w:val="nil"/>
              <w:bottom w:val="single" w:sz="8" w:space="0" w:color="000000"/>
              <w:right w:val="nil"/>
            </w:tcBorders>
            <w:shd w:val="clear" w:color="auto" w:fill="C0C0C0"/>
          </w:tcPr>
          <w:p w:rsidR="00926DB2" w:rsidRPr="00E956E6" w:rsidRDefault="00926DB2" w:rsidP="00046654">
            <w:pPr>
              <w:spacing w:line="360" w:lineRule="auto"/>
              <w:jc w:val="center"/>
              <w:rPr>
                <w:rFonts w:cs="Times New Roman"/>
                <w:b/>
                <w:color w:val="000000"/>
              </w:rPr>
            </w:pPr>
            <w:r w:rsidRPr="00E956E6">
              <w:rPr>
                <w:rFonts w:cs="Times New Roman"/>
                <w:b/>
                <w:color w:val="000000"/>
                <w:sz w:val="22"/>
                <w:szCs w:val="22"/>
              </w:rPr>
              <w:t>50%</w:t>
            </w:r>
          </w:p>
        </w:tc>
        <w:tc>
          <w:tcPr>
            <w:tcW w:w="1535" w:type="dxa"/>
            <w:tcBorders>
              <w:left w:val="nil"/>
              <w:bottom w:val="single" w:sz="8" w:space="0" w:color="000000"/>
              <w:right w:val="nil"/>
            </w:tcBorders>
            <w:shd w:val="clear" w:color="auto" w:fill="C0C0C0"/>
          </w:tcPr>
          <w:p w:rsidR="00926DB2" w:rsidRPr="00E956E6" w:rsidRDefault="00926DB2" w:rsidP="00046654">
            <w:pPr>
              <w:spacing w:line="360" w:lineRule="auto"/>
              <w:jc w:val="center"/>
              <w:rPr>
                <w:rFonts w:cs="Times New Roman"/>
                <w:b/>
                <w:color w:val="000000"/>
              </w:rPr>
            </w:pPr>
            <w:r w:rsidRPr="00E956E6">
              <w:rPr>
                <w:rFonts w:cs="Times New Roman"/>
                <w:b/>
                <w:color w:val="000000"/>
                <w:sz w:val="22"/>
                <w:szCs w:val="22"/>
              </w:rPr>
              <w:t>100%</w:t>
            </w:r>
          </w:p>
        </w:tc>
        <w:tc>
          <w:tcPr>
            <w:tcW w:w="1535" w:type="dxa"/>
            <w:tcBorders>
              <w:left w:val="nil"/>
              <w:bottom w:val="single" w:sz="8" w:space="0" w:color="000000"/>
              <w:right w:val="nil"/>
            </w:tcBorders>
            <w:shd w:val="clear" w:color="auto" w:fill="C0C0C0"/>
          </w:tcPr>
          <w:p w:rsidR="00926DB2" w:rsidRPr="00E956E6" w:rsidRDefault="00926DB2" w:rsidP="00046654">
            <w:pPr>
              <w:spacing w:line="360" w:lineRule="auto"/>
              <w:jc w:val="center"/>
              <w:rPr>
                <w:rFonts w:cs="Times New Roman"/>
                <w:b/>
                <w:color w:val="000000"/>
              </w:rPr>
            </w:pPr>
            <w:r>
              <w:rPr>
                <w:rFonts w:cs="Times New Roman"/>
                <w:b/>
                <w:color w:val="000000"/>
                <w:sz w:val="22"/>
                <w:szCs w:val="22"/>
              </w:rPr>
              <w:t xml:space="preserve">    </w:t>
            </w:r>
            <w:r w:rsidRPr="00E956E6">
              <w:rPr>
                <w:rFonts w:cs="Times New Roman"/>
                <w:b/>
                <w:color w:val="000000"/>
                <w:sz w:val="22"/>
                <w:szCs w:val="22"/>
              </w:rPr>
              <w:t>150%</w:t>
            </w:r>
          </w:p>
        </w:tc>
      </w:tr>
    </w:tbl>
    <w:p w:rsidR="00926DB2" w:rsidRDefault="00926DB2" w:rsidP="00046654">
      <w:pPr>
        <w:spacing w:line="360" w:lineRule="auto"/>
        <w:jc w:val="both"/>
        <w:rPr>
          <w:rFonts w:cs="Times New Roman"/>
        </w:rPr>
      </w:pPr>
    </w:p>
    <w:p w:rsidR="00926DB2" w:rsidRDefault="00926DB2" w:rsidP="00046654">
      <w:pPr>
        <w:spacing w:line="360" w:lineRule="auto"/>
        <w:jc w:val="both"/>
        <w:rPr>
          <w:rFonts w:cs="Times New Roman"/>
        </w:rPr>
      </w:pPr>
      <w:r>
        <w:rPr>
          <w:rFonts w:cs="Times New Roman"/>
        </w:rPr>
        <w:t xml:space="preserve">Besides the above mentioned method there are two alternative methods for measuring the risk in capital. These two methods are </w:t>
      </w:r>
      <w:r w:rsidRPr="00086265">
        <w:rPr>
          <w:rFonts w:cs="Times New Roman"/>
          <w:i/>
          <w:iCs/>
        </w:rPr>
        <w:t>Internal Ratings Bases Approaches</w:t>
      </w:r>
      <w:r>
        <w:rPr>
          <w:rFonts w:cs="Times New Roman"/>
        </w:rPr>
        <w:t xml:space="preserve"> (IRB) which will be presented briefly:</w:t>
      </w:r>
    </w:p>
    <w:p w:rsidR="00926DB2" w:rsidRDefault="00926DB2" w:rsidP="00046654">
      <w:pPr>
        <w:spacing w:line="360" w:lineRule="auto"/>
        <w:jc w:val="both"/>
        <w:rPr>
          <w:rFonts w:cs="Times New Roman"/>
        </w:rPr>
      </w:pPr>
    </w:p>
    <w:p w:rsidR="00926DB2" w:rsidRDefault="00926DB2" w:rsidP="00BA0A98">
      <w:pPr>
        <w:numPr>
          <w:ilvl w:val="0"/>
          <w:numId w:val="14"/>
        </w:numPr>
        <w:spacing w:line="360" w:lineRule="auto"/>
        <w:jc w:val="both"/>
        <w:rPr>
          <w:rFonts w:cs="Times New Roman"/>
          <w:i/>
          <w:iCs/>
        </w:rPr>
      </w:pPr>
      <w:r w:rsidRPr="0044248F">
        <w:rPr>
          <w:rFonts w:cs="Times New Roman"/>
          <w:i/>
          <w:iCs/>
        </w:rPr>
        <w:t>The Foundation IRB</w:t>
      </w:r>
      <w:r>
        <w:rPr>
          <w:rFonts w:cs="Times New Roman"/>
          <w:i/>
          <w:iCs/>
        </w:rPr>
        <w:t>;</w:t>
      </w:r>
      <w:r>
        <w:rPr>
          <w:rFonts w:cs="Times New Roman"/>
        </w:rPr>
        <w:t xml:space="preserve"> following this method banks themselves estimate the risk rate of their assets. Policy makers present the possibility of this risk.</w:t>
      </w:r>
    </w:p>
    <w:p w:rsidR="00926DB2" w:rsidRDefault="00926DB2" w:rsidP="00046654">
      <w:pPr>
        <w:spacing w:line="360" w:lineRule="auto"/>
        <w:jc w:val="both"/>
        <w:rPr>
          <w:rFonts w:cs="Times New Roman"/>
          <w:i/>
          <w:iCs/>
        </w:rPr>
      </w:pPr>
    </w:p>
    <w:p w:rsidR="00926DB2" w:rsidRPr="004B6634" w:rsidRDefault="00926DB2" w:rsidP="00BA0A98">
      <w:pPr>
        <w:numPr>
          <w:ilvl w:val="0"/>
          <w:numId w:val="14"/>
        </w:numPr>
        <w:spacing w:line="360" w:lineRule="auto"/>
        <w:jc w:val="both"/>
        <w:rPr>
          <w:rFonts w:cs="Times New Roman"/>
          <w:i/>
          <w:iCs/>
        </w:rPr>
      </w:pPr>
      <w:r>
        <w:rPr>
          <w:rFonts w:cs="Times New Roman"/>
          <w:i/>
          <w:iCs/>
        </w:rPr>
        <w:t xml:space="preserve">The Advanced IRB; </w:t>
      </w:r>
      <w:r>
        <w:rPr>
          <w:rFonts w:cs="Times New Roman"/>
        </w:rPr>
        <w:t>this method is equal to the Foundation IRB besides the fact that banks and not policy makers present the possibility of the risk (B. Balin 2008)</w:t>
      </w:r>
      <w:r w:rsidR="00AF0EE7">
        <w:rPr>
          <w:rFonts w:cs="Times New Roman"/>
        </w:rPr>
        <w:t>.</w:t>
      </w:r>
    </w:p>
    <w:p w:rsidR="00926DB2" w:rsidRDefault="00926DB2" w:rsidP="00046654">
      <w:pPr>
        <w:spacing w:line="360" w:lineRule="auto"/>
        <w:jc w:val="both"/>
        <w:rPr>
          <w:rFonts w:cs="Times New Roman"/>
          <w:i/>
          <w:iCs/>
        </w:rPr>
      </w:pPr>
    </w:p>
    <w:p w:rsidR="00926DB2" w:rsidRDefault="00926DB2" w:rsidP="00046654">
      <w:pPr>
        <w:spacing w:line="360" w:lineRule="auto"/>
        <w:jc w:val="both"/>
        <w:rPr>
          <w:rFonts w:cs="Times New Roman"/>
        </w:rPr>
      </w:pPr>
      <w:r>
        <w:rPr>
          <w:rFonts w:cs="Times New Roman"/>
        </w:rPr>
        <w:t xml:space="preserve">Concerning the operational risk Basle </w:t>
      </w:r>
      <w:r w:rsidRPr="002B5967">
        <w:rPr>
          <w:rFonts w:cs="Times New Roman"/>
        </w:rPr>
        <w:t>ІІ</w:t>
      </w:r>
      <w:r>
        <w:rPr>
          <w:rFonts w:cs="Times New Roman"/>
        </w:rPr>
        <w:t xml:space="preserve"> also provides more advanced and precocious methods. There are three methods that will b</w:t>
      </w:r>
      <w:r w:rsidR="00BC1A5F">
        <w:rPr>
          <w:rFonts w:cs="Times New Roman"/>
        </w:rPr>
        <w:t>e elaborated in the table below:</w:t>
      </w:r>
    </w:p>
    <w:p w:rsidR="00926DB2" w:rsidRDefault="00926DB2" w:rsidP="00046654">
      <w:pPr>
        <w:spacing w:line="360" w:lineRule="auto"/>
        <w:jc w:val="both"/>
        <w:rPr>
          <w:rFonts w:cs="Times New Roman"/>
        </w:rPr>
      </w:pPr>
    </w:p>
    <w:p w:rsidR="00926DB2" w:rsidRDefault="00926DB2" w:rsidP="00AE17B7">
      <w:pPr>
        <w:spacing w:line="360" w:lineRule="auto"/>
        <w:jc w:val="both"/>
        <w:rPr>
          <w:rFonts w:cs="Times New Roman"/>
          <w:b/>
          <w:bCs/>
          <w:u w:val="single"/>
        </w:rPr>
      </w:pPr>
    </w:p>
    <w:p w:rsidR="00926DB2" w:rsidRDefault="00926DB2" w:rsidP="00AE17B7">
      <w:pPr>
        <w:spacing w:line="360" w:lineRule="auto"/>
        <w:jc w:val="both"/>
        <w:rPr>
          <w:rFonts w:cs="Times New Roman"/>
          <w:b/>
          <w:bCs/>
          <w:u w:val="single"/>
        </w:rPr>
      </w:pPr>
    </w:p>
    <w:p w:rsidR="00926DB2" w:rsidRDefault="00926DB2" w:rsidP="00AE17B7">
      <w:pPr>
        <w:spacing w:line="360" w:lineRule="auto"/>
        <w:jc w:val="both"/>
        <w:rPr>
          <w:rFonts w:cs="Times New Roman"/>
          <w:b/>
          <w:bCs/>
          <w:u w:val="single"/>
        </w:rPr>
      </w:pPr>
    </w:p>
    <w:p w:rsidR="00926DB2" w:rsidRDefault="00926DB2" w:rsidP="00AE17B7">
      <w:pPr>
        <w:spacing w:line="360" w:lineRule="auto"/>
        <w:jc w:val="both"/>
        <w:rPr>
          <w:rFonts w:cs="Times New Roman"/>
          <w:b/>
          <w:bCs/>
          <w:u w:val="single"/>
        </w:rPr>
      </w:pPr>
    </w:p>
    <w:p w:rsidR="00926DB2" w:rsidRDefault="00926DB2" w:rsidP="00AE17B7">
      <w:pPr>
        <w:spacing w:line="360" w:lineRule="auto"/>
        <w:jc w:val="both"/>
        <w:rPr>
          <w:rFonts w:cs="Times New Roman"/>
          <w:b/>
          <w:bCs/>
          <w:u w:val="single"/>
        </w:rPr>
      </w:pPr>
    </w:p>
    <w:p w:rsidR="006F0737" w:rsidRDefault="006F0737" w:rsidP="00AE17B7">
      <w:pPr>
        <w:spacing w:line="360" w:lineRule="auto"/>
        <w:jc w:val="both"/>
        <w:rPr>
          <w:rFonts w:cs="Times New Roman"/>
          <w:b/>
          <w:bCs/>
          <w:u w:val="single"/>
        </w:rPr>
      </w:pPr>
    </w:p>
    <w:p w:rsidR="006F0737" w:rsidRDefault="006F0737" w:rsidP="00AE17B7">
      <w:pPr>
        <w:spacing w:line="360" w:lineRule="auto"/>
        <w:jc w:val="both"/>
        <w:rPr>
          <w:rFonts w:cs="Times New Roman"/>
          <w:b/>
          <w:bCs/>
          <w:u w:val="single"/>
        </w:rPr>
      </w:pPr>
    </w:p>
    <w:p w:rsidR="00D54950" w:rsidRDefault="00D54950" w:rsidP="00AE17B7">
      <w:pPr>
        <w:spacing w:line="360" w:lineRule="auto"/>
        <w:jc w:val="both"/>
        <w:rPr>
          <w:rFonts w:cs="Times New Roman"/>
          <w:b/>
          <w:bCs/>
          <w:u w:val="single"/>
        </w:rPr>
      </w:pPr>
    </w:p>
    <w:p w:rsidR="00926DB2" w:rsidRPr="0089232E" w:rsidRDefault="00926DB2" w:rsidP="00AE17B7">
      <w:pPr>
        <w:spacing w:line="360" w:lineRule="auto"/>
        <w:jc w:val="both"/>
        <w:rPr>
          <w:rFonts w:cs="Times New Roman"/>
          <w:u w:val="single"/>
        </w:rPr>
      </w:pPr>
      <w:r w:rsidRPr="0089232E">
        <w:rPr>
          <w:rFonts w:cs="Times New Roman"/>
          <w:b/>
          <w:bCs/>
          <w:u w:val="single"/>
        </w:rPr>
        <w:lastRenderedPageBreak/>
        <w:t>Table 4.</w:t>
      </w:r>
      <w:r w:rsidRPr="0089232E">
        <w:rPr>
          <w:rFonts w:cs="Times New Roman"/>
          <w:u w:val="single"/>
        </w:rPr>
        <w:t xml:space="preserve"> Methods to asses operational risk (Basle ІІ 2006)</w:t>
      </w:r>
    </w:p>
    <w:p w:rsidR="00926DB2" w:rsidRDefault="00926DB2" w:rsidP="00046654">
      <w:pPr>
        <w:spacing w:line="360" w:lineRule="auto"/>
        <w:jc w:val="center"/>
        <w:rPr>
          <w:rFonts w:cs="Times New Roman"/>
        </w:rPr>
      </w:pPr>
    </w:p>
    <w:tbl>
      <w:tblPr>
        <w:tblpPr w:leftFromText="180" w:rightFromText="180" w:vertAnchor="text" w:horzAnchor="page" w:tblpXSpec="center" w:tblpY="-80"/>
        <w:tblW w:w="0" w:type="auto"/>
        <w:tblBorders>
          <w:top w:val="single" w:sz="8" w:space="0" w:color="000000"/>
          <w:bottom w:val="single" w:sz="8" w:space="0" w:color="000000"/>
        </w:tblBorders>
        <w:tblLook w:val="01E0"/>
      </w:tblPr>
      <w:tblGrid>
        <w:gridCol w:w="2988"/>
        <w:gridCol w:w="4140"/>
      </w:tblGrid>
      <w:tr w:rsidR="00926DB2" w:rsidTr="00AE17B7">
        <w:tc>
          <w:tcPr>
            <w:tcW w:w="2988" w:type="dxa"/>
            <w:tcBorders>
              <w:top w:val="single" w:sz="8" w:space="0" w:color="000000"/>
              <w:left w:val="nil"/>
              <w:bottom w:val="single" w:sz="8" w:space="0" w:color="000000"/>
              <w:right w:val="nil"/>
            </w:tcBorders>
          </w:tcPr>
          <w:p w:rsidR="00926DB2" w:rsidRPr="00141796" w:rsidRDefault="00926DB2" w:rsidP="00046654">
            <w:pPr>
              <w:spacing w:line="360" w:lineRule="auto"/>
              <w:jc w:val="center"/>
              <w:rPr>
                <w:rFonts w:cs="Times New Roman"/>
                <w:b/>
                <w:bCs/>
                <w:color w:val="000000"/>
              </w:rPr>
            </w:pPr>
            <w:r>
              <w:rPr>
                <w:rFonts w:cs="Times New Roman"/>
                <w:b/>
                <w:bCs/>
                <w:color w:val="000000"/>
              </w:rPr>
              <w:t>Methods</w:t>
            </w:r>
          </w:p>
        </w:tc>
        <w:tc>
          <w:tcPr>
            <w:tcW w:w="4140" w:type="dxa"/>
            <w:tcBorders>
              <w:top w:val="single" w:sz="8" w:space="0" w:color="000000"/>
              <w:left w:val="nil"/>
              <w:bottom w:val="single" w:sz="8" w:space="0" w:color="000000"/>
              <w:right w:val="nil"/>
            </w:tcBorders>
          </w:tcPr>
          <w:p w:rsidR="00926DB2" w:rsidRPr="00141796" w:rsidRDefault="00926DB2" w:rsidP="00046654">
            <w:pPr>
              <w:spacing w:line="360" w:lineRule="auto"/>
              <w:jc w:val="center"/>
              <w:rPr>
                <w:rFonts w:cs="Times New Roman"/>
                <w:b/>
                <w:bCs/>
                <w:color w:val="000000"/>
              </w:rPr>
            </w:pPr>
            <w:r w:rsidRPr="00141796">
              <w:rPr>
                <w:rFonts w:cs="Times New Roman"/>
                <w:b/>
                <w:bCs/>
                <w:color w:val="000000"/>
              </w:rPr>
              <w:t>Elaboration</w:t>
            </w:r>
          </w:p>
        </w:tc>
      </w:tr>
      <w:tr w:rsidR="00926DB2" w:rsidTr="00AE17B7">
        <w:tc>
          <w:tcPr>
            <w:tcW w:w="2988" w:type="dxa"/>
            <w:tcBorders>
              <w:left w:val="nil"/>
              <w:right w:val="nil"/>
            </w:tcBorders>
            <w:shd w:val="clear" w:color="auto" w:fill="C0C0C0"/>
          </w:tcPr>
          <w:p w:rsidR="00926DB2" w:rsidRPr="00046654" w:rsidRDefault="00926DB2" w:rsidP="00046654">
            <w:pPr>
              <w:spacing w:line="360" w:lineRule="auto"/>
              <w:jc w:val="center"/>
              <w:rPr>
                <w:rFonts w:cs="Times New Roman"/>
                <w:b/>
                <w:bCs/>
                <w:iCs/>
                <w:color w:val="000000"/>
              </w:rPr>
            </w:pPr>
            <w:r w:rsidRPr="00046654">
              <w:rPr>
                <w:rFonts w:cs="Times New Roman"/>
                <w:b/>
                <w:bCs/>
                <w:iCs/>
                <w:color w:val="000000"/>
              </w:rPr>
              <w:t>Basic Indicator Approach</w:t>
            </w:r>
          </w:p>
        </w:tc>
        <w:tc>
          <w:tcPr>
            <w:tcW w:w="4140" w:type="dxa"/>
            <w:tcBorders>
              <w:left w:val="nil"/>
              <w:right w:val="nil"/>
            </w:tcBorders>
            <w:shd w:val="clear" w:color="auto" w:fill="C0C0C0"/>
          </w:tcPr>
          <w:p w:rsidR="00926DB2" w:rsidRPr="00141796" w:rsidRDefault="00926DB2" w:rsidP="00046654">
            <w:pPr>
              <w:spacing w:line="360" w:lineRule="auto"/>
              <w:jc w:val="center"/>
              <w:rPr>
                <w:rFonts w:cs="Times New Roman"/>
                <w:b/>
                <w:bCs/>
                <w:color w:val="000000"/>
              </w:rPr>
            </w:pPr>
            <w:r>
              <w:rPr>
                <w:rFonts w:cs="Times New Roman"/>
                <w:b/>
                <w:bCs/>
                <w:color w:val="000000"/>
              </w:rPr>
              <w:t xml:space="preserve">          </w:t>
            </w:r>
            <w:r w:rsidRPr="00141796">
              <w:rPr>
                <w:rFonts w:cs="Times New Roman"/>
                <w:b/>
                <w:bCs/>
                <w:color w:val="000000"/>
              </w:rPr>
              <w:t>Hold Capital equal to 15% of income</w:t>
            </w:r>
          </w:p>
        </w:tc>
      </w:tr>
      <w:tr w:rsidR="00926DB2" w:rsidTr="00AE17B7">
        <w:tc>
          <w:tcPr>
            <w:tcW w:w="2988" w:type="dxa"/>
          </w:tcPr>
          <w:p w:rsidR="00926DB2" w:rsidRPr="00046654" w:rsidRDefault="00926DB2" w:rsidP="00046654">
            <w:pPr>
              <w:spacing w:line="360" w:lineRule="auto"/>
              <w:jc w:val="center"/>
              <w:rPr>
                <w:rFonts w:cs="Times New Roman"/>
                <w:b/>
                <w:bCs/>
                <w:color w:val="000000"/>
              </w:rPr>
            </w:pPr>
            <w:r w:rsidRPr="00046654">
              <w:rPr>
                <w:rFonts w:cs="Times New Roman"/>
                <w:b/>
                <w:bCs/>
                <w:color w:val="000000"/>
              </w:rPr>
              <w:t>Standardized Approach</w:t>
            </w:r>
          </w:p>
        </w:tc>
        <w:tc>
          <w:tcPr>
            <w:tcW w:w="4140" w:type="dxa"/>
          </w:tcPr>
          <w:p w:rsidR="00926DB2" w:rsidRPr="00141796" w:rsidRDefault="00BC1A5F" w:rsidP="00046654">
            <w:pPr>
              <w:spacing w:line="360" w:lineRule="auto"/>
              <w:jc w:val="center"/>
              <w:rPr>
                <w:rFonts w:cs="Times New Roman"/>
                <w:b/>
                <w:bCs/>
                <w:color w:val="000000"/>
              </w:rPr>
            </w:pPr>
            <w:r>
              <w:rPr>
                <w:rFonts w:cs="Times New Roman"/>
                <w:b/>
                <w:bCs/>
                <w:color w:val="000000"/>
              </w:rPr>
              <w:t xml:space="preserve">          </w:t>
            </w:r>
            <w:r w:rsidR="00926DB2" w:rsidRPr="00141796">
              <w:rPr>
                <w:rFonts w:cs="Times New Roman"/>
                <w:b/>
                <w:bCs/>
                <w:color w:val="000000"/>
              </w:rPr>
              <w:t xml:space="preserve">Splits a bank  units to state cash </w:t>
            </w:r>
            <w:r>
              <w:rPr>
                <w:rFonts w:cs="Times New Roman"/>
                <w:b/>
                <w:bCs/>
                <w:color w:val="000000"/>
              </w:rPr>
              <w:t xml:space="preserve">    </w:t>
            </w:r>
            <w:r w:rsidR="00926DB2" w:rsidRPr="00141796">
              <w:rPr>
                <w:rFonts w:cs="Times New Roman"/>
                <w:b/>
                <w:bCs/>
                <w:color w:val="000000"/>
              </w:rPr>
              <w:t>amount needed for protection</w:t>
            </w:r>
          </w:p>
        </w:tc>
      </w:tr>
      <w:tr w:rsidR="00926DB2" w:rsidTr="00AE17B7">
        <w:tc>
          <w:tcPr>
            <w:tcW w:w="2988" w:type="dxa"/>
            <w:tcBorders>
              <w:top w:val="single" w:sz="8" w:space="0" w:color="000000"/>
              <w:left w:val="nil"/>
              <w:bottom w:val="single" w:sz="8" w:space="0" w:color="000000"/>
              <w:right w:val="nil"/>
            </w:tcBorders>
          </w:tcPr>
          <w:p w:rsidR="00926DB2" w:rsidRPr="00046654" w:rsidRDefault="00926DB2" w:rsidP="00046654">
            <w:pPr>
              <w:spacing w:line="360" w:lineRule="auto"/>
              <w:jc w:val="center"/>
              <w:rPr>
                <w:rFonts w:cs="Times New Roman"/>
                <w:b/>
                <w:bCs/>
                <w:color w:val="000000"/>
              </w:rPr>
            </w:pPr>
            <w:r w:rsidRPr="00046654">
              <w:rPr>
                <w:rFonts w:cs="Times New Roman"/>
                <w:b/>
                <w:bCs/>
                <w:color w:val="000000"/>
              </w:rPr>
              <w:t>Advanced Measurement Approach</w:t>
            </w:r>
          </w:p>
        </w:tc>
        <w:tc>
          <w:tcPr>
            <w:tcW w:w="4140" w:type="dxa"/>
            <w:tcBorders>
              <w:top w:val="single" w:sz="8" w:space="0" w:color="000000"/>
              <w:left w:val="nil"/>
              <w:bottom w:val="single" w:sz="8" w:space="0" w:color="000000"/>
              <w:right w:val="nil"/>
            </w:tcBorders>
          </w:tcPr>
          <w:p w:rsidR="00926DB2" w:rsidRPr="00141796" w:rsidRDefault="00926DB2" w:rsidP="00046654">
            <w:pPr>
              <w:spacing w:line="360" w:lineRule="auto"/>
              <w:jc w:val="center"/>
              <w:rPr>
                <w:rFonts w:cs="Times New Roman"/>
                <w:b/>
                <w:bCs/>
                <w:color w:val="000000"/>
              </w:rPr>
            </w:pPr>
            <w:r>
              <w:rPr>
                <w:rFonts w:cs="Times New Roman"/>
                <w:b/>
                <w:bCs/>
                <w:color w:val="000000"/>
              </w:rPr>
              <w:t xml:space="preserve"> </w:t>
            </w:r>
            <w:r w:rsidRPr="00141796">
              <w:rPr>
                <w:rFonts w:cs="Times New Roman"/>
                <w:b/>
                <w:bCs/>
                <w:color w:val="000000"/>
              </w:rPr>
              <w:t>Banks themselves prepare the reserve amounts needed</w:t>
            </w:r>
          </w:p>
        </w:tc>
      </w:tr>
    </w:tbl>
    <w:p w:rsidR="00926DB2" w:rsidRPr="004B6634" w:rsidRDefault="00926DB2" w:rsidP="00046654">
      <w:pPr>
        <w:spacing w:line="360" w:lineRule="auto"/>
        <w:jc w:val="both"/>
        <w:rPr>
          <w:rFonts w:cs="Times New Roman"/>
        </w:rPr>
      </w:pPr>
    </w:p>
    <w:p w:rsidR="00926DB2" w:rsidRPr="0044248F" w:rsidRDefault="00926DB2" w:rsidP="00046654">
      <w:pPr>
        <w:spacing w:line="360" w:lineRule="auto"/>
        <w:jc w:val="both"/>
        <w:rPr>
          <w:rFonts w:cs="Times New Roman"/>
          <w:i/>
          <w:iCs/>
        </w:rPr>
      </w:pPr>
    </w:p>
    <w:p w:rsidR="00926DB2" w:rsidRPr="003D0771" w:rsidRDefault="00926DB2" w:rsidP="00046654">
      <w:pPr>
        <w:spacing w:line="360" w:lineRule="auto"/>
        <w:jc w:val="both"/>
        <w:rPr>
          <w:rFonts w:cs="Times New Roman"/>
        </w:rPr>
      </w:pPr>
      <w:r>
        <w:rPr>
          <w:rFonts w:cs="Times New Roman"/>
        </w:rPr>
        <w:t>.</w:t>
      </w:r>
    </w:p>
    <w:p w:rsidR="00926DB2" w:rsidRDefault="00926DB2" w:rsidP="00046654">
      <w:pPr>
        <w:spacing w:line="360" w:lineRule="auto"/>
        <w:jc w:val="both"/>
        <w:rPr>
          <w:rFonts w:cs="Times New Roman"/>
          <w:i/>
        </w:rPr>
      </w:pPr>
    </w:p>
    <w:p w:rsidR="00926DB2" w:rsidRDefault="00926DB2" w:rsidP="00046654">
      <w:pPr>
        <w:spacing w:line="360" w:lineRule="auto"/>
        <w:jc w:val="both"/>
        <w:rPr>
          <w:rFonts w:cs="Times New Roman"/>
          <w:i/>
        </w:rPr>
      </w:pPr>
    </w:p>
    <w:p w:rsidR="00926DB2" w:rsidRDefault="00926DB2" w:rsidP="00046654">
      <w:pPr>
        <w:spacing w:line="360" w:lineRule="auto"/>
        <w:jc w:val="both"/>
        <w:rPr>
          <w:rFonts w:cs="Times New Roman"/>
          <w:i/>
        </w:rPr>
      </w:pPr>
    </w:p>
    <w:p w:rsidR="00926DB2" w:rsidRDefault="00926DB2" w:rsidP="00046654">
      <w:pPr>
        <w:spacing w:line="360" w:lineRule="auto"/>
        <w:jc w:val="both"/>
        <w:rPr>
          <w:rFonts w:cs="Times New Roman"/>
          <w:i/>
        </w:rPr>
      </w:pPr>
    </w:p>
    <w:p w:rsidR="00926DB2" w:rsidRDefault="00926DB2" w:rsidP="00046654">
      <w:pPr>
        <w:spacing w:line="360" w:lineRule="auto"/>
        <w:jc w:val="both"/>
      </w:pPr>
    </w:p>
    <w:p w:rsidR="00926DB2" w:rsidRDefault="00926DB2" w:rsidP="00046654">
      <w:pPr>
        <w:spacing w:line="360" w:lineRule="auto"/>
        <w:jc w:val="both"/>
        <w:rPr>
          <w:rFonts w:cs="Times New Roman"/>
        </w:rPr>
      </w:pPr>
      <w:r>
        <w:t xml:space="preserve">Concerning market risk Basel </w:t>
      </w:r>
      <w:r w:rsidRPr="002B5967">
        <w:rPr>
          <w:rFonts w:cs="Times New Roman"/>
        </w:rPr>
        <w:t>ІІ</w:t>
      </w:r>
      <w:r>
        <w:rPr>
          <w:rFonts w:cs="Times New Roman"/>
        </w:rPr>
        <w:t xml:space="preserve"> tries to asses the amounts of reserves that banks need to protect themselves from this risk. Basel </w:t>
      </w:r>
      <w:r w:rsidRPr="002B5967">
        <w:rPr>
          <w:rFonts w:cs="Times New Roman"/>
        </w:rPr>
        <w:t>ІІ</w:t>
      </w:r>
      <w:r>
        <w:rPr>
          <w:rFonts w:cs="Times New Roman"/>
        </w:rPr>
        <w:t xml:space="preserve"> distinct between the two primary risks that lead to market risk; interest rate and volatility risk (B. Balin 2008). </w:t>
      </w:r>
    </w:p>
    <w:p w:rsidR="00926DB2" w:rsidRDefault="00926DB2" w:rsidP="00046654">
      <w:pPr>
        <w:spacing w:line="360" w:lineRule="auto"/>
        <w:jc w:val="both"/>
        <w:rPr>
          <w:rFonts w:cs="Times New Roman"/>
        </w:rPr>
      </w:pPr>
    </w:p>
    <w:p w:rsidR="00926DB2" w:rsidRDefault="00926DB2" w:rsidP="00046654">
      <w:pPr>
        <w:spacing w:line="360" w:lineRule="auto"/>
        <w:jc w:val="both"/>
        <w:rPr>
          <w:rFonts w:cs="Times New Roman"/>
        </w:rPr>
      </w:pPr>
      <w:r>
        <w:rPr>
          <w:rFonts w:cs="Times New Roman"/>
        </w:rPr>
        <w:t xml:space="preserve">The improvements and changes of the second and third pillar of the Basle Accord are fewer than pillar one, hence these two pillars are smaller and less complicated than pillar one. The second pillar of the Basle </w:t>
      </w:r>
      <w:r w:rsidRPr="002B5967">
        <w:rPr>
          <w:rFonts w:cs="Times New Roman"/>
        </w:rPr>
        <w:t>ІІ</w:t>
      </w:r>
      <w:r>
        <w:rPr>
          <w:rFonts w:cs="Times New Roman"/>
        </w:rPr>
        <w:t xml:space="preserve"> Accord mainly concerns the banking regulations (Basle Capital Accord 2005). In Basle </w:t>
      </w:r>
      <w:r w:rsidRPr="002B5967">
        <w:rPr>
          <w:rFonts w:cs="Times New Roman"/>
        </w:rPr>
        <w:t>ІІ</w:t>
      </w:r>
      <w:r>
        <w:rPr>
          <w:rFonts w:cs="Times New Roman"/>
        </w:rPr>
        <w:t xml:space="preserve"> the rights of regulators concerning bank control and oversight have been improved and prolonged. If top management presents an inappropriate risk analyses regulators have the right to hold </w:t>
      </w:r>
      <w:r w:rsidRPr="007D36C3">
        <w:rPr>
          <w:rFonts w:cs="Times New Roman"/>
        </w:rPr>
        <w:t>them responsible.</w:t>
      </w:r>
      <w:r>
        <w:rPr>
          <w:rFonts w:cs="Times New Roman"/>
        </w:rPr>
        <w:t xml:space="preserve">  </w:t>
      </w:r>
    </w:p>
    <w:p w:rsidR="00926DB2" w:rsidRDefault="00926DB2" w:rsidP="00046654">
      <w:pPr>
        <w:spacing w:line="360" w:lineRule="auto"/>
        <w:jc w:val="both"/>
        <w:rPr>
          <w:rFonts w:cs="Times New Roman"/>
        </w:rPr>
      </w:pPr>
    </w:p>
    <w:p w:rsidR="00926DB2" w:rsidRDefault="00926DB2" w:rsidP="00046654">
      <w:pPr>
        <w:spacing w:line="360" w:lineRule="auto"/>
        <w:jc w:val="both"/>
        <w:rPr>
          <w:rFonts w:cs="Times New Roman"/>
        </w:rPr>
      </w:pPr>
      <w:r>
        <w:rPr>
          <w:rFonts w:cs="Times New Roman"/>
        </w:rPr>
        <w:t xml:space="preserve">The third pillar in Basle </w:t>
      </w:r>
      <w:r w:rsidRPr="002B5967">
        <w:rPr>
          <w:rFonts w:cs="Times New Roman"/>
        </w:rPr>
        <w:t>ІІ</w:t>
      </w:r>
      <w:r>
        <w:rPr>
          <w:rFonts w:cs="Times New Roman"/>
        </w:rPr>
        <w:t xml:space="preserve"> attempts to improve and extend disclosures concerning the bank’s capital and risk analyses. Basle </w:t>
      </w:r>
      <w:r w:rsidRPr="002B5967">
        <w:rPr>
          <w:rFonts w:cs="Times New Roman"/>
        </w:rPr>
        <w:t>ІІ</w:t>
      </w:r>
      <w:r>
        <w:rPr>
          <w:rFonts w:cs="Times New Roman"/>
        </w:rPr>
        <w:t xml:space="preserve"> proposes to present this information quarterly to the main public. Basle </w:t>
      </w:r>
      <w:r w:rsidRPr="002B5967">
        <w:rPr>
          <w:rFonts w:cs="Times New Roman"/>
        </w:rPr>
        <w:t>ІІ</w:t>
      </w:r>
      <w:r w:rsidR="00FB385F">
        <w:rPr>
          <w:rFonts w:cs="Times New Roman"/>
        </w:rPr>
        <w:t xml:space="preserve"> tries </w:t>
      </w:r>
      <w:r>
        <w:rPr>
          <w:rFonts w:cs="Times New Roman"/>
        </w:rPr>
        <w:t>to incentive shareholders to revoke and punish banks when they undertake inappropriate risks and too low reserves (B. Balin 2008).</w:t>
      </w:r>
    </w:p>
    <w:p w:rsidR="00926DB2" w:rsidRDefault="00926DB2" w:rsidP="00046654">
      <w:pPr>
        <w:spacing w:line="360" w:lineRule="auto"/>
        <w:jc w:val="both"/>
      </w:pPr>
    </w:p>
    <w:p w:rsidR="00926DB2" w:rsidRDefault="00926DB2" w:rsidP="00046654">
      <w:pPr>
        <w:spacing w:line="360" w:lineRule="auto"/>
        <w:jc w:val="both"/>
        <w:rPr>
          <w:rFonts w:cs="Times New Roman"/>
        </w:rPr>
      </w:pPr>
      <w:r>
        <w:t xml:space="preserve">The Basle Accords mitigate the differences between rule setting and standards of big international banks. Basle </w:t>
      </w:r>
      <w:r w:rsidRPr="002B5967">
        <w:rPr>
          <w:rFonts w:cs="Times New Roman"/>
        </w:rPr>
        <w:t>І</w:t>
      </w:r>
      <w:r>
        <w:rPr>
          <w:rFonts w:cs="Times New Roman"/>
        </w:rPr>
        <w:t xml:space="preserve"> has been widely adapted. The definite Basle </w:t>
      </w:r>
      <w:r w:rsidRPr="002B5967">
        <w:rPr>
          <w:rFonts w:cs="Times New Roman"/>
        </w:rPr>
        <w:t>ІІ</w:t>
      </w:r>
      <w:r>
        <w:rPr>
          <w:rFonts w:cs="Times New Roman"/>
        </w:rPr>
        <w:t xml:space="preserve"> Accord was settled in 2006 in Spain. A major dispute was that the majority of the European countries wanted that Basle </w:t>
      </w:r>
      <w:r w:rsidRPr="002B5967">
        <w:rPr>
          <w:rFonts w:cs="Times New Roman"/>
        </w:rPr>
        <w:t>ІІ</w:t>
      </w:r>
      <w:r>
        <w:rPr>
          <w:rFonts w:cs="Times New Roman"/>
        </w:rPr>
        <w:t xml:space="preserve"> was applicable for all banks, while the U.S. and Canada wanted Basle </w:t>
      </w:r>
      <w:r w:rsidRPr="002B5967">
        <w:rPr>
          <w:rFonts w:cs="Times New Roman"/>
        </w:rPr>
        <w:t>ІІ</w:t>
      </w:r>
      <w:r>
        <w:rPr>
          <w:rFonts w:cs="Times New Roman"/>
        </w:rPr>
        <w:t xml:space="preserve"> just to be applicable for big global banks (B. Balin 2008). Finally the last option was chosen. </w:t>
      </w:r>
    </w:p>
    <w:p w:rsidR="00926DB2" w:rsidRDefault="00926DB2" w:rsidP="00046654">
      <w:pPr>
        <w:spacing w:line="360" w:lineRule="auto"/>
        <w:jc w:val="both"/>
        <w:rPr>
          <w:rFonts w:cs="Times New Roman"/>
        </w:rPr>
      </w:pPr>
    </w:p>
    <w:p w:rsidR="00926DB2" w:rsidRPr="00A84EFB" w:rsidRDefault="00926DB2" w:rsidP="00A84EFB">
      <w:pPr>
        <w:spacing w:line="360" w:lineRule="auto"/>
        <w:jc w:val="both"/>
        <w:rPr>
          <w:rFonts w:cs="Times New Roman"/>
        </w:rPr>
      </w:pPr>
      <w:r>
        <w:rPr>
          <w:rFonts w:cs="Times New Roman"/>
        </w:rPr>
        <w:lastRenderedPageBreak/>
        <w:t xml:space="preserve">The major critics on Basle </w:t>
      </w:r>
      <w:r w:rsidRPr="002B5967">
        <w:rPr>
          <w:rFonts w:cs="Times New Roman"/>
        </w:rPr>
        <w:t>ІІ</w:t>
      </w:r>
      <w:r>
        <w:rPr>
          <w:rFonts w:cs="Times New Roman"/>
        </w:rPr>
        <w:t xml:space="preserve"> is that developing economies and their banks are not taken into consideration in the Accord. This exclusion of developing economies and financial markets indicates ignorance of </w:t>
      </w:r>
      <w:r w:rsidR="00FB385F">
        <w:rPr>
          <w:rFonts w:cs="Times New Roman"/>
        </w:rPr>
        <w:t>these countries</w:t>
      </w:r>
      <w:r>
        <w:rPr>
          <w:rFonts w:cs="Times New Roman"/>
        </w:rPr>
        <w:t xml:space="preserve"> (B. Balin 2008).</w:t>
      </w:r>
    </w:p>
    <w:p w:rsidR="00926DB2" w:rsidRPr="00A84EFB" w:rsidRDefault="00926DB2" w:rsidP="00A84EFB">
      <w:pPr>
        <w:pStyle w:val="Kop3"/>
        <w:rPr>
          <w:rFonts w:ascii="Times New Roman" w:hAnsi="Times New Roman" w:cs="Times New Roman"/>
          <w:b w:val="0"/>
          <w:bCs w:val="0"/>
          <w:i/>
          <w:iCs/>
          <w:color w:val="auto"/>
        </w:rPr>
      </w:pPr>
      <w:bookmarkStart w:id="68" w:name="_Toc268186028"/>
      <w:r w:rsidRPr="00A84EFB">
        <w:rPr>
          <w:rFonts w:ascii="Times New Roman" w:hAnsi="Times New Roman" w:cs="Times New Roman"/>
          <w:b w:val="0"/>
          <w:bCs w:val="0"/>
          <w:i/>
          <w:iCs/>
          <w:color w:val="auto"/>
        </w:rPr>
        <w:t>2.2.3 Significance of the Basle Accords in the banking sector</w:t>
      </w:r>
      <w:bookmarkEnd w:id="68"/>
    </w:p>
    <w:p w:rsidR="00926DB2" w:rsidRDefault="00926DB2" w:rsidP="006E7FC6">
      <w:pPr>
        <w:spacing w:line="360" w:lineRule="auto"/>
        <w:jc w:val="both"/>
        <w:rPr>
          <w:rFonts w:cs="Times New Roman"/>
        </w:rPr>
      </w:pPr>
    </w:p>
    <w:p w:rsidR="00926DB2" w:rsidRPr="00A84EFB" w:rsidRDefault="00926DB2" w:rsidP="00A84EFB">
      <w:pPr>
        <w:spacing w:line="360" w:lineRule="auto"/>
        <w:jc w:val="both"/>
      </w:pPr>
      <w:r>
        <w:t xml:space="preserve">The Basle Accords are elaborated in this research hence their influence on the Western banking sector (G-10 economies) is very significant. In this research a sample of the West-European banking </w:t>
      </w:r>
      <w:r w:rsidRPr="006E7FC6">
        <w:t>sector is used, a number of countries in the sample apply the Basle A</w:t>
      </w:r>
      <w:r>
        <w:t>ccords. The Basle Accords try</w:t>
      </w:r>
      <w:r w:rsidRPr="006E7FC6">
        <w:t xml:space="preserve"> to develop policies, standards and regulations that preserve a more cautious and conservative way of banking.</w:t>
      </w:r>
      <w:r>
        <w:t xml:space="preserve"> Hence the Basle Accord </w:t>
      </w:r>
      <w:r w:rsidR="00810E7C">
        <w:t>imposes</w:t>
      </w:r>
      <w:r>
        <w:t xml:space="preserve"> regulations and policies for banks which are mainly focussed in </w:t>
      </w:r>
      <w:r w:rsidR="00FB385F">
        <w:t xml:space="preserve">providing incentives for banks </w:t>
      </w:r>
      <w:r>
        <w:t xml:space="preserve"> to operate in a more prudent way. Taken the above mentioned into consideration then the Basle Accords mitigate improper and unjust bank behaviour and thus mitigate financial distortions. </w:t>
      </w:r>
    </w:p>
    <w:p w:rsidR="00926DB2" w:rsidRPr="00A84EFB" w:rsidRDefault="00926DB2" w:rsidP="00A84EFB">
      <w:pPr>
        <w:pStyle w:val="Kop2"/>
        <w:rPr>
          <w:rFonts w:ascii="Times New Roman" w:hAnsi="Times New Roman" w:cs="Times New Roman"/>
          <w:i w:val="0"/>
          <w:iCs w:val="0"/>
          <w:sz w:val="24"/>
          <w:szCs w:val="24"/>
        </w:rPr>
      </w:pPr>
      <w:bookmarkStart w:id="69" w:name="_Toc268186029"/>
      <w:r w:rsidRPr="00A84EFB">
        <w:rPr>
          <w:rFonts w:ascii="Times New Roman" w:hAnsi="Times New Roman" w:cs="Times New Roman"/>
          <w:i w:val="0"/>
          <w:iCs w:val="0"/>
          <w:sz w:val="24"/>
          <w:szCs w:val="24"/>
        </w:rPr>
        <w:t>2.3 Summary</w:t>
      </w:r>
      <w:bookmarkEnd w:id="69"/>
    </w:p>
    <w:p w:rsidR="00926DB2" w:rsidRDefault="00926DB2" w:rsidP="00046654">
      <w:pPr>
        <w:spacing w:line="360" w:lineRule="auto"/>
        <w:jc w:val="both"/>
        <w:rPr>
          <w:rFonts w:cs="Times New Roman"/>
          <w:b/>
        </w:rPr>
      </w:pPr>
    </w:p>
    <w:p w:rsidR="00926DB2" w:rsidRPr="006F0021" w:rsidRDefault="00926DB2" w:rsidP="00046654">
      <w:pPr>
        <w:spacing w:line="360" w:lineRule="auto"/>
        <w:jc w:val="both"/>
        <w:rPr>
          <w:lang w:val="en-US"/>
        </w:rPr>
      </w:pPr>
      <w:r>
        <w:rPr>
          <w:rFonts w:cs="Times New Roman"/>
        </w:rPr>
        <w:t xml:space="preserve">In this chapter economical theoretical background is provided of the West-European countries that are used in the sample. Also the </w:t>
      </w:r>
      <w:r w:rsidR="00FB385F">
        <w:rPr>
          <w:rFonts w:cs="Times New Roman"/>
        </w:rPr>
        <w:t>effect of the financial crisis on the economy of each country is</w:t>
      </w:r>
      <w:r>
        <w:rPr>
          <w:rFonts w:cs="Times New Roman"/>
        </w:rPr>
        <w:t xml:space="preserve"> discussed. The following countries are used in the sample; </w:t>
      </w:r>
      <w:r w:rsidRPr="006F0021">
        <w:rPr>
          <w:lang w:val="en-US"/>
        </w:rPr>
        <w:t>Austria, Belgium, Germany, Denmark, Spain, Finland, France, Great-Britain, Ireland, Lithuania, Luxembourg, Netherlands, Norway, Portugal and Sweden.</w:t>
      </w:r>
      <w:r>
        <w:rPr>
          <w:lang w:val="en-US"/>
        </w:rPr>
        <w:t xml:space="preserve"> </w:t>
      </w:r>
      <w:r w:rsidR="00810E7C">
        <w:rPr>
          <w:lang w:val="en-US"/>
        </w:rPr>
        <w:t>Furthermore</w:t>
      </w:r>
      <w:r>
        <w:rPr>
          <w:lang w:val="en-US"/>
        </w:rPr>
        <w:t xml:space="preserve"> the Basle Accords are discussed; Basle </w:t>
      </w:r>
      <w:r w:rsidRPr="002B5967">
        <w:rPr>
          <w:rFonts w:cs="Times New Roman"/>
        </w:rPr>
        <w:t>І</w:t>
      </w:r>
      <w:r>
        <w:rPr>
          <w:rFonts w:cs="Times New Roman"/>
        </w:rPr>
        <w:t xml:space="preserve"> and Basle </w:t>
      </w:r>
      <w:r w:rsidRPr="002B5967">
        <w:rPr>
          <w:rFonts w:cs="Times New Roman"/>
        </w:rPr>
        <w:t>ІІ</w:t>
      </w:r>
      <w:r>
        <w:rPr>
          <w:rFonts w:cs="Times New Roman"/>
        </w:rPr>
        <w:t xml:space="preserve">. These accords were made to mitigate risks and improve control on banking </w:t>
      </w:r>
      <w:r w:rsidR="00B37756">
        <w:rPr>
          <w:rFonts w:cs="Times New Roman"/>
        </w:rPr>
        <w:t xml:space="preserve">policies in the G-10 countries. The two Basle </w:t>
      </w:r>
      <w:r>
        <w:rPr>
          <w:rFonts w:cs="Times New Roman"/>
        </w:rPr>
        <w:t>Accords</w:t>
      </w:r>
      <w:r w:rsidR="00B37756">
        <w:rPr>
          <w:rFonts w:cs="Times New Roman"/>
        </w:rPr>
        <w:t xml:space="preserve"> are significant </w:t>
      </w:r>
      <w:r w:rsidR="00625702">
        <w:rPr>
          <w:rFonts w:cs="Times New Roman"/>
        </w:rPr>
        <w:t>in this research hence they incentive banks to operate in a more prud</w:t>
      </w:r>
      <w:r w:rsidR="003E0026">
        <w:rPr>
          <w:rFonts w:cs="Times New Roman"/>
        </w:rPr>
        <w:t>e</w:t>
      </w:r>
      <w:r w:rsidR="00625702">
        <w:rPr>
          <w:rFonts w:cs="Times New Roman"/>
        </w:rPr>
        <w:t>nt way and thus mitigate improper and unjust bank behaviour that increases the probability of financial crises</w:t>
      </w:r>
      <w:r>
        <w:rPr>
          <w:rFonts w:cs="Times New Roman"/>
        </w:rPr>
        <w:t>.</w:t>
      </w:r>
    </w:p>
    <w:p w:rsidR="00926DB2" w:rsidRPr="00A72BD8" w:rsidRDefault="00926DB2" w:rsidP="00046654">
      <w:pPr>
        <w:spacing w:line="360" w:lineRule="auto"/>
        <w:jc w:val="both"/>
        <w:rPr>
          <w:rFonts w:cs="Times New Roman"/>
        </w:rPr>
      </w:pPr>
    </w:p>
    <w:p w:rsidR="00926DB2" w:rsidRDefault="00926DB2" w:rsidP="00046654">
      <w:pPr>
        <w:spacing w:line="360" w:lineRule="auto"/>
        <w:jc w:val="both"/>
        <w:rPr>
          <w:rFonts w:cs="Times New Roman"/>
        </w:rPr>
      </w:pPr>
    </w:p>
    <w:p w:rsidR="00926DB2" w:rsidRDefault="00926DB2" w:rsidP="00046654">
      <w:pPr>
        <w:spacing w:line="360" w:lineRule="auto"/>
        <w:jc w:val="both"/>
      </w:pPr>
    </w:p>
    <w:p w:rsidR="00926DB2" w:rsidRDefault="00926DB2" w:rsidP="00046654">
      <w:pPr>
        <w:spacing w:line="360" w:lineRule="auto"/>
        <w:jc w:val="both"/>
      </w:pPr>
    </w:p>
    <w:p w:rsidR="00926DB2" w:rsidRDefault="00926DB2" w:rsidP="00046654">
      <w:pPr>
        <w:spacing w:line="360" w:lineRule="auto"/>
        <w:jc w:val="both"/>
      </w:pPr>
    </w:p>
    <w:p w:rsidR="00926DB2" w:rsidRDefault="00926DB2" w:rsidP="00046654">
      <w:pPr>
        <w:spacing w:line="360" w:lineRule="auto"/>
        <w:jc w:val="both"/>
      </w:pPr>
    </w:p>
    <w:p w:rsidR="00926DB2" w:rsidRDefault="00926DB2" w:rsidP="009F6B24">
      <w:pPr>
        <w:pStyle w:val="Kop1"/>
        <w:jc w:val="both"/>
        <w:rPr>
          <w:b w:val="0"/>
          <w:bCs w:val="0"/>
          <w:kern w:val="0"/>
          <w:sz w:val="24"/>
          <w:szCs w:val="24"/>
        </w:rPr>
      </w:pPr>
    </w:p>
    <w:p w:rsidR="00810E7C" w:rsidRDefault="00810E7C" w:rsidP="00810E7C"/>
    <w:p w:rsidR="00810E7C" w:rsidRPr="00810E7C" w:rsidRDefault="00810E7C" w:rsidP="00810E7C"/>
    <w:p w:rsidR="00926DB2" w:rsidRPr="00C57F23" w:rsidRDefault="00926DB2" w:rsidP="009F6B24">
      <w:pPr>
        <w:pStyle w:val="Kop1"/>
        <w:jc w:val="both"/>
      </w:pPr>
      <w:bookmarkStart w:id="70" w:name="_Toc268186030"/>
      <w:r>
        <w:lastRenderedPageBreak/>
        <w:t xml:space="preserve">3 </w:t>
      </w:r>
      <w:r w:rsidRPr="00C57F23">
        <w:t>Accounting conservatism</w:t>
      </w:r>
      <w:bookmarkEnd w:id="70"/>
    </w:p>
    <w:p w:rsidR="00926DB2" w:rsidRPr="00C57F23" w:rsidRDefault="00926DB2" w:rsidP="009F6B24">
      <w:pPr>
        <w:spacing w:line="360" w:lineRule="auto"/>
        <w:ind w:left="480"/>
        <w:jc w:val="both"/>
      </w:pPr>
    </w:p>
    <w:p w:rsidR="00926DB2" w:rsidRPr="009F6B24" w:rsidRDefault="00926DB2" w:rsidP="009F6B24">
      <w:pPr>
        <w:spacing w:line="360" w:lineRule="auto"/>
        <w:jc w:val="both"/>
      </w:pPr>
      <w:r w:rsidRPr="00C57F23">
        <w:t xml:space="preserve">In this part </w:t>
      </w:r>
      <w:r w:rsidR="006F0737">
        <w:t xml:space="preserve">of the thesis an </w:t>
      </w:r>
      <w:r w:rsidRPr="00C57F23">
        <w:t>introduction to the general theory concerning accounting conservatism will be made. The accounting conservatism pri</w:t>
      </w:r>
      <w:r w:rsidR="008A7CFB">
        <w:t>nciple will be defined. Further</w:t>
      </w:r>
      <w:r w:rsidRPr="00C57F23">
        <w:t>more a discussion will be given on the importance of the accounting conservatism principle and its effects.</w:t>
      </w:r>
      <w:bookmarkStart w:id="71" w:name="_Toc251228824"/>
    </w:p>
    <w:p w:rsidR="00926DB2" w:rsidRDefault="00926DB2" w:rsidP="009F4EB2">
      <w:pPr>
        <w:pStyle w:val="Kop2"/>
        <w:jc w:val="both"/>
        <w:rPr>
          <w:rFonts w:ascii="Times New Roman" w:hAnsi="Times New Roman" w:cs="Times New Roman"/>
          <w:i w:val="0"/>
          <w:iCs w:val="0"/>
          <w:sz w:val="24"/>
          <w:szCs w:val="24"/>
        </w:rPr>
      </w:pPr>
      <w:bookmarkStart w:id="72" w:name="_Toc268186031"/>
      <w:r w:rsidRPr="009F6B24">
        <w:rPr>
          <w:rFonts w:ascii="Times New Roman" w:hAnsi="Times New Roman" w:cs="Times New Roman"/>
          <w:i w:val="0"/>
          <w:iCs w:val="0"/>
          <w:sz w:val="24"/>
          <w:szCs w:val="24"/>
        </w:rPr>
        <w:t xml:space="preserve">3.1 </w:t>
      </w:r>
      <w:bookmarkEnd w:id="71"/>
      <w:r w:rsidRPr="009F6B24">
        <w:rPr>
          <w:rFonts w:ascii="Times New Roman" w:hAnsi="Times New Roman" w:cs="Times New Roman"/>
          <w:i w:val="0"/>
          <w:iCs w:val="0"/>
          <w:sz w:val="24"/>
          <w:szCs w:val="24"/>
        </w:rPr>
        <w:t>Definition</w:t>
      </w:r>
      <w:bookmarkEnd w:id="72"/>
    </w:p>
    <w:p w:rsidR="00FE5DF7" w:rsidRDefault="00FE5DF7" w:rsidP="009F4EB2">
      <w:pPr>
        <w:jc w:val="both"/>
      </w:pPr>
    </w:p>
    <w:p w:rsidR="009F4EB2" w:rsidRDefault="00FE5DF7" w:rsidP="00F2248E">
      <w:pPr>
        <w:spacing w:line="360" w:lineRule="auto"/>
        <w:jc w:val="both"/>
        <w:rPr>
          <w:lang w:val="en-US"/>
        </w:rPr>
      </w:pPr>
      <w:r>
        <w:t xml:space="preserve">Conservatism is the difference between the recognition of profits </w:t>
      </w:r>
      <w:r w:rsidR="006135C3">
        <w:t>against</w:t>
      </w:r>
      <w:r>
        <w:t xml:space="preserve"> losses.</w:t>
      </w:r>
      <w:r w:rsidR="006135C3">
        <w:t xml:space="preserve"> In its most extreme manner all loses should be expected and no gains should be expected (Watts 2003; Bliss 1924). Thus gains should only be recognized if there is a legal claim to the revenues creating them.</w:t>
      </w:r>
      <w:r w:rsidR="00D23672">
        <w:t xml:space="preserve"> </w:t>
      </w:r>
      <w:r w:rsidR="00D23672">
        <w:rPr>
          <w:lang w:val="en-US"/>
        </w:rPr>
        <w:t>The recognition of losses should take place when it is assumed that these losses will occur, even when there is no legal claim for this. Practically</w:t>
      </w:r>
      <w:r w:rsidR="00165E3C">
        <w:rPr>
          <w:lang w:val="en-US"/>
        </w:rPr>
        <w:t xml:space="preserve"> this means that</w:t>
      </w:r>
      <w:r w:rsidR="00D23672">
        <w:rPr>
          <w:lang w:val="en-US"/>
        </w:rPr>
        <w:t xml:space="preserve"> auditors </w:t>
      </w:r>
      <w:r w:rsidR="00165E3C">
        <w:rPr>
          <w:lang w:val="en-US"/>
        </w:rPr>
        <w:t xml:space="preserve">need a higher degree of confirmation to recognize good information as gains than </w:t>
      </w:r>
      <w:r w:rsidR="00F2248E">
        <w:rPr>
          <w:lang w:val="en-US"/>
        </w:rPr>
        <w:t xml:space="preserve">bad information as losses (Basu </w:t>
      </w:r>
      <w:r w:rsidR="00165E3C">
        <w:rPr>
          <w:lang w:val="en-US"/>
        </w:rPr>
        <w:t>1997). This interpretation of conservatism is found in many accounting standards a</w:t>
      </w:r>
      <w:r w:rsidR="003C3CD2">
        <w:rPr>
          <w:lang w:val="en-US"/>
        </w:rPr>
        <w:t>nd concepts.</w:t>
      </w:r>
      <w:r w:rsidR="003C3CD2">
        <w:t xml:space="preserve">  </w:t>
      </w:r>
      <w:r w:rsidR="00926DB2">
        <w:rPr>
          <w:lang w:val="en-US"/>
        </w:rPr>
        <w:t xml:space="preserve">For instance, </w:t>
      </w:r>
      <w:r w:rsidR="003C3CD2">
        <w:rPr>
          <w:lang w:val="en-US"/>
        </w:rPr>
        <w:t xml:space="preserve">in </w:t>
      </w:r>
      <w:r w:rsidR="00926DB2">
        <w:rPr>
          <w:lang w:val="en-US"/>
        </w:rPr>
        <w:t>the Statement of Financial Accounting Concepts</w:t>
      </w:r>
      <w:r w:rsidR="003C3CD2">
        <w:rPr>
          <w:lang w:val="en-US"/>
        </w:rPr>
        <w:t xml:space="preserve"> (FASB 1980)</w:t>
      </w:r>
      <w:r w:rsidR="00926DB2">
        <w:rPr>
          <w:lang w:val="en-US"/>
        </w:rPr>
        <w:t xml:space="preserve"> </w:t>
      </w:r>
      <w:r w:rsidR="003C3CD2">
        <w:rPr>
          <w:lang w:val="en-US"/>
        </w:rPr>
        <w:t>it is stated that in the case of equal</w:t>
      </w:r>
      <w:r w:rsidR="00493063">
        <w:rPr>
          <w:lang w:val="en-US"/>
        </w:rPr>
        <w:t xml:space="preserve">ly like </w:t>
      </w:r>
      <w:r w:rsidR="003C3CD2">
        <w:rPr>
          <w:lang w:val="en-US"/>
        </w:rPr>
        <w:t xml:space="preserve">estimations of payments or </w:t>
      </w:r>
      <w:r w:rsidR="00493063">
        <w:rPr>
          <w:lang w:val="en-US"/>
        </w:rPr>
        <w:t xml:space="preserve">receiving’s in the future  conservatism obliges to use the </w:t>
      </w:r>
      <w:r w:rsidR="00FC4F78">
        <w:rPr>
          <w:lang w:val="en-US"/>
        </w:rPr>
        <w:t>less optimistic estimation.</w:t>
      </w:r>
      <w:r w:rsidR="009F4EB2">
        <w:rPr>
          <w:lang w:val="en-US"/>
        </w:rPr>
        <w:t xml:space="preserve"> </w:t>
      </w:r>
      <w:r w:rsidR="00FC4F78">
        <w:rPr>
          <w:lang w:val="en-US"/>
        </w:rPr>
        <w:t xml:space="preserve">The </w:t>
      </w:r>
      <w:r w:rsidR="00926DB2">
        <w:rPr>
          <w:lang w:val="en-US"/>
        </w:rPr>
        <w:t>Account</w:t>
      </w:r>
      <w:r w:rsidR="00FC4F78">
        <w:rPr>
          <w:lang w:val="en-US"/>
        </w:rPr>
        <w:t>ing Research Board (ARB) states that transitions in cost predictions should be instantly recognized by firms if these transitions result in future expected losses, while not if they result in future gains</w:t>
      </w:r>
      <w:r w:rsidR="009F4EB2">
        <w:rPr>
          <w:lang w:val="en-US"/>
        </w:rPr>
        <w:t xml:space="preserve">. </w:t>
      </w:r>
      <w:r w:rsidR="00926DB2">
        <w:rPr>
          <w:lang w:val="en-US"/>
        </w:rPr>
        <w:t>Thus conservatism results in a greater probability of timely accounting recognition of bad news than for good news (Basu 1997).</w:t>
      </w:r>
      <w:r w:rsidR="00F2248E">
        <w:rPr>
          <w:lang w:val="en-US"/>
        </w:rPr>
        <w:t xml:space="preserve"> Alternatively conservatism implies reporting the highest values of liabilities and costs and reporting the lowest values of assets and revenues (Belkaoui 1985).</w:t>
      </w:r>
      <w:bookmarkStart w:id="73" w:name="_Toc267323019"/>
    </w:p>
    <w:p w:rsidR="00926DB2" w:rsidRPr="009F6B24" w:rsidRDefault="00926DB2" w:rsidP="009F6B24">
      <w:pPr>
        <w:pStyle w:val="Kop2"/>
        <w:jc w:val="both"/>
        <w:rPr>
          <w:rFonts w:ascii="Times New Roman" w:hAnsi="Times New Roman" w:cs="Times New Roman"/>
          <w:i w:val="0"/>
          <w:iCs w:val="0"/>
          <w:sz w:val="24"/>
          <w:szCs w:val="24"/>
        </w:rPr>
      </w:pPr>
      <w:bookmarkStart w:id="74" w:name="_Toc268186032"/>
      <w:r w:rsidRPr="009F6B24">
        <w:rPr>
          <w:rStyle w:val="Nadruk"/>
          <w:rFonts w:ascii="Times New Roman" w:hAnsi="Times New Roman"/>
          <w:b/>
          <w:sz w:val="24"/>
          <w:szCs w:val="24"/>
        </w:rPr>
        <w:t>3.2 Conditional and unconditional accounting conservatism</w:t>
      </w:r>
      <w:bookmarkEnd w:id="73"/>
      <w:bookmarkEnd w:id="74"/>
    </w:p>
    <w:p w:rsidR="00080034" w:rsidRDefault="00926DB2" w:rsidP="007A7434">
      <w:pPr>
        <w:tabs>
          <w:tab w:val="left" w:pos="426"/>
        </w:tabs>
        <w:spacing w:before="240" w:line="360" w:lineRule="auto"/>
        <w:ind w:right="-1"/>
        <w:jc w:val="both"/>
        <w:rPr>
          <w:rFonts w:cs="Times New Roman"/>
          <w:color w:val="000000"/>
        </w:rPr>
      </w:pPr>
      <w:r>
        <w:rPr>
          <w:rFonts w:cs="Times New Roman"/>
        </w:rPr>
        <w:t xml:space="preserve">In this part two different types of accounting conservatism will be discussed. There is a distinction between conditional </w:t>
      </w:r>
      <w:r w:rsidR="00F2248E">
        <w:rPr>
          <w:rFonts w:cs="Times New Roman"/>
        </w:rPr>
        <w:t>a</w:t>
      </w:r>
      <w:r w:rsidR="009F4B74">
        <w:rPr>
          <w:rFonts w:cs="Times New Roman"/>
        </w:rPr>
        <w:t>nd unconditional conservatism. When bad information is recognize</w:t>
      </w:r>
      <w:r w:rsidR="005C7304">
        <w:rPr>
          <w:rFonts w:cs="Times New Roman"/>
        </w:rPr>
        <w:t>d in a timelier fashion than good</w:t>
      </w:r>
      <w:r w:rsidR="009F4B74">
        <w:rPr>
          <w:rFonts w:cs="Times New Roman"/>
        </w:rPr>
        <w:t xml:space="preserve"> information, conditional conservatism i</w:t>
      </w:r>
      <w:r w:rsidR="00080034">
        <w:rPr>
          <w:rFonts w:cs="Times New Roman"/>
        </w:rPr>
        <w:t>s mentioned; also known as news-dependent or ex-</w:t>
      </w:r>
      <w:r w:rsidR="009F4B74">
        <w:rPr>
          <w:rFonts w:cs="Times New Roman"/>
        </w:rPr>
        <w:t>post conservatis</w:t>
      </w:r>
      <w:r w:rsidR="00FD4BE7">
        <w:rPr>
          <w:rFonts w:cs="Times New Roman"/>
        </w:rPr>
        <w:t>m</w:t>
      </w:r>
      <w:r>
        <w:rPr>
          <w:rFonts w:cs="Times New Roman"/>
        </w:rPr>
        <w:t xml:space="preserve"> </w:t>
      </w:r>
      <w:r w:rsidR="00FD4BE7">
        <w:rPr>
          <w:rFonts w:cs="Times New Roman"/>
        </w:rPr>
        <w:t xml:space="preserve">(Beaver and Ryan 2005). Net assets are depreciated faster when receiving bad information than wrote-up </w:t>
      </w:r>
      <w:r w:rsidR="005C7304">
        <w:rPr>
          <w:rFonts w:cs="Times New Roman"/>
        </w:rPr>
        <w:t>upon receiving good information under conditional conservatism</w:t>
      </w:r>
      <w:r w:rsidR="00080034">
        <w:rPr>
          <w:rFonts w:cs="Times New Roman"/>
        </w:rPr>
        <w:t xml:space="preserve">. </w:t>
      </w:r>
      <w:r w:rsidRPr="00A41B0D">
        <w:rPr>
          <w:rFonts w:cs="Times New Roman"/>
        </w:rPr>
        <w:t xml:space="preserve">Conditional accounting conservatism </w:t>
      </w:r>
      <w:r w:rsidR="007A7434">
        <w:rPr>
          <w:rFonts w:cs="Times New Roman"/>
        </w:rPr>
        <w:t>refers to</w:t>
      </w:r>
      <w:r>
        <w:rPr>
          <w:rFonts w:cs="Times New Roman"/>
        </w:rPr>
        <w:t xml:space="preserve"> </w:t>
      </w:r>
      <w:r w:rsidRPr="00A41B0D">
        <w:rPr>
          <w:rFonts w:cs="Times New Roman"/>
        </w:rPr>
        <w:t>the application of accounting methods and policies that recognize bad news in e</w:t>
      </w:r>
      <w:r>
        <w:rPr>
          <w:rFonts w:cs="Times New Roman"/>
        </w:rPr>
        <w:t>arnings on a timelier basis than good news</w:t>
      </w:r>
      <w:r w:rsidRPr="00A41B0D">
        <w:rPr>
          <w:rFonts w:cs="Times New Roman"/>
        </w:rPr>
        <w:t xml:space="preserve"> </w:t>
      </w:r>
      <w:r>
        <w:rPr>
          <w:rFonts w:cs="Times New Roman"/>
        </w:rPr>
        <w:t>(Basu 1997; Pae 2007).</w:t>
      </w:r>
      <w:r w:rsidR="00080034">
        <w:rPr>
          <w:rFonts w:cs="Times New Roman"/>
        </w:rPr>
        <w:t xml:space="preserve"> Conditional </w:t>
      </w:r>
      <w:r w:rsidR="00080034">
        <w:rPr>
          <w:rFonts w:cs="Times New Roman"/>
        </w:rPr>
        <w:lastRenderedPageBreak/>
        <w:t xml:space="preserve">conservatism is more coherent to contracting than unconditional conservatism. </w:t>
      </w:r>
      <w:r>
        <w:rPr>
          <w:rFonts w:cs="Times New Roman"/>
        </w:rPr>
        <w:t xml:space="preserve">Conditional conservatism differs from unconditional conservatism, which is also known as news-independent or ex-ante conservatism. In the case of unconditional conservatism firms recognize book values of net assets which are understated during their course of life due to the adoption of accounting standards and rules in </w:t>
      </w:r>
      <w:r w:rsidR="00A9509F">
        <w:rPr>
          <w:rFonts w:cs="Times New Roman"/>
        </w:rPr>
        <w:t xml:space="preserve">bringing forth </w:t>
      </w:r>
      <w:r>
        <w:rPr>
          <w:rFonts w:cs="Times New Roman"/>
        </w:rPr>
        <w:t xml:space="preserve">the financial statements. That’s why </w:t>
      </w:r>
      <w:r w:rsidRPr="00A41B0D">
        <w:rPr>
          <w:rFonts w:cs="Times New Roman"/>
        </w:rPr>
        <w:t xml:space="preserve">unconditional conservatism is also </w:t>
      </w:r>
      <w:r>
        <w:rPr>
          <w:rFonts w:cs="Times New Roman"/>
        </w:rPr>
        <w:t>referred to as balance-sheet conservatism (Beaver and Ryan 2005</w:t>
      </w:r>
      <w:r w:rsidRPr="00031095">
        <w:rPr>
          <w:rFonts w:cs="Times New Roman"/>
          <w:color w:val="000000"/>
        </w:rPr>
        <w:t>).</w:t>
      </w:r>
      <w:r w:rsidR="00080034">
        <w:rPr>
          <w:rFonts w:cs="Times New Roman"/>
          <w:color w:val="000000"/>
        </w:rPr>
        <w:t xml:space="preserve"> The higher coherence with contracting makes conditional conservatism more suitable for this research. </w:t>
      </w:r>
      <w:r w:rsidR="00A9509F">
        <w:rPr>
          <w:rFonts w:cs="Times New Roman"/>
          <w:color w:val="000000"/>
        </w:rPr>
        <w:t>The general contracting explanation is when conservative reporting is used as a tool to approach moral hazard produced by interested parties to the company, because of the lack of business and payoff information of these parties (Watts 2003; Rees 2004).</w:t>
      </w:r>
    </w:p>
    <w:p w:rsidR="00926DB2" w:rsidRPr="009F6B24" w:rsidRDefault="00926DB2" w:rsidP="009F6B24">
      <w:pPr>
        <w:pStyle w:val="Kop2"/>
        <w:jc w:val="both"/>
        <w:rPr>
          <w:rStyle w:val="Nadruk"/>
          <w:rFonts w:ascii="Times New Roman" w:hAnsi="Times New Roman"/>
          <w:b/>
          <w:sz w:val="24"/>
          <w:szCs w:val="24"/>
        </w:rPr>
      </w:pPr>
      <w:bookmarkStart w:id="75" w:name="_Toc267323020"/>
      <w:bookmarkStart w:id="76" w:name="_Toc268186033"/>
      <w:r w:rsidRPr="009F6B24">
        <w:rPr>
          <w:rStyle w:val="Nadruk"/>
          <w:rFonts w:ascii="Times New Roman" w:hAnsi="Times New Roman"/>
          <w:b/>
          <w:sz w:val="24"/>
          <w:szCs w:val="24"/>
        </w:rPr>
        <w:t>3.3 Explanations of accounting conservatism</w:t>
      </w:r>
      <w:bookmarkEnd w:id="75"/>
      <w:bookmarkEnd w:id="76"/>
    </w:p>
    <w:p w:rsidR="00926DB2" w:rsidRDefault="00926DB2" w:rsidP="00046654">
      <w:pPr>
        <w:spacing w:line="360" w:lineRule="auto"/>
        <w:jc w:val="both"/>
        <w:rPr>
          <w:lang w:val="en-US"/>
        </w:rPr>
      </w:pPr>
    </w:p>
    <w:p w:rsidR="00926DB2" w:rsidRDefault="00A9509F" w:rsidP="00046654">
      <w:pPr>
        <w:spacing w:line="360" w:lineRule="auto"/>
        <w:jc w:val="both"/>
        <w:rPr>
          <w:lang w:val="en-US"/>
        </w:rPr>
      </w:pPr>
      <w:r>
        <w:rPr>
          <w:lang w:val="en-US"/>
        </w:rPr>
        <w:t>To explain the origin</w:t>
      </w:r>
      <w:r w:rsidR="00926DB2">
        <w:rPr>
          <w:lang w:val="en-US"/>
        </w:rPr>
        <w:t xml:space="preserve"> of the accounting conservatism principle several causes that are mentioned in the literature will be elaborated. In the literature the following explanations for conservatism are given (Watts 2003; Rees 2004):</w:t>
      </w:r>
    </w:p>
    <w:p w:rsidR="00926DB2" w:rsidRDefault="00926DB2" w:rsidP="00046654">
      <w:pPr>
        <w:spacing w:line="360" w:lineRule="auto"/>
        <w:jc w:val="both"/>
        <w:rPr>
          <w:lang w:val="en-US"/>
        </w:rPr>
      </w:pPr>
    </w:p>
    <w:p w:rsidR="00926DB2" w:rsidRPr="005413AF" w:rsidRDefault="00926DB2" w:rsidP="00046654">
      <w:pPr>
        <w:pStyle w:val="Lijstalinea"/>
        <w:numPr>
          <w:ilvl w:val="0"/>
          <w:numId w:val="6"/>
        </w:numPr>
        <w:spacing w:line="360" w:lineRule="auto"/>
        <w:jc w:val="both"/>
        <w:rPr>
          <w:lang w:val="en-US"/>
        </w:rPr>
      </w:pPr>
      <w:r>
        <w:rPr>
          <w:lang w:val="en-US"/>
        </w:rPr>
        <w:t>C</w:t>
      </w:r>
      <w:r w:rsidRPr="005413AF">
        <w:rPr>
          <w:lang w:val="en-US"/>
        </w:rPr>
        <w:t>ontracting</w:t>
      </w:r>
      <w:r>
        <w:rPr>
          <w:lang w:val="en-US"/>
        </w:rPr>
        <w:t xml:space="preserve"> </w:t>
      </w:r>
      <w:r>
        <w:rPr>
          <w:lang w:val="en-US"/>
        </w:rPr>
        <w:tab/>
      </w:r>
      <w:r>
        <w:rPr>
          <w:lang w:val="en-US"/>
        </w:rPr>
        <w:tab/>
      </w:r>
      <w:r>
        <w:rPr>
          <w:lang w:val="en-US"/>
        </w:rPr>
        <w:tab/>
        <w:t>(e.g. management behavior)</w:t>
      </w:r>
    </w:p>
    <w:p w:rsidR="00926DB2" w:rsidRPr="005413AF" w:rsidRDefault="00926DB2" w:rsidP="00046654">
      <w:pPr>
        <w:pStyle w:val="Lijstalinea"/>
        <w:numPr>
          <w:ilvl w:val="0"/>
          <w:numId w:val="6"/>
        </w:numPr>
        <w:spacing w:line="360" w:lineRule="auto"/>
        <w:jc w:val="both"/>
        <w:rPr>
          <w:lang w:val="en-US"/>
        </w:rPr>
      </w:pPr>
      <w:r>
        <w:rPr>
          <w:lang w:val="en-US"/>
        </w:rPr>
        <w:t xml:space="preserve">Shareholder litigation </w:t>
      </w:r>
      <w:r>
        <w:rPr>
          <w:lang w:val="en-US"/>
        </w:rPr>
        <w:tab/>
      </w:r>
      <w:r>
        <w:rPr>
          <w:lang w:val="en-US"/>
        </w:rPr>
        <w:tab/>
        <w:t>(e.g. reduce lawsuits)</w:t>
      </w:r>
    </w:p>
    <w:p w:rsidR="00926DB2" w:rsidRPr="005413AF" w:rsidRDefault="00926DB2" w:rsidP="00046654">
      <w:pPr>
        <w:pStyle w:val="Lijstalinea"/>
        <w:numPr>
          <w:ilvl w:val="0"/>
          <w:numId w:val="6"/>
        </w:numPr>
        <w:spacing w:line="360" w:lineRule="auto"/>
        <w:jc w:val="both"/>
        <w:rPr>
          <w:lang w:val="en-US"/>
        </w:rPr>
      </w:pPr>
      <w:r>
        <w:rPr>
          <w:lang w:val="en-US"/>
        </w:rPr>
        <w:t>Taxation</w:t>
      </w:r>
      <w:r w:rsidRPr="005413AF">
        <w:rPr>
          <w:lang w:val="en-US"/>
        </w:rPr>
        <w:t xml:space="preserve"> </w:t>
      </w:r>
      <w:r>
        <w:rPr>
          <w:lang w:val="en-US"/>
        </w:rPr>
        <w:tab/>
      </w:r>
      <w:r>
        <w:rPr>
          <w:lang w:val="en-US"/>
        </w:rPr>
        <w:tab/>
      </w:r>
      <w:r>
        <w:rPr>
          <w:lang w:val="en-US"/>
        </w:rPr>
        <w:tab/>
        <w:t xml:space="preserve">(e.g. reduce tax payments by earnings underestimation) </w:t>
      </w:r>
    </w:p>
    <w:p w:rsidR="00926DB2" w:rsidRDefault="00926DB2" w:rsidP="00046654">
      <w:pPr>
        <w:pStyle w:val="Lijstalinea"/>
        <w:numPr>
          <w:ilvl w:val="0"/>
          <w:numId w:val="6"/>
        </w:numPr>
        <w:spacing w:line="360" w:lineRule="auto"/>
        <w:jc w:val="both"/>
        <w:rPr>
          <w:lang w:val="en-US"/>
        </w:rPr>
      </w:pPr>
      <w:r>
        <w:rPr>
          <w:lang w:val="en-US"/>
        </w:rPr>
        <w:t>A</w:t>
      </w:r>
      <w:r w:rsidRPr="005413AF">
        <w:rPr>
          <w:lang w:val="en-US"/>
        </w:rPr>
        <w:t xml:space="preserve">ccounting regulation </w:t>
      </w:r>
      <w:r>
        <w:rPr>
          <w:lang w:val="en-US"/>
        </w:rPr>
        <w:tab/>
        <w:t>(e.g. setting standards)</w:t>
      </w:r>
    </w:p>
    <w:p w:rsidR="00926DB2" w:rsidRPr="005413AF" w:rsidRDefault="00926DB2" w:rsidP="00046654">
      <w:pPr>
        <w:pStyle w:val="Lijstalinea"/>
        <w:spacing w:line="360" w:lineRule="auto"/>
        <w:jc w:val="both"/>
        <w:rPr>
          <w:lang w:val="en-US"/>
        </w:rPr>
      </w:pPr>
    </w:p>
    <w:p w:rsidR="00926DB2" w:rsidRPr="00F94BD9" w:rsidRDefault="00926DB2" w:rsidP="00046654">
      <w:pPr>
        <w:spacing w:line="360" w:lineRule="auto"/>
        <w:jc w:val="both"/>
        <w:rPr>
          <w:lang w:val="en-US"/>
        </w:rPr>
      </w:pPr>
      <w:r>
        <w:rPr>
          <w:lang w:val="en-US"/>
        </w:rPr>
        <w:t>These explanations that are given for accounting conservatism will be discussed.</w:t>
      </w:r>
    </w:p>
    <w:p w:rsidR="00926DB2" w:rsidRDefault="00926DB2" w:rsidP="009F6B24">
      <w:pPr>
        <w:pStyle w:val="Kop3"/>
        <w:jc w:val="both"/>
        <w:rPr>
          <w:rFonts w:ascii="Times New Roman" w:hAnsi="Times New Roman" w:cs="Times New Roman"/>
          <w:b w:val="0"/>
          <w:bCs w:val="0"/>
          <w:i/>
          <w:iCs/>
          <w:color w:val="auto"/>
          <w:lang w:val="en-US"/>
        </w:rPr>
      </w:pPr>
      <w:bookmarkStart w:id="77" w:name="_Toc267323021"/>
      <w:bookmarkStart w:id="78" w:name="_Toc268186034"/>
      <w:r w:rsidRPr="009F6B24">
        <w:rPr>
          <w:rFonts w:ascii="Times New Roman" w:hAnsi="Times New Roman" w:cs="Times New Roman"/>
          <w:b w:val="0"/>
          <w:bCs w:val="0"/>
          <w:i/>
          <w:iCs/>
          <w:color w:val="auto"/>
          <w:lang w:val="en-US"/>
        </w:rPr>
        <w:t>3.3.1 Contracting</w:t>
      </w:r>
      <w:bookmarkEnd w:id="77"/>
      <w:bookmarkEnd w:id="78"/>
    </w:p>
    <w:p w:rsidR="00087FFA" w:rsidRDefault="00087FFA" w:rsidP="00087FFA">
      <w:pPr>
        <w:rPr>
          <w:lang w:val="en-US"/>
        </w:rPr>
      </w:pPr>
    </w:p>
    <w:p w:rsidR="00115650" w:rsidRDefault="005105E5" w:rsidP="00115650">
      <w:pPr>
        <w:spacing w:line="360" w:lineRule="auto"/>
        <w:jc w:val="both"/>
        <w:rPr>
          <w:lang w:val="en-US"/>
        </w:rPr>
      </w:pPr>
      <w:r>
        <w:rPr>
          <w:lang w:val="en-US"/>
        </w:rPr>
        <w:t xml:space="preserve">Accounting conservatism under the contracting explanation arises because different interested parties in an organization have unequal providence of information. This asymmetry </w:t>
      </w:r>
      <w:r w:rsidR="00AE1647">
        <w:rPr>
          <w:lang w:val="en-US"/>
        </w:rPr>
        <w:t xml:space="preserve">in </w:t>
      </w:r>
      <w:r>
        <w:rPr>
          <w:lang w:val="en-US"/>
        </w:rPr>
        <w:t>information causes moral hazard.</w:t>
      </w:r>
      <w:r w:rsidR="00AE1647">
        <w:rPr>
          <w:lang w:val="en-US"/>
        </w:rPr>
        <w:t xml:space="preserve"> C</w:t>
      </w:r>
      <w:r>
        <w:rPr>
          <w:lang w:val="en-US"/>
        </w:rPr>
        <w:t>onservative accounting is a means of approaching moral hazard caused by interested parties to the firm because these parties have less business information an</w:t>
      </w:r>
      <w:r w:rsidR="00AE1647">
        <w:rPr>
          <w:lang w:val="en-US"/>
        </w:rPr>
        <w:t>d information about the payoffs (Watts 2003). The limited liability and constricted horizon of the management also contributes to moral hazard (Watts 2003; Rees 2004).</w:t>
      </w:r>
      <w:r w:rsidR="007A7D86">
        <w:rPr>
          <w:lang w:val="en-US"/>
        </w:rPr>
        <w:t xml:space="preserve"> Normally managers overstate financial figures to obtain higher rewards. Conservatism </w:t>
      </w:r>
      <w:r w:rsidR="007A7D86">
        <w:rPr>
          <w:lang w:val="en-US"/>
        </w:rPr>
        <w:lastRenderedPageBreak/>
        <w:t>restricts this opportunistic behavio</w:t>
      </w:r>
      <w:r w:rsidR="00115650">
        <w:rPr>
          <w:lang w:val="en-US"/>
        </w:rPr>
        <w:t>r with its asymmetrical verifiability requirement; obtain all loses and gains only if they are verifiably realizable (Hayn 1995).</w:t>
      </w:r>
    </w:p>
    <w:p w:rsidR="00926DB2" w:rsidRPr="00EE3756" w:rsidRDefault="00926DB2" w:rsidP="00046654">
      <w:pPr>
        <w:spacing w:line="360" w:lineRule="auto"/>
        <w:jc w:val="both"/>
      </w:pPr>
    </w:p>
    <w:p w:rsidR="00115650" w:rsidRDefault="00926DB2" w:rsidP="00046654">
      <w:pPr>
        <w:spacing w:line="360" w:lineRule="auto"/>
        <w:jc w:val="both"/>
      </w:pPr>
      <w:r w:rsidRPr="00EE3756">
        <w:t>The next cause of moral hazard is the limited liability of the manager. The managers limited working period and limi</w:t>
      </w:r>
      <w:r>
        <w:t>ted liability play a principal</w:t>
      </w:r>
      <w:r w:rsidRPr="00EE3756">
        <w:t xml:space="preserve"> part in explaining the need for accounting conservatism’s differential ve</w:t>
      </w:r>
      <w:r w:rsidR="00115650">
        <w:t>rifiability (Watts 2003). From the manager’s point of view conservatism makes it very difficult to recover of excess compensation</w:t>
      </w:r>
      <w:r w:rsidR="00115650" w:rsidRPr="00115650">
        <w:t xml:space="preserve"> </w:t>
      </w:r>
      <w:r w:rsidR="00115650" w:rsidRPr="00EE3756">
        <w:t>payments and repair for excess investments</w:t>
      </w:r>
      <w:r w:rsidR="00115650">
        <w:t xml:space="preserve"> when the manager departures the firm before cash flow realization (Basu 1997).</w:t>
      </w:r>
    </w:p>
    <w:p w:rsidR="00115650" w:rsidRDefault="00115650" w:rsidP="00046654">
      <w:pPr>
        <w:spacing w:line="360" w:lineRule="auto"/>
        <w:jc w:val="both"/>
      </w:pPr>
    </w:p>
    <w:p w:rsidR="00926DB2" w:rsidRPr="00EE3756" w:rsidRDefault="001D1889" w:rsidP="00046654">
      <w:pPr>
        <w:spacing w:line="360" w:lineRule="auto"/>
        <w:jc w:val="both"/>
      </w:pPr>
      <w:r>
        <w:t>The final explanation</w:t>
      </w:r>
      <w:r w:rsidR="00926DB2" w:rsidRPr="00EE3756">
        <w:t xml:space="preserve"> of moral hazard is the manager’s limited horizon. Managers with a limited horizon will </w:t>
      </w:r>
      <w:r>
        <w:t>not have the incentive to undertake</w:t>
      </w:r>
      <w:r w:rsidR="00926DB2" w:rsidRPr="00EE3756">
        <w:t xml:space="preserve"> negative NPV-projects (in t=1) that will be profitable in the long run</w:t>
      </w:r>
      <w:r>
        <w:t xml:space="preserve"> (t=2, t=n)</w:t>
      </w:r>
      <w:r w:rsidR="00926DB2" w:rsidRPr="00EE3756">
        <w:t xml:space="preserve">. The net present value of such a project is calculated as follows: </w:t>
      </w:r>
      <w:r w:rsidR="00926DB2" w:rsidRPr="00EE3756">
        <w:tab/>
      </w:r>
    </w:p>
    <w:p w:rsidR="00926DB2" w:rsidRDefault="00926DB2" w:rsidP="00046654">
      <w:pPr>
        <w:jc w:val="both"/>
        <w:rPr>
          <w:b/>
          <w:i/>
        </w:rPr>
      </w:pPr>
    </w:p>
    <w:p w:rsidR="00926DB2" w:rsidRPr="0004260B" w:rsidRDefault="007A7434" w:rsidP="00046654">
      <w:pPr>
        <w:spacing w:line="360" w:lineRule="auto"/>
        <w:jc w:val="both"/>
      </w:pPr>
      <w:r w:rsidRPr="0004260B">
        <w:rPr>
          <w:b/>
          <w:bCs/>
          <w:i/>
          <w:iCs/>
        </w:rPr>
        <w:t>NPV = Rt</w:t>
      </w:r>
      <w:r>
        <w:rPr>
          <w:b/>
          <w:bCs/>
          <w:i/>
          <w:iCs/>
        </w:rPr>
        <w:t xml:space="preserve"> </w:t>
      </w:r>
      <w:r w:rsidRPr="0004260B">
        <w:rPr>
          <w:b/>
          <w:bCs/>
          <w:i/>
          <w:iCs/>
        </w:rPr>
        <w:t xml:space="preserve"> /</w:t>
      </w:r>
      <w:r>
        <w:rPr>
          <w:b/>
          <w:bCs/>
          <w:i/>
          <w:iCs/>
        </w:rPr>
        <w:t xml:space="preserve"> </w:t>
      </w:r>
      <w:r w:rsidR="00926DB2">
        <w:rPr>
          <w:b/>
          <w:bCs/>
          <w:i/>
          <w:iCs/>
        </w:rPr>
        <w:t xml:space="preserve"> </w:t>
      </w:r>
      <w:r w:rsidR="00926DB2" w:rsidRPr="0004260B">
        <w:rPr>
          <w:b/>
          <w:bCs/>
          <w:i/>
          <w:iCs/>
        </w:rPr>
        <w:t>(1+i</w:t>
      </w:r>
      <w:r w:rsidRPr="0004260B">
        <w:rPr>
          <w:b/>
          <w:bCs/>
          <w:i/>
          <w:iCs/>
        </w:rPr>
        <w:t>) ^</w:t>
      </w:r>
      <w:r w:rsidR="00926DB2" w:rsidRPr="0004260B">
        <w:rPr>
          <w:b/>
          <w:bCs/>
          <w:i/>
          <w:iCs/>
        </w:rPr>
        <w:t>t</w:t>
      </w:r>
      <w:r w:rsidR="00926DB2">
        <w:tab/>
      </w:r>
      <w:r w:rsidR="00926DB2">
        <w:tab/>
      </w:r>
      <w:r w:rsidR="00926DB2">
        <w:tab/>
      </w:r>
      <w:r w:rsidR="00926DB2">
        <w:tab/>
      </w:r>
      <w:r w:rsidR="00926DB2">
        <w:tab/>
      </w:r>
      <w:r w:rsidR="00926DB2">
        <w:tab/>
      </w:r>
      <w:r w:rsidR="00926DB2">
        <w:tab/>
      </w:r>
      <w:r w:rsidR="00926DB2">
        <w:tab/>
      </w:r>
      <w:r w:rsidR="00926DB2" w:rsidRPr="006B2369">
        <w:rPr>
          <w:b/>
          <w:i/>
        </w:rPr>
        <w:tab/>
        <w:t>(1)</w:t>
      </w:r>
      <w:r w:rsidR="00926DB2" w:rsidRPr="0004260B">
        <w:tab/>
      </w:r>
      <w:r w:rsidR="00926DB2" w:rsidRPr="0004260B">
        <w:tab/>
      </w:r>
      <w:r w:rsidR="00926DB2" w:rsidRPr="0004260B">
        <w:tab/>
      </w:r>
      <w:r w:rsidR="00926DB2" w:rsidRPr="0004260B">
        <w:tab/>
      </w:r>
      <w:r w:rsidR="00926DB2" w:rsidRPr="0004260B">
        <w:tab/>
      </w:r>
      <w:r w:rsidR="00926DB2" w:rsidRPr="0004260B">
        <w:tab/>
      </w:r>
      <w:r w:rsidR="00926DB2" w:rsidRPr="0004260B">
        <w:tab/>
      </w:r>
      <w:r w:rsidR="00926DB2" w:rsidRPr="0004260B">
        <w:tab/>
      </w:r>
    </w:p>
    <w:p w:rsidR="00926DB2" w:rsidRPr="0004260B" w:rsidRDefault="00926DB2" w:rsidP="00046654">
      <w:pPr>
        <w:spacing w:line="360" w:lineRule="auto"/>
        <w:jc w:val="both"/>
      </w:pPr>
      <w:r w:rsidRPr="0004260B">
        <w:rPr>
          <w:b/>
          <w:bCs/>
        </w:rPr>
        <w:t xml:space="preserve"> t</w:t>
      </w:r>
      <w:r w:rsidRPr="0004260B">
        <w:t xml:space="preserve"> represents the time of the cash flow</w:t>
      </w:r>
    </w:p>
    <w:p w:rsidR="00926DB2" w:rsidRPr="0004260B" w:rsidRDefault="00926DB2" w:rsidP="00046654">
      <w:pPr>
        <w:spacing w:line="360" w:lineRule="auto"/>
        <w:jc w:val="both"/>
      </w:pPr>
      <w:r w:rsidRPr="0004260B">
        <w:t xml:space="preserve"> </w:t>
      </w:r>
      <w:r w:rsidRPr="0004260B">
        <w:rPr>
          <w:b/>
          <w:bCs/>
        </w:rPr>
        <w:t xml:space="preserve">i </w:t>
      </w:r>
      <w:r w:rsidRPr="0004260B">
        <w:t xml:space="preserve">represents the discount rate </w:t>
      </w:r>
    </w:p>
    <w:p w:rsidR="00926DB2" w:rsidRPr="0004260B" w:rsidRDefault="00926DB2" w:rsidP="00046654">
      <w:pPr>
        <w:spacing w:line="360" w:lineRule="auto"/>
        <w:jc w:val="both"/>
      </w:pPr>
      <w:r w:rsidRPr="0004260B">
        <w:rPr>
          <w:b/>
          <w:bCs/>
        </w:rPr>
        <w:t>Rt</w:t>
      </w:r>
      <w:r w:rsidRPr="0004260B">
        <w:t xml:space="preserve">  represents the net cash flow at time t</w:t>
      </w:r>
    </w:p>
    <w:p w:rsidR="00432A5C" w:rsidRPr="0004260B" w:rsidRDefault="00432A5C" w:rsidP="00046654">
      <w:pPr>
        <w:spacing w:line="360" w:lineRule="auto"/>
        <w:jc w:val="both"/>
      </w:pPr>
    </w:p>
    <w:p w:rsidR="00926DB2" w:rsidRDefault="00432A5C" w:rsidP="009F6B24">
      <w:pPr>
        <w:spacing w:line="360" w:lineRule="auto"/>
        <w:jc w:val="both"/>
      </w:pPr>
      <w:r>
        <w:t xml:space="preserve">The NPV is an important financial </w:t>
      </w:r>
      <w:r w:rsidR="00926DB2" w:rsidRPr="0004260B">
        <w:t xml:space="preserve">model </w:t>
      </w:r>
      <w:r w:rsidR="00926DB2">
        <w:t>used to estimate the</w:t>
      </w:r>
      <w:r w:rsidR="00926DB2" w:rsidRPr="0004260B">
        <w:t xml:space="preserve"> value a</w:t>
      </w:r>
      <w:r>
        <w:t>n investment adds to the company</w:t>
      </w:r>
      <w:r w:rsidR="00926DB2">
        <w:t>.</w:t>
      </w:r>
      <w:r w:rsidR="006850AB">
        <w:t xml:space="preserve"> The above mentioned projects (negative NPV at t=1) will not be executed by managers if conservatism is not applied in their benefit contracts. The managers will</w:t>
      </w:r>
      <w:r w:rsidR="008D1A6F">
        <w:t xml:space="preserve"> then</w:t>
      </w:r>
      <w:r w:rsidR="006850AB">
        <w:t xml:space="preserve"> only look at the short run and choose NPV projects that generate the highest amount of earnings in the first period(s) (Watts 2003).</w:t>
      </w:r>
      <w:r w:rsidR="008D1A6F">
        <w:t xml:space="preserve"> Appliance of conservatism in the benefit contracts will expand the horizon of the managers</w:t>
      </w:r>
      <w:r w:rsidR="003F7EEF">
        <w:t>. This</w:t>
      </w:r>
      <w:r w:rsidR="008D1A6F">
        <w:t xml:space="preserve"> means they will also execute </w:t>
      </w:r>
      <w:r w:rsidR="008D1A6F" w:rsidRPr="0004260B">
        <w:t>projects that have negative NPV’s in the first period(s) but will generate positive NPV’s in the future.</w:t>
      </w:r>
      <w:r w:rsidR="008D1A6F">
        <w:t xml:space="preserve"> Hence profitable NPV projects over the long-run that initially were negative contribute to a maximization of shareholders value and continuity of the business operations (Watts 2003).</w:t>
      </w:r>
      <w:r w:rsidR="003F7EEF">
        <w:t xml:space="preserve"> </w:t>
      </w:r>
      <w:r w:rsidR="00926DB2" w:rsidRPr="0004260B">
        <w:t>Subseque</w:t>
      </w:r>
      <w:r w:rsidR="003F7EEF">
        <w:t xml:space="preserve">ntly conservatism obligates </w:t>
      </w:r>
      <w:r w:rsidR="00926DB2" w:rsidRPr="0004260B">
        <w:t>managers to maximize the value of the company instead of enr</w:t>
      </w:r>
      <w:r w:rsidR="003F7EEF">
        <w:t>iching themselves with bonuses. Conservatism delays the recognition of</w:t>
      </w:r>
      <w:r w:rsidR="00926DB2">
        <w:t xml:space="preserve"> profits</w:t>
      </w:r>
      <w:r w:rsidR="00926DB2" w:rsidRPr="0004260B">
        <w:t xml:space="preserve"> that</w:t>
      </w:r>
      <w:r w:rsidR="00926DB2">
        <w:t xml:space="preserve"> stimulate</w:t>
      </w:r>
      <w:r w:rsidR="00926DB2" w:rsidRPr="0004260B">
        <w:t xml:space="preserve"> managers to only focus and execute s</w:t>
      </w:r>
      <w:r w:rsidR="003F7EEF">
        <w:t>hort term positive NPV-projects</w:t>
      </w:r>
      <w:r w:rsidR="00926DB2" w:rsidRPr="0004260B">
        <w:t xml:space="preserve"> (Watts 2003; </w:t>
      </w:r>
      <w:r w:rsidR="00FB385F">
        <w:t xml:space="preserve"> </w:t>
      </w:r>
      <w:r w:rsidR="00926DB2" w:rsidRPr="0004260B">
        <w:t>Smith and Warner 1979).</w:t>
      </w:r>
    </w:p>
    <w:p w:rsidR="00926DB2" w:rsidRPr="009F6B24" w:rsidRDefault="00926DB2" w:rsidP="009F6B24">
      <w:pPr>
        <w:pStyle w:val="Kop3"/>
        <w:jc w:val="both"/>
        <w:rPr>
          <w:rFonts w:ascii="Times New Roman" w:hAnsi="Times New Roman" w:cs="Times New Roman"/>
          <w:b w:val="0"/>
          <w:bCs w:val="0"/>
          <w:i/>
          <w:iCs/>
          <w:color w:val="auto"/>
        </w:rPr>
      </w:pPr>
      <w:bookmarkStart w:id="79" w:name="_Toc268186035"/>
      <w:r w:rsidRPr="009F6B24">
        <w:rPr>
          <w:rFonts w:ascii="Times New Roman" w:hAnsi="Times New Roman" w:cs="Times New Roman"/>
          <w:b w:val="0"/>
          <w:bCs w:val="0"/>
          <w:i/>
          <w:iCs/>
          <w:color w:val="auto"/>
        </w:rPr>
        <w:lastRenderedPageBreak/>
        <w:t>3.3.2 Shareholder litigation</w:t>
      </w:r>
      <w:bookmarkEnd w:id="79"/>
    </w:p>
    <w:p w:rsidR="00926DB2" w:rsidRPr="0004260B" w:rsidRDefault="00926DB2" w:rsidP="00F91A3B">
      <w:pPr>
        <w:spacing w:line="360" w:lineRule="auto"/>
        <w:jc w:val="both"/>
      </w:pPr>
    </w:p>
    <w:p w:rsidR="00926DB2" w:rsidRPr="008C0BC4" w:rsidRDefault="00926DB2" w:rsidP="00046654">
      <w:pPr>
        <w:spacing w:line="360" w:lineRule="auto"/>
        <w:jc w:val="both"/>
      </w:pPr>
      <w:r w:rsidRPr="0004260B">
        <w:t>The next explanation for accounting conservat</w:t>
      </w:r>
      <w:r w:rsidR="003F7EEF">
        <w:t>ism is shareholders litigation. Companies that overstate their net assets probably will have higher litigation costs than companies that understate net assets. Overstatement of net assets means that the computed value for these net assets by the company is higher than the market value of the net assets (Beaver 1993).</w:t>
      </w:r>
      <w:r w:rsidR="00F91A3B">
        <w:t xml:space="preserve"> Thus t</w:t>
      </w:r>
      <w:r w:rsidR="003F7EEF">
        <w:t>he company is</w:t>
      </w:r>
      <w:r w:rsidR="00F91A3B">
        <w:t xml:space="preserve"> now</w:t>
      </w:r>
      <w:r w:rsidR="003F7EEF">
        <w:t xml:space="preserve"> more sensitive for acquisitions of shareholders that the firm presents false or biased</w:t>
      </w:r>
      <w:r w:rsidR="00F91A3B">
        <w:t xml:space="preserve"> information</w:t>
      </w:r>
      <w:r w:rsidR="003B1B56">
        <w:t>. Conservative companies most probably will understate their net assets which implies lower litigation costs (Kellog 1984; Watts 1993).</w:t>
      </w:r>
    </w:p>
    <w:p w:rsidR="00926DB2" w:rsidRPr="009F6B24" w:rsidRDefault="00926DB2" w:rsidP="009F6B24">
      <w:pPr>
        <w:pStyle w:val="Kop3"/>
        <w:jc w:val="both"/>
        <w:rPr>
          <w:rFonts w:ascii="Times New Roman" w:hAnsi="Times New Roman" w:cs="Times New Roman"/>
          <w:b w:val="0"/>
          <w:bCs w:val="0"/>
          <w:i/>
          <w:iCs/>
          <w:color w:val="auto"/>
        </w:rPr>
      </w:pPr>
      <w:bookmarkStart w:id="80" w:name="_Toc268186036"/>
      <w:r w:rsidRPr="009F6B24">
        <w:rPr>
          <w:rFonts w:ascii="Times New Roman" w:hAnsi="Times New Roman" w:cs="Times New Roman"/>
          <w:b w:val="0"/>
          <w:bCs w:val="0"/>
          <w:i/>
          <w:iCs/>
          <w:color w:val="auto"/>
        </w:rPr>
        <w:t>3.3.3 Income tax &amp; Firm governance</w:t>
      </w:r>
      <w:bookmarkEnd w:id="80"/>
    </w:p>
    <w:p w:rsidR="00926DB2" w:rsidRPr="0004260B" w:rsidRDefault="00926DB2" w:rsidP="00046654">
      <w:pPr>
        <w:spacing w:line="360" w:lineRule="auto"/>
        <w:jc w:val="both"/>
      </w:pPr>
    </w:p>
    <w:p w:rsidR="00926DB2" w:rsidRPr="00F91A3B" w:rsidRDefault="00926DB2" w:rsidP="00046654">
      <w:pPr>
        <w:spacing w:line="360" w:lineRule="auto"/>
        <w:jc w:val="both"/>
      </w:pPr>
      <w:r w:rsidRPr="0004260B">
        <w:t xml:space="preserve">The third explanation for accounting </w:t>
      </w:r>
      <w:r w:rsidR="00F91A3B">
        <w:t>conservatism is income tax. Applying conservatism means instant recognition of losses</w:t>
      </w:r>
      <w:r w:rsidRPr="0004260B">
        <w:t xml:space="preserve"> and gains only if</w:t>
      </w:r>
      <w:r w:rsidR="00F91A3B">
        <w:t xml:space="preserve"> it is verifiable that they are going to be</w:t>
      </w:r>
      <w:r w:rsidRPr="0004260B">
        <w:t xml:space="preserve"> re</w:t>
      </w:r>
      <w:r w:rsidR="00F91A3B">
        <w:t xml:space="preserve">alized. </w:t>
      </w:r>
      <w:r w:rsidRPr="0004260B">
        <w:t>This</w:t>
      </w:r>
      <w:r>
        <w:rPr>
          <w:lang w:val="en-US"/>
        </w:rPr>
        <w:t xml:space="preserve"> enables managers of profitable firms to reduce the present amount of tax payments and inc</w:t>
      </w:r>
      <w:r w:rsidR="00FB385F">
        <w:rPr>
          <w:lang w:val="en-US"/>
        </w:rPr>
        <w:t xml:space="preserve">rease the value of the company </w:t>
      </w:r>
      <w:r w:rsidR="00F91A3B">
        <w:rPr>
          <w:lang w:val="en-US"/>
        </w:rPr>
        <w:t xml:space="preserve">(Rees 2004; </w:t>
      </w:r>
      <w:r>
        <w:rPr>
          <w:lang w:val="en-US"/>
        </w:rPr>
        <w:t>Watts and Zimmerman 1979)</w:t>
      </w:r>
      <w:r w:rsidR="00FB385F">
        <w:rPr>
          <w:lang w:val="en-US"/>
        </w:rPr>
        <w:t>.</w:t>
      </w:r>
    </w:p>
    <w:p w:rsidR="005605D9" w:rsidRDefault="005605D9" w:rsidP="00046654">
      <w:pPr>
        <w:spacing w:line="360" w:lineRule="auto"/>
        <w:jc w:val="both"/>
        <w:rPr>
          <w:lang w:val="en-US"/>
        </w:rPr>
      </w:pPr>
    </w:p>
    <w:p w:rsidR="00926DB2" w:rsidRPr="006B2369" w:rsidRDefault="005605D9" w:rsidP="00046654">
      <w:pPr>
        <w:spacing w:line="360" w:lineRule="auto"/>
        <w:jc w:val="both"/>
        <w:rPr>
          <w:lang w:val="en-US"/>
        </w:rPr>
      </w:pPr>
      <w:r>
        <w:rPr>
          <w:lang w:val="en-US"/>
        </w:rPr>
        <w:t>A</w:t>
      </w:r>
      <w:r w:rsidR="00926DB2">
        <w:rPr>
          <w:lang w:val="en-US"/>
        </w:rPr>
        <w:t>ccounting conservatism could</w:t>
      </w:r>
      <w:r>
        <w:rPr>
          <w:lang w:val="en-US"/>
        </w:rPr>
        <w:t xml:space="preserve"> also</w:t>
      </w:r>
      <w:r w:rsidR="00926DB2">
        <w:rPr>
          <w:lang w:val="en-US"/>
        </w:rPr>
        <w:t xml:space="preserve"> be</w:t>
      </w:r>
      <w:r>
        <w:rPr>
          <w:lang w:val="en-US"/>
        </w:rPr>
        <w:t xml:space="preserve"> caused by</w:t>
      </w:r>
      <w:r w:rsidR="00926DB2">
        <w:rPr>
          <w:lang w:val="en-US"/>
        </w:rPr>
        <w:t xml:space="preserve"> firm governance. The asymmetric verifiability requirement of accounting conservatism </w:t>
      </w:r>
      <w:r>
        <w:rPr>
          <w:lang w:val="en-US"/>
        </w:rPr>
        <w:t xml:space="preserve">could be </w:t>
      </w:r>
      <w:r w:rsidR="00926DB2">
        <w:rPr>
          <w:lang w:val="en-US"/>
        </w:rPr>
        <w:t>caused by employment contra</w:t>
      </w:r>
      <w:r>
        <w:rPr>
          <w:lang w:val="en-US"/>
        </w:rPr>
        <w:t>cts or firm governance reasons. Normally losses are hided by managers to prevent being fired before the end of their contracts (Watts 2003)</w:t>
      </w:r>
      <w:r w:rsidR="003878E4">
        <w:rPr>
          <w:lang w:val="en-US"/>
        </w:rPr>
        <w:t xml:space="preserve">. </w:t>
      </w:r>
      <w:r>
        <w:rPr>
          <w:lang w:val="en-US"/>
        </w:rPr>
        <w:t>Due to the asymmetry between recognizing gains and losses,</w:t>
      </w:r>
      <w:r w:rsidR="00926DB2">
        <w:rPr>
          <w:lang w:val="en-US"/>
        </w:rPr>
        <w:t xml:space="preserve"> losses will be recognized faster </w:t>
      </w:r>
      <w:r>
        <w:rPr>
          <w:lang w:val="en-US"/>
        </w:rPr>
        <w:t xml:space="preserve">than gains </w:t>
      </w:r>
      <w:r w:rsidR="00926DB2">
        <w:rPr>
          <w:lang w:val="en-US"/>
        </w:rPr>
        <w:t xml:space="preserve">which informs the board of </w:t>
      </w:r>
      <w:r>
        <w:rPr>
          <w:lang w:val="en-US"/>
        </w:rPr>
        <w:t>directors and shareholders immediately about</w:t>
      </w:r>
      <w:r w:rsidR="00926DB2">
        <w:rPr>
          <w:lang w:val="en-US"/>
        </w:rPr>
        <w:t xml:space="preserve"> these losses. This could lead to an investigation for reasons of these losses and could res</w:t>
      </w:r>
      <w:r>
        <w:rPr>
          <w:lang w:val="en-US"/>
        </w:rPr>
        <w:t xml:space="preserve">ult in discharging the manager </w:t>
      </w:r>
      <w:r w:rsidR="00114D26">
        <w:rPr>
          <w:lang w:val="en-US"/>
        </w:rPr>
        <w:t>(Watts 2003).</w:t>
      </w:r>
    </w:p>
    <w:p w:rsidR="00926DB2" w:rsidRPr="009F6B24" w:rsidRDefault="00926DB2" w:rsidP="009F6B24">
      <w:pPr>
        <w:pStyle w:val="Kop3"/>
        <w:jc w:val="both"/>
        <w:rPr>
          <w:rFonts w:ascii="Times New Roman" w:hAnsi="Times New Roman" w:cs="Times New Roman"/>
          <w:b w:val="0"/>
          <w:bCs w:val="0"/>
          <w:i/>
          <w:iCs/>
          <w:color w:val="auto"/>
          <w:szCs w:val="24"/>
          <w:lang w:val="en-US"/>
        </w:rPr>
      </w:pPr>
      <w:bookmarkStart w:id="81" w:name="_Toc267323022"/>
      <w:bookmarkStart w:id="82" w:name="_Toc268186037"/>
      <w:r w:rsidRPr="009F6B24">
        <w:rPr>
          <w:rFonts w:ascii="Times New Roman" w:hAnsi="Times New Roman" w:cs="Times New Roman"/>
          <w:b w:val="0"/>
          <w:bCs w:val="0"/>
          <w:i/>
          <w:iCs/>
          <w:color w:val="auto"/>
          <w:szCs w:val="24"/>
          <w:lang w:val="en-US"/>
        </w:rPr>
        <w:t>3.3.4 Accounting Regulation</w:t>
      </w:r>
      <w:bookmarkEnd w:id="81"/>
      <w:bookmarkEnd w:id="82"/>
    </w:p>
    <w:p w:rsidR="00926DB2" w:rsidRPr="00724AEB" w:rsidRDefault="00926DB2" w:rsidP="00046654">
      <w:pPr>
        <w:jc w:val="both"/>
        <w:rPr>
          <w:lang w:val="en-US"/>
        </w:rPr>
      </w:pPr>
    </w:p>
    <w:p w:rsidR="00926DB2" w:rsidRDefault="00926DB2" w:rsidP="00046654">
      <w:pPr>
        <w:spacing w:line="360" w:lineRule="auto"/>
        <w:jc w:val="both"/>
        <w:rPr>
          <w:lang w:val="en-US"/>
        </w:rPr>
      </w:pPr>
      <w:r>
        <w:rPr>
          <w:lang w:val="en-US"/>
        </w:rPr>
        <w:t>The final explanation of accounting conservatism</w:t>
      </w:r>
      <w:r w:rsidR="00342C41">
        <w:rPr>
          <w:lang w:val="en-US"/>
        </w:rPr>
        <w:t xml:space="preserve"> is the regulatory explanation. Regulations provide incentives for companies to report </w:t>
      </w:r>
      <w:r>
        <w:rPr>
          <w:lang w:val="en-US"/>
        </w:rPr>
        <w:t xml:space="preserve">conservative financial statements. </w:t>
      </w:r>
      <w:r w:rsidR="00342C41">
        <w:rPr>
          <w:lang w:val="en-US"/>
        </w:rPr>
        <w:t>L</w:t>
      </w:r>
      <w:r>
        <w:rPr>
          <w:lang w:val="en-US"/>
        </w:rPr>
        <w:t xml:space="preserve">osses </w:t>
      </w:r>
      <w:r w:rsidR="00342C41">
        <w:rPr>
          <w:lang w:val="en-US"/>
        </w:rPr>
        <w:t>as a result of overvaluation of</w:t>
      </w:r>
      <w:r>
        <w:rPr>
          <w:lang w:val="en-US"/>
        </w:rPr>
        <w:t xml:space="preserve"> assets and </w:t>
      </w:r>
      <w:r w:rsidR="00F2537C">
        <w:rPr>
          <w:lang w:val="en-US"/>
        </w:rPr>
        <w:t xml:space="preserve">income are </w:t>
      </w:r>
      <w:r>
        <w:rPr>
          <w:lang w:val="en-US"/>
        </w:rPr>
        <w:t>more observable in the political p</w:t>
      </w:r>
      <w:r w:rsidR="00F2537C">
        <w:rPr>
          <w:lang w:val="en-US"/>
        </w:rPr>
        <w:t>rocess than lost gains as a result of</w:t>
      </w:r>
      <w:r>
        <w:rPr>
          <w:lang w:val="en-US"/>
        </w:rPr>
        <w:t xml:space="preserve"> assets or income that are below </w:t>
      </w:r>
      <w:r w:rsidR="007A7434">
        <w:rPr>
          <w:lang w:val="en-US"/>
        </w:rPr>
        <w:t>value (</w:t>
      </w:r>
      <w:r>
        <w:rPr>
          <w:lang w:val="en-US"/>
        </w:rPr>
        <w:t>Watts 1977). The abo</w:t>
      </w:r>
      <w:r w:rsidR="00F2537C">
        <w:rPr>
          <w:lang w:val="en-US"/>
        </w:rPr>
        <w:t>ve mentioned situation incentives</w:t>
      </w:r>
      <w:r>
        <w:rPr>
          <w:lang w:val="en-US"/>
        </w:rPr>
        <w:t xml:space="preserve"> standards setters and regulators to be conservative. This also caused the SEC</w:t>
      </w:r>
      <w:r w:rsidR="00F2537C">
        <w:rPr>
          <w:lang w:val="en-US"/>
        </w:rPr>
        <w:t xml:space="preserve"> for many decades to prohibit</w:t>
      </w:r>
      <w:r>
        <w:rPr>
          <w:lang w:val="en-US"/>
        </w:rPr>
        <w:t xml:space="preserve"> upward valuations on assets (Zeff 1972; Walker 1992)</w:t>
      </w:r>
      <w:r w:rsidR="00FE1FF5">
        <w:rPr>
          <w:lang w:val="en-US"/>
        </w:rPr>
        <w:t>.</w:t>
      </w:r>
      <w:r>
        <w:rPr>
          <w:lang w:val="en-US"/>
        </w:rPr>
        <w:t xml:space="preserve"> Standard setters and regulators will be criticized if companies </w:t>
      </w:r>
      <w:r w:rsidR="00F2537C">
        <w:rPr>
          <w:lang w:val="en-US"/>
        </w:rPr>
        <w:t xml:space="preserve">are able to </w:t>
      </w:r>
      <w:r>
        <w:rPr>
          <w:lang w:val="en-US"/>
        </w:rPr>
        <w:t xml:space="preserve">overstate net </w:t>
      </w:r>
      <w:r>
        <w:rPr>
          <w:lang w:val="en-US"/>
        </w:rPr>
        <w:lastRenderedPageBreak/>
        <w:t>assets in contr</w:t>
      </w:r>
      <w:r w:rsidR="00F2537C">
        <w:rPr>
          <w:lang w:val="en-US"/>
        </w:rPr>
        <w:t>ast to understating net assets. S</w:t>
      </w:r>
      <w:r>
        <w:rPr>
          <w:lang w:val="en-US"/>
        </w:rPr>
        <w:t>everal accounting standards</w:t>
      </w:r>
      <w:r w:rsidR="00F2537C">
        <w:rPr>
          <w:lang w:val="en-US"/>
        </w:rPr>
        <w:t xml:space="preserve"> show this matter</w:t>
      </w:r>
      <w:r>
        <w:rPr>
          <w:lang w:val="en-US"/>
        </w:rPr>
        <w:t xml:space="preserve"> for example:</w:t>
      </w:r>
    </w:p>
    <w:p w:rsidR="00926DB2" w:rsidRDefault="00926DB2" w:rsidP="00046654">
      <w:pPr>
        <w:spacing w:line="360" w:lineRule="auto"/>
        <w:jc w:val="both"/>
        <w:rPr>
          <w:lang w:val="en-US"/>
        </w:rPr>
      </w:pPr>
    </w:p>
    <w:p w:rsidR="00ED48B1" w:rsidRDefault="00ED48B1" w:rsidP="00046654">
      <w:pPr>
        <w:spacing w:line="360" w:lineRule="auto"/>
        <w:jc w:val="both"/>
        <w:rPr>
          <w:lang w:val="en-US"/>
        </w:rPr>
      </w:pPr>
      <w:r>
        <w:rPr>
          <w:lang w:val="en-US"/>
        </w:rPr>
        <w:t xml:space="preserve">e.g. The International Financial Reporting Standards (IFRS) 2004 describe prudence (conservatism) as a certain amount of attentiveness that is necessary when making the predictions under conditions of uncertainty, for example not overstating income and net assets and not understating liabilities and expenses. </w:t>
      </w:r>
    </w:p>
    <w:p w:rsidR="00ED48B1" w:rsidRDefault="00ED48B1" w:rsidP="00046654">
      <w:pPr>
        <w:spacing w:line="360" w:lineRule="auto"/>
        <w:jc w:val="both"/>
        <w:rPr>
          <w:lang w:val="en-US"/>
        </w:rPr>
      </w:pPr>
    </w:p>
    <w:p w:rsidR="00ED48B1" w:rsidRDefault="00926DB2" w:rsidP="00046654">
      <w:pPr>
        <w:spacing w:line="360" w:lineRule="auto"/>
        <w:jc w:val="both"/>
        <w:rPr>
          <w:lang w:val="en-US"/>
        </w:rPr>
      </w:pPr>
      <w:r>
        <w:rPr>
          <w:lang w:val="en-US"/>
        </w:rPr>
        <w:t>It is noticed that today there are incentives to substitute the conservatism principle for other less qualitative and objective accounting measures. For instance the fair value method of IFRS, which</w:t>
      </w:r>
      <w:r w:rsidR="00ED48B1">
        <w:rPr>
          <w:lang w:val="en-US"/>
        </w:rPr>
        <w:t xml:space="preserve"> enables managers to overstate net assets. SFAS No. 142 for instance </w:t>
      </w:r>
      <w:r w:rsidR="00D5305E">
        <w:rPr>
          <w:lang w:val="en-US"/>
        </w:rPr>
        <w:t>replaces the amortization of goodwill with periodic assessment of whether goodwill is impaired. The impairment is addressed by estimating the future cash flows. It remains however the question if these cash flows will be realized. Accounting rules and regulations are internationally shifting from a more rule based to principle based setting.</w:t>
      </w:r>
    </w:p>
    <w:p w:rsidR="00926DB2" w:rsidRDefault="00926DB2" w:rsidP="002400C4">
      <w:pPr>
        <w:pStyle w:val="Kop2"/>
        <w:jc w:val="both"/>
        <w:rPr>
          <w:rStyle w:val="Nadruk"/>
          <w:rFonts w:ascii="Times New Roman" w:hAnsi="Times New Roman"/>
          <w:b/>
          <w:color w:val="000000"/>
          <w:sz w:val="24"/>
          <w:szCs w:val="24"/>
        </w:rPr>
      </w:pPr>
      <w:bookmarkStart w:id="83" w:name="_Toc268186038"/>
      <w:r w:rsidRPr="009F6B24">
        <w:rPr>
          <w:rStyle w:val="Nadruk"/>
          <w:rFonts w:ascii="Times New Roman" w:hAnsi="Times New Roman"/>
          <w:b/>
          <w:color w:val="000000"/>
          <w:sz w:val="24"/>
          <w:szCs w:val="24"/>
        </w:rPr>
        <w:t>3.4 Summary</w:t>
      </w:r>
      <w:bookmarkEnd w:id="83"/>
    </w:p>
    <w:p w:rsidR="002400C4" w:rsidRPr="002400C4" w:rsidRDefault="002400C4" w:rsidP="002400C4"/>
    <w:p w:rsidR="00926DB2" w:rsidRDefault="00926DB2" w:rsidP="00046654">
      <w:pPr>
        <w:spacing w:line="360" w:lineRule="auto"/>
        <w:jc w:val="both"/>
        <w:rPr>
          <w:lang w:val="en-US"/>
        </w:rPr>
      </w:pPr>
      <w:r>
        <w:rPr>
          <w:lang w:val="en-US"/>
        </w:rPr>
        <w:t>The influence of conservatism on the accounting practice has been for centuries.</w:t>
      </w:r>
      <w:r w:rsidR="002400C4">
        <w:rPr>
          <w:lang w:val="en-US"/>
        </w:rPr>
        <w:t xml:space="preserve"> The principle </w:t>
      </w:r>
      <w:r>
        <w:rPr>
          <w:lang w:val="en-US"/>
        </w:rPr>
        <w:t xml:space="preserve">causes of accounting conservatism have been mentioned and extensively elaborated these are; contracting, shareholder litigation, taxation and accounting regulation. The notification is made that </w:t>
      </w:r>
      <w:r w:rsidR="002400C4">
        <w:rPr>
          <w:lang w:val="en-US"/>
        </w:rPr>
        <w:t>financial reporting</w:t>
      </w:r>
      <w:r>
        <w:rPr>
          <w:lang w:val="en-US"/>
        </w:rPr>
        <w:t xml:space="preserve"> tend</w:t>
      </w:r>
      <w:r w:rsidR="002400C4">
        <w:rPr>
          <w:lang w:val="en-US"/>
        </w:rPr>
        <w:t xml:space="preserve">s to shift </w:t>
      </w:r>
      <w:r w:rsidR="007A7434">
        <w:rPr>
          <w:lang w:val="en-US"/>
        </w:rPr>
        <w:t>from</w:t>
      </w:r>
      <w:r>
        <w:rPr>
          <w:lang w:val="en-US"/>
        </w:rPr>
        <w:t xml:space="preserve"> conservative accounting to other </w:t>
      </w:r>
      <w:r w:rsidR="009F6445">
        <w:rPr>
          <w:lang w:val="en-US"/>
        </w:rPr>
        <w:t>valuation methods and principles</w:t>
      </w:r>
      <w:r w:rsidR="002400C4">
        <w:rPr>
          <w:lang w:val="en-US"/>
        </w:rPr>
        <w:t>, implying more principle based approaches.</w:t>
      </w: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926DB2" w:rsidRDefault="00926DB2" w:rsidP="00046654">
      <w:pPr>
        <w:spacing w:line="360" w:lineRule="auto"/>
        <w:jc w:val="both"/>
        <w:rPr>
          <w:lang w:val="en-US"/>
        </w:rPr>
      </w:pPr>
    </w:p>
    <w:p w:rsidR="0063213C" w:rsidRPr="0063213C" w:rsidRDefault="0063213C" w:rsidP="0063213C">
      <w:bookmarkStart w:id="84" w:name="_Toc267323024"/>
    </w:p>
    <w:p w:rsidR="00926DB2" w:rsidRPr="009F6B24" w:rsidRDefault="00926DB2" w:rsidP="009F6B24">
      <w:pPr>
        <w:pStyle w:val="Kop1"/>
        <w:jc w:val="both"/>
      </w:pPr>
      <w:bookmarkStart w:id="85" w:name="_Toc268186039"/>
      <w:r w:rsidRPr="009F6B24">
        <w:lastRenderedPageBreak/>
        <w:t>4 Literature review</w:t>
      </w:r>
      <w:bookmarkEnd w:id="84"/>
      <w:bookmarkEnd w:id="85"/>
    </w:p>
    <w:p w:rsidR="00926DB2" w:rsidRPr="00101481" w:rsidRDefault="00926DB2" w:rsidP="00046654">
      <w:pPr>
        <w:jc w:val="both"/>
        <w:rPr>
          <w:lang w:val="en-US"/>
        </w:rPr>
      </w:pPr>
    </w:p>
    <w:p w:rsidR="00926DB2" w:rsidRDefault="00926DB2" w:rsidP="00046654">
      <w:pPr>
        <w:spacing w:line="360" w:lineRule="auto"/>
        <w:jc w:val="both"/>
        <w:rPr>
          <w:lang w:val="en-US"/>
        </w:rPr>
      </w:pPr>
      <w:r>
        <w:rPr>
          <w:lang w:val="en-US"/>
        </w:rPr>
        <w:t>In this chapter several measures to asses accounting conservatism will be discussed. The literature is used to elaborate on different measures to research conservatism. Subsequently various specific research approaches: time-series, cross-sectional, contracting and previous findings of researches will be discussed.</w:t>
      </w:r>
    </w:p>
    <w:p w:rsidR="00926DB2" w:rsidRPr="009F6B24" w:rsidRDefault="00926DB2" w:rsidP="009F6B24">
      <w:pPr>
        <w:pStyle w:val="Kop2"/>
        <w:jc w:val="both"/>
        <w:rPr>
          <w:rStyle w:val="Nadruk"/>
          <w:rFonts w:ascii="Times New Roman" w:hAnsi="Times New Roman"/>
          <w:b/>
          <w:sz w:val="24"/>
          <w:szCs w:val="24"/>
        </w:rPr>
      </w:pPr>
      <w:bookmarkStart w:id="86" w:name="_Toc267323025"/>
      <w:bookmarkStart w:id="87" w:name="_Toc268186040"/>
      <w:r w:rsidRPr="009F6B24">
        <w:rPr>
          <w:rStyle w:val="Nadruk"/>
          <w:rFonts w:ascii="Times New Roman" w:hAnsi="Times New Roman"/>
          <w:b/>
          <w:sz w:val="24"/>
          <w:szCs w:val="24"/>
        </w:rPr>
        <w:t>4.1 measures for accounting conservatism</w:t>
      </w:r>
      <w:bookmarkEnd w:id="86"/>
      <w:bookmarkEnd w:id="87"/>
    </w:p>
    <w:p w:rsidR="00926DB2" w:rsidRPr="00DF2CF7" w:rsidRDefault="00926DB2" w:rsidP="00046654">
      <w:pPr>
        <w:jc w:val="both"/>
        <w:rPr>
          <w:lang w:val="en-US"/>
        </w:rPr>
      </w:pPr>
      <w:r>
        <w:rPr>
          <w:lang w:val="en-US"/>
        </w:rPr>
        <w:t xml:space="preserve"> </w:t>
      </w:r>
    </w:p>
    <w:p w:rsidR="00926DB2" w:rsidRDefault="00926DB2" w:rsidP="00046654">
      <w:pPr>
        <w:spacing w:line="360" w:lineRule="auto"/>
        <w:jc w:val="both"/>
        <w:rPr>
          <w:lang w:val="en-US"/>
        </w:rPr>
      </w:pPr>
      <w:r>
        <w:rPr>
          <w:lang w:val="en-US"/>
        </w:rPr>
        <w:t xml:space="preserve">In this section of the paper a variety of measures to asses accounting conservatism will be discussed namely: </w:t>
      </w:r>
    </w:p>
    <w:p w:rsidR="00926DB2" w:rsidRDefault="00926DB2" w:rsidP="00046654">
      <w:pPr>
        <w:spacing w:line="360" w:lineRule="auto"/>
        <w:jc w:val="both"/>
        <w:rPr>
          <w:lang w:val="en-US"/>
        </w:rPr>
      </w:pPr>
    </w:p>
    <w:p w:rsidR="00926DB2" w:rsidRDefault="00926DB2" w:rsidP="00BA0A98">
      <w:pPr>
        <w:numPr>
          <w:ilvl w:val="0"/>
          <w:numId w:val="9"/>
        </w:numPr>
        <w:tabs>
          <w:tab w:val="clear" w:pos="1060"/>
          <w:tab w:val="num" w:pos="900"/>
        </w:tabs>
        <w:spacing w:line="360" w:lineRule="auto"/>
        <w:ind w:hanging="700"/>
        <w:jc w:val="both"/>
        <w:rPr>
          <w:lang w:val="en-US"/>
        </w:rPr>
      </w:pPr>
      <w:r>
        <w:rPr>
          <w:lang w:val="en-US"/>
        </w:rPr>
        <w:t>Net assets measures</w:t>
      </w:r>
    </w:p>
    <w:p w:rsidR="00926DB2" w:rsidRDefault="00926DB2" w:rsidP="00BA0A98">
      <w:pPr>
        <w:numPr>
          <w:ilvl w:val="0"/>
          <w:numId w:val="9"/>
        </w:numPr>
        <w:tabs>
          <w:tab w:val="clear" w:pos="1060"/>
          <w:tab w:val="num" w:pos="900"/>
        </w:tabs>
        <w:spacing w:line="360" w:lineRule="auto"/>
        <w:ind w:hanging="700"/>
        <w:jc w:val="both"/>
        <w:rPr>
          <w:lang w:val="en-US"/>
        </w:rPr>
      </w:pPr>
      <w:r>
        <w:rPr>
          <w:lang w:val="en-US"/>
        </w:rPr>
        <w:t>Earnings and accrual measures</w:t>
      </w:r>
    </w:p>
    <w:p w:rsidR="00926DB2" w:rsidRDefault="00926DB2" w:rsidP="00BA0A98">
      <w:pPr>
        <w:numPr>
          <w:ilvl w:val="0"/>
          <w:numId w:val="9"/>
        </w:numPr>
        <w:tabs>
          <w:tab w:val="clear" w:pos="1060"/>
          <w:tab w:val="num" w:pos="900"/>
        </w:tabs>
        <w:spacing w:line="360" w:lineRule="auto"/>
        <w:ind w:hanging="700"/>
        <w:jc w:val="both"/>
        <w:rPr>
          <w:lang w:val="en-US"/>
        </w:rPr>
      </w:pPr>
      <w:r>
        <w:rPr>
          <w:lang w:val="en-US"/>
        </w:rPr>
        <w:t>Earnings/stock returns measures</w:t>
      </w:r>
    </w:p>
    <w:p w:rsidR="00926DB2" w:rsidRDefault="00926DB2" w:rsidP="00046654">
      <w:pPr>
        <w:spacing w:line="360" w:lineRule="auto"/>
        <w:ind w:left="360"/>
        <w:jc w:val="both"/>
        <w:rPr>
          <w:lang w:val="en-US"/>
        </w:rPr>
      </w:pPr>
    </w:p>
    <w:p w:rsidR="00926DB2" w:rsidRDefault="00926DB2" w:rsidP="00046654">
      <w:pPr>
        <w:spacing w:line="360" w:lineRule="auto"/>
        <w:jc w:val="both"/>
        <w:rPr>
          <w:lang w:val="en-US"/>
        </w:rPr>
      </w:pPr>
      <w:r>
        <w:rPr>
          <w:lang w:val="en-US"/>
        </w:rPr>
        <w:t xml:space="preserve">All the above measures rely on the conservatism principle; losses are recognized directly and gains only when they are verifiably realized. This means that net assets are always understated (Watts 2003). One type of method to investigate this understatement are net assets measures. Researchers have developed different net asset models to estimate this understatement. They use models to </w:t>
      </w:r>
      <w:r w:rsidR="006D5E95">
        <w:rPr>
          <w:lang w:val="en-US"/>
        </w:rPr>
        <w:t xml:space="preserve">value </w:t>
      </w:r>
      <w:r>
        <w:rPr>
          <w:lang w:val="en-US"/>
        </w:rPr>
        <w:t>the firm’s shares and/or the ratio of the firm’s book value of net asset to its equity value (Watts 2003).</w:t>
      </w:r>
    </w:p>
    <w:p w:rsidR="00926DB2" w:rsidRPr="009F6B24" w:rsidRDefault="00926DB2" w:rsidP="009F6B24">
      <w:pPr>
        <w:pStyle w:val="Kop3"/>
        <w:jc w:val="both"/>
        <w:rPr>
          <w:rStyle w:val="Nadruk"/>
          <w:rFonts w:ascii="Times New Roman" w:hAnsi="Times New Roman"/>
          <w:bCs w:val="0"/>
          <w:color w:val="auto"/>
          <w:szCs w:val="24"/>
        </w:rPr>
      </w:pPr>
      <w:bookmarkStart w:id="88" w:name="_Toc267323026"/>
      <w:bookmarkStart w:id="89" w:name="_Toc268186041"/>
      <w:r w:rsidRPr="009F6B24">
        <w:rPr>
          <w:rStyle w:val="Nadruk"/>
          <w:rFonts w:ascii="Times New Roman" w:hAnsi="Times New Roman"/>
          <w:bCs w:val="0"/>
          <w:color w:val="auto"/>
          <w:szCs w:val="24"/>
        </w:rPr>
        <w:t>4.1.1 Net assets measures (Feltham and Ohlsen models)</w:t>
      </w:r>
      <w:bookmarkEnd w:id="88"/>
      <w:bookmarkEnd w:id="89"/>
    </w:p>
    <w:p w:rsidR="00926DB2" w:rsidRDefault="00926DB2" w:rsidP="00046654">
      <w:pPr>
        <w:spacing w:line="360" w:lineRule="auto"/>
        <w:jc w:val="both"/>
        <w:rPr>
          <w:lang w:val="en-US"/>
        </w:rPr>
      </w:pPr>
    </w:p>
    <w:p w:rsidR="00926DB2" w:rsidRDefault="00926DB2" w:rsidP="009F6B24">
      <w:pPr>
        <w:spacing w:line="360" w:lineRule="auto"/>
        <w:jc w:val="both"/>
        <w:rPr>
          <w:lang w:val="en-US"/>
        </w:rPr>
      </w:pPr>
      <w:r>
        <w:rPr>
          <w:lang w:val="en-US"/>
        </w:rPr>
        <w:t>A special type of net assets measures are the Feltham-Ohlson valuation models. (Feltham and Ohlson 1995,</w:t>
      </w:r>
      <w:r w:rsidR="00CE6CC8">
        <w:rPr>
          <w:lang w:val="en-US"/>
        </w:rPr>
        <w:t xml:space="preserve"> 1996). These models focus on estimating the degree</w:t>
      </w:r>
      <w:r>
        <w:rPr>
          <w:lang w:val="en-US"/>
        </w:rPr>
        <w:t xml:space="preserve"> of undervaluation of net assets. The above mentioned specific models use pa</w:t>
      </w:r>
      <w:r w:rsidR="002A50AA">
        <w:rPr>
          <w:lang w:val="en-US"/>
        </w:rPr>
        <w:t>rameters that represent the amount</w:t>
      </w:r>
      <w:r>
        <w:rPr>
          <w:lang w:val="en-US"/>
        </w:rPr>
        <w:t xml:space="preserve"> of understatement of operating assets. The models make the assumption that</w:t>
      </w:r>
      <w:r w:rsidR="002A50AA">
        <w:rPr>
          <w:lang w:val="en-US"/>
        </w:rPr>
        <w:t xml:space="preserve"> accounting depreciation is higher than</w:t>
      </w:r>
      <w:r>
        <w:rPr>
          <w:lang w:val="en-US"/>
        </w:rPr>
        <w:t xml:space="preserve"> economic depreciation. </w:t>
      </w:r>
    </w:p>
    <w:p w:rsidR="00926DB2" w:rsidRPr="009F6B24" w:rsidRDefault="00926DB2" w:rsidP="009F6B24">
      <w:pPr>
        <w:pStyle w:val="Kop3"/>
        <w:jc w:val="both"/>
        <w:rPr>
          <w:rFonts w:ascii="Times New Roman" w:hAnsi="Times New Roman" w:cs="Times New Roman"/>
          <w:b w:val="0"/>
          <w:bCs w:val="0"/>
          <w:i/>
          <w:iCs/>
          <w:color w:val="auto"/>
          <w:lang w:val="en-US"/>
        </w:rPr>
      </w:pPr>
      <w:bookmarkStart w:id="90" w:name="_Toc268186042"/>
      <w:r w:rsidRPr="009F6B24">
        <w:rPr>
          <w:rFonts w:ascii="Times New Roman" w:hAnsi="Times New Roman" w:cs="Times New Roman"/>
          <w:b w:val="0"/>
          <w:bCs w:val="0"/>
          <w:i/>
          <w:iCs/>
          <w:color w:val="auto"/>
          <w:lang w:val="en-US"/>
        </w:rPr>
        <w:t>4.1.2 Net asset measures (book-to-market and conditional conservatism)</w:t>
      </w:r>
      <w:bookmarkEnd w:id="90"/>
    </w:p>
    <w:p w:rsidR="00926DB2" w:rsidRDefault="00926DB2" w:rsidP="00046654">
      <w:pPr>
        <w:spacing w:line="360" w:lineRule="auto"/>
        <w:jc w:val="both"/>
        <w:rPr>
          <w:lang w:val="en-US"/>
        </w:rPr>
      </w:pPr>
    </w:p>
    <w:p w:rsidR="00CE6CC8" w:rsidRDefault="00926DB2" w:rsidP="00046654">
      <w:pPr>
        <w:spacing w:line="360" w:lineRule="auto"/>
        <w:jc w:val="both"/>
        <w:rPr>
          <w:lang w:val="en-US"/>
        </w:rPr>
      </w:pPr>
      <w:r>
        <w:rPr>
          <w:lang w:val="en-US"/>
        </w:rPr>
        <w:t>The next types of net asset measures are the book-to-</w:t>
      </w:r>
      <w:r w:rsidR="00CE6CC8">
        <w:rPr>
          <w:lang w:val="en-US"/>
        </w:rPr>
        <w:t>market measures. Book-to-market ratios are the fundamentals for book-to-market measures</w:t>
      </w:r>
      <w:r>
        <w:rPr>
          <w:lang w:val="en-US"/>
        </w:rPr>
        <w:t xml:space="preserve">. </w:t>
      </w:r>
    </w:p>
    <w:p w:rsidR="00CE6CC8" w:rsidRDefault="00CE6CC8" w:rsidP="00046654">
      <w:pPr>
        <w:spacing w:line="360" w:lineRule="auto"/>
        <w:jc w:val="both"/>
        <w:rPr>
          <w:lang w:val="en-US"/>
        </w:rPr>
      </w:pPr>
    </w:p>
    <w:p w:rsidR="00CE6CC8" w:rsidRDefault="00CE6CC8" w:rsidP="00046654">
      <w:pPr>
        <w:spacing w:line="360" w:lineRule="auto"/>
        <w:jc w:val="both"/>
        <w:rPr>
          <w:lang w:val="en-US"/>
        </w:rPr>
      </w:pPr>
    </w:p>
    <w:p w:rsidR="00926DB2" w:rsidRDefault="00CE6CC8" w:rsidP="00046654">
      <w:pPr>
        <w:spacing w:line="360" w:lineRule="auto"/>
        <w:jc w:val="both"/>
        <w:rPr>
          <w:lang w:val="en-US"/>
        </w:rPr>
      </w:pPr>
      <w:r>
        <w:rPr>
          <w:lang w:val="en-US"/>
        </w:rPr>
        <w:lastRenderedPageBreak/>
        <w:t>Valuating a company by comparing its book value to its market value leads to the book-to-market ratios</w:t>
      </w:r>
      <w:r w:rsidR="00D940C8">
        <w:rPr>
          <w:lang w:val="en-US"/>
        </w:rPr>
        <w:t xml:space="preserve"> (Beaver and Ryan 2000). Beaver and Ryan (2000) assumed that conservative accounting leads to understatement of net assets and hence understatemen</w:t>
      </w:r>
      <w:r w:rsidR="00174059">
        <w:rPr>
          <w:lang w:val="en-US"/>
        </w:rPr>
        <w:t>t of the book-to-market ratios. To measure conservatism they regressed the book-to-market ratios on each separate year and on the companies dummy variables and on the companies returns for the current and previous couple of years. The variation between the book value of the firm and market values of equity is predicted by the coefficients of the dummy variables.</w:t>
      </w:r>
      <w:r w:rsidR="00B0747F">
        <w:rPr>
          <w:lang w:val="en-US"/>
        </w:rPr>
        <w:t xml:space="preserve"> </w:t>
      </w:r>
      <w:r w:rsidR="00926DB2">
        <w:rPr>
          <w:szCs w:val="22"/>
        </w:rPr>
        <w:t>The lower the coefficient (</w:t>
      </w:r>
      <w:r w:rsidR="00926DB2" w:rsidRPr="00953D4E">
        <w:rPr>
          <w:szCs w:val="22"/>
        </w:rPr>
        <w:t xml:space="preserve">biased component) of the </w:t>
      </w:r>
      <w:r w:rsidR="00926DB2">
        <w:rPr>
          <w:szCs w:val="22"/>
        </w:rPr>
        <w:t>dummy</w:t>
      </w:r>
      <w:r w:rsidR="00926DB2" w:rsidRPr="00953D4E">
        <w:rPr>
          <w:szCs w:val="22"/>
        </w:rPr>
        <w:t xml:space="preserve"> variables, the more the boo</w:t>
      </w:r>
      <w:r w:rsidR="006D5E95">
        <w:rPr>
          <w:szCs w:val="22"/>
        </w:rPr>
        <w:t xml:space="preserve">k value of net assets is distorted </w:t>
      </w:r>
      <w:r w:rsidR="00926DB2" w:rsidRPr="00953D4E">
        <w:rPr>
          <w:szCs w:val="22"/>
        </w:rPr>
        <w:t xml:space="preserve">downward indicating </w:t>
      </w:r>
      <w:r w:rsidR="00926DB2">
        <w:rPr>
          <w:szCs w:val="22"/>
        </w:rPr>
        <w:t>a higher degree of</w:t>
      </w:r>
      <w:r w:rsidR="00926DB2" w:rsidRPr="00953D4E">
        <w:rPr>
          <w:szCs w:val="22"/>
        </w:rPr>
        <w:t xml:space="preserve"> conservat</w:t>
      </w:r>
      <w:r w:rsidR="00114D26">
        <w:rPr>
          <w:szCs w:val="22"/>
        </w:rPr>
        <w:t xml:space="preserve">ive accounting </w:t>
      </w:r>
      <w:r w:rsidR="00926DB2">
        <w:rPr>
          <w:lang w:val="en-US"/>
        </w:rPr>
        <w:t>(Beaver and Ryan 2000).</w:t>
      </w:r>
    </w:p>
    <w:p w:rsidR="00926DB2" w:rsidRPr="003E03A9" w:rsidRDefault="00926DB2" w:rsidP="00046654">
      <w:pPr>
        <w:spacing w:line="360" w:lineRule="auto"/>
        <w:jc w:val="both"/>
        <w:rPr>
          <w:lang w:val="en-US"/>
        </w:rPr>
      </w:pPr>
    </w:p>
    <w:p w:rsidR="00B0747F" w:rsidRDefault="00926DB2" w:rsidP="00046654">
      <w:pPr>
        <w:spacing w:line="360" w:lineRule="auto"/>
        <w:jc w:val="both"/>
      </w:pPr>
      <w:r w:rsidRPr="001A1DC4">
        <w:rPr>
          <w:lang w:val="en-US"/>
        </w:rPr>
        <w:t xml:space="preserve"> </w:t>
      </w:r>
      <w:r w:rsidRPr="001A1DC4">
        <w:t>Th</w:t>
      </w:r>
      <w:r w:rsidR="00B0747F">
        <w:t>ere are a lot of scientific papers</w:t>
      </w:r>
      <w:r w:rsidRPr="001A1DC4">
        <w:t xml:space="preserve"> that investigated the effect of conditional conser</w:t>
      </w:r>
      <w:r w:rsidR="006D5E95">
        <w:t>vatism and market-to-book ratio</w:t>
      </w:r>
      <w:r w:rsidRPr="001A1DC4">
        <w:t>s. For instance Collins and Kothari (1989) and Easton and Zmijewski (1989) have made predictions that there is a relationship between the slopes of Basu and the market-to</w:t>
      </w:r>
      <w:r w:rsidR="00B0747F">
        <w:t xml:space="preserve">-book ratio. Also evidence is provided for the negative relation between the timeliness coefficient of Basu and the market-to-book ratio (Pae et al. 2005; </w:t>
      </w:r>
      <w:r w:rsidR="00B0747F" w:rsidRPr="001A1DC4">
        <w:t xml:space="preserve">Roychowdhury and </w:t>
      </w:r>
      <w:r w:rsidR="00B0747F">
        <w:t>Watts 2007). These papers provide evidence for the asymmetry between the recognition of profits and losses.</w:t>
      </w:r>
    </w:p>
    <w:p w:rsidR="00926DB2" w:rsidRPr="009F6B24" w:rsidRDefault="00926DB2" w:rsidP="009F6B24">
      <w:pPr>
        <w:pStyle w:val="Kop3"/>
        <w:jc w:val="both"/>
        <w:rPr>
          <w:rFonts w:ascii="Times New Roman" w:hAnsi="Times New Roman" w:cs="Times New Roman"/>
          <w:b w:val="0"/>
          <w:bCs w:val="0"/>
          <w:i/>
          <w:iCs/>
          <w:color w:val="auto"/>
          <w:szCs w:val="24"/>
          <w:lang w:val="en-US"/>
        </w:rPr>
      </w:pPr>
      <w:bookmarkStart w:id="91" w:name="_Toc267323027"/>
      <w:bookmarkStart w:id="92" w:name="_Toc268186043"/>
      <w:r w:rsidRPr="009F6B24">
        <w:rPr>
          <w:rFonts w:ascii="Times New Roman" w:hAnsi="Times New Roman" w:cs="Times New Roman"/>
          <w:b w:val="0"/>
          <w:bCs w:val="0"/>
          <w:i/>
          <w:iCs/>
          <w:color w:val="auto"/>
          <w:szCs w:val="24"/>
          <w:lang w:val="en-US"/>
        </w:rPr>
        <w:t>4.1.3 Earnings/Accrual Measures</w:t>
      </w:r>
      <w:bookmarkEnd w:id="91"/>
      <w:bookmarkEnd w:id="92"/>
    </w:p>
    <w:p w:rsidR="00926DB2" w:rsidRDefault="00926DB2" w:rsidP="00046654">
      <w:pPr>
        <w:spacing w:line="360" w:lineRule="auto"/>
        <w:jc w:val="both"/>
        <w:rPr>
          <w:lang w:val="en-US"/>
        </w:rPr>
      </w:pPr>
    </w:p>
    <w:p w:rsidR="00926DB2" w:rsidRDefault="00926DB2" w:rsidP="00046654">
      <w:pPr>
        <w:spacing w:line="360" w:lineRule="auto"/>
        <w:jc w:val="both"/>
        <w:rPr>
          <w:lang w:val="en-US"/>
        </w:rPr>
      </w:pPr>
      <w:r>
        <w:rPr>
          <w:lang w:val="en-US"/>
        </w:rPr>
        <w:t>Other methods to estimate conservatism</w:t>
      </w:r>
      <w:r w:rsidR="006761DD">
        <w:rPr>
          <w:lang w:val="en-US"/>
        </w:rPr>
        <w:t xml:space="preserve"> are earnings/accrual measures. Gains are probably more persistent than losses according to earnings measures of conservatism. For example; future cash flows</w:t>
      </w:r>
      <w:r w:rsidR="005744BD">
        <w:rPr>
          <w:lang w:val="en-US"/>
        </w:rPr>
        <w:t xml:space="preserve"> that will be</w:t>
      </w:r>
      <w:r w:rsidR="006761DD">
        <w:rPr>
          <w:lang w:val="en-US"/>
        </w:rPr>
        <w:t xml:space="preserve"> </w:t>
      </w:r>
      <w:r w:rsidR="005744BD">
        <w:rPr>
          <w:lang w:val="en-US"/>
        </w:rPr>
        <w:t>generated</w:t>
      </w:r>
      <w:r w:rsidR="006761DD">
        <w:rPr>
          <w:lang w:val="en-US"/>
        </w:rPr>
        <w:t xml:space="preserve"> by the value of an asset will be recognized</w:t>
      </w:r>
      <w:r w:rsidR="005744BD">
        <w:rPr>
          <w:lang w:val="en-US"/>
        </w:rPr>
        <w:t xml:space="preserve"> in the periods when they are realized and not when they occur.</w:t>
      </w:r>
      <w:r w:rsidR="00AC0C4C">
        <w:rPr>
          <w:lang w:val="en-US"/>
        </w:rPr>
        <w:t xml:space="preserve"> This means that losses are recognized instantly while profits only will be realized when they are verifiable even if there is an equal chance of occurrence. This causes a significant decrease of earnings when the loss is recognized instead of a mitigated flow of earnings in the future (Basu 1997; Elgers and Lo 1994). </w:t>
      </w:r>
      <w:r>
        <w:rPr>
          <w:lang w:val="en-US"/>
        </w:rPr>
        <w:t>Companies with negative earnings are more likely to have recognized losses, but when these losses do not recur in the future negative earnings are</w:t>
      </w:r>
      <w:r w:rsidR="00AC0C4C">
        <w:rPr>
          <w:lang w:val="en-US"/>
        </w:rPr>
        <w:t xml:space="preserve"> less likely to persist than </w:t>
      </w:r>
      <w:r w:rsidR="0039395C">
        <w:rPr>
          <w:lang w:val="en-US"/>
        </w:rPr>
        <w:t>positive earnings. Earnings measures to estimate conservatism concern predicting that negative earnings changes are more probable to reverse in the future period(s) than positive earnings changes Brooks and Buckmaster (1976) and Elgers and Lo (1994).</w:t>
      </w:r>
    </w:p>
    <w:p w:rsidR="00AC0C4C" w:rsidRDefault="00AC0C4C" w:rsidP="00046654">
      <w:pPr>
        <w:autoSpaceDE w:val="0"/>
        <w:autoSpaceDN w:val="0"/>
        <w:adjustRightInd w:val="0"/>
        <w:spacing w:line="360" w:lineRule="auto"/>
        <w:jc w:val="both"/>
        <w:rPr>
          <w:lang w:val="en-US"/>
        </w:rPr>
      </w:pPr>
    </w:p>
    <w:p w:rsidR="00926DB2" w:rsidRDefault="00926DB2" w:rsidP="00046654">
      <w:pPr>
        <w:spacing w:line="360" w:lineRule="auto"/>
        <w:jc w:val="both"/>
        <w:rPr>
          <w:lang w:val="en-US"/>
        </w:rPr>
      </w:pPr>
    </w:p>
    <w:p w:rsidR="00177B14" w:rsidRDefault="00177B14" w:rsidP="00046654">
      <w:pPr>
        <w:spacing w:line="360" w:lineRule="auto"/>
        <w:jc w:val="both"/>
        <w:rPr>
          <w:lang w:val="en-US"/>
        </w:rPr>
      </w:pPr>
      <w:r>
        <w:rPr>
          <w:lang w:val="en-US"/>
        </w:rPr>
        <w:lastRenderedPageBreak/>
        <w:t>Secondly the accrual measure of conservatism will be discussed. Accrual accounting (accruals) refers to recognizing earned revenues or incurred expenses without taken into consideration the receiving or disbursement of cash.</w:t>
      </w:r>
      <w:r w:rsidR="00326F9E">
        <w:rPr>
          <w:lang w:val="en-US"/>
        </w:rPr>
        <w:t xml:space="preserve"> Hence t</w:t>
      </w:r>
      <w:r>
        <w:rPr>
          <w:lang w:val="en-US"/>
        </w:rPr>
        <w:t>he asymmetry between gains and losses leads to an asymmetry in accruals.</w:t>
      </w:r>
      <w:r w:rsidR="00326F9E">
        <w:rPr>
          <w:lang w:val="en-US"/>
        </w:rPr>
        <w:t xml:space="preserve"> This implicates that losses will be completely accrued while gains are not. Accumulated accruals have the tension to be understated and periodic accruals tend to be negative. These two groups of accruals (negative and accumulated) are used to measure conservatism (Givoly and Hayn 2000).</w:t>
      </w:r>
      <w:r w:rsidR="00AF784D">
        <w:rPr>
          <w:lang w:val="en-US"/>
        </w:rPr>
        <w:t xml:space="preserve"> In the paper of Givoly and Hayn (2000)</w:t>
      </w:r>
      <w:r w:rsidR="00F616A0">
        <w:rPr>
          <w:lang w:val="en-US"/>
        </w:rPr>
        <w:t xml:space="preserve"> it is stated </w:t>
      </w:r>
      <w:r w:rsidR="00AF784D">
        <w:rPr>
          <w:lang w:val="en-US"/>
        </w:rPr>
        <w:t xml:space="preserve">that accounting conservatism lowers summed up earnings over time. And make the suggestion that the signal and enormity over time are measures of conservatism. </w:t>
      </w:r>
    </w:p>
    <w:p w:rsidR="00926DB2" w:rsidRPr="009F6B24" w:rsidRDefault="00926DB2" w:rsidP="009F6B24">
      <w:pPr>
        <w:pStyle w:val="Kop3"/>
        <w:jc w:val="both"/>
        <w:rPr>
          <w:rFonts w:ascii="Times New Roman" w:hAnsi="Times New Roman" w:cs="Times New Roman"/>
          <w:b w:val="0"/>
          <w:bCs w:val="0"/>
          <w:i/>
          <w:iCs/>
          <w:color w:val="auto"/>
          <w:szCs w:val="24"/>
          <w:lang w:val="en-US" w:eastAsia="nl-NL" w:bidi="ar-SA"/>
        </w:rPr>
      </w:pPr>
      <w:bookmarkStart w:id="93" w:name="_Toc267323028"/>
      <w:bookmarkStart w:id="94" w:name="_Toc268186044"/>
      <w:r w:rsidRPr="009F6B24">
        <w:rPr>
          <w:rFonts w:ascii="Times New Roman" w:hAnsi="Times New Roman" w:cs="Times New Roman"/>
          <w:b w:val="0"/>
          <w:bCs w:val="0"/>
          <w:i/>
          <w:iCs/>
          <w:color w:val="auto"/>
          <w:szCs w:val="24"/>
          <w:lang w:val="en-US" w:eastAsia="nl-NL" w:bidi="ar-SA"/>
        </w:rPr>
        <w:t>4.1.4 Earnings/stock returns relation measures</w:t>
      </w:r>
      <w:bookmarkEnd w:id="93"/>
      <w:bookmarkEnd w:id="94"/>
    </w:p>
    <w:p w:rsidR="00926DB2" w:rsidRDefault="00926DB2" w:rsidP="00046654">
      <w:pPr>
        <w:autoSpaceDE w:val="0"/>
        <w:autoSpaceDN w:val="0"/>
        <w:adjustRightInd w:val="0"/>
        <w:spacing w:line="360" w:lineRule="auto"/>
        <w:jc w:val="both"/>
        <w:rPr>
          <w:rFonts w:cs="Times New Roman"/>
          <w:i/>
          <w:lang w:val="en-US" w:eastAsia="nl-NL" w:bidi="ar-SA"/>
        </w:rPr>
      </w:pPr>
    </w:p>
    <w:p w:rsidR="00502EFA" w:rsidRDefault="00050D27" w:rsidP="00046654">
      <w:pPr>
        <w:autoSpaceDE w:val="0"/>
        <w:autoSpaceDN w:val="0"/>
        <w:adjustRightInd w:val="0"/>
        <w:spacing w:line="360" w:lineRule="auto"/>
        <w:jc w:val="both"/>
        <w:rPr>
          <w:rFonts w:cs="Times New Roman"/>
          <w:lang w:val="en-US" w:eastAsia="nl-NL" w:bidi="ar-SA"/>
        </w:rPr>
      </w:pPr>
      <w:r>
        <w:rPr>
          <w:rFonts w:cs="Times New Roman"/>
          <w:lang w:val="en-US" w:eastAsia="nl-NL" w:bidi="ar-SA"/>
        </w:rPr>
        <w:t>The final method</w:t>
      </w:r>
      <w:r w:rsidR="00926DB2">
        <w:rPr>
          <w:rFonts w:cs="Times New Roman"/>
          <w:lang w:val="en-US" w:eastAsia="nl-NL" w:bidi="ar-SA"/>
        </w:rPr>
        <w:t xml:space="preserve"> of measuring accounting conservatism are the earnings/s</w:t>
      </w:r>
      <w:r>
        <w:rPr>
          <w:rFonts w:cs="Times New Roman"/>
          <w:lang w:val="en-US" w:eastAsia="nl-NL" w:bidi="ar-SA"/>
        </w:rPr>
        <w:t>tock returns relation measures. The changes of net asset value tend to be indicated b</w:t>
      </w:r>
      <w:r w:rsidR="00AC4906">
        <w:rPr>
          <w:rFonts w:cs="Times New Roman"/>
          <w:lang w:val="en-US" w:eastAsia="nl-NL" w:bidi="ar-SA"/>
        </w:rPr>
        <w:t>y stock prices in a timely manner, independent of whether it is a positive or a negative change.</w:t>
      </w:r>
      <w:r w:rsidR="00502EFA">
        <w:rPr>
          <w:rFonts w:cs="Times New Roman"/>
          <w:lang w:val="en-US" w:eastAsia="nl-NL" w:bidi="ar-SA"/>
        </w:rPr>
        <w:t xml:space="preserve"> Because of the fact that conservatism predicts recognizing losses in a timelier fashion than gains; accounting losses are reflected </w:t>
      </w:r>
      <w:r w:rsidR="00C426CE">
        <w:rPr>
          <w:rFonts w:cs="Times New Roman"/>
          <w:lang w:val="en-US" w:eastAsia="nl-NL" w:bidi="ar-SA"/>
        </w:rPr>
        <w:t>better</w:t>
      </w:r>
      <w:r w:rsidR="00502EFA">
        <w:rPr>
          <w:rFonts w:cs="Times New Roman"/>
          <w:lang w:val="en-US" w:eastAsia="nl-NL" w:bidi="ar-SA"/>
        </w:rPr>
        <w:t xml:space="preserve"> by stock prices than gains (Ball et al 2</w:t>
      </w:r>
      <w:r w:rsidR="00E743B7">
        <w:rPr>
          <w:rFonts w:cs="Times New Roman"/>
          <w:lang w:val="en-US" w:eastAsia="nl-NL" w:bidi="ar-SA"/>
        </w:rPr>
        <w:t xml:space="preserve">000; Holthausen and Watts 2001). In the Basu paper (1997) one of the main conclusions is that companies with negative stock returns posses a higher stock return’s coefficient and a higher R-squared than companies with positive returns. The 1997 </w:t>
      </w:r>
      <w:r w:rsidR="00CA11F8">
        <w:rPr>
          <w:rFonts w:cs="Times New Roman"/>
          <w:lang w:val="en-US" w:eastAsia="nl-NL" w:bidi="ar-SA"/>
        </w:rPr>
        <w:t>paper of Basu was used as the bases for research concerning measuring conservatism by a lot of scientists suchlike Ball et al (2000) and  Holthausen and Watts (2001).</w:t>
      </w:r>
    </w:p>
    <w:p w:rsidR="00926DB2" w:rsidRPr="009F6B24" w:rsidRDefault="00926DB2" w:rsidP="009F6B24">
      <w:pPr>
        <w:pStyle w:val="Kop2"/>
        <w:numPr>
          <w:ilvl w:val="1"/>
          <w:numId w:val="33"/>
        </w:numPr>
        <w:jc w:val="both"/>
        <w:rPr>
          <w:rFonts w:ascii="Times New Roman" w:hAnsi="Times New Roman" w:cs="Times New Roman"/>
          <w:i w:val="0"/>
          <w:iCs w:val="0"/>
          <w:sz w:val="24"/>
          <w:szCs w:val="24"/>
          <w:lang w:val="en-US" w:eastAsia="nl-NL" w:bidi="ar-SA"/>
        </w:rPr>
      </w:pPr>
      <w:bookmarkStart w:id="95" w:name="_Toc268186045"/>
      <w:r w:rsidRPr="009F6B24">
        <w:rPr>
          <w:rFonts w:ascii="Times New Roman" w:hAnsi="Times New Roman" w:cs="Times New Roman"/>
          <w:i w:val="0"/>
          <w:iCs w:val="0"/>
          <w:sz w:val="24"/>
          <w:szCs w:val="24"/>
          <w:lang w:val="en-US" w:eastAsia="nl-NL" w:bidi="ar-SA"/>
        </w:rPr>
        <w:t>Alternative measures of conditional conservatism</w:t>
      </w:r>
      <w:bookmarkEnd w:id="95"/>
    </w:p>
    <w:p w:rsidR="00926DB2" w:rsidRPr="009F6B24" w:rsidRDefault="00926DB2" w:rsidP="009F6B24">
      <w:pPr>
        <w:rPr>
          <w:lang w:val="en-US" w:eastAsia="nl-NL" w:bidi="ar-SA"/>
        </w:rPr>
      </w:pPr>
    </w:p>
    <w:p w:rsidR="00926DB2" w:rsidRPr="009F6B24" w:rsidRDefault="00926DB2" w:rsidP="009F6B24">
      <w:pPr>
        <w:autoSpaceDE w:val="0"/>
        <w:autoSpaceDN w:val="0"/>
        <w:adjustRightInd w:val="0"/>
        <w:spacing w:line="360" w:lineRule="auto"/>
        <w:jc w:val="both"/>
        <w:rPr>
          <w:rFonts w:cs="Times New Roman"/>
          <w:lang w:val="en-US" w:eastAsia="nl-NL" w:bidi="ar-SA"/>
        </w:rPr>
      </w:pPr>
      <w:r>
        <w:rPr>
          <w:rFonts w:cs="Times New Roman"/>
          <w:lang w:val="en-US" w:eastAsia="nl-NL" w:bidi="ar-SA"/>
        </w:rPr>
        <w:t>T</w:t>
      </w:r>
      <w:r w:rsidRPr="000A7A6E">
        <w:rPr>
          <w:rFonts w:cs="Times New Roman"/>
          <w:lang w:val="en-US" w:eastAsia="nl-NL" w:bidi="ar-SA"/>
        </w:rPr>
        <w:t>he scient</w:t>
      </w:r>
      <w:r>
        <w:rPr>
          <w:rFonts w:cs="Times New Roman"/>
          <w:lang w:val="en-US" w:eastAsia="nl-NL" w:bidi="ar-SA"/>
        </w:rPr>
        <w:t xml:space="preserve">ific literature provides many </w:t>
      </w:r>
      <w:r w:rsidRPr="000A7A6E">
        <w:rPr>
          <w:rFonts w:cs="Times New Roman"/>
          <w:lang w:val="en-US" w:eastAsia="nl-NL" w:bidi="ar-SA"/>
        </w:rPr>
        <w:t>alternative measures of accounting conservatism. These alternative measures ar</w:t>
      </w:r>
      <w:r w:rsidR="00CA11F8">
        <w:rPr>
          <w:rFonts w:cs="Times New Roman"/>
          <w:lang w:val="en-US" w:eastAsia="nl-NL" w:bidi="ar-SA"/>
        </w:rPr>
        <w:t>e useful hence they improve and extend</w:t>
      </w:r>
      <w:r w:rsidRPr="000A7A6E">
        <w:rPr>
          <w:rFonts w:cs="Times New Roman"/>
          <w:lang w:val="en-US" w:eastAsia="nl-NL" w:bidi="ar-SA"/>
        </w:rPr>
        <w:t xml:space="preserve"> evidence for the asymmetric timeliness of the coefficients based on returns measures</w:t>
      </w:r>
      <w:r>
        <w:rPr>
          <w:rFonts w:cs="Times New Roman"/>
          <w:lang w:val="en-US" w:eastAsia="nl-NL" w:bidi="ar-SA"/>
        </w:rPr>
        <w:t>. A brief elaboration</w:t>
      </w:r>
      <w:r w:rsidRPr="000A7A6E">
        <w:rPr>
          <w:rFonts w:cs="Times New Roman"/>
          <w:lang w:val="en-US" w:eastAsia="nl-NL" w:bidi="ar-SA"/>
        </w:rPr>
        <w:t xml:space="preserve"> on three research approaches that are merely based on book and not market estimators</w:t>
      </w:r>
      <w:r>
        <w:rPr>
          <w:rFonts w:cs="Times New Roman"/>
          <w:lang w:val="en-US" w:eastAsia="nl-NL" w:bidi="ar-SA"/>
        </w:rPr>
        <w:t xml:space="preserve"> will be given (Ball et al. </w:t>
      </w:r>
      <w:r w:rsidRPr="000A7A6E">
        <w:rPr>
          <w:rFonts w:cs="Times New Roman"/>
          <w:lang w:val="en-US" w:eastAsia="nl-NL" w:bidi="ar-SA"/>
        </w:rPr>
        <w:t xml:space="preserve">2009). These approaches show results that correspond to those of the return based approaches. </w:t>
      </w:r>
    </w:p>
    <w:p w:rsidR="00CA11F8" w:rsidRDefault="00CA11F8" w:rsidP="009F6B24">
      <w:pPr>
        <w:pStyle w:val="Kop3"/>
        <w:jc w:val="both"/>
        <w:rPr>
          <w:rFonts w:ascii="Times New Roman" w:hAnsi="Times New Roman" w:cs="Times New Roman"/>
          <w:b w:val="0"/>
          <w:bCs w:val="0"/>
          <w:i/>
          <w:iCs/>
          <w:color w:val="auto"/>
          <w:lang w:val="en-US" w:eastAsia="nl-NL" w:bidi="ar-SA"/>
        </w:rPr>
      </w:pPr>
    </w:p>
    <w:p w:rsidR="00CA11F8" w:rsidRPr="00CA11F8" w:rsidRDefault="00CA11F8" w:rsidP="00CA11F8">
      <w:pPr>
        <w:rPr>
          <w:lang w:val="en-US" w:eastAsia="nl-NL" w:bidi="ar-SA"/>
        </w:rPr>
      </w:pPr>
    </w:p>
    <w:p w:rsidR="00926DB2" w:rsidRDefault="00926DB2" w:rsidP="0083546F">
      <w:pPr>
        <w:pStyle w:val="Kop3"/>
        <w:numPr>
          <w:ilvl w:val="2"/>
          <w:numId w:val="33"/>
        </w:numPr>
        <w:jc w:val="both"/>
        <w:rPr>
          <w:rFonts w:ascii="Times New Roman" w:hAnsi="Times New Roman" w:cs="Times New Roman"/>
          <w:b w:val="0"/>
          <w:bCs w:val="0"/>
          <w:i/>
          <w:iCs/>
          <w:color w:val="auto"/>
          <w:lang w:val="en-US" w:eastAsia="nl-NL" w:bidi="ar-SA"/>
        </w:rPr>
      </w:pPr>
      <w:bookmarkStart w:id="96" w:name="_Toc268186046"/>
      <w:r w:rsidRPr="009F6B24">
        <w:rPr>
          <w:rFonts w:ascii="Times New Roman" w:hAnsi="Times New Roman" w:cs="Times New Roman"/>
          <w:b w:val="0"/>
          <w:bCs w:val="0"/>
          <w:i/>
          <w:iCs/>
          <w:color w:val="auto"/>
          <w:lang w:val="en-US" w:eastAsia="nl-NL" w:bidi="ar-SA"/>
        </w:rPr>
        <w:lastRenderedPageBreak/>
        <w:t>Measures based on asymmetric reversion</w:t>
      </w:r>
      <w:bookmarkEnd w:id="96"/>
      <w:r w:rsidRPr="009F6B24">
        <w:rPr>
          <w:rFonts w:ascii="Times New Roman" w:hAnsi="Times New Roman" w:cs="Times New Roman"/>
          <w:b w:val="0"/>
          <w:bCs w:val="0"/>
          <w:i/>
          <w:iCs/>
          <w:color w:val="auto"/>
          <w:lang w:val="en-US" w:eastAsia="nl-NL" w:bidi="ar-SA"/>
        </w:rPr>
        <w:t xml:space="preserve"> </w:t>
      </w:r>
    </w:p>
    <w:p w:rsidR="0083546F" w:rsidRPr="0083546F" w:rsidRDefault="0083546F" w:rsidP="0083546F">
      <w:pPr>
        <w:rPr>
          <w:lang w:val="en-US" w:eastAsia="nl-NL" w:bidi="ar-SA"/>
        </w:rPr>
      </w:pPr>
    </w:p>
    <w:p w:rsidR="0083546F" w:rsidRPr="000A7A6E" w:rsidRDefault="00CD68CE" w:rsidP="0083546F">
      <w:pPr>
        <w:autoSpaceDE w:val="0"/>
        <w:autoSpaceDN w:val="0"/>
        <w:adjustRightInd w:val="0"/>
        <w:spacing w:line="360" w:lineRule="auto"/>
        <w:jc w:val="both"/>
        <w:rPr>
          <w:rFonts w:cs="Times New Roman"/>
          <w:lang w:val="en-US" w:eastAsia="nl-NL" w:bidi="ar-SA"/>
        </w:rPr>
      </w:pPr>
      <w:r>
        <w:rPr>
          <w:rFonts w:cs="Times New Roman"/>
          <w:lang w:val="en-US" w:eastAsia="nl-NL" w:bidi="ar-SA"/>
        </w:rPr>
        <w:t>It is less likely that positive</w:t>
      </w:r>
      <w:r w:rsidR="0083546F">
        <w:rPr>
          <w:rFonts w:cs="Times New Roman"/>
          <w:lang w:val="en-US" w:eastAsia="nl-NL" w:bidi="ar-SA"/>
        </w:rPr>
        <w:t xml:space="preserve"> changes in earnings will reverse</w:t>
      </w:r>
      <w:r>
        <w:rPr>
          <w:rFonts w:cs="Times New Roman"/>
          <w:lang w:val="en-US" w:eastAsia="nl-NL" w:bidi="ar-SA"/>
        </w:rPr>
        <w:t xml:space="preserve"> to the mean than negative earnings changes (Basu 1997).</w:t>
      </w:r>
      <w:r w:rsidR="00926DB2" w:rsidRPr="000A7A6E">
        <w:rPr>
          <w:rFonts w:cs="Times New Roman"/>
          <w:lang w:val="en-US" w:eastAsia="nl-NL" w:bidi="ar-SA"/>
        </w:rPr>
        <w:t xml:space="preserve"> </w:t>
      </w:r>
      <w:r>
        <w:rPr>
          <w:rFonts w:cs="Times New Roman"/>
          <w:lang w:val="en-US" w:eastAsia="nl-NL" w:bidi="ar-SA"/>
        </w:rPr>
        <w:t xml:space="preserve">The prediction </w:t>
      </w:r>
      <w:r w:rsidR="00926DB2" w:rsidRPr="000A7A6E">
        <w:rPr>
          <w:rFonts w:cs="Times New Roman"/>
          <w:lang w:val="en-US" w:eastAsia="nl-NL" w:bidi="ar-SA"/>
        </w:rPr>
        <w:t>for the asymmetry in this measure is based on the belief that economic income is not correlated over time (Ball</w:t>
      </w:r>
      <w:r w:rsidR="00926DB2">
        <w:rPr>
          <w:rFonts w:cs="Times New Roman"/>
          <w:lang w:val="en-US" w:eastAsia="nl-NL" w:bidi="ar-SA"/>
        </w:rPr>
        <w:t xml:space="preserve"> et al.</w:t>
      </w:r>
      <w:r w:rsidR="0083546F">
        <w:rPr>
          <w:rFonts w:cs="Times New Roman"/>
          <w:lang w:val="en-US" w:eastAsia="nl-NL" w:bidi="ar-SA"/>
        </w:rPr>
        <w:t xml:space="preserve"> 2009), this means that positive turnings in </w:t>
      </w:r>
      <w:r w:rsidR="0083546F" w:rsidRPr="000A7A6E">
        <w:rPr>
          <w:rFonts w:cs="Times New Roman"/>
          <w:lang w:val="en-US" w:eastAsia="nl-NL" w:bidi="ar-SA"/>
        </w:rPr>
        <w:t>income are negatively correlated</w:t>
      </w:r>
      <w:r w:rsidR="0083546F">
        <w:rPr>
          <w:rFonts w:cs="Times New Roman"/>
          <w:lang w:val="en-US" w:eastAsia="nl-NL" w:bidi="ar-SA"/>
        </w:rPr>
        <w:t xml:space="preserve">. Conservatism therefore implicates </w:t>
      </w:r>
      <w:r w:rsidR="0083546F" w:rsidRPr="000A7A6E">
        <w:rPr>
          <w:rFonts w:cs="Times New Roman"/>
          <w:lang w:val="en-US" w:eastAsia="nl-NL" w:bidi="ar-SA"/>
        </w:rPr>
        <w:t xml:space="preserve">that </w:t>
      </w:r>
      <w:r w:rsidR="0083546F">
        <w:rPr>
          <w:rFonts w:cs="Times New Roman"/>
          <w:lang w:val="en-US" w:eastAsia="nl-NL" w:bidi="ar-SA"/>
        </w:rPr>
        <w:t>reversals</w:t>
      </w:r>
      <w:r w:rsidR="0083546F" w:rsidRPr="000A7A6E">
        <w:rPr>
          <w:rFonts w:cs="Times New Roman"/>
          <w:lang w:val="en-US" w:eastAsia="nl-NL" w:bidi="ar-SA"/>
        </w:rPr>
        <w:t xml:space="preserve"> in accounting income are more transitory when they are integrating negative accounting income than positive accounting income. </w:t>
      </w:r>
    </w:p>
    <w:p w:rsidR="00926DB2" w:rsidRDefault="00926DB2" w:rsidP="00046654">
      <w:pPr>
        <w:autoSpaceDE w:val="0"/>
        <w:autoSpaceDN w:val="0"/>
        <w:adjustRightInd w:val="0"/>
        <w:spacing w:line="360" w:lineRule="auto"/>
        <w:jc w:val="both"/>
        <w:rPr>
          <w:rFonts w:cs="Times New Roman"/>
          <w:lang w:val="en-US" w:eastAsia="nl-NL" w:bidi="ar-SA"/>
        </w:rPr>
      </w:pPr>
    </w:p>
    <w:p w:rsidR="0083546F" w:rsidRDefault="0083546F" w:rsidP="00046654">
      <w:pPr>
        <w:autoSpaceDE w:val="0"/>
        <w:autoSpaceDN w:val="0"/>
        <w:adjustRightInd w:val="0"/>
        <w:spacing w:line="360" w:lineRule="auto"/>
        <w:jc w:val="both"/>
        <w:rPr>
          <w:rFonts w:cs="Times New Roman"/>
          <w:lang w:val="en-US" w:eastAsia="nl-NL" w:bidi="ar-SA"/>
        </w:rPr>
      </w:pPr>
      <w:r>
        <w:rPr>
          <w:rFonts w:cs="Times New Roman"/>
          <w:lang w:val="en-US" w:eastAsia="nl-NL" w:bidi="ar-SA"/>
        </w:rPr>
        <w:t>The above mentioned measure has both advantages and disadvantages in comparison with the use of returns as an indicator for income.</w:t>
      </w:r>
      <w:r w:rsidR="00193FDE">
        <w:rPr>
          <w:rFonts w:cs="Times New Roman"/>
          <w:lang w:val="en-US" w:eastAsia="nl-NL" w:bidi="ar-SA"/>
        </w:rPr>
        <w:t xml:space="preserve"> This measure doesn’t predict timeliness</w:t>
      </w:r>
      <w:r w:rsidR="006416D0">
        <w:rPr>
          <w:rFonts w:cs="Times New Roman"/>
          <w:lang w:val="en-US" w:eastAsia="nl-NL" w:bidi="ar-SA"/>
        </w:rPr>
        <w:t xml:space="preserve"> of the asymmetry between recognizing gains and losses. Also this measure doesn’t make a distinction between </w:t>
      </w:r>
      <w:r w:rsidR="006416D0" w:rsidRPr="000A7A6E">
        <w:rPr>
          <w:rFonts w:cs="Times New Roman"/>
          <w:lang w:val="en-US" w:eastAsia="nl-NL" w:bidi="ar-SA"/>
        </w:rPr>
        <w:t>economic income and disturbances in accounting income.</w:t>
      </w:r>
    </w:p>
    <w:p w:rsidR="00926DB2" w:rsidRPr="000A7A6E" w:rsidRDefault="00926DB2" w:rsidP="00046654">
      <w:pPr>
        <w:autoSpaceDE w:val="0"/>
        <w:autoSpaceDN w:val="0"/>
        <w:adjustRightInd w:val="0"/>
        <w:spacing w:line="360" w:lineRule="auto"/>
        <w:jc w:val="both"/>
        <w:rPr>
          <w:rFonts w:cs="Times New Roman"/>
          <w:lang w:val="en-US" w:eastAsia="nl-NL" w:bidi="ar-SA"/>
        </w:rPr>
      </w:pPr>
    </w:p>
    <w:p w:rsidR="00D85600" w:rsidRDefault="00926DB2" w:rsidP="009F6B24">
      <w:pPr>
        <w:autoSpaceDE w:val="0"/>
        <w:autoSpaceDN w:val="0"/>
        <w:adjustRightInd w:val="0"/>
        <w:spacing w:line="360" w:lineRule="auto"/>
        <w:jc w:val="both"/>
        <w:rPr>
          <w:rFonts w:cs="Times New Roman"/>
          <w:lang w:val="en-US" w:eastAsia="nl-NL" w:bidi="ar-SA"/>
        </w:rPr>
      </w:pPr>
      <w:r w:rsidRPr="000A7A6E">
        <w:rPr>
          <w:rFonts w:cs="Times New Roman"/>
          <w:lang w:val="en-US" w:eastAsia="nl-NL" w:bidi="ar-SA"/>
        </w:rPr>
        <w:t xml:space="preserve">In spite of these disadvantages the results of this measure are both foreseeable and very </w:t>
      </w:r>
      <w:r w:rsidR="00D85600">
        <w:rPr>
          <w:rFonts w:cs="Times New Roman"/>
          <w:lang w:val="en-US" w:eastAsia="nl-NL" w:bidi="ar-SA"/>
        </w:rPr>
        <w:t xml:space="preserve">likewise to results from returns-based measures. This advantage has been evidenced across countries, companies and </w:t>
      </w:r>
      <w:r w:rsidR="00D85600" w:rsidRPr="000A7A6E">
        <w:rPr>
          <w:rFonts w:cs="Times New Roman"/>
          <w:lang w:val="en-US" w:eastAsia="nl-NL" w:bidi="ar-SA"/>
        </w:rPr>
        <w:t>auditor</w:t>
      </w:r>
      <w:r w:rsidR="00D85600">
        <w:rPr>
          <w:rFonts w:cs="Times New Roman"/>
          <w:lang w:val="en-US" w:eastAsia="nl-NL" w:bidi="ar-SA"/>
        </w:rPr>
        <w:t>s</w:t>
      </w:r>
      <w:r w:rsidR="00D85600" w:rsidRPr="000A7A6E">
        <w:rPr>
          <w:rFonts w:cs="Times New Roman"/>
          <w:lang w:val="en-US" w:eastAsia="nl-NL" w:bidi="ar-SA"/>
        </w:rPr>
        <w:t xml:space="preserve"> liability</w:t>
      </w:r>
      <w:r w:rsidR="00D85600">
        <w:rPr>
          <w:rFonts w:cs="Times New Roman"/>
          <w:lang w:val="en-US" w:eastAsia="nl-NL" w:bidi="ar-SA"/>
        </w:rPr>
        <w:t xml:space="preserve"> in several papers; </w:t>
      </w:r>
      <w:r w:rsidR="00D85600" w:rsidRPr="000A7A6E">
        <w:rPr>
          <w:rFonts w:cs="Times New Roman"/>
          <w:lang w:val="en-US" w:eastAsia="nl-NL" w:bidi="ar-SA"/>
        </w:rPr>
        <w:t xml:space="preserve">Ball </w:t>
      </w:r>
      <w:r w:rsidR="00D85600">
        <w:rPr>
          <w:rFonts w:cs="Times New Roman"/>
          <w:lang w:val="en-US" w:eastAsia="nl-NL" w:bidi="ar-SA"/>
        </w:rPr>
        <w:t xml:space="preserve">et al. (2003), Ball and Shivakumar (2006) and </w:t>
      </w:r>
      <w:r w:rsidR="00D85600" w:rsidRPr="000A7A6E">
        <w:rPr>
          <w:rFonts w:cs="Times New Roman"/>
          <w:lang w:val="en-US" w:eastAsia="nl-NL" w:bidi="ar-SA"/>
        </w:rPr>
        <w:t xml:space="preserve">Krishnan </w:t>
      </w:r>
      <w:r w:rsidR="00D85600">
        <w:rPr>
          <w:rFonts w:cs="Times New Roman"/>
          <w:lang w:val="en-US" w:eastAsia="nl-NL" w:bidi="ar-SA"/>
        </w:rPr>
        <w:t>(</w:t>
      </w:r>
      <w:r w:rsidR="00D85600" w:rsidRPr="000A7A6E">
        <w:rPr>
          <w:rFonts w:cs="Times New Roman"/>
          <w:lang w:val="en-US" w:eastAsia="nl-NL" w:bidi="ar-SA"/>
        </w:rPr>
        <w:t>2005</w:t>
      </w:r>
      <w:r w:rsidR="00D85600">
        <w:rPr>
          <w:rFonts w:cs="Times New Roman"/>
          <w:lang w:val="en-US" w:eastAsia="nl-NL" w:bidi="ar-SA"/>
        </w:rPr>
        <w:t>).</w:t>
      </w:r>
    </w:p>
    <w:p w:rsidR="00926DB2" w:rsidRPr="009F6B24" w:rsidRDefault="00114D26" w:rsidP="009F6B24">
      <w:pPr>
        <w:pStyle w:val="Kop3"/>
        <w:jc w:val="both"/>
        <w:rPr>
          <w:rFonts w:ascii="Times New Roman" w:hAnsi="Times New Roman" w:cs="Times New Roman"/>
          <w:b w:val="0"/>
          <w:bCs w:val="0"/>
          <w:i/>
          <w:iCs/>
          <w:color w:val="auto"/>
          <w:lang w:val="en-US" w:eastAsia="nl-NL" w:bidi="ar-SA"/>
        </w:rPr>
      </w:pPr>
      <w:bookmarkStart w:id="97" w:name="_Toc268186047"/>
      <w:r>
        <w:rPr>
          <w:rFonts w:ascii="Times New Roman" w:hAnsi="Times New Roman" w:cs="Times New Roman"/>
          <w:b w:val="0"/>
          <w:bCs w:val="0"/>
          <w:i/>
          <w:iCs/>
          <w:color w:val="auto"/>
          <w:lang w:val="en-US" w:eastAsia="nl-NL" w:bidi="ar-SA"/>
        </w:rPr>
        <w:t xml:space="preserve">4.2.2 </w:t>
      </w:r>
      <w:r w:rsidRPr="009F6B24">
        <w:rPr>
          <w:rFonts w:ascii="Times New Roman" w:hAnsi="Times New Roman" w:cs="Times New Roman"/>
          <w:b w:val="0"/>
          <w:bCs w:val="0"/>
          <w:i/>
          <w:iCs/>
          <w:color w:val="auto"/>
          <w:lang w:val="en-US" w:eastAsia="nl-NL" w:bidi="ar-SA"/>
        </w:rPr>
        <w:t>Accruals</w:t>
      </w:r>
      <w:r w:rsidR="00926DB2" w:rsidRPr="009F6B24">
        <w:rPr>
          <w:rFonts w:ascii="Times New Roman" w:hAnsi="Times New Roman" w:cs="Times New Roman"/>
          <w:b w:val="0"/>
          <w:bCs w:val="0"/>
          <w:i/>
          <w:iCs/>
          <w:color w:val="auto"/>
          <w:lang w:val="en-US" w:eastAsia="nl-NL" w:bidi="ar-SA"/>
        </w:rPr>
        <w:t>-based asymmetry measures</w:t>
      </w:r>
      <w:bookmarkEnd w:id="97"/>
    </w:p>
    <w:p w:rsidR="00926DB2" w:rsidRPr="009F6B24" w:rsidRDefault="00926DB2" w:rsidP="009F6B24">
      <w:pPr>
        <w:autoSpaceDE w:val="0"/>
        <w:autoSpaceDN w:val="0"/>
        <w:adjustRightInd w:val="0"/>
        <w:spacing w:line="360" w:lineRule="auto"/>
        <w:jc w:val="both"/>
        <w:rPr>
          <w:rFonts w:cs="Times New Roman"/>
          <w:i/>
          <w:lang w:val="en-US" w:eastAsia="nl-NL" w:bidi="ar-SA"/>
        </w:rPr>
      </w:pPr>
    </w:p>
    <w:p w:rsidR="002F7EFD" w:rsidRDefault="00926DB2" w:rsidP="009F6B24">
      <w:pPr>
        <w:autoSpaceDE w:val="0"/>
        <w:autoSpaceDN w:val="0"/>
        <w:adjustRightInd w:val="0"/>
        <w:spacing w:line="360" w:lineRule="auto"/>
        <w:jc w:val="both"/>
        <w:rPr>
          <w:rFonts w:cs="Times New Roman"/>
          <w:lang w:val="en-US" w:eastAsia="nl-NL" w:bidi="ar-SA"/>
        </w:rPr>
      </w:pPr>
      <w:r w:rsidRPr="000A7A6E">
        <w:rPr>
          <w:rFonts w:cs="Times New Roman"/>
          <w:lang w:val="en-US" w:eastAsia="nl-NL" w:bidi="ar-SA"/>
        </w:rPr>
        <w:t xml:space="preserve">When focusing on conditional conservatism in relationship with cash flows </w:t>
      </w:r>
      <w:r w:rsidR="00D85600">
        <w:rPr>
          <w:rFonts w:cs="Times New Roman"/>
          <w:lang w:val="en-US" w:eastAsia="nl-NL" w:bidi="ar-SA"/>
        </w:rPr>
        <w:t>and accruals we see</w:t>
      </w:r>
      <w:r w:rsidR="00AF295C">
        <w:rPr>
          <w:rFonts w:cs="Times New Roman"/>
          <w:lang w:val="en-US" w:eastAsia="nl-NL" w:bidi="ar-SA"/>
        </w:rPr>
        <w:t xml:space="preserve"> a</w:t>
      </w:r>
      <w:r w:rsidR="00D85600">
        <w:rPr>
          <w:rFonts w:cs="Times New Roman"/>
          <w:lang w:val="en-US" w:eastAsia="nl-NL" w:bidi="ar-SA"/>
        </w:rPr>
        <w:t xml:space="preserve"> </w:t>
      </w:r>
      <w:r w:rsidRPr="000A7A6E">
        <w:rPr>
          <w:rFonts w:cs="Times New Roman"/>
          <w:lang w:val="en-US" w:eastAsia="nl-NL" w:bidi="ar-SA"/>
        </w:rPr>
        <w:t>linear relation</w:t>
      </w:r>
      <w:r w:rsidR="00D85600">
        <w:rPr>
          <w:rFonts w:cs="Times New Roman"/>
          <w:lang w:val="en-US" w:eastAsia="nl-NL" w:bidi="ar-SA"/>
        </w:rPr>
        <w:t xml:space="preserve"> among accruals and cash flows.</w:t>
      </w:r>
      <w:r w:rsidR="002F7EFD">
        <w:rPr>
          <w:rFonts w:cs="Times New Roman"/>
          <w:lang w:val="en-US" w:eastAsia="nl-NL" w:bidi="ar-SA"/>
        </w:rPr>
        <w:t xml:space="preserve"> In several </w:t>
      </w:r>
      <w:r w:rsidRPr="000A7A6E">
        <w:rPr>
          <w:rFonts w:cs="Times New Roman"/>
          <w:lang w:val="en-US" w:eastAsia="nl-NL" w:bidi="ar-SA"/>
        </w:rPr>
        <w:t>studies it is concluded that accru</w:t>
      </w:r>
      <w:r w:rsidR="002564FC">
        <w:rPr>
          <w:rFonts w:cs="Times New Roman"/>
          <w:lang w:val="en-US" w:eastAsia="nl-NL" w:bidi="ar-SA"/>
        </w:rPr>
        <w:t>als function in foreseeable manners</w:t>
      </w:r>
      <w:r w:rsidRPr="000A7A6E">
        <w:rPr>
          <w:rFonts w:cs="Times New Roman"/>
          <w:lang w:val="en-US" w:eastAsia="nl-NL" w:bidi="ar-SA"/>
        </w:rPr>
        <w:t xml:space="preserve"> to integrate losses in a more timely way than </w:t>
      </w:r>
      <w:r>
        <w:rPr>
          <w:rFonts w:cs="Times New Roman"/>
          <w:lang w:val="en-US" w:eastAsia="nl-NL" w:bidi="ar-SA"/>
        </w:rPr>
        <w:t>gai</w:t>
      </w:r>
      <w:r w:rsidR="002564FC">
        <w:rPr>
          <w:rFonts w:cs="Times New Roman"/>
          <w:lang w:val="en-US" w:eastAsia="nl-NL" w:bidi="ar-SA"/>
        </w:rPr>
        <w:t>ns (</w:t>
      </w:r>
      <w:r>
        <w:rPr>
          <w:rFonts w:cs="Times New Roman"/>
          <w:lang w:val="en-US" w:eastAsia="nl-NL" w:bidi="ar-SA"/>
        </w:rPr>
        <w:t>Nikolaev 2009</w:t>
      </w:r>
      <w:r w:rsidR="002564FC">
        <w:rPr>
          <w:rFonts w:cs="Times New Roman"/>
          <w:lang w:val="en-US" w:eastAsia="nl-NL" w:bidi="ar-SA"/>
        </w:rPr>
        <w:t xml:space="preserve"> and </w:t>
      </w:r>
      <w:r w:rsidR="00AF295C">
        <w:rPr>
          <w:rFonts w:cs="Times New Roman"/>
          <w:lang w:val="en-US" w:eastAsia="nl-NL" w:bidi="ar-SA"/>
        </w:rPr>
        <w:t>Wittenberg-Moerman 2008). These findings are very significant and exciting because several non-price proxies could be used to forecast economic income.</w:t>
      </w:r>
    </w:p>
    <w:p w:rsidR="00926DB2" w:rsidRPr="009F6B24" w:rsidRDefault="00AF295C" w:rsidP="009F6B24">
      <w:pPr>
        <w:pStyle w:val="Kop3"/>
        <w:jc w:val="both"/>
        <w:rPr>
          <w:rFonts w:ascii="Times New Roman" w:hAnsi="Times New Roman" w:cs="Times New Roman"/>
          <w:b w:val="0"/>
          <w:bCs w:val="0"/>
          <w:i/>
          <w:iCs/>
          <w:color w:val="auto"/>
          <w:lang w:val="en-US" w:eastAsia="nl-NL" w:bidi="ar-SA"/>
        </w:rPr>
      </w:pPr>
      <w:bookmarkStart w:id="98" w:name="_Toc268186048"/>
      <w:r>
        <w:rPr>
          <w:rFonts w:ascii="Times New Roman" w:hAnsi="Times New Roman" w:cs="Times New Roman"/>
          <w:b w:val="0"/>
          <w:bCs w:val="0"/>
          <w:i/>
          <w:iCs/>
          <w:color w:val="auto"/>
          <w:lang w:val="en-US" w:eastAsia="nl-NL" w:bidi="ar-SA"/>
        </w:rPr>
        <w:t>4.2.3 Left s</w:t>
      </w:r>
      <w:r w:rsidR="00926DB2" w:rsidRPr="009F6B24">
        <w:rPr>
          <w:rFonts w:ascii="Times New Roman" w:hAnsi="Times New Roman" w:cs="Times New Roman"/>
          <w:b w:val="0"/>
          <w:bCs w:val="0"/>
          <w:i/>
          <w:iCs/>
          <w:color w:val="auto"/>
          <w:lang w:val="en-US" w:eastAsia="nl-NL" w:bidi="ar-SA"/>
        </w:rPr>
        <w:t>kew in accounting income</w:t>
      </w:r>
      <w:bookmarkEnd w:id="98"/>
    </w:p>
    <w:p w:rsidR="00926DB2" w:rsidRDefault="00926DB2" w:rsidP="00046654">
      <w:pPr>
        <w:autoSpaceDE w:val="0"/>
        <w:autoSpaceDN w:val="0"/>
        <w:adjustRightInd w:val="0"/>
        <w:spacing w:line="360" w:lineRule="auto"/>
        <w:jc w:val="both"/>
        <w:rPr>
          <w:rFonts w:cs="Times New Roman"/>
          <w:lang w:val="en-US" w:eastAsia="nl-NL" w:bidi="ar-SA"/>
        </w:rPr>
      </w:pPr>
    </w:p>
    <w:p w:rsidR="00AF295C" w:rsidRDefault="00AF295C" w:rsidP="00AF295C">
      <w:pPr>
        <w:autoSpaceDE w:val="0"/>
        <w:autoSpaceDN w:val="0"/>
        <w:adjustRightInd w:val="0"/>
        <w:spacing w:line="360" w:lineRule="auto"/>
        <w:jc w:val="both"/>
        <w:rPr>
          <w:lang w:val="en-US" w:eastAsia="nl-NL" w:bidi="ar-SA"/>
        </w:rPr>
      </w:pPr>
      <w:r>
        <w:rPr>
          <w:rFonts w:cs="Times New Roman"/>
          <w:lang w:val="en-US" w:eastAsia="nl-NL" w:bidi="ar-SA"/>
        </w:rPr>
        <w:t xml:space="preserve">The amount of left skew in accounting income compared to the skew in returns and cash flows is the last alternate measurement of conservatism </w:t>
      </w:r>
      <w:r>
        <w:rPr>
          <w:lang w:val="en-US" w:eastAsia="nl-NL" w:bidi="ar-SA"/>
        </w:rPr>
        <w:t xml:space="preserve">(Ball et al. 2000; </w:t>
      </w:r>
      <w:r w:rsidRPr="000A7A6E">
        <w:rPr>
          <w:lang w:val="en-US" w:eastAsia="nl-NL" w:bidi="ar-SA"/>
        </w:rPr>
        <w:t>Givoly and Hayn 2000).</w:t>
      </w:r>
      <w:r>
        <w:rPr>
          <w:lang w:val="en-US" w:eastAsia="nl-NL" w:bidi="ar-SA"/>
        </w:rPr>
        <w:t xml:space="preserve"> The left skew could influence conditional conservatism </w:t>
      </w:r>
      <w:r w:rsidRPr="000A7A6E">
        <w:rPr>
          <w:lang w:val="en-US" w:eastAsia="nl-NL" w:bidi="ar-SA"/>
        </w:rPr>
        <w:t>(Ball</w:t>
      </w:r>
      <w:r>
        <w:rPr>
          <w:lang w:val="en-US" w:eastAsia="nl-NL" w:bidi="ar-SA"/>
        </w:rPr>
        <w:t xml:space="preserve"> et al. 2003 and </w:t>
      </w:r>
      <w:r w:rsidRPr="000A7A6E">
        <w:rPr>
          <w:lang w:val="en-US" w:eastAsia="nl-NL" w:bidi="ar-SA"/>
        </w:rPr>
        <w:t>Krishnan 2005</w:t>
      </w:r>
      <w:bookmarkStart w:id="99" w:name="_Toc267323029"/>
      <w:r>
        <w:rPr>
          <w:lang w:val="en-US" w:eastAsia="nl-NL" w:bidi="ar-SA"/>
        </w:rPr>
        <w:t>).</w:t>
      </w:r>
    </w:p>
    <w:p w:rsidR="00AF295C" w:rsidRPr="00AF295C" w:rsidRDefault="00AF295C" w:rsidP="00AF295C">
      <w:pPr>
        <w:autoSpaceDE w:val="0"/>
        <w:autoSpaceDN w:val="0"/>
        <w:adjustRightInd w:val="0"/>
        <w:spacing w:line="360" w:lineRule="auto"/>
        <w:jc w:val="both"/>
        <w:rPr>
          <w:rFonts w:cs="Times New Roman"/>
          <w:lang w:val="en-US" w:eastAsia="nl-NL" w:bidi="ar-SA"/>
        </w:rPr>
      </w:pPr>
    </w:p>
    <w:p w:rsidR="00AF295C" w:rsidRPr="00AF295C" w:rsidRDefault="00AF295C" w:rsidP="00AF295C">
      <w:pPr>
        <w:autoSpaceDE w:val="0"/>
        <w:autoSpaceDN w:val="0"/>
        <w:adjustRightInd w:val="0"/>
        <w:spacing w:line="360" w:lineRule="auto"/>
        <w:jc w:val="both"/>
        <w:rPr>
          <w:rStyle w:val="Nadruk"/>
          <w:rFonts w:cs="Angsana New"/>
          <w:b w:val="0"/>
          <w:i w:val="0"/>
          <w:iCs w:val="0"/>
          <w:lang w:val="en-US" w:eastAsia="nl-NL" w:bidi="ar-SA"/>
        </w:rPr>
      </w:pPr>
    </w:p>
    <w:p w:rsidR="00926DB2" w:rsidRPr="009F6B24" w:rsidRDefault="00926DB2" w:rsidP="009F6B24">
      <w:pPr>
        <w:pStyle w:val="Kop2"/>
        <w:jc w:val="both"/>
        <w:rPr>
          <w:rStyle w:val="Nadruk"/>
          <w:rFonts w:ascii="Times New Roman" w:hAnsi="Times New Roman"/>
          <w:b/>
          <w:sz w:val="24"/>
          <w:szCs w:val="24"/>
        </w:rPr>
      </w:pPr>
      <w:bookmarkStart w:id="100" w:name="_Toc268186049"/>
      <w:r w:rsidRPr="009F6B24">
        <w:rPr>
          <w:rStyle w:val="Nadruk"/>
          <w:rFonts w:ascii="Times New Roman" w:hAnsi="Times New Roman"/>
          <w:b/>
          <w:sz w:val="24"/>
          <w:szCs w:val="24"/>
        </w:rPr>
        <w:lastRenderedPageBreak/>
        <w:t>4.3 Empirical evidence on accounting conservatism</w:t>
      </w:r>
      <w:bookmarkEnd w:id="99"/>
      <w:bookmarkEnd w:id="100"/>
    </w:p>
    <w:p w:rsidR="00926DB2" w:rsidRDefault="00926DB2" w:rsidP="00046654">
      <w:pPr>
        <w:autoSpaceDE w:val="0"/>
        <w:autoSpaceDN w:val="0"/>
        <w:adjustRightInd w:val="0"/>
        <w:spacing w:line="360" w:lineRule="auto"/>
        <w:jc w:val="both"/>
        <w:rPr>
          <w:rFonts w:cs="Times New Roman"/>
          <w:lang w:eastAsia="nl-NL" w:bidi="ar-SA"/>
        </w:rPr>
      </w:pPr>
    </w:p>
    <w:p w:rsidR="00926DB2" w:rsidRDefault="002660B7" w:rsidP="00046654">
      <w:pPr>
        <w:autoSpaceDE w:val="0"/>
        <w:autoSpaceDN w:val="0"/>
        <w:adjustRightInd w:val="0"/>
        <w:spacing w:line="360" w:lineRule="auto"/>
        <w:jc w:val="both"/>
        <w:rPr>
          <w:rFonts w:cs="Times New Roman"/>
          <w:lang w:eastAsia="nl-NL" w:bidi="ar-SA"/>
        </w:rPr>
      </w:pPr>
      <w:r>
        <w:rPr>
          <w:rFonts w:cs="Times New Roman"/>
          <w:lang w:eastAsia="nl-NL" w:bidi="ar-SA"/>
        </w:rPr>
        <w:t xml:space="preserve">When conducting research there are certain research approaches. These approaches will be discussed briefly. These different approaches have implications for </w:t>
      </w:r>
      <w:r>
        <w:rPr>
          <w:lang w:val="en-US"/>
        </w:rPr>
        <w:t>and subsequently justify the existence of conservatism and that conservatism has increased in recent times</w:t>
      </w:r>
      <w:r>
        <w:rPr>
          <w:rFonts w:cs="Times New Roman"/>
          <w:lang w:val="en-US" w:eastAsia="nl-NL" w:bidi="ar-SA"/>
        </w:rPr>
        <w:t xml:space="preserve">. Also these different approaches </w:t>
      </w:r>
      <w:r>
        <w:rPr>
          <w:lang w:val="en-US"/>
        </w:rPr>
        <w:t>provide a possibility to discriminate among the four explanations (contracting, litigation, taxation and accounting regulation) of conservatism. The three specific approaches that will be discussed are:</w:t>
      </w:r>
    </w:p>
    <w:p w:rsidR="002660B7" w:rsidRPr="002660B7" w:rsidRDefault="002660B7" w:rsidP="00046654">
      <w:pPr>
        <w:autoSpaceDE w:val="0"/>
        <w:autoSpaceDN w:val="0"/>
        <w:adjustRightInd w:val="0"/>
        <w:spacing w:line="360" w:lineRule="auto"/>
        <w:jc w:val="both"/>
        <w:rPr>
          <w:rFonts w:cs="Times New Roman"/>
          <w:lang w:eastAsia="nl-NL" w:bidi="ar-SA"/>
        </w:rPr>
      </w:pPr>
    </w:p>
    <w:p w:rsidR="00926DB2" w:rsidRDefault="00926DB2" w:rsidP="00046654">
      <w:pPr>
        <w:pStyle w:val="Lijstalinea"/>
        <w:numPr>
          <w:ilvl w:val="0"/>
          <w:numId w:val="3"/>
        </w:numPr>
        <w:autoSpaceDE w:val="0"/>
        <w:autoSpaceDN w:val="0"/>
        <w:adjustRightInd w:val="0"/>
        <w:spacing w:line="360" w:lineRule="auto"/>
        <w:jc w:val="both"/>
        <w:rPr>
          <w:rFonts w:cs="Times New Roman"/>
          <w:lang w:val="en-US" w:eastAsia="nl-NL" w:bidi="ar-SA"/>
        </w:rPr>
      </w:pPr>
      <w:r>
        <w:rPr>
          <w:rFonts w:cs="Times New Roman"/>
          <w:lang w:val="en-US" w:eastAsia="nl-NL" w:bidi="ar-SA"/>
        </w:rPr>
        <w:t>Time-series variation</w:t>
      </w:r>
    </w:p>
    <w:p w:rsidR="00926DB2" w:rsidRDefault="00926DB2" w:rsidP="00046654">
      <w:pPr>
        <w:pStyle w:val="Lijstalinea"/>
        <w:numPr>
          <w:ilvl w:val="0"/>
          <w:numId w:val="3"/>
        </w:numPr>
        <w:autoSpaceDE w:val="0"/>
        <w:autoSpaceDN w:val="0"/>
        <w:adjustRightInd w:val="0"/>
        <w:spacing w:line="360" w:lineRule="auto"/>
        <w:jc w:val="both"/>
        <w:rPr>
          <w:rFonts w:cs="Times New Roman"/>
          <w:lang w:val="en-US" w:eastAsia="nl-NL" w:bidi="ar-SA"/>
        </w:rPr>
      </w:pPr>
      <w:r>
        <w:rPr>
          <w:rFonts w:cs="Times New Roman"/>
          <w:lang w:val="en-US" w:eastAsia="nl-NL" w:bidi="ar-SA"/>
        </w:rPr>
        <w:t>Cross-sectional variation</w:t>
      </w:r>
    </w:p>
    <w:p w:rsidR="00926DB2" w:rsidRDefault="00926DB2" w:rsidP="007C3F59">
      <w:pPr>
        <w:pStyle w:val="Lijstalinea"/>
        <w:numPr>
          <w:ilvl w:val="0"/>
          <w:numId w:val="3"/>
        </w:numPr>
        <w:autoSpaceDE w:val="0"/>
        <w:autoSpaceDN w:val="0"/>
        <w:adjustRightInd w:val="0"/>
        <w:spacing w:line="360" w:lineRule="auto"/>
        <w:jc w:val="both"/>
        <w:rPr>
          <w:rFonts w:cs="Times New Roman"/>
          <w:lang w:val="en-US" w:eastAsia="nl-NL" w:bidi="ar-SA"/>
        </w:rPr>
      </w:pPr>
      <w:r>
        <w:rPr>
          <w:lang w:val="en-US" w:eastAsia="nl-NL" w:bidi="ar-SA"/>
        </w:rPr>
        <w:t>Contract variation</w:t>
      </w:r>
    </w:p>
    <w:p w:rsidR="007C3F59" w:rsidRPr="007C3F59" w:rsidRDefault="007C3F59" w:rsidP="007C3F59">
      <w:pPr>
        <w:pStyle w:val="Lijstalinea"/>
        <w:autoSpaceDE w:val="0"/>
        <w:autoSpaceDN w:val="0"/>
        <w:adjustRightInd w:val="0"/>
        <w:spacing w:line="360" w:lineRule="auto"/>
        <w:jc w:val="both"/>
        <w:rPr>
          <w:rFonts w:cs="Times New Roman"/>
          <w:lang w:val="en-US" w:eastAsia="nl-NL" w:bidi="ar-SA"/>
        </w:rPr>
      </w:pPr>
    </w:p>
    <w:p w:rsidR="00926DB2" w:rsidRDefault="00926DB2" w:rsidP="00046654">
      <w:pPr>
        <w:autoSpaceDE w:val="0"/>
        <w:autoSpaceDN w:val="0"/>
        <w:adjustRightInd w:val="0"/>
        <w:spacing w:line="360" w:lineRule="auto"/>
        <w:jc w:val="both"/>
        <w:rPr>
          <w:rFonts w:cs="Times New Roman"/>
          <w:lang w:val="en-US" w:eastAsia="nl-NL" w:bidi="ar-SA"/>
        </w:rPr>
      </w:pPr>
      <w:r>
        <w:rPr>
          <w:rFonts w:cs="Times New Roman"/>
          <w:lang w:val="en-US" w:eastAsia="nl-NL" w:bidi="ar-SA"/>
        </w:rPr>
        <w:t xml:space="preserve">These three research approaches will be elaborated and linked with the explanations and measures of accounting conservatism. </w:t>
      </w:r>
    </w:p>
    <w:p w:rsidR="00926DB2" w:rsidRDefault="00926DB2" w:rsidP="00046654">
      <w:pPr>
        <w:autoSpaceDE w:val="0"/>
        <w:autoSpaceDN w:val="0"/>
        <w:adjustRightInd w:val="0"/>
        <w:spacing w:line="360" w:lineRule="auto"/>
        <w:jc w:val="both"/>
        <w:rPr>
          <w:rFonts w:cs="Times New Roman"/>
          <w:lang w:val="en-US" w:eastAsia="nl-NL" w:bidi="ar-SA"/>
        </w:rPr>
      </w:pPr>
    </w:p>
    <w:p w:rsidR="00926DB2" w:rsidRDefault="00926DB2" w:rsidP="00046654">
      <w:pPr>
        <w:autoSpaceDE w:val="0"/>
        <w:autoSpaceDN w:val="0"/>
        <w:adjustRightInd w:val="0"/>
        <w:spacing w:line="360" w:lineRule="auto"/>
        <w:jc w:val="both"/>
        <w:rPr>
          <w:rFonts w:cs="Times New Roman"/>
          <w:lang w:val="en-US" w:eastAsia="nl-NL" w:bidi="ar-SA"/>
        </w:rPr>
      </w:pPr>
      <w:r>
        <w:rPr>
          <w:rFonts w:cs="Times New Roman"/>
          <w:lang w:val="en-US" w:eastAsia="nl-NL" w:bidi="ar-SA"/>
        </w:rPr>
        <w:t xml:space="preserve">On average the time-series variation in the earnings/stock return relation is consistent with all four explanations for conservatism. </w:t>
      </w:r>
    </w:p>
    <w:p w:rsidR="00926DB2" w:rsidRDefault="00926DB2" w:rsidP="00046654">
      <w:pPr>
        <w:autoSpaceDE w:val="0"/>
        <w:autoSpaceDN w:val="0"/>
        <w:adjustRightInd w:val="0"/>
        <w:spacing w:line="360" w:lineRule="auto"/>
        <w:jc w:val="both"/>
        <w:rPr>
          <w:rFonts w:cs="Times New Roman"/>
          <w:lang w:val="en-US" w:eastAsia="nl-NL" w:bidi="ar-SA"/>
        </w:rPr>
      </w:pPr>
    </w:p>
    <w:p w:rsidR="00926DB2" w:rsidRDefault="002660B7" w:rsidP="00046654">
      <w:pPr>
        <w:autoSpaceDE w:val="0"/>
        <w:autoSpaceDN w:val="0"/>
        <w:adjustRightInd w:val="0"/>
        <w:spacing w:line="360" w:lineRule="auto"/>
        <w:jc w:val="both"/>
        <w:rPr>
          <w:rFonts w:cs="Times New Roman"/>
          <w:lang w:val="en-US" w:eastAsia="nl-NL" w:bidi="ar-SA"/>
        </w:rPr>
      </w:pPr>
      <w:r>
        <w:rPr>
          <w:rFonts w:cs="Times New Roman"/>
          <w:lang w:val="en-US" w:eastAsia="nl-NL" w:bidi="ar-SA"/>
        </w:rPr>
        <w:t xml:space="preserve">Little evidence is provided that the cross-sectional variation is consistent with the contracting explanation (Beaver and Ryan 2000). In the paper of Ball et al. (2000) a significant amount  of cross-country evidence is provided by comparing firms in code law and common law countries that supports the contracting explanation. </w:t>
      </w:r>
      <w:r w:rsidR="00926DB2">
        <w:rPr>
          <w:rFonts w:cs="Times New Roman"/>
          <w:lang w:val="en-US" w:eastAsia="nl-NL" w:bidi="ar-SA"/>
        </w:rPr>
        <w:t xml:space="preserve">The contract variation is based on the contracting explanation of conservatism. In conclusion it could be stated that there is more evidence to research the contracting and litigation explanations. Tax and regulation explanations are also consistent with the </w:t>
      </w:r>
      <w:r w:rsidR="00114D26">
        <w:rPr>
          <w:rFonts w:cs="Times New Roman"/>
          <w:lang w:val="en-US" w:eastAsia="nl-NL" w:bidi="ar-SA"/>
        </w:rPr>
        <w:t>evidence;</w:t>
      </w:r>
      <w:r w:rsidR="00926DB2">
        <w:rPr>
          <w:rFonts w:cs="Times New Roman"/>
          <w:lang w:val="en-US" w:eastAsia="nl-NL" w:bidi="ar-SA"/>
        </w:rPr>
        <w:t xml:space="preserve"> however these explanations are not addressed directly in any studies (Watts 2003).</w:t>
      </w:r>
    </w:p>
    <w:p w:rsidR="008C58B7" w:rsidRDefault="008C58B7" w:rsidP="00046654">
      <w:pPr>
        <w:autoSpaceDE w:val="0"/>
        <w:autoSpaceDN w:val="0"/>
        <w:adjustRightInd w:val="0"/>
        <w:spacing w:line="360" w:lineRule="auto"/>
        <w:jc w:val="both"/>
        <w:rPr>
          <w:rFonts w:cs="Times New Roman"/>
          <w:lang w:val="en-US" w:eastAsia="nl-NL" w:bidi="ar-SA"/>
        </w:rPr>
      </w:pPr>
    </w:p>
    <w:p w:rsidR="00891530" w:rsidRDefault="00926DB2" w:rsidP="00046654">
      <w:pPr>
        <w:pStyle w:val="000"/>
        <w:spacing w:line="360" w:lineRule="auto"/>
        <w:jc w:val="both"/>
        <w:rPr>
          <w:rFonts w:ascii="Times New Roman" w:hAnsi="Times New Roman"/>
          <w:sz w:val="24"/>
          <w:szCs w:val="24"/>
          <w:lang w:val="en-US"/>
        </w:rPr>
      </w:pPr>
      <w:r>
        <w:rPr>
          <w:rFonts w:ascii="Times New Roman" w:hAnsi="Times New Roman"/>
          <w:sz w:val="24"/>
          <w:szCs w:val="24"/>
          <w:lang w:val="en-US"/>
        </w:rPr>
        <w:t xml:space="preserve">Vichitsarawong et al. </w:t>
      </w:r>
      <w:r w:rsidRPr="00414864">
        <w:rPr>
          <w:rFonts w:ascii="Times New Roman" w:hAnsi="Times New Roman"/>
          <w:sz w:val="24"/>
          <w:szCs w:val="24"/>
          <w:lang w:val="en-US"/>
        </w:rPr>
        <w:t>(2010) studied the relationship between conservatism and timeliness of earnings of companies in the countries Hong Kong, Malaysia, Singapore and Thailand during the 1997 Asian financial crisis. Their research focused on conservatism and timeliness of accounting earnings in the pre-crisis, crisis and post crisis periods.</w:t>
      </w:r>
      <w:r w:rsidR="001809E5">
        <w:rPr>
          <w:rFonts w:ascii="Times New Roman" w:hAnsi="Times New Roman"/>
          <w:sz w:val="24"/>
          <w:szCs w:val="24"/>
          <w:lang w:val="en-US"/>
        </w:rPr>
        <w:t xml:space="preserve"> Hence they performed a time-series analyses by measuring the degree of conservatism over different periods and a cross-sectional analyses by measuring the degree of conservatism between different countries.</w:t>
      </w:r>
      <w:r w:rsidRPr="00414864">
        <w:rPr>
          <w:rFonts w:ascii="Times New Roman" w:hAnsi="Times New Roman"/>
          <w:sz w:val="24"/>
          <w:szCs w:val="24"/>
          <w:lang w:val="en-US"/>
        </w:rPr>
        <w:t xml:space="preserve"> </w:t>
      </w:r>
    </w:p>
    <w:p w:rsidR="00926DB2" w:rsidRPr="003758F7" w:rsidRDefault="00891530" w:rsidP="00046654">
      <w:pPr>
        <w:pStyle w:val="000"/>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 xml:space="preserve">The conclusions of this paper were that during the crisis period the degree of conservatism and the timeliness of accounting earnings was smaller than during periods of normal economic activity. Next, they concluded that after the </w:t>
      </w:r>
      <w:r w:rsidRPr="00414864">
        <w:rPr>
          <w:rFonts w:ascii="Times New Roman" w:hAnsi="Times New Roman"/>
          <w:sz w:val="24"/>
          <w:szCs w:val="24"/>
          <w:lang w:val="en-US"/>
        </w:rPr>
        <w:t>crisis conservatism was improved and this could be due to an enhancement in corporate governance and stronger regulatory controls in the</w:t>
      </w:r>
      <w:r w:rsidR="00813A53">
        <w:rPr>
          <w:rFonts w:ascii="Times New Roman" w:hAnsi="Times New Roman"/>
          <w:sz w:val="24"/>
          <w:szCs w:val="24"/>
          <w:lang w:val="en-US"/>
        </w:rPr>
        <w:t xml:space="preserve"> examined</w:t>
      </w:r>
      <w:r w:rsidRPr="00414864">
        <w:rPr>
          <w:rFonts w:ascii="Times New Roman" w:hAnsi="Times New Roman"/>
          <w:sz w:val="24"/>
          <w:szCs w:val="24"/>
          <w:lang w:val="en-US"/>
        </w:rPr>
        <w:t xml:space="preserve"> countries.</w:t>
      </w:r>
      <w:r w:rsidR="00926DB2" w:rsidRPr="00414864">
        <w:rPr>
          <w:rFonts w:ascii="Times New Roman" w:hAnsi="Times New Roman"/>
          <w:sz w:val="24"/>
          <w:szCs w:val="24"/>
          <w:lang w:val="en-US"/>
        </w:rPr>
        <w:t>.</w:t>
      </w:r>
    </w:p>
    <w:p w:rsidR="00926DB2" w:rsidRPr="009F6B24" w:rsidRDefault="00926DB2" w:rsidP="009F6B24">
      <w:pPr>
        <w:pStyle w:val="Kop2"/>
        <w:jc w:val="both"/>
        <w:rPr>
          <w:rFonts w:ascii="Times New Roman" w:hAnsi="Times New Roman" w:cs="Times New Roman"/>
          <w:bCs w:val="0"/>
          <w:i w:val="0"/>
          <w:iCs w:val="0"/>
          <w:sz w:val="24"/>
          <w:szCs w:val="24"/>
          <w:lang w:val="en-US"/>
        </w:rPr>
      </w:pPr>
      <w:bookmarkStart w:id="101" w:name="_Toc268186050"/>
      <w:r w:rsidRPr="009F6B24">
        <w:rPr>
          <w:rFonts w:ascii="Times New Roman" w:hAnsi="Times New Roman" w:cs="Times New Roman"/>
          <w:bCs w:val="0"/>
          <w:i w:val="0"/>
          <w:iCs w:val="0"/>
          <w:sz w:val="24"/>
          <w:szCs w:val="24"/>
          <w:lang w:val="en-US"/>
        </w:rPr>
        <w:t>4.4 International institutional factors effect on accounting earnings</w:t>
      </w:r>
      <w:bookmarkEnd w:id="101"/>
    </w:p>
    <w:p w:rsidR="00926DB2" w:rsidRPr="009F6B24" w:rsidRDefault="00926DB2" w:rsidP="009F6B24">
      <w:pPr>
        <w:rPr>
          <w:lang w:val="en-US"/>
        </w:rPr>
      </w:pPr>
    </w:p>
    <w:p w:rsidR="00926DB2" w:rsidRPr="00E47EF1" w:rsidRDefault="00926DB2" w:rsidP="009F6B24">
      <w:pPr>
        <w:pStyle w:val="000"/>
        <w:spacing w:line="360" w:lineRule="auto"/>
        <w:jc w:val="both"/>
        <w:rPr>
          <w:rFonts w:ascii="Times New Roman" w:hAnsi="Times New Roman"/>
          <w:sz w:val="24"/>
          <w:szCs w:val="24"/>
          <w:lang w:val="en-US"/>
        </w:rPr>
      </w:pPr>
      <w:r>
        <w:rPr>
          <w:rFonts w:ascii="Times New Roman" w:hAnsi="Times New Roman"/>
          <w:sz w:val="24"/>
          <w:szCs w:val="24"/>
          <w:lang w:val="en-US"/>
        </w:rPr>
        <w:t xml:space="preserve">In this paragraph the </w:t>
      </w:r>
      <w:r w:rsidRPr="00E47EF1">
        <w:rPr>
          <w:rFonts w:ascii="Times New Roman" w:hAnsi="Times New Roman"/>
          <w:sz w:val="24"/>
          <w:szCs w:val="24"/>
          <w:lang w:val="en-US"/>
        </w:rPr>
        <w:t>differences between accounting regulations and country regulation and the influence of these institutional factors on the timeliness of income recognition.</w:t>
      </w:r>
    </w:p>
    <w:p w:rsidR="00926DB2" w:rsidRPr="009F6B24" w:rsidRDefault="00926DB2" w:rsidP="009F6B24">
      <w:pPr>
        <w:pStyle w:val="Kop3"/>
        <w:jc w:val="both"/>
        <w:rPr>
          <w:rFonts w:ascii="Times New Roman" w:hAnsi="Times New Roman" w:cs="Times New Roman"/>
          <w:b w:val="0"/>
          <w:bCs w:val="0"/>
          <w:i/>
          <w:iCs/>
          <w:color w:val="auto"/>
          <w:szCs w:val="24"/>
          <w:lang w:val="en-US"/>
        </w:rPr>
      </w:pPr>
      <w:bookmarkStart w:id="102" w:name="_Toc268186051"/>
      <w:r w:rsidRPr="009F6B24">
        <w:rPr>
          <w:rFonts w:ascii="Times New Roman" w:hAnsi="Times New Roman" w:cs="Times New Roman"/>
          <w:b w:val="0"/>
          <w:bCs w:val="0"/>
          <w:i/>
          <w:iCs/>
          <w:color w:val="auto"/>
          <w:szCs w:val="24"/>
          <w:lang w:val="en-US"/>
        </w:rPr>
        <w:t>4.4.1 Differences due to different GAAP regulations</w:t>
      </w:r>
      <w:bookmarkEnd w:id="102"/>
    </w:p>
    <w:p w:rsidR="00926DB2" w:rsidRDefault="00926DB2" w:rsidP="00046654">
      <w:pPr>
        <w:pStyle w:val="000"/>
        <w:spacing w:line="360" w:lineRule="auto"/>
        <w:jc w:val="both"/>
        <w:rPr>
          <w:rFonts w:ascii="Times New Roman" w:hAnsi="Times New Roman"/>
          <w:sz w:val="24"/>
          <w:szCs w:val="24"/>
          <w:lang w:val="en-US"/>
        </w:rPr>
      </w:pPr>
    </w:p>
    <w:p w:rsidR="00746B4D" w:rsidRDefault="00746B4D" w:rsidP="00046654">
      <w:pPr>
        <w:pStyle w:val="000"/>
        <w:spacing w:line="360" w:lineRule="auto"/>
        <w:jc w:val="both"/>
        <w:rPr>
          <w:rFonts w:ascii="Times New Roman" w:hAnsi="Times New Roman"/>
          <w:sz w:val="24"/>
          <w:szCs w:val="24"/>
          <w:lang w:val="en-US"/>
        </w:rPr>
      </w:pPr>
      <w:r>
        <w:rPr>
          <w:rFonts w:ascii="Times New Roman" w:hAnsi="Times New Roman"/>
          <w:sz w:val="24"/>
          <w:szCs w:val="24"/>
          <w:lang w:val="en-US"/>
        </w:rPr>
        <w:t xml:space="preserve">In the research paper of Pope and Walker (1999) the variations in </w:t>
      </w:r>
      <w:r w:rsidRPr="00E47EF1">
        <w:rPr>
          <w:rFonts w:ascii="Times New Roman" w:hAnsi="Times New Roman"/>
          <w:sz w:val="24"/>
          <w:szCs w:val="24"/>
          <w:lang w:val="en-US"/>
        </w:rPr>
        <w:t>earnings recognition between the United-States and United-Kingdom</w:t>
      </w:r>
      <w:r>
        <w:rPr>
          <w:rFonts w:ascii="Times New Roman" w:hAnsi="Times New Roman"/>
          <w:sz w:val="24"/>
          <w:szCs w:val="24"/>
          <w:lang w:val="en-US"/>
        </w:rPr>
        <w:t xml:space="preserve"> are investigated. </w:t>
      </w:r>
      <w:r w:rsidR="00926DB2" w:rsidRPr="00E47EF1">
        <w:rPr>
          <w:rFonts w:ascii="Times New Roman" w:hAnsi="Times New Roman"/>
          <w:sz w:val="24"/>
          <w:szCs w:val="24"/>
          <w:lang w:val="en-US"/>
        </w:rPr>
        <w:t xml:space="preserve">The Basu-model is used to </w:t>
      </w:r>
      <w:r w:rsidR="009D059F" w:rsidRPr="00E47EF1">
        <w:rPr>
          <w:rFonts w:ascii="Times New Roman" w:hAnsi="Times New Roman"/>
          <w:sz w:val="24"/>
          <w:szCs w:val="24"/>
          <w:lang w:val="en-US"/>
        </w:rPr>
        <w:t>assess</w:t>
      </w:r>
      <w:r w:rsidR="00926DB2" w:rsidRPr="00E47EF1">
        <w:rPr>
          <w:rFonts w:ascii="Times New Roman" w:hAnsi="Times New Roman"/>
          <w:sz w:val="24"/>
          <w:szCs w:val="24"/>
          <w:lang w:val="en-US"/>
        </w:rPr>
        <w:t xml:space="preserve"> the degree of change in inco</w:t>
      </w:r>
      <w:r w:rsidR="00926DB2">
        <w:rPr>
          <w:rFonts w:ascii="Times New Roman" w:hAnsi="Times New Roman"/>
          <w:sz w:val="24"/>
          <w:szCs w:val="24"/>
          <w:lang w:val="en-US"/>
        </w:rPr>
        <w:t>me recognition (Basu 1997).</w:t>
      </w:r>
      <w:r>
        <w:rPr>
          <w:rFonts w:ascii="Times New Roman" w:hAnsi="Times New Roman"/>
          <w:sz w:val="24"/>
          <w:szCs w:val="24"/>
          <w:lang w:val="en-US"/>
        </w:rPr>
        <w:t xml:space="preserve"> </w:t>
      </w:r>
      <w:r w:rsidR="00926DB2">
        <w:rPr>
          <w:rFonts w:ascii="Times New Roman" w:hAnsi="Times New Roman"/>
          <w:sz w:val="24"/>
          <w:szCs w:val="24"/>
          <w:lang w:val="en-US"/>
        </w:rPr>
        <w:t>Several</w:t>
      </w:r>
      <w:r w:rsidR="00926DB2" w:rsidRPr="00E47EF1">
        <w:rPr>
          <w:rFonts w:ascii="Times New Roman" w:hAnsi="Times New Roman"/>
          <w:sz w:val="24"/>
          <w:szCs w:val="24"/>
          <w:lang w:val="en-US"/>
        </w:rPr>
        <w:t xml:space="preserve"> papers</w:t>
      </w:r>
      <w:r>
        <w:rPr>
          <w:rFonts w:ascii="Times New Roman" w:hAnsi="Times New Roman"/>
          <w:sz w:val="24"/>
          <w:szCs w:val="24"/>
          <w:lang w:val="en-US"/>
        </w:rPr>
        <w:t xml:space="preserve"> have concluded that variations</w:t>
      </w:r>
      <w:r w:rsidR="00926DB2" w:rsidRPr="00E47EF1">
        <w:rPr>
          <w:rFonts w:ascii="Times New Roman" w:hAnsi="Times New Roman"/>
          <w:sz w:val="24"/>
          <w:szCs w:val="24"/>
          <w:lang w:val="en-US"/>
        </w:rPr>
        <w:t xml:space="preserve"> in i</w:t>
      </w:r>
      <w:r>
        <w:rPr>
          <w:rFonts w:ascii="Times New Roman" w:hAnsi="Times New Roman"/>
          <w:sz w:val="24"/>
          <w:szCs w:val="24"/>
          <w:lang w:val="en-US"/>
        </w:rPr>
        <w:t>nformation content are related</w:t>
      </w:r>
      <w:r w:rsidR="00926DB2" w:rsidRPr="00E47EF1">
        <w:rPr>
          <w:rFonts w:ascii="Times New Roman" w:hAnsi="Times New Roman"/>
          <w:sz w:val="24"/>
          <w:szCs w:val="24"/>
          <w:lang w:val="en-US"/>
        </w:rPr>
        <w:t xml:space="preserve"> to institutional f</w:t>
      </w:r>
      <w:r w:rsidR="00926DB2">
        <w:rPr>
          <w:rFonts w:ascii="Times New Roman" w:hAnsi="Times New Roman"/>
          <w:sz w:val="24"/>
          <w:szCs w:val="24"/>
          <w:lang w:val="en-US"/>
        </w:rPr>
        <w:t>actors (Amir et al. 1993;</w:t>
      </w:r>
      <w:r w:rsidR="00926DB2" w:rsidRPr="00E47EF1">
        <w:rPr>
          <w:rFonts w:ascii="Times New Roman" w:hAnsi="Times New Roman"/>
          <w:sz w:val="24"/>
          <w:szCs w:val="24"/>
          <w:lang w:val="en-US"/>
        </w:rPr>
        <w:t xml:space="preserve"> Pope and Rees 1992). </w:t>
      </w:r>
    </w:p>
    <w:p w:rsidR="00746B4D" w:rsidRDefault="00746B4D" w:rsidP="00046654">
      <w:pPr>
        <w:pStyle w:val="000"/>
        <w:spacing w:line="360" w:lineRule="auto"/>
        <w:jc w:val="both"/>
        <w:rPr>
          <w:rFonts w:ascii="Times New Roman" w:hAnsi="Times New Roman"/>
          <w:sz w:val="24"/>
          <w:szCs w:val="24"/>
          <w:lang w:val="en-US"/>
        </w:rPr>
      </w:pPr>
    </w:p>
    <w:p w:rsidR="00926DB2" w:rsidRPr="00E47EF1" w:rsidRDefault="00926DB2" w:rsidP="00046654">
      <w:pPr>
        <w:pStyle w:val="000"/>
        <w:spacing w:line="360" w:lineRule="auto"/>
        <w:jc w:val="both"/>
        <w:rPr>
          <w:rFonts w:ascii="Times New Roman" w:hAnsi="Times New Roman"/>
          <w:sz w:val="24"/>
          <w:szCs w:val="24"/>
          <w:lang w:val="en-US"/>
        </w:rPr>
      </w:pPr>
      <w:r w:rsidRPr="00E47EF1">
        <w:rPr>
          <w:rFonts w:ascii="Times New Roman" w:hAnsi="Times New Roman"/>
          <w:sz w:val="24"/>
          <w:szCs w:val="24"/>
          <w:lang w:val="en-US"/>
        </w:rPr>
        <w:t>Ball</w:t>
      </w:r>
      <w:r>
        <w:rPr>
          <w:rFonts w:ascii="Times New Roman" w:hAnsi="Times New Roman"/>
          <w:sz w:val="24"/>
          <w:szCs w:val="24"/>
          <w:lang w:val="en-US"/>
        </w:rPr>
        <w:t xml:space="preserve"> et al.</w:t>
      </w:r>
      <w:r w:rsidR="00C65FB3">
        <w:rPr>
          <w:rFonts w:ascii="Times New Roman" w:hAnsi="Times New Roman"/>
          <w:sz w:val="24"/>
          <w:szCs w:val="24"/>
          <w:lang w:val="en-US"/>
        </w:rPr>
        <w:t xml:space="preserve"> (1997) examine</w:t>
      </w:r>
      <w:r w:rsidR="00746B4D">
        <w:rPr>
          <w:rFonts w:ascii="Times New Roman" w:hAnsi="Times New Roman"/>
          <w:sz w:val="24"/>
          <w:szCs w:val="24"/>
          <w:lang w:val="en-US"/>
        </w:rPr>
        <w:t xml:space="preserve"> several </w:t>
      </w:r>
      <w:r w:rsidRPr="00E47EF1">
        <w:rPr>
          <w:rFonts w:ascii="Times New Roman" w:hAnsi="Times New Roman"/>
          <w:sz w:val="24"/>
          <w:szCs w:val="24"/>
          <w:lang w:val="en-US"/>
        </w:rPr>
        <w:t>GAAP regimes and conclude that there are significant differences in the timeliness of recognition of earnings. They address these differences to legal and institutional factors. Pope and Walker 1999 find out that income before extraordinary items in the United-States is significantly timelier in recognizing bad news than income before extraordinary it</w:t>
      </w:r>
      <w:r w:rsidR="00746B4D">
        <w:rPr>
          <w:rFonts w:ascii="Times New Roman" w:hAnsi="Times New Roman"/>
          <w:sz w:val="24"/>
          <w:szCs w:val="24"/>
          <w:lang w:val="en-US"/>
        </w:rPr>
        <w:t>ems in the United-Kingdom</w:t>
      </w:r>
      <w:r w:rsidRPr="00E47EF1">
        <w:rPr>
          <w:rFonts w:ascii="Times New Roman" w:hAnsi="Times New Roman"/>
          <w:sz w:val="24"/>
          <w:szCs w:val="24"/>
          <w:lang w:val="en-US"/>
        </w:rPr>
        <w:t xml:space="preserve">. This has to do with the higher judicial proceeding and regulative costs in the United-States. When looking at income after extraordinary items </w:t>
      </w:r>
      <w:r>
        <w:rPr>
          <w:rFonts w:ascii="Times New Roman" w:hAnsi="Times New Roman"/>
          <w:sz w:val="24"/>
          <w:szCs w:val="24"/>
          <w:lang w:val="en-US"/>
        </w:rPr>
        <w:t xml:space="preserve">a </w:t>
      </w:r>
      <w:r w:rsidRPr="00E47EF1">
        <w:rPr>
          <w:rFonts w:ascii="Times New Roman" w:hAnsi="Times New Roman"/>
          <w:sz w:val="24"/>
          <w:szCs w:val="24"/>
          <w:lang w:val="en-US"/>
        </w:rPr>
        <w:t>different conclusion</w:t>
      </w:r>
      <w:r>
        <w:rPr>
          <w:rFonts w:ascii="Times New Roman" w:hAnsi="Times New Roman"/>
          <w:sz w:val="24"/>
          <w:szCs w:val="24"/>
          <w:lang w:val="en-US"/>
        </w:rPr>
        <w:t xml:space="preserve"> is seen</w:t>
      </w:r>
      <w:r w:rsidRPr="00E47EF1">
        <w:rPr>
          <w:rFonts w:ascii="Times New Roman" w:hAnsi="Times New Roman"/>
          <w:sz w:val="24"/>
          <w:szCs w:val="24"/>
          <w:lang w:val="en-US"/>
        </w:rPr>
        <w:t xml:space="preserve">, the United Kingdom is significantly timelier in recognizing </w:t>
      </w:r>
      <w:r>
        <w:rPr>
          <w:rFonts w:ascii="Times New Roman" w:hAnsi="Times New Roman"/>
          <w:sz w:val="24"/>
          <w:szCs w:val="24"/>
          <w:lang w:val="en-US"/>
        </w:rPr>
        <w:t>bad news than the United-States (Pope and Walker 1999).</w:t>
      </w:r>
      <w:r w:rsidRPr="00E47EF1">
        <w:rPr>
          <w:rFonts w:ascii="Times New Roman" w:hAnsi="Times New Roman"/>
          <w:sz w:val="24"/>
          <w:szCs w:val="24"/>
          <w:lang w:val="en-US"/>
        </w:rPr>
        <w:t xml:space="preserve"> For the United-States the degree of conservatism is equal for both types of earnings (before-</w:t>
      </w:r>
      <w:r>
        <w:rPr>
          <w:rFonts w:ascii="Times New Roman" w:hAnsi="Times New Roman"/>
          <w:sz w:val="24"/>
          <w:szCs w:val="24"/>
          <w:lang w:val="en-US"/>
        </w:rPr>
        <w:t xml:space="preserve"> and after extraordinary items).</w:t>
      </w:r>
      <w:r w:rsidRPr="00E47EF1">
        <w:rPr>
          <w:rFonts w:ascii="Times New Roman" w:hAnsi="Times New Roman"/>
          <w:sz w:val="24"/>
          <w:szCs w:val="24"/>
          <w:lang w:val="en-US"/>
        </w:rPr>
        <w:t xml:space="preserve"> In the UK GAAP there is more latitude for extraordinary items. When l</w:t>
      </w:r>
      <w:r>
        <w:rPr>
          <w:rFonts w:ascii="Times New Roman" w:hAnsi="Times New Roman"/>
          <w:sz w:val="24"/>
          <w:szCs w:val="24"/>
          <w:lang w:val="en-US"/>
        </w:rPr>
        <w:t xml:space="preserve">ooking at good news, </w:t>
      </w:r>
      <w:r w:rsidRPr="00E47EF1">
        <w:rPr>
          <w:rFonts w:ascii="Times New Roman" w:hAnsi="Times New Roman"/>
          <w:sz w:val="24"/>
          <w:szCs w:val="24"/>
          <w:lang w:val="en-US"/>
        </w:rPr>
        <w:t xml:space="preserve">the UK GAAP is more timely in recognizing this than the US GAAP (Pope and Walker 1999). </w:t>
      </w:r>
    </w:p>
    <w:p w:rsidR="00926DB2" w:rsidRPr="00E47EF1" w:rsidRDefault="00926DB2" w:rsidP="00046654">
      <w:pPr>
        <w:pStyle w:val="000"/>
        <w:spacing w:line="360" w:lineRule="auto"/>
        <w:jc w:val="both"/>
        <w:rPr>
          <w:rFonts w:ascii="Times New Roman" w:hAnsi="Times New Roman"/>
          <w:sz w:val="24"/>
          <w:szCs w:val="24"/>
          <w:lang w:val="en-US"/>
        </w:rPr>
      </w:pPr>
    </w:p>
    <w:p w:rsidR="00926DB2" w:rsidRPr="007C3F59" w:rsidRDefault="00926DB2" w:rsidP="007C3F59">
      <w:pPr>
        <w:pStyle w:val="000"/>
        <w:spacing w:line="360" w:lineRule="auto"/>
        <w:jc w:val="both"/>
        <w:rPr>
          <w:rFonts w:ascii="Times New Roman" w:hAnsi="Times New Roman"/>
          <w:sz w:val="24"/>
          <w:szCs w:val="24"/>
          <w:lang w:val="en-US"/>
        </w:rPr>
      </w:pPr>
      <w:r w:rsidRPr="00E47EF1">
        <w:rPr>
          <w:rFonts w:ascii="Times New Roman" w:hAnsi="Times New Roman"/>
          <w:sz w:val="24"/>
          <w:szCs w:val="24"/>
          <w:lang w:val="en-US"/>
        </w:rPr>
        <w:t>Giner and Rees (2001) focused on variations in GAAP between the UK, France and Germany. These countries are expected to have little variation in economical and societal factors, so that these coul</w:t>
      </w:r>
      <w:r w:rsidR="00853144">
        <w:rPr>
          <w:rFonts w:ascii="Times New Roman" w:hAnsi="Times New Roman"/>
          <w:sz w:val="24"/>
          <w:szCs w:val="24"/>
          <w:lang w:val="en-US"/>
        </w:rPr>
        <w:t>d be minimized in the research. T</w:t>
      </w:r>
      <w:r w:rsidRPr="00E47EF1">
        <w:rPr>
          <w:rFonts w:ascii="Times New Roman" w:hAnsi="Times New Roman"/>
          <w:sz w:val="24"/>
          <w:szCs w:val="24"/>
          <w:lang w:val="en-US"/>
        </w:rPr>
        <w:t xml:space="preserve">he relationship between bad news and earnings is </w:t>
      </w:r>
      <w:r w:rsidRPr="00E47EF1">
        <w:rPr>
          <w:rFonts w:ascii="Times New Roman" w:hAnsi="Times New Roman"/>
          <w:sz w:val="24"/>
          <w:szCs w:val="24"/>
          <w:lang w:val="en-US"/>
        </w:rPr>
        <w:lastRenderedPageBreak/>
        <w:t>much stronger than between good news and earnings (more timely re</w:t>
      </w:r>
      <w:r>
        <w:rPr>
          <w:rFonts w:ascii="Times New Roman" w:hAnsi="Times New Roman"/>
          <w:sz w:val="24"/>
          <w:szCs w:val="24"/>
          <w:lang w:val="en-US"/>
        </w:rPr>
        <w:t>cognition) in all the countries (Ginger and Rees 2001).</w:t>
      </w:r>
      <w:r w:rsidRPr="00E47EF1">
        <w:rPr>
          <w:rFonts w:ascii="Times New Roman" w:hAnsi="Times New Roman"/>
          <w:sz w:val="24"/>
          <w:szCs w:val="24"/>
          <w:lang w:val="en-US"/>
        </w:rPr>
        <w:t xml:space="preserve"> </w:t>
      </w:r>
      <w:r w:rsidR="00687482">
        <w:rPr>
          <w:rFonts w:ascii="Times New Roman" w:hAnsi="Times New Roman"/>
          <w:sz w:val="24"/>
          <w:szCs w:val="24"/>
          <w:lang w:val="en-US"/>
        </w:rPr>
        <w:t>The highest degree of conservatism was measured</w:t>
      </w:r>
      <w:r w:rsidRPr="00E47EF1">
        <w:rPr>
          <w:rFonts w:ascii="Times New Roman" w:hAnsi="Times New Roman"/>
          <w:sz w:val="24"/>
          <w:szCs w:val="24"/>
          <w:lang w:val="en-US"/>
        </w:rPr>
        <w:t xml:space="preserve"> in the United-Kingdom followed by France and then Germany. These variations concerning conservatism between t</w:t>
      </w:r>
      <w:r w:rsidR="00853144">
        <w:rPr>
          <w:rFonts w:ascii="Times New Roman" w:hAnsi="Times New Roman"/>
          <w:sz w:val="24"/>
          <w:szCs w:val="24"/>
          <w:lang w:val="en-US"/>
        </w:rPr>
        <w:t xml:space="preserve">he three countries were </w:t>
      </w:r>
      <w:r w:rsidRPr="00E47EF1">
        <w:rPr>
          <w:rFonts w:ascii="Times New Roman" w:hAnsi="Times New Roman"/>
          <w:sz w:val="24"/>
          <w:szCs w:val="24"/>
          <w:lang w:val="en-US"/>
        </w:rPr>
        <w:t>not significant.</w:t>
      </w:r>
    </w:p>
    <w:p w:rsidR="00926DB2" w:rsidRPr="001E6773" w:rsidRDefault="00926DB2" w:rsidP="001E6773">
      <w:pPr>
        <w:pStyle w:val="Kop3"/>
        <w:jc w:val="both"/>
        <w:rPr>
          <w:rFonts w:ascii="Times New Roman" w:hAnsi="Times New Roman" w:cs="Times New Roman"/>
          <w:b w:val="0"/>
          <w:bCs w:val="0"/>
          <w:i/>
          <w:iCs/>
          <w:color w:val="auto"/>
          <w:szCs w:val="24"/>
          <w:lang w:val="en-US"/>
        </w:rPr>
      </w:pPr>
      <w:bookmarkStart w:id="103" w:name="_Toc268186052"/>
      <w:r w:rsidRPr="001E6773">
        <w:rPr>
          <w:rFonts w:ascii="Times New Roman" w:hAnsi="Times New Roman" w:cs="Times New Roman"/>
          <w:b w:val="0"/>
          <w:bCs w:val="0"/>
          <w:i/>
          <w:iCs/>
          <w:color w:val="auto"/>
          <w:szCs w:val="24"/>
          <w:lang w:val="en-US"/>
        </w:rPr>
        <w:t>4.4.2 Legal differences</w:t>
      </w:r>
      <w:bookmarkEnd w:id="103"/>
    </w:p>
    <w:p w:rsidR="00926DB2" w:rsidRPr="00E47EF1" w:rsidRDefault="00926DB2" w:rsidP="00046654">
      <w:pPr>
        <w:pStyle w:val="000"/>
        <w:spacing w:line="360" w:lineRule="auto"/>
        <w:jc w:val="both"/>
        <w:rPr>
          <w:rFonts w:ascii="Times New Roman" w:hAnsi="Times New Roman"/>
          <w:sz w:val="24"/>
          <w:szCs w:val="24"/>
          <w:lang w:val="en-US"/>
        </w:rPr>
      </w:pPr>
    </w:p>
    <w:p w:rsidR="00926DB2" w:rsidRDefault="00926DB2" w:rsidP="00046654">
      <w:pPr>
        <w:pStyle w:val="000"/>
        <w:spacing w:line="360" w:lineRule="auto"/>
        <w:jc w:val="both"/>
        <w:rPr>
          <w:rFonts w:ascii="Times New Roman" w:hAnsi="Times New Roman"/>
          <w:sz w:val="24"/>
          <w:szCs w:val="24"/>
          <w:lang w:val="en-US"/>
        </w:rPr>
      </w:pPr>
      <w:r w:rsidRPr="00E47EF1">
        <w:rPr>
          <w:rFonts w:ascii="Times New Roman" w:hAnsi="Times New Roman"/>
          <w:sz w:val="24"/>
          <w:szCs w:val="24"/>
          <w:lang w:val="en-US"/>
        </w:rPr>
        <w:t>In the study of Ball</w:t>
      </w:r>
      <w:r>
        <w:rPr>
          <w:rFonts w:ascii="Times New Roman" w:hAnsi="Times New Roman"/>
          <w:sz w:val="24"/>
          <w:szCs w:val="24"/>
          <w:lang w:val="en-US"/>
        </w:rPr>
        <w:t xml:space="preserve"> et al. </w:t>
      </w:r>
      <w:r w:rsidR="00853144">
        <w:rPr>
          <w:rFonts w:ascii="Times New Roman" w:hAnsi="Times New Roman"/>
          <w:sz w:val="24"/>
          <w:szCs w:val="24"/>
          <w:lang w:val="en-US"/>
        </w:rPr>
        <w:t>(</w:t>
      </w:r>
      <w:r>
        <w:rPr>
          <w:rFonts w:ascii="Times New Roman" w:hAnsi="Times New Roman"/>
          <w:sz w:val="24"/>
          <w:szCs w:val="24"/>
          <w:lang w:val="en-US"/>
        </w:rPr>
        <w:t xml:space="preserve">2000) </w:t>
      </w:r>
      <w:r w:rsidR="00853144">
        <w:rPr>
          <w:rFonts w:ascii="Times New Roman" w:hAnsi="Times New Roman"/>
          <w:sz w:val="24"/>
          <w:szCs w:val="24"/>
          <w:lang w:val="en-US"/>
        </w:rPr>
        <w:t>international deviations</w:t>
      </w:r>
      <w:r w:rsidRPr="00E47EF1">
        <w:rPr>
          <w:rFonts w:ascii="Times New Roman" w:hAnsi="Times New Roman"/>
          <w:sz w:val="24"/>
          <w:szCs w:val="24"/>
          <w:lang w:val="en-US"/>
        </w:rPr>
        <w:t xml:space="preserve"> between France, Canada, Australia, The United Kingdom, The United States, Japan and Germany</w:t>
      </w:r>
      <w:r w:rsidR="00853144">
        <w:rPr>
          <w:rFonts w:ascii="Times New Roman" w:hAnsi="Times New Roman"/>
          <w:sz w:val="24"/>
          <w:szCs w:val="24"/>
          <w:lang w:val="en-US"/>
        </w:rPr>
        <w:t xml:space="preserve"> are examined</w:t>
      </w:r>
      <w:r w:rsidRPr="00E47EF1">
        <w:rPr>
          <w:rFonts w:ascii="Times New Roman" w:hAnsi="Times New Roman"/>
          <w:sz w:val="24"/>
          <w:szCs w:val="24"/>
          <w:lang w:val="en-US"/>
        </w:rPr>
        <w:t>. In this investigation they make a differentiation between com</w:t>
      </w:r>
      <w:r w:rsidR="00961AD7">
        <w:rPr>
          <w:rFonts w:ascii="Times New Roman" w:hAnsi="Times New Roman"/>
          <w:sz w:val="24"/>
          <w:szCs w:val="24"/>
          <w:lang w:val="en-US"/>
        </w:rPr>
        <w:t>mon law and code law countries. The degree of political influence represents the difference between common law and code law countries. Code law countries are characterized by a higher level of political influence than common law countries. It is concluded in this paper that common law countries are faster in recognizing losses than code law c</w:t>
      </w:r>
      <w:r w:rsidR="00DD343E">
        <w:rPr>
          <w:rFonts w:ascii="Times New Roman" w:hAnsi="Times New Roman"/>
          <w:sz w:val="24"/>
          <w:szCs w:val="24"/>
          <w:lang w:val="en-US"/>
        </w:rPr>
        <w:t xml:space="preserve">ountries. Probably the character of code law countries contributes to solve the information asymmetry by institutional aspects rather than </w:t>
      </w:r>
      <w:r w:rsidR="00DD343E" w:rsidRPr="00E47EF1">
        <w:rPr>
          <w:rFonts w:ascii="Times New Roman" w:hAnsi="Times New Roman"/>
          <w:sz w:val="24"/>
          <w:szCs w:val="24"/>
          <w:lang w:val="en-US"/>
        </w:rPr>
        <w:t>conservative reporting.</w:t>
      </w:r>
      <w:r w:rsidR="00DD343E">
        <w:rPr>
          <w:rFonts w:ascii="Times New Roman" w:hAnsi="Times New Roman"/>
          <w:sz w:val="24"/>
          <w:szCs w:val="24"/>
          <w:lang w:val="en-US"/>
        </w:rPr>
        <w:t xml:space="preserve"> Subsequently in common law countries there is a higher degree of conservatism. </w:t>
      </w:r>
      <w:r w:rsidRPr="00E47EF1">
        <w:rPr>
          <w:rFonts w:ascii="Times New Roman" w:hAnsi="Times New Roman"/>
          <w:sz w:val="24"/>
          <w:szCs w:val="24"/>
          <w:lang w:val="en-US"/>
        </w:rPr>
        <w:t xml:space="preserve">Conservatism and timeliness have a big share in the transparency of financial reporting. Because of the more timely recognition of losses, conservatism contributes to stimulate managers to show the losses </w:t>
      </w:r>
      <w:r w:rsidR="009D059F" w:rsidRPr="00E47EF1">
        <w:rPr>
          <w:rFonts w:ascii="Times New Roman" w:hAnsi="Times New Roman"/>
          <w:sz w:val="24"/>
          <w:szCs w:val="24"/>
          <w:lang w:val="en-US"/>
        </w:rPr>
        <w:t>faster</w:t>
      </w:r>
      <w:r w:rsidRPr="00E47EF1">
        <w:rPr>
          <w:rFonts w:ascii="Times New Roman" w:hAnsi="Times New Roman"/>
          <w:sz w:val="24"/>
          <w:szCs w:val="24"/>
          <w:lang w:val="en-US"/>
        </w:rPr>
        <w:t xml:space="preserve"> (Ball</w:t>
      </w:r>
      <w:r>
        <w:rPr>
          <w:rFonts w:ascii="Times New Roman" w:hAnsi="Times New Roman"/>
          <w:sz w:val="24"/>
          <w:szCs w:val="24"/>
          <w:lang w:val="en-US"/>
        </w:rPr>
        <w:t xml:space="preserve"> et al. 2000</w:t>
      </w:r>
      <w:r w:rsidRPr="00E47EF1">
        <w:rPr>
          <w:rFonts w:ascii="Times New Roman" w:hAnsi="Times New Roman"/>
          <w:sz w:val="24"/>
          <w:szCs w:val="24"/>
          <w:lang w:val="en-US"/>
        </w:rPr>
        <w:t xml:space="preserve">). </w:t>
      </w:r>
      <w:r>
        <w:rPr>
          <w:rFonts w:ascii="Times New Roman" w:hAnsi="Times New Roman"/>
          <w:sz w:val="24"/>
          <w:szCs w:val="24"/>
          <w:lang w:val="en-US"/>
        </w:rPr>
        <w:t xml:space="preserve">Hence </w:t>
      </w:r>
      <w:r w:rsidRPr="00E47EF1">
        <w:rPr>
          <w:rFonts w:ascii="Times New Roman" w:hAnsi="Times New Roman"/>
          <w:sz w:val="24"/>
          <w:szCs w:val="24"/>
          <w:lang w:val="en-US"/>
        </w:rPr>
        <w:t>Conservatism controls management, debt (because conservatism interlaces leverage and dividends more timely), and it is a significant feature of corporate governance. In the sample that Ball</w:t>
      </w:r>
      <w:r>
        <w:rPr>
          <w:rFonts w:ascii="Times New Roman" w:hAnsi="Times New Roman"/>
          <w:sz w:val="24"/>
          <w:szCs w:val="24"/>
          <w:lang w:val="en-US"/>
        </w:rPr>
        <w:t xml:space="preserve"> et al.</w:t>
      </w:r>
      <w:r w:rsidRPr="00E47EF1">
        <w:rPr>
          <w:rFonts w:ascii="Times New Roman" w:hAnsi="Times New Roman"/>
          <w:sz w:val="24"/>
          <w:szCs w:val="24"/>
          <w:lang w:val="en-US"/>
        </w:rPr>
        <w:t xml:space="preserve"> (2000) use</w:t>
      </w:r>
      <w:r>
        <w:rPr>
          <w:rFonts w:ascii="Times New Roman" w:hAnsi="Times New Roman"/>
          <w:sz w:val="24"/>
          <w:szCs w:val="24"/>
          <w:lang w:val="en-US"/>
        </w:rPr>
        <w:t>;</w:t>
      </w:r>
      <w:r w:rsidRPr="00E47EF1">
        <w:rPr>
          <w:rFonts w:ascii="Times New Roman" w:hAnsi="Times New Roman"/>
          <w:sz w:val="24"/>
          <w:szCs w:val="24"/>
          <w:lang w:val="en-US"/>
        </w:rPr>
        <w:t xml:space="preserve"> the common law countries are</w:t>
      </w:r>
      <w:r w:rsidR="00DE47EE">
        <w:rPr>
          <w:rFonts w:ascii="Times New Roman" w:hAnsi="Times New Roman"/>
          <w:sz w:val="24"/>
          <w:szCs w:val="24"/>
          <w:lang w:val="en-US"/>
        </w:rPr>
        <w:t xml:space="preserve"> The U.S, The UK and </w:t>
      </w:r>
      <w:r w:rsidRPr="00E47EF1">
        <w:rPr>
          <w:rFonts w:ascii="Times New Roman" w:hAnsi="Times New Roman"/>
          <w:sz w:val="24"/>
          <w:szCs w:val="24"/>
          <w:lang w:val="en-US"/>
        </w:rPr>
        <w:t>Australia. The code law countries</w:t>
      </w:r>
      <w:r w:rsidR="00DD343E">
        <w:rPr>
          <w:rFonts w:ascii="Times New Roman" w:hAnsi="Times New Roman"/>
          <w:sz w:val="24"/>
          <w:szCs w:val="24"/>
          <w:lang w:val="en-US"/>
        </w:rPr>
        <w:t xml:space="preserve"> are Germany, Japan and France. The political influence on accounting standards in code law countries is seen at national and firm level. </w:t>
      </w:r>
      <w:r w:rsidRPr="00E47EF1">
        <w:rPr>
          <w:rFonts w:ascii="Times New Roman" w:hAnsi="Times New Roman"/>
          <w:sz w:val="24"/>
          <w:szCs w:val="24"/>
          <w:lang w:val="en-US"/>
        </w:rPr>
        <w:t>The accounting regulations of a country are s</w:t>
      </w:r>
      <w:r>
        <w:rPr>
          <w:rFonts w:ascii="Times New Roman" w:hAnsi="Times New Roman"/>
          <w:sz w:val="24"/>
          <w:szCs w:val="24"/>
          <w:lang w:val="en-US"/>
        </w:rPr>
        <w:t xml:space="preserve">ettled with the representation </w:t>
      </w:r>
      <w:r w:rsidRPr="00E47EF1">
        <w:rPr>
          <w:rFonts w:ascii="Times New Roman" w:hAnsi="Times New Roman"/>
          <w:sz w:val="24"/>
          <w:szCs w:val="24"/>
          <w:lang w:val="en-US"/>
        </w:rPr>
        <w:t>from important political groups like financial institutions, laborers and business institutions. This is referred to as the stakeholder model. The former mentioned groups have agents that are contracting with the company. When a comparison is made with common law countries we see that in code law countries the accounting earnings are more influenced by the payouts predilections of these different groups of agents and little by the request for public disclosure. Common law countries have a more shareholder concept, in which the information asymmetry between management and shareholders is more answered by public disclosure (Ball</w:t>
      </w:r>
      <w:r>
        <w:rPr>
          <w:rFonts w:ascii="Times New Roman" w:hAnsi="Times New Roman"/>
          <w:sz w:val="24"/>
          <w:szCs w:val="24"/>
          <w:lang w:val="en-US"/>
        </w:rPr>
        <w:t xml:space="preserve"> et al.</w:t>
      </w:r>
      <w:r w:rsidR="00DE47EE">
        <w:rPr>
          <w:rFonts w:ascii="Times New Roman" w:hAnsi="Times New Roman"/>
          <w:sz w:val="24"/>
          <w:szCs w:val="24"/>
          <w:lang w:val="en-US"/>
        </w:rPr>
        <w:t xml:space="preserve"> 2000). </w:t>
      </w:r>
      <w:r w:rsidR="00DD343E">
        <w:rPr>
          <w:rFonts w:ascii="Times New Roman" w:hAnsi="Times New Roman"/>
          <w:sz w:val="24"/>
          <w:szCs w:val="24"/>
          <w:lang w:val="en-US"/>
        </w:rPr>
        <w:t>The overall conclusion is that the degree of conservatism in code law countries is significantly smaller than in common law countries.</w:t>
      </w:r>
    </w:p>
    <w:p w:rsidR="00DD343E" w:rsidRPr="008666E6" w:rsidRDefault="00DD343E" w:rsidP="00046654">
      <w:pPr>
        <w:pStyle w:val="000"/>
        <w:spacing w:line="360" w:lineRule="auto"/>
        <w:jc w:val="both"/>
        <w:rPr>
          <w:rFonts w:ascii="Times New Roman" w:hAnsi="Times New Roman"/>
          <w:sz w:val="24"/>
          <w:szCs w:val="24"/>
          <w:lang w:val="en-US"/>
        </w:rPr>
      </w:pPr>
    </w:p>
    <w:p w:rsidR="00926DB2" w:rsidRPr="009D059F" w:rsidRDefault="00926DB2" w:rsidP="00046654">
      <w:pPr>
        <w:pStyle w:val="000"/>
        <w:spacing w:line="360" w:lineRule="auto"/>
        <w:jc w:val="both"/>
        <w:rPr>
          <w:rFonts w:ascii="Times New Roman" w:hAnsi="Times New Roman"/>
          <w:sz w:val="24"/>
          <w:szCs w:val="24"/>
          <w:lang w:val="en-US"/>
        </w:rPr>
      </w:pPr>
      <w:r>
        <w:rPr>
          <w:rFonts w:ascii="Times New Roman" w:hAnsi="Times New Roman"/>
          <w:sz w:val="24"/>
          <w:szCs w:val="24"/>
          <w:lang w:val="en-US"/>
        </w:rPr>
        <w:lastRenderedPageBreak/>
        <w:t xml:space="preserve">Others like Garcia et al. </w:t>
      </w:r>
      <w:r w:rsidRPr="008666E6">
        <w:rPr>
          <w:rFonts w:ascii="Times New Roman" w:hAnsi="Times New Roman"/>
          <w:sz w:val="24"/>
          <w:szCs w:val="24"/>
          <w:lang w:val="en-US"/>
        </w:rPr>
        <w:t>(2004) also investigated con</w:t>
      </w:r>
      <w:r>
        <w:rPr>
          <w:rFonts w:ascii="Times New Roman" w:hAnsi="Times New Roman"/>
          <w:sz w:val="24"/>
          <w:szCs w:val="24"/>
          <w:lang w:val="en-US"/>
        </w:rPr>
        <w:t xml:space="preserve">servatism in: Italy, Spain, </w:t>
      </w:r>
      <w:r w:rsidR="00DD343E">
        <w:rPr>
          <w:rFonts w:ascii="Times New Roman" w:hAnsi="Times New Roman"/>
          <w:sz w:val="24"/>
          <w:szCs w:val="24"/>
          <w:lang w:val="en-US"/>
        </w:rPr>
        <w:t xml:space="preserve">The </w:t>
      </w:r>
      <w:r>
        <w:rPr>
          <w:rFonts w:ascii="Times New Roman" w:hAnsi="Times New Roman"/>
          <w:sz w:val="24"/>
          <w:szCs w:val="24"/>
          <w:lang w:val="en-US"/>
        </w:rPr>
        <w:t>Net</w:t>
      </w:r>
      <w:r w:rsidRPr="008666E6">
        <w:rPr>
          <w:rFonts w:ascii="Times New Roman" w:hAnsi="Times New Roman"/>
          <w:sz w:val="24"/>
          <w:szCs w:val="24"/>
          <w:lang w:val="en-US"/>
        </w:rPr>
        <w:t xml:space="preserve">herlands, Belgium, Switzerland, Germany and the UK. </w:t>
      </w:r>
      <w:r w:rsidRPr="002D00B6">
        <w:rPr>
          <w:rFonts w:ascii="Times New Roman" w:hAnsi="Times New Roman"/>
          <w:sz w:val="24"/>
          <w:szCs w:val="24"/>
          <w:lang w:val="en-US"/>
        </w:rPr>
        <w:t>In this investigation both the Basu-model and book-to-market</w:t>
      </w:r>
      <w:r w:rsidR="00543585">
        <w:rPr>
          <w:rFonts w:ascii="Times New Roman" w:hAnsi="Times New Roman"/>
          <w:sz w:val="24"/>
          <w:szCs w:val="24"/>
          <w:lang w:val="en-US"/>
        </w:rPr>
        <w:t xml:space="preserve"> measures</w:t>
      </w:r>
      <w:r w:rsidRPr="002D00B6">
        <w:rPr>
          <w:rFonts w:ascii="Times New Roman" w:hAnsi="Times New Roman"/>
          <w:sz w:val="24"/>
          <w:szCs w:val="24"/>
          <w:lang w:val="en-US"/>
        </w:rPr>
        <w:t xml:space="preserve"> ar</w:t>
      </w:r>
      <w:r w:rsidR="00DD343E">
        <w:rPr>
          <w:rFonts w:ascii="Times New Roman" w:hAnsi="Times New Roman"/>
          <w:sz w:val="24"/>
          <w:szCs w:val="24"/>
          <w:lang w:val="en-US"/>
        </w:rPr>
        <w:t>e used to measure conservatism. Both b</w:t>
      </w:r>
      <w:r w:rsidR="00DD343E" w:rsidRPr="002D00B6">
        <w:rPr>
          <w:rFonts w:ascii="Times New Roman" w:hAnsi="Times New Roman"/>
          <w:sz w:val="24"/>
          <w:szCs w:val="24"/>
          <w:lang w:val="en-US"/>
        </w:rPr>
        <w:t>alance sheet conservatism as well as conditional conservatism occurs in all the countries.</w:t>
      </w:r>
      <w:r w:rsidR="00196A9D">
        <w:rPr>
          <w:rFonts w:ascii="Times New Roman" w:hAnsi="Times New Roman"/>
          <w:sz w:val="24"/>
          <w:szCs w:val="24"/>
          <w:lang w:val="en-US"/>
        </w:rPr>
        <w:t xml:space="preserve"> </w:t>
      </w:r>
      <w:r w:rsidRPr="002D00B6">
        <w:rPr>
          <w:rFonts w:ascii="Times New Roman" w:hAnsi="Times New Roman"/>
          <w:sz w:val="24"/>
          <w:szCs w:val="24"/>
          <w:lang w:val="en-US"/>
        </w:rPr>
        <w:t xml:space="preserve">In all the above mentioned countries (except Italy) bad news in accounting earnings is timelier </w:t>
      </w:r>
      <w:r w:rsidRPr="008666E6">
        <w:rPr>
          <w:rFonts w:ascii="Times New Roman" w:hAnsi="Times New Roman"/>
          <w:sz w:val="24"/>
          <w:szCs w:val="24"/>
          <w:lang w:val="en-US"/>
        </w:rPr>
        <w:t>recognized</w:t>
      </w:r>
      <w:r w:rsidR="00853144">
        <w:rPr>
          <w:rFonts w:ascii="Times New Roman" w:hAnsi="Times New Roman"/>
          <w:sz w:val="24"/>
          <w:szCs w:val="24"/>
          <w:lang w:val="en-US"/>
        </w:rPr>
        <w:t xml:space="preserve"> than good news in accounting. This </w:t>
      </w:r>
      <w:r w:rsidRPr="002D00B6">
        <w:rPr>
          <w:rFonts w:ascii="Times New Roman" w:hAnsi="Times New Roman"/>
          <w:sz w:val="24"/>
          <w:szCs w:val="24"/>
          <w:lang w:val="en-US"/>
        </w:rPr>
        <w:t xml:space="preserve">investigation (Garcia </w:t>
      </w:r>
      <w:r>
        <w:rPr>
          <w:rFonts w:ascii="Times New Roman" w:hAnsi="Times New Roman"/>
          <w:sz w:val="24"/>
          <w:szCs w:val="24"/>
          <w:lang w:val="en-US"/>
        </w:rPr>
        <w:t xml:space="preserve">et al. </w:t>
      </w:r>
      <w:r w:rsidRPr="002D00B6">
        <w:rPr>
          <w:rFonts w:ascii="Times New Roman" w:hAnsi="Times New Roman"/>
          <w:sz w:val="24"/>
          <w:szCs w:val="24"/>
          <w:lang w:val="en-US"/>
        </w:rPr>
        <w:t>2004) do</w:t>
      </w:r>
      <w:r w:rsidR="00853144">
        <w:rPr>
          <w:rFonts w:ascii="Times New Roman" w:hAnsi="Times New Roman"/>
          <w:sz w:val="24"/>
          <w:szCs w:val="24"/>
          <w:lang w:val="en-US"/>
        </w:rPr>
        <w:t>es</w:t>
      </w:r>
      <w:r w:rsidRPr="002D00B6">
        <w:rPr>
          <w:rFonts w:ascii="Times New Roman" w:hAnsi="Times New Roman"/>
          <w:sz w:val="24"/>
          <w:szCs w:val="24"/>
          <w:lang w:val="en-US"/>
        </w:rPr>
        <w:t>n’t incorporate the influence of institutional factors besides the fact that the UK is a common law country and the other countries are code law countries</w:t>
      </w:r>
      <w:r>
        <w:rPr>
          <w:rFonts w:ascii="Times New Roman" w:hAnsi="Times New Roman"/>
          <w:sz w:val="24"/>
          <w:szCs w:val="24"/>
          <w:lang w:val="en-US"/>
        </w:rPr>
        <w:t>.</w:t>
      </w:r>
    </w:p>
    <w:p w:rsidR="00926DB2" w:rsidRPr="000E53A1" w:rsidRDefault="00926DB2" w:rsidP="000E53A1">
      <w:pPr>
        <w:pStyle w:val="Kop2"/>
        <w:rPr>
          <w:rFonts w:ascii="Times New Roman" w:hAnsi="Times New Roman" w:cs="Times New Roman"/>
          <w:i w:val="0"/>
          <w:sz w:val="24"/>
          <w:szCs w:val="24"/>
          <w:lang w:val="en-US"/>
        </w:rPr>
      </w:pPr>
      <w:bookmarkStart w:id="104" w:name="_Toc268186053"/>
      <w:r w:rsidRPr="000E53A1">
        <w:rPr>
          <w:rFonts w:ascii="Times New Roman" w:hAnsi="Times New Roman" w:cs="Times New Roman"/>
          <w:i w:val="0"/>
          <w:sz w:val="24"/>
          <w:szCs w:val="24"/>
          <w:lang w:val="en-US"/>
        </w:rPr>
        <w:t>4.5 Accounting conservatism and IFRS</w:t>
      </w:r>
      <w:bookmarkEnd w:id="104"/>
    </w:p>
    <w:p w:rsidR="00926DB2" w:rsidRDefault="00926DB2" w:rsidP="00046654">
      <w:pPr>
        <w:pStyle w:val="000"/>
        <w:spacing w:line="360" w:lineRule="auto"/>
        <w:jc w:val="both"/>
        <w:rPr>
          <w:rFonts w:ascii="Times New Roman" w:hAnsi="Times New Roman"/>
          <w:b/>
          <w:bCs/>
          <w:sz w:val="24"/>
          <w:szCs w:val="24"/>
          <w:lang w:val="en-US"/>
        </w:rPr>
      </w:pPr>
    </w:p>
    <w:p w:rsidR="00926DB2" w:rsidRDefault="00926DB2" w:rsidP="0028333E">
      <w:pPr>
        <w:pStyle w:val="000"/>
        <w:spacing w:line="360" w:lineRule="auto"/>
        <w:jc w:val="both"/>
        <w:rPr>
          <w:rFonts w:ascii="Times New Roman" w:hAnsi="Times New Roman"/>
          <w:sz w:val="24"/>
          <w:szCs w:val="24"/>
          <w:lang w:val="en-US"/>
        </w:rPr>
      </w:pPr>
      <w:r>
        <w:rPr>
          <w:rFonts w:ascii="Times New Roman" w:hAnsi="Times New Roman"/>
          <w:sz w:val="24"/>
          <w:szCs w:val="24"/>
          <w:lang w:val="en-US"/>
        </w:rPr>
        <w:t>In this sub-chapter a brief introduction of IFRS will be given and subsequently accounting conservatism under IFRS will be discussed. Hence the main focus of the research is the relationship between bank performance and conditional conservatism the relevant theory concerning IFRS will be discussed briefly.</w:t>
      </w:r>
    </w:p>
    <w:p w:rsidR="00926DB2" w:rsidRPr="000E53A1" w:rsidRDefault="00926DB2" w:rsidP="000E53A1">
      <w:pPr>
        <w:pStyle w:val="Kop3"/>
        <w:jc w:val="both"/>
        <w:rPr>
          <w:rFonts w:ascii="Times New Roman" w:hAnsi="Times New Roman"/>
          <w:b w:val="0"/>
          <w:bCs w:val="0"/>
          <w:i/>
          <w:iCs/>
          <w:color w:val="auto"/>
          <w:szCs w:val="24"/>
          <w:lang w:val="en-US"/>
        </w:rPr>
      </w:pPr>
      <w:bookmarkStart w:id="105" w:name="_Toc268186054"/>
      <w:r w:rsidRPr="000E53A1">
        <w:rPr>
          <w:rFonts w:ascii="Times New Roman" w:hAnsi="Times New Roman"/>
          <w:b w:val="0"/>
          <w:bCs w:val="0"/>
          <w:i/>
          <w:iCs/>
          <w:color w:val="auto"/>
          <w:szCs w:val="24"/>
          <w:lang w:val="en-US"/>
        </w:rPr>
        <w:t>4.5.1 Introduction to IFRS</w:t>
      </w:r>
      <w:bookmarkEnd w:id="105"/>
    </w:p>
    <w:p w:rsidR="00926DB2" w:rsidRDefault="00926DB2" w:rsidP="0028333E">
      <w:pPr>
        <w:pStyle w:val="000"/>
        <w:spacing w:line="360" w:lineRule="auto"/>
        <w:jc w:val="both"/>
        <w:rPr>
          <w:rFonts w:ascii="Times New Roman" w:hAnsi="Times New Roman"/>
          <w:i/>
          <w:iCs/>
          <w:sz w:val="24"/>
          <w:szCs w:val="24"/>
          <w:lang w:val="en-US"/>
        </w:rPr>
      </w:pPr>
    </w:p>
    <w:p w:rsidR="008C2A55" w:rsidRPr="008C2A55" w:rsidRDefault="00926DB2" w:rsidP="008C2A55">
      <w:pPr>
        <w:pStyle w:val="000"/>
        <w:spacing w:line="360" w:lineRule="auto"/>
        <w:jc w:val="both"/>
        <w:rPr>
          <w:rFonts w:ascii="Times New Roman" w:hAnsi="Times New Roman"/>
          <w:sz w:val="24"/>
          <w:szCs w:val="24"/>
          <w:lang w:val="en-US"/>
        </w:rPr>
      </w:pPr>
      <w:r>
        <w:rPr>
          <w:rFonts w:ascii="Times New Roman" w:hAnsi="Times New Roman"/>
          <w:sz w:val="24"/>
          <w:szCs w:val="24"/>
          <w:lang w:val="en-US"/>
        </w:rPr>
        <w:t xml:space="preserve">IFRS (International Financial Reporting Standards) was set mandatory for European listed countries since begin 2005. This doesn’t implicate that all these countries as of that date </w:t>
      </w:r>
      <w:r w:rsidR="00DE47EE">
        <w:rPr>
          <w:rFonts w:ascii="Times New Roman" w:hAnsi="Times New Roman"/>
          <w:sz w:val="24"/>
          <w:szCs w:val="24"/>
          <w:lang w:val="en-US"/>
        </w:rPr>
        <w:t xml:space="preserve">first </w:t>
      </w:r>
      <w:r>
        <w:rPr>
          <w:rFonts w:ascii="Times New Roman" w:hAnsi="Times New Roman"/>
          <w:sz w:val="24"/>
          <w:szCs w:val="24"/>
          <w:lang w:val="en-US"/>
        </w:rPr>
        <w:t xml:space="preserve">applied IFRS. Besides the European countries several other countries apply IFRS. IFRS are </w:t>
      </w:r>
      <w:r w:rsidR="009D059F">
        <w:rPr>
          <w:rFonts w:ascii="Times New Roman" w:hAnsi="Times New Roman"/>
          <w:sz w:val="24"/>
          <w:szCs w:val="24"/>
          <w:lang w:val="en-US"/>
        </w:rPr>
        <w:t>uniform standards</w:t>
      </w:r>
      <w:r>
        <w:rPr>
          <w:rFonts w:ascii="Times New Roman" w:hAnsi="Times New Roman"/>
          <w:sz w:val="24"/>
          <w:szCs w:val="24"/>
          <w:lang w:val="en-US"/>
        </w:rPr>
        <w:t xml:space="preserve"> set up by the International Accounting Standards Board (IASB). IASB is an international autonomous organ that provides standards and regulations concerning financial reporting (Ball 2006). Financial statements have to guarantee some qualitative characteristics, mainly concerning reliability, comparability and a fair representation of the figures. </w:t>
      </w:r>
      <w:r w:rsidR="009D059F">
        <w:rPr>
          <w:rFonts w:ascii="Times New Roman" w:hAnsi="Times New Roman"/>
          <w:sz w:val="24"/>
          <w:szCs w:val="24"/>
          <w:lang w:val="en-US"/>
        </w:rPr>
        <w:t>IFRS maintains</w:t>
      </w:r>
      <w:r>
        <w:rPr>
          <w:rFonts w:ascii="Times New Roman" w:hAnsi="Times New Roman"/>
          <w:sz w:val="24"/>
          <w:szCs w:val="24"/>
          <w:lang w:val="en-US"/>
        </w:rPr>
        <w:t xml:space="preserve"> and improve</w:t>
      </w:r>
      <w:r w:rsidR="009D059F">
        <w:rPr>
          <w:rFonts w:ascii="Times New Roman" w:hAnsi="Times New Roman"/>
          <w:sz w:val="24"/>
          <w:szCs w:val="24"/>
          <w:lang w:val="en-US"/>
        </w:rPr>
        <w:t>s</w:t>
      </w:r>
      <w:r>
        <w:rPr>
          <w:rFonts w:ascii="Times New Roman" w:hAnsi="Times New Roman"/>
          <w:sz w:val="24"/>
          <w:szCs w:val="24"/>
          <w:lang w:val="en-US"/>
        </w:rPr>
        <w:t xml:space="preserve"> these characteristics. Furthermore IFRS impr</w:t>
      </w:r>
      <w:r w:rsidR="009D059F">
        <w:rPr>
          <w:rFonts w:ascii="Times New Roman" w:hAnsi="Times New Roman"/>
          <w:sz w:val="24"/>
          <w:szCs w:val="24"/>
          <w:lang w:val="en-US"/>
        </w:rPr>
        <w:t>oves making comparisons of firm reports</w:t>
      </w:r>
      <w:r>
        <w:rPr>
          <w:rFonts w:ascii="Times New Roman" w:hAnsi="Times New Roman"/>
          <w:sz w:val="24"/>
          <w:szCs w:val="24"/>
          <w:lang w:val="en-US"/>
        </w:rPr>
        <w:t xml:space="preserve"> in different countries. The principal factor is that IFRS </w:t>
      </w:r>
      <w:r w:rsidR="007341DA">
        <w:rPr>
          <w:rFonts w:ascii="Times New Roman" w:hAnsi="Times New Roman"/>
          <w:sz w:val="24"/>
          <w:szCs w:val="24"/>
          <w:lang w:val="en-US"/>
        </w:rPr>
        <w:t xml:space="preserve">tends to a fair value approach; </w:t>
      </w:r>
      <w:r>
        <w:rPr>
          <w:rFonts w:ascii="Times New Roman" w:hAnsi="Times New Roman"/>
          <w:sz w:val="24"/>
          <w:szCs w:val="24"/>
          <w:lang w:val="en-US"/>
        </w:rPr>
        <w:t xml:space="preserve">valuation depends on market estimates (Ball 2006). </w:t>
      </w:r>
      <w:r w:rsidR="009D059F">
        <w:rPr>
          <w:rFonts w:ascii="Times New Roman" w:hAnsi="Times New Roman"/>
          <w:sz w:val="24"/>
          <w:szCs w:val="24"/>
          <w:lang w:val="en-US"/>
        </w:rPr>
        <w:t>Main critiques on IFRS are</w:t>
      </w:r>
      <w:r>
        <w:rPr>
          <w:rFonts w:ascii="Times New Roman" w:hAnsi="Times New Roman"/>
          <w:sz w:val="24"/>
          <w:szCs w:val="24"/>
          <w:lang w:val="en-US"/>
        </w:rPr>
        <w:t xml:space="preserve"> that it is principle based and hence appliance of the standards relies on human </w:t>
      </w:r>
      <w:r w:rsidR="00DE47EE">
        <w:rPr>
          <w:rFonts w:ascii="Times New Roman" w:hAnsi="Times New Roman"/>
          <w:sz w:val="24"/>
          <w:szCs w:val="24"/>
          <w:lang w:val="en-US"/>
        </w:rPr>
        <w:t>judgments</w:t>
      </w:r>
      <w:r>
        <w:rPr>
          <w:rFonts w:ascii="Times New Roman" w:hAnsi="Times New Roman"/>
          <w:sz w:val="24"/>
          <w:szCs w:val="24"/>
          <w:lang w:val="en-US"/>
        </w:rPr>
        <w:t xml:space="preserve"> and interpretations of management.</w:t>
      </w:r>
    </w:p>
    <w:p w:rsidR="00926DB2" w:rsidRPr="000E53A1" w:rsidRDefault="00926DB2" w:rsidP="000E53A1">
      <w:pPr>
        <w:pStyle w:val="Kop3"/>
        <w:jc w:val="both"/>
        <w:rPr>
          <w:rFonts w:ascii="Times New Roman" w:hAnsi="Times New Roman"/>
          <w:b w:val="0"/>
          <w:bCs w:val="0"/>
          <w:i/>
          <w:iCs/>
          <w:color w:val="auto"/>
          <w:szCs w:val="24"/>
          <w:lang w:val="en-US"/>
        </w:rPr>
      </w:pPr>
      <w:bookmarkStart w:id="106" w:name="_Toc268186055"/>
      <w:r w:rsidRPr="000E53A1">
        <w:rPr>
          <w:rFonts w:ascii="Times New Roman" w:hAnsi="Times New Roman"/>
          <w:b w:val="0"/>
          <w:bCs w:val="0"/>
          <w:i/>
          <w:iCs/>
          <w:color w:val="auto"/>
          <w:szCs w:val="24"/>
          <w:lang w:val="en-US"/>
        </w:rPr>
        <w:t>4.5.2 Conservatism and IFRS</w:t>
      </w:r>
      <w:bookmarkEnd w:id="106"/>
    </w:p>
    <w:p w:rsidR="00926DB2" w:rsidRDefault="00926DB2" w:rsidP="00786A3E">
      <w:pPr>
        <w:pStyle w:val="000"/>
        <w:spacing w:line="360" w:lineRule="auto"/>
        <w:jc w:val="both"/>
        <w:rPr>
          <w:rFonts w:ascii="Times New Roman" w:hAnsi="Times New Roman"/>
          <w:i/>
          <w:iCs/>
          <w:sz w:val="24"/>
          <w:szCs w:val="24"/>
          <w:lang w:val="en-US"/>
        </w:rPr>
      </w:pPr>
    </w:p>
    <w:p w:rsidR="00E851FD" w:rsidRDefault="00926DB2" w:rsidP="00786A3E">
      <w:pPr>
        <w:pStyle w:val="000"/>
        <w:spacing w:line="360" w:lineRule="auto"/>
        <w:jc w:val="both"/>
        <w:rPr>
          <w:rFonts w:ascii="Times New Roman" w:hAnsi="Times New Roman"/>
          <w:sz w:val="24"/>
          <w:szCs w:val="24"/>
          <w:lang w:val="en-US"/>
        </w:rPr>
      </w:pPr>
      <w:r>
        <w:rPr>
          <w:rFonts w:ascii="Times New Roman" w:hAnsi="Times New Roman"/>
          <w:sz w:val="24"/>
          <w:szCs w:val="24"/>
          <w:lang w:val="en-US"/>
        </w:rPr>
        <w:t xml:space="preserve">Considering the conservatism principle under IFRS some friction is seen. Conservatism implies systematically </w:t>
      </w:r>
      <w:r w:rsidR="009D059F">
        <w:rPr>
          <w:rFonts w:ascii="Times New Roman" w:hAnsi="Times New Roman"/>
          <w:sz w:val="24"/>
          <w:szCs w:val="24"/>
          <w:lang w:val="en-US"/>
        </w:rPr>
        <w:t>understating assets</w:t>
      </w:r>
      <w:r>
        <w:rPr>
          <w:rFonts w:ascii="Times New Roman" w:hAnsi="Times New Roman"/>
          <w:sz w:val="24"/>
          <w:szCs w:val="24"/>
          <w:lang w:val="en-US"/>
        </w:rPr>
        <w:t xml:space="preserve"> and revenues and overestimating liabilities and expenses (Watts 2003). Hence conservatism maintains a more backward-looking approach. </w:t>
      </w:r>
      <w:r>
        <w:rPr>
          <w:rFonts w:ascii="Times New Roman" w:hAnsi="Times New Roman"/>
          <w:sz w:val="24"/>
          <w:szCs w:val="24"/>
          <w:lang w:val="en-US"/>
        </w:rPr>
        <w:lastRenderedPageBreak/>
        <w:t xml:space="preserve">IFRS on the other hand primarily wants to guarantee reliable, relevant and comparable financial reporting. Thus IFRS doesn’t </w:t>
      </w:r>
      <w:r w:rsidR="009D059F">
        <w:rPr>
          <w:rFonts w:ascii="Times New Roman" w:hAnsi="Times New Roman"/>
          <w:sz w:val="24"/>
          <w:szCs w:val="24"/>
          <w:lang w:val="en-US"/>
        </w:rPr>
        <w:t>favor</w:t>
      </w:r>
      <w:r>
        <w:rPr>
          <w:rFonts w:ascii="Times New Roman" w:hAnsi="Times New Roman"/>
          <w:sz w:val="24"/>
          <w:szCs w:val="24"/>
          <w:lang w:val="en-US"/>
        </w:rPr>
        <w:t xml:space="preserve"> the systematic understatement of assets and </w:t>
      </w:r>
      <w:r w:rsidR="00DE47EE">
        <w:rPr>
          <w:rFonts w:ascii="Times New Roman" w:hAnsi="Times New Roman"/>
          <w:sz w:val="24"/>
          <w:szCs w:val="24"/>
          <w:lang w:val="en-US"/>
        </w:rPr>
        <w:t xml:space="preserve">overstatement of liabilities </w:t>
      </w:r>
      <w:r w:rsidR="009D059F">
        <w:rPr>
          <w:rFonts w:ascii="Times New Roman" w:hAnsi="Times New Roman"/>
          <w:sz w:val="24"/>
          <w:szCs w:val="24"/>
          <w:lang w:val="en-US"/>
        </w:rPr>
        <w:t>(Hellman 2007).</w:t>
      </w:r>
      <w:r w:rsidR="00E851FD">
        <w:rPr>
          <w:rFonts w:ascii="Times New Roman" w:hAnsi="Times New Roman"/>
          <w:sz w:val="24"/>
          <w:szCs w:val="24"/>
          <w:lang w:val="en-US"/>
        </w:rPr>
        <w:t xml:space="preserve"> In IFRS conservatism is not mentioned by name, hence it doesn’t contribute to the fair value approaches of IFRS. However this doesn’t mean that conservatism is no longer applied. Conservatism is a concept that incentives a more prudent way of reporting and especially in these dynamic economic times this prudent way of reporting is appreciated by the stakeholders. Furthermore the implementation of the standards of IFRS must be done by auditors. In many cases conservatism is part of the culture of these auditors (Hellman 2007).</w:t>
      </w:r>
      <w:r w:rsidR="00DE47EE">
        <w:rPr>
          <w:rFonts w:ascii="Times New Roman" w:hAnsi="Times New Roman"/>
          <w:sz w:val="24"/>
          <w:szCs w:val="24"/>
          <w:lang w:val="en-US"/>
        </w:rPr>
        <w:t xml:space="preserve"> Hence it strongly remains a question if the standards of IFRS will be executed “properly</w:t>
      </w:r>
      <w:r w:rsidR="00935C93">
        <w:rPr>
          <w:rFonts w:ascii="Times New Roman" w:hAnsi="Times New Roman"/>
          <w:sz w:val="24"/>
          <w:szCs w:val="24"/>
          <w:lang w:val="en-US"/>
        </w:rPr>
        <w:t>.”</w:t>
      </w:r>
    </w:p>
    <w:p w:rsidR="007C3F59" w:rsidRDefault="007C3F59" w:rsidP="00786A3E">
      <w:pPr>
        <w:pStyle w:val="000"/>
        <w:spacing w:line="360" w:lineRule="auto"/>
        <w:jc w:val="both"/>
        <w:rPr>
          <w:rFonts w:ascii="Times New Roman" w:hAnsi="Times New Roman"/>
          <w:sz w:val="24"/>
          <w:szCs w:val="24"/>
          <w:lang w:val="en-US"/>
        </w:rPr>
      </w:pPr>
    </w:p>
    <w:p w:rsidR="00947E4D" w:rsidRPr="007C3F59" w:rsidRDefault="00E851FD" w:rsidP="00786A3E">
      <w:pPr>
        <w:pStyle w:val="000"/>
        <w:spacing w:line="360" w:lineRule="auto"/>
        <w:jc w:val="both"/>
        <w:rPr>
          <w:rFonts w:ascii="Times New Roman" w:hAnsi="Times New Roman"/>
          <w:i/>
          <w:sz w:val="24"/>
          <w:szCs w:val="24"/>
          <w:lang w:val="en-US"/>
        </w:rPr>
      </w:pPr>
      <w:r w:rsidRPr="00E851FD">
        <w:rPr>
          <w:rFonts w:ascii="Times New Roman" w:hAnsi="Times New Roman"/>
          <w:i/>
          <w:sz w:val="24"/>
          <w:szCs w:val="24"/>
          <w:lang w:val="en-US"/>
        </w:rPr>
        <w:t>This research</w:t>
      </w:r>
    </w:p>
    <w:p w:rsidR="00AB56AC" w:rsidRPr="007C3F59" w:rsidRDefault="00F161A5" w:rsidP="007C3F59">
      <w:pPr>
        <w:spacing w:line="360" w:lineRule="auto"/>
        <w:jc w:val="both"/>
        <w:rPr>
          <w:rFonts w:cs="Times New Roman"/>
        </w:rPr>
      </w:pPr>
      <w:r>
        <w:rPr>
          <w:lang w:val="en-US"/>
        </w:rPr>
        <w:t>Considering this research the main objective is to measure conservatism and then link it with bank performance</w:t>
      </w:r>
      <w:r w:rsidR="00E851FD">
        <w:rPr>
          <w:lang w:val="en-US"/>
        </w:rPr>
        <w:t xml:space="preserve">. It is expected that conservatism determines performance and not the other way around. </w:t>
      </w:r>
      <w:r w:rsidR="00DE47EE">
        <w:rPr>
          <w:rFonts w:cs="Times New Roman"/>
        </w:rPr>
        <w:t xml:space="preserve">Assuming this it is </w:t>
      </w:r>
      <w:r w:rsidR="00E851FD">
        <w:rPr>
          <w:rFonts w:cs="Times New Roman"/>
        </w:rPr>
        <w:t>less relevant what causes the conservatism hence the principal factor for the research is the presence of conservatism and from that point</w:t>
      </w:r>
      <w:r w:rsidR="00AB56AC">
        <w:rPr>
          <w:rFonts w:cs="Times New Roman"/>
        </w:rPr>
        <w:t xml:space="preserve"> on</w:t>
      </w:r>
      <w:r w:rsidR="00E851FD">
        <w:rPr>
          <w:rFonts w:cs="Times New Roman"/>
        </w:rPr>
        <w:t xml:space="preserve"> exami</w:t>
      </w:r>
      <w:r w:rsidR="007341DA">
        <w:rPr>
          <w:rFonts w:cs="Times New Roman"/>
        </w:rPr>
        <w:t xml:space="preserve">ning its effect on performance. The </w:t>
      </w:r>
      <w:r w:rsidR="00935C93">
        <w:rPr>
          <w:rFonts w:cs="Times New Roman"/>
        </w:rPr>
        <w:t>motivation</w:t>
      </w:r>
      <w:r w:rsidR="007341DA">
        <w:rPr>
          <w:rFonts w:cs="Times New Roman"/>
        </w:rPr>
        <w:t xml:space="preserve"> for the assumption that conservatism has a positive influence on bank perform</w:t>
      </w:r>
      <w:r w:rsidR="00F03AD8">
        <w:rPr>
          <w:rFonts w:cs="Times New Roman"/>
        </w:rPr>
        <w:t>ance</w:t>
      </w:r>
      <w:r w:rsidR="007341DA">
        <w:rPr>
          <w:rFonts w:cs="Times New Roman"/>
        </w:rPr>
        <w:t xml:space="preserve"> is </w:t>
      </w:r>
      <w:r w:rsidR="00F03AD8">
        <w:rPr>
          <w:rFonts w:cs="Times New Roman"/>
        </w:rPr>
        <w:t xml:space="preserve">that less conservative banks will more likely recognize gains before </w:t>
      </w:r>
      <w:r w:rsidR="00F03AD8" w:rsidRPr="00A8068E">
        <w:rPr>
          <w:lang w:val="en-US"/>
        </w:rPr>
        <w:t>it is sure that these gains will be obtained</w:t>
      </w:r>
      <w:r w:rsidR="00F03AD8">
        <w:rPr>
          <w:lang w:val="en-US"/>
        </w:rPr>
        <w:t xml:space="preserve">. Or </w:t>
      </w:r>
      <w:r w:rsidR="00F03AD8" w:rsidRPr="00A8068E">
        <w:rPr>
          <w:lang w:val="en-US"/>
        </w:rPr>
        <w:t>in the case of losses that losses would not be taken immediately when they are recognized but will be postponed.</w:t>
      </w:r>
      <w:r w:rsidR="00F03AD8">
        <w:rPr>
          <w:lang w:val="en-US"/>
        </w:rPr>
        <w:t xml:space="preserve"> Thus it is more likely for such a bank to experience bad performance or financial distress than a more conservative bank.</w:t>
      </w:r>
      <w:bookmarkStart w:id="107" w:name="_Toc267323030"/>
    </w:p>
    <w:p w:rsidR="00926DB2" w:rsidRPr="000E53A1" w:rsidRDefault="000E53A1" w:rsidP="000E53A1">
      <w:pPr>
        <w:pStyle w:val="Kop2"/>
        <w:jc w:val="both"/>
        <w:rPr>
          <w:rFonts w:ascii="Times New Roman" w:hAnsi="Times New Roman" w:cs="Times New Roman"/>
          <w:bCs w:val="0"/>
          <w:i w:val="0"/>
          <w:iCs w:val="0"/>
          <w:color w:val="000000"/>
          <w:sz w:val="24"/>
          <w:szCs w:val="24"/>
          <w:lang w:val="en-US" w:eastAsia="nl-NL" w:bidi="ar-SA"/>
        </w:rPr>
      </w:pPr>
      <w:bookmarkStart w:id="108" w:name="_Toc268186056"/>
      <w:r w:rsidRPr="000E53A1">
        <w:rPr>
          <w:rFonts w:ascii="Times New Roman" w:hAnsi="Times New Roman" w:cs="Times New Roman"/>
          <w:bCs w:val="0"/>
          <w:i w:val="0"/>
          <w:iCs w:val="0"/>
          <w:color w:val="000000"/>
          <w:sz w:val="24"/>
          <w:szCs w:val="24"/>
          <w:lang w:val="en-US" w:eastAsia="nl-NL" w:bidi="ar-SA"/>
        </w:rPr>
        <w:t>4.6</w:t>
      </w:r>
      <w:r w:rsidR="00926DB2" w:rsidRPr="000E53A1">
        <w:rPr>
          <w:rFonts w:ascii="Times New Roman" w:hAnsi="Times New Roman" w:cs="Times New Roman"/>
          <w:bCs w:val="0"/>
          <w:i w:val="0"/>
          <w:iCs w:val="0"/>
          <w:color w:val="000000"/>
          <w:sz w:val="24"/>
          <w:szCs w:val="24"/>
          <w:lang w:val="en-US" w:eastAsia="nl-NL" w:bidi="ar-SA"/>
        </w:rPr>
        <w:t xml:space="preserve"> </w:t>
      </w:r>
      <w:r w:rsidR="00675923">
        <w:rPr>
          <w:rFonts w:ascii="Times New Roman" w:hAnsi="Times New Roman" w:cs="Times New Roman"/>
          <w:bCs w:val="0"/>
          <w:i w:val="0"/>
          <w:iCs w:val="0"/>
          <w:color w:val="000000"/>
          <w:sz w:val="24"/>
          <w:szCs w:val="24"/>
          <w:lang w:val="en-US" w:eastAsia="nl-NL" w:bidi="ar-SA"/>
        </w:rPr>
        <w:t xml:space="preserve">The </w:t>
      </w:r>
      <w:r w:rsidR="00926DB2" w:rsidRPr="000E53A1">
        <w:rPr>
          <w:rFonts w:ascii="Times New Roman" w:hAnsi="Times New Roman" w:cs="Times New Roman"/>
          <w:i w:val="0"/>
          <w:iCs w:val="0"/>
          <w:color w:val="000000"/>
          <w:sz w:val="24"/>
          <w:szCs w:val="24"/>
          <w:lang w:val="en-US" w:eastAsia="nl-NL" w:bidi="ar-SA"/>
        </w:rPr>
        <w:t>Basu model</w:t>
      </w:r>
      <w:bookmarkEnd w:id="107"/>
      <w:bookmarkEnd w:id="108"/>
      <w:r w:rsidR="00926DB2" w:rsidRPr="000E53A1">
        <w:rPr>
          <w:rFonts w:ascii="Times New Roman" w:hAnsi="Times New Roman" w:cs="Times New Roman"/>
          <w:i w:val="0"/>
          <w:iCs w:val="0"/>
          <w:color w:val="000000"/>
          <w:sz w:val="24"/>
          <w:szCs w:val="24"/>
          <w:lang w:val="en-US" w:eastAsia="nl-NL" w:bidi="ar-SA"/>
        </w:rPr>
        <w:t xml:space="preserve"> </w:t>
      </w:r>
    </w:p>
    <w:p w:rsidR="00926DB2" w:rsidRDefault="00926DB2" w:rsidP="00046654">
      <w:pPr>
        <w:jc w:val="both"/>
        <w:rPr>
          <w:lang w:val="en-US" w:eastAsia="nl-NL" w:bidi="ar-SA"/>
        </w:rPr>
      </w:pPr>
    </w:p>
    <w:p w:rsidR="00543585" w:rsidRDefault="00543585" w:rsidP="00BE7EED">
      <w:pPr>
        <w:spacing w:line="360" w:lineRule="auto"/>
        <w:jc w:val="both"/>
        <w:rPr>
          <w:lang w:val="en-US" w:eastAsia="nl-NL" w:bidi="ar-SA"/>
        </w:rPr>
      </w:pPr>
      <w:r>
        <w:rPr>
          <w:lang w:val="en-US" w:eastAsia="nl-NL" w:bidi="ar-SA"/>
        </w:rPr>
        <w:t>Probably the most significant research concerning conservatism is the 1997 paper of Basu.</w:t>
      </w:r>
    </w:p>
    <w:p w:rsidR="00543585" w:rsidRDefault="00543585" w:rsidP="00BE7EED">
      <w:pPr>
        <w:pStyle w:val="Default"/>
        <w:spacing w:line="360" w:lineRule="auto"/>
        <w:jc w:val="both"/>
        <w:rPr>
          <w:lang w:val="en-US"/>
        </w:rPr>
      </w:pPr>
      <w:r>
        <w:rPr>
          <w:lang w:val="en-US"/>
        </w:rPr>
        <w:t>This paper, which is cited more than 260 times is one of the most principal and important in the accounting science. Until recently there were few scientists that recommended the use of the model presented in Basu’s 1997 paper.</w:t>
      </w:r>
      <w:r w:rsidR="0033588F">
        <w:rPr>
          <w:lang w:val="en-US"/>
        </w:rPr>
        <w:t xml:space="preserve"> </w:t>
      </w:r>
      <w:r w:rsidR="00BE7EED">
        <w:rPr>
          <w:lang w:val="en-US"/>
        </w:rPr>
        <w:t>However in 2009 a working paper by Ball. et al. presented innovative arguments and empirical evidence to use the model in the Basu paper. Basu presented hypotheses and assumptions concerning the influence of conservatism on the timeliness of earnings and the effect on the persistency of earnings in his paper. The result of the research is that for samples with negative unexpected returns the regression coefficient is higher than for samples with positive returns. Thus the recognition of bad information by earnings is more timely than good information.</w:t>
      </w:r>
      <w:r w:rsidR="00324856">
        <w:rPr>
          <w:lang w:val="en-US"/>
        </w:rPr>
        <w:t xml:space="preserve"> </w:t>
      </w:r>
    </w:p>
    <w:p w:rsidR="00A0164F" w:rsidRDefault="00324856" w:rsidP="00A0164F">
      <w:pPr>
        <w:pStyle w:val="Default"/>
        <w:spacing w:line="360" w:lineRule="auto"/>
        <w:jc w:val="both"/>
        <w:rPr>
          <w:lang w:val="en-US"/>
        </w:rPr>
      </w:pPr>
      <w:r>
        <w:rPr>
          <w:lang w:val="en-US"/>
        </w:rPr>
        <w:lastRenderedPageBreak/>
        <w:t xml:space="preserve">Basu also </w:t>
      </w:r>
      <w:r w:rsidRPr="004E3517">
        <w:rPr>
          <w:lang w:val="en-US"/>
        </w:rPr>
        <w:t xml:space="preserve">predicted that the increase in the timeliness of earnings over cash flow is greater for negative unexpected returns than </w:t>
      </w:r>
      <w:r w:rsidR="0058000D">
        <w:rPr>
          <w:lang w:val="en-US"/>
        </w:rPr>
        <w:t xml:space="preserve">for positive unexpected returns; accruals point of view. Cash flow measures are less timely than earnings measures. Hence accruals will be recorded when evidence is provided of contractual performance before the actual payments  have been made (Dechow 1994). From the cash flow point of view Basu stated that the consequences of earnings and cash flows to bad information differ from the effects </w:t>
      </w:r>
      <w:r w:rsidR="0058000D" w:rsidRPr="004E3517">
        <w:rPr>
          <w:lang w:val="en-US"/>
        </w:rPr>
        <w:t>of earnings and cash flow</w:t>
      </w:r>
      <w:r w:rsidR="00A0164F">
        <w:rPr>
          <w:lang w:val="en-US"/>
        </w:rPr>
        <w:t>s</w:t>
      </w:r>
      <w:r w:rsidR="0058000D" w:rsidRPr="004E3517">
        <w:rPr>
          <w:lang w:val="en-US"/>
        </w:rPr>
        <w:t xml:space="preserve"> to good</w:t>
      </w:r>
      <w:r w:rsidR="0058000D">
        <w:rPr>
          <w:lang w:val="en-US"/>
        </w:rPr>
        <w:t xml:space="preserve"> information. The results of the earnings and cash flow regressions show that the regression coefficient for bad information is higher for earnings than for cash flows.</w:t>
      </w:r>
      <w:r w:rsidR="00A0164F">
        <w:rPr>
          <w:lang w:val="en-US"/>
        </w:rPr>
        <w:t xml:space="preserve"> Also the persistency and timeliness of earning are examined. These are various measurements for the same problem. Similar results are found in several scientific papers: </w:t>
      </w:r>
      <w:r w:rsidR="00A0164F" w:rsidRPr="004E3517">
        <w:rPr>
          <w:lang w:val="en-US"/>
        </w:rPr>
        <w:t xml:space="preserve">Brooks and Buckmaster </w:t>
      </w:r>
      <w:r w:rsidR="00A0164F">
        <w:rPr>
          <w:lang w:val="en-US"/>
        </w:rPr>
        <w:t xml:space="preserve">(1976) and Elgers and Lo (1994). </w:t>
      </w:r>
    </w:p>
    <w:p w:rsidR="00A0164F" w:rsidRDefault="00A0164F" w:rsidP="00A0164F">
      <w:pPr>
        <w:pStyle w:val="Default"/>
        <w:spacing w:line="360" w:lineRule="auto"/>
        <w:jc w:val="both"/>
        <w:rPr>
          <w:lang w:val="en-US"/>
        </w:rPr>
      </w:pPr>
    </w:p>
    <w:p w:rsidR="00A0164F" w:rsidRPr="00320B05" w:rsidRDefault="00A0164F" w:rsidP="00320B05">
      <w:pPr>
        <w:pStyle w:val="Default"/>
        <w:spacing w:line="360" w:lineRule="auto"/>
        <w:jc w:val="both"/>
        <w:rPr>
          <w:lang w:val="en-US"/>
        </w:rPr>
      </w:pPr>
      <w:r>
        <w:rPr>
          <w:lang w:val="en-US"/>
        </w:rPr>
        <w:t xml:space="preserve">Finally the </w:t>
      </w:r>
      <w:r w:rsidRPr="002D00B6">
        <w:rPr>
          <w:lang w:val="en-US"/>
        </w:rPr>
        <w:t>informati</w:t>
      </w:r>
      <w:r>
        <w:rPr>
          <w:lang w:val="en-US"/>
        </w:rPr>
        <w:t xml:space="preserve">on content of earnings releases and conservatism are measured by Basu. This is done by the </w:t>
      </w:r>
      <w:r w:rsidRPr="002D00B6">
        <w:rPr>
          <w:lang w:val="en-US"/>
        </w:rPr>
        <w:t>earnings response coefficient (ERC).</w:t>
      </w:r>
      <w:r>
        <w:rPr>
          <w:lang w:val="en-US"/>
        </w:rPr>
        <w:t xml:space="preserve"> The ERC represents the abnormal return</w:t>
      </w:r>
      <w:r w:rsidR="008950CC">
        <w:rPr>
          <w:lang w:val="en-US"/>
        </w:rPr>
        <w:t xml:space="preserve"> of earnings at announcement. The relation between positive earnings and abnormal returns is more significant than that between negative earnings </w:t>
      </w:r>
      <w:r w:rsidR="000B526F">
        <w:rPr>
          <w:lang w:val="en-US"/>
        </w:rPr>
        <w:t xml:space="preserve">and </w:t>
      </w:r>
      <w:r w:rsidR="008950CC">
        <w:rPr>
          <w:lang w:val="en-US"/>
        </w:rPr>
        <w:t>abnormal returns. This shows how conservatism influences the recognition of information</w:t>
      </w:r>
      <w:r w:rsidR="000B526F">
        <w:rPr>
          <w:lang w:val="en-US"/>
        </w:rPr>
        <w:t xml:space="preserve"> and that markets</w:t>
      </w:r>
      <w:r w:rsidR="008950CC">
        <w:rPr>
          <w:lang w:val="en-US"/>
        </w:rPr>
        <w:t xml:space="preserve"> learn from different sources. Basu concludes that the higher the liability of the accountant the </w:t>
      </w:r>
      <w:r w:rsidR="00320B05">
        <w:rPr>
          <w:lang w:val="en-US"/>
        </w:rPr>
        <w:t>higher the degree of conservatism will be (Skinner 1994)</w:t>
      </w:r>
      <w:bookmarkStart w:id="109" w:name="_Toc267323031"/>
    </w:p>
    <w:p w:rsidR="00926DB2" w:rsidRPr="000E53A1" w:rsidRDefault="000E53A1" w:rsidP="000E53A1">
      <w:pPr>
        <w:pStyle w:val="Kop2"/>
        <w:jc w:val="both"/>
        <w:rPr>
          <w:rFonts w:ascii="Times New Roman" w:hAnsi="Times New Roman" w:cs="Times New Roman"/>
          <w:i w:val="0"/>
          <w:iCs w:val="0"/>
          <w:color w:val="000000"/>
          <w:sz w:val="24"/>
          <w:szCs w:val="24"/>
          <w:lang w:val="en-US"/>
        </w:rPr>
      </w:pPr>
      <w:bookmarkStart w:id="110" w:name="_Toc268186057"/>
      <w:r w:rsidRPr="000E53A1">
        <w:rPr>
          <w:rFonts w:ascii="Times New Roman" w:hAnsi="Times New Roman" w:cs="Times New Roman"/>
          <w:i w:val="0"/>
          <w:iCs w:val="0"/>
          <w:color w:val="000000"/>
          <w:sz w:val="24"/>
          <w:szCs w:val="24"/>
          <w:lang w:val="en-US"/>
        </w:rPr>
        <w:t>4.7</w:t>
      </w:r>
      <w:r w:rsidR="00926DB2" w:rsidRPr="000E53A1">
        <w:rPr>
          <w:rFonts w:ascii="Times New Roman" w:hAnsi="Times New Roman" w:cs="Times New Roman"/>
          <w:i w:val="0"/>
          <w:iCs w:val="0"/>
          <w:color w:val="000000"/>
          <w:sz w:val="24"/>
          <w:szCs w:val="24"/>
          <w:lang w:val="en-US"/>
        </w:rPr>
        <w:t xml:space="preserve"> </w:t>
      </w:r>
      <w:r w:rsidR="00675923">
        <w:rPr>
          <w:rFonts w:ascii="Times New Roman" w:hAnsi="Times New Roman" w:cs="Times New Roman"/>
          <w:i w:val="0"/>
          <w:iCs w:val="0"/>
          <w:color w:val="000000"/>
          <w:sz w:val="24"/>
          <w:szCs w:val="24"/>
          <w:lang w:val="en-US"/>
        </w:rPr>
        <w:t xml:space="preserve">The </w:t>
      </w:r>
      <w:r w:rsidR="00926DB2" w:rsidRPr="000E53A1">
        <w:rPr>
          <w:rFonts w:ascii="Times New Roman" w:hAnsi="Times New Roman" w:cs="Times New Roman"/>
          <w:i w:val="0"/>
          <w:iCs w:val="0"/>
          <w:color w:val="000000"/>
          <w:sz w:val="24"/>
          <w:szCs w:val="24"/>
          <w:lang w:val="en-US"/>
        </w:rPr>
        <w:t>Basu model limitations</w:t>
      </w:r>
      <w:bookmarkEnd w:id="109"/>
      <w:bookmarkEnd w:id="110"/>
    </w:p>
    <w:p w:rsidR="00926DB2" w:rsidRPr="004E3517" w:rsidRDefault="00926DB2" w:rsidP="00046654">
      <w:pPr>
        <w:pStyle w:val="Default"/>
        <w:spacing w:line="360" w:lineRule="auto"/>
        <w:jc w:val="both"/>
        <w:rPr>
          <w:i/>
          <w:lang w:val="en-US"/>
        </w:rPr>
      </w:pPr>
    </w:p>
    <w:p w:rsidR="00926DB2" w:rsidRDefault="00520E09" w:rsidP="00046654">
      <w:pPr>
        <w:pStyle w:val="Default"/>
        <w:spacing w:line="360" w:lineRule="auto"/>
        <w:jc w:val="both"/>
        <w:rPr>
          <w:lang w:val="en-US"/>
        </w:rPr>
      </w:pPr>
      <w:r>
        <w:rPr>
          <w:lang w:val="en-US"/>
        </w:rPr>
        <w:t xml:space="preserve">When performing this research </w:t>
      </w:r>
      <w:r w:rsidR="00926DB2" w:rsidRPr="004E3517">
        <w:rPr>
          <w:lang w:val="en-US"/>
        </w:rPr>
        <w:t>the limitations of the Basu model</w:t>
      </w:r>
      <w:r>
        <w:rPr>
          <w:lang w:val="en-US"/>
        </w:rPr>
        <w:t xml:space="preserve"> have to be considered</w:t>
      </w:r>
      <w:r w:rsidR="00AF7B5A">
        <w:rPr>
          <w:lang w:val="en-US"/>
        </w:rPr>
        <w:t>. Despite the enormous benefits</w:t>
      </w:r>
      <w:r w:rsidR="00926DB2" w:rsidRPr="004E3517">
        <w:rPr>
          <w:lang w:val="en-US"/>
        </w:rPr>
        <w:t xml:space="preserve"> of researchers using this model and finding greater asymmetric timelines for various samples, </w:t>
      </w:r>
      <w:r w:rsidR="00AF7B5A">
        <w:rPr>
          <w:lang w:val="en-US"/>
        </w:rPr>
        <w:t xml:space="preserve">a couple of limitations </w:t>
      </w:r>
      <w:r w:rsidR="00926DB2" w:rsidRPr="004E3517">
        <w:rPr>
          <w:lang w:val="en-US"/>
        </w:rPr>
        <w:t xml:space="preserve">have been developed through time. </w:t>
      </w:r>
      <w:r w:rsidR="000B526F">
        <w:rPr>
          <w:lang w:val="en-US"/>
        </w:rPr>
        <w:t>The main limitations of the Basu model are:</w:t>
      </w:r>
    </w:p>
    <w:p w:rsidR="000B526F" w:rsidRPr="004E3517" w:rsidRDefault="000B526F" w:rsidP="00046654">
      <w:pPr>
        <w:pStyle w:val="Default"/>
        <w:spacing w:line="360" w:lineRule="auto"/>
        <w:jc w:val="both"/>
        <w:rPr>
          <w:lang w:val="en-US"/>
        </w:rPr>
      </w:pPr>
    </w:p>
    <w:p w:rsidR="000B526F" w:rsidRPr="00145BFE" w:rsidRDefault="00926DB2" w:rsidP="00145BFE">
      <w:pPr>
        <w:pStyle w:val="Default"/>
        <w:numPr>
          <w:ilvl w:val="0"/>
          <w:numId w:val="1"/>
        </w:numPr>
        <w:spacing w:line="360" w:lineRule="auto"/>
        <w:jc w:val="both"/>
        <w:rPr>
          <w:b/>
          <w:lang w:val="en-US"/>
        </w:rPr>
      </w:pPr>
      <w:r w:rsidRPr="00605783">
        <w:rPr>
          <w:b/>
          <w:lang w:val="en-US"/>
        </w:rPr>
        <w:t>Returns are not equivalent to non-earnings news</w:t>
      </w:r>
    </w:p>
    <w:p w:rsidR="00926DB2" w:rsidRDefault="00614634" w:rsidP="00145BFE">
      <w:pPr>
        <w:pStyle w:val="Default"/>
        <w:spacing w:line="360" w:lineRule="auto"/>
        <w:ind w:left="720"/>
        <w:jc w:val="both"/>
        <w:rPr>
          <w:lang w:val="en-US"/>
        </w:rPr>
      </w:pPr>
      <w:r>
        <w:rPr>
          <w:lang w:val="en-US"/>
        </w:rPr>
        <w:t>Depending on the firms disclosure policy good and bad information could be presented in different manners.</w:t>
      </w:r>
      <w:r w:rsidR="00145BFE">
        <w:rPr>
          <w:lang w:val="en-US"/>
        </w:rPr>
        <w:t xml:space="preserve"> It is possible that returns aren’t able to include all non-earnings information (</w:t>
      </w:r>
      <w:r w:rsidR="00926DB2">
        <w:rPr>
          <w:lang w:val="en-US"/>
        </w:rPr>
        <w:t>Givoly et al 2007</w:t>
      </w:r>
      <w:r w:rsidR="00926DB2" w:rsidRPr="009533BE">
        <w:rPr>
          <w:lang w:val="en-US"/>
        </w:rPr>
        <w:t>)</w:t>
      </w:r>
      <w:r w:rsidR="00926DB2" w:rsidRPr="00605783">
        <w:rPr>
          <w:b/>
          <w:lang w:val="en-US"/>
        </w:rPr>
        <w:t>.</w:t>
      </w:r>
    </w:p>
    <w:p w:rsidR="00145BFE" w:rsidRDefault="00145BFE" w:rsidP="00145BFE">
      <w:pPr>
        <w:pStyle w:val="Default"/>
        <w:spacing w:line="360" w:lineRule="auto"/>
        <w:ind w:left="720"/>
        <w:jc w:val="both"/>
        <w:rPr>
          <w:lang w:val="en-US"/>
        </w:rPr>
      </w:pPr>
    </w:p>
    <w:p w:rsidR="00145BFE" w:rsidRDefault="00145BFE" w:rsidP="00145BFE">
      <w:pPr>
        <w:pStyle w:val="Default"/>
        <w:spacing w:line="360" w:lineRule="auto"/>
        <w:ind w:left="720"/>
        <w:jc w:val="both"/>
        <w:rPr>
          <w:lang w:val="en-US"/>
        </w:rPr>
      </w:pPr>
    </w:p>
    <w:p w:rsidR="00926DB2" w:rsidRDefault="00926DB2" w:rsidP="00046654">
      <w:pPr>
        <w:pStyle w:val="Default"/>
        <w:numPr>
          <w:ilvl w:val="0"/>
          <w:numId w:val="1"/>
        </w:numPr>
        <w:spacing w:line="360" w:lineRule="auto"/>
        <w:jc w:val="both"/>
        <w:rPr>
          <w:lang w:val="en-US"/>
        </w:rPr>
      </w:pPr>
      <w:r>
        <w:rPr>
          <w:b/>
          <w:lang w:val="en-US"/>
        </w:rPr>
        <w:lastRenderedPageBreak/>
        <w:t>Conditional conservatism is applied less frequentl</w:t>
      </w:r>
      <w:r w:rsidR="00AF7B5A">
        <w:rPr>
          <w:b/>
          <w:lang w:val="en-US"/>
        </w:rPr>
        <w:t>y by unconditional conservatism</w:t>
      </w:r>
      <w:r>
        <w:rPr>
          <w:b/>
          <w:lang w:val="en-US"/>
        </w:rPr>
        <w:t xml:space="preserve"> </w:t>
      </w:r>
      <w:r w:rsidRPr="009533BE">
        <w:rPr>
          <w:lang w:val="en-US"/>
        </w:rPr>
        <w:t>(Beaver and Ryan 2005)</w:t>
      </w:r>
      <w:r>
        <w:rPr>
          <w:lang w:val="en-US"/>
        </w:rPr>
        <w:t>.</w:t>
      </w:r>
    </w:p>
    <w:p w:rsidR="00926DB2" w:rsidRPr="009533BE" w:rsidRDefault="00926DB2" w:rsidP="00046654">
      <w:pPr>
        <w:pStyle w:val="Default"/>
        <w:spacing w:line="360" w:lineRule="auto"/>
        <w:ind w:left="720"/>
        <w:jc w:val="both"/>
        <w:rPr>
          <w:b/>
          <w:lang w:val="en-US"/>
        </w:rPr>
      </w:pPr>
    </w:p>
    <w:p w:rsidR="00145BFE" w:rsidRPr="00145BFE" w:rsidRDefault="00926DB2" w:rsidP="00145BFE">
      <w:pPr>
        <w:pStyle w:val="Default"/>
        <w:numPr>
          <w:ilvl w:val="0"/>
          <w:numId w:val="1"/>
        </w:numPr>
        <w:spacing w:line="360" w:lineRule="auto"/>
        <w:jc w:val="both"/>
        <w:rPr>
          <w:b/>
          <w:lang w:val="en-US"/>
        </w:rPr>
      </w:pPr>
      <w:r w:rsidRPr="009533BE">
        <w:rPr>
          <w:b/>
          <w:lang w:val="en-US"/>
        </w:rPr>
        <w:t xml:space="preserve">Bad news may not be </w:t>
      </w:r>
      <w:r w:rsidR="00145BFE" w:rsidRPr="009533BE">
        <w:rPr>
          <w:b/>
          <w:lang w:val="en-US"/>
        </w:rPr>
        <w:t>i</w:t>
      </w:r>
      <w:r w:rsidR="00145BFE">
        <w:rPr>
          <w:b/>
          <w:lang w:val="en-US"/>
        </w:rPr>
        <w:t>mmediately</w:t>
      </w:r>
      <w:r>
        <w:rPr>
          <w:b/>
          <w:lang w:val="en-US"/>
        </w:rPr>
        <w:t xml:space="preserve"> recognized in earnings</w:t>
      </w:r>
    </w:p>
    <w:p w:rsidR="00145BFE" w:rsidRDefault="00145BFE" w:rsidP="00145BFE">
      <w:pPr>
        <w:pStyle w:val="Default"/>
        <w:spacing w:line="360" w:lineRule="auto"/>
        <w:ind w:left="720"/>
        <w:jc w:val="both"/>
        <w:rPr>
          <w:lang w:val="en-US"/>
        </w:rPr>
      </w:pPr>
      <w:r>
        <w:rPr>
          <w:lang w:val="en-US"/>
        </w:rPr>
        <w:t>Although conditional conservatism is replaced by unconditional conservatism, this does not automatically lead to incorporation of bad news in earnings because of buffers to impairment write-offs in GAAP, practical difficulties in assessing impairment and discretionary accounting behavior (Beaver and Ryan 2005).</w:t>
      </w:r>
    </w:p>
    <w:p w:rsidR="00926DB2" w:rsidRDefault="00926DB2" w:rsidP="00145BFE">
      <w:pPr>
        <w:pStyle w:val="Default"/>
        <w:spacing w:line="360" w:lineRule="auto"/>
        <w:jc w:val="both"/>
        <w:rPr>
          <w:lang w:val="en-US"/>
        </w:rPr>
      </w:pPr>
    </w:p>
    <w:p w:rsidR="00926DB2" w:rsidRPr="00DE2E31" w:rsidRDefault="00926DB2" w:rsidP="00046654">
      <w:pPr>
        <w:pStyle w:val="Default"/>
        <w:numPr>
          <w:ilvl w:val="0"/>
          <w:numId w:val="2"/>
        </w:numPr>
        <w:spacing w:line="360" w:lineRule="auto"/>
        <w:jc w:val="both"/>
        <w:rPr>
          <w:lang w:val="en-US"/>
        </w:rPr>
      </w:pPr>
      <w:r>
        <w:rPr>
          <w:b/>
          <w:lang w:val="en-US"/>
        </w:rPr>
        <w:t>It can be hard to observe conservatism empirically when multiple shocks are aggregated in returns and earnings</w:t>
      </w:r>
    </w:p>
    <w:p w:rsidR="00926DB2" w:rsidRDefault="00926DB2" w:rsidP="00145BFE">
      <w:pPr>
        <w:pStyle w:val="Default"/>
        <w:spacing w:line="360" w:lineRule="auto"/>
        <w:ind w:left="720"/>
        <w:jc w:val="both"/>
        <w:rPr>
          <w:lang w:val="en-US"/>
        </w:rPr>
      </w:pPr>
      <w:r>
        <w:rPr>
          <w:lang w:val="en-US"/>
        </w:rPr>
        <w:t>T</w:t>
      </w:r>
      <w:r w:rsidR="00145BFE">
        <w:rPr>
          <w:lang w:val="en-US"/>
        </w:rPr>
        <w:t>his is an important limitation, because accounting data is very amalgamate of origin (Givoly et al 2007).</w:t>
      </w:r>
    </w:p>
    <w:p w:rsidR="00145BFE" w:rsidRDefault="00145BFE" w:rsidP="00145BFE">
      <w:pPr>
        <w:pStyle w:val="Default"/>
        <w:spacing w:line="360" w:lineRule="auto"/>
        <w:ind w:left="720"/>
        <w:jc w:val="both"/>
        <w:rPr>
          <w:lang w:val="en-US"/>
        </w:rPr>
      </w:pPr>
    </w:p>
    <w:p w:rsidR="00926DB2" w:rsidRPr="002878DF" w:rsidRDefault="00926DB2" w:rsidP="00046654">
      <w:pPr>
        <w:pStyle w:val="Default"/>
        <w:numPr>
          <w:ilvl w:val="0"/>
          <w:numId w:val="2"/>
        </w:numPr>
        <w:spacing w:line="360" w:lineRule="auto"/>
        <w:jc w:val="both"/>
        <w:rPr>
          <w:b/>
          <w:lang w:val="en-US"/>
        </w:rPr>
      </w:pPr>
      <w:r w:rsidRPr="002878DF">
        <w:rPr>
          <w:b/>
          <w:lang w:val="en-US"/>
        </w:rPr>
        <w:t>Specific economic phenomena</w:t>
      </w:r>
      <w:r>
        <w:rPr>
          <w:b/>
          <w:lang w:val="en-US"/>
        </w:rPr>
        <w:t xml:space="preserve"> –</w:t>
      </w:r>
      <w:r w:rsidR="00AF7B5A">
        <w:rPr>
          <w:b/>
          <w:lang w:val="en-US"/>
        </w:rPr>
        <w:t xml:space="preserve"> Generate asymmetric timeliness</w:t>
      </w:r>
    </w:p>
    <w:p w:rsidR="00926DB2" w:rsidRDefault="00700CC9" w:rsidP="00046654">
      <w:pPr>
        <w:pStyle w:val="Default"/>
        <w:spacing w:line="360" w:lineRule="auto"/>
        <w:ind w:left="720"/>
        <w:jc w:val="both"/>
        <w:rPr>
          <w:lang w:val="en-US"/>
        </w:rPr>
      </w:pPr>
      <w:r>
        <w:rPr>
          <w:lang w:val="en-US"/>
        </w:rPr>
        <w:t>Asymmetry could also be caused by</w:t>
      </w:r>
      <w:r w:rsidR="00926DB2">
        <w:rPr>
          <w:lang w:val="en-US"/>
        </w:rPr>
        <w:t xml:space="preserve"> the abandonment option and the smooth</w:t>
      </w:r>
      <w:r>
        <w:rPr>
          <w:lang w:val="en-US"/>
        </w:rPr>
        <w:t>ing</w:t>
      </w:r>
      <w:r w:rsidR="00926DB2">
        <w:rPr>
          <w:lang w:val="en-US"/>
        </w:rPr>
        <w:t xml:space="preserve"> out </w:t>
      </w:r>
      <w:r>
        <w:rPr>
          <w:lang w:val="en-US"/>
        </w:rPr>
        <w:t xml:space="preserve">of </w:t>
      </w:r>
      <w:r w:rsidR="00926DB2">
        <w:rPr>
          <w:lang w:val="en-US"/>
        </w:rPr>
        <w:t>tax payments by winners and realizing losses for tax purposes more quickly by losers (Watts 2003).</w:t>
      </w:r>
    </w:p>
    <w:p w:rsidR="00926DB2" w:rsidRDefault="00926DB2" w:rsidP="00046654">
      <w:pPr>
        <w:pStyle w:val="Default"/>
        <w:spacing w:line="360" w:lineRule="auto"/>
        <w:ind w:left="720"/>
        <w:jc w:val="both"/>
        <w:rPr>
          <w:lang w:val="en-US"/>
        </w:rPr>
      </w:pPr>
    </w:p>
    <w:p w:rsidR="0005008B" w:rsidRPr="007C3F59" w:rsidRDefault="00926DB2" w:rsidP="007C3F59">
      <w:pPr>
        <w:pStyle w:val="Default"/>
        <w:numPr>
          <w:ilvl w:val="0"/>
          <w:numId w:val="2"/>
        </w:numPr>
        <w:spacing w:line="360" w:lineRule="auto"/>
        <w:jc w:val="both"/>
        <w:rPr>
          <w:b/>
          <w:lang w:val="en-US"/>
        </w:rPr>
      </w:pPr>
      <w:r w:rsidRPr="002878DF">
        <w:rPr>
          <w:b/>
          <w:lang w:val="en-US"/>
        </w:rPr>
        <w:t xml:space="preserve">Specific types of discretionary accounting behavior – </w:t>
      </w:r>
      <w:r>
        <w:rPr>
          <w:b/>
          <w:lang w:val="en-US"/>
        </w:rPr>
        <w:t>Generate</w:t>
      </w:r>
      <w:r w:rsidRPr="002878DF">
        <w:rPr>
          <w:b/>
          <w:lang w:val="en-US"/>
        </w:rPr>
        <w:t xml:space="preserve"> asymmetric timeliness</w:t>
      </w:r>
      <w:r>
        <w:rPr>
          <w:b/>
          <w:lang w:val="en-US"/>
        </w:rPr>
        <w:t xml:space="preserve"> </w:t>
      </w:r>
      <w:r>
        <w:rPr>
          <w:lang w:val="en-US"/>
        </w:rPr>
        <w:t>(Hanna 2003).</w:t>
      </w:r>
    </w:p>
    <w:p w:rsidR="0005008B" w:rsidRDefault="0005008B" w:rsidP="0005008B">
      <w:pPr>
        <w:pStyle w:val="Default"/>
        <w:spacing w:line="360" w:lineRule="auto"/>
        <w:ind w:left="720"/>
        <w:jc w:val="both"/>
        <w:rPr>
          <w:b/>
          <w:lang w:val="en-US"/>
        </w:rPr>
      </w:pPr>
    </w:p>
    <w:p w:rsidR="00926DB2" w:rsidRDefault="00926DB2" w:rsidP="00046654">
      <w:pPr>
        <w:pStyle w:val="Default"/>
        <w:numPr>
          <w:ilvl w:val="0"/>
          <w:numId w:val="2"/>
        </w:numPr>
        <w:spacing w:line="360" w:lineRule="auto"/>
        <w:jc w:val="both"/>
        <w:rPr>
          <w:b/>
          <w:lang w:val="en-US"/>
        </w:rPr>
      </w:pPr>
      <w:r w:rsidRPr="00791F92">
        <w:rPr>
          <w:b/>
          <w:lang w:val="en-US"/>
        </w:rPr>
        <w:t>Little time series consistency</w:t>
      </w:r>
      <w:r>
        <w:rPr>
          <w:b/>
          <w:lang w:val="en-US"/>
        </w:rPr>
        <w:t xml:space="preserve"> in estimates of conditi</w:t>
      </w:r>
      <w:r w:rsidR="00AF7B5A">
        <w:rPr>
          <w:b/>
          <w:lang w:val="en-US"/>
        </w:rPr>
        <w:t>onal conservatism at firm level</w:t>
      </w:r>
    </w:p>
    <w:p w:rsidR="00700CC9" w:rsidRPr="00700CC9" w:rsidRDefault="00675923" w:rsidP="00675923">
      <w:pPr>
        <w:pStyle w:val="Default"/>
        <w:spacing w:line="360" w:lineRule="auto"/>
        <w:ind w:left="709"/>
        <w:jc w:val="both"/>
        <w:rPr>
          <w:b/>
          <w:lang w:val="en-US"/>
        </w:rPr>
      </w:pPr>
      <w:r>
        <w:rPr>
          <w:lang w:val="en-US"/>
        </w:rPr>
        <w:t xml:space="preserve">This limitation specifically provides troubles for researchers, hence the predictions concerning </w:t>
      </w:r>
      <w:r w:rsidRPr="002D00B6">
        <w:rPr>
          <w:lang w:val="en-US"/>
        </w:rPr>
        <w:t>the contracting and other explanations of conservatism usually are most naturally framed and tested as differences</w:t>
      </w:r>
      <w:r>
        <w:rPr>
          <w:lang w:val="en-US"/>
        </w:rPr>
        <w:t xml:space="preserve"> across firms (Givoly et al 2007</w:t>
      </w:r>
      <w:r w:rsidRPr="002D00B6">
        <w:rPr>
          <w:lang w:val="en-US"/>
        </w:rPr>
        <w:t>)</w:t>
      </w:r>
      <w:r w:rsidRPr="002D00B6">
        <w:rPr>
          <w:b/>
          <w:lang w:val="en-US"/>
        </w:rPr>
        <w:t xml:space="preserve"> </w:t>
      </w:r>
      <w:r>
        <w:rPr>
          <w:b/>
          <w:lang w:val="en-US"/>
        </w:rPr>
        <w:t>.</w:t>
      </w:r>
      <w:r w:rsidR="00926DB2" w:rsidRPr="002D00B6">
        <w:rPr>
          <w:b/>
          <w:lang w:val="en-US"/>
        </w:rPr>
        <w:t xml:space="preserve"> </w:t>
      </w:r>
    </w:p>
    <w:p w:rsidR="00926DB2" w:rsidRPr="000E53A1" w:rsidRDefault="000E53A1" w:rsidP="000E53A1">
      <w:pPr>
        <w:pStyle w:val="Kop2"/>
        <w:jc w:val="both"/>
        <w:rPr>
          <w:rFonts w:ascii="Times New Roman" w:hAnsi="Times New Roman" w:cs="Times New Roman"/>
          <w:bCs w:val="0"/>
          <w:i w:val="0"/>
          <w:iCs w:val="0"/>
          <w:sz w:val="24"/>
          <w:szCs w:val="24"/>
          <w:lang w:val="en-US"/>
        </w:rPr>
      </w:pPr>
      <w:bookmarkStart w:id="111" w:name="_Toc268186058"/>
      <w:r w:rsidRPr="000E53A1">
        <w:rPr>
          <w:rFonts w:ascii="Times New Roman" w:hAnsi="Times New Roman" w:cs="Times New Roman"/>
          <w:bCs w:val="0"/>
          <w:i w:val="0"/>
          <w:iCs w:val="0"/>
          <w:sz w:val="24"/>
          <w:szCs w:val="24"/>
          <w:lang w:val="en-US"/>
        </w:rPr>
        <w:t xml:space="preserve">4.8 </w:t>
      </w:r>
      <w:r w:rsidR="00926DB2" w:rsidRPr="000E53A1">
        <w:rPr>
          <w:rFonts w:ascii="Times New Roman" w:hAnsi="Times New Roman" w:cs="Times New Roman"/>
          <w:bCs w:val="0"/>
          <w:i w:val="0"/>
          <w:iCs w:val="0"/>
          <w:sz w:val="24"/>
          <w:szCs w:val="24"/>
          <w:lang w:val="en-US"/>
        </w:rPr>
        <w:t>Summary</w:t>
      </w:r>
      <w:bookmarkEnd w:id="111"/>
    </w:p>
    <w:p w:rsidR="00926DB2" w:rsidRDefault="00926DB2" w:rsidP="00923963">
      <w:pPr>
        <w:pStyle w:val="Default"/>
        <w:spacing w:line="360" w:lineRule="auto"/>
        <w:jc w:val="both"/>
        <w:rPr>
          <w:b/>
          <w:lang w:val="en-US"/>
        </w:rPr>
      </w:pPr>
    </w:p>
    <w:p w:rsidR="00926DB2" w:rsidRPr="005149B9" w:rsidRDefault="00926DB2" w:rsidP="00923963">
      <w:pPr>
        <w:pStyle w:val="Default"/>
        <w:spacing w:line="360" w:lineRule="auto"/>
        <w:jc w:val="both"/>
        <w:rPr>
          <w:lang w:val="en-US"/>
        </w:rPr>
      </w:pPr>
      <w:r>
        <w:rPr>
          <w:lang w:val="en-US"/>
        </w:rPr>
        <w:t>There are three different methods to asses</w:t>
      </w:r>
      <w:r w:rsidR="00520E09">
        <w:rPr>
          <w:lang w:val="en-US"/>
        </w:rPr>
        <w:t>s</w:t>
      </w:r>
      <w:r w:rsidR="0005008B">
        <w:rPr>
          <w:lang w:val="en-US"/>
        </w:rPr>
        <w:t xml:space="preserve"> conservatism;</w:t>
      </w:r>
      <w:r>
        <w:rPr>
          <w:lang w:val="en-US"/>
        </w:rPr>
        <w:t xml:space="preserve"> net assets measures, earnings and accruals measures and earnings/stock returns measures. All these measure depend on the asymmetric verifiability concept of accounting conservatism. Next, international institutional factors could influence the degree of conservatism. For instance common law countries are </w:t>
      </w:r>
      <w:r>
        <w:rPr>
          <w:lang w:val="en-US"/>
        </w:rPr>
        <w:lastRenderedPageBreak/>
        <w:t>more conservative than code law countries (Ball et al. 2000). Finally the Basu model</w:t>
      </w:r>
      <w:r w:rsidR="0005008B">
        <w:rPr>
          <w:lang w:val="en-US"/>
        </w:rPr>
        <w:t xml:space="preserve"> is</w:t>
      </w:r>
      <w:r w:rsidR="0066638D">
        <w:rPr>
          <w:lang w:val="en-US"/>
        </w:rPr>
        <w:t xml:space="preserve"> </w:t>
      </w:r>
      <w:r w:rsidR="0005008B">
        <w:rPr>
          <w:lang w:val="en-US"/>
        </w:rPr>
        <w:t>very significant and important to measure conservatism.</w:t>
      </w:r>
      <w:r w:rsidR="0080729E">
        <w:rPr>
          <w:lang w:val="en-US"/>
        </w:rPr>
        <w:t xml:space="preserve"> Many scientist conducted their research concerning conservatism based on the Basu model.</w:t>
      </w:r>
    </w:p>
    <w:p w:rsidR="00926DB2" w:rsidRDefault="00926DB2" w:rsidP="00046654">
      <w:pPr>
        <w:pStyle w:val="Kop1"/>
        <w:jc w:val="both"/>
        <w:rPr>
          <w:lang w:val="en-US" w:eastAsia="nl-NL" w:bidi="ar-SA"/>
        </w:rPr>
      </w:pPr>
    </w:p>
    <w:p w:rsidR="00926DB2" w:rsidRDefault="00926DB2" w:rsidP="00046654">
      <w:pPr>
        <w:pStyle w:val="Kop1"/>
        <w:jc w:val="both"/>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926DB2" w:rsidRDefault="00926DB2" w:rsidP="00923963">
      <w:pPr>
        <w:rPr>
          <w:lang w:val="en-US" w:eastAsia="nl-NL" w:bidi="ar-SA"/>
        </w:rPr>
      </w:pPr>
    </w:p>
    <w:p w:rsidR="007C3F59" w:rsidRDefault="007C3F59" w:rsidP="009F6B24">
      <w:pPr>
        <w:pStyle w:val="Kop1"/>
        <w:jc w:val="both"/>
      </w:pPr>
      <w:bookmarkStart w:id="112" w:name="_Toc267323032"/>
    </w:p>
    <w:p w:rsidR="007C3F59" w:rsidRDefault="007C3F59" w:rsidP="009F6B24">
      <w:pPr>
        <w:pStyle w:val="Kop1"/>
        <w:jc w:val="both"/>
      </w:pPr>
    </w:p>
    <w:p w:rsidR="007C3F59" w:rsidRPr="007C3F59" w:rsidRDefault="007C3F59" w:rsidP="007C3F59">
      <w:r>
        <w:br/>
      </w:r>
    </w:p>
    <w:p w:rsidR="000B526F" w:rsidRDefault="000B526F" w:rsidP="009F6B24">
      <w:pPr>
        <w:pStyle w:val="Kop1"/>
        <w:jc w:val="both"/>
      </w:pPr>
    </w:p>
    <w:p w:rsidR="000B526F" w:rsidRDefault="000B526F" w:rsidP="009F6B24">
      <w:pPr>
        <w:pStyle w:val="Kop1"/>
        <w:jc w:val="both"/>
      </w:pPr>
    </w:p>
    <w:p w:rsidR="000B526F" w:rsidRDefault="000B526F" w:rsidP="009F6B24">
      <w:pPr>
        <w:pStyle w:val="Kop1"/>
        <w:jc w:val="both"/>
      </w:pPr>
    </w:p>
    <w:p w:rsidR="000B526F" w:rsidRDefault="000B526F" w:rsidP="009F6B24">
      <w:pPr>
        <w:pStyle w:val="Kop1"/>
        <w:jc w:val="both"/>
        <w:rPr>
          <w:b w:val="0"/>
          <w:bCs w:val="0"/>
          <w:kern w:val="0"/>
          <w:sz w:val="24"/>
          <w:szCs w:val="24"/>
        </w:rPr>
      </w:pPr>
    </w:p>
    <w:p w:rsidR="0066638D" w:rsidRDefault="0066638D" w:rsidP="0066638D"/>
    <w:p w:rsidR="0066638D" w:rsidRDefault="0066638D" w:rsidP="009F6B24">
      <w:pPr>
        <w:pStyle w:val="Kop1"/>
        <w:jc w:val="both"/>
        <w:rPr>
          <w:b w:val="0"/>
          <w:bCs w:val="0"/>
          <w:kern w:val="0"/>
          <w:sz w:val="24"/>
          <w:szCs w:val="24"/>
        </w:rPr>
      </w:pPr>
    </w:p>
    <w:p w:rsidR="0066638D" w:rsidRPr="0066638D" w:rsidRDefault="0066638D" w:rsidP="0066638D"/>
    <w:p w:rsidR="00926DB2" w:rsidRPr="009F6B24" w:rsidRDefault="00926DB2" w:rsidP="009F6B24">
      <w:pPr>
        <w:pStyle w:val="Kop1"/>
        <w:jc w:val="both"/>
      </w:pPr>
      <w:bookmarkStart w:id="113" w:name="_Toc268186059"/>
      <w:r w:rsidRPr="009F6B24">
        <w:lastRenderedPageBreak/>
        <w:t>5 Research design</w:t>
      </w:r>
      <w:bookmarkEnd w:id="112"/>
      <w:bookmarkEnd w:id="113"/>
    </w:p>
    <w:p w:rsidR="00926DB2" w:rsidRDefault="00926DB2" w:rsidP="00046654">
      <w:pPr>
        <w:pStyle w:val="Lijstalinea1"/>
        <w:autoSpaceDE w:val="0"/>
        <w:spacing w:line="360" w:lineRule="auto"/>
        <w:ind w:left="0"/>
        <w:jc w:val="both"/>
        <w:rPr>
          <w:szCs w:val="24"/>
          <w:lang w:val="en-US" w:eastAsia="ar-SA"/>
        </w:rPr>
      </w:pPr>
    </w:p>
    <w:p w:rsidR="00926DB2" w:rsidRDefault="00926DB2" w:rsidP="00046654">
      <w:pPr>
        <w:pStyle w:val="Lijstalinea1"/>
        <w:autoSpaceDE w:val="0"/>
        <w:spacing w:line="360" w:lineRule="auto"/>
        <w:ind w:left="0"/>
        <w:jc w:val="both"/>
        <w:rPr>
          <w:szCs w:val="24"/>
          <w:lang w:val="en-US" w:eastAsia="ar-SA"/>
        </w:rPr>
      </w:pPr>
      <w:r>
        <w:rPr>
          <w:szCs w:val="24"/>
          <w:lang w:val="en-US" w:eastAsia="ar-SA"/>
        </w:rPr>
        <w:t>In this chapter, the hypothesis development and research design will be described and explained. First the research approach and hypotheses will be elaborated on. Then a visual overview of the hypotheses will be given. Subsequently the proxies used to measure the variables in the model will be elaborated. Finally the used model will be discussed with the data samples and sample periods.</w:t>
      </w:r>
    </w:p>
    <w:p w:rsidR="00926DB2" w:rsidRPr="009F6B24" w:rsidRDefault="00926DB2" w:rsidP="009F6B24">
      <w:pPr>
        <w:pStyle w:val="Kop2"/>
        <w:jc w:val="both"/>
        <w:rPr>
          <w:rFonts w:ascii="Times New Roman" w:hAnsi="Times New Roman" w:cs="Times New Roman"/>
          <w:i w:val="0"/>
          <w:iCs w:val="0"/>
          <w:sz w:val="24"/>
          <w:szCs w:val="24"/>
          <w:lang w:val="en-US" w:eastAsia="ar-SA" w:bidi="ar-SA"/>
        </w:rPr>
      </w:pPr>
      <w:bookmarkStart w:id="114" w:name="_Toc267323033"/>
      <w:bookmarkStart w:id="115" w:name="_Toc268186060"/>
      <w:r w:rsidRPr="009F6B24">
        <w:rPr>
          <w:rFonts w:ascii="Times New Roman" w:hAnsi="Times New Roman" w:cs="Times New Roman"/>
          <w:i w:val="0"/>
          <w:iCs w:val="0"/>
          <w:sz w:val="24"/>
          <w:szCs w:val="24"/>
          <w:lang w:val="en-US" w:eastAsia="ar-SA" w:bidi="ar-SA"/>
        </w:rPr>
        <w:t>5.1 Research approach</w:t>
      </w:r>
      <w:bookmarkEnd w:id="114"/>
      <w:bookmarkEnd w:id="115"/>
    </w:p>
    <w:p w:rsidR="00926DB2" w:rsidRPr="00724AEB" w:rsidRDefault="00926DB2" w:rsidP="00046654">
      <w:pPr>
        <w:jc w:val="both"/>
        <w:rPr>
          <w:lang w:val="en-US" w:eastAsia="ar-SA" w:bidi="ar-SA"/>
        </w:rPr>
      </w:pPr>
    </w:p>
    <w:p w:rsidR="00926DB2" w:rsidRPr="009F6B24" w:rsidRDefault="00926DB2" w:rsidP="009F6B24">
      <w:pPr>
        <w:spacing w:line="360" w:lineRule="auto"/>
        <w:jc w:val="both"/>
        <w:rPr>
          <w:rFonts w:cs="Times New Roman"/>
        </w:rPr>
      </w:pPr>
      <w:r>
        <w:rPr>
          <w:lang w:val="en-US" w:eastAsia="ar-SA" w:bidi="ar-SA"/>
        </w:rPr>
        <w:t>In this empirical study of the European banking sector the relationship bet</w:t>
      </w:r>
      <w:r w:rsidR="00520E09">
        <w:rPr>
          <w:lang w:val="en-US" w:eastAsia="ar-SA" w:bidi="ar-SA"/>
        </w:rPr>
        <w:t>ween the accounting conservatism</w:t>
      </w:r>
      <w:r>
        <w:rPr>
          <w:lang w:val="en-US" w:eastAsia="ar-SA" w:bidi="ar-SA"/>
        </w:rPr>
        <w:t xml:space="preserve"> principle and the </w:t>
      </w:r>
      <w:r w:rsidR="00520E09">
        <w:rPr>
          <w:lang w:val="en-US" w:eastAsia="ar-SA" w:bidi="ar-SA"/>
        </w:rPr>
        <w:t>bank performance</w:t>
      </w:r>
      <w:r>
        <w:rPr>
          <w:lang w:val="en-US" w:eastAsia="ar-SA" w:bidi="ar-SA"/>
        </w:rPr>
        <w:t xml:space="preserve"> during the recent financial crisis is examined. This research is innovative and will contribute evidence of the link between conservatism and bank performance. The empirical part of the research is executed </w:t>
      </w:r>
      <w:r w:rsidRPr="00205874">
        <w:t>by using a time-series regression</w:t>
      </w:r>
      <w:r>
        <w:rPr>
          <w:lang w:val="en-US" w:eastAsia="ar-SA" w:bidi="ar-SA"/>
        </w:rPr>
        <w:t xml:space="preserve">. In the first part of the literature review the distinction was made between conditional and unconditional conservatism. </w:t>
      </w:r>
      <w:r w:rsidRPr="00A41B0D">
        <w:rPr>
          <w:rFonts w:cs="Times New Roman"/>
        </w:rPr>
        <w:t>Conditional accounting conservatism is</w:t>
      </w:r>
      <w:r>
        <w:rPr>
          <w:rFonts w:cs="Times New Roman"/>
        </w:rPr>
        <w:t xml:space="preserve"> </w:t>
      </w:r>
      <w:r w:rsidRPr="00A41B0D">
        <w:rPr>
          <w:rFonts w:cs="Times New Roman"/>
        </w:rPr>
        <w:t>referred to as earnings conservatism</w:t>
      </w:r>
      <w:r w:rsidR="0066638D">
        <w:rPr>
          <w:rFonts w:cs="Times New Roman"/>
        </w:rPr>
        <w:t xml:space="preserve">. </w:t>
      </w:r>
      <w:r w:rsidRPr="00A41B0D">
        <w:rPr>
          <w:rFonts w:cs="Times New Roman"/>
        </w:rPr>
        <w:t xml:space="preserve">Unconditional accounting conservatism is </w:t>
      </w:r>
      <w:r>
        <w:rPr>
          <w:rFonts w:cs="Times New Roman"/>
        </w:rPr>
        <w:t>addressed</w:t>
      </w:r>
      <w:r w:rsidRPr="00A41B0D">
        <w:rPr>
          <w:rFonts w:cs="Times New Roman"/>
        </w:rPr>
        <w:t xml:space="preserve"> </w:t>
      </w:r>
      <w:r>
        <w:rPr>
          <w:rFonts w:cs="Times New Roman"/>
        </w:rPr>
        <w:t xml:space="preserve">to as </w:t>
      </w:r>
      <w:r w:rsidR="0066638D">
        <w:rPr>
          <w:rFonts w:cs="Times New Roman"/>
        </w:rPr>
        <w:t xml:space="preserve">balance sheet conservatism </w:t>
      </w:r>
      <w:r w:rsidR="00452CDA">
        <w:rPr>
          <w:rFonts w:cs="Times New Roman"/>
        </w:rPr>
        <w:t xml:space="preserve">(Ryan 2006). </w:t>
      </w:r>
      <w:r>
        <w:rPr>
          <w:rFonts w:cs="Times New Roman"/>
        </w:rPr>
        <w:t>In this research conditional conservatism will be measured with the Basu model.</w:t>
      </w:r>
      <w:r w:rsidR="00452CDA">
        <w:rPr>
          <w:rFonts w:cs="Times New Roman"/>
        </w:rPr>
        <w:t xml:space="preserve"> </w:t>
      </w:r>
      <w:r>
        <w:rPr>
          <w:rFonts w:cs="Times New Roman"/>
        </w:rPr>
        <w:t xml:space="preserve">In order to determine the link between conditional conservatism and bank performance, the banks will be classified as either bad performing or good performing banks on the bases of performance measures. </w:t>
      </w:r>
    </w:p>
    <w:p w:rsidR="00926DB2" w:rsidRPr="009F6B24" w:rsidRDefault="00926DB2" w:rsidP="009F6B24">
      <w:pPr>
        <w:pStyle w:val="Kop3"/>
        <w:jc w:val="both"/>
        <w:rPr>
          <w:rStyle w:val="Nadruk"/>
          <w:rFonts w:ascii="Times New Roman" w:hAnsi="Times New Roman"/>
          <w:bCs w:val="0"/>
          <w:color w:val="auto"/>
        </w:rPr>
      </w:pPr>
      <w:bookmarkStart w:id="116" w:name="_Toc268186061"/>
      <w:r w:rsidRPr="009F6B24">
        <w:rPr>
          <w:rStyle w:val="Nadruk"/>
          <w:rFonts w:ascii="Times New Roman" w:hAnsi="Times New Roman"/>
          <w:bCs w:val="0"/>
          <w:color w:val="auto"/>
        </w:rPr>
        <w:t>5.1.1 Research type</w:t>
      </w:r>
      <w:bookmarkEnd w:id="116"/>
    </w:p>
    <w:p w:rsidR="00926DB2" w:rsidRDefault="00926DB2" w:rsidP="00046654">
      <w:pPr>
        <w:spacing w:line="360" w:lineRule="auto"/>
        <w:jc w:val="both"/>
        <w:rPr>
          <w:rFonts w:cs="Times New Roman"/>
        </w:rPr>
      </w:pPr>
    </w:p>
    <w:p w:rsidR="00A817EA" w:rsidRDefault="00926DB2" w:rsidP="00A817EA">
      <w:pPr>
        <w:spacing w:line="360" w:lineRule="auto"/>
        <w:jc w:val="both"/>
        <w:rPr>
          <w:rFonts w:cs="Times New Roman"/>
        </w:rPr>
      </w:pPr>
      <w:r>
        <w:rPr>
          <w:rFonts w:cs="Times New Roman"/>
        </w:rPr>
        <w:t xml:space="preserve">This research is a </w:t>
      </w:r>
      <w:r w:rsidRPr="0096023D">
        <w:rPr>
          <w:rFonts w:cs="Times New Roman"/>
        </w:rPr>
        <w:t>time s</w:t>
      </w:r>
      <w:r>
        <w:rPr>
          <w:rFonts w:cs="Times New Roman"/>
        </w:rPr>
        <w:t>eries analyses; assumptions and relations between the variables are measured in a time period to asses the influence and examine the relationships. First these relations and assumptions will be presented as hypotheses and then an empirical study will measure the relationships and estimate the significance of these relations</w:t>
      </w:r>
    </w:p>
    <w:p w:rsidR="00A817EA" w:rsidRPr="00A817EA" w:rsidRDefault="00A817EA" w:rsidP="00A817EA">
      <w:pPr>
        <w:spacing w:line="360" w:lineRule="auto"/>
        <w:jc w:val="both"/>
        <w:rPr>
          <w:rFonts w:cs="Times New Roman"/>
        </w:rPr>
      </w:pPr>
    </w:p>
    <w:p w:rsidR="00A817EA" w:rsidRDefault="00A817EA" w:rsidP="009F6B24">
      <w:pPr>
        <w:pStyle w:val="Kop2"/>
        <w:jc w:val="both"/>
        <w:rPr>
          <w:rFonts w:ascii="Times New Roman" w:hAnsi="Times New Roman" w:cs="Times New Roman"/>
          <w:i w:val="0"/>
          <w:iCs w:val="0"/>
          <w:sz w:val="24"/>
          <w:szCs w:val="24"/>
        </w:rPr>
      </w:pPr>
    </w:p>
    <w:p w:rsidR="00A817EA" w:rsidRDefault="00A817EA" w:rsidP="00A817EA"/>
    <w:p w:rsidR="00A817EA" w:rsidRPr="00A817EA" w:rsidRDefault="00A817EA" w:rsidP="00A817EA"/>
    <w:p w:rsidR="00A817EA" w:rsidRDefault="00A817EA" w:rsidP="009F6B24">
      <w:pPr>
        <w:pStyle w:val="Kop2"/>
        <w:jc w:val="both"/>
        <w:rPr>
          <w:rFonts w:ascii="Times New Roman" w:hAnsi="Times New Roman" w:cs="Times New Roman"/>
          <w:i w:val="0"/>
          <w:iCs w:val="0"/>
          <w:sz w:val="24"/>
          <w:szCs w:val="24"/>
        </w:rPr>
      </w:pPr>
    </w:p>
    <w:p w:rsidR="00A817EA" w:rsidRPr="00A817EA" w:rsidRDefault="00A817EA" w:rsidP="00A817EA"/>
    <w:p w:rsidR="00926DB2" w:rsidRPr="009F6B24" w:rsidRDefault="00926DB2" w:rsidP="009F6B24">
      <w:pPr>
        <w:pStyle w:val="Kop2"/>
        <w:jc w:val="both"/>
        <w:rPr>
          <w:rFonts w:ascii="Times New Roman" w:hAnsi="Times New Roman" w:cs="Times New Roman"/>
          <w:i w:val="0"/>
          <w:iCs w:val="0"/>
          <w:sz w:val="24"/>
          <w:szCs w:val="24"/>
        </w:rPr>
      </w:pPr>
      <w:bookmarkStart w:id="117" w:name="_Toc268186062"/>
      <w:r w:rsidRPr="009F6B24">
        <w:rPr>
          <w:rFonts w:ascii="Times New Roman" w:hAnsi="Times New Roman" w:cs="Times New Roman"/>
          <w:i w:val="0"/>
          <w:iCs w:val="0"/>
          <w:sz w:val="24"/>
          <w:szCs w:val="24"/>
        </w:rPr>
        <w:lastRenderedPageBreak/>
        <w:t>5.2 Hypotheses</w:t>
      </w:r>
      <w:bookmarkEnd w:id="117"/>
    </w:p>
    <w:p w:rsidR="00926DB2" w:rsidRPr="006B0A7E" w:rsidRDefault="00926DB2" w:rsidP="00046654">
      <w:pPr>
        <w:spacing w:line="360" w:lineRule="auto"/>
        <w:jc w:val="both"/>
        <w:rPr>
          <w:rFonts w:cs="Times New Roman"/>
          <w:b/>
          <w:i/>
        </w:rPr>
      </w:pPr>
    </w:p>
    <w:p w:rsidR="00926DB2" w:rsidRPr="006B0A7E" w:rsidRDefault="00926DB2" w:rsidP="00046654">
      <w:pPr>
        <w:spacing w:line="360" w:lineRule="auto"/>
        <w:jc w:val="both"/>
        <w:rPr>
          <w:lang w:val="en-US" w:eastAsia="ar-SA" w:bidi="ar-SA"/>
        </w:rPr>
      </w:pPr>
      <w:r w:rsidRPr="006B0A7E">
        <w:rPr>
          <w:rFonts w:cs="Times New Roman"/>
        </w:rPr>
        <w:t>This empirical analysis of the relationship between firm performance and accounting conservatism is based on several hypotheses:</w:t>
      </w:r>
    </w:p>
    <w:p w:rsidR="00926DB2" w:rsidRPr="006B0A7E" w:rsidRDefault="00926DB2" w:rsidP="00046654">
      <w:pPr>
        <w:spacing w:line="360" w:lineRule="auto"/>
        <w:jc w:val="both"/>
        <w:rPr>
          <w:lang w:val="en-US" w:eastAsia="ar-SA" w:bidi="ar-SA"/>
        </w:rPr>
      </w:pPr>
    </w:p>
    <w:p w:rsidR="00926DB2" w:rsidRDefault="00926DB2" w:rsidP="00046654">
      <w:pPr>
        <w:spacing w:line="360" w:lineRule="auto"/>
        <w:jc w:val="both"/>
        <w:rPr>
          <w:b/>
          <w:lang w:val="en-US" w:eastAsia="ar-SA" w:bidi="ar-SA"/>
        </w:rPr>
      </w:pPr>
      <w:r w:rsidRPr="006B0A7E">
        <w:rPr>
          <w:b/>
          <w:lang w:val="en-US" w:eastAsia="ar-SA" w:bidi="ar-SA"/>
        </w:rPr>
        <w:t>H1: Conditional conservatism exist</w:t>
      </w:r>
      <w:r>
        <w:rPr>
          <w:b/>
          <w:lang w:val="en-US" w:eastAsia="ar-SA" w:bidi="ar-SA"/>
        </w:rPr>
        <w:t>s</w:t>
      </w:r>
      <w:r w:rsidRPr="006B0A7E">
        <w:rPr>
          <w:b/>
          <w:lang w:val="en-US" w:eastAsia="ar-SA" w:bidi="ar-SA"/>
        </w:rPr>
        <w:t xml:space="preserve"> in </w:t>
      </w:r>
      <w:r>
        <w:rPr>
          <w:b/>
          <w:lang w:val="en-US" w:eastAsia="ar-SA" w:bidi="ar-SA"/>
        </w:rPr>
        <w:t>West-European banks during the full sample period (1997-2009)</w:t>
      </w:r>
    </w:p>
    <w:p w:rsidR="00926DB2" w:rsidRPr="00AB439C" w:rsidRDefault="00926DB2" w:rsidP="00046654">
      <w:pPr>
        <w:spacing w:line="360" w:lineRule="auto"/>
        <w:jc w:val="both"/>
        <w:rPr>
          <w:b/>
          <w:lang w:val="en-US" w:eastAsia="ar-SA" w:bidi="ar-SA"/>
        </w:rPr>
      </w:pPr>
    </w:p>
    <w:p w:rsidR="00926DB2" w:rsidRPr="006A5BA4" w:rsidRDefault="00926DB2" w:rsidP="00046654">
      <w:pPr>
        <w:spacing w:line="360" w:lineRule="auto"/>
        <w:jc w:val="both"/>
        <w:rPr>
          <w:lang w:val="en-US" w:eastAsia="ar-SA" w:bidi="ar-SA"/>
        </w:rPr>
      </w:pPr>
      <w:r w:rsidRPr="006B0A7E">
        <w:rPr>
          <w:lang w:val="en-US"/>
        </w:rPr>
        <w:t xml:space="preserve">The influence of conservatism on the accounting practice has been for centuries. </w:t>
      </w:r>
      <w:r>
        <w:rPr>
          <w:lang w:val="en-US"/>
        </w:rPr>
        <w:t xml:space="preserve">Conditional conservatism plays an important role in recent financial reporting (Basu 1997). Also when </w:t>
      </w:r>
      <w:r w:rsidRPr="006B0A7E">
        <w:rPr>
          <w:lang w:val="en-US" w:eastAsia="ar-SA" w:bidi="ar-SA"/>
        </w:rPr>
        <w:t>the recent stock developments</w:t>
      </w:r>
      <w:r>
        <w:rPr>
          <w:lang w:val="en-US" w:eastAsia="ar-SA" w:bidi="ar-SA"/>
        </w:rPr>
        <w:t xml:space="preserve"> are evaluated, it is </w:t>
      </w:r>
      <w:r w:rsidRPr="006B0A7E">
        <w:rPr>
          <w:lang w:val="en-US" w:eastAsia="ar-SA" w:bidi="ar-SA"/>
        </w:rPr>
        <w:t>see</w:t>
      </w:r>
      <w:r>
        <w:rPr>
          <w:lang w:val="en-US" w:eastAsia="ar-SA" w:bidi="ar-SA"/>
        </w:rPr>
        <w:t>n</w:t>
      </w:r>
      <w:r w:rsidRPr="006B0A7E">
        <w:rPr>
          <w:lang w:val="en-US" w:eastAsia="ar-SA" w:bidi="ar-SA"/>
        </w:rPr>
        <w:t xml:space="preserve"> that there are a lot of f</w:t>
      </w:r>
      <w:r>
        <w:rPr>
          <w:lang w:val="en-US" w:eastAsia="ar-SA" w:bidi="ar-SA"/>
        </w:rPr>
        <w:t xml:space="preserve">luctuations in the stock values which </w:t>
      </w:r>
      <w:r w:rsidRPr="006B0A7E">
        <w:rPr>
          <w:lang w:val="en-US" w:eastAsia="ar-SA" w:bidi="ar-SA"/>
        </w:rPr>
        <w:t>could be an indicator for the existence of conditional accounting conservatism</w:t>
      </w:r>
      <w:r>
        <w:rPr>
          <w:lang w:val="en-US" w:eastAsia="ar-SA" w:bidi="ar-SA"/>
        </w:rPr>
        <w:t>, hence</w:t>
      </w:r>
      <w:r w:rsidRPr="006B0A7E">
        <w:rPr>
          <w:lang w:val="en-US" w:eastAsia="ar-SA" w:bidi="ar-SA"/>
        </w:rPr>
        <w:t xml:space="preserve"> conditional conservatism has the aspect that it give</w:t>
      </w:r>
      <w:r>
        <w:rPr>
          <w:lang w:val="en-US" w:eastAsia="ar-SA" w:bidi="ar-SA"/>
        </w:rPr>
        <w:t>s a high variability in earnings. Basu presented in his research empirical evidence for the presence of conditional conservatism (Basu 1997). Prolonging on this evidence it could well be that conditional conservatism exists in the West-European banks. Subsequently Nichols et al. (2008) empirically indicate the use of conditional conservatism by banks on which is added that for public banks the magnitude of conservatism is even greater. Therefore I claim that conditional conservatism exists in West European banks.</w:t>
      </w:r>
    </w:p>
    <w:p w:rsidR="00926DB2" w:rsidRDefault="00926DB2" w:rsidP="00046654">
      <w:pPr>
        <w:spacing w:line="360" w:lineRule="auto"/>
        <w:jc w:val="both"/>
        <w:rPr>
          <w:b/>
          <w:i/>
          <w:highlight w:val="yellow"/>
          <w:lang w:val="en-US" w:eastAsia="ar-SA" w:bidi="ar-SA"/>
        </w:rPr>
      </w:pPr>
    </w:p>
    <w:p w:rsidR="00926DB2" w:rsidRPr="002A31D8" w:rsidRDefault="00926DB2" w:rsidP="00046654">
      <w:pPr>
        <w:spacing w:line="360" w:lineRule="auto"/>
        <w:jc w:val="both"/>
        <w:rPr>
          <w:b/>
          <w:lang w:val="en-US" w:eastAsia="ar-SA" w:bidi="ar-SA"/>
        </w:rPr>
      </w:pPr>
      <w:r w:rsidRPr="003049F9">
        <w:rPr>
          <w:b/>
          <w:lang w:val="en-US" w:eastAsia="ar-SA" w:bidi="ar-SA"/>
        </w:rPr>
        <w:t>H2: The degree of conditional conservatism in the pre-crisis period (1997-2006) is higher than in the crisis period (2007-2009)</w:t>
      </w:r>
    </w:p>
    <w:p w:rsidR="00926DB2" w:rsidRDefault="00926DB2" w:rsidP="00046654">
      <w:pPr>
        <w:spacing w:line="360" w:lineRule="auto"/>
        <w:jc w:val="both"/>
        <w:rPr>
          <w:lang w:val="en-US" w:eastAsia="ar-SA" w:bidi="ar-SA"/>
        </w:rPr>
      </w:pPr>
    </w:p>
    <w:p w:rsidR="00BC6A79" w:rsidRDefault="00926DB2" w:rsidP="003C5035">
      <w:pPr>
        <w:spacing w:line="360" w:lineRule="auto"/>
        <w:jc w:val="both"/>
        <w:rPr>
          <w:lang w:val="en-US" w:eastAsia="ar-SA" w:bidi="ar-SA"/>
        </w:rPr>
      </w:pPr>
      <w:r>
        <w:rPr>
          <w:lang w:val="en-US" w:eastAsia="ar-SA" w:bidi="ar-SA"/>
        </w:rPr>
        <w:t>During the crisis period the performance of the banks was significantly lower than during the pre-crisis period. A significant number of banks went bankrupt during the crisis period.</w:t>
      </w:r>
      <w:r w:rsidR="00BC6A79">
        <w:rPr>
          <w:lang w:val="en-US" w:eastAsia="ar-SA" w:bidi="ar-SA"/>
        </w:rPr>
        <w:t xml:space="preserve"> The assumption i</w:t>
      </w:r>
      <w:r w:rsidR="00DB2A0E">
        <w:rPr>
          <w:lang w:val="en-US" w:eastAsia="ar-SA" w:bidi="ar-SA"/>
        </w:rPr>
        <w:t>n this research is</w:t>
      </w:r>
      <w:r w:rsidR="00BC6A79">
        <w:rPr>
          <w:lang w:val="en-US" w:eastAsia="ar-SA" w:bidi="ar-SA"/>
        </w:rPr>
        <w:t xml:space="preserve"> made that </w:t>
      </w:r>
      <w:r w:rsidR="00DB2A0E">
        <w:rPr>
          <w:lang w:val="en-US" w:eastAsia="ar-SA" w:bidi="ar-SA"/>
        </w:rPr>
        <w:t xml:space="preserve">conservatism is positively linked with bank performance; meaning that a high degree of conservatism (in the pre-crisis period) will lead to good (better) performing banks (in the crisis period). Otherwise a low degree of conservatism will lead to bad (less) performing banks. Hence I assume that the degree of conservatism in the crisis period was lower than for the pre-crisis period. I assume that conservatism is positively related with performance, thus in periods of </w:t>
      </w:r>
      <w:r w:rsidR="00BA4151">
        <w:rPr>
          <w:lang w:val="en-US" w:eastAsia="ar-SA" w:bidi="ar-SA"/>
        </w:rPr>
        <w:t>good</w:t>
      </w:r>
      <w:r w:rsidR="00DB2A0E">
        <w:rPr>
          <w:lang w:val="en-US" w:eastAsia="ar-SA" w:bidi="ar-SA"/>
        </w:rPr>
        <w:t xml:space="preserve"> performance (</w:t>
      </w:r>
      <w:r w:rsidR="00BA4151">
        <w:rPr>
          <w:lang w:val="en-US" w:eastAsia="ar-SA" w:bidi="ar-SA"/>
        </w:rPr>
        <w:t>pre-</w:t>
      </w:r>
      <w:r w:rsidR="00DB2A0E">
        <w:rPr>
          <w:lang w:val="en-US" w:eastAsia="ar-SA" w:bidi="ar-SA"/>
        </w:rPr>
        <w:t>crisis period) the degr</w:t>
      </w:r>
      <w:r w:rsidR="002971E2">
        <w:rPr>
          <w:lang w:val="en-US" w:eastAsia="ar-SA" w:bidi="ar-SA"/>
        </w:rPr>
        <w:t>ee of conservatism will be higher than in periods of bad performance (</w:t>
      </w:r>
      <w:r w:rsidR="00DB2A0E">
        <w:rPr>
          <w:lang w:val="en-US" w:eastAsia="ar-SA" w:bidi="ar-SA"/>
        </w:rPr>
        <w:t>crisis period).</w:t>
      </w:r>
    </w:p>
    <w:p w:rsidR="00BC6A79" w:rsidRDefault="00BC6A79" w:rsidP="003C5035">
      <w:pPr>
        <w:spacing w:line="360" w:lineRule="auto"/>
        <w:jc w:val="both"/>
        <w:rPr>
          <w:lang w:val="en-US" w:eastAsia="ar-SA" w:bidi="ar-SA"/>
        </w:rPr>
      </w:pPr>
    </w:p>
    <w:p w:rsidR="00926DB2" w:rsidRPr="003C5035" w:rsidRDefault="00926DB2" w:rsidP="00046654">
      <w:pPr>
        <w:spacing w:line="360" w:lineRule="auto"/>
        <w:jc w:val="both"/>
        <w:rPr>
          <w:lang w:val="en-US" w:eastAsia="ar-SA" w:bidi="ar-SA"/>
        </w:rPr>
      </w:pPr>
    </w:p>
    <w:p w:rsidR="00926DB2" w:rsidRPr="003D47BF" w:rsidRDefault="00926DB2" w:rsidP="00046654">
      <w:pPr>
        <w:spacing w:line="360" w:lineRule="auto"/>
        <w:jc w:val="both"/>
        <w:rPr>
          <w:b/>
          <w:iCs/>
          <w:lang w:eastAsia="ar-SA" w:bidi="ar-SA"/>
        </w:rPr>
      </w:pPr>
      <w:r w:rsidRPr="003D47BF">
        <w:rPr>
          <w:b/>
          <w:iCs/>
          <w:lang w:val="en-US" w:eastAsia="ar-SA" w:bidi="ar-SA"/>
        </w:rPr>
        <w:lastRenderedPageBreak/>
        <w:t xml:space="preserve">H3: Conditional conservatism in the pre-crisis period (1997-2006) has a positive influence on the performance of West-European banks in the crisis period (2007-2009)  </w:t>
      </w:r>
    </w:p>
    <w:p w:rsidR="00926DB2" w:rsidRDefault="00926DB2" w:rsidP="00046654">
      <w:pPr>
        <w:spacing w:line="360" w:lineRule="auto"/>
        <w:jc w:val="both"/>
        <w:rPr>
          <w:b/>
          <w:i/>
          <w:lang w:val="en-US" w:eastAsia="ar-SA" w:bidi="ar-SA"/>
        </w:rPr>
      </w:pPr>
    </w:p>
    <w:p w:rsidR="00926DB2" w:rsidRPr="002A31D8" w:rsidRDefault="00926DB2" w:rsidP="00046654">
      <w:pPr>
        <w:spacing w:line="360" w:lineRule="auto"/>
        <w:jc w:val="both"/>
        <w:rPr>
          <w:bCs/>
          <w:iCs/>
          <w:lang w:val="en-US" w:eastAsia="ar-SA" w:bidi="ar-SA"/>
        </w:rPr>
      </w:pPr>
      <w:r>
        <w:rPr>
          <w:bCs/>
          <w:iCs/>
          <w:lang w:val="en-US" w:eastAsia="ar-SA" w:bidi="ar-SA"/>
        </w:rPr>
        <w:t xml:space="preserve">Conservatism means that there is a difference between the recognition of profits and losses. Losses should be recognized </w:t>
      </w:r>
      <w:r w:rsidRPr="002D26E1">
        <w:rPr>
          <w:lang w:val="en-US"/>
        </w:rPr>
        <w:t>immediately and gains only when it is verifiable that they will be realized (Watts 2003). Thus in firms in which there is a low degree of conservatism it is much more likely that gains would be recognized before it is sure that these gains will be obtained or in the case of losses that losses would not be taken immediately when they are recognized but will be postponed. Taking the above mentioned into consideration I could state th</w:t>
      </w:r>
      <w:r>
        <w:rPr>
          <w:lang w:val="en-US"/>
        </w:rPr>
        <w:t xml:space="preserve">at it is more likely for a bank </w:t>
      </w:r>
      <w:r w:rsidRPr="002D26E1">
        <w:rPr>
          <w:lang w:val="en-US"/>
        </w:rPr>
        <w:t>with a low degree of conservatism to interlace in financial disco</w:t>
      </w:r>
      <w:r>
        <w:rPr>
          <w:lang w:val="en-US"/>
        </w:rPr>
        <w:t xml:space="preserve">mforts than a bank </w:t>
      </w:r>
      <w:r w:rsidRPr="002D26E1">
        <w:rPr>
          <w:lang w:val="en-US"/>
        </w:rPr>
        <w:t>with</w:t>
      </w:r>
      <w:r>
        <w:rPr>
          <w:lang w:val="en-US"/>
        </w:rPr>
        <w:t xml:space="preserve"> a high degree of conservatism. </w:t>
      </w:r>
      <w:r w:rsidRPr="002D26E1">
        <w:rPr>
          <w:lang w:val="en-US"/>
        </w:rPr>
        <w:t>Hence the assumption is made that there will be a positive relationship between the degree of conservatism in the pre-crisis period (1997-2006) and the performances in the crisis-period (2007-2009). Be</w:t>
      </w:r>
      <w:r>
        <w:rPr>
          <w:lang w:val="en-US"/>
        </w:rPr>
        <w:t xml:space="preserve">cause the prudence of conservative banks in the pre-crisis period </w:t>
      </w:r>
      <w:r w:rsidRPr="002D26E1">
        <w:rPr>
          <w:lang w:val="en-US"/>
        </w:rPr>
        <w:t xml:space="preserve">will contribute to enhancement of firm performances by </w:t>
      </w:r>
      <w:r>
        <w:rPr>
          <w:lang w:val="en-US"/>
        </w:rPr>
        <w:t>declining the financial discomforts in the crisis-period. In my understanding there is no scientific article that measures the link between conditional conservatism and bank performance.</w:t>
      </w: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p>
    <w:p w:rsidR="00926DB2" w:rsidRDefault="00926DB2" w:rsidP="00046654">
      <w:pPr>
        <w:spacing w:line="360" w:lineRule="auto"/>
        <w:jc w:val="both"/>
        <w:rPr>
          <w:i/>
          <w:lang w:val="en-US" w:eastAsia="ar-SA" w:bidi="ar-SA"/>
        </w:rPr>
      </w:pPr>
    </w:p>
    <w:p w:rsidR="00926DB2" w:rsidRDefault="00926DB2" w:rsidP="005B36F9">
      <w:pPr>
        <w:pStyle w:val="Kop2"/>
        <w:jc w:val="both"/>
        <w:rPr>
          <w:rFonts w:ascii="Times New Roman" w:hAnsi="Times New Roman" w:cs="Times New Roman"/>
          <w:bCs w:val="0"/>
          <w:i w:val="0"/>
          <w:iCs w:val="0"/>
          <w:sz w:val="24"/>
          <w:szCs w:val="24"/>
          <w:lang w:val="en-US" w:eastAsia="ar-SA" w:bidi="ar-SA"/>
        </w:rPr>
      </w:pPr>
      <w:bookmarkStart w:id="118" w:name="_Toc268186063"/>
      <w:r w:rsidRPr="005B36F9">
        <w:rPr>
          <w:rFonts w:ascii="Times New Roman" w:hAnsi="Times New Roman" w:cs="Times New Roman"/>
          <w:bCs w:val="0"/>
          <w:i w:val="0"/>
          <w:iCs w:val="0"/>
          <w:sz w:val="24"/>
          <w:szCs w:val="24"/>
          <w:lang w:val="en-US" w:eastAsia="ar-SA" w:bidi="ar-SA"/>
        </w:rPr>
        <w:lastRenderedPageBreak/>
        <w:t>5.3 Visual overview of the hypotheses:</w:t>
      </w:r>
      <w:bookmarkEnd w:id="118"/>
    </w:p>
    <w:p w:rsidR="002B03FA" w:rsidRPr="002B03FA" w:rsidRDefault="002B03FA" w:rsidP="002B03FA">
      <w:pPr>
        <w:rPr>
          <w:lang w:val="en-US" w:eastAsia="ar-SA" w:bidi="ar-SA"/>
        </w:rPr>
      </w:pPr>
    </w:p>
    <w:p w:rsidR="00926DB2" w:rsidRPr="002B03FA" w:rsidRDefault="00926DB2" w:rsidP="002B03FA">
      <w:pPr>
        <w:spacing w:line="360" w:lineRule="auto"/>
        <w:jc w:val="both"/>
      </w:pPr>
      <w:bookmarkStart w:id="119" w:name="_Toc267323034"/>
      <w:bookmarkStart w:id="120" w:name="_Toc267597459"/>
      <w:bookmarkStart w:id="121" w:name="_Toc267597552"/>
      <w:bookmarkStart w:id="122" w:name="_Toc267647477"/>
      <w:bookmarkStart w:id="123" w:name="_Toc267649096"/>
      <w:bookmarkStart w:id="124" w:name="_Toc267653548"/>
      <w:bookmarkStart w:id="125" w:name="_Toc267666835"/>
      <w:r w:rsidRPr="002B03FA">
        <w:t xml:space="preserve">In the following tables a visual overview will be provided of the hypotheses in </w:t>
      </w:r>
      <w:r w:rsidR="00AB56AC" w:rsidRPr="002B03FA">
        <w:t xml:space="preserve">order to clarify </w:t>
      </w:r>
      <w:r w:rsidRPr="002B03FA">
        <w:t>the used models.</w:t>
      </w:r>
      <w:bookmarkEnd w:id="119"/>
      <w:bookmarkEnd w:id="120"/>
      <w:bookmarkEnd w:id="121"/>
      <w:bookmarkEnd w:id="122"/>
      <w:bookmarkEnd w:id="123"/>
      <w:bookmarkEnd w:id="124"/>
      <w:bookmarkEnd w:id="125"/>
    </w:p>
    <w:p w:rsidR="00520E09" w:rsidRPr="00520E09" w:rsidRDefault="00520E09" w:rsidP="00520E09"/>
    <w:p w:rsidR="00926DB2" w:rsidRPr="00520E09" w:rsidRDefault="00926DB2" w:rsidP="00520E09">
      <w:pPr>
        <w:rPr>
          <w:b/>
          <w:u w:val="single"/>
        </w:rPr>
      </w:pPr>
      <w:bookmarkStart w:id="126" w:name="_Toc267323035"/>
      <w:bookmarkStart w:id="127" w:name="_Toc267597460"/>
      <w:bookmarkStart w:id="128" w:name="_Toc267597553"/>
      <w:bookmarkStart w:id="129" w:name="_Toc267647478"/>
      <w:bookmarkStart w:id="130" w:name="_Toc267649097"/>
      <w:bookmarkStart w:id="131" w:name="_Toc267653549"/>
      <w:r w:rsidRPr="00520E09">
        <w:rPr>
          <w:b/>
          <w:u w:val="single"/>
        </w:rPr>
        <w:t>Table 5. Visual overview of hypotheses 1:</w:t>
      </w:r>
      <w:bookmarkEnd w:id="126"/>
      <w:bookmarkEnd w:id="127"/>
      <w:bookmarkEnd w:id="128"/>
      <w:bookmarkEnd w:id="129"/>
      <w:bookmarkEnd w:id="130"/>
      <w:bookmarkEnd w:id="131"/>
    </w:p>
    <w:tbl>
      <w:tblPr>
        <w:tblpPr w:leftFromText="141" w:rightFromText="141" w:vertAnchor="text" w:horzAnchor="margin" w:tblpXSpec="center" w:tblpY="364"/>
        <w:tblW w:w="0" w:type="auto"/>
        <w:tblBorders>
          <w:top w:val="single" w:sz="8" w:space="0" w:color="000000"/>
          <w:bottom w:val="single" w:sz="8" w:space="0" w:color="000000"/>
        </w:tblBorders>
        <w:tblLook w:val="00A0"/>
      </w:tblPr>
      <w:tblGrid>
        <w:gridCol w:w="1384"/>
        <w:gridCol w:w="1657"/>
        <w:gridCol w:w="1536"/>
        <w:gridCol w:w="1474"/>
        <w:gridCol w:w="1762"/>
      </w:tblGrid>
      <w:tr w:rsidR="00926DB2" w:rsidTr="00360F4D">
        <w:trPr>
          <w:trHeight w:val="1544"/>
        </w:trPr>
        <w:tc>
          <w:tcPr>
            <w:tcW w:w="1384" w:type="dxa"/>
            <w:tcBorders>
              <w:top w:val="single" w:sz="8" w:space="0" w:color="000000"/>
              <w:left w:val="nil"/>
              <w:bottom w:val="single" w:sz="8" w:space="0" w:color="000000"/>
              <w:right w:val="nil"/>
            </w:tcBorders>
          </w:tcPr>
          <w:p w:rsidR="00926DB2" w:rsidRPr="00141796" w:rsidRDefault="00926DB2" w:rsidP="00046654">
            <w:pPr>
              <w:jc w:val="both"/>
              <w:rPr>
                <w:b/>
                <w:bCs/>
                <w:color w:val="000000"/>
              </w:rPr>
            </w:pPr>
            <w:r w:rsidRPr="00141796">
              <w:rPr>
                <w:b/>
                <w:bCs/>
                <w:color w:val="000000"/>
                <w:sz w:val="22"/>
                <w:szCs w:val="22"/>
              </w:rPr>
              <w:t>Sample:</w:t>
            </w:r>
          </w:p>
        </w:tc>
        <w:tc>
          <w:tcPr>
            <w:tcW w:w="1657" w:type="dxa"/>
            <w:tcBorders>
              <w:top w:val="single" w:sz="8" w:space="0" w:color="000000"/>
              <w:left w:val="nil"/>
              <w:bottom w:val="single" w:sz="8" w:space="0" w:color="000000"/>
              <w:right w:val="nil"/>
            </w:tcBorders>
          </w:tcPr>
          <w:p w:rsidR="00926DB2" w:rsidRDefault="00542395" w:rsidP="00046654">
            <w:pPr>
              <w:jc w:val="both"/>
              <w:rPr>
                <w:b/>
                <w:bCs/>
                <w:color w:val="000000"/>
              </w:rPr>
            </w:pPr>
            <w:r w:rsidRPr="00542395">
              <w:rPr>
                <w:noProof/>
                <w:lang w:val="en-US" w:eastAsia="en-US" w:bidi="ar-SA"/>
              </w:rPr>
              <w:pict>
                <v:shape id="_x0000_s1029" type="#_x0000_t32" style="position:absolute;left:0;text-align:left;margin-left:58.25pt;margin-top:39.9pt;width:152.35pt;height:0;z-index:251657728;mso-position-horizontal-relative:text;mso-position-vertical-relative:text" o:connectortype="straight">
                  <v:stroke endarrow="block"/>
                </v:shape>
              </w:pict>
            </w:r>
            <w:r w:rsidR="00926DB2">
              <w:rPr>
                <w:b/>
                <w:bCs/>
                <w:color w:val="000000"/>
                <w:sz w:val="22"/>
                <w:szCs w:val="22"/>
              </w:rPr>
              <w:t>Sample</w:t>
            </w:r>
          </w:p>
          <w:p w:rsidR="00926DB2" w:rsidRPr="00141796" w:rsidRDefault="00926DB2" w:rsidP="00046654">
            <w:pPr>
              <w:jc w:val="both"/>
              <w:rPr>
                <w:b/>
                <w:bCs/>
                <w:color w:val="000000"/>
              </w:rPr>
            </w:pPr>
            <w:r>
              <w:rPr>
                <w:b/>
                <w:bCs/>
                <w:color w:val="000000"/>
                <w:sz w:val="22"/>
                <w:szCs w:val="22"/>
              </w:rPr>
              <w:t>West-</w:t>
            </w:r>
            <w:r w:rsidRPr="00141796">
              <w:rPr>
                <w:b/>
                <w:bCs/>
                <w:color w:val="000000"/>
                <w:sz w:val="22"/>
                <w:szCs w:val="22"/>
              </w:rPr>
              <w:t>European Banks</w:t>
            </w:r>
          </w:p>
          <w:p w:rsidR="00926DB2" w:rsidRPr="00141796" w:rsidRDefault="00926DB2" w:rsidP="00046654">
            <w:pPr>
              <w:jc w:val="both"/>
              <w:rPr>
                <w:b/>
                <w:bCs/>
                <w:color w:val="000000"/>
              </w:rPr>
            </w:pPr>
            <w:r w:rsidRPr="00141796">
              <w:rPr>
                <w:b/>
                <w:bCs/>
                <w:color w:val="000000"/>
                <w:sz w:val="22"/>
                <w:szCs w:val="22"/>
              </w:rPr>
              <w:t>(Bank scope)</w:t>
            </w:r>
          </w:p>
        </w:tc>
        <w:tc>
          <w:tcPr>
            <w:tcW w:w="1536" w:type="dxa"/>
            <w:tcBorders>
              <w:top w:val="single" w:sz="8" w:space="0" w:color="000000"/>
              <w:left w:val="nil"/>
              <w:bottom w:val="single" w:sz="8" w:space="0" w:color="000000"/>
              <w:right w:val="nil"/>
            </w:tcBorders>
          </w:tcPr>
          <w:p w:rsidR="00926DB2" w:rsidRPr="00141796" w:rsidRDefault="00926DB2" w:rsidP="00046654">
            <w:pPr>
              <w:jc w:val="both"/>
              <w:rPr>
                <w:b/>
                <w:bCs/>
                <w:color w:val="000000"/>
              </w:rPr>
            </w:pPr>
          </w:p>
          <w:p w:rsidR="00926DB2" w:rsidRPr="00141796" w:rsidRDefault="00542395" w:rsidP="00046654">
            <w:pPr>
              <w:jc w:val="both"/>
              <w:rPr>
                <w:b/>
                <w:bCs/>
                <w:color w:val="000000"/>
              </w:rPr>
            </w:pPr>
            <w:r w:rsidRPr="00542395">
              <w:rPr>
                <w:noProof/>
                <w:lang w:val="en-US" w:eastAsia="en-US" w:bidi="ar-SA"/>
              </w:rPr>
              <w:pict>
                <v:shape id="_x0000_s1030" type="#_x0000_t32" style="position:absolute;left:0;text-align:left;margin-left:32.1pt;margin-top:26.1pt;width:0;height:46.5pt;z-index:251658752" o:connectortype="straight">
                  <v:stroke endarrow="block"/>
                </v:shape>
              </w:pict>
            </w:r>
            <w:r w:rsidR="00926DB2" w:rsidRPr="00141796">
              <w:rPr>
                <w:b/>
                <w:bCs/>
                <w:color w:val="000000"/>
                <w:sz w:val="22"/>
                <w:szCs w:val="22"/>
              </w:rPr>
              <w:t>Measuring Conservatism</w:t>
            </w:r>
          </w:p>
        </w:tc>
        <w:tc>
          <w:tcPr>
            <w:tcW w:w="1474" w:type="dxa"/>
            <w:tcBorders>
              <w:top w:val="single" w:sz="8" w:space="0" w:color="000000"/>
              <w:left w:val="nil"/>
              <w:bottom w:val="single" w:sz="8" w:space="0" w:color="000000"/>
              <w:right w:val="nil"/>
            </w:tcBorders>
          </w:tcPr>
          <w:p w:rsidR="00926DB2" w:rsidRPr="00141796" w:rsidRDefault="00926DB2" w:rsidP="00046654">
            <w:pPr>
              <w:jc w:val="both"/>
              <w:rPr>
                <w:b/>
                <w:bCs/>
                <w:color w:val="000000"/>
              </w:rPr>
            </w:pPr>
          </w:p>
        </w:tc>
        <w:tc>
          <w:tcPr>
            <w:tcW w:w="1762" w:type="dxa"/>
            <w:tcBorders>
              <w:top w:val="single" w:sz="8" w:space="0" w:color="000000"/>
              <w:left w:val="nil"/>
              <w:bottom w:val="single" w:sz="8" w:space="0" w:color="000000"/>
              <w:right w:val="nil"/>
            </w:tcBorders>
          </w:tcPr>
          <w:tbl>
            <w:tblPr>
              <w:tblpPr w:leftFromText="141" w:rightFromText="141" w:vertAnchor="text" w:horzAnchor="margin" w:tblpY="52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6"/>
            </w:tblGrid>
            <w:tr w:rsidR="00926DB2" w:rsidTr="00141796">
              <w:trPr>
                <w:trHeight w:val="558"/>
              </w:trPr>
              <w:tc>
                <w:tcPr>
                  <w:tcW w:w="1536" w:type="dxa"/>
                  <w:tcBorders>
                    <w:top w:val="single" w:sz="4" w:space="0" w:color="auto"/>
                    <w:left w:val="single" w:sz="4" w:space="0" w:color="auto"/>
                    <w:bottom w:val="single" w:sz="4" w:space="0" w:color="auto"/>
                    <w:right w:val="single" w:sz="4" w:space="0" w:color="auto"/>
                  </w:tcBorders>
                </w:tcPr>
                <w:p w:rsidR="00926DB2" w:rsidRDefault="00926DB2" w:rsidP="00360F4D">
                  <w:pPr>
                    <w:jc w:val="both"/>
                  </w:pPr>
                  <w:r>
                    <w:t>Degree of Conservatism</w:t>
                  </w:r>
                </w:p>
              </w:tc>
            </w:tr>
          </w:tbl>
          <w:p w:rsidR="00926DB2" w:rsidRPr="00141796" w:rsidRDefault="00926DB2" w:rsidP="00046654">
            <w:pPr>
              <w:jc w:val="both"/>
              <w:rPr>
                <w:b/>
                <w:bCs/>
                <w:color w:val="000000"/>
              </w:rPr>
            </w:pPr>
          </w:p>
        </w:tc>
      </w:tr>
      <w:tr w:rsidR="00926DB2" w:rsidTr="00360F4D">
        <w:trPr>
          <w:gridAfter w:val="2"/>
          <w:wAfter w:w="3236" w:type="dxa"/>
          <w:trHeight w:val="559"/>
        </w:trPr>
        <w:tc>
          <w:tcPr>
            <w:tcW w:w="1384" w:type="dxa"/>
            <w:tcBorders>
              <w:left w:val="nil"/>
              <w:right w:val="nil"/>
            </w:tcBorders>
            <w:shd w:val="clear" w:color="auto" w:fill="C0C0C0"/>
          </w:tcPr>
          <w:p w:rsidR="00926DB2" w:rsidRPr="00141796" w:rsidRDefault="00926DB2" w:rsidP="00046654">
            <w:pPr>
              <w:jc w:val="both"/>
              <w:rPr>
                <w:b/>
                <w:bCs/>
                <w:color w:val="000000"/>
              </w:rPr>
            </w:pPr>
            <w:r w:rsidRPr="00141796">
              <w:rPr>
                <w:b/>
                <w:bCs/>
                <w:color w:val="000000"/>
                <w:sz w:val="22"/>
                <w:szCs w:val="22"/>
              </w:rPr>
              <w:t>Period:</w:t>
            </w:r>
          </w:p>
        </w:tc>
        <w:tc>
          <w:tcPr>
            <w:tcW w:w="1657" w:type="dxa"/>
            <w:tcBorders>
              <w:left w:val="nil"/>
              <w:right w:val="nil"/>
            </w:tcBorders>
            <w:shd w:val="clear" w:color="auto" w:fill="C0C0C0"/>
          </w:tcPr>
          <w:p w:rsidR="00926DB2" w:rsidRPr="00141796" w:rsidRDefault="00926DB2" w:rsidP="00046654">
            <w:pPr>
              <w:jc w:val="both"/>
              <w:rPr>
                <w:color w:val="000000"/>
              </w:rPr>
            </w:pPr>
            <w:r w:rsidRPr="00141796">
              <w:rPr>
                <w:color w:val="000000"/>
                <w:sz w:val="22"/>
                <w:szCs w:val="22"/>
              </w:rPr>
              <w:t>1997-2009</w:t>
            </w:r>
          </w:p>
        </w:tc>
        <w:tc>
          <w:tcPr>
            <w:tcW w:w="1536" w:type="dxa"/>
            <w:tcBorders>
              <w:left w:val="nil"/>
              <w:right w:val="nil"/>
            </w:tcBorders>
            <w:shd w:val="clear" w:color="auto" w:fill="C0C0C0"/>
          </w:tcPr>
          <w:p w:rsidR="00926DB2" w:rsidRPr="00141796" w:rsidRDefault="00926DB2" w:rsidP="00046654">
            <w:pPr>
              <w:jc w:val="both"/>
              <w:rPr>
                <w:color w:val="000000"/>
              </w:rPr>
            </w:pPr>
          </w:p>
        </w:tc>
      </w:tr>
      <w:tr w:rsidR="00926DB2" w:rsidTr="00360F4D">
        <w:trPr>
          <w:gridAfter w:val="2"/>
          <w:wAfter w:w="3236" w:type="dxa"/>
          <w:trHeight w:val="553"/>
        </w:trPr>
        <w:tc>
          <w:tcPr>
            <w:tcW w:w="1384" w:type="dxa"/>
            <w:tcBorders>
              <w:bottom w:val="single" w:sz="8" w:space="0" w:color="000000"/>
            </w:tcBorders>
          </w:tcPr>
          <w:p w:rsidR="00926DB2" w:rsidRPr="00141796" w:rsidRDefault="00926DB2" w:rsidP="00046654">
            <w:pPr>
              <w:jc w:val="both"/>
              <w:rPr>
                <w:b/>
                <w:bCs/>
                <w:color w:val="000000"/>
              </w:rPr>
            </w:pPr>
            <w:r w:rsidRPr="00141796">
              <w:rPr>
                <w:b/>
                <w:bCs/>
                <w:color w:val="000000"/>
                <w:sz w:val="22"/>
                <w:szCs w:val="22"/>
              </w:rPr>
              <w:t>Model:</w:t>
            </w:r>
          </w:p>
        </w:tc>
        <w:tc>
          <w:tcPr>
            <w:tcW w:w="1657" w:type="dxa"/>
            <w:tcBorders>
              <w:bottom w:val="single" w:sz="8" w:space="0" w:color="000000"/>
            </w:tcBorders>
          </w:tcPr>
          <w:p w:rsidR="00926DB2" w:rsidRPr="00141796" w:rsidRDefault="00926DB2" w:rsidP="00046654">
            <w:pPr>
              <w:jc w:val="both"/>
              <w:rPr>
                <w:color w:val="000000"/>
              </w:rPr>
            </w:pPr>
          </w:p>
        </w:tc>
        <w:tc>
          <w:tcPr>
            <w:tcW w:w="1536" w:type="dxa"/>
            <w:tcBorders>
              <w:bottom w:val="single" w:sz="8" w:space="0" w:color="000000"/>
            </w:tcBorders>
          </w:tcPr>
          <w:p w:rsidR="00926DB2" w:rsidRPr="00141796" w:rsidRDefault="00926DB2" w:rsidP="00046654">
            <w:pPr>
              <w:jc w:val="both"/>
              <w:rPr>
                <w:color w:val="000000"/>
              </w:rPr>
            </w:pPr>
            <w:r w:rsidRPr="00141796">
              <w:rPr>
                <w:color w:val="000000"/>
                <w:sz w:val="22"/>
                <w:szCs w:val="22"/>
              </w:rPr>
              <w:t xml:space="preserve">   Basu model</w:t>
            </w:r>
          </w:p>
        </w:tc>
      </w:tr>
    </w:tbl>
    <w:p w:rsidR="00926DB2" w:rsidRPr="003600F5" w:rsidRDefault="00926DB2" w:rsidP="00046654">
      <w:pPr>
        <w:pStyle w:val="Kop1"/>
        <w:jc w:val="both"/>
        <w:rPr>
          <w:i/>
          <w:sz w:val="24"/>
          <w:szCs w:val="24"/>
        </w:rPr>
      </w:pPr>
    </w:p>
    <w:p w:rsidR="00926DB2" w:rsidRPr="003600F5" w:rsidRDefault="00926DB2" w:rsidP="00046654">
      <w:pPr>
        <w:jc w:val="both"/>
        <w:rPr>
          <w:b/>
        </w:rPr>
      </w:pPr>
    </w:p>
    <w:p w:rsidR="00926DB2" w:rsidRPr="003600F5" w:rsidRDefault="00926DB2" w:rsidP="00046654">
      <w:pPr>
        <w:pStyle w:val="Kop1"/>
        <w:jc w:val="both"/>
        <w:rPr>
          <w:i/>
          <w:sz w:val="24"/>
          <w:szCs w:val="24"/>
        </w:rPr>
      </w:pPr>
    </w:p>
    <w:p w:rsidR="00926DB2" w:rsidRPr="003600F5" w:rsidRDefault="00926DB2" w:rsidP="00046654">
      <w:pPr>
        <w:jc w:val="both"/>
        <w:rPr>
          <w:b/>
        </w:rPr>
      </w:pPr>
    </w:p>
    <w:p w:rsidR="00926DB2" w:rsidRPr="003600F5" w:rsidRDefault="00926DB2" w:rsidP="00046654">
      <w:pPr>
        <w:jc w:val="both"/>
        <w:rPr>
          <w:b/>
        </w:rPr>
      </w:pPr>
    </w:p>
    <w:p w:rsidR="00926DB2" w:rsidRPr="003600F5" w:rsidRDefault="00926DB2" w:rsidP="00046654">
      <w:pPr>
        <w:pStyle w:val="Kop1"/>
        <w:jc w:val="both"/>
        <w:rPr>
          <w:i/>
          <w:sz w:val="24"/>
          <w:szCs w:val="24"/>
        </w:rPr>
      </w:pPr>
    </w:p>
    <w:p w:rsidR="00926DB2" w:rsidRPr="003600F5" w:rsidRDefault="00926DB2" w:rsidP="00046654">
      <w:pPr>
        <w:pStyle w:val="Kop1"/>
        <w:jc w:val="both"/>
        <w:rPr>
          <w:i/>
          <w:sz w:val="24"/>
          <w:szCs w:val="24"/>
        </w:rPr>
      </w:pPr>
    </w:p>
    <w:p w:rsidR="00926DB2" w:rsidRDefault="00926DB2" w:rsidP="00046654">
      <w:pPr>
        <w:pStyle w:val="Kop1"/>
        <w:jc w:val="both"/>
        <w:rPr>
          <w:sz w:val="24"/>
          <w:szCs w:val="24"/>
        </w:rPr>
      </w:pPr>
      <w:bookmarkStart w:id="132" w:name="_Toc267323036"/>
      <w:bookmarkEnd w:id="0"/>
    </w:p>
    <w:p w:rsidR="00926DB2" w:rsidRPr="00520E09" w:rsidRDefault="00926DB2" w:rsidP="00520E09">
      <w:pPr>
        <w:rPr>
          <w:b/>
          <w:u w:val="single"/>
        </w:rPr>
      </w:pPr>
      <w:bookmarkStart w:id="133" w:name="_Toc267597461"/>
      <w:bookmarkStart w:id="134" w:name="_Toc267597554"/>
      <w:bookmarkStart w:id="135" w:name="_Toc267647479"/>
      <w:bookmarkStart w:id="136" w:name="_Toc267649098"/>
      <w:bookmarkStart w:id="137" w:name="_Toc267653550"/>
      <w:r w:rsidRPr="00520E09">
        <w:rPr>
          <w:b/>
          <w:u w:val="single"/>
        </w:rPr>
        <w:t>Table 6a. Visual overview of hypotheses 2 (1997-2006):</w:t>
      </w:r>
      <w:bookmarkEnd w:id="132"/>
      <w:bookmarkEnd w:id="133"/>
      <w:bookmarkEnd w:id="134"/>
      <w:bookmarkEnd w:id="135"/>
      <w:bookmarkEnd w:id="136"/>
      <w:bookmarkEnd w:id="137"/>
    </w:p>
    <w:p w:rsidR="00926DB2" w:rsidRDefault="00926DB2" w:rsidP="00046654">
      <w:pPr>
        <w:jc w:val="both"/>
      </w:pPr>
    </w:p>
    <w:p w:rsidR="00926DB2" w:rsidRDefault="00926DB2" w:rsidP="00046654">
      <w:pPr>
        <w:jc w:val="both"/>
      </w:pPr>
    </w:p>
    <w:tbl>
      <w:tblPr>
        <w:tblpPr w:leftFromText="141" w:rightFromText="141" w:vertAnchor="text" w:horzAnchor="margin" w:tblpXSpec="center" w:tblpY="-18"/>
        <w:tblW w:w="0" w:type="auto"/>
        <w:tblBorders>
          <w:top w:val="single" w:sz="8" w:space="0" w:color="000000"/>
          <w:bottom w:val="single" w:sz="8" w:space="0" w:color="000000"/>
        </w:tblBorders>
        <w:tblLook w:val="00A0"/>
      </w:tblPr>
      <w:tblGrid>
        <w:gridCol w:w="1384"/>
        <w:gridCol w:w="1657"/>
        <w:gridCol w:w="1536"/>
        <w:gridCol w:w="1474"/>
        <w:gridCol w:w="1762"/>
      </w:tblGrid>
      <w:tr w:rsidR="00926DB2" w:rsidTr="00672173">
        <w:trPr>
          <w:trHeight w:val="1544"/>
        </w:trPr>
        <w:tc>
          <w:tcPr>
            <w:tcW w:w="1384" w:type="dxa"/>
            <w:tcBorders>
              <w:top w:val="single" w:sz="8" w:space="0" w:color="000000"/>
              <w:left w:val="nil"/>
              <w:bottom w:val="single" w:sz="8" w:space="0" w:color="000000"/>
              <w:right w:val="nil"/>
            </w:tcBorders>
          </w:tcPr>
          <w:p w:rsidR="00926DB2" w:rsidRPr="00141796" w:rsidRDefault="00926DB2" w:rsidP="00672173">
            <w:pPr>
              <w:jc w:val="both"/>
              <w:rPr>
                <w:b/>
                <w:bCs/>
                <w:color w:val="000000"/>
              </w:rPr>
            </w:pPr>
            <w:r w:rsidRPr="00141796">
              <w:rPr>
                <w:b/>
                <w:bCs/>
                <w:color w:val="000000"/>
                <w:sz w:val="22"/>
                <w:szCs w:val="22"/>
              </w:rPr>
              <w:t>Sample:</w:t>
            </w:r>
          </w:p>
        </w:tc>
        <w:tc>
          <w:tcPr>
            <w:tcW w:w="1657" w:type="dxa"/>
            <w:tcBorders>
              <w:top w:val="single" w:sz="8" w:space="0" w:color="000000"/>
              <w:left w:val="nil"/>
              <w:bottom w:val="single" w:sz="8" w:space="0" w:color="000000"/>
              <w:right w:val="nil"/>
            </w:tcBorders>
          </w:tcPr>
          <w:p w:rsidR="00926DB2" w:rsidRDefault="00542395" w:rsidP="00672173">
            <w:pPr>
              <w:jc w:val="both"/>
              <w:rPr>
                <w:b/>
                <w:bCs/>
                <w:color w:val="000000"/>
              </w:rPr>
            </w:pPr>
            <w:r w:rsidRPr="00542395">
              <w:rPr>
                <w:noProof/>
                <w:lang w:val="en-US" w:eastAsia="en-US" w:bidi="ar-SA"/>
              </w:rPr>
              <w:pict>
                <v:shape id="_x0000_s1031" type="#_x0000_t32" style="position:absolute;left:0;text-align:left;margin-left:58.25pt;margin-top:39.9pt;width:152.35pt;height:0;z-index:251651584;mso-position-horizontal-relative:text;mso-position-vertical-relative:text" o:connectortype="straight">
                  <v:stroke endarrow="block"/>
                </v:shape>
              </w:pict>
            </w:r>
            <w:r w:rsidR="00926DB2">
              <w:rPr>
                <w:b/>
                <w:bCs/>
                <w:color w:val="000000"/>
                <w:sz w:val="22"/>
                <w:szCs w:val="22"/>
              </w:rPr>
              <w:t>Sample</w:t>
            </w:r>
          </w:p>
          <w:p w:rsidR="00926DB2" w:rsidRPr="00141796" w:rsidRDefault="00926DB2" w:rsidP="00672173">
            <w:pPr>
              <w:jc w:val="both"/>
              <w:rPr>
                <w:b/>
                <w:bCs/>
                <w:color w:val="000000"/>
              </w:rPr>
            </w:pPr>
            <w:r>
              <w:rPr>
                <w:b/>
                <w:bCs/>
                <w:color w:val="000000"/>
                <w:sz w:val="22"/>
                <w:szCs w:val="22"/>
              </w:rPr>
              <w:t>West-</w:t>
            </w:r>
            <w:r w:rsidRPr="00141796">
              <w:rPr>
                <w:b/>
                <w:bCs/>
                <w:color w:val="000000"/>
                <w:sz w:val="22"/>
                <w:szCs w:val="22"/>
              </w:rPr>
              <w:t>European Banks</w:t>
            </w:r>
          </w:p>
          <w:p w:rsidR="00926DB2" w:rsidRPr="00141796" w:rsidRDefault="00926DB2" w:rsidP="00672173">
            <w:pPr>
              <w:jc w:val="both"/>
              <w:rPr>
                <w:b/>
                <w:bCs/>
                <w:color w:val="000000"/>
              </w:rPr>
            </w:pPr>
            <w:r w:rsidRPr="00141796">
              <w:rPr>
                <w:b/>
                <w:bCs/>
                <w:color w:val="000000"/>
                <w:sz w:val="22"/>
                <w:szCs w:val="22"/>
              </w:rPr>
              <w:t>(Bank scope)</w:t>
            </w:r>
          </w:p>
        </w:tc>
        <w:tc>
          <w:tcPr>
            <w:tcW w:w="1536" w:type="dxa"/>
            <w:tcBorders>
              <w:top w:val="single" w:sz="8" w:space="0" w:color="000000"/>
              <w:left w:val="nil"/>
              <w:bottom w:val="single" w:sz="8" w:space="0" w:color="000000"/>
              <w:right w:val="nil"/>
            </w:tcBorders>
          </w:tcPr>
          <w:p w:rsidR="00926DB2" w:rsidRPr="00141796" w:rsidRDefault="00926DB2" w:rsidP="00672173">
            <w:pPr>
              <w:jc w:val="both"/>
              <w:rPr>
                <w:b/>
                <w:bCs/>
                <w:color w:val="000000"/>
              </w:rPr>
            </w:pPr>
          </w:p>
          <w:p w:rsidR="00926DB2" w:rsidRPr="00141796" w:rsidRDefault="00542395" w:rsidP="00672173">
            <w:pPr>
              <w:jc w:val="both"/>
              <w:rPr>
                <w:b/>
                <w:bCs/>
                <w:color w:val="000000"/>
              </w:rPr>
            </w:pPr>
            <w:r w:rsidRPr="00542395">
              <w:rPr>
                <w:noProof/>
                <w:lang w:val="en-US" w:eastAsia="en-US" w:bidi="ar-SA"/>
              </w:rPr>
              <w:pict>
                <v:shape id="_x0000_s1032" type="#_x0000_t32" style="position:absolute;left:0;text-align:left;margin-left:32.1pt;margin-top:26.1pt;width:0;height:46.5pt;z-index:251652608" o:connectortype="straight">
                  <v:stroke endarrow="block"/>
                </v:shape>
              </w:pict>
            </w:r>
            <w:r w:rsidR="00926DB2" w:rsidRPr="00141796">
              <w:rPr>
                <w:b/>
                <w:bCs/>
                <w:color w:val="000000"/>
                <w:sz w:val="22"/>
                <w:szCs w:val="22"/>
              </w:rPr>
              <w:t>Measuring Conservatism</w:t>
            </w:r>
          </w:p>
        </w:tc>
        <w:tc>
          <w:tcPr>
            <w:tcW w:w="1474" w:type="dxa"/>
            <w:tcBorders>
              <w:top w:val="single" w:sz="8" w:space="0" w:color="000000"/>
              <w:left w:val="nil"/>
              <w:bottom w:val="single" w:sz="8" w:space="0" w:color="000000"/>
              <w:right w:val="nil"/>
            </w:tcBorders>
          </w:tcPr>
          <w:p w:rsidR="00926DB2" w:rsidRPr="00141796" w:rsidRDefault="00926DB2" w:rsidP="00672173">
            <w:pPr>
              <w:jc w:val="both"/>
              <w:rPr>
                <w:b/>
                <w:bCs/>
                <w:color w:val="000000"/>
              </w:rPr>
            </w:pPr>
          </w:p>
        </w:tc>
        <w:tc>
          <w:tcPr>
            <w:tcW w:w="1762" w:type="dxa"/>
            <w:tcBorders>
              <w:top w:val="single" w:sz="8" w:space="0" w:color="000000"/>
              <w:left w:val="nil"/>
              <w:bottom w:val="single" w:sz="8" w:space="0" w:color="000000"/>
              <w:right w:val="nil"/>
            </w:tcBorders>
          </w:tcPr>
          <w:tbl>
            <w:tblPr>
              <w:tblpPr w:leftFromText="141" w:rightFromText="141" w:vertAnchor="text" w:horzAnchor="margin" w:tblpY="52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6"/>
            </w:tblGrid>
            <w:tr w:rsidR="00926DB2" w:rsidTr="00FC36E3">
              <w:trPr>
                <w:trHeight w:val="558"/>
              </w:trPr>
              <w:tc>
                <w:tcPr>
                  <w:tcW w:w="1536" w:type="dxa"/>
                  <w:tcBorders>
                    <w:top w:val="single" w:sz="4" w:space="0" w:color="auto"/>
                    <w:left w:val="single" w:sz="4" w:space="0" w:color="auto"/>
                    <w:bottom w:val="single" w:sz="4" w:space="0" w:color="auto"/>
                    <w:right w:val="single" w:sz="4" w:space="0" w:color="auto"/>
                  </w:tcBorders>
                </w:tcPr>
                <w:p w:rsidR="00926DB2" w:rsidRDefault="00926DB2" w:rsidP="00672173">
                  <w:pPr>
                    <w:jc w:val="both"/>
                  </w:pPr>
                  <w:r>
                    <w:t xml:space="preserve">Degree  of Conservatism </w:t>
                  </w:r>
                </w:p>
              </w:tc>
            </w:tr>
          </w:tbl>
          <w:p w:rsidR="00926DB2" w:rsidRPr="00141796" w:rsidRDefault="00926DB2" w:rsidP="00672173">
            <w:pPr>
              <w:jc w:val="both"/>
              <w:rPr>
                <w:b/>
                <w:bCs/>
                <w:color w:val="000000"/>
              </w:rPr>
            </w:pPr>
          </w:p>
        </w:tc>
      </w:tr>
      <w:tr w:rsidR="00926DB2" w:rsidTr="00672173">
        <w:trPr>
          <w:gridAfter w:val="2"/>
          <w:wAfter w:w="3236" w:type="dxa"/>
          <w:trHeight w:val="559"/>
        </w:trPr>
        <w:tc>
          <w:tcPr>
            <w:tcW w:w="1384" w:type="dxa"/>
            <w:tcBorders>
              <w:left w:val="nil"/>
              <w:right w:val="nil"/>
            </w:tcBorders>
            <w:shd w:val="clear" w:color="auto" w:fill="C0C0C0"/>
          </w:tcPr>
          <w:p w:rsidR="00926DB2" w:rsidRPr="00141796" w:rsidRDefault="00926DB2" w:rsidP="00672173">
            <w:pPr>
              <w:jc w:val="both"/>
              <w:rPr>
                <w:b/>
                <w:bCs/>
                <w:color w:val="000000"/>
              </w:rPr>
            </w:pPr>
            <w:r w:rsidRPr="00141796">
              <w:rPr>
                <w:b/>
                <w:bCs/>
                <w:color w:val="000000"/>
                <w:sz w:val="22"/>
                <w:szCs w:val="22"/>
              </w:rPr>
              <w:t>Period:</w:t>
            </w:r>
          </w:p>
        </w:tc>
        <w:tc>
          <w:tcPr>
            <w:tcW w:w="1657" w:type="dxa"/>
            <w:tcBorders>
              <w:left w:val="nil"/>
              <w:right w:val="nil"/>
            </w:tcBorders>
            <w:shd w:val="clear" w:color="auto" w:fill="C0C0C0"/>
          </w:tcPr>
          <w:p w:rsidR="00926DB2" w:rsidRPr="00141796" w:rsidRDefault="00926DB2" w:rsidP="00672173">
            <w:pPr>
              <w:jc w:val="both"/>
              <w:rPr>
                <w:color w:val="000000"/>
              </w:rPr>
            </w:pPr>
            <w:r w:rsidRPr="00141796">
              <w:rPr>
                <w:color w:val="000000"/>
                <w:sz w:val="22"/>
                <w:szCs w:val="22"/>
              </w:rPr>
              <w:t>199</w:t>
            </w:r>
            <w:r>
              <w:rPr>
                <w:color w:val="000000"/>
                <w:sz w:val="22"/>
                <w:szCs w:val="22"/>
              </w:rPr>
              <w:t>7-2006</w:t>
            </w:r>
          </w:p>
        </w:tc>
        <w:tc>
          <w:tcPr>
            <w:tcW w:w="1536" w:type="dxa"/>
            <w:tcBorders>
              <w:left w:val="nil"/>
              <w:right w:val="nil"/>
            </w:tcBorders>
            <w:shd w:val="clear" w:color="auto" w:fill="C0C0C0"/>
          </w:tcPr>
          <w:p w:rsidR="00926DB2" w:rsidRPr="00141796" w:rsidRDefault="00542395" w:rsidP="00672173">
            <w:pPr>
              <w:jc w:val="both"/>
              <w:rPr>
                <w:color w:val="000000"/>
              </w:rPr>
            </w:pPr>
            <w:r w:rsidRPr="00542395">
              <w:rPr>
                <w:noProof/>
                <w:lang w:val="en-US" w:eastAsia="en-US" w:bidi="ar-SA"/>
              </w:rPr>
              <w:pict>
                <v:shape id="_x0000_s1033" type="#_x0000_t32" style="position:absolute;left:0;text-align:left;margin-left:225.15pt;margin-top:18.95pt;width:0;height:93pt;z-index:251660800;mso-position-horizontal-relative:text;mso-position-vertical-relative:text" o:connectortype="straight">
                  <v:stroke startarrow="block" endarrow="block"/>
                </v:shape>
              </w:pict>
            </w:r>
          </w:p>
        </w:tc>
      </w:tr>
      <w:tr w:rsidR="00926DB2" w:rsidTr="00672173">
        <w:trPr>
          <w:gridAfter w:val="2"/>
          <w:wAfter w:w="3236" w:type="dxa"/>
          <w:trHeight w:val="553"/>
        </w:trPr>
        <w:tc>
          <w:tcPr>
            <w:tcW w:w="1384" w:type="dxa"/>
            <w:tcBorders>
              <w:bottom w:val="single" w:sz="8" w:space="0" w:color="000000"/>
            </w:tcBorders>
          </w:tcPr>
          <w:p w:rsidR="00926DB2" w:rsidRPr="00141796" w:rsidRDefault="00926DB2" w:rsidP="00672173">
            <w:pPr>
              <w:jc w:val="both"/>
              <w:rPr>
                <w:b/>
                <w:bCs/>
                <w:color w:val="000000"/>
              </w:rPr>
            </w:pPr>
            <w:r w:rsidRPr="00141796">
              <w:rPr>
                <w:b/>
                <w:bCs/>
                <w:color w:val="000000"/>
                <w:sz w:val="22"/>
                <w:szCs w:val="22"/>
              </w:rPr>
              <w:t>Model:</w:t>
            </w:r>
          </w:p>
        </w:tc>
        <w:tc>
          <w:tcPr>
            <w:tcW w:w="1657" w:type="dxa"/>
            <w:tcBorders>
              <w:bottom w:val="single" w:sz="8" w:space="0" w:color="000000"/>
            </w:tcBorders>
          </w:tcPr>
          <w:p w:rsidR="00926DB2" w:rsidRPr="00141796" w:rsidRDefault="00926DB2" w:rsidP="00672173">
            <w:pPr>
              <w:jc w:val="both"/>
              <w:rPr>
                <w:color w:val="000000"/>
              </w:rPr>
            </w:pPr>
          </w:p>
        </w:tc>
        <w:tc>
          <w:tcPr>
            <w:tcW w:w="1536" w:type="dxa"/>
            <w:tcBorders>
              <w:bottom w:val="single" w:sz="8" w:space="0" w:color="000000"/>
            </w:tcBorders>
          </w:tcPr>
          <w:p w:rsidR="00926DB2" w:rsidRPr="00141796" w:rsidRDefault="00926DB2" w:rsidP="00672173">
            <w:pPr>
              <w:jc w:val="both"/>
              <w:rPr>
                <w:color w:val="000000"/>
              </w:rPr>
            </w:pPr>
            <w:r w:rsidRPr="00141796">
              <w:rPr>
                <w:color w:val="000000"/>
                <w:sz w:val="22"/>
                <w:szCs w:val="22"/>
              </w:rPr>
              <w:t xml:space="preserve">   Basu model</w:t>
            </w:r>
          </w:p>
        </w:tc>
      </w:tr>
    </w:tbl>
    <w:tbl>
      <w:tblPr>
        <w:tblpPr w:leftFromText="141" w:rightFromText="141" w:vertAnchor="text" w:horzAnchor="page" w:tblpX="8031" w:tblpY="2288"/>
        <w:tblW w:w="0" w:type="auto"/>
        <w:tblBorders>
          <w:top w:val="single" w:sz="8" w:space="0" w:color="000000"/>
          <w:bottom w:val="single" w:sz="8" w:space="0" w:color="000000"/>
        </w:tblBorders>
        <w:tblLook w:val="00A0"/>
      </w:tblPr>
      <w:tblGrid>
        <w:gridCol w:w="1242"/>
      </w:tblGrid>
      <w:tr w:rsidR="00926DB2" w:rsidTr="00B53F35">
        <w:trPr>
          <w:trHeight w:val="1011"/>
        </w:trPr>
        <w:tc>
          <w:tcPr>
            <w:tcW w:w="1242" w:type="dxa"/>
            <w:tcBorders>
              <w:top w:val="single" w:sz="8" w:space="0" w:color="000000"/>
              <w:left w:val="nil"/>
              <w:bottom w:val="single" w:sz="8" w:space="0" w:color="000000"/>
              <w:right w:val="nil"/>
            </w:tcBorders>
          </w:tcPr>
          <w:p w:rsidR="00926DB2" w:rsidRPr="00FF080B" w:rsidRDefault="00926DB2" w:rsidP="00B53F35">
            <w:pPr>
              <w:pStyle w:val="Kop1"/>
              <w:jc w:val="both"/>
              <w:rPr>
                <w:b w:val="0"/>
                <w:color w:val="000000"/>
                <w:sz w:val="24"/>
                <w:szCs w:val="24"/>
                <w:u w:val="single"/>
              </w:rPr>
            </w:pPr>
            <w:bookmarkStart w:id="138" w:name="_Toc267597462"/>
            <w:bookmarkStart w:id="139" w:name="_Toc267597555"/>
            <w:bookmarkStart w:id="140" w:name="_Toc267647480"/>
            <w:bookmarkStart w:id="141" w:name="_Toc267649099"/>
            <w:bookmarkStart w:id="142" w:name="_Toc267653551"/>
            <w:bookmarkStart w:id="143" w:name="_Toc267666836"/>
            <w:bookmarkStart w:id="144" w:name="_Toc267666995"/>
            <w:bookmarkStart w:id="145" w:name="_Toc267979242"/>
            <w:bookmarkStart w:id="146" w:name="_Toc267979322"/>
            <w:bookmarkStart w:id="147" w:name="_Toc268186064"/>
            <w:r w:rsidRPr="00FF080B">
              <w:rPr>
                <w:b w:val="0"/>
                <w:color w:val="000000"/>
                <w:sz w:val="24"/>
                <w:szCs w:val="24"/>
                <w:u w:val="single"/>
              </w:rPr>
              <w:t>Compare</w:t>
            </w:r>
            <w:bookmarkEnd w:id="138"/>
            <w:bookmarkEnd w:id="139"/>
            <w:bookmarkEnd w:id="140"/>
            <w:bookmarkEnd w:id="141"/>
            <w:bookmarkEnd w:id="142"/>
            <w:bookmarkEnd w:id="143"/>
            <w:bookmarkEnd w:id="144"/>
            <w:bookmarkEnd w:id="145"/>
            <w:bookmarkEnd w:id="146"/>
            <w:bookmarkEnd w:id="147"/>
            <w:r w:rsidRPr="00FF080B">
              <w:rPr>
                <w:b w:val="0"/>
                <w:color w:val="000000"/>
                <w:sz w:val="24"/>
                <w:szCs w:val="24"/>
                <w:u w:val="single"/>
              </w:rPr>
              <w:t xml:space="preserve"> </w:t>
            </w:r>
          </w:p>
        </w:tc>
      </w:tr>
    </w:tbl>
    <w:p w:rsidR="00926DB2" w:rsidRDefault="00926DB2" w:rsidP="00046654">
      <w:pPr>
        <w:jc w:val="both"/>
      </w:pPr>
      <w:r>
        <w:t xml:space="preserve">     </w:t>
      </w: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r>
        <w:t xml:space="preserve"> </w:t>
      </w:r>
    </w:p>
    <w:p w:rsidR="00926DB2" w:rsidRPr="00520E09" w:rsidRDefault="00926DB2" w:rsidP="00520E09">
      <w:pPr>
        <w:rPr>
          <w:b/>
          <w:u w:val="single"/>
        </w:rPr>
      </w:pPr>
      <w:bookmarkStart w:id="148" w:name="_Toc267597463"/>
      <w:bookmarkStart w:id="149" w:name="_Toc267597556"/>
      <w:bookmarkStart w:id="150" w:name="_Toc267647481"/>
      <w:bookmarkStart w:id="151" w:name="_Toc267649100"/>
      <w:bookmarkStart w:id="152" w:name="_Toc267653552"/>
      <w:r w:rsidRPr="00520E09">
        <w:rPr>
          <w:b/>
          <w:u w:val="single"/>
        </w:rPr>
        <w:t>Table 6b. Visual overview of hypotheses 2 (2006-2009):</w:t>
      </w:r>
      <w:bookmarkEnd w:id="148"/>
      <w:bookmarkEnd w:id="149"/>
      <w:bookmarkEnd w:id="150"/>
      <w:bookmarkEnd w:id="151"/>
      <w:bookmarkEnd w:id="152"/>
    </w:p>
    <w:p w:rsidR="00926DB2" w:rsidRPr="00672173" w:rsidRDefault="00926DB2" w:rsidP="00672173">
      <w:pPr>
        <w:pStyle w:val="Kop1"/>
        <w:jc w:val="both"/>
        <w:rPr>
          <w:b w:val="0"/>
          <w:sz w:val="24"/>
          <w:szCs w:val="24"/>
          <w:u w:val="single"/>
        </w:rPr>
      </w:pPr>
    </w:p>
    <w:tbl>
      <w:tblPr>
        <w:tblpPr w:leftFromText="141" w:rightFromText="141" w:vertAnchor="text" w:horzAnchor="margin" w:tblpXSpec="center" w:tblpY="159"/>
        <w:tblW w:w="0" w:type="auto"/>
        <w:tblBorders>
          <w:top w:val="single" w:sz="8" w:space="0" w:color="000000"/>
          <w:bottom w:val="single" w:sz="8" w:space="0" w:color="000000"/>
        </w:tblBorders>
        <w:tblLook w:val="00A0"/>
      </w:tblPr>
      <w:tblGrid>
        <w:gridCol w:w="1384"/>
        <w:gridCol w:w="1657"/>
        <w:gridCol w:w="1536"/>
        <w:gridCol w:w="1474"/>
        <w:gridCol w:w="1762"/>
      </w:tblGrid>
      <w:tr w:rsidR="00926DB2" w:rsidTr="00225C16">
        <w:trPr>
          <w:trHeight w:val="1544"/>
        </w:trPr>
        <w:tc>
          <w:tcPr>
            <w:tcW w:w="1384" w:type="dxa"/>
            <w:tcBorders>
              <w:top w:val="single" w:sz="8" w:space="0" w:color="000000"/>
              <w:left w:val="nil"/>
              <w:bottom w:val="single" w:sz="8" w:space="0" w:color="000000"/>
              <w:right w:val="nil"/>
            </w:tcBorders>
          </w:tcPr>
          <w:p w:rsidR="00926DB2" w:rsidRPr="00141796" w:rsidRDefault="00926DB2" w:rsidP="00225C16">
            <w:pPr>
              <w:jc w:val="both"/>
              <w:rPr>
                <w:b/>
                <w:bCs/>
                <w:color w:val="000000"/>
              </w:rPr>
            </w:pPr>
            <w:r w:rsidRPr="00141796">
              <w:rPr>
                <w:b/>
                <w:bCs/>
                <w:color w:val="000000"/>
                <w:sz w:val="22"/>
                <w:szCs w:val="22"/>
              </w:rPr>
              <w:t>Sample:</w:t>
            </w:r>
          </w:p>
        </w:tc>
        <w:tc>
          <w:tcPr>
            <w:tcW w:w="1657" w:type="dxa"/>
            <w:tcBorders>
              <w:top w:val="single" w:sz="8" w:space="0" w:color="000000"/>
              <w:left w:val="nil"/>
              <w:bottom w:val="single" w:sz="8" w:space="0" w:color="000000"/>
              <w:right w:val="nil"/>
            </w:tcBorders>
          </w:tcPr>
          <w:p w:rsidR="00926DB2" w:rsidRDefault="00542395" w:rsidP="00225C16">
            <w:pPr>
              <w:jc w:val="both"/>
              <w:rPr>
                <w:b/>
                <w:bCs/>
                <w:color w:val="000000"/>
              </w:rPr>
            </w:pPr>
            <w:r w:rsidRPr="00542395">
              <w:rPr>
                <w:noProof/>
                <w:lang w:val="en-US" w:eastAsia="en-US" w:bidi="ar-SA"/>
              </w:rPr>
              <w:pict>
                <v:shape id="_x0000_s1034" type="#_x0000_t32" style="position:absolute;left:0;text-align:left;margin-left:58.25pt;margin-top:39.9pt;width:152.35pt;height:0;z-index:251653632;mso-position-horizontal-relative:text;mso-position-vertical-relative:text" o:connectortype="straight">
                  <v:stroke endarrow="block"/>
                </v:shape>
              </w:pict>
            </w:r>
            <w:r w:rsidR="00926DB2">
              <w:rPr>
                <w:b/>
                <w:bCs/>
                <w:color w:val="000000"/>
                <w:sz w:val="22"/>
                <w:szCs w:val="22"/>
              </w:rPr>
              <w:t>Sample</w:t>
            </w:r>
          </w:p>
          <w:p w:rsidR="00926DB2" w:rsidRPr="00141796" w:rsidRDefault="00926DB2" w:rsidP="00225C16">
            <w:pPr>
              <w:jc w:val="both"/>
              <w:rPr>
                <w:b/>
                <w:bCs/>
                <w:color w:val="000000"/>
              </w:rPr>
            </w:pPr>
            <w:r>
              <w:rPr>
                <w:b/>
                <w:bCs/>
                <w:color w:val="000000"/>
                <w:sz w:val="22"/>
                <w:szCs w:val="22"/>
              </w:rPr>
              <w:t>West-</w:t>
            </w:r>
            <w:r w:rsidRPr="00141796">
              <w:rPr>
                <w:b/>
                <w:bCs/>
                <w:color w:val="000000"/>
                <w:sz w:val="22"/>
                <w:szCs w:val="22"/>
              </w:rPr>
              <w:t>European Banks</w:t>
            </w:r>
          </w:p>
          <w:p w:rsidR="00926DB2" w:rsidRPr="00141796" w:rsidRDefault="00926DB2" w:rsidP="00225C16">
            <w:pPr>
              <w:jc w:val="both"/>
              <w:rPr>
                <w:b/>
                <w:bCs/>
                <w:color w:val="000000"/>
              </w:rPr>
            </w:pPr>
            <w:r w:rsidRPr="00141796">
              <w:rPr>
                <w:b/>
                <w:bCs/>
                <w:color w:val="000000"/>
                <w:sz w:val="22"/>
                <w:szCs w:val="22"/>
              </w:rPr>
              <w:t>(Bank scope)</w:t>
            </w:r>
          </w:p>
        </w:tc>
        <w:tc>
          <w:tcPr>
            <w:tcW w:w="1536" w:type="dxa"/>
            <w:tcBorders>
              <w:top w:val="single" w:sz="8" w:space="0" w:color="000000"/>
              <w:left w:val="nil"/>
              <w:bottom w:val="single" w:sz="8" w:space="0" w:color="000000"/>
              <w:right w:val="nil"/>
            </w:tcBorders>
          </w:tcPr>
          <w:p w:rsidR="00926DB2" w:rsidRPr="00141796" w:rsidRDefault="00926DB2" w:rsidP="00225C16">
            <w:pPr>
              <w:jc w:val="both"/>
              <w:rPr>
                <w:b/>
                <w:bCs/>
                <w:color w:val="000000"/>
              </w:rPr>
            </w:pPr>
          </w:p>
          <w:p w:rsidR="00926DB2" w:rsidRPr="00141796" w:rsidRDefault="00542395" w:rsidP="00225C16">
            <w:pPr>
              <w:jc w:val="both"/>
              <w:rPr>
                <w:b/>
                <w:bCs/>
                <w:color w:val="000000"/>
              </w:rPr>
            </w:pPr>
            <w:r w:rsidRPr="00542395">
              <w:rPr>
                <w:noProof/>
                <w:lang w:val="en-US" w:eastAsia="en-US" w:bidi="ar-SA"/>
              </w:rPr>
              <w:pict>
                <v:shape id="_x0000_s1035" type="#_x0000_t32" style="position:absolute;left:0;text-align:left;margin-left:32.1pt;margin-top:26.1pt;width:0;height:46.5pt;z-index:251654656" o:connectortype="straight">
                  <v:stroke endarrow="block"/>
                </v:shape>
              </w:pict>
            </w:r>
            <w:r w:rsidR="00926DB2" w:rsidRPr="00141796">
              <w:rPr>
                <w:b/>
                <w:bCs/>
                <w:color w:val="000000"/>
                <w:sz w:val="22"/>
                <w:szCs w:val="22"/>
              </w:rPr>
              <w:t>Measuring Conservatism</w:t>
            </w:r>
          </w:p>
        </w:tc>
        <w:tc>
          <w:tcPr>
            <w:tcW w:w="1474" w:type="dxa"/>
            <w:tcBorders>
              <w:top w:val="single" w:sz="8" w:space="0" w:color="000000"/>
              <w:left w:val="nil"/>
              <w:bottom w:val="single" w:sz="8" w:space="0" w:color="000000"/>
              <w:right w:val="nil"/>
            </w:tcBorders>
          </w:tcPr>
          <w:p w:rsidR="00926DB2" w:rsidRPr="00141796" w:rsidRDefault="00926DB2" w:rsidP="00225C16">
            <w:pPr>
              <w:jc w:val="both"/>
              <w:rPr>
                <w:b/>
                <w:bCs/>
                <w:color w:val="000000"/>
              </w:rPr>
            </w:pPr>
          </w:p>
        </w:tc>
        <w:tc>
          <w:tcPr>
            <w:tcW w:w="1762" w:type="dxa"/>
            <w:tcBorders>
              <w:top w:val="single" w:sz="8" w:space="0" w:color="000000"/>
              <w:left w:val="nil"/>
              <w:bottom w:val="single" w:sz="8" w:space="0" w:color="000000"/>
              <w:right w:val="nil"/>
            </w:tcBorders>
          </w:tcPr>
          <w:tbl>
            <w:tblPr>
              <w:tblpPr w:leftFromText="141" w:rightFromText="141" w:vertAnchor="text" w:horzAnchor="margin" w:tblpY="52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6"/>
            </w:tblGrid>
            <w:tr w:rsidR="00926DB2" w:rsidTr="00FC36E3">
              <w:trPr>
                <w:trHeight w:val="558"/>
              </w:trPr>
              <w:tc>
                <w:tcPr>
                  <w:tcW w:w="1536" w:type="dxa"/>
                  <w:tcBorders>
                    <w:top w:val="single" w:sz="4" w:space="0" w:color="auto"/>
                    <w:left w:val="single" w:sz="4" w:space="0" w:color="auto"/>
                    <w:bottom w:val="single" w:sz="4" w:space="0" w:color="auto"/>
                    <w:right w:val="single" w:sz="4" w:space="0" w:color="auto"/>
                  </w:tcBorders>
                </w:tcPr>
                <w:p w:rsidR="00926DB2" w:rsidRDefault="00926DB2" w:rsidP="00225C16">
                  <w:pPr>
                    <w:jc w:val="both"/>
                  </w:pPr>
                  <w:r>
                    <w:t>Degree of Conservatism</w:t>
                  </w:r>
                </w:p>
              </w:tc>
            </w:tr>
          </w:tbl>
          <w:p w:rsidR="00926DB2" w:rsidRPr="00141796" w:rsidRDefault="00926DB2" w:rsidP="00225C16">
            <w:pPr>
              <w:jc w:val="both"/>
              <w:rPr>
                <w:b/>
                <w:bCs/>
                <w:color w:val="000000"/>
              </w:rPr>
            </w:pPr>
          </w:p>
        </w:tc>
      </w:tr>
      <w:tr w:rsidR="00926DB2" w:rsidTr="00225C16">
        <w:trPr>
          <w:gridAfter w:val="2"/>
          <w:wAfter w:w="3236" w:type="dxa"/>
          <w:trHeight w:val="559"/>
        </w:trPr>
        <w:tc>
          <w:tcPr>
            <w:tcW w:w="1384" w:type="dxa"/>
            <w:tcBorders>
              <w:left w:val="nil"/>
              <w:right w:val="nil"/>
            </w:tcBorders>
            <w:shd w:val="clear" w:color="auto" w:fill="C0C0C0"/>
          </w:tcPr>
          <w:p w:rsidR="00926DB2" w:rsidRPr="00141796" w:rsidRDefault="00926DB2" w:rsidP="00225C16">
            <w:pPr>
              <w:jc w:val="both"/>
              <w:rPr>
                <w:b/>
                <w:bCs/>
                <w:color w:val="000000"/>
              </w:rPr>
            </w:pPr>
            <w:r w:rsidRPr="00141796">
              <w:rPr>
                <w:b/>
                <w:bCs/>
                <w:color w:val="000000"/>
                <w:sz w:val="22"/>
                <w:szCs w:val="22"/>
              </w:rPr>
              <w:t>Period:</w:t>
            </w:r>
          </w:p>
        </w:tc>
        <w:tc>
          <w:tcPr>
            <w:tcW w:w="1657" w:type="dxa"/>
            <w:tcBorders>
              <w:left w:val="nil"/>
              <w:right w:val="nil"/>
            </w:tcBorders>
            <w:shd w:val="clear" w:color="auto" w:fill="C0C0C0"/>
          </w:tcPr>
          <w:p w:rsidR="00926DB2" w:rsidRPr="00141796" w:rsidRDefault="00926DB2" w:rsidP="00225C16">
            <w:pPr>
              <w:jc w:val="both"/>
              <w:rPr>
                <w:color w:val="000000"/>
              </w:rPr>
            </w:pPr>
            <w:r>
              <w:rPr>
                <w:color w:val="000000"/>
                <w:sz w:val="22"/>
                <w:szCs w:val="22"/>
              </w:rPr>
              <w:t>2007-2009</w:t>
            </w:r>
          </w:p>
        </w:tc>
        <w:tc>
          <w:tcPr>
            <w:tcW w:w="1536" w:type="dxa"/>
            <w:tcBorders>
              <w:left w:val="nil"/>
              <w:right w:val="nil"/>
            </w:tcBorders>
            <w:shd w:val="clear" w:color="auto" w:fill="C0C0C0"/>
          </w:tcPr>
          <w:p w:rsidR="00926DB2" w:rsidRPr="00141796" w:rsidRDefault="00926DB2" w:rsidP="00225C16">
            <w:pPr>
              <w:jc w:val="both"/>
              <w:rPr>
                <w:color w:val="000000"/>
              </w:rPr>
            </w:pPr>
          </w:p>
        </w:tc>
      </w:tr>
      <w:tr w:rsidR="00926DB2" w:rsidTr="00225C16">
        <w:trPr>
          <w:gridAfter w:val="2"/>
          <w:wAfter w:w="3236" w:type="dxa"/>
          <w:trHeight w:val="553"/>
        </w:trPr>
        <w:tc>
          <w:tcPr>
            <w:tcW w:w="1384" w:type="dxa"/>
            <w:tcBorders>
              <w:bottom w:val="single" w:sz="8" w:space="0" w:color="000000"/>
            </w:tcBorders>
          </w:tcPr>
          <w:p w:rsidR="00926DB2" w:rsidRPr="00141796" w:rsidRDefault="00926DB2" w:rsidP="00225C16">
            <w:pPr>
              <w:jc w:val="both"/>
              <w:rPr>
                <w:b/>
                <w:bCs/>
                <w:color w:val="000000"/>
              </w:rPr>
            </w:pPr>
            <w:r w:rsidRPr="00141796">
              <w:rPr>
                <w:b/>
                <w:bCs/>
                <w:color w:val="000000"/>
                <w:sz w:val="22"/>
                <w:szCs w:val="22"/>
              </w:rPr>
              <w:t>Model:</w:t>
            </w:r>
          </w:p>
        </w:tc>
        <w:tc>
          <w:tcPr>
            <w:tcW w:w="1657" w:type="dxa"/>
            <w:tcBorders>
              <w:bottom w:val="single" w:sz="8" w:space="0" w:color="000000"/>
            </w:tcBorders>
          </w:tcPr>
          <w:p w:rsidR="00926DB2" w:rsidRPr="00141796" w:rsidRDefault="00926DB2" w:rsidP="00225C16">
            <w:pPr>
              <w:jc w:val="both"/>
              <w:rPr>
                <w:color w:val="000000"/>
              </w:rPr>
            </w:pPr>
          </w:p>
        </w:tc>
        <w:tc>
          <w:tcPr>
            <w:tcW w:w="1536" w:type="dxa"/>
            <w:tcBorders>
              <w:bottom w:val="single" w:sz="8" w:space="0" w:color="000000"/>
            </w:tcBorders>
          </w:tcPr>
          <w:p w:rsidR="00926DB2" w:rsidRPr="00141796" w:rsidRDefault="00926DB2" w:rsidP="00225C16">
            <w:pPr>
              <w:jc w:val="both"/>
              <w:rPr>
                <w:color w:val="000000"/>
              </w:rPr>
            </w:pPr>
            <w:r w:rsidRPr="00141796">
              <w:rPr>
                <w:color w:val="000000"/>
                <w:sz w:val="22"/>
                <w:szCs w:val="22"/>
              </w:rPr>
              <w:t xml:space="preserve">   Basu model</w:t>
            </w:r>
          </w:p>
        </w:tc>
      </w:tr>
    </w:tbl>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926DB2" w:rsidRDefault="00926DB2" w:rsidP="00046654">
      <w:pPr>
        <w:jc w:val="both"/>
      </w:pPr>
    </w:p>
    <w:p w:rsidR="00520E09" w:rsidRDefault="00520E09" w:rsidP="00520E09">
      <w:pPr>
        <w:rPr>
          <w:b/>
          <w:u w:val="single"/>
        </w:rPr>
      </w:pPr>
      <w:bookmarkStart w:id="153" w:name="_Toc267323037"/>
      <w:bookmarkStart w:id="154" w:name="_Toc267597464"/>
      <w:bookmarkStart w:id="155" w:name="_Toc267597557"/>
      <w:bookmarkStart w:id="156" w:name="_Toc267647482"/>
      <w:bookmarkStart w:id="157" w:name="_Toc267649101"/>
      <w:bookmarkStart w:id="158" w:name="_Toc267653553"/>
    </w:p>
    <w:p w:rsidR="00520E09" w:rsidRDefault="00520E09" w:rsidP="00520E09">
      <w:pPr>
        <w:rPr>
          <w:b/>
          <w:u w:val="single"/>
        </w:rPr>
      </w:pPr>
    </w:p>
    <w:p w:rsidR="00520E09" w:rsidRDefault="00520E09" w:rsidP="00520E09">
      <w:pPr>
        <w:rPr>
          <w:b/>
          <w:u w:val="single"/>
        </w:rPr>
      </w:pPr>
    </w:p>
    <w:p w:rsidR="00926DB2" w:rsidRPr="00520E09" w:rsidRDefault="00926DB2" w:rsidP="00520E09">
      <w:pPr>
        <w:rPr>
          <w:b/>
          <w:u w:val="single"/>
        </w:rPr>
      </w:pPr>
      <w:r w:rsidRPr="00520E09">
        <w:rPr>
          <w:b/>
          <w:u w:val="single"/>
        </w:rPr>
        <w:lastRenderedPageBreak/>
        <w:t>Table 7a. Visual overview of hypotheses 3 (Performance):</w:t>
      </w:r>
      <w:bookmarkEnd w:id="153"/>
      <w:bookmarkEnd w:id="154"/>
      <w:bookmarkEnd w:id="155"/>
      <w:bookmarkEnd w:id="156"/>
      <w:bookmarkEnd w:id="157"/>
      <w:bookmarkEnd w:id="158"/>
    </w:p>
    <w:p w:rsidR="00926DB2" w:rsidRDefault="00926DB2" w:rsidP="00046654">
      <w:pPr>
        <w:jc w:val="both"/>
      </w:pPr>
    </w:p>
    <w:p w:rsidR="00926DB2" w:rsidRDefault="00926DB2" w:rsidP="00046654">
      <w:pPr>
        <w:jc w:val="both"/>
      </w:pPr>
    </w:p>
    <w:tbl>
      <w:tblPr>
        <w:tblW w:w="0" w:type="auto"/>
        <w:jc w:val="center"/>
        <w:tblBorders>
          <w:top w:val="single" w:sz="8" w:space="0" w:color="000000"/>
          <w:bottom w:val="single" w:sz="8" w:space="0" w:color="000000"/>
        </w:tblBorders>
        <w:tblLook w:val="00A0"/>
      </w:tblPr>
      <w:tblGrid>
        <w:gridCol w:w="1951"/>
        <w:gridCol w:w="2126"/>
        <w:gridCol w:w="1985"/>
      </w:tblGrid>
      <w:tr w:rsidR="00926DB2" w:rsidTr="00FF080B">
        <w:trPr>
          <w:trHeight w:val="947"/>
          <w:jc w:val="center"/>
        </w:trPr>
        <w:tc>
          <w:tcPr>
            <w:tcW w:w="1951" w:type="dxa"/>
            <w:tcBorders>
              <w:top w:val="single" w:sz="8" w:space="0" w:color="000000"/>
              <w:left w:val="nil"/>
              <w:bottom w:val="single" w:sz="8" w:space="0" w:color="000000"/>
              <w:right w:val="nil"/>
            </w:tcBorders>
          </w:tcPr>
          <w:p w:rsidR="00926DB2" w:rsidRPr="00FF080B" w:rsidRDefault="00926DB2" w:rsidP="00FF080B">
            <w:pPr>
              <w:jc w:val="both"/>
              <w:rPr>
                <w:b/>
                <w:bCs/>
                <w:color w:val="000000"/>
              </w:rPr>
            </w:pPr>
            <w:r w:rsidRPr="00FF080B">
              <w:rPr>
                <w:b/>
                <w:bCs/>
                <w:color w:val="000000"/>
                <w:sz w:val="22"/>
                <w:szCs w:val="22"/>
              </w:rPr>
              <w:t>Divide banks:</w:t>
            </w:r>
          </w:p>
        </w:tc>
        <w:tc>
          <w:tcPr>
            <w:tcW w:w="2126" w:type="dxa"/>
            <w:tcBorders>
              <w:top w:val="single" w:sz="8" w:space="0" w:color="000000"/>
              <w:left w:val="nil"/>
              <w:bottom w:val="single" w:sz="8" w:space="0" w:color="000000"/>
              <w:right w:val="nil"/>
            </w:tcBorders>
          </w:tcPr>
          <w:p w:rsidR="00926DB2" w:rsidRPr="00FF080B" w:rsidRDefault="00926DB2" w:rsidP="00FF080B">
            <w:pPr>
              <w:jc w:val="both"/>
              <w:rPr>
                <w:b/>
                <w:bCs/>
                <w:color w:val="000000"/>
              </w:rPr>
            </w:pPr>
            <w:r w:rsidRPr="00FF080B">
              <w:rPr>
                <w:b/>
                <w:bCs/>
                <w:color w:val="000000"/>
                <w:sz w:val="22"/>
                <w:szCs w:val="22"/>
              </w:rPr>
              <w:t>Good performing</w:t>
            </w:r>
          </w:p>
        </w:tc>
        <w:tc>
          <w:tcPr>
            <w:tcW w:w="1985" w:type="dxa"/>
            <w:tcBorders>
              <w:top w:val="single" w:sz="8" w:space="0" w:color="000000"/>
              <w:left w:val="nil"/>
              <w:bottom w:val="single" w:sz="8" w:space="0" w:color="000000"/>
              <w:right w:val="nil"/>
            </w:tcBorders>
          </w:tcPr>
          <w:p w:rsidR="00926DB2" w:rsidRPr="00FF080B" w:rsidRDefault="00926DB2" w:rsidP="00FF080B">
            <w:pPr>
              <w:jc w:val="both"/>
              <w:rPr>
                <w:b/>
                <w:bCs/>
                <w:color w:val="000000"/>
              </w:rPr>
            </w:pPr>
            <w:r w:rsidRPr="00FF080B">
              <w:rPr>
                <w:b/>
                <w:bCs/>
                <w:color w:val="000000"/>
                <w:sz w:val="22"/>
                <w:szCs w:val="22"/>
              </w:rPr>
              <w:t>Bad performing</w:t>
            </w:r>
          </w:p>
        </w:tc>
      </w:tr>
      <w:tr w:rsidR="00926DB2" w:rsidTr="00FF080B">
        <w:trPr>
          <w:trHeight w:val="980"/>
          <w:jc w:val="center"/>
        </w:trPr>
        <w:tc>
          <w:tcPr>
            <w:tcW w:w="1951" w:type="dxa"/>
            <w:tcBorders>
              <w:left w:val="nil"/>
              <w:right w:val="nil"/>
            </w:tcBorders>
            <w:shd w:val="clear" w:color="auto" w:fill="C0C0C0"/>
          </w:tcPr>
          <w:p w:rsidR="00926DB2" w:rsidRPr="00FF080B" w:rsidRDefault="00926DB2" w:rsidP="00FF080B">
            <w:pPr>
              <w:jc w:val="both"/>
              <w:rPr>
                <w:b/>
                <w:bCs/>
                <w:color w:val="000000"/>
              </w:rPr>
            </w:pPr>
            <w:r w:rsidRPr="00FF080B">
              <w:rPr>
                <w:b/>
                <w:bCs/>
                <w:color w:val="000000"/>
                <w:sz w:val="22"/>
                <w:szCs w:val="22"/>
              </w:rPr>
              <w:t>Measure:</w:t>
            </w:r>
          </w:p>
        </w:tc>
        <w:tc>
          <w:tcPr>
            <w:tcW w:w="2126" w:type="dxa"/>
            <w:tcBorders>
              <w:left w:val="nil"/>
              <w:right w:val="nil"/>
            </w:tcBorders>
            <w:shd w:val="clear" w:color="auto" w:fill="C0C0C0"/>
          </w:tcPr>
          <w:p w:rsidR="00926DB2" w:rsidRPr="00FF080B" w:rsidRDefault="00926DB2" w:rsidP="00FF080B">
            <w:pPr>
              <w:jc w:val="both"/>
              <w:rPr>
                <w:color w:val="000000"/>
              </w:rPr>
            </w:pPr>
            <w:r w:rsidRPr="00FF080B">
              <w:rPr>
                <w:color w:val="000000"/>
                <w:sz w:val="22"/>
                <w:szCs w:val="22"/>
              </w:rPr>
              <w:t>ROA/ROE</w:t>
            </w:r>
          </w:p>
        </w:tc>
        <w:tc>
          <w:tcPr>
            <w:tcW w:w="1985" w:type="dxa"/>
            <w:tcBorders>
              <w:left w:val="nil"/>
              <w:right w:val="nil"/>
            </w:tcBorders>
            <w:shd w:val="clear" w:color="auto" w:fill="C0C0C0"/>
          </w:tcPr>
          <w:p w:rsidR="00926DB2" w:rsidRPr="00FF080B" w:rsidRDefault="00926DB2" w:rsidP="00FF080B">
            <w:pPr>
              <w:jc w:val="both"/>
              <w:rPr>
                <w:color w:val="000000"/>
              </w:rPr>
            </w:pPr>
            <w:r w:rsidRPr="00FF080B">
              <w:rPr>
                <w:color w:val="000000"/>
                <w:sz w:val="22"/>
                <w:szCs w:val="22"/>
              </w:rPr>
              <w:t>ROA/ROE</w:t>
            </w:r>
          </w:p>
        </w:tc>
      </w:tr>
      <w:tr w:rsidR="00926DB2" w:rsidTr="00FF080B">
        <w:trPr>
          <w:trHeight w:val="1072"/>
          <w:jc w:val="center"/>
        </w:trPr>
        <w:tc>
          <w:tcPr>
            <w:tcW w:w="1951" w:type="dxa"/>
            <w:tcBorders>
              <w:bottom w:val="single" w:sz="8" w:space="0" w:color="000000"/>
            </w:tcBorders>
          </w:tcPr>
          <w:p w:rsidR="00926DB2" w:rsidRPr="00FF080B" w:rsidRDefault="00926DB2" w:rsidP="00FF080B">
            <w:pPr>
              <w:jc w:val="both"/>
              <w:rPr>
                <w:b/>
                <w:bCs/>
                <w:color w:val="000000"/>
              </w:rPr>
            </w:pPr>
            <w:r w:rsidRPr="00FF080B">
              <w:rPr>
                <w:b/>
                <w:bCs/>
                <w:color w:val="000000"/>
                <w:sz w:val="22"/>
                <w:szCs w:val="22"/>
              </w:rPr>
              <w:t>Period:</w:t>
            </w:r>
          </w:p>
        </w:tc>
        <w:tc>
          <w:tcPr>
            <w:tcW w:w="2126" w:type="dxa"/>
            <w:tcBorders>
              <w:bottom w:val="single" w:sz="8" w:space="0" w:color="000000"/>
            </w:tcBorders>
          </w:tcPr>
          <w:p w:rsidR="00926DB2" w:rsidRPr="00FF080B" w:rsidRDefault="00926DB2" w:rsidP="00FF080B">
            <w:pPr>
              <w:jc w:val="both"/>
              <w:rPr>
                <w:color w:val="000000"/>
              </w:rPr>
            </w:pPr>
            <w:r w:rsidRPr="00FF080B">
              <w:rPr>
                <w:color w:val="000000"/>
                <w:sz w:val="22"/>
                <w:szCs w:val="22"/>
              </w:rPr>
              <w:t>2007-2009</w:t>
            </w:r>
          </w:p>
        </w:tc>
        <w:tc>
          <w:tcPr>
            <w:tcW w:w="1985" w:type="dxa"/>
            <w:tcBorders>
              <w:bottom w:val="single" w:sz="8" w:space="0" w:color="000000"/>
            </w:tcBorders>
          </w:tcPr>
          <w:p w:rsidR="00926DB2" w:rsidRPr="00FF080B" w:rsidRDefault="00926DB2" w:rsidP="00FF080B">
            <w:pPr>
              <w:jc w:val="both"/>
              <w:rPr>
                <w:color w:val="000000"/>
              </w:rPr>
            </w:pPr>
            <w:r w:rsidRPr="00FF080B">
              <w:rPr>
                <w:color w:val="000000"/>
                <w:sz w:val="22"/>
                <w:szCs w:val="22"/>
              </w:rPr>
              <w:t>2007-2009</w:t>
            </w:r>
          </w:p>
        </w:tc>
      </w:tr>
    </w:tbl>
    <w:p w:rsidR="00926DB2" w:rsidRPr="0036340E" w:rsidRDefault="00926DB2" w:rsidP="00046654">
      <w:pPr>
        <w:jc w:val="both"/>
      </w:pPr>
    </w:p>
    <w:p w:rsidR="00926DB2" w:rsidRPr="00520E09" w:rsidRDefault="00926DB2" w:rsidP="00520E09">
      <w:pPr>
        <w:rPr>
          <w:b/>
          <w:u w:val="single"/>
        </w:rPr>
      </w:pPr>
      <w:bookmarkStart w:id="159" w:name="_Toc267597465"/>
      <w:bookmarkStart w:id="160" w:name="_Toc267597558"/>
      <w:bookmarkStart w:id="161" w:name="_Toc267647483"/>
      <w:bookmarkStart w:id="162" w:name="_Toc267649102"/>
      <w:bookmarkStart w:id="163" w:name="_Toc267653554"/>
      <w:r w:rsidRPr="00520E09">
        <w:rPr>
          <w:b/>
          <w:u w:val="single"/>
        </w:rPr>
        <w:t>Table 7b. Visual overview of hypotheses 3 (Good banks):</w:t>
      </w:r>
      <w:bookmarkEnd w:id="159"/>
      <w:bookmarkEnd w:id="160"/>
      <w:bookmarkEnd w:id="161"/>
      <w:bookmarkEnd w:id="162"/>
      <w:bookmarkEnd w:id="163"/>
    </w:p>
    <w:tbl>
      <w:tblPr>
        <w:tblpPr w:leftFromText="141" w:rightFromText="141" w:vertAnchor="text" w:horzAnchor="margin" w:tblpXSpec="center" w:tblpY="364"/>
        <w:tblW w:w="0" w:type="auto"/>
        <w:tblBorders>
          <w:top w:val="single" w:sz="8" w:space="0" w:color="000000"/>
          <w:left w:val="single" w:sz="8" w:space="0" w:color="000000"/>
          <w:bottom w:val="single" w:sz="8" w:space="0" w:color="000000"/>
          <w:right w:val="single" w:sz="8" w:space="0" w:color="000000"/>
        </w:tblBorders>
        <w:tblLook w:val="00A0"/>
      </w:tblPr>
      <w:tblGrid>
        <w:gridCol w:w="1384"/>
        <w:gridCol w:w="1657"/>
        <w:gridCol w:w="1601"/>
        <w:gridCol w:w="1474"/>
        <w:gridCol w:w="1762"/>
      </w:tblGrid>
      <w:tr w:rsidR="00926DB2" w:rsidTr="00FF080B">
        <w:trPr>
          <w:trHeight w:val="1544"/>
        </w:trPr>
        <w:tc>
          <w:tcPr>
            <w:tcW w:w="1384" w:type="dxa"/>
            <w:tcBorders>
              <w:top w:val="nil"/>
              <w:left w:val="nil"/>
              <w:bottom w:val="single" w:sz="24" w:space="0" w:color="000000"/>
              <w:right w:val="nil"/>
            </w:tcBorders>
            <w:shd w:val="clear" w:color="auto" w:fill="FFFFFF"/>
          </w:tcPr>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Sample:</w:t>
            </w:r>
          </w:p>
        </w:tc>
        <w:tc>
          <w:tcPr>
            <w:tcW w:w="1657" w:type="dxa"/>
            <w:tcBorders>
              <w:top w:val="nil"/>
              <w:left w:val="nil"/>
              <w:bottom w:val="single" w:sz="24" w:space="0" w:color="000000"/>
              <w:right w:val="nil"/>
            </w:tcBorders>
            <w:shd w:val="clear" w:color="auto" w:fill="FFFFFF"/>
          </w:tcPr>
          <w:p w:rsidR="00926DB2" w:rsidRPr="00FF080B" w:rsidRDefault="00542395" w:rsidP="00FF080B">
            <w:pPr>
              <w:jc w:val="both"/>
              <w:rPr>
                <w:rFonts w:ascii="Cambria" w:hAnsi="Cambria"/>
                <w:b/>
                <w:bCs/>
                <w:color w:val="000000"/>
              </w:rPr>
            </w:pPr>
            <w:r w:rsidRPr="00542395">
              <w:rPr>
                <w:noProof/>
                <w:lang w:val="en-US" w:eastAsia="en-US" w:bidi="ar-SA"/>
              </w:rPr>
              <w:pict>
                <v:shape id="_x0000_s1036" type="#_x0000_t32" style="position:absolute;left:0;text-align:left;margin-left:58.25pt;margin-top:39.9pt;width:152.35pt;height:0;z-index:251661824;mso-position-horizontal-relative:text;mso-position-vertical-relative:text" o:connectortype="straight">
                  <v:stroke endarrow="block"/>
                </v:shape>
              </w:pict>
            </w:r>
            <w:r w:rsidR="00926DB2" w:rsidRPr="00FF080B">
              <w:rPr>
                <w:rFonts w:ascii="Cambria" w:hAnsi="Cambria"/>
                <w:b/>
                <w:bCs/>
                <w:color w:val="000000"/>
                <w:sz w:val="22"/>
                <w:szCs w:val="22"/>
              </w:rPr>
              <w:t>Sample</w:t>
            </w:r>
          </w:p>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West-European Banks</w:t>
            </w:r>
          </w:p>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(Bank scope)</w:t>
            </w:r>
          </w:p>
        </w:tc>
        <w:tc>
          <w:tcPr>
            <w:tcW w:w="1536" w:type="dxa"/>
            <w:tcBorders>
              <w:top w:val="nil"/>
              <w:left w:val="nil"/>
              <w:bottom w:val="single" w:sz="24" w:space="0" w:color="000000"/>
              <w:right w:val="nil"/>
            </w:tcBorders>
            <w:shd w:val="clear" w:color="auto" w:fill="FFFFFF"/>
          </w:tcPr>
          <w:p w:rsidR="00926DB2" w:rsidRPr="00FF080B" w:rsidRDefault="00926DB2" w:rsidP="00FF080B">
            <w:pPr>
              <w:jc w:val="both"/>
              <w:rPr>
                <w:rFonts w:ascii="Cambria" w:hAnsi="Cambria"/>
                <w:b/>
                <w:bCs/>
                <w:color w:val="000000"/>
              </w:rPr>
            </w:pPr>
          </w:p>
          <w:p w:rsidR="00926DB2" w:rsidRPr="00FF080B" w:rsidRDefault="00542395" w:rsidP="00FF080B">
            <w:pPr>
              <w:jc w:val="both"/>
              <w:rPr>
                <w:rFonts w:ascii="Cambria" w:hAnsi="Cambria"/>
                <w:b/>
                <w:bCs/>
                <w:color w:val="000000"/>
              </w:rPr>
            </w:pPr>
            <w:r w:rsidRPr="00542395">
              <w:rPr>
                <w:noProof/>
                <w:lang w:val="en-US" w:eastAsia="en-US" w:bidi="ar-SA"/>
              </w:rPr>
              <w:pict>
                <v:shape id="_x0000_s1037" type="#_x0000_t32" style="position:absolute;left:0;text-align:left;margin-left:32.1pt;margin-top:26.1pt;width:0;height:78.3pt;z-index:251662848" o:connectortype="straight">
                  <v:stroke endarrow="block"/>
                </v:shape>
              </w:pict>
            </w:r>
            <w:r w:rsidR="00926DB2" w:rsidRPr="00FF080B">
              <w:rPr>
                <w:rFonts w:ascii="Cambria" w:hAnsi="Cambria"/>
                <w:b/>
                <w:bCs/>
                <w:color w:val="000000"/>
                <w:sz w:val="22"/>
                <w:szCs w:val="22"/>
              </w:rPr>
              <w:t>Measuring Conservatism</w:t>
            </w:r>
          </w:p>
        </w:tc>
        <w:tc>
          <w:tcPr>
            <w:tcW w:w="1474" w:type="dxa"/>
            <w:tcBorders>
              <w:top w:val="nil"/>
              <w:left w:val="nil"/>
              <w:bottom w:val="single" w:sz="24" w:space="0" w:color="000000"/>
              <w:right w:val="nil"/>
            </w:tcBorders>
            <w:shd w:val="clear" w:color="auto" w:fill="FFFFFF"/>
          </w:tcPr>
          <w:p w:rsidR="00926DB2" w:rsidRPr="00FF080B" w:rsidRDefault="00926DB2" w:rsidP="00FF080B">
            <w:pPr>
              <w:jc w:val="both"/>
              <w:rPr>
                <w:rFonts w:ascii="Cambria" w:hAnsi="Cambria"/>
                <w:b/>
                <w:bCs/>
                <w:color w:val="000000"/>
              </w:rPr>
            </w:pPr>
          </w:p>
        </w:tc>
        <w:tc>
          <w:tcPr>
            <w:tcW w:w="1762" w:type="dxa"/>
            <w:tcBorders>
              <w:top w:val="nil"/>
              <w:left w:val="nil"/>
              <w:bottom w:val="single" w:sz="24" w:space="0" w:color="000000"/>
              <w:right w:val="nil"/>
            </w:tcBorders>
            <w:shd w:val="clear" w:color="auto" w:fill="FFFFFF"/>
          </w:tcPr>
          <w:tbl>
            <w:tblPr>
              <w:tblpPr w:leftFromText="141" w:rightFromText="141" w:vertAnchor="text" w:horzAnchor="margin" w:tblpY="52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6"/>
            </w:tblGrid>
            <w:tr w:rsidR="00926DB2" w:rsidTr="00FC36E3">
              <w:trPr>
                <w:trHeight w:val="558"/>
              </w:trPr>
              <w:tc>
                <w:tcPr>
                  <w:tcW w:w="1536" w:type="dxa"/>
                  <w:tcBorders>
                    <w:top w:val="single" w:sz="4" w:space="0" w:color="auto"/>
                    <w:left w:val="single" w:sz="4" w:space="0" w:color="auto"/>
                    <w:bottom w:val="single" w:sz="4" w:space="0" w:color="auto"/>
                    <w:right w:val="single" w:sz="4" w:space="0" w:color="auto"/>
                  </w:tcBorders>
                </w:tcPr>
                <w:p w:rsidR="00926DB2" w:rsidRDefault="00926DB2" w:rsidP="00FC36E3">
                  <w:pPr>
                    <w:jc w:val="both"/>
                  </w:pPr>
                  <w:r>
                    <w:t>Degree of Conservatism</w:t>
                  </w:r>
                </w:p>
              </w:tc>
            </w:tr>
          </w:tbl>
          <w:p w:rsidR="00926DB2" w:rsidRPr="00FF080B" w:rsidRDefault="00926DB2" w:rsidP="00FF080B">
            <w:pPr>
              <w:jc w:val="both"/>
              <w:rPr>
                <w:rFonts w:ascii="Cambria" w:hAnsi="Cambria"/>
                <w:b/>
                <w:bCs/>
                <w:color w:val="000000"/>
              </w:rPr>
            </w:pPr>
          </w:p>
        </w:tc>
      </w:tr>
      <w:tr w:rsidR="00926DB2" w:rsidTr="00FF080B">
        <w:trPr>
          <w:gridAfter w:val="2"/>
          <w:wAfter w:w="3236" w:type="dxa"/>
          <w:trHeight w:val="559"/>
        </w:trPr>
        <w:tc>
          <w:tcPr>
            <w:tcW w:w="1384" w:type="dxa"/>
            <w:tcBorders>
              <w:top w:val="nil"/>
              <w:left w:val="nil"/>
              <w:bottom w:val="nil"/>
              <w:right w:val="single" w:sz="8" w:space="0" w:color="000000"/>
            </w:tcBorders>
            <w:shd w:val="clear" w:color="auto" w:fill="FFFFFF"/>
          </w:tcPr>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Type:</w:t>
            </w:r>
          </w:p>
        </w:tc>
        <w:tc>
          <w:tcPr>
            <w:tcW w:w="1657" w:type="dxa"/>
            <w:tcBorders>
              <w:top w:val="nil"/>
              <w:left w:val="nil"/>
              <w:bottom w:val="nil"/>
              <w:right w:val="nil"/>
            </w:tcBorders>
            <w:shd w:val="clear" w:color="auto" w:fill="C0C0C0"/>
          </w:tcPr>
          <w:p w:rsidR="00926DB2" w:rsidRPr="00FF080B" w:rsidRDefault="00926DB2" w:rsidP="00FF080B">
            <w:pPr>
              <w:jc w:val="both"/>
              <w:rPr>
                <w:rFonts w:ascii="Cambria" w:hAnsi="Cambria"/>
                <w:color w:val="000000"/>
              </w:rPr>
            </w:pPr>
            <w:r w:rsidRPr="00FF080B">
              <w:rPr>
                <w:rFonts w:ascii="Cambria" w:hAnsi="Cambria"/>
                <w:color w:val="000000"/>
                <w:sz w:val="22"/>
                <w:szCs w:val="22"/>
              </w:rPr>
              <w:t>Good performing</w:t>
            </w:r>
          </w:p>
        </w:tc>
        <w:tc>
          <w:tcPr>
            <w:tcW w:w="1536" w:type="dxa"/>
            <w:tcBorders>
              <w:top w:val="nil"/>
              <w:left w:val="nil"/>
              <w:bottom w:val="nil"/>
            </w:tcBorders>
            <w:shd w:val="clear" w:color="auto" w:fill="C0C0C0"/>
          </w:tcPr>
          <w:p w:rsidR="00926DB2" w:rsidRPr="00FF080B" w:rsidRDefault="00542395" w:rsidP="00FF080B">
            <w:pPr>
              <w:jc w:val="both"/>
              <w:rPr>
                <w:rFonts w:ascii="Cambria" w:hAnsi="Cambria"/>
                <w:color w:val="000000"/>
              </w:rPr>
            </w:pPr>
            <w:r w:rsidRPr="00542395">
              <w:rPr>
                <w:noProof/>
                <w:lang w:val="en-US" w:eastAsia="en-US" w:bidi="ar-SA"/>
              </w:rPr>
              <w:pict>
                <v:shape id="_x0000_s1038" type="#_x0000_t32" style="position:absolute;left:0;text-align:left;margin-left:237.65pt;margin-top:27.3pt;width:0;height:99pt;flip:y;z-index:-251652608;mso-position-horizontal-relative:text;mso-position-vertical-relative:text" o:connectortype="straight">
                  <v:stroke startarrow="block" endarrow="block"/>
                </v:shape>
              </w:pict>
            </w:r>
          </w:p>
        </w:tc>
      </w:tr>
      <w:tr w:rsidR="00926DB2" w:rsidTr="00FF080B">
        <w:trPr>
          <w:gridAfter w:val="2"/>
          <w:wAfter w:w="3236" w:type="dxa"/>
          <w:trHeight w:val="559"/>
        </w:trPr>
        <w:tc>
          <w:tcPr>
            <w:tcW w:w="1384" w:type="dxa"/>
            <w:tcBorders>
              <w:left w:val="nil"/>
              <w:bottom w:val="nil"/>
              <w:right w:val="single" w:sz="8" w:space="0" w:color="000000"/>
            </w:tcBorders>
            <w:shd w:val="clear" w:color="auto" w:fill="FFFFFF"/>
          </w:tcPr>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Period:</w:t>
            </w:r>
          </w:p>
        </w:tc>
        <w:tc>
          <w:tcPr>
            <w:tcW w:w="1657" w:type="dxa"/>
            <w:tcBorders>
              <w:bottom w:val="nil"/>
            </w:tcBorders>
            <w:shd w:val="clear" w:color="auto" w:fill="C0C0C0"/>
          </w:tcPr>
          <w:p w:rsidR="00926DB2" w:rsidRPr="00FF080B" w:rsidRDefault="00926DB2" w:rsidP="00FF080B">
            <w:pPr>
              <w:jc w:val="both"/>
              <w:rPr>
                <w:rFonts w:ascii="Cambria" w:hAnsi="Cambria"/>
                <w:color w:val="000000"/>
              </w:rPr>
            </w:pPr>
            <w:r w:rsidRPr="00FF080B">
              <w:rPr>
                <w:rFonts w:ascii="Cambria" w:hAnsi="Cambria"/>
                <w:color w:val="000000"/>
                <w:sz w:val="22"/>
                <w:szCs w:val="22"/>
              </w:rPr>
              <w:t>1997-2006</w:t>
            </w:r>
          </w:p>
        </w:tc>
        <w:tc>
          <w:tcPr>
            <w:tcW w:w="1536" w:type="dxa"/>
          </w:tcPr>
          <w:p w:rsidR="00926DB2" w:rsidRPr="00FF080B" w:rsidRDefault="00926DB2" w:rsidP="00FF080B">
            <w:pPr>
              <w:jc w:val="both"/>
              <w:rPr>
                <w:rFonts w:ascii="Cambria" w:hAnsi="Cambria"/>
                <w:color w:val="000000"/>
              </w:rPr>
            </w:pPr>
          </w:p>
        </w:tc>
      </w:tr>
      <w:tr w:rsidR="00926DB2" w:rsidTr="00FF080B">
        <w:trPr>
          <w:gridAfter w:val="2"/>
          <w:wAfter w:w="3236" w:type="dxa"/>
          <w:trHeight w:val="553"/>
        </w:trPr>
        <w:tc>
          <w:tcPr>
            <w:tcW w:w="1384" w:type="dxa"/>
            <w:tcBorders>
              <w:top w:val="nil"/>
              <w:left w:val="nil"/>
              <w:bottom w:val="nil"/>
              <w:right w:val="single" w:sz="8" w:space="0" w:color="000000"/>
            </w:tcBorders>
            <w:shd w:val="clear" w:color="auto" w:fill="FFFFFF"/>
          </w:tcPr>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Model:</w:t>
            </w:r>
          </w:p>
        </w:tc>
        <w:tc>
          <w:tcPr>
            <w:tcW w:w="1657" w:type="dxa"/>
            <w:tcBorders>
              <w:top w:val="nil"/>
              <w:left w:val="nil"/>
              <w:bottom w:val="nil"/>
              <w:right w:val="nil"/>
            </w:tcBorders>
            <w:shd w:val="clear" w:color="auto" w:fill="C0C0C0"/>
          </w:tcPr>
          <w:p w:rsidR="00926DB2" w:rsidRPr="00FF080B" w:rsidRDefault="00926DB2" w:rsidP="00FF080B">
            <w:pPr>
              <w:jc w:val="both"/>
              <w:rPr>
                <w:rFonts w:ascii="Cambria" w:hAnsi="Cambria"/>
                <w:color w:val="000000"/>
              </w:rPr>
            </w:pPr>
          </w:p>
        </w:tc>
        <w:tc>
          <w:tcPr>
            <w:tcW w:w="1536" w:type="dxa"/>
            <w:tcBorders>
              <w:top w:val="nil"/>
              <w:left w:val="nil"/>
              <w:bottom w:val="nil"/>
            </w:tcBorders>
            <w:shd w:val="clear" w:color="auto" w:fill="C0C0C0"/>
          </w:tcPr>
          <w:p w:rsidR="00926DB2" w:rsidRPr="00FF080B" w:rsidRDefault="00926DB2" w:rsidP="00FF080B">
            <w:pPr>
              <w:jc w:val="both"/>
              <w:rPr>
                <w:rFonts w:ascii="Cambria" w:hAnsi="Cambria"/>
                <w:color w:val="000000"/>
              </w:rPr>
            </w:pPr>
            <w:r w:rsidRPr="00FF080B">
              <w:rPr>
                <w:rFonts w:ascii="Cambria" w:hAnsi="Cambria"/>
                <w:color w:val="000000"/>
                <w:sz w:val="22"/>
                <w:szCs w:val="22"/>
              </w:rPr>
              <w:t xml:space="preserve">   Basu model</w:t>
            </w:r>
          </w:p>
        </w:tc>
      </w:tr>
    </w:tbl>
    <w:tbl>
      <w:tblPr>
        <w:tblpPr w:leftFromText="141" w:rightFromText="141" w:vertAnchor="text" w:horzAnchor="page" w:tblpX="8278" w:tblpY="3040"/>
        <w:tblW w:w="0" w:type="auto"/>
        <w:tblBorders>
          <w:top w:val="single" w:sz="8" w:space="0" w:color="000000"/>
          <w:bottom w:val="single" w:sz="8" w:space="0" w:color="000000"/>
        </w:tblBorders>
        <w:tblLook w:val="00A0"/>
      </w:tblPr>
      <w:tblGrid>
        <w:gridCol w:w="1242"/>
      </w:tblGrid>
      <w:tr w:rsidR="00926DB2" w:rsidTr="00FF080B">
        <w:trPr>
          <w:trHeight w:val="1011"/>
        </w:trPr>
        <w:tc>
          <w:tcPr>
            <w:tcW w:w="1242" w:type="dxa"/>
            <w:tcBorders>
              <w:top w:val="single" w:sz="8" w:space="0" w:color="000000"/>
              <w:left w:val="nil"/>
              <w:bottom w:val="single" w:sz="8" w:space="0" w:color="000000"/>
              <w:right w:val="nil"/>
            </w:tcBorders>
          </w:tcPr>
          <w:p w:rsidR="00926DB2" w:rsidRPr="00FF080B" w:rsidRDefault="00926DB2" w:rsidP="00FF080B">
            <w:pPr>
              <w:pStyle w:val="Kop1"/>
              <w:jc w:val="both"/>
              <w:rPr>
                <w:b w:val="0"/>
                <w:color w:val="000000"/>
                <w:sz w:val="24"/>
                <w:szCs w:val="24"/>
                <w:u w:val="single"/>
              </w:rPr>
            </w:pPr>
            <w:bookmarkStart w:id="164" w:name="_Toc267597466"/>
            <w:bookmarkStart w:id="165" w:name="_Toc267597559"/>
            <w:bookmarkStart w:id="166" w:name="_Toc267647484"/>
            <w:bookmarkStart w:id="167" w:name="_Toc267649103"/>
            <w:bookmarkStart w:id="168" w:name="_Toc267653555"/>
            <w:bookmarkStart w:id="169" w:name="_Toc267666837"/>
            <w:bookmarkStart w:id="170" w:name="_Toc267666996"/>
            <w:bookmarkStart w:id="171" w:name="_Toc267979243"/>
            <w:bookmarkStart w:id="172" w:name="_Toc267979323"/>
            <w:bookmarkStart w:id="173" w:name="_Toc268186065"/>
            <w:r w:rsidRPr="00FF080B">
              <w:rPr>
                <w:b w:val="0"/>
                <w:color w:val="000000"/>
                <w:sz w:val="24"/>
                <w:szCs w:val="24"/>
                <w:u w:val="single"/>
              </w:rPr>
              <w:t>Compare</w:t>
            </w:r>
            <w:bookmarkEnd w:id="164"/>
            <w:bookmarkEnd w:id="165"/>
            <w:bookmarkEnd w:id="166"/>
            <w:bookmarkEnd w:id="167"/>
            <w:bookmarkEnd w:id="168"/>
            <w:bookmarkEnd w:id="169"/>
            <w:bookmarkEnd w:id="170"/>
            <w:bookmarkEnd w:id="171"/>
            <w:bookmarkEnd w:id="172"/>
            <w:bookmarkEnd w:id="173"/>
            <w:r w:rsidRPr="00FF080B">
              <w:rPr>
                <w:b w:val="0"/>
                <w:color w:val="000000"/>
                <w:sz w:val="24"/>
                <w:szCs w:val="24"/>
                <w:u w:val="single"/>
              </w:rPr>
              <w:t xml:space="preserve"> </w:t>
            </w:r>
          </w:p>
        </w:tc>
      </w:tr>
    </w:tbl>
    <w:p w:rsidR="00926DB2" w:rsidRDefault="00926DB2" w:rsidP="00046654">
      <w:pPr>
        <w:jc w:val="both"/>
      </w:pPr>
    </w:p>
    <w:p w:rsidR="00926DB2" w:rsidRPr="001B1B12" w:rsidRDefault="00926DB2" w:rsidP="00046654">
      <w:pPr>
        <w:tabs>
          <w:tab w:val="left" w:pos="3795"/>
        </w:tabs>
        <w:jc w:val="both"/>
        <w:rPr>
          <w:lang w:val="en-US"/>
        </w:rPr>
      </w:pPr>
      <w:r w:rsidRPr="001B1B12">
        <w:rPr>
          <w:lang w:val="en-US"/>
        </w:rPr>
        <w:tab/>
        <w:t xml:space="preserve"> </w:t>
      </w:r>
    </w:p>
    <w:p w:rsidR="00926DB2" w:rsidRDefault="00926DB2" w:rsidP="00046654">
      <w:pPr>
        <w:tabs>
          <w:tab w:val="left" w:pos="3795"/>
        </w:tabs>
        <w:jc w:val="both"/>
        <w:rPr>
          <w:b/>
          <w:sz w:val="52"/>
          <w:szCs w:val="52"/>
        </w:rPr>
      </w:pPr>
    </w:p>
    <w:p w:rsidR="00926DB2" w:rsidRDefault="00926DB2" w:rsidP="00046654">
      <w:pPr>
        <w:tabs>
          <w:tab w:val="left" w:pos="3795"/>
        </w:tabs>
        <w:jc w:val="both"/>
        <w:rPr>
          <w:b/>
          <w:sz w:val="52"/>
          <w:szCs w:val="52"/>
        </w:rPr>
      </w:pPr>
    </w:p>
    <w:p w:rsidR="00926DB2" w:rsidRPr="00907C0F" w:rsidRDefault="00926DB2" w:rsidP="00046654">
      <w:pPr>
        <w:tabs>
          <w:tab w:val="left" w:pos="3075"/>
        </w:tabs>
        <w:jc w:val="both"/>
        <w:rPr>
          <w:b/>
        </w:rPr>
      </w:pPr>
      <w:r>
        <w:rPr>
          <w:b/>
          <w:sz w:val="52"/>
          <w:szCs w:val="52"/>
        </w:rPr>
        <w:tab/>
      </w:r>
    </w:p>
    <w:p w:rsidR="00926DB2" w:rsidRPr="00907C0F" w:rsidRDefault="00926DB2" w:rsidP="00046654">
      <w:pPr>
        <w:tabs>
          <w:tab w:val="left" w:pos="6030"/>
        </w:tabs>
        <w:jc w:val="both"/>
        <w:rPr>
          <w:b/>
        </w:rPr>
      </w:pPr>
      <w:r>
        <w:rPr>
          <w:b/>
        </w:rPr>
        <w:tab/>
      </w:r>
    </w:p>
    <w:p w:rsidR="00926DB2" w:rsidRDefault="00926DB2" w:rsidP="00046654">
      <w:pPr>
        <w:tabs>
          <w:tab w:val="left" w:pos="2025"/>
          <w:tab w:val="left" w:pos="6630"/>
          <w:tab w:val="left" w:pos="7950"/>
        </w:tabs>
        <w:jc w:val="both"/>
        <w:rPr>
          <w:b/>
          <w:sz w:val="52"/>
          <w:szCs w:val="52"/>
        </w:rPr>
      </w:pPr>
      <w:r>
        <w:rPr>
          <w:b/>
          <w:sz w:val="52"/>
          <w:szCs w:val="52"/>
        </w:rPr>
        <w:tab/>
      </w:r>
      <w:r>
        <w:rPr>
          <w:b/>
          <w:sz w:val="52"/>
          <w:szCs w:val="52"/>
        </w:rPr>
        <w:tab/>
      </w:r>
      <w:r>
        <w:rPr>
          <w:b/>
          <w:sz w:val="52"/>
          <w:szCs w:val="52"/>
        </w:rPr>
        <w:tab/>
      </w:r>
    </w:p>
    <w:p w:rsidR="00926DB2" w:rsidRPr="006321E1" w:rsidRDefault="00926DB2" w:rsidP="00046654">
      <w:pPr>
        <w:tabs>
          <w:tab w:val="left" w:pos="3060"/>
        </w:tabs>
        <w:jc w:val="both"/>
        <w:rPr>
          <w:b/>
        </w:rPr>
      </w:pPr>
      <w:r>
        <w:rPr>
          <w:b/>
          <w:sz w:val="52"/>
          <w:szCs w:val="52"/>
        </w:rPr>
        <w:tab/>
      </w:r>
    </w:p>
    <w:p w:rsidR="00926DB2" w:rsidRPr="00FC36E3" w:rsidRDefault="00926DB2" w:rsidP="00046654">
      <w:pPr>
        <w:tabs>
          <w:tab w:val="left" w:pos="2145"/>
        </w:tabs>
        <w:jc w:val="both"/>
        <w:rPr>
          <w:b/>
        </w:rPr>
      </w:pPr>
      <w:r>
        <w:rPr>
          <w:b/>
          <w:sz w:val="52"/>
          <w:szCs w:val="52"/>
        </w:rPr>
        <w:tab/>
      </w:r>
    </w:p>
    <w:p w:rsidR="00BC6A79" w:rsidRDefault="00BC6A79" w:rsidP="00520E09">
      <w:pPr>
        <w:rPr>
          <w:b/>
          <w:u w:val="single"/>
        </w:rPr>
      </w:pPr>
      <w:bookmarkStart w:id="174" w:name="_Toc267597467"/>
      <w:bookmarkStart w:id="175" w:name="_Toc267597560"/>
      <w:bookmarkStart w:id="176" w:name="_Toc267647485"/>
      <w:bookmarkStart w:id="177" w:name="_Toc267649104"/>
      <w:bookmarkStart w:id="178" w:name="_Toc267653556"/>
    </w:p>
    <w:p w:rsidR="00BC6A79" w:rsidRDefault="00BC6A79" w:rsidP="00520E09">
      <w:pPr>
        <w:rPr>
          <w:b/>
          <w:u w:val="single"/>
        </w:rPr>
      </w:pPr>
    </w:p>
    <w:p w:rsidR="00926DB2" w:rsidRPr="00520E09" w:rsidRDefault="00926DB2" w:rsidP="00520E09">
      <w:pPr>
        <w:rPr>
          <w:b/>
          <w:u w:val="single"/>
        </w:rPr>
      </w:pPr>
      <w:r w:rsidRPr="00520E09">
        <w:rPr>
          <w:b/>
          <w:u w:val="single"/>
        </w:rPr>
        <w:t>Table 7c. Visual overview of hypotheses 3 (Bad banks):</w:t>
      </w:r>
      <w:bookmarkEnd w:id="174"/>
      <w:bookmarkEnd w:id="175"/>
      <w:bookmarkEnd w:id="176"/>
      <w:bookmarkEnd w:id="177"/>
      <w:bookmarkEnd w:id="178"/>
      <w:r w:rsidRPr="00520E09">
        <w:rPr>
          <w:b/>
          <w:u w:val="single"/>
        </w:rPr>
        <w:t xml:space="preserve">  </w:t>
      </w:r>
    </w:p>
    <w:p w:rsidR="00926DB2" w:rsidRDefault="00926DB2" w:rsidP="00046654">
      <w:pPr>
        <w:tabs>
          <w:tab w:val="left" w:pos="2145"/>
        </w:tabs>
        <w:jc w:val="both"/>
        <w:rPr>
          <w:b/>
          <w:i/>
        </w:rPr>
      </w:pPr>
    </w:p>
    <w:p w:rsidR="00926DB2" w:rsidRDefault="00926DB2" w:rsidP="00046654">
      <w:pPr>
        <w:tabs>
          <w:tab w:val="left" w:pos="2145"/>
        </w:tabs>
        <w:jc w:val="both"/>
        <w:rPr>
          <w:b/>
          <w:i/>
        </w:rPr>
      </w:pPr>
    </w:p>
    <w:tbl>
      <w:tblPr>
        <w:tblpPr w:leftFromText="141" w:rightFromText="141" w:vertAnchor="text" w:horzAnchor="margin" w:tblpXSpec="center" w:tblpY="-68"/>
        <w:tblW w:w="0" w:type="auto"/>
        <w:tblBorders>
          <w:top w:val="single" w:sz="8" w:space="0" w:color="000000"/>
          <w:left w:val="single" w:sz="8" w:space="0" w:color="000000"/>
          <w:bottom w:val="single" w:sz="8" w:space="0" w:color="000000"/>
          <w:right w:val="single" w:sz="8" w:space="0" w:color="000000"/>
        </w:tblBorders>
        <w:tblLook w:val="00A0"/>
      </w:tblPr>
      <w:tblGrid>
        <w:gridCol w:w="1384"/>
        <w:gridCol w:w="1657"/>
        <w:gridCol w:w="1601"/>
        <w:gridCol w:w="1474"/>
        <w:gridCol w:w="1762"/>
      </w:tblGrid>
      <w:tr w:rsidR="00926DB2" w:rsidTr="00FF080B">
        <w:trPr>
          <w:trHeight w:val="1544"/>
        </w:trPr>
        <w:tc>
          <w:tcPr>
            <w:tcW w:w="1384" w:type="dxa"/>
            <w:tcBorders>
              <w:top w:val="nil"/>
              <w:left w:val="nil"/>
              <w:bottom w:val="single" w:sz="24" w:space="0" w:color="000000"/>
              <w:right w:val="nil"/>
            </w:tcBorders>
            <w:shd w:val="clear" w:color="auto" w:fill="FFFFFF"/>
          </w:tcPr>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Sample:</w:t>
            </w:r>
          </w:p>
        </w:tc>
        <w:tc>
          <w:tcPr>
            <w:tcW w:w="1657" w:type="dxa"/>
            <w:tcBorders>
              <w:top w:val="nil"/>
              <w:left w:val="nil"/>
              <w:bottom w:val="single" w:sz="24" w:space="0" w:color="000000"/>
              <w:right w:val="nil"/>
            </w:tcBorders>
            <w:shd w:val="clear" w:color="auto" w:fill="FFFFFF"/>
          </w:tcPr>
          <w:p w:rsidR="00926DB2" w:rsidRPr="00FF080B" w:rsidRDefault="00542395" w:rsidP="00FF080B">
            <w:pPr>
              <w:jc w:val="both"/>
              <w:rPr>
                <w:rFonts w:ascii="Cambria" w:hAnsi="Cambria"/>
                <w:b/>
                <w:bCs/>
                <w:color w:val="000000"/>
              </w:rPr>
            </w:pPr>
            <w:r w:rsidRPr="00542395">
              <w:rPr>
                <w:noProof/>
                <w:lang w:val="en-US" w:eastAsia="en-US" w:bidi="ar-SA"/>
              </w:rPr>
              <w:pict>
                <v:shape id="_x0000_s1039" type="#_x0000_t32" style="position:absolute;left:0;text-align:left;margin-left:58.25pt;margin-top:39.9pt;width:152.35pt;height:0;z-index:251655680;mso-position-horizontal-relative:text;mso-position-vertical-relative:text" o:connectortype="straight">
                  <v:stroke endarrow="block"/>
                </v:shape>
              </w:pict>
            </w:r>
            <w:r w:rsidR="00926DB2" w:rsidRPr="00FF080B">
              <w:rPr>
                <w:rFonts w:ascii="Cambria" w:hAnsi="Cambria"/>
                <w:b/>
                <w:bCs/>
                <w:color w:val="000000"/>
                <w:sz w:val="22"/>
                <w:szCs w:val="22"/>
              </w:rPr>
              <w:t>Sample</w:t>
            </w:r>
          </w:p>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West-European Banks</w:t>
            </w:r>
          </w:p>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(Bank scope)</w:t>
            </w:r>
          </w:p>
        </w:tc>
        <w:tc>
          <w:tcPr>
            <w:tcW w:w="1536" w:type="dxa"/>
            <w:tcBorders>
              <w:top w:val="nil"/>
              <w:left w:val="nil"/>
              <w:bottom w:val="single" w:sz="24" w:space="0" w:color="000000"/>
              <w:right w:val="nil"/>
            </w:tcBorders>
            <w:shd w:val="clear" w:color="auto" w:fill="FFFFFF"/>
          </w:tcPr>
          <w:p w:rsidR="00926DB2" w:rsidRPr="00FF080B" w:rsidRDefault="00926DB2" w:rsidP="00FF080B">
            <w:pPr>
              <w:jc w:val="both"/>
              <w:rPr>
                <w:rFonts w:ascii="Cambria" w:hAnsi="Cambria"/>
                <w:b/>
                <w:bCs/>
                <w:color w:val="000000"/>
              </w:rPr>
            </w:pPr>
          </w:p>
          <w:p w:rsidR="00926DB2" w:rsidRPr="00FF080B" w:rsidRDefault="00542395" w:rsidP="00FF080B">
            <w:pPr>
              <w:jc w:val="both"/>
              <w:rPr>
                <w:rFonts w:ascii="Cambria" w:hAnsi="Cambria"/>
                <w:b/>
                <w:bCs/>
                <w:color w:val="000000"/>
              </w:rPr>
            </w:pPr>
            <w:r w:rsidRPr="00542395">
              <w:rPr>
                <w:noProof/>
                <w:lang w:val="en-US" w:eastAsia="en-US" w:bidi="ar-SA"/>
              </w:rPr>
              <w:pict>
                <v:shape id="_x0000_s1040" type="#_x0000_t32" style="position:absolute;left:0;text-align:left;margin-left:32.1pt;margin-top:26.1pt;width:0;height:76.25pt;z-index:251656704" o:connectortype="straight">
                  <v:stroke endarrow="block"/>
                </v:shape>
              </w:pict>
            </w:r>
            <w:r w:rsidR="00926DB2" w:rsidRPr="00FF080B">
              <w:rPr>
                <w:rFonts w:ascii="Cambria" w:hAnsi="Cambria"/>
                <w:b/>
                <w:bCs/>
                <w:color w:val="000000"/>
                <w:sz w:val="22"/>
                <w:szCs w:val="22"/>
              </w:rPr>
              <w:t>Measuring Conservatism</w:t>
            </w:r>
          </w:p>
        </w:tc>
        <w:tc>
          <w:tcPr>
            <w:tcW w:w="1474" w:type="dxa"/>
            <w:tcBorders>
              <w:top w:val="nil"/>
              <w:left w:val="nil"/>
              <w:bottom w:val="single" w:sz="24" w:space="0" w:color="000000"/>
              <w:right w:val="nil"/>
            </w:tcBorders>
            <w:shd w:val="clear" w:color="auto" w:fill="FFFFFF"/>
          </w:tcPr>
          <w:p w:rsidR="00926DB2" w:rsidRPr="00FF080B" w:rsidRDefault="00926DB2" w:rsidP="00FF080B">
            <w:pPr>
              <w:jc w:val="both"/>
              <w:rPr>
                <w:rFonts w:ascii="Cambria" w:hAnsi="Cambria"/>
                <w:b/>
                <w:bCs/>
                <w:color w:val="000000"/>
              </w:rPr>
            </w:pPr>
          </w:p>
        </w:tc>
        <w:tc>
          <w:tcPr>
            <w:tcW w:w="1762" w:type="dxa"/>
            <w:tcBorders>
              <w:top w:val="nil"/>
              <w:left w:val="nil"/>
              <w:bottom w:val="single" w:sz="24" w:space="0" w:color="000000"/>
              <w:right w:val="nil"/>
            </w:tcBorders>
            <w:shd w:val="clear" w:color="auto" w:fill="FFFFFF"/>
          </w:tcPr>
          <w:tbl>
            <w:tblPr>
              <w:tblpPr w:leftFromText="141" w:rightFromText="141" w:vertAnchor="text" w:horzAnchor="margin" w:tblpY="52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6"/>
            </w:tblGrid>
            <w:tr w:rsidR="00926DB2" w:rsidTr="00FC36E3">
              <w:trPr>
                <w:trHeight w:val="558"/>
              </w:trPr>
              <w:tc>
                <w:tcPr>
                  <w:tcW w:w="1536" w:type="dxa"/>
                  <w:tcBorders>
                    <w:top w:val="single" w:sz="4" w:space="0" w:color="auto"/>
                    <w:left w:val="single" w:sz="4" w:space="0" w:color="auto"/>
                    <w:bottom w:val="single" w:sz="4" w:space="0" w:color="auto"/>
                    <w:right w:val="single" w:sz="4" w:space="0" w:color="auto"/>
                  </w:tcBorders>
                </w:tcPr>
                <w:p w:rsidR="00926DB2" w:rsidRDefault="00926DB2" w:rsidP="00FC36E3">
                  <w:pPr>
                    <w:jc w:val="both"/>
                  </w:pPr>
                  <w:r>
                    <w:t>Degree of Conservatism</w:t>
                  </w:r>
                </w:p>
              </w:tc>
            </w:tr>
          </w:tbl>
          <w:p w:rsidR="00926DB2" w:rsidRPr="00FF080B" w:rsidRDefault="00926DB2" w:rsidP="00FF080B">
            <w:pPr>
              <w:jc w:val="both"/>
              <w:rPr>
                <w:rFonts w:ascii="Cambria" w:hAnsi="Cambria"/>
                <w:b/>
                <w:bCs/>
                <w:color w:val="000000"/>
              </w:rPr>
            </w:pPr>
          </w:p>
        </w:tc>
      </w:tr>
      <w:tr w:rsidR="00926DB2" w:rsidTr="00FF080B">
        <w:trPr>
          <w:gridAfter w:val="2"/>
          <w:wAfter w:w="3236" w:type="dxa"/>
          <w:trHeight w:val="559"/>
        </w:trPr>
        <w:tc>
          <w:tcPr>
            <w:tcW w:w="1384" w:type="dxa"/>
            <w:tcBorders>
              <w:top w:val="nil"/>
              <w:left w:val="nil"/>
              <w:bottom w:val="nil"/>
              <w:right w:val="single" w:sz="8" w:space="0" w:color="000000"/>
            </w:tcBorders>
            <w:shd w:val="clear" w:color="auto" w:fill="FFFFFF"/>
          </w:tcPr>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Type:</w:t>
            </w:r>
          </w:p>
        </w:tc>
        <w:tc>
          <w:tcPr>
            <w:tcW w:w="1657" w:type="dxa"/>
            <w:tcBorders>
              <w:top w:val="nil"/>
              <w:left w:val="nil"/>
              <w:bottom w:val="nil"/>
              <w:right w:val="nil"/>
            </w:tcBorders>
            <w:shd w:val="clear" w:color="auto" w:fill="C0C0C0"/>
          </w:tcPr>
          <w:p w:rsidR="00926DB2" w:rsidRPr="00FF080B" w:rsidRDefault="00926DB2" w:rsidP="00FF080B">
            <w:pPr>
              <w:jc w:val="both"/>
              <w:rPr>
                <w:rFonts w:ascii="Cambria" w:hAnsi="Cambria"/>
                <w:color w:val="000000"/>
              </w:rPr>
            </w:pPr>
            <w:r w:rsidRPr="00FF080B">
              <w:rPr>
                <w:rFonts w:ascii="Cambria" w:hAnsi="Cambria"/>
                <w:color w:val="000000"/>
                <w:sz w:val="22"/>
                <w:szCs w:val="22"/>
              </w:rPr>
              <w:t>Bad performing</w:t>
            </w:r>
          </w:p>
        </w:tc>
        <w:tc>
          <w:tcPr>
            <w:tcW w:w="1536" w:type="dxa"/>
            <w:tcBorders>
              <w:top w:val="nil"/>
              <w:left w:val="nil"/>
              <w:bottom w:val="nil"/>
            </w:tcBorders>
            <w:shd w:val="clear" w:color="auto" w:fill="C0C0C0"/>
          </w:tcPr>
          <w:p w:rsidR="00926DB2" w:rsidRPr="00FF080B" w:rsidRDefault="00926DB2" w:rsidP="00FF080B">
            <w:pPr>
              <w:jc w:val="both"/>
              <w:rPr>
                <w:rFonts w:ascii="Cambria" w:hAnsi="Cambria"/>
                <w:color w:val="000000"/>
              </w:rPr>
            </w:pPr>
          </w:p>
        </w:tc>
      </w:tr>
      <w:tr w:rsidR="00926DB2" w:rsidTr="00FF080B">
        <w:trPr>
          <w:gridAfter w:val="2"/>
          <w:wAfter w:w="3236" w:type="dxa"/>
          <w:trHeight w:val="559"/>
        </w:trPr>
        <w:tc>
          <w:tcPr>
            <w:tcW w:w="1384" w:type="dxa"/>
            <w:tcBorders>
              <w:left w:val="nil"/>
              <w:bottom w:val="nil"/>
              <w:right w:val="single" w:sz="8" w:space="0" w:color="000000"/>
            </w:tcBorders>
            <w:shd w:val="clear" w:color="auto" w:fill="FFFFFF"/>
          </w:tcPr>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Period:</w:t>
            </w:r>
          </w:p>
        </w:tc>
        <w:tc>
          <w:tcPr>
            <w:tcW w:w="1657" w:type="dxa"/>
            <w:tcBorders>
              <w:bottom w:val="nil"/>
            </w:tcBorders>
            <w:shd w:val="clear" w:color="auto" w:fill="C0C0C0"/>
          </w:tcPr>
          <w:p w:rsidR="00926DB2" w:rsidRPr="00FF080B" w:rsidRDefault="00926DB2" w:rsidP="00FF080B">
            <w:pPr>
              <w:jc w:val="both"/>
              <w:rPr>
                <w:rFonts w:ascii="Cambria" w:hAnsi="Cambria"/>
                <w:color w:val="000000"/>
              </w:rPr>
            </w:pPr>
            <w:r w:rsidRPr="00FF080B">
              <w:rPr>
                <w:rFonts w:ascii="Cambria" w:hAnsi="Cambria"/>
                <w:color w:val="000000"/>
                <w:sz w:val="22"/>
                <w:szCs w:val="22"/>
              </w:rPr>
              <w:t>1997-2006</w:t>
            </w:r>
          </w:p>
        </w:tc>
        <w:tc>
          <w:tcPr>
            <w:tcW w:w="1536" w:type="dxa"/>
          </w:tcPr>
          <w:p w:rsidR="00926DB2" w:rsidRPr="00FF080B" w:rsidRDefault="00926DB2" w:rsidP="00FF080B">
            <w:pPr>
              <w:jc w:val="both"/>
              <w:rPr>
                <w:rFonts w:ascii="Cambria" w:hAnsi="Cambria"/>
                <w:color w:val="000000"/>
              </w:rPr>
            </w:pPr>
          </w:p>
        </w:tc>
      </w:tr>
      <w:tr w:rsidR="00926DB2" w:rsidTr="00FF080B">
        <w:trPr>
          <w:gridAfter w:val="2"/>
          <w:wAfter w:w="3236" w:type="dxa"/>
          <w:trHeight w:val="553"/>
        </w:trPr>
        <w:tc>
          <w:tcPr>
            <w:tcW w:w="1384" w:type="dxa"/>
            <w:tcBorders>
              <w:top w:val="nil"/>
              <w:left w:val="nil"/>
              <w:bottom w:val="nil"/>
              <w:right w:val="single" w:sz="8" w:space="0" w:color="000000"/>
            </w:tcBorders>
            <w:shd w:val="clear" w:color="auto" w:fill="FFFFFF"/>
          </w:tcPr>
          <w:p w:rsidR="00926DB2" w:rsidRPr="00FF080B" w:rsidRDefault="00926DB2" w:rsidP="00FF080B">
            <w:pPr>
              <w:jc w:val="both"/>
              <w:rPr>
                <w:rFonts w:ascii="Cambria" w:hAnsi="Cambria"/>
                <w:b/>
                <w:bCs/>
                <w:color w:val="000000"/>
              </w:rPr>
            </w:pPr>
            <w:r w:rsidRPr="00FF080B">
              <w:rPr>
                <w:rFonts w:ascii="Cambria" w:hAnsi="Cambria"/>
                <w:b/>
                <w:bCs/>
                <w:color w:val="000000"/>
                <w:sz w:val="22"/>
                <w:szCs w:val="22"/>
              </w:rPr>
              <w:t>Model:</w:t>
            </w:r>
          </w:p>
        </w:tc>
        <w:tc>
          <w:tcPr>
            <w:tcW w:w="1657" w:type="dxa"/>
            <w:tcBorders>
              <w:top w:val="nil"/>
              <w:left w:val="nil"/>
              <w:bottom w:val="nil"/>
              <w:right w:val="nil"/>
            </w:tcBorders>
            <w:shd w:val="clear" w:color="auto" w:fill="C0C0C0"/>
          </w:tcPr>
          <w:p w:rsidR="00926DB2" w:rsidRPr="00FF080B" w:rsidRDefault="00926DB2" w:rsidP="00FF080B">
            <w:pPr>
              <w:jc w:val="both"/>
              <w:rPr>
                <w:rFonts w:ascii="Cambria" w:hAnsi="Cambria"/>
                <w:color w:val="000000"/>
              </w:rPr>
            </w:pPr>
          </w:p>
        </w:tc>
        <w:tc>
          <w:tcPr>
            <w:tcW w:w="1536" w:type="dxa"/>
            <w:tcBorders>
              <w:top w:val="nil"/>
              <w:left w:val="nil"/>
              <w:bottom w:val="nil"/>
            </w:tcBorders>
            <w:shd w:val="clear" w:color="auto" w:fill="C0C0C0"/>
          </w:tcPr>
          <w:p w:rsidR="00926DB2" w:rsidRPr="00FF080B" w:rsidRDefault="00926DB2" w:rsidP="00FF080B">
            <w:pPr>
              <w:jc w:val="both"/>
              <w:rPr>
                <w:rFonts w:ascii="Cambria" w:hAnsi="Cambria"/>
                <w:color w:val="000000"/>
              </w:rPr>
            </w:pPr>
            <w:r w:rsidRPr="00FF080B">
              <w:rPr>
                <w:rFonts w:ascii="Cambria" w:hAnsi="Cambria"/>
                <w:color w:val="000000"/>
                <w:sz w:val="22"/>
                <w:szCs w:val="22"/>
              </w:rPr>
              <w:t xml:space="preserve">   Basu model</w:t>
            </w:r>
          </w:p>
        </w:tc>
      </w:tr>
    </w:tbl>
    <w:p w:rsidR="00926DB2" w:rsidRDefault="00926DB2" w:rsidP="00046654">
      <w:pPr>
        <w:tabs>
          <w:tab w:val="left" w:pos="2145"/>
        </w:tabs>
        <w:jc w:val="both"/>
        <w:rPr>
          <w:b/>
          <w:i/>
        </w:rPr>
      </w:pPr>
    </w:p>
    <w:p w:rsidR="00926DB2" w:rsidRDefault="00926DB2" w:rsidP="00046654">
      <w:pPr>
        <w:tabs>
          <w:tab w:val="left" w:pos="2145"/>
        </w:tabs>
        <w:jc w:val="both"/>
        <w:rPr>
          <w:b/>
          <w:i/>
        </w:rPr>
      </w:pPr>
    </w:p>
    <w:p w:rsidR="00926DB2" w:rsidRDefault="00926DB2" w:rsidP="00046654">
      <w:pPr>
        <w:tabs>
          <w:tab w:val="left" w:pos="2145"/>
        </w:tabs>
        <w:jc w:val="both"/>
        <w:rPr>
          <w:b/>
          <w:i/>
        </w:rPr>
      </w:pPr>
    </w:p>
    <w:p w:rsidR="00926DB2" w:rsidRDefault="00926DB2" w:rsidP="00046654">
      <w:pPr>
        <w:tabs>
          <w:tab w:val="left" w:pos="2145"/>
        </w:tabs>
        <w:jc w:val="both"/>
        <w:rPr>
          <w:b/>
          <w:i/>
        </w:rPr>
      </w:pPr>
    </w:p>
    <w:p w:rsidR="00926DB2" w:rsidRDefault="00926DB2" w:rsidP="00046654">
      <w:pPr>
        <w:tabs>
          <w:tab w:val="left" w:pos="2145"/>
        </w:tabs>
        <w:jc w:val="both"/>
        <w:rPr>
          <w:b/>
          <w:i/>
        </w:rPr>
      </w:pPr>
    </w:p>
    <w:p w:rsidR="00926DB2" w:rsidRDefault="00926DB2" w:rsidP="00046654">
      <w:pPr>
        <w:tabs>
          <w:tab w:val="left" w:pos="2145"/>
        </w:tabs>
        <w:jc w:val="both"/>
        <w:rPr>
          <w:b/>
          <w:i/>
        </w:rPr>
      </w:pPr>
    </w:p>
    <w:p w:rsidR="00926DB2" w:rsidRDefault="00926DB2" w:rsidP="00046654">
      <w:pPr>
        <w:tabs>
          <w:tab w:val="left" w:pos="2145"/>
        </w:tabs>
        <w:jc w:val="both"/>
        <w:rPr>
          <w:b/>
          <w:i/>
        </w:rPr>
      </w:pPr>
    </w:p>
    <w:p w:rsidR="00926DB2" w:rsidRDefault="00926DB2" w:rsidP="00046654">
      <w:pPr>
        <w:tabs>
          <w:tab w:val="left" w:pos="2145"/>
        </w:tabs>
        <w:jc w:val="both"/>
        <w:rPr>
          <w:b/>
          <w:i/>
        </w:rPr>
      </w:pPr>
    </w:p>
    <w:p w:rsidR="00926DB2" w:rsidRDefault="00926DB2" w:rsidP="00046654">
      <w:pPr>
        <w:tabs>
          <w:tab w:val="left" w:pos="2145"/>
        </w:tabs>
        <w:jc w:val="both"/>
        <w:rPr>
          <w:b/>
          <w:i/>
        </w:rPr>
      </w:pPr>
    </w:p>
    <w:p w:rsidR="00926DB2" w:rsidRDefault="00926DB2" w:rsidP="00046654">
      <w:pPr>
        <w:tabs>
          <w:tab w:val="left" w:pos="2145"/>
        </w:tabs>
        <w:jc w:val="both"/>
        <w:rPr>
          <w:b/>
          <w:i/>
        </w:rPr>
      </w:pPr>
    </w:p>
    <w:p w:rsidR="00926DB2" w:rsidRDefault="00926DB2" w:rsidP="00046654">
      <w:pPr>
        <w:tabs>
          <w:tab w:val="left" w:pos="2145"/>
        </w:tabs>
        <w:jc w:val="both"/>
        <w:rPr>
          <w:b/>
          <w:i/>
        </w:rPr>
      </w:pPr>
    </w:p>
    <w:p w:rsidR="00926DB2" w:rsidRDefault="00926DB2" w:rsidP="00046654">
      <w:pPr>
        <w:tabs>
          <w:tab w:val="left" w:pos="2145"/>
        </w:tabs>
        <w:jc w:val="both"/>
        <w:rPr>
          <w:b/>
          <w:i/>
        </w:rPr>
      </w:pPr>
    </w:p>
    <w:p w:rsidR="00926DB2" w:rsidRDefault="00926DB2" w:rsidP="00046654">
      <w:pPr>
        <w:tabs>
          <w:tab w:val="left" w:pos="2145"/>
        </w:tabs>
        <w:jc w:val="both"/>
        <w:rPr>
          <w:b/>
          <w:i/>
        </w:rPr>
      </w:pPr>
    </w:p>
    <w:p w:rsidR="00520E09" w:rsidRDefault="00926DB2" w:rsidP="00520E09">
      <w:pPr>
        <w:tabs>
          <w:tab w:val="left" w:pos="3300"/>
        </w:tabs>
        <w:jc w:val="both"/>
        <w:rPr>
          <w:b/>
          <w:i/>
        </w:rPr>
      </w:pPr>
      <w:r>
        <w:rPr>
          <w:b/>
          <w:i/>
        </w:rPr>
        <w:tab/>
      </w:r>
      <w:bookmarkEnd w:id="1"/>
      <w:bookmarkEnd w:id="2"/>
      <w:bookmarkEnd w:id="3"/>
    </w:p>
    <w:p w:rsidR="00520E09" w:rsidRDefault="00520E09" w:rsidP="00520E09">
      <w:pPr>
        <w:tabs>
          <w:tab w:val="left" w:pos="3300"/>
        </w:tabs>
        <w:jc w:val="both"/>
        <w:rPr>
          <w:b/>
          <w:i/>
        </w:rPr>
      </w:pPr>
    </w:p>
    <w:p w:rsidR="00520E09" w:rsidRPr="00520E09" w:rsidRDefault="00520E09" w:rsidP="00520E09">
      <w:pPr>
        <w:tabs>
          <w:tab w:val="left" w:pos="3300"/>
        </w:tabs>
        <w:jc w:val="both"/>
        <w:rPr>
          <w:b/>
          <w:i/>
        </w:rPr>
      </w:pPr>
    </w:p>
    <w:p w:rsidR="00926DB2" w:rsidRPr="00B53F35" w:rsidRDefault="00926DB2" w:rsidP="00B53F35">
      <w:pPr>
        <w:pStyle w:val="Kop2"/>
        <w:jc w:val="both"/>
        <w:rPr>
          <w:rFonts w:ascii="Times New Roman" w:hAnsi="Times New Roman" w:cs="Times New Roman"/>
          <w:bCs w:val="0"/>
          <w:i w:val="0"/>
          <w:iCs w:val="0"/>
          <w:sz w:val="24"/>
          <w:szCs w:val="24"/>
        </w:rPr>
      </w:pPr>
      <w:bookmarkStart w:id="179" w:name="_Toc268186066"/>
      <w:r w:rsidRPr="00B53F35">
        <w:rPr>
          <w:rFonts w:ascii="Times New Roman" w:hAnsi="Times New Roman" w:cs="Times New Roman"/>
          <w:bCs w:val="0"/>
          <w:i w:val="0"/>
          <w:iCs w:val="0"/>
          <w:sz w:val="24"/>
          <w:szCs w:val="24"/>
        </w:rPr>
        <w:lastRenderedPageBreak/>
        <w:t>5.4 Research model</w:t>
      </w:r>
      <w:bookmarkEnd w:id="179"/>
    </w:p>
    <w:p w:rsidR="00926DB2" w:rsidRDefault="00926DB2" w:rsidP="00046654">
      <w:pPr>
        <w:jc w:val="both"/>
        <w:rPr>
          <w:lang w:val="en-US" w:eastAsia="ar-SA" w:bidi="ar-SA"/>
        </w:rPr>
      </w:pPr>
    </w:p>
    <w:p w:rsidR="00926DB2" w:rsidRDefault="00926DB2" w:rsidP="00046654">
      <w:pPr>
        <w:spacing w:line="360" w:lineRule="auto"/>
        <w:jc w:val="both"/>
        <w:rPr>
          <w:lang w:val="en-US" w:eastAsia="ar-SA" w:bidi="ar-SA"/>
        </w:rPr>
      </w:pPr>
      <w:r>
        <w:rPr>
          <w:lang w:val="en-US" w:eastAsia="ar-SA" w:bidi="ar-SA"/>
        </w:rPr>
        <w:t>To investigate if there is a relationship between conditional conservatism and firm performance the Basu regression model will be used. This model and its variables will be discussed in detail.</w:t>
      </w:r>
    </w:p>
    <w:p w:rsidR="00926DB2" w:rsidRPr="00B53F35" w:rsidRDefault="00926DB2" w:rsidP="00B53F35">
      <w:pPr>
        <w:pStyle w:val="Kop3"/>
        <w:jc w:val="both"/>
        <w:rPr>
          <w:rFonts w:ascii="Times New Roman" w:hAnsi="Times New Roman" w:cs="Times New Roman"/>
          <w:b w:val="0"/>
          <w:bCs w:val="0"/>
          <w:i/>
          <w:iCs/>
          <w:color w:val="auto"/>
          <w:szCs w:val="24"/>
          <w:lang w:val="en-US" w:eastAsia="nl-NL" w:bidi="ar-SA"/>
        </w:rPr>
      </w:pPr>
      <w:bookmarkStart w:id="180" w:name="_Toc267323038"/>
      <w:bookmarkStart w:id="181" w:name="_Toc268186067"/>
      <w:r w:rsidRPr="00B53F35">
        <w:rPr>
          <w:rFonts w:ascii="Times New Roman" w:hAnsi="Times New Roman" w:cs="Times New Roman"/>
          <w:b w:val="0"/>
          <w:bCs w:val="0"/>
          <w:i/>
          <w:iCs/>
          <w:color w:val="auto"/>
          <w:szCs w:val="24"/>
          <w:lang w:val="en-US" w:eastAsia="nl-NL" w:bidi="ar-SA"/>
        </w:rPr>
        <w:t>5.4.1 Model motivation</w:t>
      </w:r>
      <w:bookmarkEnd w:id="180"/>
      <w:bookmarkEnd w:id="181"/>
    </w:p>
    <w:p w:rsidR="00926DB2" w:rsidRDefault="00926DB2" w:rsidP="00046654">
      <w:pPr>
        <w:autoSpaceDE w:val="0"/>
        <w:autoSpaceDN w:val="0"/>
        <w:adjustRightInd w:val="0"/>
        <w:spacing w:line="360" w:lineRule="auto"/>
        <w:jc w:val="both"/>
        <w:rPr>
          <w:rFonts w:cs="Times New Roman"/>
          <w:highlight w:val="cyan"/>
          <w:lang w:val="en-US" w:eastAsia="nl-NL" w:bidi="ar-SA"/>
        </w:rPr>
      </w:pPr>
    </w:p>
    <w:p w:rsidR="00926DB2" w:rsidRPr="00D16E92" w:rsidRDefault="00926DB2" w:rsidP="00046654">
      <w:pPr>
        <w:autoSpaceDE w:val="0"/>
        <w:autoSpaceDN w:val="0"/>
        <w:adjustRightInd w:val="0"/>
        <w:spacing w:line="360" w:lineRule="auto"/>
        <w:jc w:val="both"/>
        <w:rPr>
          <w:rFonts w:cs="Times New Roman"/>
          <w:lang w:val="en-US" w:eastAsia="nl-NL" w:bidi="ar-SA"/>
        </w:rPr>
      </w:pPr>
      <w:r w:rsidRPr="002D00B6">
        <w:rPr>
          <w:rFonts w:cs="Times New Roman"/>
          <w:lang w:val="en-US" w:eastAsia="nl-NL" w:bidi="ar-SA"/>
        </w:rPr>
        <w:t>In this re</w:t>
      </w:r>
      <w:r>
        <w:rPr>
          <w:rFonts w:cs="Times New Roman"/>
          <w:lang w:val="en-US" w:eastAsia="nl-NL" w:bidi="ar-SA"/>
        </w:rPr>
        <w:t>search the Basu model is chosen to examine the degree of conditional conservatism in earnings. This is consistent w</w:t>
      </w:r>
      <w:r w:rsidR="00C11566">
        <w:rPr>
          <w:rFonts w:cs="Times New Roman"/>
          <w:lang w:val="en-US" w:eastAsia="nl-NL" w:bidi="ar-SA"/>
        </w:rPr>
        <w:t xml:space="preserve">ith Basu (1997) and Pae (2007). The focus of the Basu model is on conditional conservatism instead of </w:t>
      </w:r>
      <w:r w:rsidR="00DD3BE0">
        <w:rPr>
          <w:rFonts w:cs="Times New Roman"/>
          <w:lang w:val="en-US" w:eastAsia="nl-NL" w:bidi="ar-SA"/>
        </w:rPr>
        <w:t xml:space="preserve">general conservatism </w:t>
      </w:r>
      <w:r w:rsidR="00D16E92">
        <w:rPr>
          <w:rFonts w:cs="Times New Roman"/>
          <w:lang w:val="en-US" w:eastAsia="nl-NL" w:bidi="ar-SA"/>
        </w:rPr>
        <w:t xml:space="preserve">like the Feltham-Ohlson model does. </w:t>
      </w:r>
      <w:r>
        <w:rPr>
          <w:rFonts w:cs="Times New Roman"/>
          <w:lang w:val="en-US" w:eastAsia="nl-NL" w:bidi="ar-SA"/>
        </w:rPr>
        <w:t xml:space="preserve"> In this empirical study the main focus is on measuring conditional conservatism.</w:t>
      </w:r>
    </w:p>
    <w:p w:rsidR="00EC5CFB" w:rsidRPr="004840A6" w:rsidRDefault="00926DB2" w:rsidP="004840A6">
      <w:pPr>
        <w:autoSpaceDE w:val="0"/>
        <w:autoSpaceDN w:val="0"/>
        <w:adjustRightInd w:val="0"/>
        <w:spacing w:line="360" w:lineRule="auto"/>
        <w:jc w:val="both"/>
        <w:rPr>
          <w:rFonts w:cs="Times New Roman"/>
          <w:lang w:val="en-US" w:eastAsia="nl-NL" w:bidi="ar-SA"/>
        </w:rPr>
      </w:pPr>
      <w:r>
        <w:rPr>
          <w:rFonts w:cs="Times New Roman"/>
          <w:lang w:val="en-US" w:eastAsia="nl-NL" w:bidi="ar-SA"/>
        </w:rPr>
        <w:t>Furthermore the Basu model measures the degree of conditional conservatism through the e</w:t>
      </w:r>
      <w:r w:rsidR="00EC5CFB">
        <w:rPr>
          <w:rFonts w:cs="Times New Roman"/>
          <w:lang w:val="en-US" w:eastAsia="nl-NL" w:bidi="ar-SA"/>
        </w:rPr>
        <w:t>arnings/stock returns relation. The Feltham-Ohlson makes use of net asset measures. Hence net asset information is less (easily) available than earnings/stock information the Basu model (1997) is better in use. Finally when comparing the Basu model with earnings/accruals measures it could be stated that the Basu model is more appropriate to use when examining conditional conservatism, hence conditional conservatism results in more variability and skewness in earnings.</w:t>
      </w:r>
      <w:bookmarkStart w:id="182" w:name="_Toc267323039"/>
    </w:p>
    <w:p w:rsidR="00926DB2" w:rsidRPr="00B53F35" w:rsidRDefault="00926DB2" w:rsidP="00B53F35">
      <w:pPr>
        <w:pStyle w:val="Kop3"/>
        <w:jc w:val="both"/>
        <w:rPr>
          <w:rFonts w:ascii="Times New Roman" w:hAnsi="Times New Roman" w:cs="Times New Roman"/>
          <w:b w:val="0"/>
          <w:bCs w:val="0"/>
          <w:i/>
          <w:iCs/>
          <w:color w:val="auto"/>
          <w:szCs w:val="24"/>
          <w:lang w:val="en-US" w:eastAsia="ar-SA" w:bidi="ar-SA"/>
        </w:rPr>
      </w:pPr>
      <w:bookmarkStart w:id="183" w:name="_Toc268186068"/>
      <w:r w:rsidRPr="00B53F35">
        <w:rPr>
          <w:rFonts w:ascii="Times New Roman" w:hAnsi="Times New Roman" w:cs="Times New Roman"/>
          <w:b w:val="0"/>
          <w:bCs w:val="0"/>
          <w:i/>
          <w:iCs/>
          <w:color w:val="auto"/>
          <w:szCs w:val="24"/>
          <w:lang w:val="en-US" w:eastAsia="ar-SA" w:bidi="ar-SA"/>
        </w:rPr>
        <w:t>5.4.2 Basu regression model</w:t>
      </w:r>
      <w:bookmarkEnd w:id="182"/>
      <w:bookmarkEnd w:id="183"/>
    </w:p>
    <w:p w:rsidR="00926DB2" w:rsidRDefault="00926DB2" w:rsidP="00046654">
      <w:pPr>
        <w:autoSpaceDE w:val="0"/>
        <w:autoSpaceDN w:val="0"/>
        <w:adjustRightInd w:val="0"/>
        <w:spacing w:line="360" w:lineRule="auto"/>
        <w:jc w:val="both"/>
        <w:rPr>
          <w:rFonts w:cs="Times New Roman"/>
          <w:lang w:val="en-US" w:eastAsia="ar-SA" w:bidi="ar-SA"/>
        </w:rPr>
      </w:pPr>
    </w:p>
    <w:p w:rsidR="00926DB2" w:rsidRPr="005C7E87" w:rsidRDefault="00926DB2" w:rsidP="00046654">
      <w:pPr>
        <w:autoSpaceDE w:val="0"/>
        <w:autoSpaceDN w:val="0"/>
        <w:adjustRightInd w:val="0"/>
        <w:spacing w:line="360" w:lineRule="auto"/>
        <w:jc w:val="both"/>
        <w:rPr>
          <w:rFonts w:ascii="Cambria Math" w:hAnsi="Cambria Math" w:cs="Times New Roman"/>
          <w:color w:val="FF0000"/>
          <w:lang w:val="en-US" w:eastAsia="nl-NL" w:bidi="ar-SA"/>
        </w:rPr>
      </w:pPr>
      <w:r w:rsidRPr="00C56697">
        <w:rPr>
          <w:rFonts w:cs="Times New Roman"/>
          <w:color w:val="000000"/>
          <w:lang w:val="en-US" w:eastAsia="nl-NL" w:bidi="ar-SA"/>
        </w:rPr>
        <w:t>The</w:t>
      </w:r>
      <w:r>
        <w:rPr>
          <w:rFonts w:cs="Times New Roman"/>
          <w:color w:val="000000"/>
          <w:lang w:val="en-US" w:eastAsia="nl-NL" w:bidi="ar-SA"/>
        </w:rPr>
        <w:t xml:space="preserve"> Basu regression model:</w:t>
      </w:r>
    </w:p>
    <w:p w:rsidR="00926DB2" w:rsidRPr="00C21FC9" w:rsidRDefault="00926DB2" w:rsidP="00046654">
      <w:pPr>
        <w:autoSpaceDE w:val="0"/>
        <w:autoSpaceDN w:val="0"/>
        <w:adjustRightInd w:val="0"/>
        <w:spacing w:line="360" w:lineRule="auto"/>
        <w:ind w:firstLine="360"/>
        <w:jc w:val="both"/>
        <w:rPr>
          <w:rFonts w:cs="Times New Roman"/>
          <w:color w:val="000000"/>
          <w:lang w:val="en-US" w:eastAsia="nl-NL" w:bidi="ar-SA"/>
        </w:rPr>
      </w:pPr>
    </w:p>
    <w:p w:rsidR="00926DB2" w:rsidRPr="004D35CD" w:rsidRDefault="00542395" w:rsidP="00046654">
      <w:pPr>
        <w:autoSpaceDE w:val="0"/>
        <w:autoSpaceDN w:val="0"/>
        <w:adjustRightInd w:val="0"/>
        <w:spacing w:line="360" w:lineRule="auto"/>
        <w:jc w:val="both"/>
        <w:rPr>
          <w:rFonts w:cs="Times New Roman"/>
          <w:lang w:val="en-US" w:eastAsia="nl-NL" w:bidi="ar-SA"/>
        </w:rPr>
      </w:pPr>
      <w:r w:rsidRPr="004B4228">
        <w:rPr>
          <w:rFonts w:cs="Times New Roman"/>
          <w:lang w:val="en-US" w:eastAsia="nl-NL" w:bidi="ar-SA"/>
        </w:rPr>
        <w:fldChar w:fldCharType="begin"/>
      </w:r>
      <w:r w:rsidR="00926DB2" w:rsidRPr="004B4228">
        <w:rPr>
          <w:rFonts w:cs="Times New Roman"/>
          <w:lang w:val="en-US" w:eastAsia="nl-NL" w:bidi="ar-SA"/>
        </w:rPr>
        <w:instrText xml:space="preserve"> QUOTE </w:instrTex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4.75pt;height:13.5pt" equationxml="&lt;">
            <v:imagedata r:id="rId11" o:title="" chromakey="white"/>
          </v:shape>
        </w:pict>
      </w:r>
      <w:r w:rsidR="00926DB2" w:rsidRPr="004B4228">
        <w:rPr>
          <w:rFonts w:cs="Times New Roman"/>
          <w:lang w:val="en-US" w:eastAsia="nl-NL" w:bidi="ar-SA"/>
        </w:rPr>
        <w:instrText xml:space="preserve"> </w:instrText>
      </w:r>
      <w:r w:rsidRPr="004B4228">
        <w:rPr>
          <w:rFonts w:cs="Times New Roman"/>
          <w:lang w:val="en-US" w:eastAsia="nl-NL" w:bidi="ar-SA"/>
        </w:rPr>
        <w:fldChar w:fldCharType="separate"/>
      </w:r>
      <w:r>
        <w:pict>
          <v:shape id="_x0000_i1026" type="#_x0000_t75" alt="www" style="width:264.75pt;height:13.5pt" equationxml="&lt;">
            <v:imagedata r:id="rId11" o:title="" chromakey="white"/>
          </v:shape>
        </w:pict>
      </w:r>
      <w:r w:rsidRPr="004B4228">
        <w:rPr>
          <w:rFonts w:cs="Times New Roman"/>
          <w:lang w:val="en-US" w:eastAsia="nl-NL" w:bidi="ar-SA"/>
        </w:rPr>
        <w:fldChar w:fldCharType="end"/>
      </w:r>
      <w:r w:rsidR="00926DB2">
        <w:rPr>
          <w:rFonts w:cs="Times New Roman"/>
          <w:lang w:val="en-US" w:eastAsia="nl-NL" w:bidi="ar-SA"/>
        </w:rPr>
        <w:tab/>
      </w:r>
      <w:r w:rsidR="00926DB2">
        <w:rPr>
          <w:rFonts w:cs="Times New Roman"/>
          <w:lang w:val="en-US" w:eastAsia="nl-NL" w:bidi="ar-SA"/>
        </w:rPr>
        <w:tab/>
      </w:r>
      <w:r w:rsidR="00926DB2">
        <w:rPr>
          <w:rFonts w:cs="Times New Roman"/>
          <w:lang w:val="en-US" w:eastAsia="nl-NL" w:bidi="ar-SA"/>
        </w:rPr>
        <w:tab/>
      </w:r>
      <w:r w:rsidR="00926DB2">
        <w:rPr>
          <w:rFonts w:cs="Times New Roman"/>
          <w:lang w:val="en-US" w:eastAsia="nl-NL" w:bidi="ar-SA"/>
        </w:rPr>
        <w:tab/>
      </w:r>
      <w:r w:rsidR="00926DB2" w:rsidRPr="00E911D6">
        <w:rPr>
          <w:rFonts w:cs="Times New Roman"/>
          <w:b/>
          <w:i/>
          <w:lang w:val="en-US" w:eastAsia="nl-NL" w:bidi="ar-SA"/>
        </w:rPr>
        <w:t>(2)</w:t>
      </w:r>
      <w:r w:rsidR="00926DB2">
        <w:rPr>
          <w:rFonts w:cs="Times New Roman"/>
          <w:lang w:val="en-US" w:eastAsia="nl-NL" w:bidi="ar-SA"/>
        </w:rPr>
        <w:tab/>
      </w:r>
      <w:r w:rsidR="00926DB2">
        <w:rPr>
          <w:rFonts w:cs="Times New Roman"/>
          <w:lang w:val="en-US" w:eastAsia="nl-NL" w:bidi="ar-SA"/>
        </w:rPr>
        <w:tab/>
      </w:r>
      <w:r w:rsidR="00926DB2">
        <w:rPr>
          <w:rFonts w:cs="Times New Roman"/>
          <w:lang w:val="en-US" w:eastAsia="nl-NL" w:bidi="ar-SA"/>
        </w:rPr>
        <w:tab/>
      </w:r>
      <w:r w:rsidR="00926DB2">
        <w:rPr>
          <w:rFonts w:cs="Times New Roman"/>
          <w:lang w:val="en-US" w:eastAsia="nl-NL" w:bidi="ar-SA"/>
        </w:rPr>
        <w:tab/>
      </w:r>
      <w:r w:rsidR="00926DB2">
        <w:rPr>
          <w:rFonts w:cs="Times New Roman"/>
          <w:lang w:val="en-US" w:eastAsia="nl-NL" w:bidi="ar-SA"/>
        </w:rPr>
        <w:tab/>
      </w:r>
      <w:r w:rsidR="00926DB2">
        <w:rPr>
          <w:rFonts w:cs="Times New Roman"/>
          <w:lang w:val="en-US" w:eastAsia="nl-NL" w:bidi="ar-SA"/>
        </w:rPr>
        <w:tab/>
      </w:r>
    </w:p>
    <w:p w:rsidR="00926DB2" w:rsidRPr="00C56697" w:rsidRDefault="00926DB2" w:rsidP="00046654">
      <w:pPr>
        <w:pStyle w:val="Lijstalinea"/>
        <w:numPr>
          <w:ilvl w:val="0"/>
          <w:numId w:val="4"/>
        </w:numPr>
        <w:autoSpaceDE w:val="0"/>
        <w:autoSpaceDN w:val="0"/>
        <w:adjustRightInd w:val="0"/>
        <w:spacing w:line="360" w:lineRule="auto"/>
        <w:jc w:val="both"/>
        <w:rPr>
          <w:rFonts w:cs="Times New Roman"/>
          <w:color w:val="000000"/>
          <w:lang w:val="en-US" w:eastAsia="nl-NL" w:bidi="ar-SA"/>
        </w:rPr>
      </w:pPr>
      <w:r w:rsidRPr="004D4609">
        <w:rPr>
          <w:rFonts w:cs="Times New Roman"/>
          <w:b/>
          <w:color w:val="000000"/>
          <w:lang w:val="en-US" w:eastAsia="nl-NL" w:bidi="ar-SA"/>
        </w:rPr>
        <w:t>NI</w:t>
      </w:r>
      <w:r w:rsidR="008C0BC4">
        <w:rPr>
          <w:rFonts w:cs="Times New Roman"/>
          <w:color w:val="000000"/>
          <w:lang w:val="en-US" w:eastAsia="nl-NL" w:bidi="ar-SA"/>
        </w:rPr>
        <w:t xml:space="preserve"> represents</w:t>
      </w:r>
      <w:r w:rsidRPr="00C56697">
        <w:rPr>
          <w:rFonts w:cs="Times New Roman"/>
          <w:color w:val="000000"/>
          <w:lang w:val="en-US" w:eastAsia="nl-NL" w:bidi="ar-SA"/>
        </w:rPr>
        <w:t xml:space="preserve"> the earnings yield, which </w:t>
      </w:r>
      <w:r>
        <w:rPr>
          <w:rFonts w:cs="Times New Roman"/>
          <w:color w:val="000000"/>
          <w:lang w:val="en-US" w:eastAsia="nl-NL" w:bidi="ar-SA"/>
        </w:rPr>
        <w:t>are the earnings per share</w:t>
      </w:r>
      <w:r w:rsidRPr="00C56697">
        <w:rPr>
          <w:rFonts w:cs="Times New Roman"/>
          <w:color w:val="000000"/>
          <w:lang w:val="en-US" w:eastAsia="nl-NL" w:bidi="ar-SA"/>
        </w:rPr>
        <w:t xml:space="preserve"> at the beginning of the</w:t>
      </w:r>
      <w:r>
        <w:rPr>
          <w:rFonts w:cs="Times New Roman"/>
          <w:color w:val="000000"/>
          <w:lang w:val="en-US" w:eastAsia="nl-NL" w:bidi="ar-SA"/>
        </w:rPr>
        <w:t xml:space="preserve"> fiscal year.</w:t>
      </w:r>
    </w:p>
    <w:p w:rsidR="00926DB2" w:rsidRPr="00C56697" w:rsidRDefault="00926DB2" w:rsidP="00046654">
      <w:pPr>
        <w:autoSpaceDE w:val="0"/>
        <w:autoSpaceDN w:val="0"/>
        <w:adjustRightInd w:val="0"/>
        <w:spacing w:line="360" w:lineRule="auto"/>
        <w:jc w:val="both"/>
        <w:rPr>
          <w:rFonts w:cs="Times New Roman"/>
          <w:color w:val="000000"/>
          <w:lang w:val="en-US" w:eastAsia="nl-NL" w:bidi="ar-SA"/>
        </w:rPr>
      </w:pPr>
    </w:p>
    <w:p w:rsidR="00926DB2" w:rsidRPr="00C56697" w:rsidRDefault="00926DB2" w:rsidP="00046654">
      <w:pPr>
        <w:pStyle w:val="Lijstalinea"/>
        <w:numPr>
          <w:ilvl w:val="0"/>
          <w:numId w:val="4"/>
        </w:numPr>
        <w:autoSpaceDE w:val="0"/>
        <w:autoSpaceDN w:val="0"/>
        <w:adjustRightInd w:val="0"/>
        <w:spacing w:line="360" w:lineRule="auto"/>
        <w:jc w:val="both"/>
        <w:rPr>
          <w:rFonts w:cs="Times New Roman"/>
          <w:color w:val="000000"/>
          <w:lang w:val="en-US" w:eastAsia="nl-NL" w:bidi="ar-SA"/>
        </w:rPr>
      </w:pPr>
      <w:r w:rsidRPr="004D4609">
        <w:rPr>
          <w:rFonts w:cs="Times New Roman"/>
          <w:b/>
          <w:color w:val="000000"/>
          <w:lang w:val="en-US" w:eastAsia="nl-NL" w:bidi="ar-SA"/>
        </w:rPr>
        <w:t>R</w:t>
      </w:r>
      <w:r w:rsidR="008C0BC4">
        <w:rPr>
          <w:rFonts w:cs="Times New Roman"/>
          <w:color w:val="000000"/>
          <w:lang w:val="en-US" w:eastAsia="nl-NL" w:bidi="ar-SA"/>
        </w:rPr>
        <w:t xml:space="preserve"> indicates </w:t>
      </w:r>
      <w:r w:rsidRPr="00C56697">
        <w:rPr>
          <w:rFonts w:cs="Times New Roman"/>
          <w:color w:val="000000"/>
          <w:lang w:val="en-US" w:eastAsia="nl-NL" w:bidi="ar-SA"/>
        </w:rPr>
        <w:t xml:space="preserve">the stock return </w:t>
      </w:r>
      <w:r>
        <w:rPr>
          <w:rFonts w:cs="Times New Roman"/>
          <w:color w:val="000000"/>
          <w:lang w:val="en-US" w:eastAsia="nl-NL" w:bidi="ar-SA"/>
        </w:rPr>
        <w:t>on the firm from 9 months before fiscal year-end to three months after fiscal year-end (in this research the stock return at the beginning of the fiscal year is used).</w:t>
      </w:r>
    </w:p>
    <w:p w:rsidR="00926DB2" w:rsidRPr="00C56697" w:rsidRDefault="00926DB2" w:rsidP="00046654">
      <w:pPr>
        <w:autoSpaceDE w:val="0"/>
        <w:autoSpaceDN w:val="0"/>
        <w:adjustRightInd w:val="0"/>
        <w:spacing w:line="360" w:lineRule="auto"/>
        <w:jc w:val="both"/>
        <w:rPr>
          <w:rFonts w:cs="Times New Roman"/>
          <w:color w:val="000000"/>
          <w:lang w:val="en-US" w:eastAsia="nl-NL" w:bidi="ar-SA"/>
        </w:rPr>
      </w:pPr>
    </w:p>
    <w:p w:rsidR="00926DB2" w:rsidRPr="000F7A02" w:rsidRDefault="00926DB2" w:rsidP="00046654">
      <w:pPr>
        <w:pStyle w:val="Lijstalinea"/>
        <w:numPr>
          <w:ilvl w:val="0"/>
          <w:numId w:val="4"/>
        </w:numPr>
        <w:autoSpaceDE w:val="0"/>
        <w:autoSpaceDN w:val="0"/>
        <w:adjustRightInd w:val="0"/>
        <w:spacing w:line="360" w:lineRule="auto"/>
        <w:jc w:val="both"/>
        <w:rPr>
          <w:rFonts w:cs="Times New Roman"/>
          <w:color w:val="000000"/>
          <w:lang w:val="en-US" w:eastAsia="nl-NL" w:bidi="ar-SA"/>
        </w:rPr>
      </w:pPr>
      <w:r w:rsidRPr="004D4609">
        <w:rPr>
          <w:b/>
          <w:lang w:val="en-US" w:eastAsia="nl-NL" w:bidi="ar-SA"/>
        </w:rPr>
        <w:t>RD</w:t>
      </w:r>
      <w:r w:rsidRPr="00C56697">
        <w:rPr>
          <w:lang w:val="en-US" w:eastAsia="nl-NL" w:bidi="ar-SA"/>
        </w:rPr>
        <w:t xml:space="preserve"> is </w:t>
      </w:r>
      <w:r>
        <w:rPr>
          <w:lang w:val="en-US" w:eastAsia="nl-NL" w:bidi="ar-SA"/>
        </w:rPr>
        <w:t xml:space="preserve">a dummy variable and is </w:t>
      </w:r>
      <w:r w:rsidRPr="00C56697">
        <w:rPr>
          <w:lang w:val="en-US" w:eastAsia="nl-NL" w:bidi="ar-SA"/>
        </w:rPr>
        <w:t xml:space="preserve">1 when R &lt; 0 </w:t>
      </w:r>
      <w:r>
        <w:rPr>
          <w:lang w:val="en-US" w:eastAsia="nl-NL" w:bidi="ar-SA"/>
        </w:rPr>
        <w:t xml:space="preserve">and </w:t>
      </w:r>
      <w:r w:rsidRPr="00C56697">
        <w:rPr>
          <w:lang w:val="en-US" w:eastAsia="nl-NL" w:bidi="ar-SA"/>
        </w:rPr>
        <w:t xml:space="preserve">is 0 otherwise. </w:t>
      </w:r>
      <w:r w:rsidR="002971E2">
        <w:rPr>
          <w:lang w:val="en-US" w:eastAsia="nl-NL" w:bidi="ar-SA"/>
        </w:rPr>
        <w:t>W</w:t>
      </w:r>
      <w:r w:rsidRPr="00C56697">
        <w:rPr>
          <w:lang w:val="en-US" w:eastAsia="nl-NL" w:bidi="ar-SA"/>
        </w:rPr>
        <w:t xml:space="preserve">hen R is negative, this is assumed to be because R is </w:t>
      </w:r>
      <w:r w:rsidR="004840A6">
        <w:rPr>
          <w:lang w:val="en-US" w:eastAsia="nl-NL" w:bidi="ar-SA"/>
        </w:rPr>
        <w:t>aggregating</w:t>
      </w:r>
      <w:r w:rsidR="002971E2">
        <w:rPr>
          <w:lang w:val="en-US" w:eastAsia="nl-NL" w:bidi="ar-SA"/>
        </w:rPr>
        <w:t xml:space="preserve"> bad news about the future. The</w:t>
      </w:r>
      <w:r w:rsidRPr="00C56697">
        <w:rPr>
          <w:lang w:val="en-US" w:eastAsia="nl-NL" w:bidi="ar-SA"/>
        </w:rPr>
        <w:t xml:space="preserve"> dummy </w:t>
      </w:r>
      <w:r w:rsidR="004840A6">
        <w:rPr>
          <w:lang w:val="en-US" w:eastAsia="nl-NL" w:bidi="ar-SA"/>
        </w:rPr>
        <w:lastRenderedPageBreak/>
        <w:t>variable has</w:t>
      </w:r>
      <w:r w:rsidRPr="00C56697">
        <w:rPr>
          <w:lang w:val="en-US" w:eastAsia="nl-NL" w:bidi="ar-SA"/>
        </w:rPr>
        <w:t xml:space="preserve"> a value of 0 when R </w:t>
      </w:r>
      <w:r>
        <w:rPr>
          <w:lang w:val="en-US" w:eastAsia="nl-NL" w:bidi="ar-SA"/>
        </w:rPr>
        <w:t xml:space="preserve">is not aggregating </w:t>
      </w:r>
      <w:r w:rsidR="004840A6">
        <w:rPr>
          <w:lang w:val="en-US" w:eastAsia="nl-NL" w:bidi="ar-SA"/>
        </w:rPr>
        <w:t>future bad news, and has</w:t>
      </w:r>
      <w:r w:rsidRPr="00C56697">
        <w:rPr>
          <w:lang w:val="en-US" w:eastAsia="nl-NL" w:bidi="ar-SA"/>
        </w:rPr>
        <w:t xml:space="preserve"> a value of 1 when R</w:t>
      </w:r>
      <w:r>
        <w:rPr>
          <w:lang w:val="en-US" w:eastAsia="nl-NL" w:bidi="ar-SA"/>
        </w:rPr>
        <w:t xml:space="preserve"> is incorporating</w:t>
      </w:r>
      <w:r w:rsidRPr="00C56697">
        <w:rPr>
          <w:lang w:val="en-US" w:eastAsia="nl-NL" w:bidi="ar-SA"/>
        </w:rPr>
        <w:t xml:space="preserve"> future bad news.</w:t>
      </w:r>
    </w:p>
    <w:p w:rsidR="00926DB2" w:rsidRPr="00C56697" w:rsidRDefault="00926DB2" w:rsidP="00046654">
      <w:pPr>
        <w:autoSpaceDE w:val="0"/>
        <w:autoSpaceDN w:val="0"/>
        <w:adjustRightInd w:val="0"/>
        <w:spacing w:line="360" w:lineRule="auto"/>
        <w:jc w:val="both"/>
        <w:rPr>
          <w:rFonts w:cs="Times New Roman"/>
          <w:color w:val="000000"/>
          <w:lang w:val="en-US" w:eastAsia="nl-NL" w:bidi="ar-SA"/>
        </w:rPr>
      </w:pPr>
    </w:p>
    <w:p w:rsidR="00926DB2" w:rsidRDefault="00926DB2" w:rsidP="00046654">
      <w:pPr>
        <w:pStyle w:val="Lijstalinea"/>
        <w:numPr>
          <w:ilvl w:val="0"/>
          <w:numId w:val="4"/>
        </w:numPr>
        <w:autoSpaceDE w:val="0"/>
        <w:autoSpaceDN w:val="0"/>
        <w:adjustRightInd w:val="0"/>
        <w:spacing w:line="360" w:lineRule="auto"/>
        <w:jc w:val="both"/>
        <w:rPr>
          <w:rFonts w:cs="Times New Roman"/>
          <w:color w:val="000000"/>
          <w:lang w:val="en-US" w:eastAsia="nl-NL" w:bidi="ar-SA"/>
        </w:rPr>
      </w:pPr>
      <w:r w:rsidRPr="004D4609">
        <w:rPr>
          <w:rFonts w:cs="Times New Roman"/>
          <w:b/>
          <w:bCs/>
          <w:lang w:val="en-US" w:eastAsia="nl-NL" w:bidi="ar-SA"/>
        </w:rPr>
        <w:t>Coefficient B2</w:t>
      </w:r>
      <w:r w:rsidRPr="00C56697">
        <w:rPr>
          <w:rFonts w:cs="Times New Roman"/>
          <w:b/>
          <w:bCs/>
          <w:color w:val="FF6100"/>
          <w:lang w:val="en-US" w:eastAsia="nl-NL" w:bidi="ar-SA"/>
        </w:rPr>
        <w:t xml:space="preserve"> </w:t>
      </w:r>
      <w:r w:rsidR="004840A6">
        <w:rPr>
          <w:rFonts w:cs="Times New Roman"/>
          <w:bCs/>
          <w:lang w:val="en-US" w:eastAsia="nl-NL" w:bidi="ar-SA"/>
        </w:rPr>
        <w:t>presents</w:t>
      </w:r>
      <w:r w:rsidRPr="00C56697">
        <w:rPr>
          <w:rFonts w:cs="Times New Roman"/>
          <w:color w:val="000000"/>
          <w:lang w:val="en-US" w:eastAsia="nl-NL" w:bidi="ar-SA"/>
        </w:rPr>
        <w:t xml:space="preserve"> the relationship between</w:t>
      </w:r>
      <w:r w:rsidR="002971E2">
        <w:rPr>
          <w:rFonts w:cs="Times New Roman"/>
          <w:color w:val="000000"/>
          <w:lang w:val="en-US" w:eastAsia="nl-NL" w:bidi="ar-SA"/>
        </w:rPr>
        <w:t xml:space="preserve"> E and R when both E &amp; R indicate</w:t>
      </w:r>
      <w:r>
        <w:rPr>
          <w:rFonts w:cs="Times New Roman"/>
          <w:color w:val="000000"/>
          <w:lang w:val="en-US" w:eastAsia="nl-NL" w:bidi="ar-SA"/>
        </w:rPr>
        <w:t xml:space="preserve"> </w:t>
      </w:r>
      <w:r w:rsidRPr="00C56697">
        <w:rPr>
          <w:rFonts w:cs="Times New Roman"/>
          <w:color w:val="000000"/>
          <w:lang w:val="en-US" w:eastAsia="nl-NL" w:bidi="ar-SA"/>
        </w:rPr>
        <w:t>current performance and future good performance is anticipated by R but not by E.</w:t>
      </w:r>
    </w:p>
    <w:p w:rsidR="00926DB2" w:rsidRPr="00C56697" w:rsidRDefault="00926DB2" w:rsidP="00046654">
      <w:pPr>
        <w:autoSpaceDE w:val="0"/>
        <w:autoSpaceDN w:val="0"/>
        <w:adjustRightInd w:val="0"/>
        <w:spacing w:line="360" w:lineRule="auto"/>
        <w:jc w:val="both"/>
        <w:rPr>
          <w:rFonts w:cs="Times New Roman"/>
          <w:color w:val="000000"/>
          <w:lang w:val="en-US" w:eastAsia="nl-NL" w:bidi="ar-SA"/>
        </w:rPr>
      </w:pPr>
    </w:p>
    <w:p w:rsidR="00926DB2" w:rsidRDefault="00926DB2" w:rsidP="00046654">
      <w:pPr>
        <w:pStyle w:val="Lijstalinea"/>
        <w:numPr>
          <w:ilvl w:val="0"/>
          <w:numId w:val="4"/>
        </w:numPr>
        <w:autoSpaceDE w:val="0"/>
        <w:autoSpaceDN w:val="0"/>
        <w:adjustRightInd w:val="0"/>
        <w:spacing w:line="360" w:lineRule="auto"/>
        <w:jc w:val="both"/>
        <w:rPr>
          <w:rFonts w:cs="Times New Roman"/>
          <w:color w:val="000000"/>
          <w:lang w:val="en-US" w:eastAsia="nl-NL" w:bidi="ar-SA"/>
        </w:rPr>
      </w:pPr>
      <w:r w:rsidRPr="004D4609">
        <w:rPr>
          <w:rFonts w:cs="Times New Roman"/>
          <w:b/>
          <w:color w:val="000000"/>
          <w:lang w:val="en-US" w:eastAsia="nl-NL" w:bidi="ar-SA"/>
        </w:rPr>
        <w:t>Coefficient B3</w:t>
      </w:r>
      <w:r>
        <w:rPr>
          <w:rFonts w:cs="Times New Roman"/>
          <w:color w:val="000000"/>
          <w:lang w:val="en-US" w:eastAsia="nl-NL" w:bidi="ar-SA"/>
        </w:rPr>
        <w:t xml:space="preserve"> reflects</w:t>
      </w:r>
      <w:r w:rsidRPr="00C56697">
        <w:rPr>
          <w:rFonts w:cs="Times New Roman"/>
          <w:color w:val="000000"/>
          <w:lang w:val="en-US" w:eastAsia="nl-NL" w:bidi="ar-SA"/>
        </w:rPr>
        <w:t xml:space="preserve"> the increase in the strength of the relationship between E &amp; R</w:t>
      </w:r>
      <w:r>
        <w:rPr>
          <w:rFonts w:cs="Times New Roman"/>
          <w:color w:val="000000"/>
          <w:lang w:val="en-US" w:eastAsia="nl-NL" w:bidi="ar-SA"/>
        </w:rPr>
        <w:t xml:space="preserve"> </w:t>
      </w:r>
      <w:r w:rsidRPr="00C56697">
        <w:rPr>
          <w:rFonts w:cs="Times New Roman"/>
          <w:color w:val="000000"/>
          <w:lang w:val="en-US" w:eastAsia="nl-NL" w:bidi="ar-SA"/>
        </w:rPr>
        <w:t>when E (as well as R) anticipates</w:t>
      </w:r>
      <w:r>
        <w:rPr>
          <w:rFonts w:cs="Times New Roman"/>
          <w:color w:val="000000"/>
          <w:lang w:val="en-US" w:eastAsia="nl-NL" w:bidi="ar-SA"/>
        </w:rPr>
        <w:t xml:space="preserve"> bad performance in the future (Basu 1997). Coefficient B3</w:t>
      </w:r>
      <w:r w:rsidRPr="00C56697">
        <w:rPr>
          <w:rFonts w:cs="Times New Roman"/>
          <w:color w:val="000000"/>
          <w:lang w:val="en-US" w:eastAsia="nl-NL" w:bidi="ar-SA"/>
        </w:rPr>
        <w:t xml:space="preserve"> is the Basu</w:t>
      </w:r>
      <w:r>
        <w:rPr>
          <w:rFonts w:cs="Times New Roman"/>
          <w:color w:val="000000"/>
          <w:lang w:val="en-US" w:eastAsia="nl-NL" w:bidi="ar-SA"/>
        </w:rPr>
        <w:t xml:space="preserve"> </w:t>
      </w:r>
      <w:r w:rsidRPr="00C56697">
        <w:rPr>
          <w:rFonts w:cs="Times New Roman"/>
          <w:color w:val="000000"/>
          <w:lang w:val="en-US" w:eastAsia="nl-NL" w:bidi="ar-SA"/>
        </w:rPr>
        <w:t xml:space="preserve">measure of earnings conservatism, since it is entirely due to earnings </w:t>
      </w:r>
      <w:r>
        <w:rPr>
          <w:rFonts w:cs="Times New Roman"/>
          <w:color w:val="000000"/>
          <w:lang w:val="en-US" w:eastAsia="nl-NL" w:bidi="ar-SA"/>
        </w:rPr>
        <w:t>reflecting</w:t>
      </w:r>
      <w:r w:rsidRPr="00C56697">
        <w:rPr>
          <w:rFonts w:cs="Times New Roman"/>
          <w:color w:val="000000"/>
          <w:lang w:val="en-US" w:eastAsia="nl-NL" w:bidi="ar-SA"/>
        </w:rPr>
        <w:t xml:space="preserve"> anticipated bad</w:t>
      </w:r>
      <w:r>
        <w:rPr>
          <w:rFonts w:cs="Times New Roman"/>
          <w:color w:val="000000"/>
          <w:lang w:val="en-US" w:eastAsia="nl-NL" w:bidi="ar-SA"/>
        </w:rPr>
        <w:t xml:space="preserve"> </w:t>
      </w:r>
      <w:r w:rsidRPr="00C56697">
        <w:rPr>
          <w:rFonts w:cs="Times New Roman"/>
          <w:color w:val="000000"/>
          <w:lang w:val="en-US" w:eastAsia="nl-NL" w:bidi="ar-SA"/>
        </w:rPr>
        <w:t xml:space="preserve">performance </w:t>
      </w:r>
      <w:r>
        <w:rPr>
          <w:rFonts w:cs="Times New Roman"/>
          <w:color w:val="000000"/>
          <w:lang w:val="en-US" w:eastAsia="nl-NL" w:bidi="ar-SA"/>
        </w:rPr>
        <w:t>in the future. The estimate of B3 in Basu is around 0.166 (Basu 1997). In the article of Vichitsarawong et al. (2010) the B3 coef</w:t>
      </w:r>
      <w:r w:rsidR="00CE51CA">
        <w:rPr>
          <w:rFonts w:cs="Times New Roman"/>
          <w:color w:val="000000"/>
          <w:lang w:val="en-US" w:eastAsia="nl-NL" w:bidi="ar-SA"/>
        </w:rPr>
        <w:t>ficient measures the incremental</w:t>
      </w:r>
      <w:r>
        <w:rPr>
          <w:rFonts w:cs="Times New Roman"/>
          <w:color w:val="000000"/>
          <w:lang w:val="en-US" w:eastAsia="nl-NL" w:bidi="ar-SA"/>
        </w:rPr>
        <w:t xml:space="preserve"> sensitivity of accounting income to the integration of bad information than good information.</w:t>
      </w:r>
    </w:p>
    <w:p w:rsidR="00926DB2" w:rsidRDefault="00926DB2" w:rsidP="00046654">
      <w:pPr>
        <w:pStyle w:val="Lijstalinea"/>
        <w:jc w:val="both"/>
        <w:rPr>
          <w:rFonts w:cs="Times New Roman"/>
          <w:color w:val="000000"/>
          <w:lang w:val="en-US" w:eastAsia="nl-NL" w:bidi="ar-SA"/>
        </w:rPr>
      </w:pPr>
    </w:p>
    <w:p w:rsidR="00926DB2" w:rsidRDefault="00926DB2" w:rsidP="00BA0A98">
      <w:pPr>
        <w:pStyle w:val="Lijstalinea"/>
        <w:numPr>
          <w:ilvl w:val="0"/>
          <w:numId w:val="19"/>
        </w:numPr>
        <w:tabs>
          <w:tab w:val="clear" w:pos="1080"/>
          <w:tab w:val="num" w:pos="720"/>
        </w:tabs>
        <w:spacing w:line="360" w:lineRule="auto"/>
        <w:ind w:left="720"/>
        <w:jc w:val="both"/>
        <w:rPr>
          <w:rFonts w:cs="Times New Roman"/>
          <w:color w:val="000000"/>
          <w:lang w:val="en-US" w:eastAsia="nl-NL" w:bidi="ar-SA"/>
        </w:rPr>
      </w:pPr>
      <w:r w:rsidRPr="008E63F9">
        <w:rPr>
          <w:rFonts w:cs="Times New Roman"/>
          <w:b/>
          <w:color w:val="000000"/>
          <w:lang w:val="en-US" w:eastAsia="nl-NL" w:bidi="ar-SA"/>
        </w:rPr>
        <w:t>Coefficient B2 + B3</w:t>
      </w:r>
      <w:r>
        <w:rPr>
          <w:rFonts w:cs="Times New Roman"/>
          <w:color w:val="000000"/>
          <w:lang w:val="en-US" w:eastAsia="nl-NL" w:bidi="ar-SA"/>
        </w:rPr>
        <w:t xml:space="preserve"> measure the absolute sensitivity of income to negative returns. Subsequently (B2 + B3 / B2) measures the amount that earnings is more sensitive to negative returns as to positive returns (Basu 1997; Vichitsarawong et al. 2010)</w:t>
      </w:r>
    </w:p>
    <w:p w:rsidR="00926DB2" w:rsidRDefault="00926DB2" w:rsidP="00046654">
      <w:pPr>
        <w:pStyle w:val="Lijstalinea"/>
        <w:jc w:val="both"/>
        <w:rPr>
          <w:rFonts w:cs="Times New Roman"/>
          <w:color w:val="000000"/>
          <w:lang w:val="en-US" w:eastAsia="nl-NL" w:bidi="ar-SA"/>
        </w:rPr>
      </w:pPr>
    </w:p>
    <w:p w:rsidR="00926DB2" w:rsidRPr="009D3618" w:rsidRDefault="00926DB2" w:rsidP="00046654">
      <w:pPr>
        <w:pStyle w:val="Lijstalinea"/>
        <w:numPr>
          <w:ilvl w:val="1"/>
          <w:numId w:val="4"/>
        </w:numPr>
        <w:tabs>
          <w:tab w:val="clear" w:pos="1440"/>
          <w:tab w:val="num" w:pos="720"/>
        </w:tabs>
        <w:ind w:left="720"/>
        <w:jc w:val="both"/>
        <w:rPr>
          <w:rFonts w:cs="Times New Roman"/>
          <w:b/>
          <w:color w:val="000000"/>
          <w:lang w:val="en-US" w:eastAsia="nl-NL" w:bidi="ar-SA"/>
        </w:rPr>
      </w:pPr>
      <w:r w:rsidRPr="00B60927">
        <w:rPr>
          <w:rFonts w:cs="Times New Roman"/>
          <w:b/>
          <w:color w:val="000000"/>
          <w:lang w:val="en-US" w:eastAsia="nl-NL" w:bidi="ar-SA"/>
        </w:rPr>
        <w:t>Adjusted R2</w:t>
      </w:r>
      <w:r>
        <w:rPr>
          <w:rFonts w:cs="Times New Roman"/>
          <w:b/>
          <w:color w:val="000000"/>
          <w:lang w:val="en-US" w:eastAsia="nl-NL" w:bidi="ar-SA"/>
        </w:rPr>
        <w:t xml:space="preserve"> </w:t>
      </w:r>
      <w:r>
        <w:rPr>
          <w:rFonts w:cs="Times New Roman"/>
          <w:color w:val="000000"/>
          <w:lang w:val="en-US" w:eastAsia="nl-NL" w:bidi="ar-SA"/>
        </w:rPr>
        <w:t>reflects the timeliness of financial reporting in the Basu regression model.</w:t>
      </w:r>
      <w:r>
        <w:rPr>
          <w:rFonts w:cs="Times New Roman"/>
          <w:b/>
          <w:color w:val="000000"/>
          <w:lang w:val="en-US" w:eastAsia="nl-NL" w:bidi="ar-SA"/>
        </w:rPr>
        <w:br/>
      </w:r>
    </w:p>
    <w:p w:rsidR="004840A6" w:rsidRPr="004840A6" w:rsidRDefault="00542395" w:rsidP="004840A6">
      <w:pPr>
        <w:pStyle w:val="Lijstalinea"/>
        <w:numPr>
          <w:ilvl w:val="0"/>
          <w:numId w:val="4"/>
        </w:numPr>
        <w:autoSpaceDE w:val="0"/>
        <w:autoSpaceDN w:val="0"/>
        <w:adjustRightInd w:val="0"/>
        <w:spacing w:line="360" w:lineRule="auto"/>
        <w:jc w:val="both"/>
        <w:rPr>
          <w:rFonts w:cs="Times New Roman"/>
          <w:b/>
          <w:color w:val="000000"/>
          <w:sz w:val="28"/>
          <w:szCs w:val="28"/>
          <w:lang w:val="en-US" w:eastAsia="nl-NL" w:bidi="ar-SA"/>
        </w:rPr>
      </w:pPr>
      <w:r w:rsidRPr="004B4228">
        <w:rPr>
          <w:b/>
          <w:sz w:val="28"/>
          <w:lang w:val="en-US" w:eastAsia="nl-NL" w:bidi="ar-SA"/>
        </w:rPr>
        <w:fldChar w:fldCharType="begin"/>
      </w:r>
      <w:r w:rsidR="00926DB2" w:rsidRPr="004B4228">
        <w:rPr>
          <w:b/>
          <w:sz w:val="28"/>
          <w:lang w:val="en-US" w:eastAsia="nl-NL" w:bidi="ar-SA"/>
        </w:rPr>
        <w:instrText xml:space="preserve"> QUOTE </w:instrText>
      </w:r>
      <w:r>
        <w:pict>
          <v:shape id="_x0000_i1027" type="#_x0000_t75" style="width:12pt;height:16.5pt" equationxml="&lt;">
            <v:imagedata r:id="rId12" o:title="" chromakey="white"/>
          </v:shape>
        </w:pict>
      </w:r>
      <w:r w:rsidR="00926DB2" w:rsidRPr="004B4228">
        <w:rPr>
          <w:b/>
          <w:sz w:val="28"/>
          <w:lang w:val="en-US" w:eastAsia="nl-NL" w:bidi="ar-SA"/>
        </w:rPr>
        <w:instrText xml:space="preserve"> </w:instrText>
      </w:r>
      <w:r w:rsidRPr="004B4228">
        <w:rPr>
          <w:b/>
          <w:sz w:val="28"/>
          <w:lang w:val="en-US" w:eastAsia="nl-NL" w:bidi="ar-SA"/>
        </w:rPr>
        <w:fldChar w:fldCharType="separate"/>
      </w:r>
      <w:r>
        <w:pict>
          <v:shape id="_x0000_i1028" type="#_x0000_t75" style="width:12pt;height:16.5pt" equationxml="&lt;">
            <v:imagedata r:id="rId12" o:title="" chromakey="white"/>
          </v:shape>
        </w:pict>
      </w:r>
      <w:r w:rsidRPr="004B4228">
        <w:rPr>
          <w:b/>
          <w:sz w:val="28"/>
          <w:lang w:val="en-US" w:eastAsia="nl-NL" w:bidi="ar-SA"/>
        </w:rPr>
        <w:fldChar w:fldCharType="end"/>
      </w:r>
      <w:r w:rsidR="00926DB2">
        <w:rPr>
          <w:b/>
          <w:sz w:val="28"/>
          <w:lang w:val="en-US" w:eastAsia="nl-NL" w:bidi="ar-SA"/>
        </w:rPr>
        <w:t xml:space="preserve"> </w:t>
      </w:r>
      <w:r w:rsidR="00926DB2">
        <w:rPr>
          <w:szCs w:val="24"/>
          <w:lang w:val="en-US" w:eastAsia="nl-NL" w:bidi="ar-SA"/>
        </w:rPr>
        <w:t>represents the error which is the part that is beyond the explanatory power of the model.</w:t>
      </w:r>
    </w:p>
    <w:p w:rsidR="00926DB2" w:rsidRPr="00B53F35" w:rsidRDefault="00926DB2" w:rsidP="00B53F35">
      <w:pPr>
        <w:pStyle w:val="Kop2"/>
        <w:jc w:val="both"/>
        <w:rPr>
          <w:rFonts w:ascii="Times New Roman" w:hAnsi="Times New Roman" w:cs="Times New Roman"/>
          <w:bCs w:val="0"/>
          <w:i w:val="0"/>
          <w:iCs w:val="0"/>
          <w:sz w:val="24"/>
          <w:szCs w:val="24"/>
        </w:rPr>
      </w:pPr>
      <w:bookmarkStart w:id="184" w:name="_Toc268186069"/>
      <w:r w:rsidRPr="00B53F35">
        <w:rPr>
          <w:rFonts w:ascii="Times New Roman" w:hAnsi="Times New Roman" w:cs="Times New Roman"/>
          <w:bCs w:val="0"/>
          <w:i w:val="0"/>
          <w:iCs w:val="0"/>
          <w:sz w:val="24"/>
          <w:szCs w:val="24"/>
        </w:rPr>
        <w:t>5.5 Proxies for the variables</w:t>
      </w:r>
      <w:bookmarkEnd w:id="184"/>
    </w:p>
    <w:p w:rsidR="00926DB2" w:rsidRDefault="00926DB2" w:rsidP="00F615FC">
      <w:pPr>
        <w:spacing w:line="360" w:lineRule="auto"/>
        <w:jc w:val="both"/>
      </w:pPr>
    </w:p>
    <w:p w:rsidR="00926DB2" w:rsidRDefault="00926DB2" w:rsidP="00F615FC">
      <w:pPr>
        <w:spacing w:line="360" w:lineRule="auto"/>
        <w:jc w:val="both"/>
      </w:pPr>
      <w:r>
        <w:t xml:space="preserve">The proxies for the </w:t>
      </w:r>
      <w:r w:rsidRPr="00493EC2">
        <w:t>variables of the</w:t>
      </w:r>
      <w:r>
        <w:t xml:space="preserve"> Basu model and firm performance are elaborated in this part of the thesis. The variables of the Basu model were elaborated in subchapter 5.2; subsequently the proxies for the net income and returns variables will be presented:</w:t>
      </w:r>
    </w:p>
    <w:p w:rsidR="00926DB2" w:rsidRDefault="00926DB2" w:rsidP="00F615FC">
      <w:pPr>
        <w:spacing w:line="360" w:lineRule="auto"/>
        <w:jc w:val="both"/>
      </w:pPr>
    </w:p>
    <w:p w:rsidR="00926DB2" w:rsidRDefault="00926DB2" w:rsidP="00F615FC">
      <w:pPr>
        <w:numPr>
          <w:ilvl w:val="0"/>
          <w:numId w:val="17"/>
        </w:numPr>
        <w:spacing w:line="360" w:lineRule="auto"/>
        <w:jc w:val="both"/>
      </w:pPr>
      <w:r w:rsidRPr="00944EBA">
        <w:rPr>
          <w:b/>
        </w:rPr>
        <w:t>NI</w:t>
      </w:r>
      <w:r>
        <w:t xml:space="preserve">; this variable is measured by the </w:t>
      </w:r>
      <w:r>
        <w:rPr>
          <w:i/>
        </w:rPr>
        <w:t xml:space="preserve">earnings </w:t>
      </w:r>
      <w:r w:rsidRPr="00944EBA">
        <w:rPr>
          <w:i/>
        </w:rPr>
        <w:t>per share of bank i, deflated by the beg</w:t>
      </w:r>
      <w:r>
        <w:rPr>
          <w:i/>
        </w:rPr>
        <w:t>inning of the period share pr</w:t>
      </w:r>
      <w:r w:rsidR="004F04A1">
        <w:t>ice:</w:t>
      </w:r>
      <w:r>
        <w:rPr>
          <w:i/>
        </w:rPr>
        <w:t xml:space="preserve"> </w:t>
      </w:r>
      <w:r w:rsidR="004F04A1">
        <w:t>(like in Basu 1997</w:t>
      </w:r>
      <w:r>
        <w:t xml:space="preserve">; </w:t>
      </w:r>
      <w:r w:rsidRPr="00944EBA">
        <w:t>Vichitsarawong</w:t>
      </w:r>
      <w:r>
        <w:t xml:space="preserve"> et al.</w:t>
      </w:r>
      <w:r w:rsidRPr="00944EBA">
        <w:t xml:space="preserve"> 2010</w:t>
      </w:r>
      <w:r>
        <w:t>).</w:t>
      </w:r>
    </w:p>
    <w:p w:rsidR="004840A6" w:rsidRDefault="004840A6" w:rsidP="004840A6">
      <w:pPr>
        <w:spacing w:line="360" w:lineRule="auto"/>
        <w:ind w:left="720"/>
        <w:jc w:val="both"/>
      </w:pPr>
    </w:p>
    <w:p w:rsidR="004840A6" w:rsidRDefault="00926DB2" w:rsidP="004840A6">
      <w:pPr>
        <w:spacing w:line="360" w:lineRule="auto"/>
        <w:ind w:right="72"/>
        <w:jc w:val="both"/>
        <w:rPr>
          <w:b/>
          <w:i/>
        </w:rPr>
      </w:pPr>
      <w:r>
        <w:rPr>
          <w:b/>
          <w:i/>
        </w:rPr>
        <w:t>Xit / Pit</w:t>
      </w:r>
    </w:p>
    <w:p w:rsidR="00926DB2" w:rsidRDefault="00926DB2" w:rsidP="004840A6">
      <w:pPr>
        <w:spacing w:line="360" w:lineRule="auto"/>
        <w:ind w:right="72"/>
        <w:jc w:val="both"/>
        <w:rPr>
          <w:b/>
          <w:i/>
        </w:rPr>
      </w:pPr>
      <w:r>
        <w:rPr>
          <w:b/>
          <w:i/>
        </w:rPr>
        <w:tab/>
      </w:r>
      <w:r>
        <w:rPr>
          <w:b/>
          <w:i/>
        </w:rPr>
        <w:tab/>
      </w:r>
      <w:r>
        <w:rPr>
          <w:b/>
          <w:i/>
        </w:rPr>
        <w:tab/>
      </w:r>
      <w:r>
        <w:rPr>
          <w:b/>
          <w:i/>
        </w:rPr>
        <w:tab/>
      </w:r>
      <w:r>
        <w:rPr>
          <w:b/>
          <w:i/>
        </w:rPr>
        <w:tab/>
      </w:r>
      <w:r>
        <w:rPr>
          <w:b/>
          <w:i/>
        </w:rPr>
        <w:tab/>
      </w:r>
      <w:r>
        <w:rPr>
          <w:b/>
          <w:i/>
        </w:rPr>
        <w:tab/>
      </w:r>
      <w:r>
        <w:rPr>
          <w:b/>
          <w:i/>
        </w:rPr>
        <w:tab/>
      </w:r>
      <w:r>
        <w:rPr>
          <w:b/>
          <w:i/>
        </w:rPr>
        <w:tab/>
      </w:r>
      <w:r>
        <w:rPr>
          <w:b/>
          <w:i/>
        </w:rPr>
        <w:tab/>
      </w:r>
      <w:r w:rsidRPr="00A65665">
        <w:rPr>
          <w:b/>
          <w:i/>
        </w:rPr>
        <w:t>(3)</w:t>
      </w:r>
    </w:p>
    <w:p w:rsidR="00926DB2" w:rsidRPr="00A65665" w:rsidRDefault="00926DB2" w:rsidP="00F615FC">
      <w:pPr>
        <w:spacing w:line="360" w:lineRule="auto"/>
        <w:jc w:val="both"/>
      </w:pPr>
      <w:r>
        <w:lastRenderedPageBreak/>
        <w:t>Xit; represents the earnings per share of bank i and Pit-1 represents the beginning of the period share price of each bank i. In this research Xit deflated by Pit-1 is noted as NI.</w:t>
      </w:r>
    </w:p>
    <w:p w:rsidR="00926DB2" w:rsidRPr="00944EBA" w:rsidRDefault="00926DB2" w:rsidP="00F615FC">
      <w:pPr>
        <w:spacing w:line="360" w:lineRule="auto"/>
        <w:jc w:val="both"/>
      </w:pPr>
    </w:p>
    <w:p w:rsidR="00926DB2" w:rsidRDefault="00926DB2" w:rsidP="00F615FC">
      <w:pPr>
        <w:numPr>
          <w:ilvl w:val="0"/>
          <w:numId w:val="17"/>
        </w:numPr>
        <w:spacing w:line="360" w:lineRule="auto"/>
        <w:jc w:val="both"/>
      </w:pPr>
      <w:r>
        <w:rPr>
          <w:b/>
        </w:rPr>
        <w:t>R</w:t>
      </w:r>
      <w:r w:rsidRPr="00944EBA">
        <w:t>;</w:t>
      </w:r>
      <w:r>
        <w:t xml:space="preserve"> this variable is represented by the </w:t>
      </w:r>
      <w:r w:rsidRPr="00944EBA">
        <w:rPr>
          <w:i/>
        </w:rPr>
        <w:t>holding period returns of bank i</w:t>
      </w:r>
      <w:r>
        <w:rPr>
          <w:i/>
        </w:rPr>
        <w:t xml:space="preserve"> including dividends </w:t>
      </w:r>
      <w:r>
        <w:t xml:space="preserve">(like in the Basu 1997; </w:t>
      </w:r>
      <w:r w:rsidRPr="00944EBA">
        <w:t>Vichitsarawong</w:t>
      </w:r>
      <w:r>
        <w:t xml:space="preserve"> et al. </w:t>
      </w:r>
      <w:r w:rsidR="008F7E52">
        <w:t>(</w:t>
      </w:r>
      <w:r w:rsidR="008F7E52" w:rsidRPr="00944EBA">
        <w:t>2010</w:t>
      </w:r>
      <w:r>
        <w:t>).</w:t>
      </w:r>
    </w:p>
    <w:p w:rsidR="00926DB2" w:rsidRPr="00944EBA" w:rsidRDefault="00926DB2" w:rsidP="00F615FC">
      <w:pPr>
        <w:spacing w:line="360" w:lineRule="auto"/>
        <w:ind w:left="720"/>
        <w:jc w:val="both"/>
        <w:rPr>
          <w:i/>
        </w:rPr>
      </w:pPr>
    </w:p>
    <w:p w:rsidR="00926DB2" w:rsidRDefault="00926DB2" w:rsidP="00F615FC">
      <w:pPr>
        <w:spacing w:line="360" w:lineRule="auto"/>
        <w:jc w:val="both"/>
      </w:pPr>
      <w:r>
        <w:t xml:space="preserve">For measuring the bank performances in this research the ROA (return on assets) and ROE (return on equity) are used. </w:t>
      </w:r>
    </w:p>
    <w:p w:rsidR="00926DB2" w:rsidRDefault="00926DB2" w:rsidP="00F615FC">
      <w:pPr>
        <w:spacing w:line="360" w:lineRule="auto"/>
        <w:jc w:val="both"/>
      </w:pPr>
    </w:p>
    <w:p w:rsidR="00926DB2" w:rsidRDefault="00926DB2" w:rsidP="00F615FC">
      <w:pPr>
        <w:spacing w:line="360" w:lineRule="auto"/>
        <w:jc w:val="both"/>
      </w:pPr>
      <w:r>
        <w:t>The ROA is formulated as:</w:t>
      </w:r>
    </w:p>
    <w:p w:rsidR="00926DB2" w:rsidRDefault="00926DB2" w:rsidP="00F615FC">
      <w:pPr>
        <w:spacing w:line="360" w:lineRule="auto"/>
        <w:jc w:val="both"/>
      </w:pPr>
    </w:p>
    <w:p w:rsidR="00667737" w:rsidRDefault="00926DB2" w:rsidP="00F615FC">
      <w:pPr>
        <w:spacing w:line="360" w:lineRule="auto"/>
        <w:jc w:val="both"/>
        <w:rPr>
          <w:b/>
          <w:i/>
        </w:rPr>
      </w:pPr>
      <w:r w:rsidRPr="001F214D">
        <w:rPr>
          <w:b/>
          <w:i/>
        </w:rPr>
        <w:t xml:space="preserve">ROA = </w:t>
      </w:r>
      <w:r w:rsidR="00667737">
        <w:rPr>
          <w:b/>
          <w:i/>
        </w:rPr>
        <w:t xml:space="preserve"> </w:t>
      </w:r>
      <w:r w:rsidR="00667737" w:rsidRPr="00667737">
        <w:rPr>
          <w:b/>
          <w:i/>
          <w:u w:val="single"/>
        </w:rPr>
        <w:t>(</w:t>
      </w:r>
      <w:r w:rsidRPr="00667737">
        <w:rPr>
          <w:b/>
          <w:i/>
          <w:u w:val="single"/>
        </w:rPr>
        <w:t>Net income + Interest tax savings</w:t>
      </w:r>
      <w:r w:rsidR="00667737" w:rsidRPr="00667737">
        <w:rPr>
          <w:b/>
          <w:i/>
          <w:u w:val="single"/>
        </w:rPr>
        <w:t>)</w:t>
      </w:r>
      <w:r w:rsidR="00667737" w:rsidRPr="00667737">
        <w:rPr>
          <w:b/>
          <w:i/>
        </w:rPr>
        <w:t xml:space="preserve"> </w:t>
      </w:r>
      <w:r w:rsidR="00667737">
        <w:rPr>
          <w:b/>
          <w:i/>
        </w:rPr>
        <w:t xml:space="preserve">      </w:t>
      </w:r>
      <w:r w:rsidR="00667737">
        <w:rPr>
          <w:b/>
          <w:i/>
        </w:rPr>
        <w:tab/>
      </w:r>
      <w:r w:rsidR="00667737">
        <w:rPr>
          <w:b/>
          <w:i/>
        </w:rPr>
        <w:tab/>
      </w:r>
      <w:r w:rsidR="00667737">
        <w:rPr>
          <w:b/>
          <w:i/>
        </w:rPr>
        <w:tab/>
      </w:r>
      <w:r w:rsidR="00667737">
        <w:rPr>
          <w:b/>
          <w:i/>
        </w:rPr>
        <w:tab/>
      </w:r>
      <w:r w:rsidR="00667737">
        <w:rPr>
          <w:b/>
          <w:i/>
        </w:rPr>
        <w:tab/>
        <w:t>(4)</w:t>
      </w:r>
    </w:p>
    <w:p w:rsidR="00926DB2" w:rsidRDefault="00667737" w:rsidP="00667737">
      <w:pPr>
        <w:spacing w:line="360" w:lineRule="auto"/>
        <w:rPr>
          <w:b/>
          <w:i/>
        </w:rPr>
      </w:pPr>
      <w:r>
        <w:rPr>
          <w:b/>
          <w:i/>
        </w:rPr>
        <w:t xml:space="preserve">                         Average total assets </w:t>
      </w:r>
      <w:r>
        <w:rPr>
          <w:b/>
          <w:i/>
        </w:rPr>
        <w:tab/>
      </w:r>
      <w:r>
        <w:rPr>
          <w:b/>
          <w:i/>
        </w:rPr>
        <w:tab/>
      </w:r>
      <w:r>
        <w:rPr>
          <w:b/>
          <w:i/>
        </w:rPr>
        <w:tab/>
      </w:r>
      <w:r>
        <w:rPr>
          <w:b/>
          <w:i/>
        </w:rPr>
        <w:tab/>
      </w:r>
      <w:r>
        <w:rPr>
          <w:b/>
          <w:i/>
        </w:rPr>
        <w:tab/>
      </w:r>
      <w:r>
        <w:rPr>
          <w:b/>
          <w:i/>
        </w:rPr>
        <w:tab/>
      </w:r>
      <w:r w:rsidR="00926DB2">
        <w:rPr>
          <w:b/>
          <w:i/>
        </w:rPr>
        <w:tab/>
      </w:r>
    </w:p>
    <w:p w:rsidR="00926DB2" w:rsidRDefault="00926DB2" w:rsidP="00F615FC">
      <w:pPr>
        <w:spacing w:line="360" w:lineRule="auto"/>
        <w:jc w:val="both"/>
        <w:rPr>
          <w:b/>
          <w:i/>
        </w:rPr>
      </w:pPr>
    </w:p>
    <w:p w:rsidR="00926DB2" w:rsidRDefault="004840A6" w:rsidP="00F615FC">
      <w:pPr>
        <w:spacing w:line="360" w:lineRule="auto"/>
        <w:jc w:val="both"/>
      </w:pPr>
      <w:r>
        <w:t>The ROA is the principal</w:t>
      </w:r>
      <w:r w:rsidR="00926DB2">
        <w:t xml:space="preserve"> measure for bank performance hence the ROA gives a measurement of the earnings in comparison with the whole investment. The ROA is a stable measure of performance; this is of importance hence part of this research is conducted during a crisis period. In order to guarantee the robustness of measuring performances, a second measure will be used. Hence the performance of the banks will be checked by two measurement indicators. This second measure is the ROE. The ROE measures a company’s efficiency at making gains from each part of equity </w:t>
      </w:r>
      <w:r w:rsidR="00926DB2" w:rsidRPr="00520E09">
        <w:t>(Woolridge et al.  2006).</w:t>
      </w:r>
      <w:r w:rsidR="00926DB2">
        <w:t xml:space="preserve"> </w:t>
      </w:r>
    </w:p>
    <w:p w:rsidR="00926DB2" w:rsidRDefault="00926DB2" w:rsidP="00046654">
      <w:pPr>
        <w:spacing w:line="360" w:lineRule="auto"/>
        <w:jc w:val="both"/>
      </w:pPr>
    </w:p>
    <w:p w:rsidR="00926DB2" w:rsidRDefault="00926DB2" w:rsidP="00046654">
      <w:pPr>
        <w:spacing w:line="360" w:lineRule="auto"/>
        <w:jc w:val="both"/>
      </w:pPr>
      <w:r>
        <w:t>The ROE is calculated as follows:</w:t>
      </w:r>
    </w:p>
    <w:p w:rsidR="00667737" w:rsidRDefault="00667737" w:rsidP="00046654">
      <w:pPr>
        <w:spacing w:line="360" w:lineRule="auto"/>
        <w:jc w:val="both"/>
        <w:rPr>
          <w:b/>
          <w:i/>
        </w:rPr>
      </w:pPr>
    </w:p>
    <w:p w:rsidR="00926DB2" w:rsidRPr="005E73EF" w:rsidRDefault="00926DB2" w:rsidP="00046654">
      <w:pPr>
        <w:spacing w:line="360" w:lineRule="auto"/>
        <w:jc w:val="both"/>
        <w:rPr>
          <w:b/>
          <w:i/>
        </w:rPr>
      </w:pPr>
      <w:r w:rsidRPr="005E73EF">
        <w:rPr>
          <w:b/>
          <w:i/>
        </w:rPr>
        <w:t xml:space="preserve">ROE = Net income / </w:t>
      </w:r>
      <w:r w:rsidRPr="004F666A">
        <w:rPr>
          <w:b/>
          <w:i/>
        </w:rPr>
        <w:t>Shareholders equity</w:t>
      </w:r>
      <w:r w:rsidRPr="005E73EF">
        <w:rPr>
          <w:b/>
          <w:i/>
        </w:rPr>
        <w:tab/>
      </w:r>
      <w:r w:rsidRPr="005E73EF">
        <w:rPr>
          <w:b/>
          <w:i/>
        </w:rPr>
        <w:tab/>
      </w:r>
      <w:r w:rsidRPr="005E73EF">
        <w:rPr>
          <w:b/>
          <w:i/>
        </w:rPr>
        <w:tab/>
      </w:r>
      <w:r w:rsidRPr="005E73EF">
        <w:rPr>
          <w:b/>
          <w:i/>
        </w:rPr>
        <w:tab/>
      </w:r>
      <w:r w:rsidR="00667737">
        <w:rPr>
          <w:b/>
          <w:i/>
        </w:rPr>
        <w:tab/>
      </w:r>
      <w:r w:rsidRPr="005E73EF">
        <w:rPr>
          <w:b/>
          <w:i/>
        </w:rPr>
        <w:t>(5)</w:t>
      </w:r>
    </w:p>
    <w:p w:rsidR="00926DB2" w:rsidRDefault="00926DB2" w:rsidP="00046654">
      <w:pPr>
        <w:spacing w:line="360" w:lineRule="auto"/>
        <w:jc w:val="both"/>
        <w:rPr>
          <w:b/>
          <w:lang w:val="en-US"/>
        </w:rPr>
      </w:pPr>
    </w:p>
    <w:p w:rsidR="00926DB2" w:rsidRPr="00D11833" w:rsidRDefault="00926DB2" w:rsidP="00B53F35">
      <w:pPr>
        <w:spacing w:line="360" w:lineRule="auto"/>
        <w:jc w:val="both"/>
        <w:rPr>
          <w:lang w:val="en-US"/>
        </w:rPr>
      </w:pPr>
      <w:r>
        <w:rPr>
          <w:lang w:val="en-US"/>
        </w:rPr>
        <w:t>Al the above mentioned proxies and performance measures are obtained from the Thomson One Banker Databank.</w:t>
      </w:r>
    </w:p>
    <w:p w:rsidR="00926DB2" w:rsidRPr="00B53F35" w:rsidRDefault="00926DB2" w:rsidP="00B53F35">
      <w:pPr>
        <w:pStyle w:val="Kop2"/>
        <w:jc w:val="both"/>
        <w:rPr>
          <w:rFonts w:ascii="Times New Roman" w:hAnsi="Times New Roman" w:cs="Times New Roman"/>
          <w:bCs w:val="0"/>
          <w:i w:val="0"/>
          <w:iCs w:val="0"/>
          <w:sz w:val="24"/>
          <w:szCs w:val="24"/>
          <w:lang w:val="en-US"/>
        </w:rPr>
      </w:pPr>
      <w:bookmarkStart w:id="185" w:name="_Toc268186070"/>
      <w:r w:rsidRPr="00B53F35">
        <w:rPr>
          <w:rFonts w:ascii="Times New Roman" w:hAnsi="Times New Roman" w:cs="Times New Roman"/>
          <w:bCs w:val="0"/>
          <w:i w:val="0"/>
          <w:iCs w:val="0"/>
          <w:sz w:val="24"/>
          <w:szCs w:val="24"/>
          <w:lang w:val="en-US"/>
        </w:rPr>
        <w:t>5.6 Sample selection, periods and data</w:t>
      </w:r>
      <w:bookmarkEnd w:id="185"/>
    </w:p>
    <w:p w:rsidR="00926DB2" w:rsidRPr="005F7F20" w:rsidRDefault="00926DB2" w:rsidP="00046654">
      <w:pPr>
        <w:spacing w:line="360" w:lineRule="auto"/>
        <w:jc w:val="both"/>
        <w:rPr>
          <w:i/>
          <w:lang w:val="en-US"/>
        </w:rPr>
      </w:pPr>
    </w:p>
    <w:p w:rsidR="00926DB2" w:rsidRPr="005F7F20" w:rsidRDefault="00926DB2" w:rsidP="00046654">
      <w:pPr>
        <w:spacing w:line="360" w:lineRule="auto"/>
        <w:jc w:val="both"/>
        <w:rPr>
          <w:lang w:val="en-US"/>
        </w:rPr>
      </w:pPr>
      <w:r>
        <w:rPr>
          <w:lang w:val="en-US"/>
        </w:rPr>
        <w:t xml:space="preserve">In this thesis a </w:t>
      </w:r>
      <w:r w:rsidRPr="005F7F20">
        <w:rPr>
          <w:lang w:val="en-US"/>
        </w:rPr>
        <w:t>sample of West-European Bank</w:t>
      </w:r>
      <w:r>
        <w:rPr>
          <w:lang w:val="en-US"/>
        </w:rPr>
        <w:t xml:space="preserve">s from the following countries; </w:t>
      </w:r>
      <w:r w:rsidRPr="005F7F20">
        <w:rPr>
          <w:lang w:val="en-US"/>
        </w:rPr>
        <w:t>Austria, Belgium, Deutschland, Denmark,</w:t>
      </w:r>
      <w:r>
        <w:rPr>
          <w:lang w:val="en-US"/>
        </w:rPr>
        <w:t xml:space="preserve"> Spain,</w:t>
      </w:r>
      <w:r w:rsidRPr="005F7F20">
        <w:rPr>
          <w:lang w:val="en-US"/>
        </w:rPr>
        <w:t xml:space="preserve"> Lithuania, Finland, France, Great-Britain, Ireland, Luxembourg, Netherlands, Norway, Portugal and Sweden</w:t>
      </w:r>
      <w:r>
        <w:rPr>
          <w:lang w:val="en-US"/>
        </w:rPr>
        <w:t xml:space="preserve"> will be used</w:t>
      </w:r>
      <w:r w:rsidRPr="005F7F20">
        <w:rPr>
          <w:lang w:val="en-US"/>
        </w:rPr>
        <w:t xml:space="preserve">. The main </w:t>
      </w:r>
      <w:r w:rsidRPr="005F7F20">
        <w:rPr>
          <w:lang w:val="en-US"/>
        </w:rPr>
        <w:lastRenderedPageBreak/>
        <w:t>geographical focus of the research is West</w:t>
      </w:r>
      <w:r>
        <w:rPr>
          <w:lang w:val="en-US"/>
        </w:rPr>
        <w:t xml:space="preserve">-Europe. Former Soviet </w:t>
      </w:r>
      <w:r w:rsidRPr="005F7F20">
        <w:rPr>
          <w:lang w:val="en-US"/>
        </w:rPr>
        <w:t>countries are excluded from this data sam</w:t>
      </w:r>
      <w:r>
        <w:rPr>
          <w:lang w:val="en-US"/>
        </w:rPr>
        <w:t>ple. The countries Latvia and E</w:t>
      </w:r>
      <w:r w:rsidRPr="005F7F20">
        <w:rPr>
          <w:lang w:val="en-US"/>
        </w:rPr>
        <w:t xml:space="preserve">stland are excluded due to the fact that no data was available for these countries. Switzerland is excluded because of the Bank secrecy policy (1934) that this country has, for this reason and </w:t>
      </w:r>
      <w:r w:rsidR="008F7E52" w:rsidRPr="005F7F20">
        <w:rPr>
          <w:lang w:val="en-US"/>
        </w:rPr>
        <w:t>comparability</w:t>
      </w:r>
      <w:r w:rsidR="008F7E52">
        <w:rPr>
          <w:lang w:val="en-US"/>
        </w:rPr>
        <w:t xml:space="preserve"> </w:t>
      </w:r>
      <w:r w:rsidR="008F7E52" w:rsidRPr="005F7F20">
        <w:rPr>
          <w:lang w:val="en-US"/>
        </w:rPr>
        <w:t>the</w:t>
      </w:r>
      <w:r w:rsidRPr="005F7F20">
        <w:rPr>
          <w:lang w:val="en-US"/>
        </w:rPr>
        <w:t xml:space="preserve"> banks in Switzerland are excl</w:t>
      </w:r>
      <w:r>
        <w:rPr>
          <w:lang w:val="en-US"/>
        </w:rPr>
        <w:t xml:space="preserve">uded from the data sample. Italian banks are </w:t>
      </w:r>
      <w:r w:rsidRPr="005F7F20">
        <w:rPr>
          <w:lang w:val="en-US"/>
        </w:rPr>
        <w:t xml:space="preserve">excluded from the data </w:t>
      </w:r>
      <w:r w:rsidR="00D17C8B" w:rsidRPr="005F7F20">
        <w:rPr>
          <w:lang w:val="en-US"/>
        </w:rPr>
        <w:t>sample;</w:t>
      </w:r>
      <w:r w:rsidRPr="005F7F20">
        <w:rPr>
          <w:lang w:val="en-US"/>
        </w:rPr>
        <w:t xml:space="preserve"> the main reason for this is because Italy has a lot of small private banks and conglom</w:t>
      </w:r>
      <w:r>
        <w:rPr>
          <w:lang w:val="en-US"/>
        </w:rPr>
        <w:t>erations of small banks hence t</w:t>
      </w:r>
      <w:r w:rsidRPr="005F7F20">
        <w:rPr>
          <w:lang w:val="en-US"/>
        </w:rPr>
        <w:t>he focus is on bigger ind</w:t>
      </w:r>
      <w:r>
        <w:rPr>
          <w:lang w:val="en-US"/>
        </w:rPr>
        <w:t xml:space="preserve">ependent banks </w:t>
      </w:r>
      <w:r w:rsidRPr="005F7F20">
        <w:rPr>
          <w:lang w:val="en-US"/>
        </w:rPr>
        <w:t>Italian banks are</w:t>
      </w:r>
      <w:r>
        <w:rPr>
          <w:lang w:val="en-US"/>
        </w:rPr>
        <w:t xml:space="preserve"> </w:t>
      </w:r>
      <w:r w:rsidRPr="005F7F20">
        <w:rPr>
          <w:lang w:val="en-US"/>
        </w:rPr>
        <w:t>excluded from the sample.</w:t>
      </w:r>
    </w:p>
    <w:p w:rsidR="00926DB2" w:rsidRDefault="00926DB2" w:rsidP="00046654">
      <w:pPr>
        <w:spacing w:line="360" w:lineRule="auto"/>
        <w:jc w:val="both"/>
        <w:rPr>
          <w:i/>
          <w:iCs/>
          <w:lang w:val="en-US"/>
        </w:rPr>
      </w:pPr>
    </w:p>
    <w:p w:rsidR="00926DB2" w:rsidRPr="005F7F20" w:rsidRDefault="00926DB2" w:rsidP="00046654">
      <w:pPr>
        <w:spacing w:line="360" w:lineRule="auto"/>
        <w:jc w:val="both"/>
        <w:rPr>
          <w:i/>
          <w:iCs/>
          <w:lang w:val="en-US"/>
        </w:rPr>
      </w:pPr>
      <w:r w:rsidRPr="005F7F20">
        <w:rPr>
          <w:i/>
          <w:iCs/>
          <w:lang w:val="en-US"/>
        </w:rPr>
        <w:t>Sample size</w:t>
      </w:r>
    </w:p>
    <w:p w:rsidR="00926DB2" w:rsidRPr="005F7F20" w:rsidRDefault="00926DB2" w:rsidP="00046654">
      <w:pPr>
        <w:spacing w:line="360" w:lineRule="auto"/>
        <w:jc w:val="both"/>
        <w:rPr>
          <w:b/>
          <w:bCs/>
          <w:i/>
          <w:iCs/>
          <w:lang w:val="en-US"/>
        </w:rPr>
      </w:pPr>
    </w:p>
    <w:p w:rsidR="00926DB2" w:rsidRDefault="00926DB2" w:rsidP="00046654">
      <w:pPr>
        <w:spacing w:line="360" w:lineRule="auto"/>
        <w:jc w:val="both"/>
        <w:rPr>
          <w:lang w:val="en-US"/>
        </w:rPr>
      </w:pPr>
      <w:r>
        <w:rPr>
          <w:lang w:val="en-US"/>
        </w:rPr>
        <w:t>A sample of public banks in 15</w:t>
      </w:r>
      <w:r w:rsidRPr="005F7F20">
        <w:rPr>
          <w:lang w:val="en-US"/>
        </w:rPr>
        <w:t xml:space="preserve"> West-European countries</w:t>
      </w:r>
      <w:r>
        <w:rPr>
          <w:lang w:val="en-US"/>
        </w:rPr>
        <w:t xml:space="preserve"> is chosen;</w:t>
      </w:r>
      <w:r w:rsidR="004F666A">
        <w:rPr>
          <w:lang w:val="en-US"/>
        </w:rPr>
        <w:t xml:space="preserve"> the banks</w:t>
      </w:r>
      <w:r w:rsidRPr="005F7F20">
        <w:rPr>
          <w:lang w:val="en-US"/>
        </w:rPr>
        <w:t xml:space="preserve"> will be commercial banks to exclude any governa</w:t>
      </w:r>
      <w:r>
        <w:rPr>
          <w:lang w:val="en-US"/>
        </w:rPr>
        <w:t>nce or regulatory influences. No</w:t>
      </w:r>
      <w:r w:rsidRPr="005F7F20">
        <w:rPr>
          <w:lang w:val="en-US"/>
        </w:rPr>
        <w:t xml:space="preserve"> distinction is made in this research between commercial and investment banks because of the fact that the differences between these two types of banks is faded away and a lot of investment banks are incorporated in commercial banks and vice versa. </w:t>
      </w:r>
    </w:p>
    <w:p w:rsidR="00926DB2" w:rsidRDefault="00926DB2" w:rsidP="00046654">
      <w:pPr>
        <w:spacing w:line="360" w:lineRule="auto"/>
        <w:jc w:val="both"/>
        <w:rPr>
          <w:rFonts w:cs="Times New Roman"/>
          <w:bCs/>
          <w:i/>
          <w:lang w:val="en-US" w:eastAsia="ar-SA" w:bidi="ar-SA"/>
        </w:rPr>
      </w:pPr>
    </w:p>
    <w:p w:rsidR="00926DB2" w:rsidRPr="005F7F20" w:rsidRDefault="00926DB2" w:rsidP="00046654">
      <w:pPr>
        <w:spacing w:line="360" w:lineRule="auto"/>
        <w:jc w:val="both"/>
        <w:rPr>
          <w:rFonts w:cs="Times New Roman"/>
          <w:bCs/>
          <w:i/>
          <w:lang w:val="en-US" w:eastAsia="ar-SA" w:bidi="ar-SA"/>
        </w:rPr>
      </w:pPr>
      <w:r w:rsidRPr="005F7F20">
        <w:rPr>
          <w:rFonts w:cs="Times New Roman"/>
          <w:bCs/>
          <w:i/>
          <w:lang w:val="en-US" w:eastAsia="ar-SA" w:bidi="ar-SA"/>
        </w:rPr>
        <w:t>Sample periods</w:t>
      </w:r>
    </w:p>
    <w:p w:rsidR="00926DB2" w:rsidRPr="005F7F20" w:rsidRDefault="00926DB2" w:rsidP="00046654">
      <w:pPr>
        <w:spacing w:line="360" w:lineRule="auto"/>
        <w:jc w:val="both"/>
        <w:rPr>
          <w:rFonts w:cs="Times New Roman"/>
          <w:bCs/>
          <w:i/>
          <w:lang w:val="en-US" w:eastAsia="ar-SA" w:bidi="ar-SA"/>
        </w:rPr>
      </w:pPr>
    </w:p>
    <w:p w:rsidR="00926DB2" w:rsidRPr="005F7F20" w:rsidRDefault="00926DB2" w:rsidP="00046654">
      <w:pPr>
        <w:spacing w:line="360" w:lineRule="auto"/>
        <w:jc w:val="both"/>
        <w:rPr>
          <w:rFonts w:cs="Times New Roman"/>
          <w:lang w:val="en-US" w:eastAsia="ar-SA" w:bidi="ar-SA"/>
        </w:rPr>
      </w:pPr>
      <w:r w:rsidRPr="005F7F20">
        <w:rPr>
          <w:rFonts w:cs="Times New Roman"/>
          <w:lang w:val="en-US" w:eastAsia="ar-SA" w:bidi="ar-SA"/>
        </w:rPr>
        <w:t>There will be two sample periods in this research. The first sample period will be from 1997-2006; this is a period of 10 years before the</w:t>
      </w:r>
      <w:r>
        <w:rPr>
          <w:rFonts w:cs="Times New Roman"/>
          <w:lang w:val="en-US" w:eastAsia="ar-SA" w:bidi="ar-SA"/>
        </w:rPr>
        <w:t xml:space="preserve"> recent financial</w:t>
      </w:r>
      <w:r w:rsidRPr="005F7F20">
        <w:rPr>
          <w:rFonts w:cs="Times New Roman"/>
          <w:lang w:val="en-US" w:eastAsia="ar-SA" w:bidi="ar-SA"/>
        </w:rPr>
        <w:t xml:space="preserve"> crisis. Thus this sample period is referred to as the pre-crisis period. The reason this period is chosen is to obtain a large time span t</w:t>
      </w:r>
      <w:r>
        <w:rPr>
          <w:rFonts w:cs="Times New Roman"/>
          <w:lang w:val="en-US" w:eastAsia="ar-SA" w:bidi="ar-SA"/>
        </w:rPr>
        <w:t xml:space="preserve">o improve the reliability of the </w:t>
      </w:r>
      <w:r w:rsidRPr="005F7F20">
        <w:rPr>
          <w:rFonts w:cs="Times New Roman"/>
          <w:lang w:val="en-US" w:eastAsia="ar-SA" w:bidi="ar-SA"/>
        </w:rPr>
        <w:t xml:space="preserve">research. </w:t>
      </w:r>
    </w:p>
    <w:p w:rsidR="00926DB2" w:rsidRPr="005F7F20"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r w:rsidRPr="005F7F20">
        <w:rPr>
          <w:lang w:val="en-US" w:eastAsia="ar-SA" w:bidi="ar-SA"/>
        </w:rPr>
        <w:t>The second sample period is from 2007-2009</w:t>
      </w:r>
      <w:r>
        <w:rPr>
          <w:lang w:val="en-US" w:eastAsia="ar-SA" w:bidi="ar-SA"/>
        </w:rPr>
        <w:t>; this is referred to as the crisis period. The performances of the banks will be measured in this period to measure the relationship between performance in the crisis period and conditional conservatism in the pre-crisis period.</w:t>
      </w:r>
    </w:p>
    <w:p w:rsidR="00926DB2" w:rsidRPr="00040C5E" w:rsidRDefault="00926DB2" w:rsidP="00046654">
      <w:pPr>
        <w:spacing w:line="360" w:lineRule="auto"/>
        <w:jc w:val="both"/>
        <w:rPr>
          <w:lang w:val="en-US" w:eastAsia="ar-SA" w:bidi="ar-SA"/>
        </w:rPr>
      </w:pPr>
    </w:p>
    <w:p w:rsidR="00926DB2" w:rsidRDefault="00926DB2" w:rsidP="00046654">
      <w:pPr>
        <w:spacing w:line="360" w:lineRule="auto"/>
        <w:jc w:val="both"/>
        <w:rPr>
          <w:bCs/>
          <w:i/>
          <w:lang w:val="en-US" w:eastAsia="ar-SA" w:bidi="ar-SA"/>
        </w:rPr>
      </w:pPr>
      <w:r w:rsidRPr="005F7F20">
        <w:rPr>
          <w:bCs/>
          <w:i/>
          <w:lang w:val="en-US" w:eastAsia="ar-SA" w:bidi="ar-SA"/>
        </w:rPr>
        <w:t>Data sample</w:t>
      </w:r>
    </w:p>
    <w:p w:rsidR="00926DB2" w:rsidRPr="00040C5E" w:rsidRDefault="00926DB2" w:rsidP="00046654">
      <w:pPr>
        <w:spacing w:line="360" w:lineRule="auto"/>
        <w:jc w:val="both"/>
        <w:rPr>
          <w:bCs/>
          <w:i/>
          <w:lang w:val="en-US" w:eastAsia="ar-SA" w:bidi="ar-SA"/>
        </w:rPr>
      </w:pPr>
    </w:p>
    <w:p w:rsidR="00926DB2" w:rsidRDefault="00926DB2" w:rsidP="00046654">
      <w:pPr>
        <w:spacing w:line="360" w:lineRule="auto"/>
        <w:jc w:val="both"/>
        <w:rPr>
          <w:lang w:val="en-US" w:eastAsia="ar-SA" w:bidi="ar-SA"/>
        </w:rPr>
      </w:pPr>
      <w:r w:rsidRPr="005F7F20">
        <w:rPr>
          <w:lang w:val="en-US" w:eastAsia="ar-SA" w:bidi="ar-SA"/>
        </w:rPr>
        <w:t>The data that is used in this researc</w:t>
      </w:r>
      <w:r>
        <w:rPr>
          <w:lang w:val="en-US" w:eastAsia="ar-SA" w:bidi="ar-SA"/>
        </w:rPr>
        <w:t>h is obtained from the Thomson O</w:t>
      </w:r>
      <w:r w:rsidRPr="005F7F20">
        <w:rPr>
          <w:lang w:val="en-US" w:eastAsia="ar-SA" w:bidi="ar-SA"/>
        </w:rPr>
        <w:t>n</w:t>
      </w:r>
      <w:r>
        <w:rPr>
          <w:lang w:val="en-US" w:eastAsia="ar-SA" w:bidi="ar-SA"/>
        </w:rPr>
        <w:t>e Banker D</w:t>
      </w:r>
      <w:r w:rsidRPr="005F7F20">
        <w:rPr>
          <w:lang w:val="en-US" w:eastAsia="ar-SA" w:bidi="ar-SA"/>
        </w:rPr>
        <w:t>atabank. It concerns several proxy data for the variables in the regression models and several indicators to represent the firm performance</w:t>
      </w:r>
      <w:r>
        <w:rPr>
          <w:lang w:val="en-US" w:eastAsia="ar-SA" w:bidi="ar-SA"/>
        </w:rPr>
        <w:t xml:space="preserve">. </w:t>
      </w:r>
    </w:p>
    <w:p w:rsidR="00926DB2" w:rsidRDefault="00926DB2" w:rsidP="00046654">
      <w:pPr>
        <w:spacing w:line="360" w:lineRule="auto"/>
        <w:jc w:val="both"/>
        <w:rPr>
          <w:lang w:val="en-US" w:eastAsia="ar-SA" w:bidi="ar-SA"/>
        </w:rPr>
      </w:pPr>
    </w:p>
    <w:p w:rsidR="00926DB2" w:rsidRDefault="00926DB2" w:rsidP="00046654">
      <w:pPr>
        <w:spacing w:line="360" w:lineRule="auto"/>
        <w:jc w:val="both"/>
        <w:rPr>
          <w:lang w:val="en-US" w:eastAsia="ar-SA" w:bidi="ar-SA"/>
        </w:rPr>
      </w:pPr>
      <w:r w:rsidRPr="005F7F20">
        <w:rPr>
          <w:lang w:val="en-US" w:eastAsia="ar-SA" w:bidi="ar-SA"/>
        </w:rPr>
        <w:t xml:space="preserve"> There are data sets for the regression periods 1997-2009 and the two sub periods 1997-2006 and 2007-2009. </w:t>
      </w:r>
    </w:p>
    <w:p w:rsidR="00926DB2" w:rsidRDefault="00926DB2" w:rsidP="00046654">
      <w:pPr>
        <w:spacing w:line="360" w:lineRule="auto"/>
        <w:jc w:val="both"/>
        <w:rPr>
          <w:i/>
          <w:lang w:val="en-US" w:eastAsia="ar-SA" w:bidi="ar-SA"/>
        </w:rPr>
      </w:pPr>
    </w:p>
    <w:p w:rsidR="00926DB2" w:rsidRDefault="00926DB2" w:rsidP="00046654">
      <w:pPr>
        <w:spacing w:line="360" w:lineRule="auto"/>
        <w:jc w:val="both"/>
        <w:rPr>
          <w:lang w:val="en-US" w:eastAsia="ar-SA" w:bidi="ar-SA"/>
        </w:rPr>
      </w:pPr>
      <w:r>
        <w:rPr>
          <w:lang w:val="en-US" w:eastAsia="ar-SA" w:bidi="ar-SA"/>
        </w:rPr>
        <w:t>In the case of missing values for a specific year, all variables of this year will be excluded from the research. The observations are presented in table 8 below; there is not much variance between the observations by year. In the case of the observations by country Great Britain delivers the most data, followed by France. This is as expected because these countries belong to the biggest economies in Europe.</w:t>
      </w:r>
    </w:p>
    <w:p w:rsidR="00926DB2" w:rsidRDefault="00926DB2" w:rsidP="00046654">
      <w:pPr>
        <w:spacing w:line="360" w:lineRule="auto"/>
        <w:jc w:val="both"/>
        <w:rPr>
          <w:b/>
          <w:u w:val="single"/>
          <w:lang w:val="en-US" w:eastAsia="ar-SA" w:bidi="ar-SA"/>
        </w:rPr>
      </w:pPr>
    </w:p>
    <w:p w:rsidR="00926DB2" w:rsidRPr="0089232E" w:rsidRDefault="00926DB2" w:rsidP="00046654">
      <w:pPr>
        <w:spacing w:line="360" w:lineRule="auto"/>
        <w:jc w:val="both"/>
        <w:rPr>
          <w:iCs/>
          <w:u w:val="single"/>
          <w:lang w:val="en-US" w:eastAsia="ar-SA" w:bidi="ar-SA"/>
        </w:rPr>
      </w:pPr>
      <w:r w:rsidRPr="0089232E">
        <w:rPr>
          <w:b/>
          <w:u w:val="single"/>
          <w:lang w:val="en-US" w:eastAsia="ar-SA" w:bidi="ar-SA"/>
        </w:rPr>
        <w:t>Table 8.</w:t>
      </w:r>
      <w:r w:rsidRPr="0089232E">
        <w:rPr>
          <w:u w:val="single"/>
          <w:lang w:val="en-US" w:eastAsia="ar-SA" w:bidi="ar-SA"/>
        </w:rPr>
        <w:t xml:space="preserve"> </w:t>
      </w:r>
      <w:r w:rsidRPr="0089232E">
        <w:rPr>
          <w:iCs/>
          <w:u w:val="single"/>
          <w:lang w:val="en-US" w:eastAsia="ar-SA" w:bidi="ar-SA"/>
        </w:rPr>
        <w:t>Observations by year and by country 1997-2009</w:t>
      </w:r>
    </w:p>
    <w:p w:rsidR="00926DB2" w:rsidRDefault="00926DB2" w:rsidP="00046654">
      <w:pPr>
        <w:spacing w:line="360" w:lineRule="auto"/>
        <w:jc w:val="both"/>
        <w:rPr>
          <w:i/>
          <w:lang w:val="en-US" w:eastAsia="ar-SA" w:bidi="ar-SA"/>
        </w:rPr>
      </w:pPr>
    </w:p>
    <w:tbl>
      <w:tblPr>
        <w:tblW w:w="0" w:type="auto"/>
        <w:jc w:val="center"/>
        <w:tblInd w:w="-252" w:type="dxa"/>
        <w:tblBorders>
          <w:top w:val="single" w:sz="8" w:space="0" w:color="000000"/>
          <w:bottom w:val="single" w:sz="8" w:space="0" w:color="000000"/>
        </w:tblBorders>
        <w:tblLook w:val="00A0"/>
      </w:tblPr>
      <w:tblGrid>
        <w:gridCol w:w="2555"/>
        <w:gridCol w:w="2303"/>
        <w:gridCol w:w="2303"/>
        <w:gridCol w:w="2303"/>
      </w:tblGrid>
      <w:tr w:rsidR="00926DB2" w:rsidTr="00162A73">
        <w:trPr>
          <w:jc w:val="center"/>
        </w:trPr>
        <w:tc>
          <w:tcPr>
            <w:tcW w:w="2555" w:type="dxa"/>
            <w:tcBorders>
              <w:top w:val="single" w:sz="8" w:space="0" w:color="000000"/>
              <w:left w:val="nil"/>
              <w:bottom w:val="single" w:sz="8" w:space="0" w:color="000000"/>
              <w:right w:val="nil"/>
            </w:tcBorders>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Country</w:t>
            </w:r>
          </w:p>
        </w:tc>
        <w:tc>
          <w:tcPr>
            <w:tcW w:w="2303" w:type="dxa"/>
            <w:tcBorders>
              <w:top w:val="single" w:sz="8" w:space="0" w:color="000000"/>
              <w:left w:val="nil"/>
              <w:bottom w:val="single" w:sz="8" w:space="0" w:color="000000"/>
              <w:right w:val="nil"/>
            </w:tcBorders>
            <w:shd w:val="clear" w:color="auto" w:fill="C0C0C0"/>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Observation</w:t>
            </w:r>
          </w:p>
        </w:tc>
        <w:tc>
          <w:tcPr>
            <w:tcW w:w="2303" w:type="dxa"/>
            <w:tcBorders>
              <w:top w:val="single" w:sz="8" w:space="0" w:color="000000"/>
              <w:left w:val="nil"/>
              <w:bottom w:val="single" w:sz="8" w:space="0" w:color="000000"/>
              <w:right w:val="nil"/>
            </w:tcBorders>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Year</w:t>
            </w:r>
          </w:p>
        </w:tc>
        <w:tc>
          <w:tcPr>
            <w:tcW w:w="2303" w:type="dxa"/>
            <w:tcBorders>
              <w:top w:val="single" w:sz="8" w:space="0" w:color="000000"/>
              <w:left w:val="nil"/>
              <w:bottom w:val="single" w:sz="8" w:space="0" w:color="000000"/>
              <w:right w:val="nil"/>
            </w:tcBorders>
            <w:shd w:val="clear" w:color="auto" w:fill="C0C0C0"/>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Observation</w:t>
            </w:r>
          </w:p>
        </w:tc>
      </w:tr>
      <w:tr w:rsidR="00926DB2" w:rsidTr="00162A73">
        <w:trPr>
          <w:jc w:val="center"/>
        </w:trPr>
        <w:tc>
          <w:tcPr>
            <w:tcW w:w="2555" w:type="dxa"/>
            <w:tcBorders>
              <w:left w:val="nil"/>
              <w:right w:val="nil"/>
            </w:tcBorders>
            <w:shd w:val="clear" w:color="auto" w:fill="C0C0C0"/>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Austria (AUT)</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115</w:t>
            </w:r>
          </w:p>
        </w:tc>
        <w:tc>
          <w:tcPr>
            <w:tcW w:w="2303" w:type="dxa"/>
            <w:tcBorders>
              <w:left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1997</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142</w:t>
            </w:r>
          </w:p>
        </w:tc>
      </w:tr>
      <w:tr w:rsidR="00926DB2" w:rsidTr="00162A73">
        <w:trPr>
          <w:jc w:val="center"/>
        </w:trPr>
        <w:tc>
          <w:tcPr>
            <w:tcW w:w="2555" w:type="dxa"/>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Belgium (BEL)</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76</w:t>
            </w:r>
          </w:p>
        </w:tc>
        <w:tc>
          <w:tcPr>
            <w:tcW w:w="2303" w:type="dxa"/>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1998</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143</w:t>
            </w:r>
          </w:p>
        </w:tc>
      </w:tr>
      <w:tr w:rsidR="00926DB2" w:rsidTr="00162A73">
        <w:trPr>
          <w:jc w:val="center"/>
        </w:trPr>
        <w:tc>
          <w:tcPr>
            <w:tcW w:w="2555" w:type="dxa"/>
            <w:tcBorders>
              <w:left w:val="nil"/>
              <w:right w:val="nil"/>
            </w:tcBorders>
            <w:shd w:val="clear" w:color="auto" w:fill="C0C0C0"/>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Deutschland (DEU)</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214</w:t>
            </w:r>
          </w:p>
        </w:tc>
        <w:tc>
          <w:tcPr>
            <w:tcW w:w="2303" w:type="dxa"/>
            <w:tcBorders>
              <w:left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1999</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153</w:t>
            </w:r>
          </w:p>
        </w:tc>
      </w:tr>
      <w:tr w:rsidR="00926DB2" w:rsidTr="00162A73">
        <w:trPr>
          <w:jc w:val="center"/>
        </w:trPr>
        <w:tc>
          <w:tcPr>
            <w:tcW w:w="2555" w:type="dxa"/>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Denmark (DNK)</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406</w:t>
            </w:r>
          </w:p>
        </w:tc>
        <w:tc>
          <w:tcPr>
            <w:tcW w:w="2303" w:type="dxa"/>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2000</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157</w:t>
            </w:r>
          </w:p>
        </w:tc>
      </w:tr>
      <w:tr w:rsidR="00926DB2" w:rsidTr="00162A73">
        <w:trPr>
          <w:jc w:val="center"/>
        </w:trPr>
        <w:tc>
          <w:tcPr>
            <w:tcW w:w="2555" w:type="dxa"/>
            <w:tcBorders>
              <w:left w:val="nil"/>
              <w:right w:val="nil"/>
            </w:tcBorders>
            <w:shd w:val="clear" w:color="auto" w:fill="C0C0C0"/>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Spain (ESP)</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111</w:t>
            </w:r>
          </w:p>
        </w:tc>
        <w:tc>
          <w:tcPr>
            <w:tcW w:w="2303" w:type="dxa"/>
            <w:tcBorders>
              <w:left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2001</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164</w:t>
            </w:r>
          </w:p>
        </w:tc>
      </w:tr>
      <w:tr w:rsidR="00926DB2" w:rsidTr="00162A73">
        <w:trPr>
          <w:jc w:val="center"/>
        </w:trPr>
        <w:tc>
          <w:tcPr>
            <w:tcW w:w="2555" w:type="dxa"/>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Finland (FIN)</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60</w:t>
            </w:r>
          </w:p>
        </w:tc>
        <w:tc>
          <w:tcPr>
            <w:tcW w:w="2303" w:type="dxa"/>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2002</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173</w:t>
            </w:r>
          </w:p>
        </w:tc>
      </w:tr>
      <w:tr w:rsidR="00926DB2" w:rsidTr="00162A73">
        <w:trPr>
          <w:jc w:val="center"/>
        </w:trPr>
        <w:tc>
          <w:tcPr>
            <w:tcW w:w="2555" w:type="dxa"/>
            <w:tcBorders>
              <w:left w:val="nil"/>
              <w:right w:val="nil"/>
            </w:tcBorders>
            <w:shd w:val="clear" w:color="auto" w:fill="C0C0C0"/>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France (FRA)</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402</w:t>
            </w:r>
          </w:p>
        </w:tc>
        <w:tc>
          <w:tcPr>
            <w:tcW w:w="2303" w:type="dxa"/>
            <w:tcBorders>
              <w:left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2003</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177</w:t>
            </w:r>
          </w:p>
        </w:tc>
      </w:tr>
      <w:tr w:rsidR="00926DB2" w:rsidTr="00162A73">
        <w:trPr>
          <w:jc w:val="center"/>
        </w:trPr>
        <w:tc>
          <w:tcPr>
            <w:tcW w:w="2555" w:type="dxa"/>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Great-Britain (GBR)</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542</w:t>
            </w:r>
          </w:p>
        </w:tc>
        <w:tc>
          <w:tcPr>
            <w:tcW w:w="2303" w:type="dxa"/>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2004</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178</w:t>
            </w:r>
          </w:p>
        </w:tc>
      </w:tr>
      <w:tr w:rsidR="00926DB2" w:rsidTr="00162A73">
        <w:trPr>
          <w:jc w:val="center"/>
        </w:trPr>
        <w:tc>
          <w:tcPr>
            <w:tcW w:w="2555" w:type="dxa"/>
            <w:tcBorders>
              <w:left w:val="nil"/>
              <w:right w:val="nil"/>
            </w:tcBorders>
            <w:shd w:val="clear" w:color="auto" w:fill="C0C0C0"/>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Ireland (IRL)</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25</w:t>
            </w:r>
          </w:p>
        </w:tc>
        <w:tc>
          <w:tcPr>
            <w:tcW w:w="2303" w:type="dxa"/>
            <w:tcBorders>
              <w:left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2005</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181</w:t>
            </w:r>
          </w:p>
        </w:tc>
      </w:tr>
      <w:tr w:rsidR="00926DB2" w:rsidTr="00162A73">
        <w:trPr>
          <w:jc w:val="center"/>
        </w:trPr>
        <w:tc>
          <w:tcPr>
            <w:tcW w:w="2555" w:type="dxa"/>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Lithuania (LTU)</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11</w:t>
            </w:r>
          </w:p>
        </w:tc>
        <w:tc>
          <w:tcPr>
            <w:tcW w:w="2303" w:type="dxa"/>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2006</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181</w:t>
            </w:r>
          </w:p>
        </w:tc>
      </w:tr>
      <w:tr w:rsidR="00926DB2" w:rsidTr="00162A73">
        <w:trPr>
          <w:jc w:val="center"/>
        </w:trPr>
        <w:tc>
          <w:tcPr>
            <w:tcW w:w="2555" w:type="dxa"/>
            <w:tcBorders>
              <w:left w:val="nil"/>
              <w:right w:val="nil"/>
            </w:tcBorders>
            <w:shd w:val="clear" w:color="auto" w:fill="C0C0C0"/>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Luxembourg (LUX)</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23</w:t>
            </w:r>
          </w:p>
        </w:tc>
        <w:tc>
          <w:tcPr>
            <w:tcW w:w="2303" w:type="dxa"/>
            <w:tcBorders>
              <w:left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2007</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184</w:t>
            </w:r>
          </w:p>
        </w:tc>
      </w:tr>
      <w:tr w:rsidR="00926DB2" w:rsidTr="00162A73">
        <w:trPr>
          <w:jc w:val="center"/>
        </w:trPr>
        <w:tc>
          <w:tcPr>
            <w:tcW w:w="2555" w:type="dxa"/>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Netherlands (NLD)</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50</w:t>
            </w:r>
          </w:p>
        </w:tc>
        <w:tc>
          <w:tcPr>
            <w:tcW w:w="2303" w:type="dxa"/>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2008</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186</w:t>
            </w:r>
          </w:p>
        </w:tc>
      </w:tr>
      <w:tr w:rsidR="00926DB2" w:rsidTr="00162A73">
        <w:trPr>
          <w:jc w:val="center"/>
        </w:trPr>
        <w:tc>
          <w:tcPr>
            <w:tcW w:w="2555" w:type="dxa"/>
            <w:tcBorders>
              <w:left w:val="nil"/>
              <w:right w:val="nil"/>
            </w:tcBorders>
            <w:shd w:val="clear" w:color="auto" w:fill="C0C0C0"/>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Norway (NOR)</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38</w:t>
            </w:r>
          </w:p>
        </w:tc>
        <w:tc>
          <w:tcPr>
            <w:tcW w:w="2303" w:type="dxa"/>
            <w:tcBorders>
              <w:left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2009</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176</w:t>
            </w:r>
          </w:p>
        </w:tc>
      </w:tr>
      <w:tr w:rsidR="00926DB2" w:rsidTr="00162A73">
        <w:trPr>
          <w:gridAfter w:val="2"/>
          <w:wAfter w:w="4606" w:type="dxa"/>
          <w:jc w:val="center"/>
        </w:trPr>
        <w:tc>
          <w:tcPr>
            <w:tcW w:w="2555" w:type="dxa"/>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Portugal (PRT)</w:t>
            </w:r>
          </w:p>
        </w:tc>
        <w:tc>
          <w:tcPr>
            <w:tcW w:w="2303" w:type="dxa"/>
            <w:tcBorders>
              <w:bottom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62</w:t>
            </w:r>
          </w:p>
        </w:tc>
      </w:tr>
      <w:tr w:rsidR="00926DB2" w:rsidTr="00162A73">
        <w:trPr>
          <w:gridAfter w:val="2"/>
          <w:wAfter w:w="4606" w:type="dxa"/>
          <w:jc w:val="center"/>
        </w:trPr>
        <w:tc>
          <w:tcPr>
            <w:tcW w:w="2555" w:type="dxa"/>
            <w:tcBorders>
              <w:left w:val="nil"/>
              <w:right w:val="nil"/>
            </w:tcBorders>
            <w:shd w:val="clear" w:color="auto" w:fill="C0C0C0"/>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Sweden (SWE)</w:t>
            </w:r>
          </w:p>
        </w:tc>
        <w:tc>
          <w:tcPr>
            <w:tcW w:w="2303" w:type="dxa"/>
            <w:tcBorders>
              <w:left w:val="nil"/>
              <w:bottom w:val="nil"/>
              <w:right w:val="nil"/>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60</w:t>
            </w:r>
          </w:p>
        </w:tc>
      </w:tr>
      <w:tr w:rsidR="00926DB2" w:rsidTr="00162A73">
        <w:trPr>
          <w:jc w:val="center"/>
        </w:trPr>
        <w:tc>
          <w:tcPr>
            <w:tcW w:w="2555" w:type="dxa"/>
            <w:tcBorders>
              <w:bottom w:val="single" w:sz="8" w:space="0" w:color="000000"/>
            </w:tcBorders>
          </w:tcPr>
          <w:p w:rsidR="00926DB2" w:rsidRPr="008A776F" w:rsidRDefault="00926DB2" w:rsidP="00046654">
            <w:pPr>
              <w:spacing w:line="360" w:lineRule="auto"/>
              <w:jc w:val="both"/>
              <w:rPr>
                <w:b/>
                <w:bCs/>
                <w:iCs/>
                <w:color w:val="000000"/>
                <w:lang w:val="en-US" w:eastAsia="ar-SA" w:bidi="ar-SA"/>
              </w:rPr>
            </w:pPr>
            <w:r w:rsidRPr="008A776F">
              <w:rPr>
                <w:b/>
                <w:bCs/>
                <w:iCs/>
                <w:color w:val="000000"/>
                <w:sz w:val="22"/>
                <w:szCs w:val="22"/>
                <w:lang w:val="en-US" w:eastAsia="ar-SA" w:bidi="ar-SA"/>
              </w:rPr>
              <w:t>TOTAL</w:t>
            </w:r>
          </w:p>
        </w:tc>
        <w:tc>
          <w:tcPr>
            <w:tcW w:w="2303" w:type="dxa"/>
            <w:tcBorders>
              <w:bottom w:val="single" w:sz="8" w:space="0" w:color="000000"/>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2195</w:t>
            </w:r>
          </w:p>
        </w:tc>
        <w:tc>
          <w:tcPr>
            <w:tcW w:w="2303" w:type="dxa"/>
            <w:tcBorders>
              <w:bottom w:val="single" w:sz="8" w:space="0" w:color="000000"/>
            </w:tcBorders>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TOTAL</w:t>
            </w:r>
          </w:p>
        </w:tc>
        <w:tc>
          <w:tcPr>
            <w:tcW w:w="2303" w:type="dxa"/>
            <w:tcBorders>
              <w:bottom w:val="single" w:sz="8" w:space="0" w:color="000000"/>
            </w:tcBorders>
            <w:shd w:val="clear" w:color="auto" w:fill="C0C0C0"/>
          </w:tcPr>
          <w:p w:rsidR="00926DB2" w:rsidRPr="007B663B" w:rsidRDefault="00926DB2" w:rsidP="00046654">
            <w:pPr>
              <w:spacing w:line="360" w:lineRule="auto"/>
              <w:jc w:val="both"/>
              <w:rPr>
                <w:i/>
                <w:color w:val="000000"/>
                <w:lang w:val="en-US" w:eastAsia="ar-SA" w:bidi="ar-SA"/>
              </w:rPr>
            </w:pPr>
            <w:r w:rsidRPr="007B663B">
              <w:rPr>
                <w:i/>
                <w:color w:val="000000"/>
                <w:sz w:val="22"/>
                <w:szCs w:val="22"/>
                <w:lang w:val="en-US" w:eastAsia="ar-SA" w:bidi="ar-SA"/>
              </w:rPr>
              <w:t>2195</w:t>
            </w:r>
          </w:p>
        </w:tc>
      </w:tr>
    </w:tbl>
    <w:p w:rsidR="004840A6" w:rsidRDefault="004840A6" w:rsidP="00B53F35">
      <w:pPr>
        <w:pStyle w:val="Kop2"/>
        <w:jc w:val="both"/>
        <w:rPr>
          <w:rFonts w:ascii="Times New Roman" w:hAnsi="Times New Roman" w:cs="Angsana New"/>
          <w:i w:val="0"/>
          <w:iCs w:val="0"/>
          <w:kern w:val="32"/>
          <w:szCs w:val="40"/>
          <w:lang w:val="en-US"/>
        </w:rPr>
      </w:pPr>
    </w:p>
    <w:p w:rsidR="00926DB2" w:rsidRPr="00B53F35" w:rsidRDefault="00926DB2" w:rsidP="00B53F35">
      <w:pPr>
        <w:pStyle w:val="Kop2"/>
        <w:jc w:val="both"/>
        <w:rPr>
          <w:rFonts w:ascii="Times New Roman" w:hAnsi="Times New Roman" w:cs="Times New Roman"/>
          <w:i w:val="0"/>
          <w:iCs w:val="0"/>
          <w:kern w:val="32"/>
          <w:sz w:val="24"/>
          <w:szCs w:val="24"/>
          <w:lang w:val="en-US"/>
        </w:rPr>
      </w:pPr>
      <w:bookmarkStart w:id="186" w:name="_Toc268186071"/>
      <w:r w:rsidRPr="00B53F35">
        <w:rPr>
          <w:rFonts w:ascii="Times New Roman" w:hAnsi="Times New Roman" w:cs="Times New Roman"/>
          <w:i w:val="0"/>
          <w:iCs w:val="0"/>
          <w:kern w:val="32"/>
          <w:sz w:val="24"/>
          <w:szCs w:val="24"/>
          <w:lang w:val="en-US"/>
        </w:rPr>
        <w:t>5.7 Summary</w:t>
      </w:r>
      <w:bookmarkEnd w:id="186"/>
    </w:p>
    <w:p w:rsidR="00926DB2" w:rsidRPr="00E117FA" w:rsidRDefault="00926DB2" w:rsidP="008D7170">
      <w:pPr>
        <w:jc w:val="both"/>
        <w:rPr>
          <w:lang w:val="en-US"/>
        </w:rPr>
      </w:pPr>
    </w:p>
    <w:p w:rsidR="00926DB2" w:rsidRPr="008D7170" w:rsidRDefault="00926DB2" w:rsidP="008D7170">
      <w:pPr>
        <w:spacing w:line="360" w:lineRule="auto"/>
        <w:jc w:val="both"/>
        <w:rPr>
          <w:i/>
          <w:iCs/>
          <w:lang w:eastAsia="ar-SA" w:bidi="ar-SA"/>
        </w:rPr>
      </w:pPr>
      <w:r w:rsidRPr="008D7170">
        <w:rPr>
          <w:lang w:val="en-US"/>
        </w:rPr>
        <w:t xml:space="preserve">This chapter </w:t>
      </w:r>
      <w:r>
        <w:rPr>
          <w:lang w:val="en-US"/>
        </w:rPr>
        <w:t xml:space="preserve">presents </w:t>
      </w:r>
      <w:r w:rsidRPr="008D7170">
        <w:rPr>
          <w:lang w:val="en-US"/>
        </w:rPr>
        <w:t xml:space="preserve">the used research methods. First the hypotheses are presented; </w:t>
      </w:r>
      <w:r>
        <w:rPr>
          <w:lang w:val="en-US"/>
        </w:rPr>
        <w:t xml:space="preserve">H1: </w:t>
      </w:r>
      <w:r w:rsidRPr="008D7170">
        <w:rPr>
          <w:i/>
          <w:lang w:val="en-US"/>
        </w:rPr>
        <w:t>c</w:t>
      </w:r>
      <w:r w:rsidRPr="008D7170">
        <w:rPr>
          <w:i/>
          <w:lang w:val="en-US" w:eastAsia="ar-SA" w:bidi="ar-SA"/>
        </w:rPr>
        <w:t>onditional conservatism exists in West-European banks during the full sample period (1997-2009)</w:t>
      </w:r>
      <w:r>
        <w:rPr>
          <w:lang w:val="en-US" w:eastAsia="ar-SA" w:bidi="ar-SA"/>
        </w:rPr>
        <w:t xml:space="preserve">, H2: </w:t>
      </w:r>
      <w:r w:rsidRPr="008D7170">
        <w:rPr>
          <w:i/>
          <w:lang w:val="en-US" w:eastAsia="ar-SA" w:bidi="ar-SA"/>
        </w:rPr>
        <w:t xml:space="preserve">the degree of conditional conservatism in the pre-crisis period (1997-2006) is </w:t>
      </w:r>
      <w:r w:rsidRPr="008D7170">
        <w:rPr>
          <w:i/>
          <w:lang w:val="en-US" w:eastAsia="ar-SA" w:bidi="ar-SA"/>
        </w:rPr>
        <w:lastRenderedPageBreak/>
        <w:t>higher than in the crisis period (2007-2009)</w:t>
      </w:r>
      <w:r>
        <w:rPr>
          <w:i/>
          <w:lang w:val="en-US" w:eastAsia="ar-SA" w:bidi="ar-SA"/>
        </w:rPr>
        <w:t xml:space="preserve"> </w:t>
      </w:r>
      <w:r w:rsidRPr="008D7170">
        <w:rPr>
          <w:lang w:val="en-US" w:eastAsia="ar-SA" w:bidi="ar-SA"/>
        </w:rPr>
        <w:t>and H3</w:t>
      </w:r>
      <w:r w:rsidR="008F7E52" w:rsidRPr="008D7170">
        <w:rPr>
          <w:lang w:val="en-US" w:eastAsia="ar-SA" w:bidi="ar-SA"/>
        </w:rPr>
        <w:t>:</w:t>
      </w:r>
      <w:r w:rsidR="008F7E52" w:rsidRPr="008D7170">
        <w:rPr>
          <w:i/>
          <w:iCs/>
          <w:lang w:val="en-US" w:eastAsia="ar-SA" w:bidi="ar-SA"/>
        </w:rPr>
        <w:t xml:space="preserve"> Conditional</w:t>
      </w:r>
      <w:r w:rsidRPr="008D7170">
        <w:rPr>
          <w:i/>
          <w:iCs/>
          <w:lang w:val="en-US" w:eastAsia="ar-SA" w:bidi="ar-SA"/>
        </w:rPr>
        <w:t xml:space="preserve"> conservatism in the pre-crisis period (1997-2006) has a positive influence on the performance of West-European banks in the crisis period (2007-2009</w:t>
      </w:r>
      <w:r>
        <w:rPr>
          <w:i/>
          <w:iCs/>
          <w:lang w:val="en-US" w:eastAsia="ar-SA" w:bidi="ar-SA"/>
        </w:rPr>
        <w:t>)</w:t>
      </w:r>
      <w:r>
        <w:rPr>
          <w:b/>
          <w:lang w:val="en-US"/>
        </w:rPr>
        <w:t xml:space="preserve"> </w:t>
      </w:r>
      <w:r w:rsidRPr="008D7170">
        <w:rPr>
          <w:lang w:val="en-US"/>
        </w:rPr>
        <w:t>and elaborated. Also these hypotheses are</w:t>
      </w:r>
      <w:r>
        <w:rPr>
          <w:lang w:val="en-US"/>
        </w:rPr>
        <w:t xml:space="preserve"> visualized</w:t>
      </w:r>
      <w:r w:rsidRPr="008D7170">
        <w:rPr>
          <w:lang w:val="en-US"/>
        </w:rPr>
        <w:t>. This research consists of public banks in 15 West-European countries</w:t>
      </w:r>
      <w:r w:rsidR="00D17C8B">
        <w:rPr>
          <w:lang w:val="en-US"/>
        </w:rPr>
        <w:t>. The sample period</w:t>
      </w:r>
      <w:r>
        <w:rPr>
          <w:lang w:val="en-US"/>
        </w:rPr>
        <w:t xml:space="preserve"> is 1997-2009 which is sub-divided in 2 sub-periods; 1997-2006 and 2007-2009. The data that is used in this research is extracted from Thomson One Banker.</w:t>
      </w:r>
    </w:p>
    <w:p w:rsidR="007C3F59" w:rsidRDefault="007C3F59" w:rsidP="00B53F35">
      <w:pPr>
        <w:pStyle w:val="Kop1"/>
        <w:rPr>
          <w:b w:val="0"/>
          <w:bCs w:val="0"/>
          <w:kern w:val="0"/>
          <w:sz w:val="24"/>
          <w:szCs w:val="24"/>
          <w:lang w:val="en-US"/>
        </w:rPr>
      </w:pPr>
      <w:bookmarkStart w:id="187" w:name="_Toc267323040"/>
    </w:p>
    <w:p w:rsidR="007C3F59" w:rsidRDefault="007C3F59" w:rsidP="007C3F59">
      <w:pPr>
        <w:rPr>
          <w:lang w:val="en-US"/>
        </w:rPr>
      </w:pPr>
    </w:p>
    <w:p w:rsidR="007C3F59" w:rsidRPr="007C3F59" w:rsidRDefault="007C3F59" w:rsidP="007C3F59">
      <w:pPr>
        <w:rPr>
          <w:lang w:val="en-US"/>
        </w:rPr>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B53F35">
      <w:pPr>
        <w:pStyle w:val="Kop1"/>
      </w:pPr>
    </w:p>
    <w:p w:rsidR="004840A6" w:rsidRDefault="004840A6" w:rsidP="004840A6"/>
    <w:p w:rsidR="004840A6" w:rsidRPr="004840A6" w:rsidRDefault="004840A6" w:rsidP="004840A6"/>
    <w:p w:rsidR="00926DB2" w:rsidRPr="00B53F35" w:rsidRDefault="00926DB2" w:rsidP="00B53F35">
      <w:pPr>
        <w:pStyle w:val="Kop1"/>
      </w:pPr>
      <w:bookmarkStart w:id="188" w:name="_Toc268186072"/>
      <w:r w:rsidRPr="00B53F35">
        <w:lastRenderedPageBreak/>
        <w:t>6 Analysis and results</w:t>
      </w:r>
      <w:bookmarkEnd w:id="187"/>
      <w:bookmarkEnd w:id="188"/>
    </w:p>
    <w:p w:rsidR="00926DB2" w:rsidRDefault="00926DB2" w:rsidP="00046654">
      <w:pPr>
        <w:jc w:val="both"/>
        <w:rPr>
          <w:lang w:val="en-US"/>
        </w:rPr>
      </w:pPr>
    </w:p>
    <w:p w:rsidR="00926DB2" w:rsidRPr="00B53F35" w:rsidRDefault="00926DB2" w:rsidP="00B53F35">
      <w:pPr>
        <w:spacing w:line="360" w:lineRule="auto"/>
        <w:jc w:val="both"/>
        <w:rPr>
          <w:lang w:val="en-US"/>
        </w:rPr>
      </w:pPr>
      <w:r>
        <w:rPr>
          <w:lang w:val="en-US"/>
        </w:rPr>
        <w:t>In this chapter the results of the empirical analyses will be discussed and elaborated on. First the descriptive statistics of the variables used in the different samples will be presented and elaborated. Next, the regression model for the full sample period, two sub-periods and subsequently the good/bad bank samples will be discussed. Finally the conclusions will be drawn.</w:t>
      </w:r>
    </w:p>
    <w:p w:rsidR="00926DB2" w:rsidRPr="00B53F35" w:rsidRDefault="00926DB2" w:rsidP="00B53F35">
      <w:pPr>
        <w:pStyle w:val="Kop2"/>
        <w:jc w:val="both"/>
        <w:rPr>
          <w:rFonts w:ascii="Times New Roman" w:hAnsi="Times New Roman" w:cs="Times New Roman"/>
          <w:bCs w:val="0"/>
          <w:i w:val="0"/>
          <w:iCs w:val="0"/>
          <w:sz w:val="24"/>
          <w:szCs w:val="24"/>
          <w:lang w:val="en-US"/>
        </w:rPr>
      </w:pPr>
      <w:bookmarkStart w:id="189" w:name="_Toc268186073"/>
      <w:r w:rsidRPr="00B53F35">
        <w:rPr>
          <w:rFonts w:ascii="Times New Roman" w:hAnsi="Times New Roman" w:cs="Times New Roman"/>
          <w:bCs w:val="0"/>
          <w:i w:val="0"/>
          <w:iCs w:val="0"/>
          <w:sz w:val="24"/>
          <w:szCs w:val="24"/>
          <w:lang w:val="en-US"/>
        </w:rPr>
        <w:t>6.1 Regressions</w:t>
      </w:r>
      <w:bookmarkEnd w:id="189"/>
    </w:p>
    <w:p w:rsidR="00926DB2" w:rsidRDefault="00926DB2" w:rsidP="00046654">
      <w:pPr>
        <w:spacing w:line="360" w:lineRule="auto"/>
        <w:jc w:val="both"/>
        <w:rPr>
          <w:b/>
          <w:i/>
          <w:lang w:val="en-US"/>
        </w:rPr>
      </w:pPr>
    </w:p>
    <w:p w:rsidR="00926DB2" w:rsidRPr="0010775F" w:rsidRDefault="00926DB2" w:rsidP="00B53F35">
      <w:pPr>
        <w:spacing w:line="360" w:lineRule="auto"/>
        <w:jc w:val="both"/>
        <w:rPr>
          <w:lang w:val="en-US"/>
        </w:rPr>
      </w:pPr>
      <w:r w:rsidRPr="00241C00">
        <w:rPr>
          <w:lang w:val="en-US"/>
        </w:rPr>
        <w:t>In the following section the four regressions</w:t>
      </w:r>
      <w:r>
        <w:rPr>
          <w:lang w:val="en-US"/>
        </w:rPr>
        <w:t xml:space="preserve"> that are going to be used in this research will be tested, first the variables in the regression will be tested with descriptive statistics. Subsequently a table will be made of each regression model which will be discussed.</w:t>
      </w:r>
    </w:p>
    <w:p w:rsidR="00926DB2" w:rsidRPr="00B53F35" w:rsidRDefault="00926DB2" w:rsidP="00B53F35">
      <w:pPr>
        <w:pStyle w:val="Kop3"/>
        <w:jc w:val="both"/>
        <w:rPr>
          <w:rFonts w:ascii="Times New Roman" w:hAnsi="Times New Roman" w:cs="Times New Roman"/>
          <w:b w:val="0"/>
          <w:bCs w:val="0"/>
          <w:i/>
          <w:iCs/>
          <w:color w:val="auto"/>
          <w:lang w:val="en-US"/>
        </w:rPr>
      </w:pPr>
      <w:bookmarkStart w:id="190" w:name="_Toc268186074"/>
      <w:r w:rsidRPr="00B53F35">
        <w:rPr>
          <w:rFonts w:ascii="Times New Roman" w:hAnsi="Times New Roman" w:cs="Times New Roman"/>
          <w:b w:val="0"/>
          <w:bCs w:val="0"/>
          <w:i/>
          <w:iCs/>
          <w:color w:val="auto"/>
          <w:lang w:val="en-US"/>
        </w:rPr>
        <w:t>6.1.1 Hypotheses 1</w:t>
      </w:r>
      <w:bookmarkEnd w:id="190"/>
    </w:p>
    <w:p w:rsidR="00926DB2" w:rsidRPr="007F06AB" w:rsidRDefault="00926DB2" w:rsidP="00046654">
      <w:pPr>
        <w:spacing w:line="360" w:lineRule="auto"/>
        <w:jc w:val="both"/>
        <w:rPr>
          <w:b/>
          <w:lang w:val="en-US"/>
        </w:rPr>
      </w:pPr>
    </w:p>
    <w:p w:rsidR="00926DB2" w:rsidRDefault="00926DB2" w:rsidP="00046654">
      <w:pPr>
        <w:spacing w:line="360" w:lineRule="auto"/>
        <w:jc w:val="both"/>
        <w:rPr>
          <w:lang w:val="en-US"/>
        </w:rPr>
      </w:pPr>
      <w:r>
        <w:rPr>
          <w:lang w:val="en-US"/>
        </w:rPr>
        <w:t>In order to empirically test the first hypotheses a sample of banks from the Bank Scope D</w:t>
      </w:r>
      <w:r w:rsidRPr="005B76BC">
        <w:rPr>
          <w:lang w:val="en-US"/>
        </w:rPr>
        <w:t>atabank</w:t>
      </w:r>
      <w:r>
        <w:rPr>
          <w:lang w:val="en-US"/>
        </w:rPr>
        <w:t xml:space="preserve"> will be used</w:t>
      </w:r>
      <w:r w:rsidRPr="005B76BC">
        <w:rPr>
          <w:lang w:val="en-US"/>
        </w:rPr>
        <w:t>,</w:t>
      </w:r>
      <w:r>
        <w:rPr>
          <w:lang w:val="en-US"/>
        </w:rPr>
        <w:t xml:space="preserve"> these Banks are West-European </w:t>
      </w:r>
      <w:r w:rsidRPr="005B76BC">
        <w:rPr>
          <w:lang w:val="en-US"/>
        </w:rPr>
        <w:t xml:space="preserve">commercial banks. </w:t>
      </w:r>
      <w:r>
        <w:rPr>
          <w:lang w:val="en-US"/>
        </w:rPr>
        <w:t>The variables</w:t>
      </w:r>
      <w:r w:rsidRPr="005B76BC">
        <w:rPr>
          <w:lang w:val="en-US"/>
        </w:rPr>
        <w:t xml:space="preserve"> of the Basu-model</w:t>
      </w:r>
      <w:r>
        <w:rPr>
          <w:lang w:val="en-US"/>
        </w:rPr>
        <w:t xml:space="preserve"> that are used in this regression</w:t>
      </w:r>
      <w:r w:rsidRPr="005B76BC">
        <w:rPr>
          <w:lang w:val="en-US"/>
        </w:rPr>
        <w:t xml:space="preserve"> will be obtained from Thomson One Banker. Having obtained these variables </w:t>
      </w:r>
      <w:r>
        <w:rPr>
          <w:lang w:val="en-US"/>
        </w:rPr>
        <w:t xml:space="preserve">of the Basu-model for the full </w:t>
      </w:r>
      <w:r w:rsidRPr="005B76BC">
        <w:rPr>
          <w:lang w:val="en-US"/>
        </w:rPr>
        <w:t>sample period (1997-2009)</w:t>
      </w:r>
      <w:r>
        <w:rPr>
          <w:lang w:val="en-US"/>
        </w:rPr>
        <w:t xml:space="preserve"> the degree of conditional conservatism will be measured. This</w:t>
      </w:r>
      <w:r w:rsidRPr="005B76BC">
        <w:rPr>
          <w:lang w:val="en-US"/>
        </w:rPr>
        <w:t xml:space="preserve"> research will be</w:t>
      </w:r>
      <w:r>
        <w:rPr>
          <w:lang w:val="en-US"/>
        </w:rPr>
        <w:t xml:space="preserve"> a time-series analyses in which conservatism is measured</w:t>
      </w:r>
      <w:r w:rsidRPr="005B76BC">
        <w:rPr>
          <w:lang w:val="en-US"/>
        </w:rPr>
        <w:t xml:space="preserve"> over the period (1997-2009). </w:t>
      </w:r>
    </w:p>
    <w:p w:rsidR="00926DB2" w:rsidRDefault="00926DB2" w:rsidP="00046654">
      <w:pPr>
        <w:spacing w:line="360" w:lineRule="auto"/>
        <w:jc w:val="both"/>
        <w:rPr>
          <w:lang w:val="en-US"/>
        </w:rPr>
      </w:pPr>
    </w:p>
    <w:p w:rsidR="00926DB2" w:rsidRPr="0089232E" w:rsidRDefault="00926DB2" w:rsidP="00046654">
      <w:pPr>
        <w:spacing w:line="360" w:lineRule="auto"/>
        <w:jc w:val="both"/>
        <w:rPr>
          <w:bCs/>
          <w:iCs/>
          <w:u w:val="single"/>
          <w:lang w:val="fr-FR"/>
        </w:rPr>
      </w:pPr>
      <w:r w:rsidRPr="0089232E">
        <w:rPr>
          <w:b/>
          <w:iCs/>
          <w:u w:val="single"/>
          <w:lang w:val="fr-FR"/>
        </w:rPr>
        <w:t>Table 9.</w:t>
      </w:r>
      <w:r w:rsidRPr="0089232E">
        <w:rPr>
          <w:bCs/>
          <w:iCs/>
          <w:u w:val="single"/>
          <w:lang w:val="fr-FR"/>
        </w:rPr>
        <w:t xml:space="preserve"> Correlationmatrix Basu-model variables </w:t>
      </w:r>
    </w:p>
    <w:p w:rsidR="00926DB2" w:rsidRPr="00A84161" w:rsidRDefault="00926DB2" w:rsidP="00046654">
      <w:pPr>
        <w:autoSpaceDE w:val="0"/>
        <w:autoSpaceDN w:val="0"/>
        <w:adjustRightInd w:val="0"/>
        <w:jc w:val="both"/>
        <w:rPr>
          <w:rFonts w:ascii="Arial" w:hAnsi="Arial" w:cs="Arial"/>
          <w:sz w:val="18"/>
          <w:szCs w:val="18"/>
          <w:lang w:val="fr-FR" w:eastAsia="en-US" w:bidi="ar-SA"/>
        </w:rPr>
      </w:pPr>
    </w:p>
    <w:tbl>
      <w:tblPr>
        <w:tblpPr w:leftFromText="141" w:rightFromText="141" w:vertAnchor="text" w:horzAnchor="margin" w:tblpXSpec="center" w:tblpY="-56"/>
        <w:tblW w:w="0" w:type="auto"/>
        <w:tblBorders>
          <w:top w:val="single" w:sz="8" w:space="0" w:color="000000"/>
          <w:bottom w:val="single" w:sz="8" w:space="0" w:color="000000"/>
        </w:tblBorders>
        <w:tblLook w:val="00A0"/>
      </w:tblPr>
      <w:tblGrid>
        <w:gridCol w:w="1842"/>
        <w:gridCol w:w="1842"/>
        <w:gridCol w:w="1842"/>
        <w:gridCol w:w="1843"/>
      </w:tblGrid>
      <w:tr w:rsidR="00926DB2" w:rsidTr="00046654">
        <w:trPr>
          <w:trHeight w:val="423"/>
        </w:trPr>
        <w:tc>
          <w:tcPr>
            <w:tcW w:w="1842" w:type="dxa"/>
            <w:tcBorders>
              <w:top w:val="single" w:sz="8" w:space="0" w:color="000000"/>
              <w:left w:val="nil"/>
              <w:bottom w:val="single" w:sz="8" w:space="0" w:color="000000"/>
              <w:right w:val="nil"/>
            </w:tcBorders>
          </w:tcPr>
          <w:p w:rsidR="00926DB2" w:rsidRPr="00A84161" w:rsidRDefault="00926DB2" w:rsidP="00046654">
            <w:pPr>
              <w:autoSpaceDE w:val="0"/>
              <w:autoSpaceDN w:val="0"/>
              <w:adjustRightInd w:val="0"/>
              <w:jc w:val="both"/>
              <w:rPr>
                <w:rFonts w:cs="Times New Roman"/>
                <w:b/>
                <w:bCs/>
                <w:color w:val="000000"/>
                <w:lang w:val="fr-FR" w:eastAsia="en-US" w:bidi="ar-SA"/>
              </w:rPr>
            </w:pPr>
          </w:p>
        </w:tc>
        <w:tc>
          <w:tcPr>
            <w:tcW w:w="1842" w:type="dxa"/>
            <w:tcBorders>
              <w:top w:val="single" w:sz="8" w:space="0" w:color="000000"/>
              <w:left w:val="nil"/>
              <w:bottom w:val="single" w:sz="8" w:space="0" w:color="000000"/>
              <w:right w:val="nil"/>
            </w:tcBorders>
          </w:tcPr>
          <w:p w:rsidR="00926DB2" w:rsidRPr="007B663B" w:rsidRDefault="00926DB2" w:rsidP="00046654">
            <w:pPr>
              <w:autoSpaceDE w:val="0"/>
              <w:autoSpaceDN w:val="0"/>
              <w:adjustRightInd w:val="0"/>
              <w:jc w:val="both"/>
              <w:rPr>
                <w:rFonts w:cs="Times New Roman"/>
                <w:b/>
                <w:bCs/>
                <w:color w:val="000000"/>
                <w:lang w:val="en-US" w:eastAsia="en-US" w:bidi="ar-SA"/>
              </w:rPr>
            </w:pPr>
            <w:r w:rsidRPr="007B663B">
              <w:rPr>
                <w:rFonts w:cs="Times New Roman"/>
                <w:b/>
                <w:bCs/>
                <w:color w:val="000000"/>
                <w:sz w:val="22"/>
                <w:szCs w:val="22"/>
                <w:lang w:val="en-US" w:eastAsia="en-US" w:bidi="ar-SA"/>
              </w:rPr>
              <w:t>NI</w:t>
            </w:r>
          </w:p>
        </w:tc>
        <w:tc>
          <w:tcPr>
            <w:tcW w:w="1842" w:type="dxa"/>
            <w:tcBorders>
              <w:top w:val="single" w:sz="8" w:space="0" w:color="000000"/>
              <w:left w:val="nil"/>
              <w:bottom w:val="single" w:sz="8" w:space="0" w:color="000000"/>
              <w:right w:val="nil"/>
            </w:tcBorders>
          </w:tcPr>
          <w:p w:rsidR="00926DB2" w:rsidRPr="007B663B" w:rsidRDefault="00926DB2" w:rsidP="00046654">
            <w:pPr>
              <w:autoSpaceDE w:val="0"/>
              <w:autoSpaceDN w:val="0"/>
              <w:adjustRightInd w:val="0"/>
              <w:jc w:val="both"/>
              <w:rPr>
                <w:rFonts w:cs="Times New Roman"/>
                <w:b/>
                <w:bCs/>
                <w:color w:val="000000"/>
                <w:lang w:val="en-US" w:eastAsia="en-US" w:bidi="ar-SA"/>
              </w:rPr>
            </w:pPr>
            <w:r w:rsidRPr="007B663B">
              <w:rPr>
                <w:rFonts w:cs="Times New Roman"/>
                <w:b/>
                <w:bCs/>
                <w:color w:val="000000"/>
                <w:sz w:val="22"/>
                <w:szCs w:val="22"/>
                <w:lang w:val="en-US" w:eastAsia="en-US" w:bidi="ar-SA"/>
              </w:rPr>
              <w:t>RD</w:t>
            </w:r>
          </w:p>
        </w:tc>
        <w:tc>
          <w:tcPr>
            <w:tcW w:w="1843" w:type="dxa"/>
            <w:tcBorders>
              <w:top w:val="single" w:sz="8" w:space="0" w:color="000000"/>
              <w:left w:val="nil"/>
              <w:bottom w:val="single" w:sz="8" w:space="0" w:color="000000"/>
              <w:right w:val="nil"/>
            </w:tcBorders>
          </w:tcPr>
          <w:p w:rsidR="00926DB2" w:rsidRPr="007B663B" w:rsidRDefault="00926DB2" w:rsidP="00046654">
            <w:pPr>
              <w:autoSpaceDE w:val="0"/>
              <w:autoSpaceDN w:val="0"/>
              <w:adjustRightInd w:val="0"/>
              <w:jc w:val="both"/>
              <w:rPr>
                <w:rFonts w:cs="Times New Roman"/>
                <w:b/>
                <w:bCs/>
                <w:color w:val="000000"/>
                <w:lang w:val="en-US" w:eastAsia="en-US" w:bidi="ar-SA"/>
              </w:rPr>
            </w:pPr>
            <w:r w:rsidRPr="007B663B">
              <w:rPr>
                <w:rFonts w:cs="Times New Roman"/>
                <w:b/>
                <w:bCs/>
                <w:color w:val="000000"/>
                <w:sz w:val="22"/>
                <w:szCs w:val="22"/>
                <w:lang w:val="en-US" w:eastAsia="en-US" w:bidi="ar-SA"/>
              </w:rPr>
              <w:t>Returns</w:t>
            </w:r>
          </w:p>
        </w:tc>
      </w:tr>
      <w:tr w:rsidR="00926DB2" w:rsidTr="00046654">
        <w:trPr>
          <w:trHeight w:val="469"/>
        </w:trPr>
        <w:tc>
          <w:tcPr>
            <w:tcW w:w="1842" w:type="dxa"/>
            <w:tcBorders>
              <w:left w:val="nil"/>
              <w:right w:val="nil"/>
            </w:tcBorders>
            <w:shd w:val="clear" w:color="auto" w:fill="C0C0C0"/>
          </w:tcPr>
          <w:p w:rsidR="00926DB2" w:rsidRPr="007B663B" w:rsidRDefault="00926DB2" w:rsidP="00046654">
            <w:pPr>
              <w:autoSpaceDE w:val="0"/>
              <w:autoSpaceDN w:val="0"/>
              <w:adjustRightInd w:val="0"/>
              <w:jc w:val="both"/>
              <w:rPr>
                <w:rFonts w:cs="Times New Roman"/>
                <w:b/>
                <w:bCs/>
                <w:color w:val="000000"/>
                <w:lang w:val="en-US" w:eastAsia="en-US" w:bidi="ar-SA"/>
              </w:rPr>
            </w:pPr>
            <w:r w:rsidRPr="007B663B">
              <w:rPr>
                <w:rFonts w:cs="Times New Roman"/>
                <w:b/>
                <w:bCs/>
                <w:color w:val="000000"/>
                <w:sz w:val="22"/>
                <w:szCs w:val="22"/>
                <w:lang w:val="en-US" w:eastAsia="en-US" w:bidi="ar-SA"/>
              </w:rPr>
              <w:t>NI</w:t>
            </w:r>
          </w:p>
        </w:tc>
        <w:tc>
          <w:tcPr>
            <w:tcW w:w="1842" w:type="dxa"/>
            <w:tcBorders>
              <w:left w:val="nil"/>
              <w:right w:val="nil"/>
            </w:tcBorders>
            <w:shd w:val="clear" w:color="auto" w:fill="C0C0C0"/>
          </w:tcPr>
          <w:p w:rsidR="00926DB2" w:rsidRPr="007B663B" w:rsidRDefault="00926DB2" w:rsidP="00046654">
            <w:pPr>
              <w:autoSpaceDE w:val="0"/>
              <w:autoSpaceDN w:val="0"/>
              <w:adjustRightInd w:val="0"/>
              <w:jc w:val="both"/>
              <w:rPr>
                <w:rFonts w:cs="Times New Roman"/>
                <w:color w:val="000000"/>
                <w:lang w:val="en-US" w:eastAsia="en-US" w:bidi="ar-SA"/>
              </w:rPr>
            </w:pPr>
            <w:r w:rsidRPr="007B663B">
              <w:rPr>
                <w:rFonts w:cs="Times New Roman"/>
                <w:color w:val="000000"/>
                <w:sz w:val="22"/>
                <w:szCs w:val="22"/>
                <w:lang w:val="en-US" w:eastAsia="en-US" w:bidi="ar-SA"/>
              </w:rPr>
              <w:t>1</w:t>
            </w:r>
          </w:p>
        </w:tc>
        <w:tc>
          <w:tcPr>
            <w:tcW w:w="1842" w:type="dxa"/>
            <w:tcBorders>
              <w:left w:val="nil"/>
              <w:right w:val="nil"/>
            </w:tcBorders>
            <w:shd w:val="clear" w:color="auto" w:fill="C0C0C0"/>
          </w:tcPr>
          <w:p w:rsidR="00926DB2" w:rsidRPr="007B663B" w:rsidRDefault="00926DB2" w:rsidP="00046654">
            <w:pPr>
              <w:autoSpaceDE w:val="0"/>
              <w:autoSpaceDN w:val="0"/>
              <w:adjustRightInd w:val="0"/>
              <w:jc w:val="both"/>
              <w:rPr>
                <w:rFonts w:cs="Times New Roman"/>
                <w:color w:val="000000"/>
                <w:lang w:val="en-US" w:eastAsia="en-US" w:bidi="ar-SA"/>
              </w:rPr>
            </w:pPr>
            <w:r w:rsidRPr="007B663B">
              <w:rPr>
                <w:rFonts w:cs="Times New Roman"/>
                <w:color w:val="000000"/>
                <w:sz w:val="22"/>
                <w:szCs w:val="22"/>
                <w:lang w:val="en-US" w:eastAsia="en-US" w:bidi="ar-SA"/>
              </w:rPr>
              <w:t>0.2259</w:t>
            </w:r>
          </w:p>
        </w:tc>
        <w:tc>
          <w:tcPr>
            <w:tcW w:w="1843" w:type="dxa"/>
            <w:tcBorders>
              <w:left w:val="nil"/>
              <w:right w:val="nil"/>
            </w:tcBorders>
            <w:shd w:val="clear" w:color="auto" w:fill="C0C0C0"/>
          </w:tcPr>
          <w:p w:rsidR="00926DB2" w:rsidRPr="007B663B" w:rsidRDefault="00926DB2" w:rsidP="00046654">
            <w:pPr>
              <w:autoSpaceDE w:val="0"/>
              <w:autoSpaceDN w:val="0"/>
              <w:adjustRightInd w:val="0"/>
              <w:jc w:val="both"/>
              <w:rPr>
                <w:rFonts w:cs="Times New Roman"/>
                <w:color w:val="000000"/>
                <w:lang w:val="en-US" w:eastAsia="en-US" w:bidi="ar-SA"/>
              </w:rPr>
            </w:pPr>
            <w:r w:rsidRPr="007B663B">
              <w:rPr>
                <w:rFonts w:cs="Times New Roman"/>
                <w:color w:val="000000"/>
                <w:sz w:val="22"/>
                <w:szCs w:val="22"/>
                <w:lang w:val="en-US" w:eastAsia="en-US" w:bidi="ar-SA"/>
              </w:rPr>
              <w:t>0.2166</w:t>
            </w:r>
          </w:p>
        </w:tc>
      </w:tr>
      <w:tr w:rsidR="00926DB2" w:rsidTr="00046654">
        <w:trPr>
          <w:trHeight w:val="401"/>
        </w:trPr>
        <w:tc>
          <w:tcPr>
            <w:tcW w:w="1842" w:type="dxa"/>
          </w:tcPr>
          <w:p w:rsidR="00926DB2" w:rsidRPr="007B663B" w:rsidRDefault="00926DB2" w:rsidP="00046654">
            <w:pPr>
              <w:autoSpaceDE w:val="0"/>
              <w:autoSpaceDN w:val="0"/>
              <w:adjustRightInd w:val="0"/>
              <w:jc w:val="both"/>
              <w:rPr>
                <w:rFonts w:cs="Times New Roman"/>
                <w:b/>
                <w:bCs/>
                <w:color w:val="000000"/>
                <w:lang w:val="en-US" w:eastAsia="en-US" w:bidi="ar-SA"/>
              </w:rPr>
            </w:pPr>
            <w:r w:rsidRPr="007B663B">
              <w:rPr>
                <w:rFonts w:cs="Times New Roman"/>
                <w:b/>
                <w:bCs/>
                <w:color w:val="000000"/>
                <w:sz w:val="22"/>
                <w:szCs w:val="22"/>
                <w:lang w:val="en-US" w:eastAsia="en-US" w:bidi="ar-SA"/>
              </w:rPr>
              <w:t>RD</w:t>
            </w:r>
          </w:p>
        </w:tc>
        <w:tc>
          <w:tcPr>
            <w:tcW w:w="1842" w:type="dxa"/>
          </w:tcPr>
          <w:p w:rsidR="00926DB2" w:rsidRPr="00A84161" w:rsidRDefault="00926DB2" w:rsidP="00046654">
            <w:pPr>
              <w:autoSpaceDE w:val="0"/>
              <w:autoSpaceDN w:val="0"/>
              <w:adjustRightInd w:val="0"/>
              <w:jc w:val="both"/>
              <w:rPr>
                <w:rFonts w:cs="Times New Roman"/>
                <w:color w:val="000000"/>
                <w:lang w:val="en-US" w:eastAsia="en-US" w:bidi="ar-SA"/>
              </w:rPr>
            </w:pPr>
            <w:r w:rsidRPr="007B663B">
              <w:rPr>
                <w:rFonts w:cs="Times New Roman"/>
                <w:color w:val="000000"/>
                <w:sz w:val="22"/>
                <w:szCs w:val="22"/>
                <w:lang w:val="en-US" w:eastAsia="en-US" w:bidi="ar-SA"/>
              </w:rPr>
              <w:t>0.2259</w:t>
            </w:r>
          </w:p>
        </w:tc>
        <w:tc>
          <w:tcPr>
            <w:tcW w:w="1842" w:type="dxa"/>
          </w:tcPr>
          <w:p w:rsidR="00926DB2" w:rsidRPr="007B663B" w:rsidRDefault="00926DB2" w:rsidP="00046654">
            <w:pPr>
              <w:autoSpaceDE w:val="0"/>
              <w:autoSpaceDN w:val="0"/>
              <w:adjustRightInd w:val="0"/>
              <w:jc w:val="both"/>
              <w:rPr>
                <w:rFonts w:cs="Times New Roman"/>
                <w:color w:val="000000"/>
                <w:lang w:val="en-US" w:eastAsia="en-US" w:bidi="ar-SA"/>
              </w:rPr>
            </w:pPr>
            <w:r w:rsidRPr="007B663B">
              <w:rPr>
                <w:rFonts w:cs="Times New Roman"/>
                <w:color w:val="000000"/>
                <w:sz w:val="22"/>
                <w:szCs w:val="22"/>
                <w:lang w:val="en-US" w:eastAsia="en-US" w:bidi="ar-SA"/>
              </w:rPr>
              <w:t>1</w:t>
            </w:r>
          </w:p>
        </w:tc>
        <w:tc>
          <w:tcPr>
            <w:tcW w:w="1843" w:type="dxa"/>
          </w:tcPr>
          <w:p w:rsidR="00926DB2" w:rsidRPr="007B663B" w:rsidRDefault="00926DB2" w:rsidP="00046654">
            <w:pPr>
              <w:autoSpaceDE w:val="0"/>
              <w:autoSpaceDN w:val="0"/>
              <w:adjustRightInd w:val="0"/>
              <w:jc w:val="both"/>
              <w:rPr>
                <w:rFonts w:cs="Times New Roman"/>
                <w:color w:val="000000"/>
                <w:lang w:val="en-US" w:eastAsia="en-US" w:bidi="ar-SA"/>
              </w:rPr>
            </w:pPr>
            <w:r w:rsidRPr="007B663B">
              <w:rPr>
                <w:rFonts w:cs="Times New Roman"/>
                <w:color w:val="000000"/>
                <w:sz w:val="22"/>
                <w:szCs w:val="22"/>
                <w:lang w:val="en-US" w:eastAsia="en-US" w:bidi="ar-SA"/>
              </w:rPr>
              <w:t>0.5772</w:t>
            </w:r>
          </w:p>
        </w:tc>
      </w:tr>
      <w:tr w:rsidR="00926DB2" w:rsidTr="00046654">
        <w:trPr>
          <w:trHeight w:val="462"/>
        </w:trPr>
        <w:tc>
          <w:tcPr>
            <w:tcW w:w="1842" w:type="dxa"/>
            <w:tcBorders>
              <w:left w:val="nil"/>
              <w:bottom w:val="single" w:sz="8" w:space="0" w:color="000000"/>
              <w:right w:val="nil"/>
            </w:tcBorders>
            <w:shd w:val="clear" w:color="auto" w:fill="C0C0C0"/>
          </w:tcPr>
          <w:p w:rsidR="00926DB2" w:rsidRPr="007B663B" w:rsidRDefault="00926DB2" w:rsidP="00046654">
            <w:pPr>
              <w:autoSpaceDE w:val="0"/>
              <w:autoSpaceDN w:val="0"/>
              <w:adjustRightInd w:val="0"/>
              <w:jc w:val="both"/>
              <w:rPr>
                <w:rFonts w:cs="Times New Roman"/>
                <w:b/>
                <w:bCs/>
                <w:color w:val="000000"/>
                <w:lang w:val="en-US" w:eastAsia="en-US" w:bidi="ar-SA"/>
              </w:rPr>
            </w:pPr>
            <w:r w:rsidRPr="007B663B">
              <w:rPr>
                <w:rFonts w:cs="Times New Roman"/>
                <w:b/>
                <w:bCs/>
                <w:color w:val="000000"/>
                <w:sz w:val="22"/>
                <w:szCs w:val="22"/>
                <w:lang w:val="en-US" w:eastAsia="en-US" w:bidi="ar-SA"/>
              </w:rPr>
              <w:t>Returns</w:t>
            </w:r>
          </w:p>
        </w:tc>
        <w:tc>
          <w:tcPr>
            <w:tcW w:w="1842" w:type="dxa"/>
            <w:tcBorders>
              <w:left w:val="nil"/>
              <w:bottom w:val="single" w:sz="8" w:space="0" w:color="000000"/>
              <w:right w:val="nil"/>
            </w:tcBorders>
            <w:shd w:val="clear" w:color="auto" w:fill="C0C0C0"/>
          </w:tcPr>
          <w:p w:rsidR="00926DB2" w:rsidRPr="007B663B" w:rsidRDefault="00926DB2" w:rsidP="00046654">
            <w:pPr>
              <w:autoSpaceDE w:val="0"/>
              <w:autoSpaceDN w:val="0"/>
              <w:adjustRightInd w:val="0"/>
              <w:jc w:val="both"/>
              <w:rPr>
                <w:rFonts w:cs="Times New Roman"/>
                <w:color w:val="000000"/>
                <w:lang w:val="en-US" w:eastAsia="en-US" w:bidi="ar-SA"/>
              </w:rPr>
            </w:pPr>
            <w:r w:rsidRPr="007B663B">
              <w:rPr>
                <w:rFonts w:cs="Times New Roman"/>
                <w:color w:val="000000"/>
                <w:sz w:val="22"/>
                <w:szCs w:val="22"/>
                <w:lang w:val="en-US" w:eastAsia="en-US" w:bidi="ar-SA"/>
              </w:rPr>
              <w:t>0.2166</w:t>
            </w:r>
          </w:p>
        </w:tc>
        <w:tc>
          <w:tcPr>
            <w:tcW w:w="1842" w:type="dxa"/>
            <w:tcBorders>
              <w:left w:val="nil"/>
              <w:bottom w:val="single" w:sz="8" w:space="0" w:color="000000"/>
              <w:right w:val="nil"/>
            </w:tcBorders>
            <w:shd w:val="clear" w:color="auto" w:fill="C0C0C0"/>
          </w:tcPr>
          <w:p w:rsidR="00926DB2" w:rsidRPr="007B663B" w:rsidRDefault="00926DB2" w:rsidP="00046654">
            <w:pPr>
              <w:autoSpaceDE w:val="0"/>
              <w:autoSpaceDN w:val="0"/>
              <w:adjustRightInd w:val="0"/>
              <w:jc w:val="both"/>
              <w:rPr>
                <w:rFonts w:cs="Times New Roman"/>
                <w:color w:val="000000"/>
                <w:lang w:val="en-US" w:eastAsia="en-US" w:bidi="ar-SA"/>
              </w:rPr>
            </w:pPr>
            <w:r w:rsidRPr="007B663B">
              <w:rPr>
                <w:rFonts w:cs="Times New Roman"/>
                <w:color w:val="000000"/>
                <w:sz w:val="22"/>
                <w:szCs w:val="22"/>
                <w:lang w:val="en-US" w:eastAsia="en-US" w:bidi="ar-SA"/>
              </w:rPr>
              <w:t>0.5772</w:t>
            </w:r>
          </w:p>
        </w:tc>
        <w:tc>
          <w:tcPr>
            <w:tcW w:w="1843" w:type="dxa"/>
            <w:tcBorders>
              <w:left w:val="nil"/>
              <w:bottom w:val="single" w:sz="8" w:space="0" w:color="000000"/>
              <w:right w:val="nil"/>
            </w:tcBorders>
            <w:shd w:val="clear" w:color="auto" w:fill="C0C0C0"/>
          </w:tcPr>
          <w:p w:rsidR="00926DB2" w:rsidRPr="007B663B" w:rsidRDefault="00926DB2" w:rsidP="00046654">
            <w:pPr>
              <w:autoSpaceDE w:val="0"/>
              <w:autoSpaceDN w:val="0"/>
              <w:adjustRightInd w:val="0"/>
              <w:jc w:val="both"/>
              <w:rPr>
                <w:rFonts w:cs="Times New Roman"/>
                <w:color w:val="000000"/>
                <w:lang w:val="en-US" w:eastAsia="en-US" w:bidi="ar-SA"/>
              </w:rPr>
            </w:pPr>
            <w:r w:rsidRPr="007B663B">
              <w:rPr>
                <w:rFonts w:cs="Times New Roman"/>
                <w:color w:val="000000"/>
                <w:sz w:val="22"/>
                <w:szCs w:val="22"/>
                <w:lang w:val="en-US" w:eastAsia="en-US" w:bidi="ar-SA"/>
              </w:rPr>
              <w:t>1</w:t>
            </w:r>
          </w:p>
        </w:tc>
      </w:tr>
    </w:tbl>
    <w:p w:rsidR="00926DB2" w:rsidRDefault="00926DB2" w:rsidP="00046654">
      <w:pPr>
        <w:autoSpaceDE w:val="0"/>
        <w:autoSpaceDN w:val="0"/>
        <w:adjustRightInd w:val="0"/>
        <w:jc w:val="both"/>
        <w:rPr>
          <w:rFonts w:ascii="Arial" w:hAnsi="Arial" w:cs="Arial"/>
          <w:sz w:val="18"/>
          <w:szCs w:val="18"/>
          <w:lang w:val="en-US" w:eastAsia="en-US" w:bidi="ar-SA"/>
        </w:rPr>
      </w:pPr>
    </w:p>
    <w:p w:rsidR="00926DB2" w:rsidRDefault="00926DB2" w:rsidP="00046654">
      <w:pPr>
        <w:autoSpaceDE w:val="0"/>
        <w:autoSpaceDN w:val="0"/>
        <w:adjustRightInd w:val="0"/>
        <w:jc w:val="both"/>
        <w:rPr>
          <w:rFonts w:ascii="Arial" w:hAnsi="Arial" w:cs="Arial"/>
          <w:sz w:val="18"/>
          <w:szCs w:val="18"/>
          <w:lang w:val="en-US" w:eastAsia="en-US" w:bidi="ar-SA"/>
        </w:rPr>
      </w:pPr>
    </w:p>
    <w:p w:rsidR="00926DB2" w:rsidRDefault="00926DB2" w:rsidP="00046654">
      <w:pPr>
        <w:autoSpaceDE w:val="0"/>
        <w:autoSpaceDN w:val="0"/>
        <w:adjustRightInd w:val="0"/>
        <w:jc w:val="both"/>
        <w:rPr>
          <w:rFonts w:ascii="Arial" w:hAnsi="Arial" w:cs="Arial"/>
          <w:sz w:val="18"/>
          <w:szCs w:val="18"/>
          <w:lang w:val="en-US" w:eastAsia="en-US" w:bidi="ar-SA"/>
        </w:rPr>
      </w:pPr>
    </w:p>
    <w:p w:rsidR="00926DB2" w:rsidRDefault="00926DB2" w:rsidP="00046654">
      <w:pPr>
        <w:autoSpaceDE w:val="0"/>
        <w:autoSpaceDN w:val="0"/>
        <w:adjustRightInd w:val="0"/>
        <w:jc w:val="both"/>
        <w:rPr>
          <w:rFonts w:ascii="Arial" w:hAnsi="Arial" w:cs="Arial"/>
          <w:sz w:val="18"/>
          <w:szCs w:val="18"/>
          <w:lang w:val="en-US" w:eastAsia="en-US" w:bidi="ar-SA"/>
        </w:rPr>
      </w:pPr>
    </w:p>
    <w:p w:rsidR="00926DB2" w:rsidRDefault="00926DB2" w:rsidP="00046654">
      <w:pPr>
        <w:autoSpaceDE w:val="0"/>
        <w:autoSpaceDN w:val="0"/>
        <w:adjustRightInd w:val="0"/>
        <w:jc w:val="both"/>
        <w:rPr>
          <w:rFonts w:ascii="Arial" w:hAnsi="Arial" w:cs="Arial"/>
          <w:sz w:val="18"/>
          <w:szCs w:val="18"/>
          <w:lang w:val="en-US" w:eastAsia="en-US" w:bidi="ar-SA"/>
        </w:rPr>
      </w:pPr>
    </w:p>
    <w:p w:rsidR="00926DB2" w:rsidRDefault="00926DB2" w:rsidP="00046654">
      <w:pPr>
        <w:autoSpaceDE w:val="0"/>
        <w:autoSpaceDN w:val="0"/>
        <w:adjustRightInd w:val="0"/>
        <w:jc w:val="both"/>
        <w:rPr>
          <w:rFonts w:ascii="Arial" w:hAnsi="Arial" w:cs="Arial"/>
          <w:sz w:val="18"/>
          <w:szCs w:val="18"/>
          <w:lang w:val="en-US" w:eastAsia="en-US" w:bidi="ar-SA"/>
        </w:rPr>
      </w:pPr>
    </w:p>
    <w:p w:rsidR="00926DB2" w:rsidRDefault="00926DB2" w:rsidP="00046654">
      <w:pPr>
        <w:autoSpaceDE w:val="0"/>
        <w:autoSpaceDN w:val="0"/>
        <w:adjustRightInd w:val="0"/>
        <w:jc w:val="both"/>
        <w:rPr>
          <w:rFonts w:ascii="Arial" w:hAnsi="Arial" w:cs="Arial"/>
          <w:sz w:val="18"/>
          <w:szCs w:val="18"/>
          <w:lang w:val="en-US" w:eastAsia="en-US" w:bidi="ar-SA"/>
        </w:rPr>
      </w:pPr>
    </w:p>
    <w:p w:rsidR="00926DB2" w:rsidRDefault="00926DB2" w:rsidP="00046654">
      <w:pPr>
        <w:autoSpaceDE w:val="0"/>
        <w:autoSpaceDN w:val="0"/>
        <w:adjustRightInd w:val="0"/>
        <w:jc w:val="both"/>
        <w:rPr>
          <w:rFonts w:ascii="Arial" w:hAnsi="Arial" w:cs="Arial"/>
          <w:sz w:val="18"/>
          <w:szCs w:val="18"/>
          <w:lang w:val="en-US" w:eastAsia="en-US" w:bidi="ar-SA"/>
        </w:rPr>
      </w:pPr>
    </w:p>
    <w:p w:rsidR="00926DB2" w:rsidRDefault="00926DB2" w:rsidP="00046654">
      <w:pPr>
        <w:autoSpaceDE w:val="0"/>
        <w:autoSpaceDN w:val="0"/>
        <w:adjustRightInd w:val="0"/>
        <w:jc w:val="both"/>
        <w:rPr>
          <w:rFonts w:cs="Times New Roman"/>
          <w:lang w:val="en-US" w:eastAsia="en-US" w:bidi="ar-SA"/>
        </w:rPr>
      </w:pPr>
    </w:p>
    <w:p w:rsidR="00926DB2" w:rsidRPr="00156746" w:rsidRDefault="00926DB2" w:rsidP="00046654">
      <w:pPr>
        <w:autoSpaceDE w:val="0"/>
        <w:autoSpaceDN w:val="0"/>
        <w:adjustRightInd w:val="0"/>
        <w:jc w:val="both"/>
        <w:rPr>
          <w:rFonts w:cs="Times New Roman"/>
          <w:lang w:val="en-US" w:eastAsia="en-US" w:bidi="ar-SA"/>
        </w:rPr>
      </w:pPr>
    </w:p>
    <w:p w:rsidR="00926DB2" w:rsidRDefault="00926DB2" w:rsidP="008F7E52">
      <w:pPr>
        <w:autoSpaceDE w:val="0"/>
        <w:autoSpaceDN w:val="0"/>
        <w:adjustRightInd w:val="0"/>
        <w:spacing w:line="360" w:lineRule="auto"/>
        <w:jc w:val="both"/>
        <w:rPr>
          <w:b/>
          <w:i/>
          <w:lang w:val="en-US"/>
        </w:rPr>
      </w:pPr>
      <w:r w:rsidRPr="008D7170">
        <w:rPr>
          <w:rFonts w:cs="Times New Roman"/>
          <w:lang w:val="en-US" w:eastAsia="en-US" w:bidi="ar-SA"/>
        </w:rPr>
        <w:t xml:space="preserve">Table 9 shows the correlation between </w:t>
      </w:r>
      <w:r>
        <w:rPr>
          <w:rFonts w:cs="Times New Roman"/>
          <w:lang w:val="en-US" w:eastAsia="en-US" w:bidi="ar-SA"/>
        </w:rPr>
        <w:t xml:space="preserve">the Basu-model variables. The reason to incorporate this table is to test for multicollinearity; this concept is described as the relationship between the dependent variables in a regression model. This is very dangerous; hence the explanatory power of the independent variable and the relationship between the dependent and independent variable will be endangered. Thus to test for this phenomenon a correlation table is made with the use of Eviews to examine what the relations are between the individual </w:t>
      </w:r>
      <w:r>
        <w:rPr>
          <w:rFonts w:cs="Times New Roman"/>
          <w:lang w:val="en-US" w:eastAsia="en-US" w:bidi="ar-SA"/>
        </w:rPr>
        <w:lastRenderedPageBreak/>
        <w:t xml:space="preserve">variables. In table 9 it is seen that none of the variable show a high correlation with each other. Subsequently there is no reason to assume multicollinearity (Brooks 2008)  </w:t>
      </w:r>
    </w:p>
    <w:p w:rsidR="00926DB2" w:rsidRDefault="00926DB2" w:rsidP="004064DB">
      <w:pPr>
        <w:spacing w:line="360" w:lineRule="auto"/>
        <w:rPr>
          <w:b/>
          <w:i/>
          <w:lang w:val="en-US"/>
        </w:rPr>
      </w:pPr>
    </w:p>
    <w:p w:rsidR="00926DB2" w:rsidRDefault="00926DB2" w:rsidP="008F7E52">
      <w:pPr>
        <w:spacing w:line="360" w:lineRule="auto"/>
        <w:jc w:val="both"/>
        <w:rPr>
          <w:i/>
          <w:lang w:val="en-US"/>
        </w:rPr>
      </w:pPr>
      <w:r w:rsidRPr="004064DB">
        <w:rPr>
          <w:i/>
          <w:lang w:val="en-US"/>
        </w:rPr>
        <w:t>Assumptions for reliable regression</w:t>
      </w:r>
    </w:p>
    <w:p w:rsidR="00926DB2" w:rsidRDefault="00926DB2" w:rsidP="004064DB">
      <w:pPr>
        <w:spacing w:line="360" w:lineRule="auto"/>
        <w:rPr>
          <w:lang w:val="en-US"/>
        </w:rPr>
      </w:pPr>
    </w:p>
    <w:p w:rsidR="00926DB2" w:rsidRPr="00AC3CE9" w:rsidRDefault="00926DB2" w:rsidP="008F7E52">
      <w:pPr>
        <w:spacing w:line="360" w:lineRule="auto"/>
        <w:jc w:val="both"/>
        <w:rPr>
          <w:lang w:val="en-US"/>
        </w:rPr>
      </w:pPr>
      <w:r>
        <w:rPr>
          <w:lang w:val="en-US"/>
        </w:rPr>
        <w:t>The regressions that have been performed are tested and present reliable outputs. The regressions are tested for heteroskedasticity and at the same time corrected in Eviews with the Newey-West algorithm. Furthermore the residual plots have been examined to look for indications of autocorrelation. The Newey-West algorithm also corrects for autocorrelation. The above mentioned methods give certainty that the regression models are BLUE; Best Linear Unbiased Estimator (Brooks 2008).</w:t>
      </w:r>
    </w:p>
    <w:p w:rsidR="00926DB2" w:rsidRPr="006C4BB9" w:rsidRDefault="00926DB2" w:rsidP="004064DB">
      <w:pPr>
        <w:spacing w:line="360" w:lineRule="auto"/>
        <w:ind w:left="720"/>
        <w:jc w:val="both"/>
        <w:rPr>
          <w:rFonts w:cs="Times New Roman"/>
          <w:lang w:val="en-US" w:eastAsia="nl-NL" w:bidi="ar-SA"/>
        </w:rPr>
      </w:pPr>
    </w:p>
    <w:p w:rsidR="00926DB2" w:rsidRPr="0089232E" w:rsidRDefault="00926DB2" w:rsidP="00BA0A98">
      <w:pPr>
        <w:numPr>
          <w:ilvl w:val="0"/>
          <w:numId w:val="18"/>
        </w:numPr>
        <w:spacing w:line="360" w:lineRule="auto"/>
        <w:jc w:val="both"/>
        <w:rPr>
          <w:rFonts w:cs="Times New Roman"/>
          <w:lang w:val="en-US" w:eastAsia="nl-NL" w:bidi="ar-SA"/>
        </w:rPr>
      </w:pPr>
      <w:r w:rsidRPr="0089232E">
        <w:rPr>
          <w:b/>
          <w:lang w:val="en-US"/>
        </w:rPr>
        <w:t>Regression model H1 (Basu model):</w:t>
      </w:r>
      <w:r w:rsidRPr="0089232E">
        <w:rPr>
          <w:lang w:val="en-US"/>
        </w:rPr>
        <w:t xml:space="preserve">  </w:t>
      </w:r>
    </w:p>
    <w:p w:rsidR="00926DB2" w:rsidRPr="003D47BF" w:rsidRDefault="00926DB2" w:rsidP="00046654">
      <w:pPr>
        <w:spacing w:line="360" w:lineRule="auto"/>
        <w:jc w:val="both"/>
        <w:rPr>
          <w:rFonts w:cs="Times New Roman"/>
          <w:lang w:val="en-US" w:eastAsia="nl-NL" w:bidi="ar-SA"/>
        </w:rPr>
      </w:pPr>
    </w:p>
    <w:p w:rsidR="00926DB2" w:rsidRPr="00B53F35" w:rsidRDefault="00542395" w:rsidP="00B53F35">
      <w:pPr>
        <w:spacing w:line="360" w:lineRule="auto"/>
        <w:jc w:val="both"/>
        <w:rPr>
          <w:rFonts w:cs="Times New Roman"/>
          <w:b/>
          <w:i/>
          <w:lang w:val="en-US" w:eastAsia="nl-NL" w:bidi="ar-SA"/>
        </w:rPr>
      </w:pPr>
      <w:r w:rsidRPr="004B4228">
        <w:rPr>
          <w:rFonts w:cs="Times New Roman"/>
          <w:lang w:val="en-US" w:eastAsia="nl-NL" w:bidi="ar-SA"/>
        </w:rPr>
        <w:fldChar w:fldCharType="begin"/>
      </w:r>
      <w:r w:rsidR="00926DB2" w:rsidRPr="004B4228">
        <w:rPr>
          <w:rFonts w:cs="Times New Roman"/>
          <w:lang w:val="en-US" w:eastAsia="nl-NL" w:bidi="ar-SA"/>
        </w:rPr>
        <w:instrText xml:space="preserve"> QUOTE </w:instrText>
      </w:r>
      <w:r>
        <w:pict>
          <v:shape id="_x0000_i1029" type="#_x0000_t75" style="width:264.75pt;height:13.5pt" equationxml="&lt;">
            <v:imagedata r:id="rId11" o:title="" chromakey="white"/>
          </v:shape>
        </w:pict>
      </w:r>
      <w:r w:rsidR="00926DB2" w:rsidRPr="004B4228">
        <w:rPr>
          <w:rFonts w:cs="Times New Roman"/>
          <w:lang w:val="en-US" w:eastAsia="nl-NL" w:bidi="ar-SA"/>
        </w:rPr>
        <w:instrText xml:space="preserve"> </w:instrText>
      </w:r>
      <w:r w:rsidRPr="004B4228">
        <w:rPr>
          <w:rFonts w:cs="Times New Roman"/>
          <w:lang w:val="en-US" w:eastAsia="nl-NL" w:bidi="ar-SA"/>
        </w:rPr>
        <w:fldChar w:fldCharType="separate"/>
      </w:r>
      <w:r>
        <w:pict>
          <v:shape id="_x0000_i1030" type="#_x0000_t75" style="width:264.75pt;height:13.5pt" equationxml="&lt;">
            <v:imagedata r:id="rId11" o:title="" chromakey="white"/>
          </v:shape>
        </w:pict>
      </w:r>
      <w:r w:rsidRPr="004B4228">
        <w:rPr>
          <w:rFonts w:cs="Times New Roman"/>
          <w:lang w:val="en-US" w:eastAsia="nl-NL" w:bidi="ar-SA"/>
        </w:rPr>
        <w:fldChar w:fldCharType="end"/>
      </w:r>
      <w:r w:rsidR="00926DB2">
        <w:rPr>
          <w:rFonts w:cs="Times New Roman"/>
          <w:lang w:val="en-US" w:eastAsia="nl-NL" w:bidi="ar-SA"/>
        </w:rPr>
        <w:t xml:space="preserve">       </w:t>
      </w:r>
      <w:r w:rsidR="00926DB2">
        <w:rPr>
          <w:rFonts w:cs="Times New Roman"/>
          <w:lang w:val="en-US" w:eastAsia="nl-NL" w:bidi="ar-SA"/>
        </w:rPr>
        <w:tab/>
      </w:r>
      <w:r w:rsidR="00926DB2">
        <w:rPr>
          <w:rFonts w:cs="Times New Roman"/>
          <w:b/>
          <w:i/>
          <w:lang w:val="en-US" w:eastAsia="nl-NL" w:bidi="ar-SA"/>
        </w:rPr>
        <w:t>(1997-2009)</w:t>
      </w:r>
      <w:r w:rsidR="00926DB2">
        <w:rPr>
          <w:rFonts w:cs="Times New Roman"/>
          <w:b/>
          <w:i/>
          <w:lang w:val="en-US" w:eastAsia="nl-NL" w:bidi="ar-SA"/>
        </w:rPr>
        <w:tab/>
      </w:r>
      <w:r w:rsidR="00926DB2" w:rsidRPr="00CE06DA">
        <w:rPr>
          <w:rFonts w:cs="Times New Roman"/>
          <w:b/>
          <w:i/>
          <w:lang w:val="en-US" w:eastAsia="nl-NL" w:bidi="ar-SA"/>
        </w:rPr>
        <w:t xml:space="preserve"> </w:t>
      </w:r>
      <w:r w:rsidR="00926DB2">
        <w:rPr>
          <w:rFonts w:cs="Times New Roman"/>
          <w:b/>
          <w:i/>
          <w:lang w:val="en-US" w:eastAsia="nl-NL" w:bidi="ar-SA"/>
        </w:rPr>
        <w:tab/>
        <w:t>(6</w:t>
      </w:r>
      <w:r w:rsidR="00926DB2" w:rsidRPr="00CE06DA">
        <w:rPr>
          <w:rFonts w:cs="Times New Roman"/>
          <w:b/>
          <w:i/>
          <w:lang w:val="en-US" w:eastAsia="nl-NL" w:bidi="ar-SA"/>
        </w:rPr>
        <w:t>)</w:t>
      </w:r>
    </w:p>
    <w:p w:rsidR="00926DB2" w:rsidRPr="00B53F35" w:rsidRDefault="00926DB2" w:rsidP="00B53F35">
      <w:pPr>
        <w:pStyle w:val="Kop3"/>
        <w:jc w:val="both"/>
        <w:rPr>
          <w:rFonts w:ascii="Times New Roman" w:hAnsi="Times New Roman" w:cs="Times New Roman"/>
          <w:b w:val="0"/>
          <w:bCs w:val="0"/>
          <w:i/>
          <w:iCs/>
          <w:color w:val="auto"/>
          <w:lang w:val="en-US" w:eastAsia="nl-NL" w:bidi="ar-SA"/>
        </w:rPr>
      </w:pPr>
      <w:bookmarkStart w:id="191" w:name="_Toc268186075"/>
      <w:r w:rsidRPr="00B53F35">
        <w:rPr>
          <w:rFonts w:ascii="Times New Roman" w:hAnsi="Times New Roman" w:cs="Times New Roman"/>
          <w:b w:val="0"/>
          <w:bCs w:val="0"/>
          <w:i/>
          <w:iCs/>
          <w:color w:val="auto"/>
          <w:lang w:val="en-US" w:eastAsia="nl-NL" w:bidi="ar-SA"/>
        </w:rPr>
        <w:t>6.1.2 Descriptive statistics regression 1</w:t>
      </w:r>
      <w:bookmarkEnd w:id="191"/>
    </w:p>
    <w:p w:rsidR="00926DB2" w:rsidRPr="00121085" w:rsidRDefault="00926DB2" w:rsidP="00046654">
      <w:pPr>
        <w:spacing w:line="360" w:lineRule="auto"/>
        <w:jc w:val="both"/>
        <w:rPr>
          <w:rFonts w:cs="Times New Roman"/>
          <w:lang w:val="en-US" w:eastAsia="nl-NL" w:bidi="ar-SA"/>
        </w:rPr>
      </w:pPr>
    </w:p>
    <w:p w:rsidR="00926DB2" w:rsidRPr="00121085" w:rsidRDefault="00926DB2" w:rsidP="00046654">
      <w:pPr>
        <w:spacing w:line="360" w:lineRule="auto"/>
        <w:jc w:val="both"/>
        <w:rPr>
          <w:rFonts w:cs="Times New Roman"/>
          <w:lang w:val="en-US" w:eastAsia="nl-NL" w:bidi="ar-SA"/>
        </w:rPr>
      </w:pPr>
      <w:r>
        <w:rPr>
          <w:rFonts w:cs="Times New Roman"/>
          <w:lang w:val="en-US" w:eastAsia="nl-NL" w:bidi="ar-SA"/>
        </w:rPr>
        <w:t xml:space="preserve">In </w:t>
      </w:r>
      <w:r w:rsidRPr="00121085">
        <w:rPr>
          <w:rFonts w:cs="Times New Roman"/>
          <w:lang w:val="en-US" w:eastAsia="nl-NL" w:bidi="ar-SA"/>
        </w:rPr>
        <w:t>table</w:t>
      </w:r>
      <w:r>
        <w:rPr>
          <w:rFonts w:cs="Times New Roman"/>
          <w:lang w:val="en-US" w:eastAsia="nl-NL" w:bidi="ar-SA"/>
        </w:rPr>
        <w:t xml:space="preserve"> 10</w:t>
      </w:r>
      <w:r w:rsidRPr="00121085">
        <w:rPr>
          <w:rFonts w:cs="Times New Roman"/>
          <w:lang w:val="en-US" w:eastAsia="nl-NL" w:bidi="ar-SA"/>
        </w:rPr>
        <w:t xml:space="preserve"> below an analyses of the variables used in the Basu-model will be made. Each variable will be analyzed on outliers, normality and other descriptives. Then the variables will be corrected for skewness and other factors in order to obtain a qualitative and accurate data sample.</w:t>
      </w:r>
      <w:r>
        <w:rPr>
          <w:rFonts w:cs="Times New Roman"/>
          <w:lang w:val="en-US" w:eastAsia="nl-NL" w:bidi="ar-SA"/>
        </w:rPr>
        <w:t xml:space="preserve"> The final results are presented in the table below. </w:t>
      </w:r>
    </w:p>
    <w:p w:rsidR="00926DB2" w:rsidRPr="003B22E7" w:rsidRDefault="00926DB2" w:rsidP="00046654">
      <w:pPr>
        <w:spacing w:line="360" w:lineRule="auto"/>
        <w:jc w:val="both"/>
        <w:rPr>
          <w:rFonts w:cs="Times New Roman"/>
          <w:i/>
          <w:iCs/>
          <w:u w:val="single"/>
          <w:lang w:val="en-US" w:eastAsia="nl-NL" w:bidi="ar-SA"/>
        </w:rPr>
      </w:pPr>
    </w:p>
    <w:p w:rsidR="00926DB2" w:rsidRPr="003B22E7" w:rsidRDefault="00926DB2" w:rsidP="00046654">
      <w:pPr>
        <w:spacing w:line="360" w:lineRule="auto"/>
        <w:jc w:val="both"/>
        <w:rPr>
          <w:rFonts w:cs="Times New Roman"/>
          <w:u w:val="single"/>
          <w:lang w:val="en-US" w:eastAsia="nl-NL" w:bidi="ar-SA"/>
        </w:rPr>
      </w:pPr>
      <w:r w:rsidRPr="003B22E7">
        <w:rPr>
          <w:rFonts w:cs="Times New Roman"/>
          <w:b/>
          <w:bCs/>
          <w:u w:val="single"/>
          <w:lang w:val="en-US" w:eastAsia="nl-NL" w:bidi="ar-SA"/>
        </w:rPr>
        <w:t>Table 10.</w:t>
      </w:r>
      <w:r w:rsidRPr="003B22E7">
        <w:rPr>
          <w:rFonts w:cs="Times New Roman"/>
          <w:u w:val="single"/>
          <w:lang w:val="en-US" w:eastAsia="nl-NL" w:bidi="ar-SA"/>
        </w:rPr>
        <w:t xml:space="preserve"> Basu-model descriptive statistics and nu</w:t>
      </w:r>
      <w:r>
        <w:rPr>
          <w:rFonts w:cs="Times New Roman"/>
          <w:u w:val="single"/>
          <w:lang w:val="en-US" w:eastAsia="nl-NL" w:bidi="ar-SA"/>
        </w:rPr>
        <w:t>mber of observations for</w:t>
      </w:r>
      <w:r w:rsidR="0070193A">
        <w:rPr>
          <w:rFonts w:cs="Times New Roman"/>
          <w:u w:val="single"/>
          <w:lang w:val="en-US" w:eastAsia="nl-NL" w:bidi="ar-SA"/>
        </w:rPr>
        <w:t xml:space="preserve"> the</w:t>
      </w:r>
      <w:r>
        <w:rPr>
          <w:rFonts w:cs="Times New Roman"/>
          <w:u w:val="single"/>
          <w:lang w:val="en-US" w:eastAsia="nl-NL" w:bidi="ar-SA"/>
        </w:rPr>
        <w:t xml:space="preserve"> West-</w:t>
      </w:r>
      <w:r w:rsidR="004F666A">
        <w:rPr>
          <w:rFonts w:cs="Times New Roman"/>
          <w:u w:val="single"/>
          <w:lang w:val="en-US" w:eastAsia="nl-NL" w:bidi="ar-SA"/>
        </w:rPr>
        <w:t>European banks</w:t>
      </w:r>
      <w:r w:rsidRPr="003B22E7">
        <w:rPr>
          <w:rFonts w:cs="Times New Roman"/>
          <w:u w:val="single"/>
          <w:lang w:val="en-US" w:eastAsia="nl-NL" w:bidi="ar-SA"/>
        </w:rPr>
        <w:t xml:space="preserve"> sample for</w:t>
      </w:r>
      <w:r w:rsidR="004F666A">
        <w:rPr>
          <w:rFonts w:cs="Times New Roman"/>
          <w:u w:val="single"/>
          <w:lang w:val="en-US" w:eastAsia="nl-NL" w:bidi="ar-SA"/>
        </w:rPr>
        <w:t xml:space="preserve"> the</w:t>
      </w:r>
      <w:r w:rsidRPr="003B22E7">
        <w:rPr>
          <w:rFonts w:cs="Times New Roman"/>
          <w:u w:val="single"/>
          <w:lang w:val="en-US" w:eastAsia="nl-NL" w:bidi="ar-SA"/>
        </w:rPr>
        <w:t xml:space="preserve"> period 1997-2009</w:t>
      </w:r>
    </w:p>
    <w:tbl>
      <w:tblPr>
        <w:tblpPr w:leftFromText="180" w:rightFromText="180" w:vertAnchor="text" w:horzAnchor="margin" w:tblpXSpec="center" w:tblpY="154"/>
        <w:tblW w:w="8762" w:type="dxa"/>
        <w:tblBorders>
          <w:top w:val="single" w:sz="8" w:space="0" w:color="000000"/>
          <w:bottom w:val="single" w:sz="8" w:space="0" w:color="000000"/>
        </w:tblBorders>
        <w:tblLook w:val="01E0"/>
      </w:tblPr>
      <w:tblGrid>
        <w:gridCol w:w="1186"/>
        <w:gridCol w:w="1075"/>
        <w:gridCol w:w="1078"/>
        <w:gridCol w:w="1072"/>
        <w:gridCol w:w="1073"/>
        <w:gridCol w:w="1073"/>
        <w:gridCol w:w="1136"/>
        <w:gridCol w:w="1069"/>
      </w:tblGrid>
      <w:tr w:rsidR="00926DB2" w:rsidRPr="00775E56" w:rsidTr="00821AF9">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Variable</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Mean</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Median</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Std Dev</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Min</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Max</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N corrected</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 xml:space="preserve">N </w:t>
            </w:r>
          </w:p>
        </w:tc>
      </w:tr>
      <w:tr w:rsidR="00926DB2" w:rsidRPr="00775E56" w:rsidTr="00821AF9">
        <w:trPr>
          <w:trHeight w:val="330"/>
        </w:trPr>
        <w:tc>
          <w:tcPr>
            <w:tcW w:w="1186"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NI</w:t>
            </w:r>
          </w:p>
        </w:tc>
        <w:tc>
          <w:tcPr>
            <w:tcW w:w="1075"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0.2281</w:t>
            </w:r>
          </w:p>
        </w:tc>
        <w:tc>
          <w:tcPr>
            <w:tcW w:w="1078"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0.0932</w:t>
            </w:r>
          </w:p>
        </w:tc>
        <w:tc>
          <w:tcPr>
            <w:tcW w:w="1072"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0.48529</w:t>
            </w:r>
          </w:p>
        </w:tc>
        <w:tc>
          <w:tcPr>
            <w:tcW w:w="1073"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-3.1638</w:t>
            </w:r>
          </w:p>
        </w:tc>
        <w:tc>
          <w:tcPr>
            <w:tcW w:w="1073"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3.8829</w:t>
            </w:r>
          </w:p>
        </w:tc>
        <w:tc>
          <w:tcPr>
            <w:tcW w:w="1136"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2150</w:t>
            </w:r>
          </w:p>
        </w:tc>
        <w:tc>
          <w:tcPr>
            <w:tcW w:w="1069"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2219</w:t>
            </w:r>
          </w:p>
        </w:tc>
      </w:tr>
      <w:tr w:rsidR="00926DB2" w:rsidRPr="00775E56" w:rsidTr="00821AF9">
        <w:tc>
          <w:tcPr>
            <w:tcW w:w="1186"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w:t>
            </w:r>
          </w:p>
        </w:tc>
        <w:tc>
          <w:tcPr>
            <w:tcW w:w="1075"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0.1602</w:t>
            </w:r>
          </w:p>
        </w:tc>
        <w:tc>
          <w:tcPr>
            <w:tcW w:w="1078"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0.0863</w:t>
            </w:r>
          </w:p>
        </w:tc>
        <w:tc>
          <w:tcPr>
            <w:tcW w:w="1072"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0.5453</w:t>
            </w:r>
          </w:p>
        </w:tc>
        <w:tc>
          <w:tcPr>
            <w:tcW w:w="1073"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-0.9980</w:t>
            </w:r>
          </w:p>
        </w:tc>
        <w:tc>
          <w:tcPr>
            <w:tcW w:w="1073"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3.8658</w:t>
            </w:r>
          </w:p>
        </w:tc>
        <w:tc>
          <w:tcPr>
            <w:tcW w:w="1136"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2150</w:t>
            </w:r>
          </w:p>
        </w:tc>
        <w:tc>
          <w:tcPr>
            <w:tcW w:w="1069"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2219</w:t>
            </w:r>
          </w:p>
        </w:tc>
      </w:tr>
      <w:tr w:rsidR="00926DB2" w:rsidRPr="00775E56" w:rsidTr="00821AF9">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R*D</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-0.0927</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0.000</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0.1874</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-0.9980</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0.000</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2150</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ind w:left="-133" w:firstLine="166"/>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2219</w:t>
            </w:r>
          </w:p>
        </w:tc>
      </w:tr>
    </w:tbl>
    <w:p w:rsidR="00926DB2" w:rsidRDefault="00926DB2" w:rsidP="00046654">
      <w:pPr>
        <w:spacing w:line="360" w:lineRule="auto"/>
        <w:jc w:val="both"/>
        <w:rPr>
          <w:rFonts w:cs="Times New Roman"/>
          <w:i/>
          <w:iCs/>
          <w:lang w:val="en-US" w:eastAsia="nl-NL" w:bidi="ar-SA"/>
        </w:rPr>
      </w:pPr>
    </w:p>
    <w:p w:rsidR="00926DB2" w:rsidRPr="00B53F35" w:rsidRDefault="00926DB2" w:rsidP="00B53F35">
      <w:pPr>
        <w:spacing w:line="360" w:lineRule="auto"/>
        <w:jc w:val="both"/>
        <w:rPr>
          <w:rFonts w:cs="Times New Roman"/>
          <w:lang w:val="en-US" w:eastAsia="nl-NL" w:bidi="ar-SA"/>
        </w:rPr>
      </w:pPr>
      <w:r>
        <w:rPr>
          <w:rFonts w:cs="Times New Roman"/>
          <w:lang w:val="en-US" w:eastAsia="nl-NL" w:bidi="ar-SA"/>
        </w:rPr>
        <w:t xml:space="preserve">Table 10 reports the descriptive statistics for returns and net income variables for the sample period 1997-2009. The sample observations are 2150 after corrections have been made for outliers. The outliers have been rejected manually with Eviews, this method is chosen because </w:t>
      </w:r>
      <w:r>
        <w:rPr>
          <w:rFonts w:cs="Times New Roman"/>
          <w:lang w:val="en-US" w:eastAsia="nl-NL" w:bidi="ar-SA"/>
        </w:rPr>
        <w:lastRenderedPageBreak/>
        <w:t xml:space="preserve">it provides a way to individually select and delete the outliers. The outliers are specified separately for each data sample. The returns are more volatile than net income hence this is reflected by the fact that the standard deviation of the returns is higher than the standard deviation of net income. </w:t>
      </w:r>
    </w:p>
    <w:p w:rsidR="00926DB2" w:rsidRPr="00B53F35" w:rsidRDefault="00926DB2" w:rsidP="00B53F35">
      <w:pPr>
        <w:pStyle w:val="Kop3"/>
        <w:jc w:val="both"/>
        <w:rPr>
          <w:rFonts w:ascii="Times New Roman" w:hAnsi="Times New Roman" w:cs="Times New Roman"/>
          <w:b w:val="0"/>
          <w:bCs w:val="0"/>
          <w:i/>
          <w:iCs/>
          <w:color w:val="auto"/>
          <w:sz w:val="20"/>
          <w:szCs w:val="20"/>
          <w:lang w:val="en-US" w:eastAsia="en-US" w:bidi="ar-SA"/>
        </w:rPr>
      </w:pPr>
      <w:bookmarkStart w:id="192" w:name="_Toc268186076"/>
      <w:r w:rsidRPr="00B53F35">
        <w:rPr>
          <w:rFonts w:ascii="Times New Roman" w:hAnsi="Times New Roman" w:cs="Times New Roman"/>
          <w:b w:val="0"/>
          <w:bCs w:val="0"/>
          <w:i/>
          <w:iCs/>
          <w:color w:val="auto"/>
          <w:lang w:val="en-US" w:eastAsia="nl-NL" w:bidi="ar-SA"/>
        </w:rPr>
        <w:t>6.1.3 Conditional conservatism in the West-European banking sector during full sample period</w:t>
      </w:r>
      <w:bookmarkEnd w:id="192"/>
    </w:p>
    <w:p w:rsidR="00926DB2" w:rsidRPr="001E7C1B" w:rsidRDefault="00926DB2" w:rsidP="00046654">
      <w:pPr>
        <w:spacing w:line="360" w:lineRule="auto"/>
        <w:jc w:val="both"/>
        <w:rPr>
          <w:rFonts w:cs="Times New Roman"/>
          <w:i/>
          <w:iCs/>
          <w:lang w:val="en-US" w:eastAsia="nl-NL" w:bidi="ar-SA"/>
        </w:rPr>
      </w:pPr>
    </w:p>
    <w:p w:rsidR="00926DB2" w:rsidRPr="00821AF9" w:rsidRDefault="00926DB2" w:rsidP="00046654">
      <w:pPr>
        <w:spacing w:line="360" w:lineRule="auto"/>
        <w:jc w:val="both"/>
        <w:rPr>
          <w:rFonts w:cs="Times New Roman"/>
          <w:lang w:val="en-US" w:eastAsia="nl-NL" w:bidi="ar-SA"/>
        </w:rPr>
      </w:pPr>
      <w:r>
        <w:rPr>
          <w:rFonts w:cs="Times New Roman"/>
          <w:lang w:val="en-US" w:eastAsia="nl-NL" w:bidi="ar-SA"/>
        </w:rPr>
        <w:t>In the previous section an explanation was provided of the first regression model</w:t>
      </w:r>
      <w:r w:rsidRPr="00121085">
        <w:rPr>
          <w:rFonts w:cs="Times New Roman"/>
          <w:lang w:val="en-US" w:eastAsia="nl-NL" w:bidi="ar-SA"/>
        </w:rPr>
        <w:t xml:space="preserve"> and the research method was </w:t>
      </w:r>
      <w:r>
        <w:rPr>
          <w:rFonts w:cs="Times New Roman"/>
          <w:lang w:val="en-US" w:eastAsia="nl-NL" w:bidi="ar-SA"/>
        </w:rPr>
        <w:t xml:space="preserve">presented. Next the regression model </w:t>
      </w:r>
      <w:r w:rsidRPr="00121085">
        <w:rPr>
          <w:rFonts w:cs="Times New Roman"/>
          <w:lang w:val="en-US" w:eastAsia="nl-NL" w:bidi="ar-SA"/>
        </w:rPr>
        <w:t>and the descriptive statistics of the variables used in the Basu-model (1997-2009)</w:t>
      </w:r>
      <w:r>
        <w:rPr>
          <w:rFonts w:cs="Times New Roman"/>
          <w:lang w:val="en-US" w:eastAsia="nl-NL" w:bidi="ar-SA"/>
        </w:rPr>
        <w:t xml:space="preserve"> were presented. Subsequently an analysis of the results regarding conditional conservatism during full sample period will be provided.</w:t>
      </w:r>
    </w:p>
    <w:p w:rsidR="00926DB2" w:rsidRDefault="00926DB2" w:rsidP="00046654">
      <w:pPr>
        <w:spacing w:line="360" w:lineRule="auto"/>
        <w:jc w:val="both"/>
        <w:rPr>
          <w:rFonts w:cs="Times New Roman"/>
          <w:b/>
          <w:bCs/>
          <w:u w:val="single"/>
          <w:lang w:val="en-US" w:eastAsia="en-US" w:bidi="ar-SA"/>
        </w:rPr>
      </w:pPr>
    </w:p>
    <w:p w:rsidR="00926DB2" w:rsidRDefault="00926DB2" w:rsidP="00046654">
      <w:pPr>
        <w:spacing w:line="360" w:lineRule="auto"/>
        <w:jc w:val="both"/>
        <w:rPr>
          <w:rFonts w:cs="Times New Roman"/>
          <w:u w:val="single"/>
          <w:lang w:val="en-US" w:eastAsia="en-US" w:bidi="ar-SA"/>
        </w:rPr>
      </w:pPr>
      <w:r>
        <w:rPr>
          <w:rFonts w:cs="Times New Roman"/>
          <w:b/>
          <w:bCs/>
          <w:u w:val="single"/>
          <w:lang w:val="en-US" w:eastAsia="en-US" w:bidi="ar-SA"/>
        </w:rPr>
        <w:t>Table 11</w:t>
      </w:r>
      <w:r w:rsidRPr="00821AF9">
        <w:rPr>
          <w:rFonts w:cs="Times New Roman"/>
          <w:b/>
          <w:bCs/>
          <w:u w:val="single"/>
          <w:lang w:val="en-US" w:eastAsia="en-US" w:bidi="ar-SA"/>
        </w:rPr>
        <w:t>.</w:t>
      </w:r>
      <w:r w:rsidRPr="00821AF9">
        <w:rPr>
          <w:rFonts w:cs="Times New Roman"/>
          <w:u w:val="single"/>
          <w:lang w:val="en-US" w:eastAsia="en-US" w:bidi="ar-SA"/>
        </w:rPr>
        <w:t xml:space="preserve"> Degree of conservatism during the full sample period in West Europe</w:t>
      </w:r>
    </w:p>
    <w:p w:rsidR="00926DB2" w:rsidRPr="00821AF9" w:rsidRDefault="00926DB2" w:rsidP="00046654">
      <w:pPr>
        <w:spacing w:line="360" w:lineRule="auto"/>
        <w:jc w:val="both"/>
        <w:rPr>
          <w:rFonts w:cs="Times New Roman"/>
          <w:u w:val="single"/>
          <w:lang w:val="en-US" w:eastAsia="en-US" w:bidi="ar-SA"/>
        </w:rPr>
      </w:pPr>
    </w:p>
    <w:tbl>
      <w:tblPr>
        <w:tblpPr w:leftFromText="141" w:rightFromText="141" w:vertAnchor="text" w:horzAnchor="margin" w:tblpXSpec="center" w:tblpY="2226"/>
        <w:tblW w:w="10411" w:type="dxa"/>
        <w:tblBorders>
          <w:top w:val="single" w:sz="8" w:space="0" w:color="000000"/>
          <w:bottom w:val="single" w:sz="8" w:space="0" w:color="000000"/>
        </w:tblBorders>
        <w:tblLayout w:type="fixed"/>
        <w:tblLook w:val="00A0"/>
      </w:tblPr>
      <w:tblGrid>
        <w:gridCol w:w="1087"/>
        <w:gridCol w:w="1181"/>
        <w:gridCol w:w="1260"/>
        <w:gridCol w:w="1260"/>
        <w:gridCol w:w="1620"/>
        <w:gridCol w:w="1276"/>
        <w:gridCol w:w="884"/>
        <w:gridCol w:w="992"/>
        <w:gridCol w:w="851"/>
      </w:tblGrid>
      <w:tr w:rsidR="00926DB2" w:rsidRPr="005D57C7" w:rsidTr="00BB4264">
        <w:tc>
          <w:tcPr>
            <w:tcW w:w="1087" w:type="dxa"/>
            <w:tcBorders>
              <w:top w:val="single" w:sz="8" w:space="0" w:color="000000"/>
              <w:left w:val="nil"/>
              <w:bottom w:val="single" w:sz="8" w:space="0" w:color="000000"/>
              <w:right w:val="nil"/>
            </w:tcBorders>
          </w:tcPr>
          <w:p w:rsidR="00926DB2" w:rsidRPr="00A060A8" w:rsidRDefault="00926DB2" w:rsidP="00046654">
            <w:pPr>
              <w:spacing w:line="360" w:lineRule="auto"/>
              <w:jc w:val="both"/>
              <w:rPr>
                <w:rFonts w:cs="Times New Roman"/>
                <w:b/>
                <w:bCs/>
                <w:i/>
                <w:color w:val="000000"/>
                <w:lang w:val="en-US" w:eastAsia="en-US" w:bidi="ar-SA"/>
              </w:rPr>
            </w:pPr>
            <w:r w:rsidRPr="00A060A8">
              <w:rPr>
                <w:rFonts w:cs="Times New Roman"/>
                <w:b/>
                <w:bCs/>
                <w:i/>
                <w:color w:val="000000"/>
                <w:sz w:val="22"/>
                <w:szCs w:val="22"/>
                <w:lang w:val="en-US" w:eastAsia="en-US" w:bidi="ar-SA"/>
              </w:rPr>
              <w:t>Period</w:t>
            </w:r>
          </w:p>
        </w:tc>
        <w:tc>
          <w:tcPr>
            <w:tcW w:w="1181" w:type="dxa"/>
            <w:tcBorders>
              <w:top w:val="single" w:sz="8" w:space="0" w:color="000000"/>
              <w:left w:val="nil"/>
              <w:bottom w:val="single" w:sz="8" w:space="0" w:color="000000"/>
              <w:right w:val="nil"/>
            </w:tcBorders>
          </w:tcPr>
          <w:p w:rsidR="00926DB2" w:rsidRPr="00A060A8" w:rsidRDefault="00926DB2" w:rsidP="00046654">
            <w:pPr>
              <w:spacing w:line="360" w:lineRule="auto"/>
              <w:jc w:val="both"/>
              <w:rPr>
                <w:rFonts w:cs="Times New Roman"/>
                <w:b/>
                <w:bCs/>
                <w:i/>
                <w:color w:val="000000"/>
                <w:lang w:val="en-US" w:eastAsia="en-US" w:bidi="ar-SA"/>
              </w:rPr>
            </w:pPr>
            <w:r>
              <w:rPr>
                <w:rFonts w:cs="Times New Roman"/>
                <w:b/>
                <w:bCs/>
                <w:i/>
                <w:color w:val="000000"/>
                <w:sz w:val="22"/>
                <w:szCs w:val="22"/>
                <w:lang w:val="en-US" w:eastAsia="en-US" w:bidi="ar-SA"/>
              </w:rPr>
              <w:t xml:space="preserve">    </w:t>
            </w:r>
            <w:r w:rsidRPr="00A060A8">
              <w:rPr>
                <w:rFonts w:cs="Times New Roman"/>
                <w:b/>
                <w:bCs/>
                <w:i/>
                <w:color w:val="000000"/>
                <w:sz w:val="22"/>
                <w:szCs w:val="22"/>
                <w:lang w:val="en-US" w:eastAsia="en-US" w:bidi="ar-SA"/>
              </w:rPr>
              <w:t xml:space="preserve">β </w:t>
            </w:r>
            <w:r w:rsidRPr="00A060A8">
              <w:rPr>
                <w:rFonts w:cs="Times New Roman"/>
                <w:b/>
                <w:bCs/>
                <w:i/>
                <w:color w:val="000000"/>
                <w:sz w:val="20"/>
                <w:szCs w:val="20"/>
                <w:lang w:val="en-US" w:eastAsia="en-US" w:bidi="ar-SA"/>
              </w:rPr>
              <w:t>0</w:t>
            </w:r>
          </w:p>
        </w:tc>
        <w:tc>
          <w:tcPr>
            <w:tcW w:w="1260" w:type="dxa"/>
            <w:tcBorders>
              <w:top w:val="single" w:sz="8" w:space="0" w:color="000000"/>
              <w:left w:val="nil"/>
              <w:bottom w:val="single" w:sz="8" w:space="0" w:color="000000"/>
              <w:right w:val="nil"/>
            </w:tcBorders>
          </w:tcPr>
          <w:p w:rsidR="00926DB2" w:rsidRPr="00A060A8" w:rsidRDefault="00926DB2" w:rsidP="00046654">
            <w:pPr>
              <w:spacing w:line="360" w:lineRule="auto"/>
              <w:jc w:val="both"/>
              <w:rPr>
                <w:rFonts w:cs="Times New Roman"/>
                <w:b/>
                <w:bCs/>
                <w:i/>
                <w:color w:val="000000"/>
                <w:sz w:val="20"/>
                <w:szCs w:val="20"/>
                <w:lang w:val="en-US" w:eastAsia="en-US" w:bidi="ar-SA"/>
              </w:rPr>
            </w:pPr>
            <w:r>
              <w:rPr>
                <w:rFonts w:cs="Times New Roman"/>
                <w:b/>
                <w:bCs/>
                <w:i/>
                <w:color w:val="000000"/>
                <w:sz w:val="22"/>
                <w:szCs w:val="22"/>
                <w:lang w:val="en-US" w:eastAsia="en-US" w:bidi="ar-SA"/>
              </w:rPr>
              <w:t xml:space="preserve"> </w:t>
            </w:r>
            <w:r w:rsidRPr="00A060A8">
              <w:rPr>
                <w:rFonts w:cs="Times New Roman"/>
                <w:b/>
                <w:bCs/>
                <w:i/>
                <w:color w:val="000000"/>
                <w:sz w:val="22"/>
                <w:szCs w:val="22"/>
                <w:lang w:val="en-US" w:eastAsia="en-US" w:bidi="ar-SA"/>
              </w:rPr>
              <w:t xml:space="preserve">β </w:t>
            </w:r>
            <w:r w:rsidRPr="00A060A8">
              <w:rPr>
                <w:rFonts w:cs="Times New Roman"/>
                <w:b/>
                <w:bCs/>
                <w:i/>
                <w:color w:val="000000"/>
                <w:sz w:val="20"/>
                <w:szCs w:val="20"/>
                <w:lang w:val="en-US" w:eastAsia="en-US" w:bidi="ar-SA"/>
              </w:rPr>
              <w:t>1 (rd)</w:t>
            </w:r>
          </w:p>
        </w:tc>
        <w:tc>
          <w:tcPr>
            <w:tcW w:w="1260" w:type="dxa"/>
            <w:tcBorders>
              <w:top w:val="single" w:sz="8" w:space="0" w:color="000000"/>
              <w:left w:val="nil"/>
              <w:bottom w:val="single" w:sz="8" w:space="0" w:color="000000"/>
              <w:right w:val="nil"/>
            </w:tcBorders>
          </w:tcPr>
          <w:p w:rsidR="00926DB2" w:rsidRPr="00A060A8" w:rsidRDefault="00926DB2" w:rsidP="00046654">
            <w:pPr>
              <w:spacing w:line="360" w:lineRule="auto"/>
              <w:jc w:val="both"/>
              <w:rPr>
                <w:rFonts w:cs="Times New Roman"/>
                <w:b/>
                <w:bCs/>
                <w:i/>
                <w:color w:val="000000"/>
                <w:sz w:val="20"/>
                <w:szCs w:val="20"/>
                <w:lang w:val="en-US" w:eastAsia="en-US" w:bidi="ar-SA"/>
              </w:rPr>
            </w:pPr>
            <w:r w:rsidRPr="00A060A8">
              <w:rPr>
                <w:rFonts w:cs="Times New Roman"/>
                <w:b/>
                <w:bCs/>
                <w:i/>
                <w:color w:val="000000"/>
                <w:sz w:val="22"/>
                <w:szCs w:val="22"/>
                <w:lang w:val="en-US" w:eastAsia="en-US" w:bidi="ar-SA"/>
              </w:rPr>
              <w:t>β</w:t>
            </w:r>
            <w:r w:rsidRPr="00A060A8">
              <w:rPr>
                <w:rFonts w:cs="Times New Roman"/>
                <w:b/>
                <w:bCs/>
                <w:i/>
                <w:color w:val="000000"/>
                <w:sz w:val="20"/>
                <w:szCs w:val="20"/>
                <w:lang w:val="en-US" w:eastAsia="en-US" w:bidi="ar-SA"/>
              </w:rPr>
              <w:t>2 (returns)</w:t>
            </w:r>
          </w:p>
        </w:tc>
        <w:tc>
          <w:tcPr>
            <w:tcW w:w="1620" w:type="dxa"/>
            <w:tcBorders>
              <w:top w:val="single" w:sz="8" w:space="0" w:color="000000"/>
              <w:left w:val="nil"/>
              <w:bottom w:val="single" w:sz="8" w:space="0" w:color="000000"/>
              <w:right w:val="nil"/>
            </w:tcBorders>
          </w:tcPr>
          <w:p w:rsidR="00926DB2" w:rsidRPr="00A060A8" w:rsidRDefault="00926DB2" w:rsidP="00046654">
            <w:pPr>
              <w:spacing w:line="360" w:lineRule="auto"/>
              <w:jc w:val="both"/>
              <w:rPr>
                <w:rFonts w:cs="Times New Roman"/>
                <w:b/>
                <w:bCs/>
                <w:i/>
                <w:color w:val="000000"/>
                <w:lang w:val="en-US" w:eastAsia="en-US" w:bidi="ar-SA"/>
              </w:rPr>
            </w:pPr>
            <w:r>
              <w:rPr>
                <w:rFonts w:cs="Times New Roman"/>
                <w:b/>
                <w:bCs/>
                <w:i/>
                <w:color w:val="000000"/>
                <w:sz w:val="22"/>
                <w:szCs w:val="22"/>
                <w:lang w:val="en-US" w:eastAsia="en-US" w:bidi="ar-SA"/>
              </w:rPr>
              <w:t xml:space="preserve"> </w:t>
            </w:r>
            <w:r w:rsidRPr="00A060A8">
              <w:rPr>
                <w:rFonts w:cs="Times New Roman"/>
                <w:b/>
                <w:bCs/>
                <w:i/>
                <w:color w:val="000000"/>
                <w:sz w:val="22"/>
                <w:szCs w:val="22"/>
                <w:lang w:val="en-US" w:eastAsia="en-US" w:bidi="ar-SA"/>
              </w:rPr>
              <w:t>β</w:t>
            </w:r>
            <w:r w:rsidRPr="00A060A8">
              <w:rPr>
                <w:rFonts w:cs="Times New Roman"/>
                <w:b/>
                <w:bCs/>
                <w:i/>
                <w:color w:val="000000"/>
                <w:sz w:val="20"/>
                <w:szCs w:val="20"/>
                <w:lang w:val="en-US" w:eastAsia="en-US" w:bidi="ar-SA"/>
              </w:rPr>
              <w:t>3(returns*rd)</w:t>
            </w:r>
          </w:p>
        </w:tc>
        <w:tc>
          <w:tcPr>
            <w:tcW w:w="1276" w:type="dxa"/>
            <w:tcBorders>
              <w:top w:val="single" w:sz="8" w:space="0" w:color="000000"/>
              <w:left w:val="nil"/>
              <w:bottom w:val="single" w:sz="8" w:space="0" w:color="000000"/>
              <w:right w:val="nil"/>
            </w:tcBorders>
          </w:tcPr>
          <w:p w:rsidR="00926DB2" w:rsidRPr="00A060A8" w:rsidRDefault="00926DB2" w:rsidP="00046654">
            <w:pPr>
              <w:spacing w:line="360" w:lineRule="auto"/>
              <w:jc w:val="both"/>
              <w:rPr>
                <w:rFonts w:cs="Times New Roman"/>
                <w:b/>
                <w:bCs/>
                <w:i/>
                <w:color w:val="000000"/>
                <w:lang w:val="en-US" w:eastAsia="en-US" w:bidi="ar-SA"/>
              </w:rPr>
            </w:pPr>
            <w:r w:rsidRPr="00A060A8">
              <w:rPr>
                <w:rFonts w:cs="Times New Roman"/>
                <w:b/>
                <w:bCs/>
                <w:i/>
                <w:color w:val="000000"/>
                <w:sz w:val="22"/>
                <w:szCs w:val="22"/>
                <w:lang w:val="en-US" w:eastAsia="en-US" w:bidi="ar-SA"/>
              </w:rPr>
              <w:t xml:space="preserve">( β </w:t>
            </w:r>
            <w:r w:rsidRPr="00A060A8">
              <w:rPr>
                <w:rFonts w:cs="Times New Roman"/>
                <w:b/>
                <w:bCs/>
                <w:i/>
                <w:color w:val="000000"/>
                <w:sz w:val="20"/>
                <w:szCs w:val="20"/>
                <w:lang w:val="en-US" w:eastAsia="en-US" w:bidi="ar-SA"/>
              </w:rPr>
              <w:t>2+</w:t>
            </w:r>
            <w:r w:rsidRPr="00A060A8">
              <w:rPr>
                <w:rFonts w:cs="Times New Roman"/>
                <w:b/>
                <w:bCs/>
                <w:i/>
                <w:color w:val="000000"/>
                <w:sz w:val="22"/>
                <w:szCs w:val="22"/>
                <w:lang w:val="en-US" w:eastAsia="en-US" w:bidi="ar-SA"/>
              </w:rPr>
              <w:t xml:space="preserve">β </w:t>
            </w:r>
            <w:r w:rsidRPr="00A060A8">
              <w:rPr>
                <w:rFonts w:cs="Times New Roman"/>
                <w:b/>
                <w:bCs/>
                <w:i/>
                <w:color w:val="000000"/>
                <w:sz w:val="20"/>
                <w:szCs w:val="20"/>
                <w:lang w:val="en-US" w:eastAsia="en-US" w:bidi="ar-SA"/>
              </w:rPr>
              <w:t>3)/</w:t>
            </w:r>
            <w:r w:rsidRPr="00A060A8">
              <w:rPr>
                <w:rFonts w:cs="Times New Roman"/>
                <w:b/>
                <w:bCs/>
                <w:i/>
                <w:color w:val="000000"/>
                <w:sz w:val="22"/>
                <w:szCs w:val="22"/>
                <w:lang w:val="en-US" w:eastAsia="en-US" w:bidi="ar-SA"/>
              </w:rPr>
              <w:t xml:space="preserve"> β </w:t>
            </w:r>
            <w:r w:rsidRPr="00A060A8">
              <w:rPr>
                <w:rFonts w:cs="Times New Roman"/>
                <w:b/>
                <w:bCs/>
                <w:i/>
                <w:color w:val="000000"/>
                <w:sz w:val="20"/>
                <w:szCs w:val="20"/>
                <w:lang w:val="en-US" w:eastAsia="en-US" w:bidi="ar-SA"/>
              </w:rPr>
              <w:t>2</w:t>
            </w:r>
          </w:p>
        </w:tc>
        <w:tc>
          <w:tcPr>
            <w:tcW w:w="884" w:type="dxa"/>
            <w:tcBorders>
              <w:top w:val="single" w:sz="8" w:space="0" w:color="000000"/>
              <w:left w:val="nil"/>
              <w:bottom w:val="single" w:sz="8" w:space="0" w:color="000000"/>
              <w:right w:val="nil"/>
            </w:tcBorders>
          </w:tcPr>
          <w:p w:rsidR="00926DB2" w:rsidRPr="00A060A8" w:rsidRDefault="00926DB2" w:rsidP="00046654">
            <w:pPr>
              <w:spacing w:line="360" w:lineRule="auto"/>
              <w:jc w:val="both"/>
              <w:rPr>
                <w:rFonts w:cs="Times New Roman"/>
                <w:b/>
                <w:bCs/>
                <w:i/>
                <w:color w:val="000000"/>
                <w:lang w:val="en-US" w:eastAsia="en-US" w:bidi="ar-SA"/>
              </w:rPr>
            </w:pPr>
            <w:r>
              <w:rPr>
                <w:rFonts w:cs="Times New Roman"/>
                <w:b/>
                <w:bCs/>
                <w:i/>
                <w:color w:val="000000"/>
                <w:sz w:val="22"/>
                <w:szCs w:val="22"/>
                <w:lang w:val="en-US" w:eastAsia="en-US" w:bidi="ar-SA"/>
              </w:rPr>
              <w:t xml:space="preserve">   </w:t>
            </w:r>
            <w:r w:rsidRPr="00A060A8">
              <w:rPr>
                <w:rFonts w:cs="Times New Roman"/>
                <w:b/>
                <w:bCs/>
                <w:i/>
                <w:color w:val="000000"/>
                <w:sz w:val="22"/>
                <w:szCs w:val="22"/>
                <w:lang w:val="en-US" w:eastAsia="en-US" w:bidi="ar-SA"/>
              </w:rPr>
              <w:t>R2</w:t>
            </w:r>
          </w:p>
        </w:tc>
        <w:tc>
          <w:tcPr>
            <w:tcW w:w="992" w:type="dxa"/>
            <w:tcBorders>
              <w:top w:val="single" w:sz="8" w:space="0" w:color="000000"/>
              <w:left w:val="nil"/>
              <w:bottom w:val="single" w:sz="8" w:space="0" w:color="000000"/>
              <w:right w:val="nil"/>
            </w:tcBorders>
          </w:tcPr>
          <w:p w:rsidR="00926DB2" w:rsidRPr="00A060A8" w:rsidRDefault="00926DB2" w:rsidP="00046654">
            <w:pPr>
              <w:spacing w:line="360" w:lineRule="auto"/>
              <w:jc w:val="both"/>
              <w:rPr>
                <w:rFonts w:cs="Times New Roman"/>
                <w:b/>
                <w:bCs/>
                <w:i/>
                <w:color w:val="000000"/>
                <w:lang w:val="en-US" w:eastAsia="en-US" w:bidi="ar-SA"/>
              </w:rPr>
            </w:pPr>
            <w:r w:rsidRPr="00A060A8">
              <w:rPr>
                <w:rFonts w:cs="Times New Roman"/>
                <w:b/>
                <w:bCs/>
                <w:i/>
                <w:color w:val="000000"/>
                <w:sz w:val="22"/>
                <w:szCs w:val="22"/>
                <w:lang w:val="en-US" w:eastAsia="en-US" w:bidi="ar-SA"/>
              </w:rPr>
              <w:t>Adj. R2</w:t>
            </w:r>
          </w:p>
        </w:tc>
        <w:tc>
          <w:tcPr>
            <w:tcW w:w="851" w:type="dxa"/>
            <w:tcBorders>
              <w:top w:val="single" w:sz="8" w:space="0" w:color="000000"/>
              <w:left w:val="nil"/>
              <w:bottom w:val="single" w:sz="8" w:space="0" w:color="000000"/>
              <w:right w:val="nil"/>
            </w:tcBorders>
          </w:tcPr>
          <w:p w:rsidR="00926DB2" w:rsidRPr="00A060A8" w:rsidRDefault="00926DB2" w:rsidP="00046654">
            <w:pPr>
              <w:spacing w:line="360" w:lineRule="auto"/>
              <w:jc w:val="both"/>
              <w:rPr>
                <w:rFonts w:cs="Times New Roman"/>
                <w:b/>
                <w:bCs/>
                <w:i/>
                <w:color w:val="000000"/>
                <w:lang w:val="en-US" w:eastAsia="en-US" w:bidi="ar-SA"/>
              </w:rPr>
            </w:pPr>
            <w:r>
              <w:rPr>
                <w:rFonts w:cs="Times New Roman"/>
                <w:b/>
                <w:bCs/>
                <w:i/>
                <w:color w:val="000000"/>
                <w:sz w:val="22"/>
                <w:szCs w:val="22"/>
                <w:lang w:val="en-US" w:eastAsia="en-US" w:bidi="ar-SA"/>
              </w:rPr>
              <w:t xml:space="preserve">   </w:t>
            </w:r>
            <w:r w:rsidRPr="00A060A8">
              <w:rPr>
                <w:rFonts w:cs="Times New Roman"/>
                <w:b/>
                <w:bCs/>
                <w:i/>
                <w:color w:val="000000"/>
                <w:sz w:val="22"/>
                <w:szCs w:val="22"/>
                <w:lang w:val="en-US" w:eastAsia="en-US" w:bidi="ar-SA"/>
              </w:rPr>
              <w:t>N</w:t>
            </w:r>
          </w:p>
        </w:tc>
      </w:tr>
      <w:tr w:rsidR="00926DB2" w:rsidRPr="005D57C7" w:rsidTr="00BB4264">
        <w:tc>
          <w:tcPr>
            <w:tcW w:w="1087" w:type="dxa"/>
            <w:tcBorders>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en-US" w:bidi="ar-SA"/>
              </w:rPr>
            </w:pPr>
            <w:bookmarkStart w:id="193" w:name="_Hlk266713982"/>
            <w:r w:rsidRPr="007B663B">
              <w:rPr>
                <w:rFonts w:cs="Times New Roman"/>
                <w:b/>
                <w:bCs/>
                <w:i/>
                <w:iCs/>
                <w:color w:val="000000"/>
                <w:sz w:val="22"/>
                <w:szCs w:val="22"/>
                <w:lang w:val="en-US" w:eastAsia="en-US" w:bidi="ar-SA"/>
              </w:rPr>
              <w:t>1997-2009</w:t>
            </w:r>
          </w:p>
        </w:tc>
        <w:tc>
          <w:tcPr>
            <w:tcW w:w="1181" w:type="dxa"/>
            <w:tcBorders>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0.2564***</w:t>
            </w:r>
          </w:p>
        </w:tc>
        <w:tc>
          <w:tcPr>
            <w:tcW w:w="1260" w:type="dxa"/>
            <w:tcBorders>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0.7150***</w:t>
            </w:r>
          </w:p>
        </w:tc>
        <w:tc>
          <w:tcPr>
            <w:tcW w:w="1260" w:type="dxa"/>
            <w:tcBorders>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0.1506***</w:t>
            </w:r>
          </w:p>
        </w:tc>
        <w:tc>
          <w:tcPr>
            <w:tcW w:w="1620" w:type="dxa"/>
            <w:tcBorders>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0.4879***</w:t>
            </w:r>
          </w:p>
        </w:tc>
        <w:tc>
          <w:tcPr>
            <w:tcW w:w="1276" w:type="dxa"/>
            <w:tcBorders>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 xml:space="preserve">   4.2</w:t>
            </w:r>
          </w:p>
        </w:tc>
        <w:tc>
          <w:tcPr>
            <w:tcW w:w="884" w:type="dxa"/>
            <w:tcBorders>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0.0640</w:t>
            </w:r>
          </w:p>
        </w:tc>
        <w:tc>
          <w:tcPr>
            <w:tcW w:w="992" w:type="dxa"/>
            <w:tcBorders>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0.0627</w:t>
            </w:r>
          </w:p>
        </w:tc>
        <w:tc>
          <w:tcPr>
            <w:tcW w:w="851" w:type="dxa"/>
            <w:tcBorders>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2149</w:t>
            </w:r>
          </w:p>
        </w:tc>
      </w:tr>
    </w:tbl>
    <w:bookmarkEnd w:id="193"/>
    <w:p w:rsidR="00926DB2" w:rsidRDefault="00926DB2" w:rsidP="00046654">
      <w:pPr>
        <w:spacing w:line="360" w:lineRule="auto"/>
        <w:jc w:val="both"/>
        <w:rPr>
          <w:rFonts w:cs="Times New Roman"/>
          <w:color w:val="000000"/>
          <w:sz w:val="20"/>
          <w:szCs w:val="20"/>
          <w:lang w:val="en-US" w:eastAsia="en-US" w:bidi="ar-SA"/>
        </w:rPr>
      </w:pPr>
      <w:r w:rsidRPr="00B40DA7">
        <w:rPr>
          <w:rFonts w:cs="Times New Roman"/>
          <w:sz w:val="20"/>
          <w:szCs w:val="20"/>
          <w:lang w:val="en-US" w:eastAsia="en-US" w:bidi="ar-SA"/>
        </w:rPr>
        <w:t xml:space="preserve">The following regression model is made in the table below: NI = </w:t>
      </w:r>
      <w:r>
        <w:rPr>
          <w:rFonts w:cs="Times New Roman"/>
          <w:color w:val="000000"/>
          <w:sz w:val="20"/>
          <w:szCs w:val="20"/>
          <w:lang w:val="en-US" w:eastAsia="en-US" w:bidi="ar-SA"/>
        </w:rPr>
        <w:t xml:space="preserve">β0 + β1DRit </w:t>
      </w:r>
      <w:r w:rsidRPr="00B40DA7">
        <w:rPr>
          <w:rFonts w:cs="Times New Roman"/>
          <w:color w:val="000000"/>
          <w:sz w:val="20"/>
          <w:szCs w:val="20"/>
          <w:lang w:val="en-US" w:eastAsia="en-US" w:bidi="ar-SA"/>
        </w:rPr>
        <w:t>+ β2Rit + β3Rit*DRit + εit.  Ni is the net income before extraordinary items per share of the bank i. This variable is deflated by the beginning of the period share price; Rit are the banks returns including dividends over year t. DRit is the dummy variable which is one if the returns are negative and zero i</w:t>
      </w:r>
      <w:r>
        <w:rPr>
          <w:rFonts w:cs="Times New Roman"/>
          <w:color w:val="000000"/>
          <w:sz w:val="20"/>
          <w:szCs w:val="20"/>
          <w:lang w:val="en-US" w:eastAsia="en-US" w:bidi="ar-SA"/>
        </w:rPr>
        <w:t>n the case of positive returns. Rit*DRit is the interactive variable which represents the effect between negative returns times returns. N is the amount of observations. The values in the first 4 columns are the unstandardized coefficients.</w:t>
      </w:r>
    </w:p>
    <w:p w:rsidR="00926DB2" w:rsidRDefault="00926DB2" w:rsidP="00046654">
      <w:pPr>
        <w:spacing w:line="360" w:lineRule="auto"/>
        <w:jc w:val="both"/>
        <w:rPr>
          <w:rFonts w:cs="Times New Roman"/>
          <w:color w:val="000000"/>
          <w:sz w:val="20"/>
          <w:szCs w:val="20"/>
          <w:lang w:val="en-US" w:eastAsia="en-US" w:bidi="ar-SA"/>
        </w:rPr>
      </w:pPr>
    </w:p>
    <w:p w:rsidR="00926DB2" w:rsidRPr="00A060A8" w:rsidRDefault="00926DB2" w:rsidP="00046654">
      <w:pPr>
        <w:spacing w:line="360" w:lineRule="auto"/>
        <w:jc w:val="both"/>
        <w:rPr>
          <w:rFonts w:cs="Times New Roman"/>
          <w:i/>
          <w:iCs/>
          <w:sz w:val="20"/>
          <w:szCs w:val="20"/>
          <w:lang w:val="en-US" w:eastAsia="en-US" w:bidi="ar-SA"/>
        </w:rPr>
      </w:pPr>
      <w:r w:rsidRPr="00A060A8">
        <w:rPr>
          <w:rFonts w:cs="Times New Roman"/>
          <w:i/>
          <w:iCs/>
          <w:sz w:val="20"/>
          <w:szCs w:val="20"/>
          <w:lang w:val="en-US" w:eastAsia="en-US" w:bidi="ar-SA"/>
        </w:rPr>
        <w:t>*significant at 10% confidence level</w:t>
      </w:r>
    </w:p>
    <w:p w:rsidR="00926DB2" w:rsidRPr="00A060A8" w:rsidRDefault="00926DB2" w:rsidP="00046654">
      <w:pPr>
        <w:spacing w:line="360" w:lineRule="auto"/>
        <w:jc w:val="both"/>
        <w:rPr>
          <w:rFonts w:cs="Times New Roman"/>
          <w:i/>
          <w:iCs/>
          <w:sz w:val="20"/>
          <w:szCs w:val="20"/>
          <w:lang w:val="en-US" w:eastAsia="en-US" w:bidi="ar-SA"/>
        </w:rPr>
      </w:pPr>
      <w:r w:rsidRPr="00A060A8">
        <w:rPr>
          <w:rFonts w:cs="Times New Roman"/>
          <w:i/>
          <w:iCs/>
          <w:sz w:val="20"/>
          <w:szCs w:val="20"/>
          <w:lang w:val="en-US" w:eastAsia="en-US" w:bidi="ar-SA"/>
        </w:rPr>
        <w:t>** significant at 5% confidence level</w:t>
      </w:r>
    </w:p>
    <w:p w:rsidR="00926DB2" w:rsidRPr="00A060A8" w:rsidRDefault="00926DB2" w:rsidP="00046654">
      <w:pPr>
        <w:spacing w:line="360" w:lineRule="auto"/>
        <w:jc w:val="both"/>
        <w:rPr>
          <w:rFonts w:cs="Times New Roman"/>
          <w:i/>
          <w:iCs/>
          <w:sz w:val="20"/>
          <w:szCs w:val="20"/>
          <w:lang w:val="en-US" w:eastAsia="en-US" w:bidi="ar-SA"/>
        </w:rPr>
      </w:pPr>
      <w:r w:rsidRPr="00A060A8">
        <w:rPr>
          <w:rFonts w:cs="Times New Roman"/>
          <w:i/>
          <w:iCs/>
          <w:sz w:val="20"/>
          <w:szCs w:val="20"/>
          <w:lang w:val="en-US" w:eastAsia="en-US" w:bidi="ar-SA"/>
        </w:rPr>
        <w:t>*** significant at 1% confidence level</w:t>
      </w:r>
    </w:p>
    <w:p w:rsidR="00926DB2" w:rsidRDefault="00926DB2" w:rsidP="00046654">
      <w:pPr>
        <w:spacing w:line="360" w:lineRule="auto"/>
        <w:jc w:val="both"/>
        <w:rPr>
          <w:rFonts w:cs="Times New Roman"/>
          <w:i/>
          <w:iCs/>
          <w:lang w:val="en-US" w:eastAsia="en-US" w:bidi="ar-SA"/>
        </w:rPr>
      </w:pPr>
    </w:p>
    <w:p w:rsidR="00926DB2" w:rsidRPr="00B53F35" w:rsidRDefault="00926DB2" w:rsidP="00B53F35">
      <w:pPr>
        <w:spacing w:line="360" w:lineRule="auto"/>
        <w:jc w:val="both"/>
        <w:rPr>
          <w:rFonts w:cs="Times New Roman"/>
          <w:i/>
          <w:iCs/>
          <w:lang w:val="en-US" w:eastAsia="en-US" w:bidi="ar-SA"/>
        </w:rPr>
      </w:pPr>
      <w:r>
        <w:rPr>
          <w:lang w:val="en-US" w:eastAsia="en-US" w:bidi="ar-SA"/>
        </w:rPr>
        <w:t xml:space="preserve">Table 11 provides the results of the Basu regression model during the full sample period. In this model the stock prices are the leading variables and the earnings are the lagging variables. Stock prices indicate information gathered by more factors than only earnings, hence stock prices lead accounting earnings </w:t>
      </w:r>
      <w:r w:rsidRPr="00A57C21">
        <w:rPr>
          <w:lang w:val="en-US" w:eastAsia="en-US" w:bidi="ar-SA"/>
        </w:rPr>
        <w:t>(Ball and Brown 1968; Beaver et al. 1980; Kothari and Sloan, 1992). Statistically the test outputs and standard errors are better presented when the leading</w:t>
      </w:r>
      <w:r>
        <w:rPr>
          <w:lang w:val="en-US" w:eastAsia="en-US" w:bidi="ar-SA"/>
        </w:rPr>
        <w:t xml:space="preserve"> variable is the independent variable in the model and the lagging variable is the dependent </w:t>
      </w:r>
      <w:r>
        <w:rPr>
          <w:lang w:val="en-US" w:eastAsia="en-US" w:bidi="ar-SA"/>
        </w:rPr>
        <w:lastRenderedPageBreak/>
        <w:t xml:space="preserve">variable (Basu 1997). </w:t>
      </w:r>
      <w:r w:rsidR="00D17C8B">
        <w:rPr>
          <w:lang w:val="en-US" w:eastAsia="en-US" w:bidi="ar-SA"/>
        </w:rPr>
        <w:t>Earnings are the dependent variable in this model and returns</w:t>
      </w:r>
      <w:r>
        <w:rPr>
          <w:lang w:val="en-US" w:eastAsia="en-US" w:bidi="ar-SA"/>
        </w:rPr>
        <w:t xml:space="preserve"> the independent variable. The β3 coefficient in thi</w:t>
      </w:r>
      <w:r w:rsidR="003B4088">
        <w:rPr>
          <w:lang w:val="en-US" w:eastAsia="en-US" w:bidi="ar-SA"/>
        </w:rPr>
        <w:t>s model measures the incremental</w:t>
      </w:r>
      <w:r>
        <w:rPr>
          <w:lang w:val="en-US" w:eastAsia="en-US" w:bidi="ar-SA"/>
        </w:rPr>
        <w:t xml:space="preserve"> sensitivity of accounting income to the integration of bad information than good information </w:t>
      </w:r>
      <w:r w:rsidRPr="006503E0">
        <w:rPr>
          <w:color w:val="000000"/>
        </w:rPr>
        <w:t>(Vichitsarawong</w:t>
      </w:r>
      <w:r>
        <w:rPr>
          <w:color w:val="000000"/>
        </w:rPr>
        <w:t xml:space="preserve"> et al. 2010</w:t>
      </w:r>
      <w:r w:rsidRPr="006503E0">
        <w:rPr>
          <w:color w:val="000000"/>
        </w:rPr>
        <w:t>)</w:t>
      </w:r>
      <w:r>
        <w:rPr>
          <w:lang w:val="en-US" w:eastAsia="en-US" w:bidi="ar-SA"/>
        </w:rPr>
        <w:t>. The β3 coefficient measures conservatism. Table 11 shows that the β3 coefficient is both positive and has a high enormity; 0.488. The β3 coefficient in the Basu article (1997) is around 0.166. Furthermore the β3 coefficient is significant at the 1%, 5% and 10 % significance level; indicating that there is a high degree of conservatism during the whole sample period. Earnings is 4,2 times more sensitive for bad news as it is for good news (β2 + β3 / β2).The adjusted R2 in this model represents the timeliness in financial reporting (</w:t>
      </w:r>
      <w:r w:rsidRPr="006503E0">
        <w:rPr>
          <w:color w:val="000000"/>
        </w:rPr>
        <w:t>Vichitsarawong</w:t>
      </w:r>
      <w:r>
        <w:rPr>
          <w:color w:val="000000"/>
        </w:rPr>
        <w:t xml:space="preserve"> et al.</w:t>
      </w:r>
      <w:r w:rsidRPr="006503E0">
        <w:rPr>
          <w:color w:val="000000"/>
        </w:rPr>
        <w:t xml:space="preserve"> 2010)</w:t>
      </w:r>
      <w:r w:rsidR="00200496">
        <w:rPr>
          <w:lang w:val="en-US" w:eastAsia="en-US" w:bidi="ar-SA"/>
        </w:rPr>
        <w:t>. The adjusted R2 is 6,27</w:t>
      </w:r>
      <w:r>
        <w:rPr>
          <w:lang w:val="en-US" w:eastAsia="en-US" w:bidi="ar-SA"/>
        </w:rPr>
        <w:t>% for the full sample period.</w:t>
      </w:r>
    </w:p>
    <w:p w:rsidR="00926DB2" w:rsidRPr="00B53F35" w:rsidRDefault="00926DB2" w:rsidP="00B53F35">
      <w:pPr>
        <w:pStyle w:val="Kop3"/>
        <w:jc w:val="both"/>
        <w:rPr>
          <w:rFonts w:ascii="Times New Roman" w:hAnsi="Times New Roman" w:cs="Times New Roman"/>
          <w:b w:val="0"/>
          <w:bCs w:val="0"/>
          <w:i/>
          <w:iCs/>
          <w:color w:val="auto"/>
          <w:lang w:val="en-US" w:eastAsia="nl-NL" w:bidi="ar-SA"/>
        </w:rPr>
      </w:pPr>
      <w:bookmarkStart w:id="194" w:name="_Toc268186077"/>
      <w:r w:rsidRPr="00B53F35">
        <w:rPr>
          <w:rFonts w:ascii="Times New Roman" w:hAnsi="Times New Roman" w:cs="Times New Roman"/>
          <w:b w:val="0"/>
          <w:bCs w:val="0"/>
          <w:i/>
          <w:iCs/>
          <w:color w:val="auto"/>
          <w:lang w:val="en-US" w:eastAsia="en-US" w:bidi="ar-SA"/>
        </w:rPr>
        <w:t xml:space="preserve">6.1.4 </w:t>
      </w:r>
      <w:r w:rsidRPr="00B53F35">
        <w:rPr>
          <w:rFonts w:ascii="Times New Roman" w:hAnsi="Times New Roman" w:cs="Times New Roman"/>
          <w:b w:val="0"/>
          <w:bCs w:val="0"/>
          <w:i/>
          <w:iCs/>
          <w:color w:val="auto"/>
          <w:lang w:val="en-US" w:eastAsia="nl-NL" w:bidi="ar-SA"/>
        </w:rPr>
        <w:t>Hypotheses 2</w:t>
      </w:r>
      <w:bookmarkEnd w:id="194"/>
    </w:p>
    <w:p w:rsidR="00926DB2" w:rsidRDefault="00926DB2" w:rsidP="00046654">
      <w:pPr>
        <w:spacing w:line="360" w:lineRule="auto"/>
        <w:jc w:val="both"/>
        <w:rPr>
          <w:rFonts w:cs="Times New Roman"/>
          <w:i/>
          <w:lang w:val="en-US" w:eastAsia="nl-NL" w:bidi="ar-SA"/>
        </w:rPr>
      </w:pPr>
    </w:p>
    <w:p w:rsidR="00926DB2" w:rsidRPr="00467FCF" w:rsidRDefault="00926DB2" w:rsidP="00046654">
      <w:pPr>
        <w:spacing w:line="360" w:lineRule="auto"/>
        <w:jc w:val="both"/>
        <w:rPr>
          <w:rFonts w:cs="Times New Roman"/>
          <w:lang w:val="en-US" w:eastAsia="nl-NL" w:bidi="ar-SA"/>
        </w:rPr>
      </w:pPr>
      <w:r>
        <w:rPr>
          <w:rFonts w:cs="Times New Roman"/>
          <w:lang w:val="en-US" w:eastAsia="nl-NL" w:bidi="ar-SA"/>
        </w:rPr>
        <w:t>To test the second hypotheses the sample of banks will be divided in two periods. This will be the pre-crisis period from 1997-2006 and the crisis period from 2007-2009. Then two regressions will be made of these two sub-periods. The results of these two regressions will be compared to examine the degree of conservatism between these two sub periods.</w:t>
      </w:r>
    </w:p>
    <w:p w:rsidR="00926DB2" w:rsidRPr="002F3BD6" w:rsidRDefault="00926DB2" w:rsidP="00046654">
      <w:pPr>
        <w:spacing w:line="360" w:lineRule="auto"/>
        <w:jc w:val="both"/>
        <w:rPr>
          <w:rFonts w:cs="Times New Roman"/>
          <w:lang w:val="en-US" w:eastAsia="nl-NL" w:bidi="ar-SA"/>
        </w:rPr>
      </w:pPr>
    </w:p>
    <w:p w:rsidR="00926DB2" w:rsidRPr="002F3BD6" w:rsidRDefault="00926DB2" w:rsidP="00BA0A98">
      <w:pPr>
        <w:numPr>
          <w:ilvl w:val="0"/>
          <w:numId w:val="18"/>
        </w:numPr>
        <w:spacing w:line="360" w:lineRule="auto"/>
        <w:jc w:val="both"/>
        <w:rPr>
          <w:rFonts w:cs="Times New Roman"/>
          <w:lang w:val="en-US" w:eastAsia="nl-NL" w:bidi="ar-SA"/>
        </w:rPr>
      </w:pPr>
      <w:r w:rsidRPr="002F3BD6">
        <w:rPr>
          <w:b/>
          <w:lang w:val="en-US"/>
        </w:rPr>
        <w:t>Regression models H2 (Basu model):</w:t>
      </w:r>
      <w:r w:rsidRPr="002F3BD6">
        <w:rPr>
          <w:lang w:val="en-US"/>
        </w:rPr>
        <w:t xml:space="preserve">  </w:t>
      </w:r>
    </w:p>
    <w:p w:rsidR="00926DB2" w:rsidRDefault="00926DB2" w:rsidP="00046654">
      <w:pPr>
        <w:spacing w:line="360" w:lineRule="auto"/>
        <w:jc w:val="both"/>
        <w:rPr>
          <w:rFonts w:cs="Times New Roman"/>
          <w:lang w:val="en-US" w:eastAsia="nl-NL" w:bidi="ar-SA"/>
        </w:rPr>
      </w:pPr>
    </w:p>
    <w:p w:rsidR="00926DB2" w:rsidRPr="00CE06DA" w:rsidRDefault="00542395" w:rsidP="00046654">
      <w:pPr>
        <w:spacing w:line="360" w:lineRule="auto"/>
        <w:jc w:val="both"/>
        <w:rPr>
          <w:rFonts w:cs="Times New Roman"/>
          <w:b/>
          <w:i/>
          <w:lang w:val="en-US" w:eastAsia="nl-NL" w:bidi="ar-SA"/>
        </w:rPr>
      </w:pPr>
      <w:r w:rsidRPr="004B4228">
        <w:rPr>
          <w:rFonts w:cs="Times New Roman"/>
          <w:lang w:val="en-US" w:eastAsia="nl-NL" w:bidi="ar-SA"/>
        </w:rPr>
        <w:fldChar w:fldCharType="begin"/>
      </w:r>
      <w:r w:rsidR="00926DB2" w:rsidRPr="004B4228">
        <w:rPr>
          <w:rFonts w:cs="Times New Roman"/>
          <w:lang w:val="en-US" w:eastAsia="nl-NL" w:bidi="ar-SA"/>
        </w:rPr>
        <w:instrText xml:space="preserve"> QUOTE </w:instrText>
      </w:r>
      <w:r>
        <w:pict>
          <v:shape id="_x0000_i1031" type="#_x0000_t75" style="width:264.75pt;height:13.5pt" equationxml="&lt;">
            <v:imagedata r:id="rId11" o:title="" chromakey="white"/>
          </v:shape>
        </w:pict>
      </w:r>
      <w:r w:rsidR="00926DB2" w:rsidRPr="004B4228">
        <w:rPr>
          <w:rFonts w:cs="Times New Roman"/>
          <w:lang w:val="en-US" w:eastAsia="nl-NL" w:bidi="ar-SA"/>
        </w:rPr>
        <w:instrText xml:space="preserve"> </w:instrText>
      </w:r>
      <w:r w:rsidRPr="004B4228">
        <w:rPr>
          <w:rFonts w:cs="Times New Roman"/>
          <w:lang w:val="en-US" w:eastAsia="nl-NL" w:bidi="ar-SA"/>
        </w:rPr>
        <w:fldChar w:fldCharType="separate"/>
      </w:r>
      <w:r>
        <w:pict>
          <v:shape id="_x0000_i1032" type="#_x0000_t75" style="width:264.75pt;height:13.5pt" equationxml="&lt;">
            <v:imagedata r:id="rId11" o:title="" chromakey="white"/>
          </v:shape>
        </w:pict>
      </w:r>
      <w:r w:rsidRPr="004B4228">
        <w:rPr>
          <w:rFonts w:cs="Times New Roman"/>
          <w:lang w:val="en-US" w:eastAsia="nl-NL" w:bidi="ar-SA"/>
        </w:rPr>
        <w:fldChar w:fldCharType="end"/>
      </w:r>
      <w:r w:rsidR="00926DB2">
        <w:rPr>
          <w:rFonts w:cs="Times New Roman"/>
          <w:lang w:val="en-US" w:eastAsia="nl-NL" w:bidi="ar-SA"/>
        </w:rPr>
        <w:t xml:space="preserve">       </w:t>
      </w:r>
      <w:r w:rsidR="00926DB2">
        <w:rPr>
          <w:rFonts w:cs="Times New Roman"/>
          <w:lang w:val="en-US" w:eastAsia="nl-NL" w:bidi="ar-SA"/>
        </w:rPr>
        <w:tab/>
      </w:r>
      <w:r w:rsidR="00926DB2">
        <w:rPr>
          <w:rFonts w:cs="Times New Roman"/>
          <w:b/>
          <w:i/>
          <w:lang w:val="en-US" w:eastAsia="nl-NL" w:bidi="ar-SA"/>
        </w:rPr>
        <w:t>(1997-2006)</w:t>
      </w:r>
      <w:r w:rsidR="00926DB2">
        <w:rPr>
          <w:rFonts w:cs="Times New Roman"/>
          <w:b/>
          <w:i/>
          <w:lang w:val="en-US" w:eastAsia="nl-NL" w:bidi="ar-SA"/>
        </w:rPr>
        <w:tab/>
      </w:r>
      <w:r w:rsidR="00926DB2">
        <w:rPr>
          <w:rFonts w:cs="Times New Roman"/>
          <w:b/>
          <w:i/>
          <w:lang w:val="en-US" w:eastAsia="nl-NL" w:bidi="ar-SA"/>
        </w:rPr>
        <w:tab/>
        <w:t>(7a</w:t>
      </w:r>
      <w:r w:rsidR="00926DB2" w:rsidRPr="00CE06DA">
        <w:rPr>
          <w:rFonts w:cs="Times New Roman"/>
          <w:b/>
          <w:i/>
          <w:lang w:val="en-US" w:eastAsia="nl-NL" w:bidi="ar-SA"/>
        </w:rPr>
        <w:t>)</w:t>
      </w:r>
    </w:p>
    <w:p w:rsidR="00926DB2" w:rsidRDefault="00926DB2" w:rsidP="00046654">
      <w:pPr>
        <w:spacing w:line="360" w:lineRule="auto"/>
        <w:jc w:val="both"/>
        <w:rPr>
          <w:rFonts w:cs="Times New Roman"/>
          <w:i/>
          <w:lang w:val="en-US" w:eastAsia="nl-NL" w:bidi="ar-SA"/>
        </w:rPr>
      </w:pPr>
    </w:p>
    <w:p w:rsidR="00926DB2" w:rsidRPr="00B53F35" w:rsidRDefault="00542395" w:rsidP="00B53F35">
      <w:pPr>
        <w:spacing w:line="360" w:lineRule="auto"/>
        <w:jc w:val="both"/>
        <w:rPr>
          <w:rFonts w:cs="Times New Roman"/>
          <w:b/>
          <w:i/>
          <w:lang w:val="en-US" w:eastAsia="nl-NL" w:bidi="ar-SA"/>
        </w:rPr>
      </w:pPr>
      <w:r w:rsidRPr="004B4228">
        <w:rPr>
          <w:lang w:val="en-US" w:eastAsia="nl-NL" w:bidi="ar-SA"/>
        </w:rPr>
        <w:fldChar w:fldCharType="begin"/>
      </w:r>
      <w:r w:rsidR="00926DB2" w:rsidRPr="004B4228">
        <w:rPr>
          <w:lang w:val="en-US" w:eastAsia="nl-NL" w:bidi="ar-SA"/>
        </w:rPr>
        <w:instrText xml:space="preserve"> QUOTE </w:instrText>
      </w:r>
      <w:r>
        <w:pict>
          <v:shape id="_x0000_i1033" type="#_x0000_t75" style="width:264.75pt;height:13.5pt" equationxml="&lt;">
            <v:imagedata r:id="rId11" o:title="" chromakey="white"/>
          </v:shape>
        </w:pict>
      </w:r>
      <w:r w:rsidR="00926DB2" w:rsidRPr="004B4228">
        <w:rPr>
          <w:lang w:val="en-US" w:eastAsia="nl-NL" w:bidi="ar-SA"/>
        </w:rPr>
        <w:instrText xml:space="preserve"> </w:instrText>
      </w:r>
      <w:r w:rsidRPr="004B4228">
        <w:rPr>
          <w:lang w:val="en-US" w:eastAsia="nl-NL" w:bidi="ar-SA"/>
        </w:rPr>
        <w:fldChar w:fldCharType="separate"/>
      </w:r>
      <w:r>
        <w:pict>
          <v:shape id="_x0000_i1034" type="#_x0000_t75" style="width:264.75pt;height:13.5pt" equationxml="&lt;">
            <v:imagedata r:id="rId11" o:title="" chromakey="white"/>
          </v:shape>
        </w:pict>
      </w:r>
      <w:r w:rsidRPr="004B4228">
        <w:rPr>
          <w:lang w:val="en-US" w:eastAsia="nl-NL" w:bidi="ar-SA"/>
        </w:rPr>
        <w:fldChar w:fldCharType="end"/>
      </w:r>
      <w:r w:rsidR="00926DB2">
        <w:rPr>
          <w:lang w:val="en-US" w:eastAsia="nl-NL" w:bidi="ar-SA"/>
        </w:rPr>
        <w:t xml:space="preserve">       </w:t>
      </w:r>
      <w:r w:rsidR="00926DB2">
        <w:rPr>
          <w:lang w:val="en-US" w:eastAsia="nl-NL" w:bidi="ar-SA"/>
        </w:rPr>
        <w:tab/>
      </w:r>
      <w:r w:rsidR="00926DB2">
        <w:rPr>
          <w:b/>
          <w:i/>
          <w:lang w:val="en-US" w:eastAsia="nl-NL" w:bidi="ar-SA"/>
        </w:rPr>
        <w:t>(2007-2009)</w:t>
      </w:r>
      <w:r w:rsidR="00926DB2">
        <w:rPr>
          <w:b/>
          <w:i/>
          <w:lang w:val="en-US" w:eastAsia="nl-NL" w:bidi="ar-SA"/>
        </w:rPr>
        <w:tab/>
      </w:r>
      <w:r w:rsidR="00926DB2">
        <w:rPr>
          <w:b/>
          <w:i/>
          <w:lang w:val="en-US" w:eastAsia="nl-NL" w:bidi="ar-SA"/>
        </w:rPr>
        <w:tab/>
        <w:t>(7b</w:t>
      </w:r>
      <w:r w:rsidR="00926DB2" w:rsidRPr="00CE06DA">
        <w:rPr>
          <w:b/>
          <w:i/>
          <w:lang w:val="en-US" w:eastAsia="nl-NL" w:bidi="ar-SA"/>
        </w:rPr>
        <w:t>)</w:t>
      </w:r>
    </w:p>
    <w:p w:rsidR="00926DB2" w:rsidRPr="00B53F35" w:rsidRDefault="00926DB2" w:rsidP="00B53F35">
      <w:pPr>
        <w:pStyle w:val="Kop3"/>
        <w:jc w:val="both"/>
        <w:rPr>
          <w:rFonts w:ascii="Times New Roman" w:hAnsi="Times New Roman" w:cs="Times New Roman"/>
          <w:b w:val="0"/>
          <w:bCs w:val="0"/>
          <w:i/>
          <w:iCs/>
          <w:color w:val="auto"/>
          <w:lang w:val="en-US" w:eastAsia="nl-NL" w:bidi="ar-SA"/>
        </w:rPr>
      </w:pPr>
      <w:bookmarkStart w:id="195" w:name="_Toc268186078"/>
      <w:r w:rsidRPr="00B53F35">
        <w:rPr>
          <w:rFonts w:ascii="Times New Roman" w:hAnsi="Times New Roman" w:cs="Times New Roman"/>
          <w:b w:val="0"/>
          <w:bCs w:val="0"/>
          <w:i/>
          <w:iCs/>
          <w:color w:val="auto"/>
          <w:lang w:val="en-US" w:eastAsia="nl-NL" w:bidi="ar-SA"/>
        </w:rPr>
        <w:t>6.1.</w:t>
      </w:r>
      <w:r w:rsidRPr="00B53F35">
        <w:rPr>
          <w:rFonts w:ascii="Times New Roman" w:hAnsi="Times New Roman" w:cs="Times New Roman"/>
          <w:b w:val="0"/>
          <w:bCs w:val="0"/>
          <w:i/>
          <w:iCs/>
          <w:color w:val="auto"/>
        </w:rPr>
        <w:t xml:space="preserve">5 </w:t>
      </w:r>
      <w:r w:rsidRPr="00B53F35">
        <w:rPr>
          <w:rFonts w:ascii="Times New Roman" w:hAnsi="Times New Roman" w:cs="Times New Roman"/>
          <w:b w:val="0"/>
          <w:bCs w:val="0"/>
          <w:i/>
          <w:iCs/>
          <w:color w:val="auto"/>
          <w:lang w:val="en-US" w:eastAsia="nl-NL" w:bidi="ar-SA"/>
        </w:rPr>
        <w:t>Descriptive statistics regression 7a &amp; 7b</w:t>
      </w:r>
      <w:bookmarkEnd w:id="195"/>
    </w:p>
    <w:p w:rsidR="00926DB2" w:rsidRDefault="00926DB2" w:rsidP="00046654">
      <w:pPr>
        <w:spacing w:line="360" w:lineRule="auto"/>
        <w:jc w:val="both"/>
        <w:rPr>
          <w:rFonts w:cs="Times New Roman"/>
          <w:i/>
          <w:lang w:val="en-US" w:eastAsia="nl-NL" w:bidi="ar-SA"/>
        </w:rPr>
      </w:pPr>
      <w:r>
        <w:rPr>
          <w:rFonts w:cs="Times New Roman"/>
          <w:i/>
          <w:lang w:val="en-US" w:eastAsia="nl-NL" w:bidi="ar-SA"/>
        </w:rPr>
        <w:t xml:space="preserve"> </w:t>
      </w:r>
    </w:p>
    <w:p w:rsidR="00926DB2" w:rsidRDefault="00926DB2" w:rsidP="00046654">
      <w:pPr>
        <w:spacing w:line="360" w:lineRule="auto"/>
        <w:jc w:val="both"/>
        <w:rPr>
          <w:rFonts w:cs="Times New Roman"/>
          <w:lang w:val="en-US" w:eastAsia="nl-NL" w:bidi="ar-SA"/>
        </w:rPr>
      </w:pPr>
      <w:r>
        <w:rPr>
          <w:rFonts w:cs="Times New Roman"/>
          <w:lang w:val="en-US" w:eastAsia="nl-NL" w:bidi="ar-SA"/>
        </w:rPr>
        <w:t xml:space="preserve">In the tables 12a en 12b the descriptives of the variables used in the pre-crisis and crisis Basu model are presented. </w:t>
      </w:r>
      <w:r w:rsidRPr="00121085">
        <w:rPr>
          <w:rFonts w:cs="Times New Roman"/>
          <w:lang w:val="en-US" w:eastAsia="nl-NL" w:bidi="ar-SA"/>
        </w:rPr>
        <w:t>Each variable will be analyzed on outliers, normality and other descriptives. Then the variables will be corrected for skewness and other factors in order to obtain a qualitative and accurate data sample.</w:t>
      </w:r>
      <w:r>
        <w:rPr>
          <w:rFonts w:cs="Times New Roman"/>
          <w:lang w:val="en-US" w:eastAsia="nl-NL" w:bidi="ar-SA"/>
        </w:rPr>
        <w:t xml:space="preserve"> The final results are presented in the tables below.</w:t>
      </w:r>
    </w:p>
    <w:p w:rsidR="00926DB2" w:rsidRDefault="00926DB2" w:rsidP="00046654">
      <w:pPr>
        <w:spacing w:line="360" w:lineRule="auto"/>
        <w:jc w:val="both"/>
        <w:rPr>
          <w:rFonts w:cs="Times New Roman"/>
          <w:i/>
          <w:iCs/>
          <w:lang w:val="en-US" w:eastAsia="nl-NL" w:bidi="ar-SA"/>
        </w:rPr>
      </w:pPr>
    </w:p>
    <w:p w:rsidR="00926DB2" w:rsidRDefault="00926DB2" w:rsidP="00046654">
      <w:pPr>
        <w:spacing w:line="360" w:lineRule="auto"/>
        <w:jc w:val="both"/>
        <w:rPr>
          <w:rFonts w:cs="Times New Roman"/>
          <w:b/>
          <w:iCs/>
          <w:u w:val="single"/>
          <w:lang w:val="en-US" w:eastAsia="nl-NL" w:bidi="ar-SA"/>
        </w:rPr>
      </w:pPr>
    </w:p>
    <w:p w:rsidR="00926DB2" w:rsidRDefault="00926DB2" w:rsidP="00046654">
      <w:pPr>
        <w:spacing w:line="360" w:lineRule="auto"/>
        <w:jc w:val="both"/>
        <w:rPr>
          <w:rFonts w:cs="Times New Roman"/>
          <w:b/>
          <w:iCs/>
          <w:u w:val="single"/>
          <w:lang w:val="en-US" w:eastAsia="nl-NL" w:bidi="ar-SA"/>
        </w:rPr>
      </w:pPr>
    </w:p>
    <w:p w:rsidR="00926DB2" w:rsidRPr="009C76A1" w:rsidRDefault="00926DB2" w:rsidP="00046654">
      <w:pPr>
        <w:spacing w:line="360" w:lineRule="auto"/>
        <w:jc w:val="both"/>
        <w:rPr>
          <w:rFonts w:cs="Times New Roman"/>
          <w:i/>
          <w:iCs/>
          <w:u w:val="single"/>
          <w:lang w:val="en-US" w:eastAsia="nl-NL" w:bidi="ar-SA"/>
        </w:rPr>
      </w:pPr>
      <w:r w:rsidRPr="009C76A1">
        <w:rPr>
          <w:rFonts w:cs="Times New Roman"/>
          <w:b/>
          <w:iCs/>
          <w:u w:val="single"/>
          <w:lang w:val="en-US" w:eastAsia="nl-NL" w:bidi="ar-SA"/>
        </w:rPr>
        <w:lastRenderedPageBreak/>
        <w:t>Table 12a.</w:t>
      </w:r>
      <w:r w:rsidRPr="009C76A1">
        <w:rPr>
          <w:rFonts w:cs="Times New Roman"/>
          <w:i/>
          <w:iCs/>
          <w:u w:val="single"/>
          <w:lang w:val="en-US" w:eastAsia="nl-NL" w:bidi="ar-SA"/>
        </w:rPr>
        <w:t xml:space="preserve"> </w:t>
      </w:r>
      <w:r w:rsidRPr="009C76A1">
        <w:rPr>
          <w:rFonts w:cs="Times New Roman"/>
          <w:iCs/>
          <w:u w:val="single"/>
          <w:lang w:val="en-US" w:eastAsia="nl-NL" w:bidi="ar-SA"/>
        </w:rPr>
        <w:t>Basu-model descriptive statistics and number of observation</w:t>
      </w:r>
      <w:r w:rsidR="0070193A">
        <w:rPr>
          <w:rFonts w:cs="Times New Roman"/>
          <w:iCs/>
          <w:u w:val="single"/>
          <w:lang w:val="en-US" w:eastAsia="nl-NL" w:bidi="ar-SA"/>
        </w:rPr>
        <w:t>s for the Western European banks</w:t>
      </w:r>
      <w:r w:rsidRPr="009C76A1">
        <w:rPr>
          <w:rFonts w:cs="Times New Roman"/>
          <w:iCs/>
          <w:u w:val="single"/>
          <w:lang w:val="en-US" w:eastAsia="nl-NL" w:bidi="ar-SA"/>
        </w:rPr>
        <w:t xml:space="preserve"> sample for the pre-crisis period 1997-2006</w:t>
      </w:r>
    </w:p>
    <w:tbl>
      <w:tblPr>
        <w:tblpPr w:leftFromText="180" w:rightFromText="180" w:vertAnchor="text" w:horzAnchor="margin" w:tblpXSpec="center" w:tblpY="440"/>
        <w:tblW w:w="8762" w:type="dxa"/>
        <w:tblBorders>
          <w:top w:val="single" w:sz="8" w:space="0" w:color="000000"/>
          <w:bottom w:val="single" w:sz="8" w:space="0" w:color="000000"/>
        </w:tblBorders>
        <w:tblLook w:val="01E0"/>
      </w:tblPr>
      <w:tblGrid>
        <w:gridCol w:w="1186"/>
        <w:gridCol w:w="1075"/>
        <w:gridCol w:w="1078"/>
        <w:gridCol w:w="1072"/>
        <w:gridCol w:w="1073"/>
        <w:gridCol w:w="1073"/>
        <w:gridCol w:w="1136"/>
        <w:gridCol w:w="1069"/>
      </w:tblGrid>
      <w:tr w:rsidR="00926DB2" w:rsidRPr="00775E56" w:rsidTr="009C76A1">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Variable</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Mean</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Median</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Std Dev</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Min</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Max</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N corrected</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 xml:space="preserve">N </w:t>
            </w:r>
          </w:p>
        </w:tc>
      </w:tr>
      <w:tr w:rsidR="00926DB2" w:rsidRPr="00775E56" w:rsidTr="009C76A1">
        <w:tc>
          <w:tcPr>
            <w:tcW w:w="1186"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NI</w:t>
            </w:r>
          </w:p>
        </w:tc>
        <w:tc>
          <w:tcPr>
            <w:tcW w:w="1075"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0.2803</w:t>
            </w:r>
          </w:p>
        </w:tc>
        <w:tc>
          <w:tcPr>
            <w:tcW w:w="1078"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0.1136</w:t>
            </w:r>
          </w:p>
        </w:tc>
        <w:tc>
          <w:tcPr>
            <w:tcW w:w="1072"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0.5738</w:t>
            </w:r>
          </w:p>
        </w:tc>
        <w:tc>
          <w:tcPr>
            <w:tcW w:w="1073"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-3.1639</w:t>
            </w:r>
          </w:p>
        </w:tc>
        <w:tc>
          <w:tcPr>
            <w:tcW w:w="1073"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5.4975</w:t>
            </w:r>
          </w:p>
        </w:tc>
        <w:tc>
          <w:tcPr>
            <w:tcW w:w="1136"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1629</w:t>
            </w:r>
          </w:p>
        </w:tc>
        <w:tc>
          <w:tcPr>
            <w:tcW w:w="1069"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1667</w:t>
            </w:r>
          </w:p>
        </w:tc>
      </w:tr>
      <w:tr w:rsidR="00926DB2" w:rsidRPr="00775E56" w:rsidTr="009C76A1">
        <w:tc>
          <w:tcPr>
            <w:tcW w:w="1186"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w:t>
            </w:r>
          </w:p>
        </w:tc>
        <w:tc>
          <w:tcPr>
            <w:tcW w:w="1075"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0.2606</w:t>
            </w:r>
          </w:p>
        </w:tc>
        <w:tc>
          <w:tcPr>
            <w:tcW w:w="1078"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0.1450</w:t>
            </w:r>
          </w:p>
        </w:tc>
        <w:tc>
          <w:tcPr>
            <w:tcW w:w="1072"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0.6456</w:t>
            </w:r>
          </w:p>
        </w:tc>
        <w:tc>
          <w:tcPr>
            <w:tcW w:w="1073"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-0.8721</w:t>
            </w:r>
          </w:p>
        </w:tc>
        <w:tc>
          <w:tcPr>
            <w:tcW w:w="1073"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5.5026</w:t>
            </w:r>
          </w:p>
        </w:tc>
        <w:tc>
          <w:tcPr>
            <w:tcW w:w="1136"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1629</w:t>
            </w:r>
          </w:p>
        </w:tc>
        <w:tc>
          <w:tcPr>
            <w:tcW w:w="1069"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1667</w:t>
            </w:r>
          </w:p>
        </w:tc>
      </w:tr>
      <w:tr w:rsidR="00926DB2" w:rsidRPr="00775E56" w:rsidTr="009C76A1">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R*D</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-0.0477</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0.0000</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0.1242</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-0.8721</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0.0000</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1629</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1667</w:t>
            </w:r>
          </w:p>
        </w:tc>
      </w:tr>
    </w:tbl>
    <w:p w:rsidR="00926DB2" w:rsidRDefault="00926DB2" w:rsidP="00046654">
      <w:pPr>
        <w:spacing w:line="360" w:lineRule="auto"/>
        <w:jc w:val="both"/>
        <w:rPr>
          <w:rFonts w:cs="Times New Roman"/>
          <w:i/>
          <w:iCs/>
          <w:lang w:eastAsia="nl-NL" w:bidi="ar-SA"/>
        </w:rPr>
      </w:pPr>
    </w:p>
    <w:p w:rsidR="00926DB2" w:rsidRDefault="00926DB2" w:rsidP="00046654">
      <w:pPr>
        <w:spacing w:line="360" w:lineRule="auto"/>
        <w:jc w:val="both"/>
        <w:rPr>
          <w:rFonts w:cs="Times New Roman"/>
          <w:b/>
          <w:iCs/>
          <w:lang w:val="en-US" w:eastAsia="nl-NL" w:bidi="ar-SA"/>
        </w:rPr>
      </w:pPr>
    </w:p>
    <w:p w:rsidR="00926DB2" w:rsidRPr="009C76A1" w:rsidRDefault="00926DB2" w:rsidP="00046654">
      <w:pPr>
        <w:spacing w:line="360" w:lineRule="auto"/>
        <w:jc w:val="both"/>
        <w:rPr>
          <w:rFonts w:cs="Times New Roman"/>
          <w:u w:val="single"/>
          <w:lang w:val="en-US" w:eastAsia="nl-NL" w:bidi="ar-SA"/>
        </w:rPr>
      </w:pPr>
      <w:r w:rsidRPr="009C76A1">
        <w:rPr>
          <w:rFonts w:cs="Times New Roman"/>
          <w:b/>
          <w:iCs/>
          <w:u w:val="single"/>
          <w:lang w:val="en-US" w:eastAsia="nl-NL" w:bidi="ar-SA"/>
        </w:rPr>
        <w:t>Table 12b.</w:t>
      </w:r>
      <w:r w:rsidRPr="009C76A1">
        <w:rPr>
          <w:rFonts w:cs="Times New Roman"/>
          <w:iCs/>
          <w:u w:val="single"/>
          <w:lang w:val="en-US" w:eastAsia="nl-NL" w:bidi="ar-SA"/>
        </w:rPr>
        <w:t xml:space="preserve"> Basu-model descriptive statistics and number of observations for </w:t>
      </w:r>
      <w:r w:rsidR="0070193A">
        <w:rPr>
          <w:rFonts w:cs="Times New Roman"/>
          <w:iCs/>
          <w:u w:val="single"/>
          <w:lang w:val="en-US" w:eastAsia="nl-NL" w:bidi="ar-SA"/>
        </w:rPr>
        <w:t xml:space="preserve">the Western European banks </w:t>
      </w:r>
      <w:r w:rsidRPr="009C76A1">
        <w:rPr>
          <w:rFonts w:cs="Times New Roman"/>
          <w:iCs/>
          <w:u w:val="single"/>
          <w:lang w:val="en-US" w:eastAsia="nl-NL" w:bidi="ar-SA"/>
        </w:rPr>
        <w:t>sample for the crisis period 2007-2009</w:t>
      </w:r>
    </w:p>
    <w:tbl>
      <w:tblPr>
        <w:tblpPr w:leftFromText="180" w:rightFromText="180" w:vertAnchor="text" w:horzAnchor="margin" w:tblpXSpec="center" w:tblpY="440"/>
        <w:tblW w:w="8762" w:type="dxa"/>
        <w:tblBorders>
          <w:top w:val="single" w:sz="8" w:space="0" w:color="000000"/>
          <w:bottom w:val="single" w:sz="8" w:space="0" w:color="000000"/>
        </w:tblBorders>
        <w:tblLook w:val="01E0"/>
      </w:tblPr>
      <w:tblGrid>
        <w:gridCol w:w="1186"/>
        <w:gridCol w:w="1075"/>
        <w:gridCol w:w="1078"/>
        <w:gridCol w:w="1072"/>
        <w:gridCol w:w="1073"/>
        <w:gridCol w:w="1073"/>
        <w:gridCol w:w="1136"/>
        <w:gridCol w:w="1069"/>
      </w:tblGrid>
      <w:tr w:rsidR="00926DB2" w:rsidRPr="00775E56" w:rsidTr="007557EC">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Variable</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Mean</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Median</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Std Dev</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Min</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Max</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N corrected</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 xml:space="preserve">N </w:t>
            </w:r>
          </w:p>
        </w:tc>
      </w:tr>
      <w:tr w:rsidR="00926DB2" w:rsidRPr="00775E56" w:rsidTr="007557EC">
        <w:tc>
          <w:tcPr>
            <w:tcW w:w="1186"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NI</w:t>
            </w:r>
          </w:p>
        </w:tc>
        <w:tc>
          <w:tcPr>
            <w:tcW w:w="1075"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0.05338</w:t>
            </w:r>
          </w:p>
        </w:tc>
        <w:tc>
          <w:tcPr>
            <w:tcW w:w="1078"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0.05459</w:t>
            </w:r>
          </w:p>
        </w:tc>
        <w:tc>
          <w:tcPr>
            <w:tcW w:w="1072"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0.21809</w:t>
            </w:r>
          </w:p>
        </w:tc>
        <w:tc>
          <w:tcPr>
            <w:tcW w:w="1073"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-1.4607</w:t>
            </w:r>
          </w:p>
        </w:tc>
        <w:tc>
          <w:tcPr>
            <w:tcW w:w="1073"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1.3736</w:t>
            </w:r>
          </w:p>
        </w:tc>
        <w:tc>
          <w:tcPr>
            <w:tcW w:w="1136"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440</w:t>
            </w:r>
          </w:p>
        </w:tc>
        <w:tc>
          <w:tcPr>
            <w:tcW w:w="1069"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452</w:t>
            </w:r>
          </w:p>
        </w:tc>
      </w:tr>
      <w:tr w:rsidR="00926DB2" w:rsidRPr="00775E56" w:rsidTr="007557EC">
        <w:tc>
          <w:tcPr>
            <w:tcW w:w="1186"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w:t>
            </w:r>
          </w:p>
        </w:tc>
        <w:tc>
          <w:tcPr>
            <w:tcW w:w="1075"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-0.02983</w:t>
            </w:r>
          </w:p>
        </w:tc>
        <w:tc>
          <w:tcPr>
            <w:tcW w:w="1078"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-0.12309</w:t>
            </w:r>
          </w:p>
        </w:tc>
        <w:tc>
          <w:tcPr>
            <w:tcW w:w="1072"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0.62045</w:t>
            </w:r>
          </w:p>
        </w:tc>
        <w:tc>
          <w:tcPr>
            <w:tcW w:w="1073"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-0.9981</w:t>
            </w:r>
          </w:p>
        </w:tc>
        <w:tc>
          <w:tcPr>
            <w:tcW w:w="1073"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3.7379</w:t>
            </w:r>
          </w:p>
        </w:tc>
        <w:tc>
          <w:tcPr>
            <w:tcW w:w="1136"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440</w:t>
            </w:r>
          </w:p>
        </w:tc>
        <w:tc>
          <w:tcPr>
            <w:tcW w:w="1069"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452</w:t>
            </w:r>
          </w:p>
        </w:tc>
      </w:tr>
      <w:tr w:rsidR="00926DB2" w:rsidRPr="00775E56" w:rsidTr="007557EC">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R*D</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-0.2296</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-0.12309</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0.26214</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-0.9980</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0.0000</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440</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452</w:t>
            </w:r>
          </w:p>
        </w:tc>
      </w:tr>
    </w:tbl>
    <w:p w:rsidR="00926DB2" w:rsidRDefault="00926DB2" w:rsidP="00046654">
      <w:pPr>
        <w:spacing w:line="360" w:lineRule="auto"/>
        <w:jc w:val="both"/>
        <w:rPr>
          <w:rFonts w:ascii="Arial" w:hAnsi="Arial" w:cs="Arial"/>
          <w:sz w:val="20"/>
          <w:szCs w:val="20"/>
          <w:lang w:val="nl-NL" w:eastAsia="en-US" w:bidi="ar-SA"/>
        </w:rPr>
      </w:pPr>
    </w:p>
    <w:p w:rsidR="00926DB2" w:rsidRDefault="00926DB2" w:rsidP="00046654">
      <w:pPr>
        <w:spacing w:line="360" w:lineRule="auto"/>
        <w:jc w:val="both"/>
        <w:rPr>
          <w:rFonts w:ascii="Arial" w:hAnsi="Arial" w:cs="Arial"/>
          <w:sz w:val="20"/>
          <w:szCs w:val="20"/>
          <w:lang w:val="nl-NL" w:eastAsia="en-US" w:bidi="ar-SA"/>
        </w:rPr>
      </w:pPr>
    </w:p>
    <w:p w:rsidR="00926DB2" w:rsidRDefault="00926DB2" w:rsidP="00046654">
      <w:pPr>
        <w:spacing w:line="360" w:lineRule="auto"/>
        <w:jc w:val="both"/>
        <w:rPr>
          <w:rFonts w:cs="Times New Roman"/>
          <w:lang w:val="en-US" w:eastAsia="en-US" w:bidi="ar-SA"/>
        </w:rPr>
      </w:pPr>
      <w:r w:rsidRPr="00DA3D17">
        <w:rPr>
          <w:rFonts w:cs="Times New Roman"/>
          <w:lang w:val="en-US" w:eastAsia="en-US" w:bidi="ar-SA"/>
        </w:rPr>
        <w:t xml:space="preserve">Table </w:t>
      </w:r>
      <w:r>
        <w:rPr>
          <w:rFonts w:cs="Times New Roman"/>
          <w:lang w:val="en-US" w:eastAsia="en-US" w:bidi="ar-SA"/>
        </w:rPr>
        <w:t>12a shows the descriptive statistics for the pre-crisis period (1997-2006) for the net income and return variables. The sample observations are 1629 after corrections have been made for outliers.</w:t>
      </w:r>
      <w:r>
        <w:rPr>
          <w:rStyle w:val="Voetnootmarkering"/>
          <w:lang w:val="en-US" w:eastAsia="en-US" w:bidi="ar-SA"/>
        </w:rPr>
        <w:footnoteReference w:id="2"/>
      </w:r>
      <w:r>
        <w:rPr>
          <w:rFonts w:cs="Times New Roman"/>
          <w:lang w:val="en-US" w:eastAsia="en-US" w:bidi="ar-SA"/>
        </w:rPr>
        <w:t xml:space="preserve"> The returns are more volatile than the net income, which corresponds with the full sample period. Comparing net income and returns with the full sample period, the net income and returns of the pre-crisis period are higher than of the full sample period. This is as expected hence the full sample period also takes into consideration the crisis period which has a mitigating effect on returns and income.</w:t>
      </w:r>
    </w:p>
    <w:p w:rsidR="00926DB2" w:rsidRDefault="00926DB2" w:rsidP="00046654">
      <w:pPr>
        <w:spacing w:line="360" w:lineRule="auto"/>
        <w:jc w:val="both"/>
        <w:rPr>
          <w:rFonts w:cs="Times New Roman"/>
          <w:lang w:val="en-US" w:eastAsia="en-US" w:bidi="ar-SA"/>
        </w:rPr>
      </w:pPr>
    </w:p>
    <w:p w:rsidR="00926DB2" w:rsidRPr="00DA3D17" w:rsidRDefault="00926DB2" w:rsidP="00046654">
      <w:pPr>
        <w:spacing w:line="360" w:lineRule="auto"/>
        <w:jc w:val="both"/>
        <w:rPr>
          <w:rFonts w:cs="Times New Roman"/>
          <w:lang w:val="en-US" w:eastAsia="en-US" w:bidi="ar-SA"/>
        </w:rPr>
      </w:pPr>
      <w:r>
        <w:rPr>
          <w:rFonts w:cs="Times New Roman"/>
          <w:lang w:val="en-US" w:eastAsia="en-US" w:bidi="ar-SA"/>
        </w:rPr>
        <w:t>Table 12b presents the descriptive statistics for the crisis period (2007-2009). The sample observations are 440 after corrections. The returns are more volatile than net income; the magnitude of this volatility is grea</w:t>
      </w:r>
      <w:r w:rsidR="0070193A">
        <w:rPr>
          <w:rFonts w:cs="Times New Roman"/>
          <w:lang w:val="en-US" w:eastAsia="en-US" w:bidi="ar-SA"/>
        </w:rPr>
        <w:t xml:space="preserve">ter than for the pre-crisis </w:t>
      </w:r>
      <w:r>
        <w:rPr>
          <w:rFonts w:cs="Times New Roman"/>
          <w:lang w:val="en-US" w:eastAsia="en-US" w:bidi="ar-SA"/>
        </w:rPr>
        <w:t xml:space="preserve">sample period. Subsequently the net income and returns are lower than those of the pre-crisis and full sample period; this is in line with the expectations hence during crisis periods companies perform less well. </w:t>
      </w:r>
    </w:p>
    <w:p w:rsidR="00926DB2" w:rsidRPr="00DA3D17" w:rsidRDefault="00926DB2" w:rsidP="00046654">
      <w:pPr>
        <w:spacing w:line="360" w:lineRule="auto"/>
        <w:jc w:val="both"/>
        <w:rPr>
          <w:rFonts w:ascii="Arial" w:hAnsi="Arial" w:cs="Arial"/>
          <w:sz w:val="20"/>
          <w:szCs w:val="20"/>
          <w:lang w:val="en-US" w:eastAsia="en-US" w:bidi="ar-SA"/>
        </w:rPr>
      </w:pPr>
    </w:p>
    <w:p w:rsidR="00926DB2" w:rsidRPr="00B53F35" w:rsidRDefault="00926DB2" w:rsidP="00B53F35">
      <w:pPr>
        <w:pStyle w:val="Kop3"/>
        <w:jc w:val="both"/>
        <w:rPr>
          <w:rFonts w:ascii="Times New Roman" w:hAnsi="Times New Roman" w:cs="Times New Roman"/>
          <w:b w:val="0"/>
          <w:bCs w:val="0"/>
          <w:i/>
          <w:iCs/>
          <w:color w:val="auto"/>
          <w:lang w:val="en-US" w:eastAsia="nl-NL" w:bidi="ar-SA"/>
        </w:rPr>
      </w:pPr>
      <w:bookmarkStart w:id="196" w:name="_Toc268186079"/>
      <w:r w:rsidRPr="00B53F35">
        <w:rPr>
          <w:rFonts w:ascii="Times New Roman" w:hAnsi="Times New Roman" w:cs="Times New Roman"/>
          <w:b w:val="0"/>
          <w:bCs w:val="0"/>
          <w:i/>
          <w:iCs/>
          <w:color w:val="auto"/>
          <w:lang w:val="en-US" w:eastAsia="nl-NL" w:bidi="ar-SA"/>
        </w:rPr>
        <w:lastRenderedPageBreak/>
        <w:t>6.1.6 Conditional conservatism in the West-European banking sector during the pre-crisis and crisis period</w:t>
      </w:r>
      <w:bookmarkEnd w:id="196"/>
    </w:p>
    <w:p w:rsidR="00926DB2" w:rsidRDefault="00926DB2" w:rsidP="00046654">
      <w:pPr>
        <w:spacing w:line="360" w:lineRule="auto"/>
        <w:jc w:val="both"/>
        <w:rPr>
          <w:rFonts w:cs="Times New Roman"/>
          <w:i/>
          <w:iCs/>
          <w:lang w:val="en-US" w:eastAsia="nl-NL" w:bidi="ar-SA"/>
        </w:rPr>
      </w:pPr>
    </w:p>
    <w:p w:rsidR="00926DB2" w:rsidRPr="0042583F" w:rsidRDefault="00926DB2" w:rsidP="00046654">
      <w:pPr>
        <w:spacing w:line="360" w:lineRule="auto"/>
        <w:jc w:val="both"/>
        <w:rPr>
          <w:rFonts w:cs="Times New Roman"/>
          <w:iCs/>
          <w:lang w:val="en-US" w:eastAsia="nl-NL" w:bidi="ar-SA"/>
        </w:rPr>
      </w:pPr>
      <w:r>
        <w:rPr>
          <w:rFonts w:cs="Times New Roman"/>
          <w:iCs/>
          <w:lang w:val="en-US" w:eastAsia="nl-NL" w:bidi="ar-SA"/>
        </w:rPr>
        <w:t>In the table 13 the results of the pre-crisis and crisis Basu model regressions are presented which will be discussed.</w:t>
      </w:r>
    </w:p>
    <w:p w:rsidR="00926DB2" w:rsidRDefault="00926DB2" w:rsidP="00046654">
      <w:pPr>
        <w:spacing w:line="360" w:lineRule="auto"/>
        <w:jc w:val="both"/>
        <w:rPr>
          <w:rFonts w:cs="Times New Roman"/>
          <w:i/>
          <w:iCs/>
          <w:lang w:val="en-US" w:eastAsia="nl-NL" w:bidi="ar-SA"/>
        </w:rPr>
      </w:pPr>
    </w:p>
    <w:p w:rsidR="00926DB2" w:rsidRPr="009C76A1" w:rsidRDefault="00926DB2" w:rsidP="00046654">
      <w:pPr>
        <w:spacing w:line="360" w:lineRule="auto"/>
        <w:jc w:val="both"/>
        <w:rPr>
          <w:rFonts w:cs="Times New Roman"/>
          <w:iCs/>
          <w:u w:val="single"/>
          <w:lang w:val="en-US" w:eastAsia="en-US" w:bidi="ar-SA"/>
        </w:rPr>
      </w:pPr>
      <w:r w:rsidRPr="009C76A1">
        <w:rPr>
          <w:rFonts w:cs="Times New Roman"/>
          <w:b/>
          <w:iCs/>
          <w:u w:val="single"/>
          <w:lang w:val="en-US" w:eastAsia="en-US" w:bidi="ar-SA"/>
        </w:rPr>
        <w:t>Table 13.</w:t>
      </w:r>
      <w:r w:rsidRPr="009C76A1">
        <w:rPr>
          <w:rFonts w:cs="Times New Roman"/>
          <w:iCs/>
          <w:u w:val="single"/>
          <w:lang w:val="en-US" w:eastAsia="en-US" w:bidi="ar-SA"/>
        </w:rPr>
        <w:t xml:space="preserve"> Degree of conservatism during the pre-crisis and crisis sample period in West Europe</w:t>
      </w:r>
    </w:p>
    <w:p w:rsidR="00926DB2" w:rsidRPr="008278FE" w:rsidRDefault="00926DB2" w:rsidP="00046654">
      <w:pPr>
        <w:autoSpaceDE w:val="0"/>
        <w:autoSpaceDN w:val="0"/>
        <w:adjustRightInd w:val="0"/>
        <w:jc w:val="both"/>
        <w:rPr>
          <w:rFonts w:ascii="Arial" w:hAnsi="Arial" w:cs="Arial"/>
          <w:sz w:val="20"/>
          <w:szCs w:val="20"/>
          <w:lang w:val="en-US" w:eastAsia="en-US" w:bidi="ar-SA"/>
        </w:rPr>
      </w:pPr>
    </w:p>
    <w:p w:rsidR="00926DB2" w:rsidRDefault="00926DB2" w:rsidP="00046654">
      <w:pPr>
        <w:spacing w:line="360" w:lineRule="auto"/>
        <w:jc w:val="both"/>
        <w:rPr>
          <w:rFonts w:cs="Times New Roman"/>
          <w:color w:val="000000"/>
          <w:sz w:val="20"/>
          <w:szCs w:val="20"/>
          <w:lang w:val="en-US" w:eastAsia="en-US" w:bidi="ar-SA"/>
        </w:rPr>
      </w:pPr>
      <w:r w:rsidRPr="00B40DA7">
        <w:rPr>
          <w:rFonts w:cs="Times New Roman"/>
          <w:sz w:val="20"/>
          <w:szCs w:val="20"/>
          <w:lang w:val="en-US" w:eastAsia="en-US" w:bidi="ar-SA"/>
        </w:rPr>
        <w:t xml:space="preserve">The following regression model is made in the table below: NI = </w:t>
      </w:r>
      <w:r>
        <w:rPr>
          <w:rFonts w:cs="Times New Roman"/>
          <w:color w:val="000000"/>
          <w:sz w:val="20"/>
          <w:szCs w:val="20"/>
          <w:lang w:val="en-US" w:eastAsia="en-US" w:bidi="ar-SA"/>
        </w:rPr>
        <w:t xml:space="preserve">β0 + β1DRit </w:t>
      </w:r>
      <w:r w:rsidRPr="00B40DA7">
        <w:rPr>
          <w:rFonts w:cs="Times New Roman"/>
          <w:color w:val="000000"/>
          <w:sz w:val="20"/>
          <w:szCs w:val="20"/>
          <w:lang w:val="en-US" w:eastAsia="en-US" w:bidi="ar-SA"/>
        </w:rPr>
        <w:t>+ β2Rit + β3Rit*DRit + εit.  Ni is the net income before extraordinary items per share of the bank i. This variable is deflated by the beginning of the period share price; Rit are the banks returns including dividends over year t. DRit is the dummy variable which is one if the returns are negative and zero i</w:t>
      </w:r>
      <w:r>
        <w:rPr>
          <w:rFonts w:cs="Times New Roman"/>
          <w:color w:val="000000"/>
          <w:sz w:val="20"/>
          <w:szCs w:val="20"/>
          <w:lang w:val="en-US" w:eastAsia="en-US" w:bidi="ar-SA"/>
        </w:rPr>
        <w:t>n the case of positive returns. Rit*DRit is the interactive variable which represents the effect between negative returns times returns. N is the amount of observations. The values in the first 4 columns are the unstandardized coefficients.</w:t>
      </w:r>
    </w:p>
    <w:p w:rsidR="00926DB2" w:rsidRDefault="00926DB2" w:rsidP="00046654">
      <w:pPr>
        <w:autoSpaceDE w:val="0"/>
        <w:autoSpaceDN w:val="0"/>
        <w:adjustRightInd w:val="0"/>
        <w:jc w:val="both"/>
        <w:rPr>
          <w:rFonts w:ascii="Arial" w:hAnsi="Arial" w:cs="Arial"/>
          <w:sz w:val="20"/>
          <w:szCs w:val="20"/>
          <w:lang w:val="en-US" w:eastAsia="en-US" w:bidi="ar-SA"/>
        </w:rPr>
      </w:pPr>
    </w:p>
    <w:tbl>
      <w:tblPr>
        <w:tblpPr w:leftFromText="141" w:rightFromText="141" w:vertAnchor="text" w:horzAnchor="margin" w:tblpXSpec="center" w:tblpY="1"/>
        <w:tblW w:w="10753" w:type="dxa"/>
        <w:tblBorders>
          <w:top w:val="single" w:sz="8" w:space="0" w:color="000000"/>
          <w:bottom w:val="single" w:sz="8" w:space="0" w:color="000000"/>
        </w:tblBorders>
        <w:tblLayout w:type="fixed"/>
        <w:tblLook w:val="00A0"/>
      </w:tblPr>
      <w:tblGrid>
        <w:gridCol w:w="1087"/>
        <w:gridCol w:w="1289"/>
        <w:gridCol w:w="1289"/>
        <w:gridCol w:w="1276"/>
        <w:gridCol w:w="1467"/>
        <w:gridCol w:w="1510"/>
        <w:gridCol w:w="992"/>
        <w:gridCol w:w="992"/>
        <w:gridCol w:w="851"/>
      </w:tblGrid>
      <w:tr w:rsidR="00926DB2" w:rsidRPr="005D57C7" w:rsidTr="0070193A">
        <w:tc>
          <w:tcPr>
            <w:tcW w:w="1087"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Cs/>
                <w:color w:val="000000"/>
                <w:lang w:val="en-US" w:eastAsia="en-US" w:bidi="ar-SA"/>
              </w:rPr>
            </w:pPr>
            <w:r w:rsidRPr="007B663B">
              <w:rPr>
                <w:rFonts w:cs="Times New Roman"/>
                <w:b/>
                <w:bCs/>
                <w:iCs/>
                <w:color w:val="000000"/>
                <w:sz w:val="22"/>
                <w:szCs w:val="22"/>
                <w:lang w:val="en-US" w:eastAsia="en-US" w:bidi="ar-SA"/>
              </w:rPr>
              <w:t>Period</w:t>
            </w:r>
          </w:p>
        </w:tc>
        <w:tc>
          <w:tcPr>
            <w:tcW w:w="128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en-US" w:bidi="ar-SA"/>
              </w:rPr>
            </w:pPr>
            <w:r>
              <w:rPr>
                <w:rFonts w:cs="Times New Roman"/>
                <w:b/>
                <w:bCs/>
                <w:i/>
                <w:iCs/>
                <w:color w:val="000000"/>
                <w:sz w:val="22"/>
                <w:szCs w:val="22"/>
                <w:lang w:val="en-US" w:eastAsia="en-US" w:bidi="ar-SA"/>
              </w:rPr>
              <w:t xml:space="preserve">  </w:t>
            </w:r>
            <w:r w:rsidRPr="007B663B">
              <w:rPr>
                <w:rFonts w:cs="Times New Roman"/>
                <w:b/>
                <w:bCs/>
                <w:i/>
                <w:iCs/>
                <w:color w:val="000000"/>
                <w:sz w:val="22"/>
                <w:szCs w:val="22"/>
                <w:lang w:val="en-US" w:eastAsia="en-US" w:bidi="ar-SA"/>
              </w:rPr>
              <w:t xml:space="preserve">β </w:t>
            </w:r>
            <w:r w:rsidRPr="007B663B">
              <w:rPr>
                <w:rFonts w:cs="Times New Roman"/>
                <w:b/>
                <w:bCs/>
                <w:i/>
                <w:iCs/>
                <w:color w:val="000000"/>
                <w:sz w:val="20"/>
                <w:szCs w:val="20"/>
                <w:lang w:val="en-US" w:eastAsia="en-US" w:bidi="ar-SA"/>
              </w:rPr>
              <w:t>0</w:t>
            </w:r>
          </w:p>
        </w:tc>
        <w:tc>
          <w:tcPr>
            <w:tcW w:w="128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sz w:val="20"/>
                <w:szCs w:val="20"/>
                <w:lang w:val="en-US" w:eastAsia="en-US" w:bidi="ar-SA"/>
              </w:rPr>
            </w:pPr>
            <w:r>
              <w:rPr>
                <w:rFonts w:cs="Times New Roman"/>
                <w:b/>
                <w:bCs/>
                <w:i/>
                <w:iCs/>
                <w:color w:val="000000"/>
                <w:sz w:val="22"/>
                <w:szCs w:val="22"/>
                <w:lang w:val="en-US" w:eastAsia="en-US" w:bidi="ar-SA"/>
              </w:rPr>
              <w:t xml:space="preserve">  </w:t>
            </w:r>
            <w:r w:rsidRPr="007B663B">
              <w:rPr>
                <w:rFonts w:cs="Times New Roman"/>
                <w:b/>
                <w:bCs/>
                <w:i/>
                <w:iCs/>
                <w:color w:val="000000"/>
                <w:sz w:val="22"/>
                <w:szCs w:val="22"/>
                <w:lang w:val="en-US" w:eastAsia="en-US" w:bidi="ar-SA"/>
              </w:rPr>
              <w:t xml:space="preserve">β </w:t>
            </w:r>
            <w:r w:rsidRPr="007B663B">
              <w:rPr>
                <w:rFonts w:cs="Times New Roman"/>
                <w:b/>
                <w:bCs/>
                <w:i/>
                <w:iCs/>
                <w:color w:val="000000"/>
                <w:sz w:val="20"/>
                <w:szCs w:val="20"/>
                <w:lang w:val="en-US" w:eastAsia="en-US" w:bidi="ar-SA"/>
              </w:rPr>
              <w:t>1 (rd)</w:t>
            </w:r>
          </w:p>
        </w:tc>
        <w:tc>
          <w:tcPr>
            <w:tcW w:w="127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sz w:val="20"/>
                <w:szCs w:val="20"/>
                <w:lang w:val="en-US" w:eastAsia="en-US" w:bidi="ar-SA"/>
              </w:rPr>
            </w:pPr>
            <w:r w:rsidRPr="007B663B">
              <w:rPr>
                <w:rFonts w:cs="Times New Roman"/>
                <w:b/>
                <w:bCs/>
                <w:i/>
                <w:iCs/>
                <w:color w:val="000000"/>
                <w:sz w:val="22"/>
                <w:szCs w:val="22"/>
                <w:lang w:val="en-US" w:eastAsia="en-US" w:bidi="ar-SA"/>
              </w:rPr>
              <w:t xml:space="preserve">β </w:t>
            </w:r>
            <w:r w:rsidRPr="007B663B">
              <w:rPr>
                <w:rFonts w:cs="Times New Roman"/>
                <w:b/>
                <w:bCs/>
                <w:i/>
                <w:iCs/>
                <w:color w:val="000000"/>
                <w:sz w:val="20"/>
                <w:szCs w:val="20"/>
                <w:lang w:val="en-US" w:eastAsia="en-US" w:bidi="ar-SA"/>
              </w:rPr>
              <w:t>2 (returns)</w:t>
            </w:r>
          </w:p>
        </w:tc>
        <w:tc>
          <w:tcPr>
            <w:tcW w:w="1467"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en-US" w:bidi="ar-SA"/>
              </w:rPr>
            </w:pPr>
            <w:r w:rsidRPr="007B663B">
              <w:rPr>
                <w:rFonts w:cs="Times New Roman"/>
                <w:b/>
                <w:bCs/>
                <w:i/>
                <w:iCs/>
                <w:color w:val="000000"/>
                <w:sz w:val="22"/>
                <w:szCs w:val="22"/>
                <w:lang w:val="en-US" w:eastAsia="en-US" w:bidi="ar-SA"/>
              </w:rPr>
              <w:t>β</w:t>
            </w:r>
            <w:r w:rsidRPr="007B663B">
              <w:rPr>
                <w:rFonts w:cs="Times New Roman"/>
                <w:b/>
                <w:bCs/>
                <w:i/>
                <w:iCs/>
                <w:color w:val="000000"/>
                <w:sz w:val="20"/>
                <w:szCs w:val="20"/>
                <w:lang w:val="en-US" w:eastAsia="en-US" w:bidi="ar-SA"/>
              </w:rPr>
              <w:t>3(returns*rd)</w:t>
            </w:r>
          </w:p>
        </w:tc>
        <w:tc>
          <w:tcPr>
            <w:tcW w:w="1510"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en-US" w:bidi="ar-SA"/>
              </w:rPr>
            </w:pPr>
            <w:r w:rsidRPr="007B663B">
              <w:rPr>
                <w:rFonts w:cs="Times New Roman"/>
                <w:b/>
                <w:bCs/>
                <w:i/>
                <w:iCs/>
                <w:color w:val="000000"/>
                <w:sz w:val="22"/>
                <w:szCs w:val="22"/>
                <w:lang w:val="en-US" w:eastAsia="en-US" w:bidi="ar-SA"/>
              </w:rPr>
              <w:t xml:space="preserve">( β </w:t>
            </w:r>
            <w:r w:rsidRPr="007B663B">
              <w:rPr>
                <w:rFonts w:cs="Times New Roman"/>
                <w:b/>
                <w:bCs/>
                <w:i/>
                <w:iCs/>
                <w:color w:val="000000"/>
                <w:sz w:val="20"/>
                <w:szCs w:val="20"/>
                <w:lang w:val="en-US" w:eastAsia="en-US" w:bidi="ar-SA"/>
              </w:rPr>
              <w:t>2+</w:t>
            </w:r>
            <w:r w:rsidRPr="007B663B">
              <w:rPr>
                <w:rFonts w:cs="Times New Roman"/>
                <w:b/>
                <w:bCs/>
                <w:i/>
                <w:iCs/>
                <w:color w:val="000000"/>
                <w:sz w:val="22"/>
                <w:szCs w:val="22"/>
                <w:lang w:val="en-US" w:eastAsia="en-US" w:bidi="ar-SA"/>
              </w:rPr>
              <w:t xml:space="preserve">β </w:t>
            </w:r>
            <w:r w:rsidRPr="007B663B">
              <w:rPr>
                <w:rFonts w:cs="Times New Roman"/>
                <w:b/>
                <w:bCs/>
                <w:i/>
                <w:iCs/>
                <w:color w:val="000000"/>
                <w:sz w:val="20"/>
                <w:szCs w:val="20"/>
                <w:lang w:val="en-US" w:eastAsia="en-US" w:bidi="ar-SA"/>
              </w:rPr>
              <w:t>3)/</w:t>
            </w:r>
            <w:r w:rsidRPr="007B663B">
              <w:rPr>
                <w:rFonts w:cs="Times New Roman"/>
                <w:b/>
                <w:bCs/>
                <w:i/>
                <w:iCs/>
                <w:color w:val="000000"/>
                <w:sz w:val="22"/>
                <w:szCs w:val="22"/>
                <w:lang w:val="en-US" w:eastAsia="en-US" w:bidi="ar-SA"/>
              </w:rPr>
              <w:t xml:space="preserve"> β </w:t>
            </w:r>
            <w:r w:rsidRPr="007B663B">
              <w:rPr>
                <w:rFonts w:cs="Times New Roman"/>
                <w:b/>
                <w:bCs/>
                <w:i/>
                <w:iCs/>
                <w:color w:val="000000"/>
                <w:sz w:val="20"/>
                <w:szCs w:val="20"/>
                <w:lang w:val="en-US" w:eastAsia="en-US" w:bidi="ar-SA"/>
              </w:rPr>
              <w:t>2</w:t>
            </w:r>
          </w:p>
        </w:tc>
        <w:tc>
          <w:tcPr>
            <w:tcW w:w="992"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en-US" w:bidi="ar-SA"/>
              </w:rPr>
            </w:pPr>
            <w:r>
              <w:rPr>
                <w:rFonts w:cs="Times New Roman"/>
                <w:b/>
                <w:bCs/>
                <w:i/>
                <w:iCs/>
                <w:color w:val="000000"/>
                <w:sz w:val="22"/>
                <w:szCs w:val="22"/>
                <w:lang w:val="en-US" w:eastAsia="en-US" w:bidi="ar-SA"/>
              </w:rPr>
              <w:t xml:space="preserve">   </w:t>
            </w:r>
            <w:r w:rsidRPr="007B663B">
              <w:rPr>
                <w:rFonts w:cs="Times New Roman"/>
                <w:b/>
                <w:bCs/>
                <w:i/>
                <w:iCs/>
                <w:color w:val="000000"/>
                <w:sz w:val="22"/>
                <w:szCs w:val="22"/>
                <w:lang w:val="en-US" w:eastAsia="en-US" w:bidi="ar-SA"/>
              </w:rPr>
              <w:t>R2</w:t>
            </w:r>
          </w:p>
        </w:tc>
        <w:tc>
          <w:tcPr>
            <w:tcW w:w="992"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en-US" w:bidi="ar-SA"/>
              </w:rPr>
            </w:pPr>
            <w:r w:rsidRPr="007B663B">
              <w:rPr>
                <w:rFonts w:cs="Times New Roman"/>
                <w:b/>
                <w:bCs/>
                <w:i/>
                <w:iCs/>
                <w:color w:val="000000"/>
                <w:sz w:val="22"/>
                <w:szCs w:val="22"/>
                <w:lang w:val="en-US" w:eastAsia="en-US" w:bidi="ar-SA"/>
              </w:rPr>
              <w:t>Adj. R2</w:t>
            </w:r>
          </w:p>
        </w:tc>
        <w:tc>
          <w:tcPr>
            <w:tcW w:w="851"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en-US" w:bidi="ar-SA"/>
              </w:rPr>
            </w:pPr>
            <w:r>
              <w:rPr>
                <w:rFonts w:cs="Times New Roman"/>
                <w:b/>
                <w:bCs/>
                <w:i/>
                <w:iCs/>
                <w:color w:val="000000"/>
                <w:sz w:val="22"/>
                <w:szCs w:val="22"/>
                <w:lang w:val="en-US" w:eastAsia="en-US" w:bidi="ar-SA"/>
              </w:rPr>
              <w:t xml:space="preserve">   </w:t>
            </w:r>
            <w:r w:rsidRPr="007B663B">
              <w:rPr>
                <w:rFonts w:cs="Times New Roman"/>
                <w:b/>
                <w:bCs/>
                <w:i/>
                <w:iCs/>
                <w:color w:val="000000"/>
                <w:sz w:val="22"/>
                <w:szCs w:val="22"/>
                <w:lang w:val="en-US" w:eastAsia="en-US" w:bidi="ar-SA"/>
              </w:rPr>
              <w:t>N</w:t>
            </w:r>
          </w:p>
        </w:tc>
      </w:tr>
      <w:tr w:rsidR="00926DB2" w:rsidRPr="005D57C7" w:rsidTr="0070193A">
        <w:tc>
          <w:tcPr>
            <w:tcW w:w="1087"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en-US" w:bidi="ar-SA"/>
              </w:rPr>
            </w:pPr>
            <w:r w:rsidRPr="007B663B">
              <w:rPr>
                <w:rFonts w:cs="Times New Roman"/>
                <w:b/>
                <w:bCs/>
                <w:i/>
                <w:iCs/>
                <w:color w:val="000000"/>
                <w:sz w:val="22"/>
                <w:szCs w:val="22"/>
                <w:lang w:val="en-US" w:eastAsia="en-US" w:bidi="ar-SA"/>
              </w:rPr>
              <w:t>1997-2006</w:t>
            </w:r>
          </w:p>
        </w:tc>
        <w:tc>
          <w:tcPr>
            <w:tcW w:w="1289"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0.3038***</w:t>
            </w:r>
          </w:p>
        </w:tc>
        <w:tc>
          <w:tcPr>
            <w:tcW w:w="1289"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0.8747***</w:t>
            </w:r>
          </w:p>
        </w:tc>
        <w:tc>
          <w:tcPr>
            <w:tcW w:w="1276"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0.112***</w:t>
            </w:r>
          </w:p>
        </w:tc>
        <w:tc>
          <w:tcPr>
            <w:tcW w:w="1467"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0.5289**</w:t>
            </w:r>
          </w:p>
        </w:tc>
        <w:tc>
          <w:tcPr>
            <w:tcW w:w="1510"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 xml:space="preserve"> 5.7</w:t>
            </w:r>
          </w:p>
        </w:tc>
        <w:tc>
          <w:tcPr>
            <w:tcW w:w="992"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0.0462</w:t>
            </w:r>
          </w:p>
        </w:tc>
        <w:tc>
          <w:tcPr>
            <w:tcW w:w="992"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0.0444</w:t>
            </w:r>
          </w:p>
        </w:tc>
        <w:tc>
          <w:tcPr>
            <w:tcW w:w="851"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1629</w:t>
            </w:r>
          </w:p>
        </w:tc>
      </w:tr>
      <w:tr w:rsidR="00926DB2" w:rsidRPr="005D57C7" w:rsidTr="0070193A">
        <w:trPr>
          <w:trHeight w:val="938"/>
        </w:trPr>
        <w:tc>
          <w:tcPr>
            <w:tcW w:w="1087" w:type="dxa"/>
            <w:tcBorders>
              <w:bottom w:val="single" w:sz="8" w:space="0" w:color="000000"/>
            </w:tcBorders>
          </w:tcPr>
          <w:p w:rsidR="00926DB2" w:rsidRPr="007B663B" w:rsidRDefault="00926DB2" w:rsidP="00046654">
            <w:pPr>
              <w:spacing w:line="360" w:lineRule="auto"/>
              <w:jc w:val="both"/>
              <w:rPr>
                <w:rFonts w:cs="Times New Roman"/>
                <w:b/>
                <w:bCs/>
                <w:i/>
                <w:iCs/>
                <w:color w:val="000000"/>
                <w:lang w:val="en-US" w:eastAsia="en-US" w:bidi="ar-SA"/>
              </w:rPr>
            </w:pPr>
            <w:r w:rsidRPr="007B663B">
              <w:rPr>
                <w:rFonts w:cs="Times New Roman"/>
                <w:b/>
                <w:bCs/>
                <w:i/>
                <w:iCs/>
                <w:color w:val="000000"/>
                <w:sz w:val="22"/>
                <w:szCs w:val="22"/>
                <w:lang w:val="en-US" w:eastAsia="en-US" w:bidi="ar-SA"/>
              </w:rPr>
              <w:t>2007-2009</w:t>
            </w:r>
          </w:p>
        </w:tc>
        <w:tc>
          <w:tcPr>
            <w:tcW w:w="1289" w:type="dxa"/>
            <w:tcBorders>
              <w:bottom w:val="single" w:sz="8" w:space="0" w:color="000000"/>
            </w:tcBorders>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0.093***</w:t>
            </w:r>
          </w:p>
        </w:tc>
        <w:tc>
          <w:tcPr>
            <w:tcW w:w="1289" w:type="dxa"/>
            <w:tcBorders>
              <w:bottom w:val="single" w:sz="8" w:space="0" w:color="000000"/>
            </w:tcBorders>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0.1129</w:t>
            </w:r>
          </w:p>
        </w:tc>
        <w:tc>
          <w:tcPr>
            <w:tcW w:w="1276" w:type="dxa"/>
            <w:tcBorders>
              <w:bottom w:val="single" w:sz="8" w:space="0" w:color="000000"/>
            </w:tcBorders>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0.00566</w:t>
            </w:r>
          </w:p>
        </w:tc>
        <w:tc>
          <w:tcPr>
            <w:tcW w:w="1467" w:type="dxa"/>
            <w:tcBorders>
              <w:bottom w:val="single" w:sz="8" w:space="0" w:color="000000"/>
            </w:tcBorders>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-0.11196</w:t>
            </w:r>
          </w:p>
        </w:tc>
        <w:tc>
          <w:tcPr>
            <w:tcW w:w="1510" w:type="dxa"/>
            <w:tcBorders>
              <w:bottom w:val="single" w:sz="8" w:space="0" w:color="000000"/>
            </w:tcBorders>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-18.8</w:t>
            </w:r>
          </w:p>
        </w:tc>
        <w:tc>
          <w:tcPr>
            <w:tcW w:w="992" w:type="dxa"/>
            <w:tcBorders>
              <w:bottom w:val="single" w:sz="8" w:space="0" w:color="000000"/>
            </w:tcBorders>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0.0593</w:t>
            </w:r>
          </w:p>
        </w:tc>
        <w:tc>
          <w:tcPr>
            <w:tcW w:w="992" w:type="dxa"/>
            <w:tcBorders>
              <w:bottom w:val="single" w:sz="8" w:space="0" w:color="000000"/>
            </w:tcBorders>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0.0528</w:t>
            </w:r>
          </w:p>
        </w:tc>
        <w:tc>
          <w:tcPr>
            <w:tcW w:w="851" w:type="dxa"/>
            <w:tcBorders>
              <w:bottom w:val="single" w:sz="8" w:space="0" w:color="000000"/>
            </w:tcBorders>
          </w:tcPr>
          <w:p w:rsidR="00926DB2" w:rsidRPr="007B663B" w:rsidRDefault="00926DB2" w:rsidP="00046654">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440</w:t>
            </w:r>
          </w:p>
        </w:tc>
      </w:tr>
    </w:tbl>
    <w:p w:rsidR="00926DB2" w:rsidRPr="005F7F20" w:rsidRDefault="00926DB2" w:rsidP="00046654">
      <w:pPr>
        <w:autoSpaceDE w:val="0"/>
        <w:autoSpaceDN w:val="0"/>
        <w:adjustRightInd w:val="0"/>
        <w:jc w:val="both"/>
        <w:rPr>
          <w:rFonts w:ascii="Arial" w:hAnsi="Arial" w:cs="Arial"/>
          <w:sz w:val="20"/>
          <w:szCs w:val="20"/>
          <w:lang w:val="en-US" w:eastAsia="en-US" w:bidi="ar-SA"/>
        </w:rPr>
      </w:pPr>
    </w:p>
    <w:p w:rsidR="00926DB2" w:rsidRPr="00A060A8" w:rsidRDefault="00926DB2" w:rsidP="00046654">
      <w:pPr>
        <w:spacing w:line="360" w:lineRule="auto"/>
        <w:jc w:val="both"/>
        <w:rPr>
          <w:rFonts w:cs="Times New Roman"/>
          <w:i/>
          <w:iCs/>
          <w:sz w:val="20"/>
          <w:szCs w:val="20"/>
          <w:lang w:val="en-US" w:eastAsia="en-US" w:bidi="ar-SA"/>
        </w:rPr>
      </w:pPr>
      <w:r w:rsidRPr="00A060A8">
        <w:rPr>
          <w:rFonts w:cs="Times New Roman"/>
          <w:i/>
          <w:iCs/>
          <w:sz w:val="20"/>
          <w:szCs w:val="20"/>
          <w:lang w:val="en-US" w:eastAsia="en-US" w:bidi="ar-SA"/>
        </w:rPr>
        <w:t>*significant at 10% confidence level</w:t>
      </w:r>
    </w:p>
    <w:p w:rsidR="00926DB2" w:rsidRPr="00A060A8" w:rsidRDefault="00926DB2" w:rsidP="00046654">
      <w:pPr>
        <w:spacing w:line="360" w:lineRule="auto"/>
        <w:jc w:val="both"/>
        <w:rPr>
          <w:rFonts w:cs="Times New Roman"/>
          <w:i/>
          <w:iCs/>
          <w:sz w:val="20"/>
          <w:szCs w:val="20"/>
          <w:lang w:val="en-US" w:eastAsia="en-US" w:bidi="ar-SA"/>
        </w:rPr>
      </w:pPr>
      <w:r w:rsidRPr="00A060A8">
        <w:rPr>
          <w:rFonts w:cs="Times New Roman"/>
          <w:i/>
          <w:iCs/>
          <w:sz w:val="20"/>
          <w:szCs w:val="20"/>
          <w:lang w:val="en-US" w:eastAsia="en-US" w:bidi="ar-SA"/>
        </w:rPr>
        <w:t>** significant at 5% confidence level</w:t>
      </w:r>
    </w:p>
    <w:p w:rsidR="00926DB2" w:rsidRDefault="00926DB2" w:rsidP="00046654">
      <w:pPr>
        <w:spacing w:line="360" w:lineRule="auto"/>
        <w:jc w:val="both"/>
        <w:rPr>
          <w:rFonts w:cs="Times New Roman"/>
          <w:i/>
          <w:iCs/>
          <w:sz w:val="20"/>
          <w:szCs w:val="20"/>
          <w:lang w:val="en-US" w:eastAsia="en-US" w:bidi="ar-SA"/>
        </w:rPr>
      </w:pPr>
      <w:r w:rsidRPr="00A060A8">
        <w:rPr>
          <w:rFonts w:cs="Times New Roman"/>
          <w:i/>
          <w:iCs/>
          <w:sz w:val="20"/>
          <w:szCs w:val="20"/>
          <w:lang w:val="en-US" w:eastAsia="en-US" w:bidi="ar-SA"/>
        </w:rPr>
        <w:t>*** significant at 1% confidence level</w:t>
      </w:r>
    </w:p>
    <w:p w:rsidR="00926DB2" w:rsidRDefault="00926DB2" w:rsidP="00046654">
      <w:pPr>
        <w:spacing w:line="360" w:lineRule="auto"/>
        <w:jc w:val="both"/>
        <w:rPr>
          <w:rFonts w:cs="Times New Roman"/>
          <w:i/>
          <w:iCs/>
          <w:sz w:val="20"/>
          <w:szCs w:val="20"/>
          <w:lang w:val="en-US" w:eastAsia="en-US" w:bidi="ar-SA"/>
        </w:rPr>
      </w:pPr>
    </w:p>
    <w:p w:rsidR="00926DB2" w:rsidRPr="00B53F35" w:rsidRDefault="00926DB2" w:rsidP="00B53F35">
      <w:pPr>
        <w:spacing w:line="360" w:lineRule="auto"/>
        <w:jc w:val="both"/>
        <w:rPr>
          <w:rFonts w:cs="Times New Roman"/>
          <w:iCs/>
          <w:lang w:val="en-US" w:eastAsia="en-US" w:bidi="ar-SA"/>
        </w:rPr>
      </w:pPr>
      <w:r>
        <w:rPr>
          <w:iCs/>
          <w:lang w:val="en-US" w:eastAsia="en-US" w:bidi="ar-SA"/>
        </w:rPr>
        <w:t xml:space="preserve">Table 13 presents the results of the regressions for the pre-crisis and crisis-period. In the pre-crisis period the </w:t>
      </w:r>
      <w:r>
        <w:rPr>
          <w:lang w:val="en-US" w:eastAsia="en-US" w:bidi="ar-SA"/>
        </w:rPr>
        <w:t>β3 coefficient is positive and significant at the 10% and 5% confidence levels. Thus banks are conservative during the pre-crisis period. In the crisis period the β3 coefficient is negative and not significant. Also the magnitude of the</w:t>
      </w:r>
      <w:r w:rsidRPr="00D71B4D">
        <w:rPr>
          <w:lang w:val="en-US" w:eastAsia="en-US" w:bidi="ar-SA"/>
        </w:rPr>
        <w:t xml:space="preserve"> </w:t>
      </w:r>
      <w:r>
        <w:rPr>
          <w:lang w:val="en-US" w:eastAsia="en-US" w:bidi="ar-SA"/>
        </w:rPr>
        <w:t xml:space="preserve">β3 coefficient is bigger in the pre-crisis period than in the crisis period (0.5289 &gt; -0.1196); </w:t>
      </w:r>
      <w:r w:rsidRPr="009C76A1">
        <w:rPr>
          <w:lang w:val="en-US" w:eastAsia="en-US" w:bidi="ar-SA"/>
        </w:rPr>
        <w:t>implicating that the banks are not conservative during the crisis period. This could have to do with the fact that banks are pressured to show more positive information to diminish the negative effects of the crisis</w:t>
      </w:r>
      <w:r>
        <w:rPr>
          <w:lang w:val="en-US" w:eastAsia="en-US" w:bidi="ar-SA"/>
        </w:rPr>
        <w:t xml:space="preserve"> (Vichitsarawong et al. 2010) and is in line with the expectations. Also the magnitude of the β3 coefficient for the pre-crisis period is greater than for the full sample period (0.5289 &gt; 0.4789) indicating more conservatism in the pre-crisis period. Earnings is 5,7 times more sensitive for bad news as it is for good news during the pre-crisis period (β2 + β3 / β2), hence earnings are </w:t>
      </w:r>
      <w:r>
        <w:rPr>
          <w:lang w:val="en-US" w:eastAsia="en-US" w:bidi="ar-SA"/>
        </w:rPr>
        <w:lastRenderedPageBreak/>
        <w:t xml:space="preserve">more sensitive for bad news than good news in the pre-crisis period compared with the full sample period (5,7 &gt; 4,2). The adjusted R2 in this model for the pre-crisis period is smaller </w:t>
      </w:r>
      <w:r w:rsidR="00200496">
        <w:rPr>
          <w:lang w:val="en-US" w:eastAsia="en-US" w:bidi="ar-SA"/>
        </w:rPr>
        <w:t>than for the crisis period (5,28% &gt; 4,44</w:t>
      </w:r>
      <w:r>
        <w:rPr>
          <w:lang w:val="en-US" w:eastAsia="en-US" w:bidi="ar-SA"/>
        </w:rPr>
        <w:t>%). This indicates that bad news is more timely incorporated in the crisis period than in the pre-crisis period. A possible reason for this could be that the market is faster in recognizing during a bad economic situation</w:t>
      </w:r>
      <w:r>
        <w:rPr>
          <w:color w:val="000000"/>
        </w:rPr>
        <w:t xml:space="preserve"> which is consistent with the pap</w:t>
      </w:r>
      <w:r w:rsidR="00D17C8B">
        <w:rPr>
          <w:color w:val="000000"/>
        </w:rPr>
        <w:t xml:space="preserve">er of Vichitsarawon et al. </w:t>
      </w:r>
      <w:r w:rsidR="0070193A">
        <w:rPr>
          <w:color w:val="000000"/>
        </w:rPr>
        <w:t>(</w:t>
      </w:r>
      <w:r w:rsidR="00D17C8B">
        <w:rPr>
          <w:color w:val="000000"/>
        </w:rPr>
        <w:t>2010</w:t>
      </w:r>
      <w:r w:rsidR="0070193A">
        <w:rPr>
          <w:color w:val="000000"/>
        </w:rPr>
        <w:t>)</w:t>
      </w:r>
      <w:r>
        <w:rPr>
          <w:color w:val="000000"/>
        </w:rPr>
        <w:t>.</w:t>
      </w:r>
    </w:p>
    <w:p w:rsidR="00926DB2" w:rsidRPr="00B53F35" w:rsidRDefault="00926DB2" w:rsidP="00B53F35">
      <w:pPr>
        <w:pStyle w:val="Kop3"/>
        <w:jc w:val="both"/>
        <w:rPr>
          <w:rFonts w:ascii="Times New Roman" w:hAnsi="Times New Roman" w:cs="Times New Roman"/>
          <w:b w:val="0"/>
          <w:bCs w:val="0"/>
          <w:i/>
          <w:iCs/>
          <w:color w:val="auto"/>
          <w:lang w:val="en-US" w:eastAsia="nl-NL" w:bidi="ar-SA"/>
        </w:rPr>
      </w:pPr>
      <w:bookmarkStart w:id="197" w:name="_Toc268186080"/>
      <w:r w:rsidRPr="00B53F35">
        <w:rPr>
          <w:rFonts w:ascii="Times New Roman" w:hAnsi="Times New Roman" w:cs="Times New Roman"/>
          <w:b w:val="0"/>
          <w:bCs w:val="0"/>
          <w:i/>
          <w:iCs/>
          <w:color w:val="auto"/>
          <w:lang w:val="en-US" w:eastAsia="nl-NL" w:bidi="ar-SA"/>
        </w:rPr>
        <w:t>6.1.7 Hypothesis 3</w:t>
      </w:r>
      <w:bookmarkEnd w:id="197"/>
    </w:p>
    <w:p w:rsidR="00926DB2" w:rsidRPr="00073A80" w:rsidRDefault="00926DB2" w:rsidP="00046654">
      <w:pPr>
        <w:spacing w:line="360" w:lineRule="auto"/>
        <w:jc w:val="both"/>
        <w:rPr>
          <w:rFonts w:cs="Times New Roman"/>
          <w:i/>
          <w:iCs/>
          <w:lang w:val="en-US" w:eastAsia="nl-NL" w:bidi="ar-SA"/>
        </w:rPr>
      </w:pPr>
    </w:p>
    <w:p w:rsidR="00926DB2" w:rsidRDefault="00926DB2" w:rsidP="00046654">
      <w:pPr>
        <w:spacing w:line="360" w:lineRule="auto"/>
        <w:jc w:val="both"/>
        <w:rPr>
          <w:lang w:val="en-US" w:eastAsia="ar-SA" w:bidi="ar-SA"/>
        </w:rPr>
      </w:pPr>
      <w:r w:rsidRPr="00073A80">
        <w:rPr>
          <w:rFonts w:cs="Times New Roman"/>
          <w:lang w:val="en-US" w:eastAsia="nl-NL" w:bidi="ar-SA"/>
        </w:rPr>
        <w:t>It is expected that banks with a high degree of conservatism in the pre-crisis period will perfo</w:t>
      </w:r>
      <w:r>
        <w:rPr>
          <w:rFonts w:cs="Times New Roman"/>
          <w:lang w:val="en-US" w:eastAsia="nl-NL" w:bidi="ar-SA"/>
        </w:rPr>
        <w:t xml:space="preserve">rm better in the crisis period. </w:t>
      </w:r>
      <w:r w:rsidRPr="00073A80">
        <w:rPr>
          <w:lang w:val="en-US" w:eastAsia="ar-SA" w:bidi="ar-SA"/>
        </w:rPr>
        <w:t>Banks that performed well and survived are more conservative; meaning that they recognized losses as they occurred and gains only when they are verifiably re</w:t>
      </w:r>
      <w:r>
        <w:rPr>
          <w:lang w:val="en-US" w:eastAsia="ar-SA" w:bidi="ar-SA"/>
        </w:rPr>
        <w:t xml:space="preserve">alized. Hence the assumption is made that the </w:t>
      </w:r>
      <w:r w:rsidRPr="00073A80">
        <w:rPr>
          <w:lang w:val="en-US" w:eastAsia="ar-SA" w:bidi="ar-SA"/>
        </w:rPr>
        <w:t xml:space="preserve">degree </w:t>
      </w:r>
      <w:r>
        <w:rPr>
          <w:lang w:val="en-US" w:eastAsia="ar-SA" w:bidi="ar-SA"/>
        </w:rPr>
        <w:t xml:space="preserve">and </w:t>
      </w:r>
      <w:r w:rsidRPr="00073A80">
        <w:rPr>
          <w:lang w:val="en-US" w:eastAsia="ar-SA" w:bidi="ar-SA"/>
        </w:rPr>
        <w:t>existence of conservatism is positively related with firm performance.</w:t>
      </w:r>
      <w:r w:rsidRPr="00073A80">
        <w:rPr>
          <w:b/>
          <w:i/>
          <w:lang w:val="en-US" w:eastAsia="ar-SA" w:bidi="ar-SA"/>
        </w:rPr>
        <w:t xml:space="preserve"> </w:t>
      </w:r>
      <w:r w:rsidRPr="00073A80">
        <w:rPr>
          <w:lang w:val="en-US" w:eastAsia="ar-SA" w:bidi="ar-SA"/>
        </w:rPr>
        <w:t>Also conservatism promotes a more cautious manner of recording gains. To empirically test these hypotheses, the bank sample of the pre-crisis period</w:t>
      </w:r>
      <w:r>
        <w:rPr>
          <w:lang w:val="en-US" w:eastAsia="ar-SA" w:bidi="ar-SA"/>
        </w:rPr>
        <w:t xml:space="preserve"> (1996-2006)</w:t>
      </w:r>
      <w:r w:rsidRPr="00073A80">
        <w:rPr>
          <w:lang w:val="en-US" w:eastAsia="ar-SA" w:bidi="ar-SA"/>
        </w:rPr>
        <w:t xml:space="preserve"> will be divided in two different sample</w:t>
      </w:r>
      <w:r>
        <w:rPr>
          <w:lang w:val="en-US" w:eastAsia="ar-SA" w:bidi="ar-SA"/>
        </w:rPr>
        <w:t xml:space="preserve">s. The banks will be divided into good or bad performing banks on the bases of their performances during the crisis period (2007-2009). The performances will be measured by the </w:t>
      </w:r>
      <w:r w:rsidRPr="00073A80">
        <w:rPr>
          <w:lang w:val="en-US" w:eastAsia="ar-SA" w:bidi="ar-SA"/>
        </w:rPr>
        <w:t>ROA and ROE of these banks</w:t>
      </w:r>
      <w:r>
        <w:rPr>
          <w:lang w:val="en-US" w:eastAsia="ar-SA" w:bidi="ar-SA"/>
        </w:rPr>
        <w:t xml:space="preserve">. Banks that have a negative </w:t>
      </w:r>
      <w:r w:rsidRPr="00073A80">
        <w:rPr>
          <w:lang w:val="en-US" w:eastAsia="ar-SA" w:bidi="ar-SA"/>
        </w:rPr>
        <w:t>ROA</w:t>
      </w:r>
      <w:r>
        <w:rPr>
          <w:lang w:val="en-US" w:eastAsia="ar-SA" w:bidi="ar-SA"/>
        </w:rPr>
        <w:t xml:space="preserve"> (ROE)</w:t>
      </w:r>
      <w:r w:rsidRPr="00073A80">
        <w:rPr>
          <w:lang w:val="en-US" w:eastAsia="ar-SA" w:bidi="ar-SA"/>
        </w:rPr>
        <w:t xml:space="preserve"> or banks that ha</w:t>
      </w:r>
      <w:r>
        <w:rPr>
          <w:lang w:val="en-US" w:eastAsia="ar-SA" w:bidi="ar-SA"/>
        </w:rPr>
        <w:t xml:space="preserve">d a significant drawback in ROA (ROE) </w:t>
      </w:r>
      <w:r w:rsidRPr="00073A80">
        <w:rPr>
          <w:lang w:val="en-US" w:eastAsia="ar-SA" w:bidi="ar-SA"/>
        </w:rPr>
        <w:t>will be classified as bad pe</w:t>
      </w:r>
      <w:r>
        <w:rPr>
          <w:lang w:val="en-US" w:eastAsia="ar-SA" w:bidi="ar-SA"/>
        </w:rPr>
        <w:t xml:space="preserve">rforming banks. If the ROA (ROE) is positive or doesn’t </w:t>
      </w:r>
      <w:r w:rsidRPr="00073A80">
        <w:rPr>
          <w:lang w:val="en-US" w:eastAsia="ar-SA" w:bidi="ar-SA"/>
        </w:rPr>
        <w:t>reduce significantly the bank will be classi</w:t>
      </w:r>
      <w:r>
        <w:rPr>
          <w:lang w:val="en-US" w:eastAsia="ar-SA" w:bidi="ar-SA"/>
        </w:rPr>
        <w:t>fied as a good performing bank, otherwise the bank is classified as a bad performing bank.</w:t>
      </w:r>
    </w:p>
    <w:p w:rsidR="00926DB2" w:rsidRDefault="00926DB2" w:rsidP="00046654">
      <w:pPr>
        <w:spacing w:line="360" w:lineRule="auto"/>
        <w:jc w:val="both"/>
        <w:rPr>
          <w:lang w:val="en-US" w:eastAsia="ar-SA" w:bidi="ar-SA"/>
        </w:rPr>
      </w:pPr>
    </w:p>
    <w:p w:rsidR="00926DB2" w:rsidRPr="009F7B6C" w:rsidRDefault="00926DB2" w:rsidP="00046654">
      <w:pPr>
        <w:spacing w:line="360" w:lineRule="auto"/>
        <w:jc w:val="both"/>
        <w:rPr>
          <w:b/>
          <w:i/>
          <w:lang w:val="en-US" w:eastAsia="ar-SA" w:bidi="ar-SA"/>
        </w:rPr>
      </w:pPr>
      <w:r w:rsidRPr="00073A80">
        <w:rPr>
          <w:lang w:val="en-US" w:eastAsia="ar-SA" w:bidi="ar-SA"/>
        </w:rPr>
        <w:t>Subsequently two</w:t>
      </w:r>
      <w:r>
        <w:rPr>
          <w:lang w:val="en-US" w:eastAsia="ar-SA" w:bidi="ar-SA"/>
        </w:rPr>
        <w:t xml:space="preserve"> Basu-model regressions will be formed; </w:t>
      </w:r>
      <w:r w:rsidRPr="00073A80">
        <w:rPr>
          <w:lang w:val="en-US" w:eastAsia="ar-SA" w:bidi="ar-SA"/>
        </w:rPr>
        <w:t>on</w:t>
      </w:r>
      <w:r>
        <w:rPr>
          <w:lang w:val="en-US" w:eastAsia="ar-SA" w:bidi="ar-SA"/>
        </w:rPr>
        <w:t>e</w:t>
      </w:r>
      <w:r w:rsidRPr="00073A80">
        <w:rPr>
          <w:lang w:val="en-US" w:eastAsia="ar-SA" w:bidi="ar-SA"/>
        </w:rPr>
        <w:t xml:space="preserve"> good performing banks regression and one bad performing banks regression. The results of these regression models will be compared to judge if conservatism has a significant influence on bank performance.</w:t>
      </w:r>
    </w:p>
    <w:p w:rsidR="00926DB2" w:rsidRPr="007F4820" w:rsidRDefault="00926DB2" w:rsidP="00B53F35">
      <w:pPr>
        <w:spacing w:line="360" w:lineRule="auto"/>
        <w:jc w:val="both"/>
        <w:rPr>
          <w:rFonts w:cs="Times New Roman"/>
          <w:lang w:val="en-US" w:eastAsia="nl-NL" w:bidi="ar-SA"/>
        </w:rPr>
      </w:pPr>
    </w:p>
    <w:p w:rsidR="00926DB2" w:rsidRPr="00CE127C" w:rsidRDefault="00926DB2" w:rsidP="007F4820">
      <w:pPr>
        <w:numPr>
          <w:ilvl w:val="0"/>
          <w:numId w:val="17"/>
        </w:numPr>
        <w:spacing w:line="360" w:lineRule="auto"/>
        <w:jc w:val="both"/>
        <w:rPr>
          <w:rFonts w:cs="Times New Roman"/>
          <w:lang w:val="en-US" w:eastAsia="nl-NL" w:bidi="ar-SA"/>
        </w:rPr>
      </w:pPr>
      <w:r w:rsidRPr="00CE127C">
        <w:rPr>
          <w:b/>
          <w:lang w:val="en-US"/>
        </w:rPr>
        <w:t>Regression models H3 (Basu model):</w:t>
      </w:r>
      <w:r w:rsidRPr="00CE127C">
        <w:rPr>
          <w:lang w:val="en-US"/>
        </w:rPr>
        <w:t xml:space="preserve">  </w:t>
      </w:r>
    </w:p>
    <w:p w:rsidR="00926DB2" w:rsidRDefault="00926DB2" w:rsidP="00046654">
      <w:pPr>
        <w:spacing w:line="360" w:lineRule="auto"/>
        <w:jc w:val="both"/>
        <w:rPr>
          <w:rFonts w:cs="Times New Roman"/>
          <w:lang w:val="en-US" w:eastAsia="nl-NL" w:bidi="ar-SA"/>
        </w:rPr>
      </w:pPr>
    </w:p>
    <w:p w:rsidR="00926DB2" w:rsidRPr="007D3E68" w:rsidRDefault="00542395" w:rsidP="00046654">
      <w:pPr>
        <w:spacing w:line="360" w:lineRule="auto"/>
        <w:jc w:val="both"/>
        <w:rPr>
          <w:rFonts w:cs="Times New Roman"/>
          <w:b/>
          <w:i/>
          <w:lang w:val="en-US" w:eastAsia="nl-NL" w:bidi="ar-SA"/>
        </w:rPr>
      </w:pPr>
      <w:r w:rsidRPr="007D3E68">
        <w:rPr>
          <w:rFonts w:cs="Times New Roman"/>
          <w:b/>
          <w:i/>
          <w:lang w:val="en-US" w:eastAsia="nl-NL" w:bidi="ar-SA"/>
        </w:rPr>
        <w:fldChar w:fldCharType="begin"/>
      </w:r>
      <w:r w:rsidR="00926DB2" w:rsidRPr="007D3E68">
        <w:rPr>
          <w:rFonts w:cs="Times New Roman"/>
          <w:b/>
          <w:i/>
          <w:lang w:val="en-US" w:eastAsia="nl-NL" w:bidi="ar-SA"/>
        </w:rPr>
        <w:instrText xml:space="preserve"> QUOTE </w:instrText>
      </w:r>
      <w:r w:rsidRPr="00542395">
        <w:rPr>
          <w:b/>
          <w:i/>
        </w:rPr>
        <w:pict>
          <v:shape id="_x0000_i1035" type="#_x0000_t75" style="width:264.75pt;height:13.5pt" equationxml="&lt;">
            <v:imagedata r:id="rId11" o:title="" chromakey="white"/>
          </v:shape>
        </w:pict>
      </w:r>
      <w:r w:rsidR="00926DB2" w:rsidRPr="007D3E68">
        <w:rPr>
          <w:rFonts w:cs="Times New Roman"/>
          <w:b/>
          <w:i/>
          <w:lang w:val="en-US" w:eastAsia="nl-NL" w:bidi="ar-SA"/>
        </w:rPr>
        <w:instrText xml:space="preserve"> </w:instrText>
      </w:r>
      <w:r w:rsidRPr="007D3E68">
        <w:rPr>
          <w:rFonts w:cs="Times New Roman"/>
          <w:b/>
          <w:i/>
          <w:lang w:val="en-US" w:eastAsia="nl-NL" w:bidi="ar-SA"/>
        </w:rPr>
        <w:fldChar w:fldCharType="separate"/>
      </w:r>
      <w:r w:rsidRPr="00542395">
        <w:rPr>
          <w:b/>
          <w:i/>
        </w:rPr>
        <w:pict>
          <v:shape id="_x0000_i1036" type="#_x0000_t75" style="width:264.75pt;height:13.5pt" equationxml="&lt;">
            <v:imagedata r:id="rId11" o:title="" chromakey="white"/>
          </v:shape>
        </w:pict>
      </w:r>
      <w:r w:rsidRPr="007D3E68">
        <w:rPr>
          <w:rFonts w:cs="Times New Roman"/>
          <w:b/>
          <w:i/>
          <w:lang w:val="en-US" w:eastAsia="nl-NL" w:bidi="ar-SA"/>
        </w:rPr>
        <w:fldChar w:fldCharType="end"/>
      </w:r>
      <w:r w:rsidR="00926DB2">
        <w:rPr>
          <w:rFonts w:cs="Times New Roman"/>
          <w:b/>
          <w:i/>
          <w:lang w:val="en-US" w:eastAsia="nl-NL" w:bidi="ar-SA"/>
        </w:rPr>
        <w:t xml:space="preserve">       </w:t>
      </w:r>
      <w:r w:rsidR="00926DB2">
        <w:rPr>
          <w:rFonts w:cs="Times New Roman"/>
          <w:b/>
          <w:i/>
          <w:lang w:val="en-US" w:eastAsia="nl-NL" w:bidi="ar-SA"/>
        </w:rPr>
        <w:tab/>
        <w:t>(Good banks)</w:t>
      </w:r>
      <w:r w:rsidR="00926DB2">
        <w:rPr>
          <w:rFonts w:cs="Times New Roman"/>
          <w:b/>
          <w:i/>
          <w:lang w:val="en-US" w:eastAsia="nl-NL" w:bidi="ar-SA"/>
        </w:rPr>
        <w:tab/>
      </w:r>
      <w:r w:rsidR="00926DB2">
        <w:rPr>
          <w:rFonts w:cs="Times New Roman"/>
          <w:b/>
          <w:i/>
          <w:lang w:val="en-US" w:eastAsia="nl-NL" w:bidi="ar-SA"/>
        </w:rPr>
        <w:tab/>
        <w:t>(8</w:t>
      </w:r>
      <w:r w:rsidR="00926DB2" w:rsidRPr="007D3E68">
        <w:rPr>
          <w:rFonts w:cs="Times New Roman"/>
          <w:b/>
          <w:i/>
          <w:lang w:val="en-US" w:eastAsia="nl-NL" w:bidi="ar-SA"/>
        </w:rPr>
        <w:t>a)</w:t>
      </w:r>
      <w:r w:rsidR="00926DB2" w:rsidRPr="007D3E68">
        <w:rPr>
          <w:rFonts w:cs="Times New Roman"/>
          <w:b/>
          <w:i/>
          <w:lang w:val="en-US" w:eastAsia="nl-NL" w:bidi="ar-SA"/>
        </w:rPr>
        <w:tab/>
      </w:r>
    </w:p>
    <w:p w:rsidR="00926DB2" w:rsidRDefault="00926DB2" w:rsidP="00046654">
      <w:pPr>
        <w:spacing w:line="360" w:lineRule="auto"/>
        <w:jc w:val="both"/>
        <w:rPr>
          <w:rFonts w:cs="Times New Roman"/>
          <w:i/>
          <w:lang w:val="en-US" w:eastAsia="nl-NL" w:bidi="ar-SA"/>
        </w:rPr>
      </w:pPr>
    </w:p>
    <w:p w:rsidR="00926DB2" w:rsidRPr="00CE127C" w:rsidRDefault="00542395" w:rsidP="00046654">
      <w:pPr>
        <w:spacing w:line="360" w:lineRule="auto"/>
        <w:jc w:val="both"/>
        <w:rPr>
          <w:rFonts w:cs="Times New Roman"/>
          <w:b/>
          <w:i/>
          <w:lang w:val="en-US" w:eastAsia="nl-NL" w:bidi="ar-SA"/>
        </w:rPr>
      </w:pPr>
      <w:r w:rsidRPr="007D3E68">
        <w:rPr>
          <w:rFonts w:cs="Times New Roman"/>
          <w:b/>
          <w:i/>
          <w:lang w:val="en-US" w:eastAsia="nl-NL" w:bidi="ar-SA"/>
        </w:rPr>
        <w:fldChar w:fldCharType="begin"/>
      </w:r>
      <w:r w:rsidR="00926DB2" w:rsidRPr="007D3E68">
        <w:rPr>
          <w:rFonts w:cs="Times New Roman"/>
          <w:b/>
          <w:i/>
          <w:lang w:val="en-US" w:eastAsia="nl-NL" w:bidi="ar-SA"/>
        </w:rPr>
        <w:instrText xml:space="preserve"> QUOTE </w:instrText>
      </w:r>
      <w:r w:rsidRPr="00542395">
        <w:rPr>
          <w:b/>
          <w:i/>
        </w:rPr>
        <w:pict>
          <v:shape id="_x0000_i1037" type="#_x0000_t75" style="width:264.75pt;height:13.5pt" equationxml="&lt;">
            <v:imagedata r:id="rId11" o:title="" chromakey="white"/>
          </v:shape>
        </w:pict>
      </w:r>
      <w:r w:rsidR="00926DB2" w:rsidRPr="007D3E68">
        <w:rPr>
          <w:rFonts w:cs="Times New Roman"/>
          <w:b/>
          <w:i/>
          <w:lang w:val="en-US" w:eastAsia="nl-NL" w:bidi="ar-SA"/>
        </w:rPr>
        <w:instrText xml:space="preserve"> </w:instrText>
      </w:r>
      <w:r w:rsidRPr="007D3E68">
        <w:rPr>
          <w:rFonts w:cs="Times New Roman"/>
          <w:b/>
          <w:i/>
          <w:lang w:val="en-US" w:eastAsia="nl-NL" w:bidi="ar-SA"/>
        </w:rPr>
        <w:fldChar w:fldCharType="separate"/>
      </w:r>
      <w:r w:rsidRPr="00542395">
        <w:rPr>
          <w:b/>
          <w:i/>
        </w:rPr>
        <w:pict>
          <v:shape id="_x0000_i1038" type="#_x0000_t75" style="width:264.75pt;height:13.5pt" equationxml="&lt;">
            <v:imagedata r:id="rId11" o:title="" chromakey="white"/>
          </v:shape>
        </w:pict>
      </w:r>
      <w:r w:rsidRPr="007D3E68">
        <w:rPr>
          <w:rFonts w:cs="Times New Roman"/>
          <w:b/>
          <w:i/>
          <w:lang w:val="en-US" w:eastAsia="nl-NL" w:bidi="ar-SA"/>
        </w:rPr>
        <w:fldChar w:fldCharType="end"/>
      </w:r>
      <w:r w:rsidR="00926DB2" w:rsidRPr="007D3E68">
        <w:rPr>
          <w:rFonts w:cs="Times New Roman"/>
          <w:b/>
          <w:i/>
          <w:lang w:val="en-US" w:eastAsia="nl-NL" w:bidi="ar-SA"/>
        </w:rPr>
        <w:t xml:space="preserve">   </w:t>
      </w:r>
      <w:r w:rsidR="00926DB2">
        <w:rPr>
          <w:rFonts w:cs="Times New Roman"/>
          <w:b/>
          <w:i/>
          <w:lang w:val="en-US" w:eastAsia="nl-NL" w:bidi="ar-SA"/>
        </w:rPr>
        <w:t xml:space="preserve">    </w:t>
      </w:r>
      <w:r w:rsidR="00926DB2">
        <w:rPr>
          <w:rFonts w:cs="Times New Roman"/>
          <w:b/>
          <w:i/>
          <w:lang w:val="en-US" w:eastAsia="nl-NL" w:bidi="ar-SA"/>
        </w:rPr>
        <w:tab/>
        <w:t xml:space="preserve">(Bad banks) </w:t>
      </w:r>
      <w:r w:rsidR="00926DB2">
        <w:rPr>
          <w:rFonts w:cs="Times New Roman"/>
          <w:b/>
          <w:i/>
          <w:lang w:val="en-US" w:eastAsia="nl-NL" w:bidi="ar-SA"/>
        </w:rPr>
        <w:tab/>
      </w:r>
      <w:r w:rsidR="00926DB2">
        <w:rPr>
          <w:rFonts w:cs="Times New Roman"/>
          <w:b/>
          <w:i/>
          <w:lang w:val="en-US" w:eastAsia="nl-NL" w:bidi="ar-SA"/>
        </w:rPr>
        <w:tab/>
        <w:t>(8</w:t>
      </w:r>
      <w:r w:rsidR="00926DB2" w:rsidRPr="007D3E68">
        <w:rPr>
          <w:rFonts w:cs="Times New Roman"/>
          <w:b/>
          <w:i/>
          <w:lang w:val="en-US" w:eastAsia="nl-NL" w:bidi="ar-SA"/>
        </w:rPr>
        <w:t>b)</w:t>
      </w:r>
      <w:r w:rsidR="00926DB2" w:rsidRPr="007D3E68">
        <w:rPr>
          <w:rFonts w:cs="Times New Roman"/>
          <w:b/>
          <w:i/>
          <w:lang w:val="en-US" w:eastAsia="nl-NL" w:bidi="ar-SA"/>
        </w:rPr>
        <w:tab/>
      </w:r>
    </w:p>
    <w:p w:rsidR="00926DB2" w:rsidRDefault="00926DB2" w:rsidP="00046654">
      <w:pPr>
        <w:spacing w:line="360" w:lineRule="auto"/>
        <w:jc w:val="both"/>
        <w:rPr>
          <w:rFonts w:cs="Times New Roman"/>
          <w:i/>
          <w:lang w:val="en-US" w:eastAsia="nl-NL" w:bidi="ar-SA"/>
        </w:rPr>
      </w:pPr>
    </w:p>
    <w:p w:rsidR="00926DB2" w:rsidRPr="00DA2FEA" w:rsidRDefault="00926DB2" w:rsidP="00DA2FEA">
      <w:pPr>
        <w:pStyle w:val="Kop3"/>
        <w:jc w:val="both"/>
        <w:rPr>
          <w:rFonts w:ascii="Times New Roman" w:hAnsi="Times New Roman" w:cs="Times New Roman"/>
          <w:b w:val="0"/>
          <w:bCs w:val="0"/>
          <w:i/>
          <w:iCs/>
          <w:color w:val="auto"/>
          <w:lang w:val="en-US" w:eastAsia="nl-NL" w:bidi="ar-SA"/>
        </w:rPr>
      </w:pPr>
      <w:bookmarkStart w:id="198" w:name="_Toc268186081"/>
      <w:r w:rsidRPr="00DA2FEA">
        <w:rPr>
          <w:rFonts w:ascii="Times New Roman" w:hAnsi="Times New Roman" w:cs="Times New Roman"/>
          <w:b w:val="0"/>
          <w:bCs w:val="0"/>
          <w:i/>
          <w:iCs/>
          <w:color w:val="auto"/>
          <w:lang w:val="en-US" w:eastAsia="nl-NL" w:bidi="ar-SA"/>
        </w:rPr>
        <w:lastRenderedPageBreak/>
        <w:t>6.1.</w:t>
      </w:r>
      <w:r w:rsidRPr="00DA2FEA">
        <w:rPr>
          <w:rFonts w:ascii="Times New Roman" w:hAnsi="Times New Roman" w:cs="Times New Roman"/>
          <w:b w:val="0"/>
          <w:bCs w:val="0"/>
          <w:i/>
          <w:iCs/>
          <w:color w:val="auto"/>
          <w:lang w:val="en-US"/>
        </w:rPr>
        <w:t>8</w:t>
      </w:r>
      <w:r w:rsidRPr="00DA2FEA">
        <w:rPr>
          <w:rFonts w:ascii="Times New Roman" w:hAnsi="Times New Roman" w:cs="Times New Roman"/>
          <w:b w:val="0"/>
          <w:bCs w:val="0"/>
          <w:i/>
          <w:iCs/>
          <w:color w:val="auto"/>
        </w:rPr>
        <w:t xml:space="preserve"> </w:t>
      </w:r>
      <w:r w:rsidRPr="00DA2FEA">
        <w:rPr>
          <w:rFonts w:ascii="Times New Roman" w:hAnsi="Times New Roman" w:cs="Times New Roman"/>
          <w:b w:val="0"/>
          <w:bCs w:val="0"/>
          <w:i/>
          <w:iCs/>
          <w:color w:val="auto"/>
          <w:lang w:val="en-US" w:eastAsia="nl-NL" w:bidi="ar-SA"/>
        </w:rPr>
        <w:t>Descriptive statistics regression 8a &amp; 8b</w:t>
      </w:r>
      <w:bookmarkEnd w:id="198"/>
    </w:p>
    <w:p w:rsidR="00926DB2" w:rsidRDefault="00926DB2" w:rsidP="00046654">
      <w:pPr>
        <w:spacing w:line="360" w:lineRule="auto"/>
        <w:jc w:val="both"/>
        <w:rPr>
          <w:rFonts w:cs="Times New Roman"/>
          <w:i/>
          <w:lang w:val="en-US" w:eastAsia="nl-NL" w:bidi="ar-SA"/>
        </w:rPr>
      </w:pPr>
    </w:p>
    <w:p w:rsidR="00926DB2" w:rsidRDefault="00926DB2" w:rsidP="00046654">
      <w:pPr>
        <w:spacing w:line="360" w:lineRule="auto"/>
        <w:jc w:val="both"/>
        <w:rPr>
          <w:rFonts w:cs="Times New Roman"/>
          <w:lang w:val="en-US" w:eastAsia="nl-NL" w:bidi="ar-SA"/>
        </w:rPr>
      </w:pPr>
      <w:r>
        <w:rPr>
          <w:rFonts w:cs="Times New Roman"/>
          <w:lang w:val="en-US" w:eastAsia="nl-NL" w:bidi="ar-SA"/>
        </w:rPr>
        <w:t xml:space="preserve">In the tables below the descriptives of the variables used in the good performing banks regression and bad performing banks regression are presented. Also the descriptives of the variables used to measure bank performance are presented. </w:t>
      </w:r>
      <w:r w:rsidRPr="00121085">
        <w:rPr>
          <w:rFonts w:cs="Times New Roman"/>
          <w:lang w:val="en-US" w:eastAsia="nl-NL" w:bidi="ar-SA"/>
        </w:rPr>
        <w:t>Each variable will be analyzed on outliers, normality and other descriptives. Then the variables will be corrected for skewness and other factors in order to obtain a qualitative and accurate data sample.</w:t>
      </w:r>
      <w:r>
        <w:rPr>
          <w:rFonts w:cs="Times New Roman"/>
          <w:lang w:val="en-US" w:eastAsia="nl-NL" w:bidi="ar-SA"/>
        </w:rPr>
        <w:t xml:space="preserve"> </w:t>
      </w:r>
    </w:p>
    <w:p w:rsidR="00926DB2" w:rsidRPr="008C285B" w:rsidRDefault="00926DB2" w:rsidP="00046654">
      <w:pPr>
        <w:spacing w:line="360" w:lineRule="auto"/>
        <w:jc w:val="both"/>
        <w:rPr>
          <w:rFonts w:cs="Times New Roman"/>
          <w:b/>
          <w:lang w:val="en-US" w:eastAsia="nl-NL" w:bidi="ar-SA"/>
        </w:rPr>
      </w:pPr>
    </w:p>
    <w:p w:rsidR="00926DB2" w:rsidRPr="00CE127C" w:rsidRDefault="00926DB2" w:rsidP="00046654">
      <w:pPr>
        <w:spacing w:line="360" w:lineRule="auto"/>
        <w:jc w:val="both"/>
        <w:rPr>
          <w:rFonts w:cs="Times New Roman"/>
          <w:u w:val="single"/>
          <w:lang w:val="en-US" w:eastAsia="nl-NL" w:bidi="ar-SA"/>
        </w:rPr>
      </w:pPr>
      <w:r>
        <w:rPr>
          <w:rFonts w:cs="Times New Roman"/>
          <w:b/>
          <w:u w:val="single"/>
          <w:lang w:val="en-US" w:eastAsia="nl-NL" w:bidi="ar-SA"/>
        </w:rPr>
        <w:t>Table 14</w:t>
      </w:r>
      <w:r w:rsidRPr="00CE127C">
        <w:rPr>
          <w:rFonts w:cs="Times New Roman"/>
          <w:b/>
          <w:u w:val="single"/>
          <w:lang w:val="en-US" w:eastAsia="nl-NL" w:bidi="ar-SA"/>
        </w:rPr>
        <w:t>a.</w:t>
      </w:r>
      <w:r w:rsidRPr="00CE127C">
        <w:rPr>
          <w:rFonts w:cs="Times New Roman"/>
          <w:u w:val="single"/>
          <w:lang w:val="en-US" w:eastAsia="nl-NL" w:bidi="ar-SA"/>
        </w:rPr>
        <w:t xml:space="preserve"> descriptive statistics pre-crisis good performing banks</w:t>
      </w:r>
    </w:p>
    <w:tbl>
      <w:tblPr>
        <w:tblpPr w:leftFromText="180" w:rightFromText="180" w:vertAnchor="text" w:horzAnchor="margin" w:tblpXSpec="center" w:tblpY="440"/>
        <w:tblW w:w="8762" w:type="dxa"/>
        <w:tblBorders>
          <w:top w:val="single" w:sz="8" w:space="0" w:color="000000"/>
          <w:bottom w:val="single" w:sz="8" w:space="0" w:color="000000"/>
        </w:tblBorders>
        <w:tblLook w:val="01E0"/>
      </w:tblPr>
      <w:tblGrid>
        <w:gridCol w:w="1186"/>
        <w:gridCol w:w="1075"/>
        <w:gridCol w:w="1078"/>
        <w:gridCol w:w="1072"/>
        <w:gridCol w:w="1073"/>
        <w:gridCol w:w="1073"/>
        <w:gridCol w:w="1136"/>
        <w:gridCol w:w="1069"/>
      </w:tblGrid>
      <w:tr w:rsidR="00926DB2" w:rsidRPr="00775E56" w:rsidTr="00CE127C">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Variable</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Mean</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Median</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Std Dev</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Min</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Max</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N corrected</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 xml:space="preserve">N </w:t>
            </w:r>
          </w:p>
        </w:tc>
      </w:tr>
      <w:tr w:rsidR="00926DB2" w:rsidRPr="00775E56" w:rsidTr="00CE127C">
        <w:tc>
          <w:tcPr>
            <w:tcW w:w="1186"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NI</w:t>
            </w:r>
          </w:p>
        </w:tc>
        <w:tc>
          <w:tcPr>
            <w:tcW w:w="1075"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0.1793</w:t>
            </w:r>
          </w:p>
        </w:tc>
        <w:tc>
          <w:tcPr>
            <w:tcW w:w="1078"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0.0655</w:t>
            </w:r>
          </w:p>
        </w:tc>
        <w:tc>
          <w:tcPr>
            <w:tcW w:w="1072"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0.3422</w:t>
            </w:r>
          </w:p>
        </w:tc>
        <w:tc>
          <w:tcPr>
            <w:tcW w:w="1073"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-0.8169</w:t>
            </w:r>
          </w:p>
        </w:tc>
        <w:tc>
          <w:tcPr>
            <w:tcW w:w="1073"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2.5280</w:t>
            </w:r>
          </w:p>
        </w:tc>
        <w:tc>
          <w:tcPr>
            <w:tcW w:w="1136"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606</w:t>
            </w:r>
          </w:p>
        </w:tc>
        <w:tc>
          <w:tcPr>
            <w:tcW w:w="1069"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614</w:t>
            </w:r>
          </w:p>
        </w:tc>
      </w:tr>
      <w:tr w:rsidR="00926DB2" w:rsidRPr="00775E56" w:rsidTr="00CE127C">
        <w:tc>
          <w:tcPr>
            <w:tcW w:w="1186"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w:t>
            </w:r>
          </w:p>
        </w:tc>
        <w:tc>
          <w:tcPr>
            <w:tcW w:w="1075"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0.1944</w:t>
            </w:r>
          </w:p>
        </w:tc>
        <w:tc>
          <w:tcPr>
            <w:tcW w:w="1078"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0.1147</w:t>
            </w:r>
          </w:p>
        </w:tc>
        <w:tc>
          <w:tcPr>
            <w:tcW w:w="1072"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0.5577</w:t>
            </w:r>
          </w:p>
        </w:tc>
        <w:tc>
          <w:tcPr>
            <w:tcW w:w="1073"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-0.8677</w:t>
            </w:r>
          </w:p>
        </w:tc>
        <w:tc>
          <w:tcPr>
            <w:tcW w:w="1073"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6.8016</w:t>
            </w:r>
          </w:p>
        </w:tc>
        <w:tc>
          <w:tcPr>
            <w:tcW w:w="1136"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606</w:t>
            </w:r>
          </w:p>
        </w:tc>
        <w:tc>
          <w:tcPr>
            <w:tcW w:w="1069"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614</w:t>
            </w:r>
          </w:p>
        </w:tc>
      </w:tr>
      <w:tr w:rsidR="00926DB2" w:rsidRPr="00775E56" w:rsidTr="00CE127C">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R*D</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-0.0519</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0.000</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0.1191</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-0.8677</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0.000</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606</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614</w:t>
            </w:r>
          </w:p>
        </w:tc>
      </w:tr>
    </w:tbl>
    <w:p w:rsidR="00926DB2" w:rsidRDefault="00926DB2" w:rsidP="00046654">
      <w:pPr>
        <w:spacing w:line="360" w:lineRule="auto"/>
        <w:jc w:val="both"/>
        <w:rPr>
          <w:rFonts w:cs="Times New Roman"/>
          <w:b/>
          <w:i/>
          <w:lang w:val="en-US" w:eastAsia="nl-NL" w:bidi="ar-SA"/>
        </w:rPr>
      </w:pPr>
    </w:p>
    <w:p w:rsidR="00926DB2" w:rsidRDefault="00926DB2" w:rsidP="00046654">
      <w:pPr>
        <w:spacing w:line="360" w:lineRule="auto"/>
        <w:jc w:val="both"/>
        <w:rPr>
          <w:rFonts w:cs="Times New Roman"/>
          <w:i/>
          <w:lang w:val="en-US" w:eastAsia="nl-NL" w:bidi="ar-SA"/>
        </w:rPr>
      </w:pPr>
    </w:p>
    <w:p w:rsidR="00926DB2" w:rsidRPr="00D506F7" w:rsidRDefault="00926DB2" w:rsidP="00046654">
      <w:pPr>
        <w:spacing w:line="360" w:lineRule="auto"/>
        <w:jc w:val="both"/>
        <w:rPr>
          <w:rFonts w:cs="Times New Roman"/>
          <w:u w:val="single"/>
          <w:lang w:val="en-US" w:eastAsia="nl-NL" w:bidi="ar-SA"/>
        </w:rPr>
      </w:pPr>
      <w:r>
        <w:rPr>
          <w:rFonts w:cs="Times New Roman"/>
          <w:b/>
          <w:u w:val="single"/>
          <w:lang w:val="en-US" w:eastAsia="nl-NL" w:bidi="ar-SA"/>
        </w:rPr>
        <w:t>Table 14</w:t>
      </w:r>
      <w:r w:rsidRPr="00D506F7">
        <w:rPr>
          <w:rFonts w:cs="Times New Roman"/>
          <w:b/>
          <w:u w:val="single"/>
          <w:lang w:val="en-US" w:eastAsia="nl-NL" w:bidi="ar-SA"/>
        </w:rPr>
        <w:t>b</w:t>
      </w:r>
      <w:r w:rsidRPr="00D506F7">
        <w:rPr>
          <w:rFonts w:cs="Times New Roman"/>
          <w:u w:val="single"/>
          <w:lang w:val="en-US" w:eastAsia="nl-NL" w:bidi="ar-SA"/>
        </w:rPr>
        <w:t xml:space="preserve"> descriptive statistics pre-crisis bad performing banks</w:t>
      </w:r>
    </w:p>
    <w:tbl>
      <w:tblPr>
        <w:tblpPr w:leftFromText="180" w:rightFromText="180" w:vertAnchor="text" w:horzAnchor="margin" w:tblpXSpec="center" w:tblpY="440"/>
        <w:tblW w:w="8762" w:type="dxa"/>
        <w:tblBorders>
          <w:top w:val="single" w:sz="8" w:space="0" w:color="000000"/>
          <w:bottom w:val="single" w:sz="8" w:space="0" w:color="000000"/>
        </w:tblBorders>
        <w:tblLook w:val="01E0"/>
      </w:tblPr>
      <w:tblGrid>
        <w:gridCol w:w="1186"/>
        <w:gridCol w:w="1075"/>
        <w:gridCol w:w="1078"/>
        <w:gridCol w:w="1072"/>
        <w:gridCol w:w="1073"/>
        <w:gridCol w:w="1073"/>
        <w:gridCol w:w="1136"/>
        <w:gridCol w:w="1069"/>
      </w:tblGrid>
      <w:tr w:rsidR="00926DB2" w:rsidRPr="00015CBC" w:rsidTr="00D506F7">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Variable</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Mean</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Median</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Std Dev</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Min</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Max</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N corrected</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 xml:space="preserve">N </w:t>
            </w:r>
          </w:p>
        </w:tc>
      </w:tr>
      <w:tr w:rsidR="00926DB2" w:rsidRPr="00015CBC" w:rsidTr="00D506F7">
        <w:tc>
          <w:tcPr>
            <w:tcW w:w="1186"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NI</w:t>
            </w:r>
          </w:p>
        </w:tc>
        <w:tc>
          <w:tcPr>
            <w:tcW w:w="1075"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0.2082</w:t>
            </w:r>
          </w:p>
        </w:tc>
        <w:tc>
          <w:tcPr>
            <w:tcW w:w="1078"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0.1212</w:t>
            </w:r>
          </w:p>
        </w:tc>
        <w:tc>
          <w:tcPr>
            <w:tcW w:w="1072"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0.3295</w:t>
            </w:r>
          </w:p>
        </w:tc>
        <w:tc>
          <w:tcPr>
            <w:tcW w:w="1073"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-3.1639</w:t>
            </w:r>
          </w:p>
        </w:tc>
        <w:tc>
          <w:tcPr>
            <w:tcW w:w="1073"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1.3492</w:t>
            </w:r>
          </w:p>
        </w:tc>
        <w:tc>
          <w:tcPr>
            <w:tcW w:w="1136"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629</w:t>
            </w:r>
          </w:p>
        </w:tc>
        <w:tc>
          <w:tcPr>
            <w:tcW w:w="1069"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694</w:t>
            </w:r>
          </w:p>
        </w:tc>
      </w:tr>
      <w:tr w:rsidR="00926DB2" w:rsidRPr="00015CBC" w:rsidTr="00D506F7">
        <w:tc>
          <w:tcPr>
            <w:tcW w:w="1186"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w:t>
            </w:r>
          </w:p>
        </w:tc>
        <w:tc>
          <w:tcPr>
            <w:tcW w:w="1075"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0.2246</w:t>
            </w:r>
          </w:p>
        </w:tc>
        <w:tc>
          <w:tcPr>
            <w:tcW w:w="1078"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0.1535</w:t>
            </w:r>
          </w:p>
        </w:tc>
        <w:tc>
          <w:tcPr>
            <w:tcW w:w="1072"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0.4778</w:t>
            </w:r>
          </w:p>
        </w:tc>
        <w:tc>
          <w:tcPr>
            <w:tcW w:w="1073"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-0.8721</w:t>
            </w:r>
          </w:p>
        </w:tc>
        <w:tc>
          <w:tcPr>
            <w:tcW w:w="1073"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3.664</w:t>
            </w:r>
          </w:p>
        </w:tc>
        <w:tc>
          <w:tcPr>
            <w:tcW w:w="1136"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629</w:t>
            </w:r>
          </w:p>
        </w:tc>
        <w:tc>
          <w:tcPr>
            <w:tcW w:w="1069"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694</w:t>
            </w:r>
          </w:p>
        </w:tc>
      </w:tr>
      <w:tr w:rsidR="00926DB2" w:rsidRPr="00015CBC" w:rsidTr="00D506F7">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R*D</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-0.0485</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0.000</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0.1301</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-0.8721</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0.000</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629</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694</w:t>
            </w:r>
          </w:p>
        </w:tc>
      </w:tr>
    </w:tbl>
    <w:p w:rsidR="00926DB2" w:rsidRDefault="00926DB2" w:rsidP="00046654">
      <w:pPr>
        <w:spacing w:line="360" w:lineRule="auto"/>
        <w:jc w:val="both"/>
        <w:rPr>
          <w:rFonts w:cs="Times New Roman"/>
          <w:i/>
          <w:iCs/>
          <w:lang w:val="en-US" w:eastAsia="nl-NL" w:bidi="ar-SA"/>
        </w:rPr>
      </w:pPr>
    </w:p>
    <w:p w:rsidR="00926DB2" w:rsidRDefault="00926DB2" w:rsidP="00046654">
      <w:pPr>
        <w:spacing w:line="360" w:lineRule="auto"/>
        <w:jc w:val="both"/>
        <w:rPr>
          <w:rFonts w:cs="Times New Roman"/>
          <w:b/>
          <w:bCs/>
          <w:iCs/>
          <w:u w:val="single"/>
          <w:lang w:val="en-US" w:eastAsia="nl-NL" w:bidi="ar-SA"/>
        </w:rPr>
      </w:pPr>
    </w:p>
    <w:p w:rsidR="00926DB2" w:rsidRPr="00D506F7" w:rsidRDefault="00926DB2" w:rsidP="00046654">
      <w:pPr>
        <w:spacing w:line="360" w:lineRule="auto"/>
        <w:jc w:val="both"/>
        <w:rPr>
          <w:rFonts w:cs="Times New Roman"/>
          <w:bCs/>
          <w:iCs/>
          <w:u w:val="single"/>
          <w:lang w:val="en-US" w:eastAsia="nl-NL" w:bidi="ar-SA"/>
        </w:rPr>
      </w:pPr>
      <w:r>
        <w:rPr>
          <w:rFonts w:cs="Times New Roman"/>
          <w:b/>
          <w:bCs/>
          <w:iCs/>
          <w:u w:val="single"/>
          <w:lang w:val="en-US" w:eastAsia="nl-NL" w:bidi="ar-SA"/>
        </w:rPr>
        <w:t>Table 14</w:t>
      </w:r>
      <w:r w:rsidRPr="00D506F7">
        <w:rPr>
          <w:rFonts w:cs="Times New Roman"/>
          <w:b/>
          <w:bCs/>
          <w:iCs/>
          <w:u w:val="single"/>
          <w:lang w:val="en-US" w:eastAsia="nl-NL" w:bidi="ar-SA"/>
        </w:rPr>
        <w:t>c</w:t>
      </w:r>
      <w:r w:rsidRPr="00D506F7">
        <w:rPr>
          <w:rFonts w:cs="Times New Roman"/>
          <w:bCs/>
          <w:iCs/>
          <w:u w:val="single"/>
          <w:lang w:val="en-US" w:eastAsia="nl-NL" w:bidi="ar-SA"/>
        </w:rPr>
        <w:t xml:space="preserve"> Performance indicators descriptive statistics 2007-2009</w:t>
      </w:r>
    </w:p>
    <w:tbl>
      <w:tblPr>
        <w:tblpPr w:leftFromText="180" w:rightFromText="180" w:vertAnchor="text" w:horzAnchor="margin" w:tblpXSpec="center" w:tblpY="440"/>
        <w:tblW w:w="8762" w:type="dxa"/>
        <w:tblBorders>
          <w:top w:val="single" w:sz="8" w:space="0" w:color="000000"/>
          <w:bottom w:val="single" w:sz="8" w:space="0" w:color="000000"/>
        </w:tblBorders>
        <w:tblLook w:val="01E0"/>
      </w:tblPr>
      <w:tblGrid>
        <w:gridCol w:w="1186"/>
        <w:gridCol w:w="1075"/>
        <w:gridCol w:w="1078"/>
        <w:gridCol w:w="1072"/>
        <w:gridCol w:w="1073"/>
        <w:gridCol w:w="1073"/>
        <w:gridCol w:w="1136"/>
        <w:gridCol w:w="1069"/>
      </w:tblGrid>
      <w:tr w:rsidR="00926DB2" w:rsidRPr="00775E56" w:rsidTr="00D506F7">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Variable</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Mean</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Median</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Std Dev</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Min</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Max</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N corrected</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 xml:space="preserve">N </w:t>
            </w:r>
          </w:p>
        </w:tc>
      </w:tr>
      <w:tr w:rsidR="00926DB2" w:rsidRPr="00775E56" w:rsidTr="00D506F7">
        <w:tc>
          <w:tcPr>
            <w:tcW w:w="1186"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ROA</w:t>
            </w:r>
          </w:p>
        </w:tc>
        <w:tc>
          <w:tcPr>
            <w:tcW w:w="1075"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2.2870</w:t>
            </w:r>
          </w:p>
        </w:tc>
        <w:tc>
          <w:tcPr>
            <w:tcW w:w="1078"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1.5156</w:t>
            </w:r>
          </w:p>
        </w:tc>
        <w:tc>
          <w:tcPr>
            <w:tcW w:w="1072"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3.4284</w:t>
            </w:r>
          </w:p>
        </w:tc>
        <w:tc>
          <w:tcPr>
            <w:tcW w:w="1073"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-15.789</w:t>
            </w:r>
          </w:p>
        </w:tc>
        <w:tc>
          <w:tcPr>
            <w:tcW w:w="1073" w:type="dxa"/>
            <w:tcBorders>
              <w:left w:val="nil"/>
              <w:bottom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21.6587</w:t>
            </w:r>
          </w:p>
        </w:tc>
        <w:tc>
          <w:tcPr>
            <w:tcW w:w="1136" w:type="dxa"/>
            <w:tcBorders>
              <w:left w:val="nil"/>
              <w:right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429</w:t>
            </w:r>
          </w:p>
        </w:tc>
        <w:tc>
          <w:tcPr>
            <w:tcW w:w="1069" w:type="dxa"/>
            <w:tcBorders>
              <w:left w:val="nil"/>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452</w:t>
            </w:r>
          </w:p>
        </w:tc>
      </w:tr>
      <w:tr w:rsidR="00926DB2" w:rsidRPr="00775E56" w:rsidTr="00D506F7">
        <w:tc>
          <w:tcPr>
            <w:tcW w:w="1186"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ROE</w:t>
            </w:r>
          </w:p>
        </w:tc>
        <w:tc>
          <w:tcPr>
            <w:tcW w:w="1075"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7.4869</w:t>
            </w:r>
          </w:p>
        </w:tc>
        <w:tc>
          <w:tcPr>
            <w:tcW w:w="1078"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7.0429</w:t>
            </w:r>
          </w:p>
        </w:tc>
        <w:tc>
          <w:tcPr>
            <w:tcW w:w="1072"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10.4678</w:t>
            </w:r>
          </w:p>
        </w:tc>
        <w:tc>
          <w:tcPr>
            <w:tcW w:w="1073"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-46.858</w:t>
            </w:r>
          </w:p>
        </w:tc>
        <w:tc>
          <w:tcPr>
            <w:tcW w:w="1073" w:type="dxa"/>
            <w:tcBorders>
              <w:bottom w:val="nil"/>
            </w:tcBorders>
            <w:shd w:val="clear" w:color="auto" w:fill="C0C0C0"/>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48.0733</w:t>
            </w:r>
          </w:p>
        </w:tc>
        <w:tc>
          <w:tcPr>
            <w:tcW w:w="1136" w:type="dxa"/>
          </w:tcPr>
          <w:p w:rsidR="00926DB2" w:rsidRPr="007B663B" w:rsidRDefault="00926DB2" w:rsidP="00046654">
            <w:pPr>
              <w:spacing w:line="360" w:lineRule="auto"/>
              <w:jc w:val="both"/>
              <w:rPr>
                <w:rFonts w:cs="Times New Roman"/>
                <w:i/>
                <w:iCs/>
                <w:color w:val="000000"/>
                <w:lang w:val="en-US" w:eastAsia="nl-NL" w:bidi="ar-SA"/>
              </w:rPr>
            </w:pPr>
            <w:r w:rsidRPr="007B663B">
              <w:rPr>
                <w:rFonts w:cs="Times New Roman"/>
                <w:i/>
                <w:iCs/>
                <w:color w:val="000000"/>
                <w:sz w:val="22"/>
                <w:szCs w:val="22"/>
                <w:lang w:val="en-US" w:eastAsia="nl-NL" w:bidi="ar-SA"/>
              </w:rPr>
              <w:t>429</w:t>
            </w:r>
          </w:p>
        </w:tc>
        <w:tc>
          <w:tcPr>
            <w:tcW w:w="1069" w:type="dxa"/>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452</w:t>
            </w:r>
          </w:p>
        </w:tc>
      </w:tr>
      <w:tr w:rsidR="00926DB2" w:rsidRPr="00775E56" w:rsidTr="00D506F7">
        <w:tc>
          <w:tcPr>
            <w:tcW w:w="118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i/>
                <w:iCs/>
                <w:color w:val="000000"/>
                <w:sz w:val="22"/>
                <w:szCs w:val="22"/>
                <w:lang w:val="en-US" w:eastAsia="nl-NL" w:bidi="ar-SA"/>
              </w:rPr>
              <w:t>EBIT</w:t>
            </w:r>
          </w:p>
        </w:tc>
        <w:tc>
          <w:tcPr>
            <w:tcW w:w="1075"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4.7302</w:t>
            </w:r>
          </w:p>
        </w:tc>
        <w:tc>
          <w:tcPr>
            <w:tcW w:w="1078"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1.8249</w:t>
            </w:r>
          </w:p>
        </w:tc>
        <w:tc>
          <w:tcPr>
            <w:tcW w:w="1072"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7.6370</w:t>
            </w:r>
          </w:p>
        </w:tc>
        <w:tc>
          <w:tcPr>
            <w:tcW w:w="1073"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-18.591</w:t>
            </w:r>
          </w:p>
        </w:tc>
        <w:tc>
          <w:tcPr>
            <w:tcW w:w="1073" w:type="dxa"/>
            <w:tcBorders>
              <w:top w:val="single" w:sz="8" w:space="0" w:color="000000"/>
              <w:left w:val="nil"/>
              <w:bottom w:val="single" w:sz="8" w:space="0" w:color="000000"/>
              <w:right w:val="nil"/>
            </w:tcBorders>
            <w:shd w:val="clear" w:color="auto" w:fill="C0C0C0"/>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40.3440</w:t>
            </w:r>
          </w:p>
        </w:tc>
        <w:tc>
          <w:tcPr>
            <w:tcW w:w="1136"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429</w:t>
            </w:r>
          </w:p>
        </w:tc>
        <w:tc>
          <w:tcPr>
            <w:tcW w:w="1069" w:type="dxa"/>
            <w:tcBorders>
              <w:top w:val="single" w:sz="8" w:space="0" w:color="000000"/>
              <w:left w:val="nil"/>
              <w:bottom w:val="single" w:sz="8" w:space="0" w:color="000000"/>
              <w:right w:val="nil"/>
            </w:tcBorders>
          </w:tcPr>
          <w:p w:rsidR="00926DB2" w:rsidRPr="007B663B" w:rsidRDefault="00926DB2" w:rsidP="00046654">
            <w:pPr>
              <w:spacing w:line="360" w:lineRule="auto"/>
              <w:jc w:val="both"/>
              <w:rPr>
                <w:rFonts w:cs="Times New Roman"/>
                <w:b/>
                <w:bCs/>
                <w:i/>
                <w:iCs/>
                <w:color w:val="000000"/>
                <w:lang w:val="en-US" w:eastAsia="nl-NL" w:bidi="ar-SA"/>
              </w:rPr>
            </w:pPr>
            <w:r w:rsidRPr="007B663B">
              <w:rPr>
                <w:rFonts w:cs="Times New Roman"/>
                <w:b/>
                <w:bCs/>
                <w:i/>
                <w:iCs/>
                <w:color w:val="000000"/>
                <w:sz w:val="22"/>
                <w:szCs w:val="22"/>
                <w:lang w:val="en-US" w:eastAsia="nl-NL" w:bidi="ar-SA"/>
              </w:rPr>
              <w:t>452</w:t>
            </w:r>
          </w:p>
        </w:tc>
      </w:tr>
    </w:tbl>
    <w:p w:rsidR="00926DB2" w:rsidRDefault="00926DB2" w:rsidP="00046654">
      <w:pPr>
        <w:spacing w:line="360" w:lineRule="auto"/>
        <w:jc w:val="both"/>
        <w:rPr>
          <w:rFonts w:cs="Times New Roman"/>
          <w:i/>
          <w:iCs/>
          <w:lang w:val="en-US" w:eastAsia="nl-NL" w:bidi="ar-SA"/>
        </w:rPr>
      </w:pPr>
    </w:p>
    <w:p w:rsidR="00926DB2" w:rsidRDefault="00926DB2" w:rsidP="00046654">
      <w:pPr>
        <w:spacing w:line="360" w:lineRule="auto"/>
        <w:jc w:val="both"/>
        <w:rPr>
          <w:rFonts w:cs="Times New Roman"/>
          <w:i/>
          <w:iCs/>
          <w:lang w:val="en-US" w:eastAsia="nl-NL" w:bidi="ar-SA"/>
        </w:rPr>
      </w:pPr>
    </w:p>
    <w:p w:rsidR="00926DB2" w:rsidRDefault="00926DB2" w:rsidP="00046654">
      <w:pPr>
        <w:spacing w:line="360" w:lineRule="auto"/>
        <w:jc w:val="both"/>
        <w:rPr>
          <w:rFonts w:cs="Times New Roman"/>
          <w:i/>
          <w:iCs/>
          <w:lang w:val="en-US" w:eastAsia="nl-NL" w:bidi="ar-SA"/>
        </w:rPr>
      </w:pPr>
    </w:p>
    <w:p w:rsidR="00926DB2" w:rsidRDefault="00926DB2" w:rsidP="00046654">
      <w:pPr>
        <w:spacing w:line="360" w:lineRule="auto"/>
        <w:jc w:val="both"/>
        <w:rPr>
          <w:rFonts w:cs="Times New Roman"/>
          <w:iCs/>
          <w:lang w:val="en-US" w:eastAsia="nl-NL" w:bidi="ar-SA"/>
        </w:rPr>
      </w:pPr>
      <w:r>
        <w:rPr>
          <w:rFonts w:cs="Times New Roman"/>
          <w:iCs/>
          <w:lang w:val="en-US" w:eastAsia="nl-NL" w:bidi="ar-SA"/>
        </w:rPr>
        <w:lastRenderedPageBreak/>
        <w:t>Table 14a and 14b present the results of the descriptive statistics of respectively good performing and bad performing banks. The observations (after correction) for the good banks sample is 606 and for the bad banks sample 629. Hence the number of bad banks is greater than good banks. For both the bad banks as well as the good banks the returns are more volatile than the earnings (higher standard deviation) this is in correspondence with all the previous sub-samples. Both net income and earnings for bad banks are slightly higher than for good banks (0.1793 and 0.1944 &gt; 0.2082 and 0.2246). A possible reason for this could be that the volatility in earnings and net income of the bad banks sample is greater than that of the good banks sample.</w:t>
      </w:r>
    </w:p>
    <w:p w:rsidR="00926DB2" w:rsidRDefault="00926DB2" w:rsidP="00046654">
      <w:pPr>
        <w:spacing w:line="360" w:lineRule="auto"/>
        <w:jc w:val="both"/>
        <w:rPr>
          <w:rFonts w:cs="Times New Roman"/>
          <w:iCs/>
          <w:lang w:val="en-US" w:eastAsia="nl-NL" w:bidi="ar-SA"/>
        </w:rPr>
      </w:pPr>
    </w:p>
    <w:p w:rsidR="002B03FA" w:rsidRPr="002B03FA" w:rsidRDefault="00926DB2" w:rsidP="002B03FA">
      <w:pPr>
        <w:spacing w:line="360" w:lineRule="auto"/>
        <w:jc w:val="both"/>
        <w:rPr>
          <w:rFonts w:cs="Times New Roman"/>
          <w:iCs/>
          <w:lang w:val="en-US" w:eastAsia="nl-NL" w:bidi="ar-SA"/>
        </w:rPr>
      </w:pPr>
      <w:r>
        <w:rPr>
          <w:rFonts w:cs="Times New Roman"/>
          <w:iCs/>
          <w:lang w:val="en-US" w:eastAsia="nl-NL" w:bidi="ar-SA"/>
        </w:rPr>
        <w:t xml:space="preserve">Table 14c shows the results of the descriptive statistics of the performance measures during the crisis period. The number of observations is 429 after corrections. The table shows that the ROE is more volatile than ROA hence the standard deviation of ROE is higher than the ROA. </w:t>
      </w:r>
    </w:p>
    <w:p w:rsidR="00926DB2" w:rsidRPr="00DA2FEA" w:rsidRDefault="00926DB2" w:rsidP="00DA2FEA">
      <w:pPr>
        <w:pStyle w:val="Kop3"/>
        <w:jc w:val="both"/>
        <w:rPr>
          <w:rFonts w:ascii="Times New Roman" w:hAnsi="Times New Roman" w:cs="Times New Roman"/>
          <w:b w:val="0"/>
          <w:bCs w:val="0"/>
          <w:i/>
          <w:iCs/>
          <w:color w:val="auto"/>
          <w:lang w:val="en-US" w:eastAsia="nl-NL" w:bidi="ar-SA"/>
        </w:rPr>
      </w:pPr>
      <w:bookmarkStart w:id="199" w:name="_Toc268186082"/>
      <w:r w:rsidRPr="00DA2FEA">
        <w:rPr>
          <w:rFonts w:ascii="Times New Roman" w:hAnsi="Times New Roman" w:cs="Times New Roman"/>
          <w:b w:val="0"/>
          <w:bCs w:val="0"/>
          <w:i/>
          <w:iCs/>
          <w:color w:val="auto"/>
          <w:lang w:val="en-US" w:eastAsia="nl-NL" w:bidi="ar-SA"/>
        </w:rPr>
        <w:t>6.1.9 Conditional conservatism in the West-European banking sector and the relationship with firm performance.</w:t>
      </w:r>
      <w:bookmarkEnd w:id="199"/>
      <w:r w:rsidRPr="00DA2FEA">
        <w:rPr>
          <w:rFonts w:ascii="Times New Roman" w:hAnsi="Times New Roman" w:cs="Times New Roman"/>
          <w:b w:val="0"/>
          <w:bCs w:val="0"/>
          <w:i/>
          <w:iCs/>
          <w:color w:val="auto"/>
          <w:lang w:val="en-US" w:eastAsia="nl-NL" w:bidi="ar-SA"/>
        </w:rPr>
        <w:t xml:space="preserve"> </w:t>
      </w:r>
    </w:p>
    <w:p w:rsidR="00926DB2" w:rsidRDefault="00926DB2" w:rsidP="00046654">
      <w:pPr>
        <w:spacing w:line="360" w:lineRule="auto"/>
        <w:jc w:val="both"/>
        <w:rPr>
          <w:rFonts w:cs="Times New Roman"/>
          <w:i/>
          <w:iCs/>
          <w:lang w:val="en-US" w:eastAsia="nl-NL" w:bidi="ar-SA"/>
        </w:rPr>
      </w:pPr>
    </w:p>
    <w:p w:rsidR="00926DB2" w:rsidRDefault="00200496" w:rsidP="00DA2FEA">
      <w:pPr>
        <w:spacing w:line="360" w:lineRule="auto"/>
        <w:jc w:val="both"/>
        <w:rPr>
          <w:rFonts w:cs="Times New Roman"/>
          <w:i/>
          <w:iCs/>
          <w:highlight w:val="cyan"/>
          <w:lang w:val="en-US" w:eastAsia="nl-NL" w:bidi="ar-SA"/>
        </w:rPr>
      </w:pPr>
      <w:r>
        <w:rPr>
          <w:rFonts w:cs="Times New Roman"/>
          <w:iCs/>
          <w:lang w:val="en-US" w:eastAsia="nl-NL" w:bidi="ar-SA"/>
        </w:rPr>
        <w:t xml:space="preserve">In </w:t>
      </w:r>
      <w:r w:rsidR="00926DB2">
        <w:rPr>
          <w:rFonts w:cs="Times New Roman"/>
          <w:iCs/>
          <w:lang w:val="en-US" w:eastAsia="nl-NL" w:bidi="ar-SA"/>
        </w:rPr>
        <w:t>table 15 below the results of the regression models of both bad performing and good performing banks are shown which will be discussed.</w:t>
      </w:r>
    </w:p>
    <w:p w:rsidR="00926DB2" w:rsidRPr="00DA2FEA" w:rsidRDefault="00926DB2" w:rsidP="00DA2FEA">
      <w:pPr>
        <w:spacing w:line="360" w:lineRule="auto"/>
        <w:jc w:val="both"/>
        <w:rPr>
          <w:rFonts w:cs="Times New Roman"/>
          <w:i/>
          <w:iCs/>
          <w:highlight w:val="cyan"/>
          <w:lang w:val="en-US" w:eastAsia="nl-NL" w:bidi="ar-SA"/>
        </w:rPr>
      </w:pPr>
    </w:p>
    <w:p w:rsidR="00926DB2" w:rsidRPr="00000CE8" w:rsidRDefault="00926DB2" w:rsidP="00046654">
      <w:pPr>
        <w:spacing w:line="360" w:lineRule="auto"/>
        <w:jc w:val="both"/>
        <w:rPr>
          <w:rFonts w:cs="Times New Roman"/>
          <w:iCs/>
          <w:u w:val="single"/>
          <w:lang w:val="en-US" w:eastAsia="en-US" w:bidi="ar-SA"/>
        </w:rPr>
      </w:pPr>
      <w:r w:rsidRPr="00000CE8">
        <w:rPr>
          <w:rFonts w:cs="Times New Roman"/>
          <w:b/>
          <w:iCs/>
          <w:u w:val="single"/>
          <w:lang w:val="en-US" w:eastAsia="en-US" w:bidi="ar-SA"/>
        </w:rPr>
        <w:t>Table 15.</w:t>
      </w:r>
      <w:r w:rsidRPr="00000CE8">
        <w:rPr>
          <w:rFonts w:cs="Times New Roman"/>
          <w:iCs/>
          <w:u w:val="single"/>
          <w:lang w:val="en-US" w:eastAsia="en-US" w:bidi="ar-SA"/>
        </w:rPr>
        <w:t xml:space="preserve"> Relationship between conditional conservatism and bank performance</w:t>
      </w:r>
    </w:p>
    <w:p w:rsidR="00926DB2" w:rsidRPr="00EA66F8" w:rsidRDefault="00926DB2" w:rsidP="00046654">
      <w:pPr>
        <w:spacing w:line="360" w:lineRule="auto"/>
        <w:jc w:val="both"/>
        <w:rPr>
          <w:rFonts w:cs="Times New Roman"/>
          <w:iCs/>
          <w:lang w:val="en-US" w:eastAsia="en-US" w:bidi="ar-SA"/>
        </w:rPr>
      </w:pPr>
    </w:p>
    <w:p w:rsidR="00926DB2" w:rsidRPr="00000CE8" w:rsidRDefault="00926DB2" w:rsidP="00046654">
      <w:pPr>
        <w:spacing w:line="360" w:lineRule="auto"/>
        <w:jc w:val="both"/>
        <w:rPr>
          <w:rFonts w:cs="Times New Roman"/>
          <w:color w:val="000000"/>
          <w:sz w:val="20"/>
          <w:szCs w:val="20"/>
          <w:lang w:val="en-US" w:eastAsia="en-US" w:bidi="ar-SA"/>
        </w:rPr>
      </w:pPr>
      <w:r w:rsidRPr="00B40DA7">
        <w:rPr>
          <w:rFonts w:cs="Times New Roman"/>
          <w:sz w:val="20"/>
          <w:szCs w:val="20"/>
          <w:lang w:val="en-US" w:eastAsia="en-US" w:bidi="ar-SA"/>
        </w:rPr>
        <w:t xml:space="preserve">The following regression model is made in the table below: NI = </w:t>
      </w:r>
      <w:r>
        <w:rPr>
          <w:rFonts w:cs="Times New Roman"/>
          <w:color w:val="000000"/>
          <w:sz w:val="20"/>
          <w:szCs w:val="20"/>
          <w:lang w:val="en-US" w:eastAsia="en-US" w:bidi="ar-SA"/>
        </w:rPr>
        <w:t xml:space="preserve">β0 + β1DRit </w:t>
      </w:r>
      <w:r w:rsidRPr="00B40DA7">
        <w:rPr>
          <w:rFonts w:cs="Times New Roman"/>
          <w:color w:val="000000"/>
          <w:sz w:val="20"/>
          <w:szCs w:val="20"/>
          <w:lang w:val="en-US" w:eastAsia="en-US" w:bidi="ar-SA"/>
        </w:rPr>
        <w:t>+ β2Rit + β3Rit*DRit + εit.  Ni is the net income before extraordinary items per share of the bank i. This variable is deflated by the beginning of the period share price; Rit are the banks returns including dividends over year t. DRit is the dummy variable which is one if the returns are negative and zero i</w:t>
      </w:r>
      <w:r>
        <w:rPr>
          <w:rFonts w:cs="Times New Roman"/>
          <w:color w:val="000000"/>
          <w:sz w:val="20"/>
          <w:szCs w:val="20"/>
          <w:lang w:val="en-US" w:eastAsia="en-US" w:bidi="ar-SA"/>
        </w:rPr>
        <w:t>n the case of positive returns. Rit*DRit is the interactive variable which represents the effect between negative returns times returns. N is the amount of observations. The values in the first 4 columns are the unstandardized coefficients.</w:t>
      </w:r>
    </w:p>
    <w:tbl>
      <w:tblPr>
        <w:tblpPr w:leftFromText="141" w:rightFromText="141" w:vertAnchor="text" w:horzAnchor="margin" w:tblpXSpec="center" w:tblpY="193"/>
        <w:tblW w:w="10753" w:type="dxa"/>
        <w:tblBorders>
          <w:top w:val="single" w:sz="8" w:space="0" w:color="000000"/>
          <w:bottom w:val="single" w:sz="8" w:space="0" w:color="000000"/>
        </w:tblBorders>
        <w:tblLayout w:type="fixed"/>
        <w:tblLook w:val="00A0"/>
      </w:tblPr>
      <w:tblGrid>
        <w:gridCol w:w="1087"/>
        <w:gridCol w:w="1289"/>
        <w:gridCol w:w="1289"/>
        <w:gridCol w:w="1276"/>
        <w:gridCol w:w="1467"/>
        <w:gridCol w:w="234"/>
        <w:gridCol w:w="1276"/>
        <w:gridCol w:w="992"/>
        <w:gridCol w:w="992"/>
        <w:gridCol w:w="851"/>
      </w:tblGrid>
      <w:tr w:rsidR="00926DB2" w:rsidRPr="005D57C7" w:rsidTr="009A14C5">
        <w:tc>
          <w:tcPr>
            <w:tcW w:w="1087" w:type="dxa"/>
            <w:tcBorders>
              <w:top w:val="single" w:sz="8" w:space="0" w:color="000000"/>
              <w:left w:val="nil"/>
              <w:bottom w:val="single" w:sz="8" w:space="0" w:color="000000"/>
              <w:right w:val="nil"/>
            </w:tcBorders>
          </w:tcPr>
          <w:p w:rsidR="00926DB2" w:rsidRPr="007B663B" w:rsidRDefault="00926DB2" w:rsidP="00000CE8">
            <w:pPr>
              <w:spacing w:line="360" w:lineRule="auto"/>
              <w:jc w:val="both"/>
              <w:rPr>
                <w:rFonts w:cs="Times New Roman"/>
                <w:b/>
                <w:bCs/>
                <w:iCs/>
                <w:color w:val="000000"/>
                <w:lang w:val="en-US" w:eastAsia="en-US" w:bidi="ar-SA"/>
              </w:rPr>
            </w:pPr>
            <w:r w:rsidRPr="007B663B">
              <w:rPr>
                <w:rFonts w:cs="Times New Roman"/>
                <w:b/>
                <w:bCs/>
                <w:iCs/>
                <w:color w:val="000000"/>
                <w:sz w:val="22"/>
                <w:szCs w:val="22"/>
                <w:lang w:val="en-US" w:eastAsia="en-US" w:bidi="ar-SA"/>
              </w:rPr>
              <w:t>Period</w:t>
            </w:r>
          </w:p>
        </w:tc>
        <w:tc>
          <w:tcPr>
            <w:tcW w:w="1289" w:type="dxa"/>
            <w:tcBorders>
              <w:top w:val="single" w:sz="8" w:space="0" w:color="000000"/>
              <w:left w:val="nil"/>
              <w:bottom w:val="single" w:sz="8" w:space="0" w:color="000000"/>
              <w:right w:val="nil"/>
            </w:tcBorders>
          </w:tcPr>
          <w:p w:rsidR="00926DB2" w:rsidRPr="007B663B" w:rsidRDefault="00926DB2" w:rsidP="00000CE8">
            <w:pPr>
              <w:spacing w:line="360" w:lineRule="auto"/>
              <w:jc w:val="both"/>
              <w:rPr>
                <w:rFonts w:cs="Times New Roman"/>
                <w:b/>
                <w:bCs/>
                <w:i/>
                <w:iCs/>
                <w:color w:val="000000"/>
                <w:lang w:val="en-US" w:eastAsia="en-US" w:bidi="ar-SA"/>
              </w:rPr>
            </w:pPr>
            <w:r>
              <w:rPr>
                <w:rFonts w:cs="Times New Roman"/>
                <w:b/>
                <w:bCs/>
                <w:i/>
                <w:iCs/>
                <w:color w:val="000000"/>
                <w:sz w:val="22"/>
                <w:szCs w:val="22"/>
                <w:lang w:val="en-US" w:eastAsia="en-US" w:bidi="ar-SA"/>
              </w:rPr>
              <w:t xml:space="preserve">   </w:t>
            </w:r>
            <w:r w:rsidRPr="007B663B">
              <w:rPr>
                <w:rFonts w:cs="Times New Roman"/>
                <w:b/>
                <w:bCs/>
                <w:i/>
                <w:iCs/>
                <w:color w:val="000000"/>
                <w:sz w:val="22"/>
                <w:szCs w:val="22"/>
                <w:lang w:val="en-US" w:eastAsia="en-US" w:bidi="ar-SA"/>
              </w:rPr>
              <w:t xml:space="preserve">β </w:t>
            </w:r>
            <w:r w:rsidRPr="007B663B">
              <w:rPr>
                <w:rFonts w:cs="Times New Roman"/>
                <w:b/>
                <w:bCs/>
                <w:i/>
                <w:iCs/>
                <w:color w:val="000000"/>
                <w:sz w:val="20"/>
                <w:szCs w:val="20"/>
                <w:lang w:val="en-US" w:eastAsia="en-US" w:bidi="ar-SA"/>
              </w:rPr>
              <w:t>0</w:t>
            </w:r>
          </w:p>
        </w:tc>
        <w:tc>
          <w:tcPr>
            <w:tcW w:w="1289" w:type="dxa"/>
            <w:tcBorders>
              <w:top w:val="single" w:sz="8" w:space="0" w:color="000000"/>
              <w:left w:val="nil"/>
              <w:bottom w:val="single" w:sz="8" w:space="0" w:color="000000"/>
              <w:right w:val="nil"/>
            </w:tcBorders>
          </w:tcPr>
          <w:p w:rsidR="00926DB2" w:rsidRPr="007B663B" w:rsidRDefault="00926DB2" w:rsidP="00000CE8">
            <w:pPr>
              <w:spacing w:line="360" w:lineRule="auto"/>
              <w:jc w:val="both"/>
              <w:rPr>
                <w:rFonts w:cs="Times New Roman"/>
                <w:b/>
                <w:bCs/>
                <w:i/>
                <w:iCs/>
                <w:color w:val="000000"/>
                <w:sz w:val="20"/>
                <w:szCs w:val="20"/>
                <w:lang w:val="en-US" w:eastAsia="en-US" w:bidi="ar-SA"/>
              </w:rPr>
            </w:pPr>
            <w:r w:rsidRPr="007B663B">
              <w:rPr>
                <w:rFonts w:cs="Times New Roman"/>
                <w:b/>
                <w:bCs/>
                <w:i/>
                <w:iCs/>
                <w:color w:val="000000"/>
                <w:sz w:val="22"/>
                <w:szCs w:val="22"/>
                <w:lang w:val="en-US" w:eastAsia="en-US" w:bidi="ar-SA"/>
              </w:rPr>
              <w:t xml:space="preserve">β </w:t>
            </w:r>
            <w:r w:rsidRPr="007B663B">
              <w:rPr>
                <w:rFonts w:cs="Times New Roman"/>
                <w:b/>
                <w:bCs/>
                <w:i/>
                <w:iCs/>
                <w:color w:val="000000"/>
                <w:sz w:val="20"/>
                <w:szCs w:val="20"/>
                <w:lang w:val="en-US" w:eastAsia="en-US" w:bidi="ar-SA"/>
              </w:rPr>
              <w:t>1 (rd)</w:t>
            </w:r>
          </w:p>
        </w:tc>
        <w:tc>
          <w:tcPr>
            <w:tcW w:w="1276" w:type="dxa"/>
            <w:tcBorders>
              <w:top w:val="single" w:sz="8" w:space="0" w:color="000000"/>
              <w:left w:val="nil"/>
              <w:bottom w:val="single" w:sz="8" w:space="0" w:color="000000"/>
              <w:right w:val="nil"/>
            </w:tcBorders>
          </w:tcPr>
          <w:p w:rsidR="00926DB2" w:rsidRPr="007B663B" w:rsidRDefault="00926DB2" w:rsidP="00000CE8">
            <w:pPr>
              <w:spacing w:line="360" w:lineRule="auto"/>
              <w:jc w:val="both"/>
              <w:rPr>
                <w:rFonts w:cs="Times New Roman"/>
                <w:b/>
                <w:bCs/>
                <w:i/>
                <w:iCs/>
                <w:color w:val="000000"/>
                <w:sz w:val="20"/>
                <w:szCs w:val="20"/>
                <w:lang w:val="en-US" w:eastAsia="en-US" w:bidi="ar-SA"/>
              </w:rPr>
            </w:pPr>
            <w:r w:rsidRPr="007B663B">
              <w:rPr>
                <w:rFonts w:cs="Times New Roman"/>
                <w:b/>
                <w:bCs/>
                <w:i/>
                <w:iCs/>
                <w:color w:val="000000"/>
                <w:sz w:val="22"/>
                <w:szCs w:val="22"/>
                <w:lang w:val="en-US" w:eastAsia="en-US" w:bidi="ar-SA"/>
              </w:rPr>
              <w:t xml:space="preserve">β </w:t>
            </w:r>
            <w:r w:rsidRPr="007B663B">
              <w:rPr>
                <w:rFonts w:cs="Times New Roman"/>
                <w:b/>
                <w:bCs/>
                <w:i/>
                <w:iCs/>
                <w:color w:val="000000"/>
                <w:sz w:val="20"/>
                <w:szCs w:val="20"/>
                <w:lang w:val="en-US" w:eastAsia="en-US" w:bidi="ar-SA"/>
              </w:rPr>
              <w:t>2 (returns)</w:t>
            </w:r>
          </w:p>
        </w:tc>
        <w:tc>
          <w:tcPr>
            <w:tcW w:w="1467" w:type="dxa"/>
            <w:tcBorders>
              <w:top w:val="single" w:sz="8" w:space="0" w:color="000000"/>
              <w:left w:val="nil"/>
              <w:bottom w:val="single" w:sz="8" w:space="0" w:color="000000"/>
              <w:right w:val="nil"/>
            </w:tcBorders>
          </w:tcPr>
          <w:p w:rsidR="00926DB2" w:rsidRPr="007B663B" w:rsidRDefault="00926DB2" w:rsidP="00000CE8">
            <w:pPr>
              <w:spacing w:line="360" w:lineRule="auto"/>
              <w:jc w:val="both"/>
              <w:rPr>
                <w:rFonts w:cs="Times New Roman"/>
                <w:b/>
                <w:bCs/>
                <w:i/>
                <w:iCs/>
                <w:color w:val="000000"/>
                <w:lang w:val="en-US" w:eastAsia="en-US" w:bidi="ar-SA"/>
              </w:rPr>
            </w:pPr>
            <w:r w:rsidRPr="007B663B">
              <w:rPr>
                <w:rFonts w:cs="Times New Roman"/>
                <w:b/>
                <w:bCs/>
                <w:i/>
                <w:iCs/>
                <w:color w:val="000000"/>
                <w:sz w:val="22"/>
                <w:szCs w:val="22"/>
                <w:lang w:val="en-US" w:eastAsia="en-US" w:bidi="ar-SA"/>
              </w:rPr>
              <w:t>β</w:t>
            </w:r>
            <w:r w:rsidRPr="007B663B">
              <w:rPr>
                <w:rFonts w:cs="Times New Roman"/>
                <w:b/>
                <w:bCs/>
                <w:i/>
                <w:iCs/>
                <w:color w:val="000000"/>
                <w:sz w:val="20"/>
                <w:szCs w:val="20"/>
                <w:lang w:val="en-US" w:eastAsia="en-US" w:bidi="ar-SA"/>
              </w:rPr>
              <w:t>3(returns*rd)</w:t>
            </w:r>
          </w:p>
        </w:tc>
        <w:tc>
          <w:tcPr>
            <w:tcW w:w="1510" w:type="dxa"/>
            <w:gridSpan w:val="2"/>
            <w:tcBorders>
              <w:top w:val="single" w:sz="8" w:space="0" w:color="000000"/>
              <w:left w:val="nil"/>
              <w:bottom w:val="single" w:sz="8" w:space="0" w:color="000000"/>
              <w:right w:val="nil"/>
            </w:tcBorders>
          </w:tcPr>
          <w:p w:rsidR="00926DB2" w:rsidRPr="007B663B" w:rsidRDefault="00926DB2" w:rsidP="00000CE8">
            <w:pPr>
              <w:spacing w:line="360" w:lineRule="auto"/>
              <w:jc w:val="both"/>
              <w:rPr>
                <w:rFonts w:cs="Times New Roman"/>
                <w:b/>
                <w:bCs/>
                <w:i/>
                <w:iCs/>
                <w:color w:val="000000"/>
                <w:lang w:val="en-US" w:eastAsia="en-US" w:bidi="ar-SA"/>
              </w:rPr>
            </w:pPr>
            <w:r w:rsidRPr="007B663B">
              <w:rPr>
                <w:rFonts w:cs="Times New Roman"/>
                <w:b/>
                <w:bCs/>
                <w:i/>
                <w:iCs/>
                <w:color w:val="000000"/>
                <w:sz w:val="22"/>
                <w:szCs w:val="22"/>
                <w:lang w:val="en-US" w:eastAsia="en-US" w:bidi="ar-SA"/>
              </w:rPr>
              <w:t xml:space="preserve">( β </w:t>
            </w:r>
            <w:r w:rsidRPr="007B663B">
              <w:rPr>
                <w:rFonts w:cs="Times New Roman"/>
                <w:b/>
                <w:bCs/>
                <w:i/>
                <w:iCs/>
                <w:color w:val="000000"/>
                <w:sz w:val="20"/>
                <w:szCs w:val="20"/>
                <w:lang w:val="en-US" w:eastAsia="en-US" w:bidi="ar-SA"/>
              </w:rPr>
              <w:t>2+</w:t>
            </w:r>
            <w:r w:rsidRPr="007B663B">
              <w:rPr>
                <w:rFonts w:cs="Times New Roman"/>
                <w:b/>
                <w:bCs/>
                <w:i/>
                <w:iCs/>
                <w:color w:val="000000"/>
                <w:sz w:val="22"/>
                <w:szCs w:val="22"/>
                <w:lang w:val="en-US" w:eastAsia="en-US" w:bidi="ar-SA"/>
              </w:rPr>
              <w:t xml:space="preserve">β </w:t>
            </w:r>
            <w:r w:rsidRPr="007B663B">
              <w:rPr>
                <w:rFonts w:cs="Times New Roman"/>
                <w:b/>
                <w:bCs/>
                <w:i/>
                <w:iCs/>
                <w:color w:val="000000"/>
                <w:sz w:val="20"/>
                <w:szCs w:val="20"/>
                <w:lang w:val="en-US" w:eastAsia="en-US" w:bidi="ar-SA"/>
              </w:rPr>
              <w:t>3)/</w:t>
            </w:r>
            <w:r w:rsidRPr="007B663B">
              <w:rPr>
                <w:rFonts w:cs="Times New Roman"/>
                <w:b/>
                <w:bCs/>
                <w:i/>
                <w:iCs/>
                <w:color w:val="000000"/>
                <w:sz w:val="22"/>
                <w:szCs w:val="22"/>
                <w:lang w:val="en-US" w:eastAsia="en-US" w:bidi="ar-SA"/>
              </w:rPr>
              <w:t xml:space="preserve"> β </w:t>
            </w:r>
            <w:r w:rsidRPr="007B663B">
              <w:rPr>
                <w:rFonts w:cs="Times New Roman"/>
                <w:b/>
                <w:bCs/>
                <w:i/>
                <w:iCs/>
                <w:color w:val="000000"/>
                <w:sz w:val="20"/>
                <w:szCs w:val="20"/>
                <w:lang w:val="en-US" w:eastAsia="en-US" w:bidi="ar-SA"/>
              </w:rPr>
              <w:t>2</w:t>
            </w:r>
          </w:p>
        </w:tc>
        <w:tc>
          <w:tcPr>
            <w:tcW w:w="992" w:type="dxa"/>
            <w:tcBorders>
              <w:top w:val="single" w:sz="8" w:space="0" w:color="000000"/>
              <w:left w:val="nil"/>
              <w:bottom w:val="single" w:sz="8" w:space="0" w:color="000000"/>
              <w:right w:val="nil"/>
            </w:tcBorders>
          </w:tcPr>
          <w:p w:rsidR="00926DB2" w:rsidRPr="007B663B" w:rsidRDefault="00926DB2" w:rsidP="00000CE8">
            <w:pPr>
              <w:spacing w:line="360" w:lineRule="auto"/>
              <w:jc w:val="both"/>
              <w:rPr>
                <w:rFonts w:cs="Times New Roman"/>
                <w:b/>
                <w:bCs/>
                <w:i/>
                <w:iCs/>
                <w:color w:val="000000"/>
                <w:lang w:val="en-US" w:eastAsia="en-US" w:bidi="ar-SA"/>
              </w:rPr>
            </w:pPr>
            <w:r>
              <w:rPr>
                <w:rFonts w:cs="Times New Roman"/>
                <w:b/>
                <w:bCs/>
                <w:i/>
                <w:iCs/>
                <w:color w:val="000000"/>
                <w:sz w:val="22"/>
                <w:szCs w:val="22"/>
                <w:lang w:val="en-US" w:eastAsia="en-US" w:bidi="ar-SA"/>
              </w:rPr>
              <w:t xml:space="preserve">    </w:t>
            </w:r>
            <w:r w:rsidRPr="007B663B">
              <w:rPr>
                <w:rFonts w:cs="Times New Roman"/>
                <w:b/>
                <w:bCs/>
                <w:i/>
                <w:iCs/>
                <w:color w:val="000000"/>
                <w:sz w:val="22"/>
                <w:szCs w:val="22"/>
                <w:lang w:val="en-US" w:eastAsia="en-US" w:bidi="ar-SA"/>
              </w:rPr>
              <w:t>R2</w:t>
            </w:r>
          </w:p>
        </w:tc>
        <w:tc>
          <w:tcPr>
            <w:tcW w:w="992" w:type="dxa"/>
            <w:tcBorders>
              <w:top w:val="single" w:sz="8" w:space="0" w:color="000000"/>
              <w:left w:val="nil"/>
              <w:bottom w:val="single" w:sz="8" w:space="0" w:color="000000"/>
              <w:right w:val="nil"/>
            </w:tcBorders>
          </w:tcPr>
          <w:p w:rsidR="00926DB2" w:rsidRPr="007B663B" w:rsidRDefault="00926DB2" w:rsidP="00000CE8">
            <w:pPr>
              <w:spacing w:line="360" w:lineRule="auto"/>
              <w:jc w:val="both"/>
              <w:rPr>
                <w:rFonts w:cs="Times New Roman"/>
                <w:b/>
                <w:bCs/>
                <w:i/>
                <w:iCs/>
                <w:color w:val="000000"/>
                <w:lang w:val="en-US" w:eastAsia="en-US" w:bidi="ar-SA"/>
              </w:rPr>
            </w:pPr>
            <w:r w:rsidRPr="007B663B">
              <w:rPr>
                <w:rFonts w:cs="Times New Roman"/>
                <w:b/>
                <w:bCs/>
                <w:i/>
                <w:iCs/>
                <w:color w:val="000000"/>
                <w:sz w:val="22"/>
                <w:szCs w:val="22"/>
                <w:lang w:val="en-US" w:eastAsia="en-US" w:bidi="ar-SA"/>
              </w:rPr>
              <w:t>Adj. R2</w:t>
            </w:r>
          </w:p>
        </w:tc>
        <w:tc>
          <w:tcPr>
            <w:tcW w:w="851" w:type="dxa"/>
            <w:tcBorders>
              <w:top w:val="single" w:sz="8" w:space="0" w:color="000000"/>
              <w:left w:val="nil"/>
              <w:bottom w:val="single" w:sz="8" w:space="0" w:color="000000"/>
              <w:right w:val="nil"/>
            </w:tcBorders>
          </w:tcPr>
          <w:p w:rsidR="00926DB2" w:rsidRPr="007B663B" w:rsidRDefault="00926DB2" w:rsidP="00000CE8">
            <w:pPr>
              <w:spacing w:line="360" w:lineRule="auto"/>
              <w:jc w:val="both"/>
              <w:rPr>
                <w:rFonts w:cs="Times New Roman"/>
                <w:b/>
                <w:bCs/>
                <w:i/>
                <w:iCs/>
                <w:color w:val="000000"/>
                <w:lang w:val="en-US" w:eastAsia="en-US" w:bidi="ar-SA"/>
              </w:rPr>
            </w:pPr>
            <w:r>
              <w:rPr>
                <w:rFonts w:cs="Times New Roman"/>
                <w:b/>
                <w:bCs/>
                <w:i/>
                <w:iCs/>
                <w:color w:val="000000"/>
                <w:sz w:val="22"/>
                <w:szCs w:val="22"/>
                <w:lang w:val="en-US" w:eastAsia="en-US" w:bidi="ar-SA"/>
              </w:rPr>
              <w:t xml:space="preserve">  </w:t>
            </w:r>
            <w:r w:rsidRPr="007B663B">
              <w:rPr>
                <w:rFonts w:cs="Times New Roman"/>
                <w:b/>
                <w:bCs/>
                <w:i/>
                <w:iCs/>
                <w:color w:val="000000"/>
                <w:sz w:val="22"/>
                <w:szCs w:val="22"/>
                <w:lang w:val="en-US" w:eastAsia="en-US" w:bidi="ar-SA"/>
              </w:rPr>
              <w:t>N</w:t>
            </w:r>
          </w:p>
        </w:tc>
      </w:tr>
      <w:tr w:rsidR="00926DB2" w:rsidRPr="005D57C7" w:rsidTr="009A14C5">
        <w:tc>
          <w:tcPr>
            <w:tcW w:w="1087" w:type="dxa"/>
            <w:tcBorders>
              <w:left w:val="nil"/>
              <w:right w:val="nil"/>
            </w:tcBorders>
            <w:shd w:val="clear" w:color="auto" w:fill="C0C0C0"/>
          </w:tcPr>
          <w:p w:rsidR="00926DB2" w:rsidRPr="007B663B" w:rsidRDefault="00926DB2" w:rsidP="00000CE8">
            <w:pPr>
              <w:spacing w:line="360" w:lineRule="auto"/>
              <w:jc w:val="both"/>
              <w:rPr>
                <w:rFonts w:cs="Times New Roman"/>
                <w:b/>
                <w:bCs/>
                <w:i/>
                <w:iCs/>
                <w:color w:val="000000"/>
                <w:lang w:val="en-US" w:eastAsia="en-US" w:bidi="ar-SA"/>
              </w:rPr>
            </w:pPr>
            <w:r w:rsidRPr="007B663B">
              <w:rPr>
                <w:rFonts w:cs="Times New Roman"/>
                <w:b/>
                <w:bCs/>
                <w:i/>
                <w:iCs/>
                <w:color w:val="000000"/>
                <w:sz w:val="22"/>
                <w:szCs w:val="22"/>
                <w:lang w:val="en-US" w:eastAsia="en-US" w:bidi="ar-SA"/>
              </w:rPr>
              <w:t>Good Banks</w:t>
            </w:r>
          </w:p>
        </w:tc>
        <w:tc>
          <w:tcPr>
            <w:tcW w:w="1289" w:type="dxa"/>
            <w:tcBorders>
              <w:left w:val="nil"/>
              <w:right w:val="nil"/>
            </w:tcBorders>
            <w:shd w:val="clear" w:color="auto" w:fill="C0C0C0"/>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0.1758***</w:t>
            </w:r>
          </w:p>
        </w:tc>
        <w:tc>
          <w:tcPr>
            <w:tcW w:w="1289" w:type="dxa"/>
            <w:tcBorders>
              <w:left w:val="nil"/>
              <w:right w:val="nil"/>
            </w:tcBorders>
            <w:shd w:val="clear" w:color="auto" w:fill="C0C0C0"/>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0.503**</w:t>
            </w:r>
          </w:p>
        </w:tc>
        <w:tc>
          <w:tcPr>
            <w:tcW w:w="1276" w:type="dxa"/>
            <w:tcBorders>
              <w:left w:val="nil"/>
              <w:right w:val="nil"/>
            </w:tcBorders>
            <w:shd w:val="clear" w:color="auto" w:fill="C0C0C0"/>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0.1101**</w:t>
            </w:r>
          </w:p>
        </w:tc>
        <w:tc>
          <w:tcPr>
            <w:tcW w:w="1701" w:type="dxa"/>
            <w:gridSpan w:val="2"/>
            <w:tcBorders>
              <w:left w:val="nil"/>
              <w:right w:val="nil"/>
            </w:tcBorders>
            <w:shd w:val="clear" w:color="auto" w:fill="C0C0C0"/>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0.4892*</w:t>
            </w:r>
          </w:p>
        </w:tc>
        <w:tc>
          <w:tcPr>
            <w:tcW w:w="1276" w:type="dxa"/>
            <w:tcBorders>
              <w:left w:val="nil"/>
              <w:right w:val="nil"/>
            </w:tcBorders>
            <w:shd w:val="clear" w:color="auto" w:fill="C0C0C0"/>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5.44</w:t>
            </w:r>
          </w:p>
        </w:tc>
        <w:tc>
          <w:tcPr>
            <w:tcW w:w="992" w:type="dxa"/>
            <w:tcBorders>
              <w:left w:val="nil"/>
              <w:right w:val="nil"/>
            </w:tcBorders>
            <w:shd w:val="clear" w:color="auto" w:fill="C0C0C0"/>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0.0586</w:t>
            </w:r>
          </w:p>
        </w:tc>
        <w:tc>
          <w:tcPr>
            <w:tcW w:w="992" w:type="dxa"/>
            <w:tcBorders>
              <w:left w:val="nil"/>
              <w:right w:val="nil"/>
            </w:tcBorders>
            <w:shd w:val="clear" w:color="auto" w:fill="C0C0C0"/>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0.0539</w:t>
            </w:r>
          </w:p>
        </w:tc>
        <w:tc>
          <w:tcPr>
            <w:tcW w:w="851" w:type="dxa"/>
            <w:tcBorders>
              <w:left w:val="nil"/>
              <w:right w:val="nil"/>
            </w:tcBorders>
            <w:shd w:val="clear" w:color="auto" w:fill="C0C0C0"/>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606</w:t>
            </w:r>
          </w:p>
        </w:tc>
      </w:tr>
      <w:tr w:rsidR="00926DB2" w:rsidRPr="005D57C7" w:rsidTr="009A14C5">
        <w:trPr>
          <w:trHeight w:val="938"/>
        </w:trPr>
        <w:tc>
          <w:tcPr>
            <w:tcW w:w="1087" w:type="dxa"/>
            <w:tcBorders>
              <w:bottom w:val="single" w:sz="8" w:space="0" w:color="000000"/>
            </w:tcBorders>
          </w:tcPr>
          <w:p w:rsidR="00926DB2" w:rsidRPr="007B663B" w:rsidRDefault="00926DB2" w:rsidP="00000CE8">
            <w:pPr>
              <w:spacing w:line="360" w:lineRule="auto"/>
              <w:jc w:val="both"/>
              <w:rPr>
                <w:rFonts w:cs="Times New Roman"/>
                <w:b/>
                <w:bCs/>
                <w:i/>
                <w:iCs/>
                <w:color w:val="000000"/>
                <w:lang w:val="en-US" w:eastAsia="en-US" w:bidi="ar-SA"/>
              </w:rPr>
            </w:pPr>
            <w:r w:rsidRPr="007B663B">
              <w:rPr>
                <w:rFonts w:cs="Times New Roman"/>
                <w:b/>
                <w:bCs/>
                <w:i/>
                <w:iCs/>
                <w:color w:val="000000"/>
                <w:sz w:val="22"/>
                <w:szCs w:val="22"/>
                <w:lang w:val="en-US" w:eastAsia="en-US" w:bidi="ar-SA"/>
              </w:rPr>
              <w:t xml:space="preserve">Bad          </w:t>
            </w:r>
          </w:p>
          <w:p w:rsidR="00926DB2" w:rsidRPr="007B663B" w:rsidRDefault="00926DB2" w:rsidP="00000CE8">
            <w:pPr>
              <w:jc w:val="both"/>
              <w:rPr>
                <w:rFonts w:cs="Times New Roman"/>
                <w:b/>
                <w:bCs/>
                <w:i/>
                <w:color w:val="000000"/>
                <w:lang w:val="en-US" w:eastAsia="en-US" w:bidi="ar-SA"/>
              </w:rPr>
            </w:pPr>
            <w:r w:rsidRPr="007B663B">
              <w:rPr>
                <w:rFonts w:cs="Times New Roman"/>
                <w:b/>
                <w:bCs/>
                <w:i/>
                <w:color w:val="000000"/>
                <w:sz w:val="22"/>
                <w:szCs w:val="22"/>
                <w:lang w:val="en-US" w:eastAsia="en-US" w:bidi="ar-SA"/>
              </w:rPr>
              <w:t>Banks</w:t>
            </w:r>
          </w:p>
        </w:tc>
        <w:tc>
          <w:tcPr>
            <w:tcW w:w="1289" w:type="dxa"/>
            <w:tcBorders>
              <w:bottom w:val="single" w:sz="8" w:space="0" w:color="000000"/>
            </w:tcBorders>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0.1935***</w:t>
            </w:r>
          </w:p>
        </w:tc>
        <w:tc>
          <w:tcPr>
            <w:tcW w:w="1289" w:type="dxa"/>
            <w:tcBorders>
              <w:bottom w:val="single" w:sz="8" w:space="0" w:color="000000"/>
            </w:tcBorders>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0.2187</w:t>
            </w:r>
          </w:p>
        </w:tc>
        <w:tc>
          <w:tcPr>
            <w:tcW w:w="1276" w:type="dxa"/>
            <w:tcBorders>
              <w:bottom w:val="single" w:sz="8" w:space="0" w:color="000000"/>
            </w:tcBorders>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0.1220***</w:t>
            </w:r>
          </w:p>
        </w:tc>
        <w:tc>
          <w:tcPr>
            <w:tcW w:w="1701" w:type="dxa"/>
            <w:gridSpan w:val="2"/>
            <w:tcBorders>
              <w:bottom w:val="single" w:sz="8" w:space="0" w:color="000000"/>
            </w:tcBorders>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-0.1108</w:t>
            </w:r>
          </w:p>
        </w:tc>
        <w:tc>
          <w:tcPr>
            <w:tcW w:w="1276" w:type="dxa"/>
            <w:tcBorders>
              <w:bottom w:val="single" w:sz="8" w:space="0" w:color="000000"/>
            </w:tcBorders>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0.09</w:t>
            </w:r>
          </w:p>
        </w:tc>
        <w:tc>
          <w:tcPr>
            <w:tcW w:w="992" w:type="dxa"/>
            <w:tcBorders>
              <w:bottom w:val="single" w:sz="8" w:space="0" w:color="000000"/>
            </w:tcBorders>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0.0624</w:t>
            </w:r>
          </w:p>
        </w:tc>
        <w:tc>
          <w:tcPr>
            <w:tcW w:w="992" w:type="dxa"/>
            <w:tcBorders>
              <w:bottom w:val="single" w:sz="8" w:space="0" w:color="000000"/>
            </w:tcBorders>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0.0579</w:t>
            </w:r>
          </w:p>
        </w:tc>
        <w:tc>
          <w:tcPr>
            <w:tcW w:w="851" w:type="dxa"/>
            <w:tcBorders>
              <w:bottom w:val="single" w:sz="8" w:space="0" w:color="000000"/>
            </w:tcBorders>
          </w:tcPr>
          <w:p w:rsidR="00926DB2" w:rsidRPr="007B663B" w:rsidRDefault="00926DB2" w:rsidP="00000CE8">
            <w:pPr>
              <w:spacing w:line="360" w:lineRule="auto"/>
              <w:jc w:val="both"/>
              <w:rPr>
                <w:rFonts w:cs="Times New Roman"/>
                <w:i/>
                <w:iCs/>
                <w:color w:val="000000"/>
                <w:lang w:val="en-US" w:eastAsia="en-US" w:bidi="ar-SA"/>
              </w:rPr>
            </w:pPr>
            <w:r w:rsidRPr="007B663B">
              <w:rPr>
                <w:rFonts w:cs="Times New Roman"/>
                <w:i/>
                <w:iCs/>
                <w:color w:val="000000"/>
                <w:sz w:val="22"/>
                <w:szCs w:val="22"/>
                <w:lang w:val="en-US" w:eastAsia="en-US" w:bidi="ar-SA"/>
              </w:rPr>
              <w:t>629</w:t>
            </w:r>
          </w:p>
        </w:tc>
      </w:tr>
    </w:tbl>
    <w:p w:rsidR="00926DB2" w:rsidRPr="00A93888" w:rsidRDefault="00926DB2" w:rsidP="00046654">
      <w:pPr>
        <w:spacing w:line="360" w:lineRule="auto"/>
        <w:jc w:val="both"/>
        <w:rPr>
          <w:rFonts w:cs="Times New Roman"/>
          <w:i/>
          <w:iCs/>
          <w:highlight w:val="cyan"/>
          <w:lang w:val="en-US" w:eastAsia="nl-NL" w:bidi="ar-SA"/>
        </w:rPr>
      </w:pPr>
    </w:p>
    <w:p w:rsidR="00926DB2" w:rsidRPr="00A060A8" w:rsidRDefault="00926DB2" w:rsidP="00046654">
      <w:pPr>
        <w:spacing w:line="360" w:lineRule="auto"/>
        <w:jc w:val="both"/>
        <w:rPr>
          <w:rFonts w:cs="Times New Roman"/>
          <w:i/>
          <w:iCs/>
          <w:sz w:val="20"/>
          <w:szCs w:val="20"/>
          <w:lang w:val="en-US" w:eastAsia="en-US" w:bidi="ar-SA"/>
        </w:rPr>
      </w:pPr>
      <w:r w:rsidRPr="00A060A8">
        <w:rPr>
          <w:rFonts w:cs="Times New Roman"/>
          <w:i/>
          <w:iCs/>
          <w:sz w:val="20"/>
          <w:szCs w:val="20"/>
          <w:lang w:val="en-US" w:eastAsia="en-US" w:bidi="ar-SA"/>
        </w:rPr>
        <w:lastRenderedPageBreak/>
        <w:t>*significant at 10% confidence level</w:t>
      </w:r>
    </w:p>
    <w:p w:rsidR="00926DB2" w:rsidRPr="00A060A8" w:rsidRDefault="00926DB2" w:rsidP="00046654">
      <w:pPr>
        <w:spacing w:line="360" w:lineRule="auto"/>
        <w:jc w:val="both"/>
        <w:rPr>
          <w:rFonts w:cs="Times New Roman"/>
          <w:i/>
          <w:iCs/>
          <w:sz w:val="20"/>
          <w:szCs w:val="20"/>
          <w:lang w:val="en-US" w:eastAsia="en-US" w:bidi="ar-SA"/>
        </w:rPr>
      </w:pPr>
      <w:r w:rsidRPr="00A060A8">
        <w:rPr>
          <w:rFonts w:cs="Times New Roman"/>
          <w:i/>
          <w:iCs/>
          <w:sz w:val="20"/>
          <w:szCs w:val="20"/>
          <w:lang w:val="en-US" w:eastAsia="en-US" w:bidi="ar-SA"/>
        </w:rPr>
        <w:t>** Significant at 5% confidence level</w:t>
      </w:r>
    </w:p>
    <w:p w:rsidR="00926DB2" w:rsidRDefault="00926DB2" w:rsidP="00046654">
      <w:pPr>
        <w:spacing w:line="360" w:lineRule="auto"/>
        <w:jc w:val="both"/>
        <w:rPr>
          <w:rFonts w:cs="Times New Roman"/>
          <w:i/>
          <w:iCs/>
          <w:sz w:val="20"/>
          <w:szCs w:val="20"/>
          <w:lang w:val="en-US" w:eastAsia="en-US" w:bidi="ar-SA"/>
        </w:rPr>
      </w:pPr>
      <w:r w:rsidRPr="00A060A8">
        <w:rPr>
          <w:rFonts w:cs="Times New Roman"/>
          <w:i/>
          <w:iCs/>
          <w:sz w:val="20"/>
          <w:szCs w:val="20"/>
          <w:lang w:val="en-US" w:eastAsia="en-US" w:bidi="ar-SA"/>
        </w:rPr>
        <w:t>*** Significant at 1% confidence level</w:t>
      </w:r>
    </w:p>
    <w:p w:rsidR="00926DB2" w:rsidRPr="003C3CE6" w:rsidRDefault="00926DB2" w:rsidP="00046654">
      <w:pPr>
        <w:spacing w:line="360" w:lineRule="auto"/>
        <w:jc w:val="both"/>
        <w:rPr>
          <w:rFonts w:cs="Times New Roman"/>
          <w:i/>
          <w:iCs/>
          <w:sz w:val="20"/>
          <w:szCs w:val="20"/>
          <w:lang w:val="en-US" w:eastAsia="en-US" w:bidi="ar-SA"/>
        </w:rPr>
      </w:pPr>
    </w:p>
    <w:p w:rsidR="00926DB2" w:rsidRPr="00DA2FEA" w:rsidRDefault="00926DB2" w:rsidP="00DA2FEA">
      <w:pPr>
        <w:autoSpaceDE w:val="0"/>
        <w:autoSpaceDN w:val="0"/>
        <w:adjustRightInd w:val="0"/>
        <w:spacing w:line="360" w:lineRule="auto"/>
        <w:jc w:val="both"/>
        <w:rPr>
          <w:rFonts w:cs="Times New Roman"/>
          <w:bCs/>
          <w:iCs/>
          <w:color w:val="000000"/>
          <w:lang w:val="en-US" w:eastAsia="en-US" w:bidi="ar-SA"/>
        </w:rPr>
      </w:pPr>
      <w:r>
        <w:rPr>
          <w:rFonts w:cs="Times New Roman"/>
          <w:lang w:val="en-US" w:eastAsia="en-US" w:bidi="ar-SA"/>
        </w:rPr>
        <w:t xml:space="preserve">Table 15 shows the results of the two Basu-regression models for both good banks and bad banks. </w:t>
      </w:r>
      <w:r w:rsidRPr="003C3CE6">
        <w:rPr>
          <w:rFonts w:cs="Times New Roman"/>
          <w:lang w:val="en-US" w:eastAsia="en-US" w:bidi="ar-SA"/>
        </w:rPr>
        <w:t xml:space="preserve">The </w:t>
      </w:r>
      <w:r w:rsidRPr="003C3CE6">
        <w:rPr>
          <w:rFonts w:cs="Times New Roman"/>
          <w:bCs/>
          <w:iCs/>
          <w:color w:val="000000"/>
          <w:lang w:val="en-US" w:eastAsia="en-US" w:bidi="ar-SA"/>
        </w:rPr>
        <w:t xml:space="preserve">β3 </w:t>
      </w:r>
      <w:r>
        <w:rPr>
          <w:rFonts w:cs="Times New Roman"/>
          <w:bCs/>
          <w:iCs/>
          <w:color w:val="000000"/>
          <w:lang w:val="en-US" w:eastAsia="en-US" w:bidi="ar-SA"/>
        </w:rPr>
        <w:t xml:space="preserve">coefficient is positive and significant for the good banks regression, this implicates that the ‘good’ banks are conservative (hence only at the 10% level). The banks that performed well during the crisis period were conservative in the pre-crisis period. The </w:t>
      </w:r>
      <w:r w:rsidRPr="003C3CE6">
        <w:rPr>
          <w:rFonts w:cs="Times New Roman"/>
          <w:bCs/>
          <w:iCs/>
          <w:color w:val="000000"/>
          <w:lang w:val="en-US" w:eastAsia="en-US" w:bidi="ar-SA"/>
        </w:rPr>
        <w:t xml:space="preserve">β3 </w:t>
      </w:r>
      <w:r>
        <w:rPr>
          <w:rFonts w:cs="Times New Roman"/>
          <w:bCs/>
          <w:iCs/>
          <w:color w:val="000000"/>
          <w:lang w:val="en-US" w:eastAsia="en-US" w:bidi="ar-SA"/>
        </w:rPr>
        <w:t>coefficient of the bad banks regression is negative and not significant implicating that the bad performing banks were not conservative during the pre-crisis period. This result is as expected hence conservative accounting in the pre-crisis period helps diminishing the financial discomforts in crisis periods. Earnings are 5,44 times more sensitive for bad news as they are for good news for the good banks sample. For bad banks this is only 0.09. The adjusted R2 of the good banks sample is lower th</w:t>
      </w:r>
      <w:r w:rsidR="00200496">
        <w:rPr>
          <w:rFonts w:cs="Times New Roman"/>
          <w:bCs/>
          <w:iCs/>
          <w:color w:val="000000"/>
          <w:lang w:val="en-US" w:eastAsia="en-US" w:bidi="ar-SA"/>
        </w:rPr>
        <w:t>an of the bad banks sample (5,79% &gt; 5,39</w:t>
      </w:r>
      <w:r>
        <w:rPr>
          <w:rFonts w:cs="Times New Roman"/>
          <w:bCs/>
          <w:iCs/>
          <w:color w:val="000000"/>
          <w:lang w:val="en-US" w:eastAsia="en-US" w:bidi="ar-SA"/>
        </w:rPr>
        <w:t xml:space="preserve">%) implicating that bad performing banks are timelier in incorporating bad news than good performing banks. These </w:t>
      </w:r>
      <w:r w:rsidR="00200496">
        <w:rPr>
          <w:rFonts w:cs="Times New Roman"/>
          <w:bCs/>
          <w:iCs/>
          <w:color w:val="000000"/>
          <w:lang w:val="en-US" w:eastAsia="en-US" w:bidi="ar-SA"/>
        </w:rPr>
        <w:t xml:space="preserve">results are consistent with prior </w:t>
      </w:r>
      <w:r>
        <w:rPr>
          <w:rFonts w:cs="Times New Roman"/>
          <w:bCs/>
          <w:iCs/>
          <w:color w:val="000000"/>
          <w:lang w:val="en-US" w:eastAsia="en-US" w:bidi="ar-SA"/>
        </w:rPr>
        <w:t xml:space="preserve">theory of this research. Although the relationship is only significant at the 10 percent confidence level. </w:t>
      </w:r>
    </w:p>
    <w:p w:rsidR="00926DB2" w:rsidRPr="00DA2FEA" w:rsidRDefault="00926DB2" w:rsidP="00DA2FEA">
      <w:pPr>
        <w:pStyle w:val="Kop2"/>
        <w:jc w:val="both"/>
        <w:rPr>
          <w:rFonts w:ascii="Times New Roman" w:hAnsi="Times New Roman" w:cs="Times New Roman"/>
          <w:i w:val="0"/>
          <w:iCs w:val="0"/>
          <w:color w:val="000000"/>
          <w:sz w:val="24"/>
          <w:szCs w:val="24"/>
          <w:lang w:val="en-US" w:eastAsia="en-US" w:bidi="ar-SA"/>
        </w:rPr>
      </w:pPr>
      <w:bookmarkStart w:id="200" w:name="_Toc268186083"/>
      <w:r w:rsidRPr="00DA2FEA">
        <w:rPr>
          <w:rFonts w:ascii="Times New Roman" w:hAnsi="Times New Roman" w:cs="Times New Roman"/>
          <w:i w:val="0"/>
          <w:iCs w:val="0"/>
          <w:color w:val="000000"/>
          <w:sz w:val="24"/>
          <w:szCs w:val="24"/>
          <w:lang w:val="en-US" w:eastAsia="en-US" w:bidi="ar-SA"/>
        </w:rPr>
        <w:t>6.2 Summary</w:t>
      </w:r>
      <w:bookmarkEnd w:id="200"/>
    </w:p>
    <w:p w:rsidR="00926DB2" w:rsidRDefault="00926DB2" w:rsidP="00046654">
      <w:pPr>
        <w:autoSpaceDE w:val="0"/>
        <w:autoSpaceDN w:val="0"/>
        <w:adjustRightInd w:val="0"/>
        <w:spacing w:line="360" w:lineRule="auto"/>
        <w:jc w:val="both"/>
        <w:rPr>
          <w:rFonts w:cs="Times New Roman"/>
          <w:b/>
          <w:bCs/>
          <w:iCs/>
          <w:color w:val="000000"/>
          <w:lang w:val="en-US" w:eastAsia="en-US" w:bidi="ar-SA"/>
        </w:rPr>
      </w:pPr>
    </w:p>
    <w:p w:rsidR="00926DB2" w:rsidRDefault="00926DB2" w:rsidP="00611413">
      <w:pPr>
        <w:spacing w:line="360" w:lineRule="auto"/>
        <w:jc w:val="both"/>
        <w:rPr>
          <w:lang w:val="en-US" w:eastAsia="ar-SA" w:bidi="ar-SA"/>
        </w:rPr>
      </w:pPr>
      <w:r>
        <w:rPr>
          <w:rFonts w:cs="Times New Roman"/>
          <w:bCs/>
          <w:iCs/>
          <w:color w:val="000000"/>
          <w:lang w:val="en-US" w:eastAsia="en-US" w:bidi="ar-SA"/>
        </w:rPr>
        <w:t xml:space="preserve">The results of the analyses provide evidence in support of the hypotheses. First the results indicate that conditional conservatism occurs during the full sample period. This implies that the West-European banks were conservative in the period 1997-2009. Next, the results indicate that the degree of conservatism in the pre-crisis period (1997-2006) was high. Subsequently there is evidence that in the crisis period there are no significant signs of conservatism. This is in line with the theory of this research and the assumptions that I made.  Hence I assumed (in the previous literature sections) </w:t>
      </w:r>
      <w:r>
        <w:rPr>
          <w:lang w:val="en-US" w:eastAsia="ar-SA" w:bidi="ar-SA"/>
        </w:rPr>
        <w:t>that in the pre-crisis period (period with relative good performance of banks) the degree of co</w:t>
      </w:r>
      <w:r w:rsidR="00200496">
        <w:rPr>
          <w:lang w:val="en-US" w:eastAsia="ar-SA" w:bidi="ar-SA"/>
        </w:rPr>
        <w:t>nservatism will be higher than in</w:t>
      </w:r>
      <w:r>
        <w:rPr>
          <w:lang w:val="en-US" w:eastAsia="ar-SA" w:bidi="ar-SA"/>
        </w:rPr>
        <w:t xml:space="preserve"> the crisis period (period with relative bad performance of banks).</w:t>
      </w:r>
    </w:p>
    <w:p w:rsidR="00926DB2" w:rsidRDefault="00926DB2" w:rsidP="00046654">
      <w:pPr>
        <w:autoSpaceDE w:val="0"/>
        <w:autoSpaceDN w:val="0"/>
        <w:adjustRightInd w:val="0"/>
        <w:spacing w:line="360" w:lineRule="auto"/>
        <w:jc w:val="both"/>
        <w:rPr>
          <w:rFonts w:cs="Times New Roman"/>
          <w:bCs/>
          <w:iCs/>
          <w:color w:val="000000"/>
          <w:lang w:val="en-US" w:eastAsia="en-US" w:bidi="ar-SA"/>
        </w:rPr>
      </w:pPr>
    </w:p>
    <w:p w:rsidR="00926DB2" w:rsidRDefault="00926DB2" w:rsidP="00046654">
      <w:pPr>
        <w:autoSpaceDE w:val="0"/>
        <w:autoSpaceDN w:val="0"/>
        <w:adjustRightInd w:val="0"/>
        <w:spacing w:line="360" w:lineRule="auto"/>
        <w:jc w:val="both"/>
        <w:rPr>
          <w:rFonts w:cs="Times New Roman"/>
          <w:bCs/>
          <w:iCs/>
          <w:color w:val="000000"/>
          <w:lang w:val="en-US" w:eastAsia="en-US" w:bidi="ar-SA"/>
        </w:rPr>
      </w:pPr>
      <w:r>
        <w:rPr>
          <w:rFonts w:cs="Times New Roman"/>
          <w:bCs/>
          <w:iCs/>
          <w:color w:val="000000"/>
          <w:lang w:val="en-US" w:eastAsia="en-US" w:bidi="ar-SA"/>
        </w:rPr>
        <w:t xml:space="preserve">Finally the results of the bad banks and good banks regression show that the banks with significant good results during the crisis period were conservative during the pre-crisis period. This result was predicted throughout the thesis hence the assumption was made that there is a positive link between conservative accounting and bank performance. The results of the bad banks regression show that there is no link between bad performance and conservative </w:t>
      </w:r>
      <w:r>
        <w:rPr>
          <w:rFonts w:cs="Times New Roman"/>
          <w:bCs/>
          <w:iCs/>
          <w:color w:val="000000"/>
          <w:lang w:val="en-US" w:eastAsia="en-US" w:bidi="ar-SA"/>
        </w:rPr>
        <w:lastRenderedPageBreak/>
        <w:t xml:space="preserve">accounting; hence the banks that performed bad during the crisis period were not conservative in the pre-crisis period. </w:t>
      </w:r>
    </w:p>
    <w:p w:rsidR="00926DB2" w:rsidRPr="005D299C" w:rsidRDefault="00926DB2" w:rsidP="00046654">
      <w:pPr>
        <w:autoSpaceDE w:val="0"/>
        <w:autoSpaceDN w:val="0"/>
        <w:adjustRightInd w:val="0"/>
        <w:spacing w:line="360" w:lineRule="auto"/>
        <w:jc w:val="both"/>
        <w:rPr>
          <w:rFonts w:cs="Times New Roman"/>
          <w:bCs/>
          <w:iCs/>
          <w:color w:val="000000"/>
          <w:lang w:val="en-US" w:eastAsia="en-US" w:bidi="ar-SA"/>
        </w:rPr>
      </w:pPr>
    </w:p>
    <w:p w:rsidR="00926DB2" w:rsidRDefault="00926DB2" w:rsidP="00046654">
      <w:pPr>
        <w:autoSpaceDE w:val="0"/>
        <w:autoSpaceDN w:val="0"/>
        <w:adjustRightInd w:val="0"/>
        <w:spacing w:line="360" w:lineRule="auto"/>
        <w:jc w:val="both"/>
        <w:rPr>
          <w:rFonts w:cs="Times New Roman"/>
          <w:b/>
          <w:bCs/>
          <w:iCs/>
          <w:color w:val="000000"/>
          <w:lang w:val="en-US" w:eastAsia="en-US" w:bidi="ar-SA"/>
        </w:rPr>
      </w:pPr>
    </w:p>
    <w:p w:rsidR="00926DB2" w:rsidRDefault="00926DB2" w:rsidP="00046654">
      <w:pPr>
        <w:autoSpaceDE w:val="0"/>
        <w:autoSpaceDN w:val="0"/>
        <w:adjustRightInd w:val="0"/>
        <w:spacing w:line="360" w:lineRule="auto"/>
        <w:jc w:val="both"/>
        <w:rPr>
          <w:rFonts w:cs="Times New Roman"/>
          <w:b/>
          <w:bCs/>
          <w:iCs/>
          <w:color w:val="000000"/>
          <w:lang w:val="en-US" w:eastAsia="en-US" w:bidi="ar-SA"/>
        </w:rPr>
      </w:pPr>
    </w:p>
    <w:p w:rsidR="00926DB2" w:rsidRDefault="00926DB2" w:rsidP="00046654">
      <w:pPr>
        <w:autoSpaceDE w:val="0"/>
        <w:autoSpaceDN w:val="0"/>
        <w:adjustRightInd w:val="0"/>
        <w:spacing w:line="360" w:lineRule="auto"/>
        <w:jc w:val="both"/>
        <w:rPr>
          <w:rFonts w:cs="Times New Roman"/>
          <w:b/>
          <w:lang w:val="en-US" w:eastAsia="en-US" w:bidi="ar-SA"/>
        </w:rPr>
      </w:pPr>
    </w:p>
    <w:p w:rsidR="00926DB2" w:rsidRDefault="00926DB2" w:rsidP="00046654">
      <w:pPr>
        <w:autoSpaceDE w:val="0"/>
        <w:autoSpaceDN w:val="0"/>
        <w:adjustRightInd w:val="0"/>
        <w:spacing w:line="360" w:lineRule="auto"/>
        <w:jc w:val="both"/>
        <w:rPr>
          <w:rFonts w:cs="Times New Roman"/>
          <w:b/>
          <w:lang w:val="en-US" w:eastAsia="en-US" w:bidi="ar-SA"/>
        </w:rPr>
      </w:pPr>
    </w:p>
    <w:p w:rsidR="00926DB2" w:rsidRDefault="00926DB2" w:rsidP="00046654">
      <w:pPr>
        <w:autoSpaceDE w:val="0"/>
        <w:autoSpaceDN w:val="0"/>
        <w:adjustRightInd w:val="0"/>
        <w:spacing w:line="360" w:lineRule="auto"/>
        <w:jc w:val="both"/>
        <w:rPr>
          <w:rFonts w:cs="Times New Roman"/>
          <w:b/>
          <w:lang w:val="en-US" w:eastAsia="en-US" w:bidi="ar-SA"/>
        </w:rPr>
      </w:pPr>
    </w:p>
    <w:p w:rsidR="00926DB2" w:rsidRDefault="00926DB2" w:rsidP="00046654">
      <w:pPr>
        <w:autoSpaceDE w:val="0"/>
        <w:autoSpaceDN w:val="0"/>
        <w:adjustRightInd w:val="0"/>
        <w:spacing w:line="360" w:lineRule="auto"/>
        <w:jc w:val="both"/>
        <w:rPr>
          <w:rFonts w:cs="Times New Roman"/>
          <w:b/>
          <w:lang w:val="en-US" w:eastAsia="en-US" w:bidi="ar-SA"/>
        </w:rPr>
      </w:pPr>
    </w:p>
    <w:p w:rsidR="00926DB2" w:rsidRDefault="00926DB2" w:rsidP="00046654">
      <w:pPr>
        <w:autoSpaceDE w:val="0"/>
        <w:autoSpaceDN w:val="0"/>
        <w:adjustRightInd w:val="0"/>
        <w:spacing w:line="360" w:lineRule="auto"/>
        <w:jc w:val="both"/>
        <w:rPr>
          <w:rFonts w:cs="Times New Roman"/>
          <w:b/>
          <w:lang w:val="en-US" w:eastAsia="en-US" w:bidi="ar-SA"/>
        </w:rPr>
      </w:pPr>
    </w:p>
    <w:p w:rsidR="00926DB2" w:rsidRDefault="00926DB2" w:rsidP="00046654">
      <w:pPr>
        <w:autoSpaceDE w:val="0"/>
        <w:autoSpaceDN w:val="0"/>
        <w:adjustRightInd w:val="0"/>
        <w:spacing w:line="360" w:lineRule="auto"/>
        <w:jc w:val="both"/>
        <w:rPr>
          <w:rFonts w:cs="Times New Roman"/>
          <w:b/>
          <w:lang w:val="en-US" w:eastAsia="en-US" w:bidi="ar-SA"/>
        </w:rPr>
      </w:pPr>
    </w:p>
    <w:p w:rsidR="00926DB2" w:rsidRDefault="00926DB2" w:rsidP="00046654">
      <w:pPr>
        <w:autoSpaceDE w:val="0"/>
        <w:autoSpaceDN w:val="0"/>
        <w:adjustRightInd w:val="0"/>
        <w:spacing w:line="360" w:lineRule="auto"/>
        <w:jc w:val="both"/>
        <w:rPr>
          <w:rFonts w:cs="Times New Roman"/>
          <w:b/>
          <w:lang w:val="en-US" w:eastAsia="en-US" w:bidi="ar-SA"/>
        </w:rPr>
      </w:pPr>
    </w:p>
    <w:p w:rsidR="00926DB2" w:rsidRDefault="00926DB2" w:rsidP="00046654">
      <w:pPr>
        <w:autoSpaceDE w:val="0"/>
        <w:autoSpaceDN w:val="0"/>
        <w:adjustRightInd w:val="0"/>
        <w:spacing w:line="360" w:lineRule="auto"/>
        <w:jc w:val="both"/>
        <w:rPr>
          <w:rFonts w:cs="Times New Roman"/>
          <w:b/>
          <w:lang w:val="en-US" w:eastAsia="en-US" w:bidi="ar-SA"/>
        </w:rPr>
      </w:pPr>
    </w:p>
    <w:p w:rsidR="00926DB2" w:rsidRDefault="00926DB2" w:rsidP="008F4037">
      <w:pPr>
        <w:spacing w:line="360" w:lineRule="auto"/>
        <w:jc w:val="both"/>
        <w:rPr>
          <w:i/>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926DB2" w:rsidRDefault="00926DB2" w:rsidP="00D408B7">
      <w:pPr>
        <w:spacing w:line="360" w:lineRule="auto"/>
        <w:jc w:val="both"/>
        <w:rPr>
          <w:b/>
          <w:bCs/>
          <w:iCs/>
          <w:sz w:val="28"/>
          <w:szCs w:val="28"/>
        </w:rPr>
      </w:pPr>
    </w:p>
    <w:p w:rsidR="00694CDA" w:rsidRDefault="00926DB2" w:rsidP="005466E5">
      <w:pPr>
        <w:pStyle w:val="Kop1"/>
      </w:pPr>
      <w:bookmarkStart w:id="201" w:name="_Toc268186084"/>
      <w:r>
        <w:lastRenderedPageBreak/>
        <w:t>7 Summary and conclusions</w:t>
      </w:r>
      <w:bookmarkEnd w:id="201"/>
    </w:p>
    <w:p w:rsidR="005466E5" w:rsidRPr="005466E5" w:rsidRDefault="005466E5" w:rsidP="005466E5"/>
    <w:p w:rsidR="00926DB2" w:rsidRPr="00DA2FEA" w:rsidRDefault="00926DB2" w:rsidP="00DA2FEA">
      <w:pPr>
        <w:pStyle w:val="Kop2"/>
        <w:jc w:val="both"/>
        <w:rPr>
          <w:rFonts w:ascii="Times New Roman" w:hAnsi="Times New Roman" w:cs="Times New Roman"/>
          <w:i w:val="0"/>
          <w:iCs w:val="0"/>
          <w:sz w:val="24"/>
          <w:szCs w:val="24"/>
        </w:rPr>
      </w:pPr>
      <w:bookmarkStart w:id="202" w:name="_Toc268186085"/>
      <w:r w:rsidRPr="00DA2FEA">
        <w:rPr>
          <w:rFonts w:ascii="Times New Roman" w:hAnsi="Times New Roman" w:cs="Times New Roman"/>
          <w:i w:val="0"/>
          <w:iCs w:val="0"/>
          <w:sz w:val="24"/>
          <w:szCs w:val="24"/>
        </w:rPr>
        <w:t>7.1 Summary</w:t>
      </w:r>
      <w:bookmarkEnd w:id="202"/>
    </w:p>
    <w:p w:rsidR="00926DB2" w:rsidRDefault="00926DB2" w:rsidP="001C76F0">
      <w:pPr>
        <w:spacing w:line="360" w:lineRule="auto"/>
        <w:jc w:val="both"/>
        <w:rPr>
          <w:b/>
          <w:bCs/>
          <w:iCs/>
        </w:rPr>
      </w:pPr>
    </w:p>
    <w:p w:rsidR="00926DB2" w:rsidRDefault="00926DB2" w:rsidP="001C76F0">
      <w:pPr>
        <w:spacing w:line="360" w:lineRule="auto"/>
        <w:jc w:val="both"/>
        <w:rPr>
          <w:iCs/>
        </w:rPr>
      </w:pPr>
      <w:r>
        <w:rPr>
          <w:iCs/>
        </w:rPr>
        <w:t>Accounting conservatism refers to the underestimation of assets and the overestimation of liabilities and ex</w:t>
      </w:r>
      <w:r w:rsidR="00694CDA">
        <w:rPr>
          <w:iCs/>
        </w:rPr>
        <w:t xml:space="preserve">penses (Watts 2003). </w:t>
      </w:r>
      <w:r>
        <w:rPr>
          <w:iCs/>
        </w:rPr>
        <w:t xml:space="preserve">Accounting conservatism has four principal causes; contracting, shareholders litigation, taxation and accounting regulation. Conservatism consists of unconditional and conditional conservatism. This research focuses on conditional conservatism which </w:t>
      </w:r>
      <w:r w:rsidR="00694CDA">
        <w:rPr>
          <w:iCs/>
        </w:rPr>
        <w:t>recognizes</w:t>
      </w:r>
      <w:r>
        <w:rPr>
          <w:iCs/>
        </w:rPr>
        <w:t xml:space="preserve"> negative information in earnings more quickly than po</w:t>
      </w:r>
      <w:r w:rsidR="00694CDA">
        <w:rPr>
          <w:iCs/>
        </w:rPr>
        <w:t>sitive information in earnings.</w:t>
      </w:r>
      <w:r>
        <w:rPr>
          <w:iCs/>
        </w:rPr>
        <w:t xml:space="preserve"> </w:t>
      </w:r>
    </w:p>
    <w:p w:rsidR="00926DB2" w:rsidRDefault="00926DB2" w:rsidP="001C76F0">
      <w:pPr>
        <w:spacing w:line="360" w:lineRule="auto"/>
        <w:jc w:val="both"/>
        <w:rPr>
          <w:iCs/>
        </w:rPr>
      </w:pPr>
    </w:p>
    <w:p w:rsidR="00926DB2" w:rsidRDefault="00926DB2" w:rsidP="001C76F0">
      <w:pPr>
        <w:spacing w:line="360" w:lineRule="auto"/>
        <w:jc w:val="both"/>
        <w:rPr>
          <w:iCs/>
        </w:rPr>
      </w:pPr>
      <w:r>
        <w:rPr>
          <w:iCs/>
        </w:rPr>
        <w:t>In this research the degree of accounting conservatism in the West-European banking sector is measured. Subsequently the link between conservatism and the performance of these banks during the recent financial crisis is examined.</w:t>
      </w:r>
    </w:p>
    <w:p w:rsidR="00926DB2" w:rsidRDefault="00926DB2" w:rsidP="001C76F0">
      <w:pPr>
        <w:spacing w:line="360" w:lineRule="auto"/>
        <w:jc w:val="both"/>
        <w:rPr>
          <w:iCs/>
        </w:rPr>
      </w:pPr>
    </w:p>
    <w:p w:rsidR="00926DB2" w:rsidRDefault="00926DB2" w:rsidP="001C76F0">
      <w:pPr>
        <w:spacing w:line="360" w:lineRule="auto"/>
        <w:jc w:val="both"/>
        <w:rPr>
          <w:iCs/>
        </w:rPr>
      </w:pPr>
      <w:r>
        <w:rPr>
          <w:iCs/>
        </w:rPr>
        <w:t>The principal causes of the crisis are the risky and unsustainable lending practic</w:t>
      </w:r>
      <w:r w:rsidR="00694CDA">
        <w:rPr>
          <w:iCs/>
        </w:rPr>
        <w:t xml:space="preserve">es of a number of US top banks. </w:t>
      </w:r>
      <w:r>
        <w:rPr>
          <w:iCs/>
        </w:rPr>
        <w:t xml:space="preserve">The crisis caused a worldwide economic downfall. The public no longer had trust in the management policies, strategies and ethical behaviour of banks. </w:t>
      </w:r>
    </w:p>
    <w:p w:rsidR="00926DB2" w:rsidRDefault="00926DB2" w:rsidP="001C76F0">
      <w:pPr>
        <w:spacing w:line="360" w:lineRule="auto"/>
        <w:jc w:val="both"/>
        <w:rPr>
          <w:iCs/>
        </w:rPr>
      </w:pPr>
    </w:p>
    <w:p w:rsidR="00926DB2" w:rsidRDefault="00926DB2" w:rsidP="001C76F0">
      <w:pPr>
        <w:spacing w:line="360" w:lineRule="auto"/>
        <w:jc w:val="both"/>
        <w:rPr>
          <w:rFonts w:cs="Times New Roman"/>
        </w:rPr>
      </w:pPr>
      <w:r>
        <w:rPr>
          <w:iCs/>
        </w:rPr>
        <w:t xml:space="preserve">I investigate banks in the following West-European countries; </w:t>
      </w:r>
      <w:r w:rsidRPr="005F7F20">
        <w:rPr>
          <w:lang w:val="en-US"/>
        </w:rPr>
        <w:t>Austria, Belgium, Deutschland, Denmark,</w:t>
      </w:r>
      <w:r>
        <w:rPr>
          <w:lang w:val="en-US"/>
        </w:rPr>
        <w:t xml:space="preserve"> Spain,</w:t>
      </w:r>
      <w:r w:rsidRPr="005F7F20">
        <w:rPr>
          <w:lang w:val="en-US"/>
        </w:rPr>
        <w:t xml:space="preserve"> Lithuania, Finland, France, Great-Britain, Ireland, Luxembourg, Netherlands, Norway, Portugal and Sweden</w:t>
      </w:r>
      <w:r>
        <w:rPr>
          <w:lang w:val="en-US"/>
        </w:rPr>
        <w:t xml:space="preserve">. Considering banks in the Western World the Basle Accords are very significant and influential on banking policies and regulations. Two Basle Accords have been developed mainly to guarantee a minimal standard of capital for banks to mitigate credit risks. Basle </w:t>
      </w:r>
      <w:r>
        <w:rPr>
          <w:rFonts w:cs="Times New Roman"/>
        </w:rPr>
        <w:t xml:space="preserve">І is considered outdated, that is the reason for the improved and technical enhanced Basle ІІ (Basle Capital Accord 2005). </w:t>
      </w:r>
    </w:p>
    <w:p w:rsidR="001D6EB9" w:rsidRDefault="001D6EB9" w:rsidP="001C76F0">
      <w:pPr>
        <w:spacing w:line="360" w:lineRule="auto"/>
        <w:jc w:val="both"/>
        <w:rPr>
          <w:rFonts w:cs="Times New Roman"/>
        </w:rPr>
      </w:pPr>
    </w:p>
    <w:p w:rsidR="00926DB2" w:rsidRDefault="00926DB2" w:rsidP="00A178DA">
      <w:pPr>
        <w:spacing w:line="360" w:lineRule="auto"/>
        <w:jc w:val="both"/>
        <w:rPr>
          <w:rFonts w:cs="Times New Roman"/>
        </w:rPr>
      </w:pPr>
      <w:r>
        <w:rPr>
          <w:rFonts w:cs="Times New Roman"/>
        </w:rPr>
        <w:t>Conservatism can be</w:t>
      </w:r>
      <w:r w:rsidR="005466E5">
        <w:rPr>
          <w:rFonts w:cs="Times New Roman"/>
        </w:rPr>
        <w:t xml:space="preserve"> measured by different measures</w:t>
      </w:r>
      <w:r w:rsidR="002952D7">
        <w:rPr>
          <w:rFonts w:cs="Times New Roman"/>
        </w:rPr>
        <w:t xml:space="preserve"> for instance </w:t>
      </w:r>
      <w:r w:rsidR="005466E5">
        <w:rPr>
          <w:rFonts w:cs="Times New Roman"/>
        </w:rPr>
        <w:t>n</w:t>
      </w:r>
      <w:r>
        <w:rPr>
          <w:rFonts w:cs="Times New Roman"/>
        </w:rPr>
        <w:t>et assets measures</w:t>
      </w:r>
      <w:r w:rsidR="005466E5">
        <w:rPr>
          <w:rFonts w:cs="Times New Roman"/>
        </w:rPr>
        <w:t xml:space="preserve">, </w:t>
      </w:r>
      <w:r>
        <w:rPr>
          <w:rFonts w:cs="Times New Roman"/>
        </w:rPr>
        <w:t>e</w:t>
      </w:r>
      <w:r w:rsidR="005466E5">
        <w:rPr>
          <w:rFonts w:cs="Times New Roman"/>
        </w:rPr>
        <w:t>arnings and</w:t>
      </w:r>
      <w:r w:rsidR="002952D7">
        <w:rPr>
          <w:rFonts w:cs="Times New Roman"/>
        </w:rPr>
        <w:t xml:space="preserve"> </w:t>
      </w:r>
      <w:r w:rsidR="005466E5">
        <w:rPr>
          <w:rFonts w:cs="Times New Roman"/>
        </w:rPr>
        <w:t>accruals measures and earnings/stock</w:t>
      </w:r>
      <w:r w:rsidR="002952D7">
        <w:rPr>
          <w:rFonts w:cs="Times New Roman"/>
        </w:rPr>
        <w:t xml:space="preserve"> measures. </w:t>
      </w:r>
      <w:r>
        <w:rPr>
          <w:rFonts w:cs="Times New Roman"/>
        </w:rPr>
        <w:t>To measure conditional conservatism in this thesis the Basu model is chosen (earnings/stock returns measure). The Basu model uses a regression model to measure the degree of conservatism. The model was much criticized till recently in 2009 the working paper</w:t>
      </w:r>
      <w:r w:rsidR="001D6EB9">
        <w:rPr>
          <w:rFonts w:cs="Times New Roman"/>
        </w:rPr>
        <w:t xml:space="preserve"> of Ball et al. </w:t>
      </w:r>
      <w:r>
        <w:rPr>
          <w:rFonts w:cs="Times New Roman"/>
        </w:rPr>
        <w:t>provided technical evidence for the model.</w:t>
      </w:r>
    </w:p>
    <w:p w:rsidR="00926DB2" w:rsidRDefault="00926DB2" w:rsidP="00A178DA">
      <w:pPr>
        <w:spacing w:line="360" w:lineRule="auto"/>
        <w:jc w:val="both"/>
        <w:rPr>
          <w:rFonts w:cs="Times New Roman"/>
        </w:rPr>
      </w:pPr>
      <w:r>
        <w:rPr>
          <w:rFonts w:cs="Times New Roman"/>
        </w:rPr>
        <w:t xml:space="preserve"> </w:t>
      </w:r>
    </w:p>
    <w:p w:rsidR="00926DB2" w:rsidRDefault="00926DB2" w:rsidP="00A178DA">
      <w:pPr>
        <w:spacing w:line="360" w:lineRule="auto"/>
        <w:jc w:val="both"/>
        <w:rPr>
          <w:rFonts w:cs="Times New Roman"/>
        </w:rPr>
      </w:pPr>
      <w:r>
        <w:rPr>
          <w:rFonts w:cs="Times New Roman"/>
        </w:rPr>
        <w:lastRenderedPageBreak/>
        <w:t>ROA (return on assets) and ROE (return on equity) are the indicators for bank performance in this thesis.</w:t>
      </w:r>
    </w:p>
    <w:p w:rsidR="00926DB2" w:rsidRDefault="00926DB2" w:rsidP="00A178DA">
      <w:pPr>
        <w:spacing w:line="360" w:lineRule="auto"/>
        <w:jc w:val="both"/>
        <w:rPr>
          <w:rFonts w:cs="Times New Roman"/>
        </w:rPr>
      </w:pPr>
    </w:p>
    <w:p w:rsidR="00926DB2" w:rsidRPr="00BA4567" w:rsidRDefault="00926DB2" w:rsidP="00BA4567">
      <w:pPr>
        <w:spacing w:line="360" w:lineRule="auto"/>
        <w:jc w:val="both"/>
        <w:rPr>
          <w:rFonts w:cs="Times New Roman"/>
        </w:rPr>
      </w:pPr>
      <w:r>
        <w:t>This research first examines the degree of conservatism in West-European banks. (1997-2009). Subsequently the research examines if there are significant differences in the level of conservatism for the pre-crisis (1997-2006) and the crisis period (2007-2009). Finally the performance of banks in the crisis period is examined with the degree of conservatism in the pre-crisis period to see if there is a significant relation between conservatism and bank performance.</w:t>
      </w:r>
    </w:p>
    <w:p w:rsidR="00926DB2" w:rsidRPr="00BA4567" w:rsidRDefault="00926DB2" w:rsidP="00BA4567">
      <w:pPr>
        <w:pStyle w:val="Kop2"/>
        <w:jc w:val="both"/>
        <w:rPr>
          <w:rFonts w:ascii="Times New Roman" w:hAnsi="Times New Roman" w:cs="Times New Roman"/>
          <w:i w:val="0"/>
          <w:iCs w:val="0"/>
          <w:sz w:val="24"/>
          <w:szCs w:val="24"/>
        </w:rPr>
      </w:pPr>
      <w:bookmarkStart w:id="203" w:name="_Toc268186086"/>
      <w:r w:rsidRPr="00BA4567">
        <w:rPr>
          <w:rFonts w:ascii="Times New Roman" w:hAnsi="Times New Roman" w:cs="Times New Roman"/>
          <w:i w:val="0"/>
          <w:iCs w:val="0"/>
          <w:sz w:val="24"/>
          <w:szCs w:val="24"/>
        </w:rPr>
        <w:t>7.2 Conclusions</w:t>
      </w:r>
      <w:bookmarkEnd w:id="203"/>
    </w:p>
    <w:p w:rsidR="00926DB2" w:rsidRDefault="00926DB2" w:rsidP="00181105">
      <w:pPr>
        <w:spacing w:line="360" w:lineRule="auto"/>
        <w:jc w:val="both"/>
        <w:rPr>
          <w:rFonts w:cs="Times New Roman"/>
          <w:b/>
          <w:bCs/>
        </w:rPr>
      </w:pPr>
    </w:p>
    <w:p w:rsidR="00926DB2" w:rsidRDefault="00926DB2" w:rsidP="00181105">
      <w:pPr>
        <w:spacing w:line="360" w:lineRule="auto"/>
        <w:jc w:val="both"/>
        <w:rPr>
          <w:rFonts w:cs="Times New Roman"/>
        </w:rPr>
      </w:pPr>
      <w:r>
        <w:rPr>
          <w:rFonts w:cs="Times New Roman"/>
        </w:rPr>
        <w:t>The main objective of this research was examining the relationship between bank performance and conservatism in West-Europe. Considering the research I performed and my results I feel that I have contended this goal by providing sufficient and relevant theory and (empirical) evidence from previous scientific papers. Furthermore by performing a sound and qualitative empirical analysis to examine the research questions. A note must be made that I haven’t seen a paper in the scientific literature that links conservatism with firm performance (during crisis periods); thus in that way this thesis is innovative and original.</w:t>
      </w:r>
    </w:p>
    <w:p w:rsidR="00926DB2" w:rsidRDefault="00926DB2" w:rsidP="00181105">
      <w:pPr>
        <w:spacing w:line="360" w:lineRule="auto"/>
        <w:jc w:val="both"/>
        <w:rPr>
          <w:rFonts w:cs="Times New Roman"/>
        </w:rPr>
      </w:pPr>
    </w:p>
    <w:p w:rsidR="00926DB2" w:rsidRDefault="00926DB2" w:rsidP="00C724D9">
      <w:pPr>
        <w:spacing w:line="360" w:lineRule="auto"/>
        <w:jc w:val="both"/>
        <w:rPr>
          <w:rFonts w:cs="Times New Roman"/>
        </w:rPr>
      </w:pPr>
      <w:r>
        <w:rPr>
          <w:rFonts w:cs="Times New Roman"/>
        </w:rPr>
        <w:t xml:space="preserve">The most important conclusion of the research is that I found significant results that there is a relationship between conservatism and bank performance. I have to state however that this significant relation was only at the 10 percent confidence level. </w:t>
      </w:r>
    </w:p>
    <w:p w:rsidR="00926DB2" w:rsidRDefault="00926DB2" w:rsidP="00C724D9">
      <w:pPr>
        <w:spacing w:line="360" w:lineRule="auto"/>
        <w:jc w:val="both"/>
        <w:rPr>
          <w:rFonts w:cs="Times New Roman"/>
        </w:rPr>
      </w:pPr>
    </w:p>
    <w:p w:rsidR="00926DB2" w:rsidRDefault="00926DB2" w:rsidP="00C724D9">
      <w:pPr>
        <w:spacing w:line="360" w:lineRule="auto"/>
        <w:jc w:val="both"/>
        <w:rPr>
          <w:rFonts w:cs="Times New Roman"/>
        </w:rPr>
      </w:pPr>
      <w:r>
        <w:rPr>
          <w:rFonts w:cs="Times New Roman"/>
        </w:rPr>
        <w:t xml:space="preserve">However the main research question: </w:t>
      </w:r>
    </w:p>
    <w:p w:rsidR="00926DB2" w:rsidRDefault="00926DB2" w:rsidP="00C724D9">
      <w:pPr>
        <w:spacing w:line="360" w:lineRule="auto"/>
        <w:jc w:val="both"/>
        <w:rPr>
          <w:rFonts w:cs="Times New Roman"/>
        </w:rPr>
      </w:pPr>
    </w:p>
    <w:p w:rsidR="00926DB2" w:rsidRDefault="00926DB2" w:rsidP="00C724D9">
      <w:pPr>
        <w:spacing w:line="360" w:lineRule="auto"/>
        <w:jc w:val="both"/>
        <w:rPr>
          <w:i/>
        </w:rPr>
      </w:pPr>
      <w:r w:rsidRPr="00184D6C">
        <w:rPr>
          <w:i/>
        </w:rPr>
        <w:t>What is the relationship between the conditional conservatism principle and the performance of the West-European banking sector during the financial crisis?</w:t>
      </w:r>
    </w:p>
    <w:p w:rsidR="00926DB2" w:rsidRDefault="00926DB2" w:rsidP="00C724D9">
      <w:pPr>
        <w:spacing w:line="360" w:lineRule="auto"/>
        <w:jc w:val="both"/>
        <w:rPr>
          <w:i/>
        </w:rPr>
      </w:pPr>
    </w:p>
    <w:p w:rsidR="00926DB2" w:rsidRPr="00C724D9" w:rsidRDefault="00240DAE" w:rsidP="00C724D9">
      <w:pPr>
        <w:spacing w:line="360" w:lineRule="auto"/>
        <w:jc w:val="both"/>
      </w:pPr>
      <w:r>
        <w:t>c</w:t>
      </w:r>
      <w:r w:rsidR="00926DB2" w:rsidRPr="00C724D9">
        <w:t xml:space="preserve">ould </w:t>
      </w:r>
      <w:r w:rsidR="00926DB2">
        <w:t xml:space="preserve">be </w:t>
      </w:r>
      <w:r w:rsidR="00926DB2" w:rsidRPr="00C724D9">
        <w:t>answered. Namely, there is a positive relationship between the conditional conservatism principle and the performance of the West-European banking sector during the financial crisis</w:t>
      </w:r>
    </w:p>
    <w:p w:rsidR="00926DB2" w:rsidRDefault="00926DB2" w:rsidP="00181105">
      <w:pPr>
        <w:spacing w:line="360" w:lineRule="auto"/>
        <w:jc w:val="both"/>
        <w:rPr>
          <w:rFonts w:cs="Times New Roman"/>
        </w:rPr>
      </w:pPr>
    </w:p>
    <w:p w:rsidR="00926DB2" w:rsidRDefault="00926DB2" w:rsidP="00181105">
      <w:pPr>
        <w:spacing w:line="360" w:lineRule="auto"/>
        <w:jc w:val="both"/>
        <w:rPr>
          <w:rFonts w:cs="Times New Roman"/>
        </w:rPr>
      </w:pPr>
      <w:r>
        <w:rPr>
          <w:rFonts w:cs="Times New Roman"/>
        </w:rPr>
        <w:lastRenderedPageBreak/>
        <w:t>Furthermore I have also found an answer on the first two assumptions (hypotheses 1 and 2) of mine. Evidence is provided in this research that during the (full sample) period 1997-2009 West-European banks were conservative. This evidence is provided for the 1, 5 and 10 percent confidence levels. The second assumption states that during the pre-crisis period the level of conservatism was higher than during the crisis period. Evidence is provided for this assumption at the 5 and 10 percent confidence level. This indicates that the level of conservatism in the pre-crisis period was higher than during th</w:t>
      </w:r>
      <w:r w:rsidR="00240DAE">
        <w:rPr>
          <w:rFonts w:cs="Times New Roman"/>
        </w:rPr>
        <w:t xml:space="preserve">e crisis period. A possible explanation </w:t>
      </w:r>
      <w:r>
        <w:rPr>
          <w:rFonts w:cs="Times New Roman"/>
        </w:rPr>
        <w:t>for the low (no) level of conservatism during the crisis period is because m</w:t>
      </w:r>
      <w:r w:rsidR="00240DAE">
        <w:rPr>
          <w:rFonts w:cs="Times New Roman"/>
        </w:rPr>
        <w:t xml:space="preserve">anagers in periods of crisis have incentives </w:t>
      </w:r>
      <w:r>
        <w:rPr>
          <w:rFonts w:cs="Times New Roman"/>
        </w:rPr>
        <w:t>to show more optimistic figures.</w:t>
      </w:r>
    </w:p>
    <w:p w:rsidR="00926DB2" w:rsidRDefault="00926DB2" w:rsidP="00181105">
      <w:pPr>
        <w:spacing w:line="360" w:lineRule="auto"/>
        <w:jc w:val="both"/>
        <w:rPr>
          <w:rFonts w:cs="Times New Roman"/>
        </w:rPr>
      </w:pPr>
    </w:p>
    <w:p w:rsidR="00926DB2" w:rsidRPr="00BA4567" w:rsidRDefault="00926DB2" w:rsidP="00BA4567">
      <w:pPr>
        <w:spacing w:line="360" w:lineRule="auto"/>
        <w:jc w:val="both"/>
        <w:rPr>
          <w:rFonts w:cs="Times New Roman"/>
        </w:rPr>
      </w:pPr>
      <w:r>
        <w:t>In conclusion this research examined the link between bank performance and conditional conservatism. I found evidence for a positive relationship between good bank performance and conditional conservatism. Additionally evidence is presented for the existence of conservatism in the pre-crisis and full sample period in West European banks.</w:t>
      </w:r>
    </w:p>
    <w:p w:rsidR="00926DB2" w:rsidRPr="00BA4567" w:rsidRDefault="00926DB2" w:rsidP="00BA4567">
      <w:pPr>
        <w:pStyle w:val="Kop2"/>
        <w:jc w:val="both"/>
        <w:rPr>
          <w:rFonts w:ascii="Times New Roman" w:hAnsi="Times New Roman" w:cs="Times New Roman"/>
          <w:i w:val="0"/>
          <w:iCs w:val="0"/>
          <w:sz w:val="24"/>
          <w:szCs w:val="24"/>
        </w:rPr>
      </w:pPr>
      <w:bookmarkStart w:id="204" w:name="_Toc268186087"/>
      <w:r w:rsidRPr="00BA4567">
        <w:rPr>
          <w:rFonts w:ascii="Times New Roman" w:hAnsi="Times New Roman" w:cs="Times New Roman"/>
          <w:i w:val="0"/>
          <w:iCs w:val="0"/>
          <w:sz w:val="24"/>
          <w:szCs w:val="24"/>
        </w:rPr>
        <w:t>7.3 Scope, constraints of the research and suggestions for further research</w:t>
      </w:r>
      <w:bookmarkEnd w:id="204"/>
    </w:p>
    <w:p w:rsidR="00926DB2" w:rsidRDefault="00926DB2" w:rsidP="00181105">
      <w:pPr>
        <w:spacing w:line="360" w:lineRule="auto"/>
        <w:jc w:val="both"/>
        <w:rPr>
          <w:rFonts w:cs="Times New Roman"/>
          <w:b/>
          <w:bCs/>
        </w:rPr>
      </w:pPr>
    </w:p>
    <w:p w:rsidR="00926DB2" w:rsidRDefault="00926DB2" w:rsidP="00181105">
      <w:pPr>
        <w:spacing w:line="360" w:lineRule="auto"/>
        <w:jc w:val="both"/>
        <w:rPr>
          <w:rFonts w:cs="Times New Roman"/>
        </w:rPr>
      </w:pPr>
      <w:r>
        <w:rPr>
          <w:rFonts w:cs="Times New Roman"/>
        </w:rPr>
        <w:t xml:space="preserve">The principal objective of this research is measuring conditional conservatism and providing evidence for the (positive) relationship between conservatism and bank performance. The scope of the research is mainly linking conservatism with performance during periods of crisis. Important is that the above mentioned link dominates in this research and hence all effort is put in examining this link as reliable as I can. Another important factor in this research is that conservatism is expected to determine performance and not the other way around. Assuming this it is far less relevant what causes the conservatism hence the principal factor for me is the presence of conservatism and from that point examining its effect on performance. </w:t>
      </w:r>
    </w:p>
    <w:p w:rsidR="00926DB2" w:rsidRDefault="00926DB2" w:rsidP="00181105">
      <w:pPr>
        <w:spacing w:line="360" w:lineRule="auto"/>
        <w:jc w:val="both"/>
        <w:rPr>
          <w:rFonts w:cs="Times New Roman"/>
        </w:rPr>
      </w:pPr>
    </w:p>
    <w:p w:rsidR="00926DB2" w:rsidRDefault="00926DB2" w:rsidP="00181105">
      <w:pPr>
        <w:spacing w:line="360" w:lineRule="auto"/>
        <w:jc w:val="both"/>
        <w:rPr>
          <w:rFonts w:cs="Times New Roman"/>
        </w:rPr>
      </w:pPr>
      <w:r>
        <w:rPr>
          <w:rFonts w:cs="Times New Roman"/>
        </w:rPr>
        <w:t xml:space="preserve">Constraints of this research could be the period taken to measure the degree of conservatism in the pre-crisis period. Maybe a larger time span would be even better for the reliability of the data. Another constrain could be that maybe two models should have been used to asses conservatism to improve the robustness of the research. </w:t>
      </w:r>
    </w:p>
    <w:p w:rsidR="00926DB2" w:rsidRDefault="00926DB2" w:rsidP="00181105">
      <w:pPr>
        <w:spacing w:line="360" w:lineRule="auto"/>
        <w:jc w:val="both"/>
        <w:rPr>
          <w:rFonts w:cs="Times New Roman"/>
        </w:rPr>
      </w:pPr>
    </w:p>
    <w:p w:rsidR="00926DB2" w:rsidRPr="0019210A" w:rsidRDefault="00926DB2" w:rsidP="00181105">
      <w:pPr>
        <w:spacing w:line="360" w:lineRule="auto"/>
        <w:jc w:val="both"/>
        <w:rPr>
          <w:rFonts w:cs="Times New Roman"/>
        </w:rPr>
      </w:pPr>
      <w:r>
        <w:rPr>
          <w:rFonts w:cs="Times New Roman"/>
        </w:rPr>
        <w:t xml:space="preserve">There are a lot of suggestions for further research, first students and scientists can reply this research after the financial crisis to see what the post-crisis effects are on conservatism and its </w:t>
      </w:r>
      <w:r>
        <w:rPr>
          <w:rFonts w:cs="Times New Roman"/>
        </w:rPr>
        <w:lastRenderedPageBreak/>
        <w:t xml:space="preserve">link with bank performance. Also because I haven’t seen a paper that researched conservatism and the link with firm performance, a similar research could be performed with a larger dataset; for instance the banking sector of Europe. Subsequently a similar research could be performed in markets where earnings and returns are more volatile to see if the relationship between conservatism and performance still holds. </w:t>
      </w:r>
    </w:p>
    <w:p w:rsidR="00926DB2" w:rsidRPr="00A178DA" w:rsidRDefault="00926DB2" w:rsidP="00A178DA">
      <w:pPr>
        <w:spacing w:line="360" w:lineRule="auto"/>
        <w:jc w:val="both"/>
      </w:pPr>
    </w:p>
    <w:p w:rsidR="00926DB2" w:rsidRPr="001C76F0" w:rsidRDefault="00926DB2" w:rsidP="00D408B7">
      <w:pPr>
        <w:spacing w:line="360" w:lineRule="auto"/>
        <w:jc w:val="both"/>
        <w:rPr>
          <w:iCs/>
        </w:rPr>
      </w:pPr>
    </w:p>
    <w:p w:rsidR="00926DB2" w:rsidRPr="00D408B7" w:rsidRDefault="00926DB2" w:rsidP="00D408B7">
      <w:pPr>
        <w:spacing w:line="360" w:lineRule="auto"/>
        <w:jc w:val="both"/>
        <w:rPr>
          <w:iCs/>
          <w:sz w:val="28"/>
          <w:szCs w:val="28"/>
        </w:rPr>
      </w:pPr>
    </w:p>
    <w:p w:rsidR="00926DB2" w:rsidRDefault="00926DB2" w:rsidP="008F4037">
      <w:pPr>
        <w:spacing w:line="360" w:lineRule="auto"/>
        <w:jc w:val="both"/>
        <w:rPr>
          <w:i/>
        </w:rPr>
      </w:pPr>
    </w:p>
    <w:p w:rsidR="00926DB2" w:rsidRDefault="00926DB2" w:rsidP="008F4037">
      <w:pPr>
        <w:spacing w:line="360" w:lineRule="auto"/>
        <w:jc w:val="both"/>
        <w:rPr>
          <w:i/>
        </w:rPr>
      </w:pPr>
    </w:p>
    <w:p w:rsidR="00926DB2" w:rsidRDefault="00926DB2" w:rsidP="008F4037">
      <w:pPr>
        <w:spacing w:line="360" w:lineRule="auto"/>
        <w:jc w:val="both"/>
        <w:rPr>
          <w:i/>
        </w:rPr>
      </w:pPr>
    </w:p>
    <w:p w:rsidR="00926DB2" w:rsidRDefault="00926DB2" w:rsidP="008F4037">
      <w:pPr>
        <w:spacing w:line="360" w:lineRule="auto"/>
        <w:jc w:val="both"/>
        <w:rPr>
          <w:i/>
        </w:rPr>
      </w:pPr>
    </w:p>
    <w:p w:rsidR="00926DB2" w:rsidRDefault="00926DB2" w:rsidP="008F4037">
      <w:pPr>
        <w:spacing w:line="360" w:lineRule="auto"/>
        <w:jc w:val="both"/>
        <w:rPr>
          <w:i/>
        </w:rPr>
      </w:pPr>
    </w:p>
    <w:p w:rsidR="00926DB2" w:rsidRDefault="00926DB2" w:rsidP="008F4037">
      <w:pPr>
        <w:spacing w:line="360" w:lineRule="auto"/>
        <w:jc w:val="both"/>
        <w:rPr>
          <w:i/>
        </w:rPr>
      </w:pPr>
    </w:p>
    <w:p w:rsidR="00926DB2" w:rsidRDefault="00926DB2" w:rsidP="008F4037">
      <w:pPr>
        <w:spacing w:line="360" w:lineRule="auto"/>
        <w:jc w:val="both"/>
        <w:rPr>
          <w:i/>
        </w:rPr>
      </w:pPr>
    </w:p>
    <w:p w:rsidR="00926DB2" w:rsidRDefault="00926DB2" w:rsidP="008F4037">
      <w:pPr>
        <w:spacing w:line="360" w:lineRule="auto"/>
        <w:jc w:val="both"/>
        <w:rPr>
          <w:i/>
        </w:rPr>
      </w:pPr>
    </w:p>
    <w:p w:rsidR="00926DB2" w:rsidRDefault="00926DB2" w:rsidP="008F4037">
      <w:pPr>
        <w:spacing w:line="360" w:lineRule="auto"/>
        <w:jc w:val="both"/>
        <w:rPr>
          <w:i/>
        </w:rPr>
      </w:pPr>
    </w:p>
    <w:p w:rsidR="00926DB2" w:rsidRDefault="00926DB2" w:rsidP="008F4037">
      <w:pPr>
        <w:spacing w:line="360" w:lineRule="auto"/>
        <w:jc w:val="both"/>
        <w:rPr>
          <w:i/>
        </w:rPr>
      </w:pPr>
    </w:p>
    <w:p w:rsidR="00926DB2" w:rsidRDefault="00926DB2" w:rsidP="008F4037">
      <w:pPr>
        <w:spacing w:line="360" w:lineRule="auto"/>
        <w:jc w:val="both"/>
        <w:rPr>
          <w:i/>
        </w:rPr>
      </w:pPr>
    </w:p>
    <w:p w:rsidR="00926DB2" w:rsidRDefault="00926DB2" w:rsidP="008F4037">
      <w:pPr>
        <w:spacing w:line="360" w:lineRule="auto"/>
        <w:jc w:val="both"/>
        <w:rPr>
          <w:i/>
        </w:rPr>
      </w:pPr>
    </w:p>
    <w:p w:rsidR="00926DB2" w:rsidRDefault="00926DB2" w:rsidP="008F4037">
      <w:pPr>
        <w:spacing w:line="360" w:lineRule="auto"/>
        <w:jc w:val="both"/>
        <w:rPr>
          <w:i/>
        </w:rPr>
      </w:pPr>
    </w:p>
    <w:p w:rsidR="003F4E6D" w:rsidRDefault="003F4E6D" w:rsidP="003F4E6D">
      <w:pPr>
        <w:jc w:val="both"/>
        <w:rPr>
          <w:i/>
        </w:rPr>
      </w:pPr>
    </w:p>
    <w:p w:rsidR="003F4E6D" w:rsidRDefault="003F4E6D" w:rsidP="003F4E6D">
      <w:pPr>
        <w:jc w:val="both"/>
        <w:rPr>
          <w:i/>
        </w:rPr>
      </w:pPr>
    </w:p>
    <w:p w:rsidR="003F4E6D" w:rsidRDefault="003F4E6D" w:rsidP="003F4E6D">
      <w:pPr>
        <w:jc w:val="both"/>
        <w:rPr>
          <w:i/>
        </w:rPr>
      </w:pPr>
    </w:p>
    <w:p w:rsidR="002E3E50" w:rsidRDefault="002E3E50" w:rsidP="002B03FA">
      <w:pPr>
        <w:pStyle w:val="Kop1"/>
        <w:spacing w:line="360" w:lineRule="auto"/>
        <w:jc w:val="both"/>
        <w:rPr>
          <w:rFonts w:cs="Times New Roman"/>
          <w:sz w:val="20"/>
          <w:szCs w:val="20"/>
        </w:rPr>
      </w:pPr>
      <w:bookmarkStart w:id="205" w:name="_Toc268186088"/>
    </w:p>
    <w:p w:rsidR="002E3E50" w:rsidRDefault="002E3E50" w:rsidP="002B03FA">
      <w:pPr>
        <w:pStyle w:val="Kop1"/>
        <w:spacing w:line="360" w:lineRule="auto"/>
        <w:jc w:val="both"/>
        <w:rPr>
          <w:rFonts w:cs="Times New Roman"/>
          <w:sz w:val="20"/>
          <w:szCs w:val="20"/>
        </w:rPr>
      </w:pPr>
    </w:p>
    <w:p w:rsidR="002E3E50" w:rsidRDefault="002E3E50" w:rsidP="002B03FA">
      <w:pPr>
        <w:pStyle w:val="Kop1"/>
        <w:spacing w:line="360" w:lineRule="auto"/>
        <w:jc w:val="both"/>
        <w:rPr>
          <w:rFonts w:cs="Times New Roman"/>
          <w:sz w:val="20"/>
          <w:szCs w:val="20"/>
        </w:rPr>
      </w:pPr>
    </w:p>
    <w:p w:rsidR="002E3E50" w:rsidRDefault="002E3E50" w:rsidP="002B03FA">
      <w:pPr>
        <w:pStyle w:val="Kop1"/>
        <w:spacing w:line="360" w:lineRule="auto"/>
        <w:jc w:val="both"/>
        <w:rPr>
          <w:rFonts w:cs="Times New Roman"/>
          <w:sz w:val="20"/>
          <w:szCs w:val="20"/>
        </w:rPr>
      </w:pPr>
    </w:p>
    <w:p w:rsidR="002E3E50" w:rsidRDefault="002E3E50" w:rsidP="002B03FA">
      <w:pPr>
        <w:pStyle w:val="Kop1"/>
        <w:spacing w:line="360" w:lineRule="auto"/>
        <w:jc w:val="both"/>
        <w:rPr>
          <w:rFonts w:cs="Times New Roman"/>
          <w:sz w:val="20"/>
          <w:szCs w:val="20"/>
        </w:rPr>
      </w:pPr>
    </w:p>
    <w:p w:rsidR="002E3E50" w:rsidRDefault="002E3E50" w:rsidP="002B03FA">
      <w:pPr>
        <w:pStyle w:val="Kop1"/>
        <w:spacing w:line="360" w:lineRule="auto"/>
        <w:jc w:val="both"/>
        <w:rPr>
          <w:b w:val="0"/>
          <w:bCs w:val="0"/>
          <w:kern w:val="0"/>
          <w:sz w:val="24"/>
          <w:szCs w:val="24"/>
        </w:rPr>
      </w:pPr>
    </w:p>
    <w:p w:rsidR="002E3E50" w:rsidRPr="002E3E50" w:rsidRDefault="002E3E50" w:rsidP="002E3E50"/>
    <w:p w:rsidR="003F4E6D" w:rsidRPr="002E3E50" w:rsidRDefault="003F4E6D" w:rsidP="002B03FA">
      <w:pPr>
        <w:pStyle w:val="Kop1"/>
        <w:spacing w:line="360" w:lineRule="auto"/>
        <w:jc w:val="both"/>
        <w:rPr>
          <w:rFonts w:cs="Times New Roman"/>
          <w:szCs w:val="28"/>
        </w:rPr>
      </w:pPr>
      <w:r w:rsidRPr="002E3E50">
        <w:rPr>
          <w:rFonts w:cs="Times New Roman"/>
          <w:szCs w:val="28"/>
        </w:rPr>
        <w:lastRenderedPageBreak/>
        <w:t>Appendix 1 Reference List</w:t>
      </w:r>
      <w:bookmarkEnd w:id="205"/>
    </w:p>
    <w:p w:rsidR="003F4E6D" w:rsidRPr="002B03FA" w:rsidRDefault="003F4E6D" w:rsidP="002B03FA">
      <w:pPr>
        <w:spacing w:line="360" w:lineRule="auto"/>
        <w:jc w:val="both"/>
        <w:rPr>
          <w:rFonts w:cs="Times New Roman"/>
          <w:b/>
          <w:sz w:val="20"/>
          <w:szCs w:val="20"/>
          <w:lang w:val="en-US"/>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Accounting Principles Board (APB), 1965. Accounting Principles Board Opinion No. 6, Status of Accounting Research Bulletins. American Institute of Certified Public Accountants (AICPA), New York.</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Accounting Principles Board (APB), 1973. Accounting Principles Board Opinion No. 30, Reporting the results of operations. American Institute of Certified Public Accountants (AICPA), New York.</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rPr>
        <w:t xml:space="preserve">Amir, Trevor S. Harris and Elizabeth K. </w:t>
      </w:r>
      <w:r w:rsidR="002C33CA" w:rsidRPr="002B03FA">
        <w:rPr>
          <w:rFonts w:cs="Times New Roman"/>
          <w:sz w:val="20"/>
          <w:szCs w:val="20"/>
        </w:rPr>
        <w:t>Venturi</w:t>
      </w:r>
      <w:r w:rsidRPr="002B03FA">
        <w:rPr>
          <w:rFonts w:cs="Times New Roman"/>
          <w:sz w:val="20"/>
          <w:szCs w:val="20"/>
        </w:rPr>
        <w:t xml:space="preserve"> </w:t>
      </w:r>
      <w:hyperlink r:id="rId13" w:history="1">
        <w:r w:rsidRPr="002B03FA">
          <w:rPr>
            <w:rStyle w:val="Hyperlink"/>
            <w:i/>
            <w:iCs/>
            <w:color w:val="auto"/>
            <w:sz w:val="20"/>
            <w:szCs w:val="20"/>
            <w:u w:val="none"/>
          </w:rPr>
          <w:t>Journal of Accounting Research</w:t>
        </w:r>
      </w:hyperlink>
      <w:r w:rsidRPr="002B03FA">
        <w:rPr>
          <w:rFonts w:cs="Times New Roman"/>
          <w:sz w:val="20"/>
          <w:szCs w:val="20"/>
        </w:rPr>
        <w:t xml:space="preserve">, Vol. 31, Studies on International Accounting (1993), pp. 230-264 Published by: </w:t>
      </w:r>
      <w:hyperlink r:id="rId14" w:history="1">
        <w:r w:rsidRPr="002B03FA">
          <w:rPr>
            <w:rStyle w:val="Hyperlink"/>
            <w:color w:val="auto"/>
            <w:sz w:val="20"/>
            <w:szCs w:val="20"/>
            <w:u w:val="none"/>
          </w:rPr>
          <w:t>Blackwell Publishing</w:t>
        </w:r>
      </w:hyperlink>
      <w:r w:rsidRPr="002B03FA">
        <w:rPr>
          <w:rFonts w:cs="Times New Roman"/>
          <w:sz w:val="20"/>
          <w:szCs w:val="20"/>
        </w:rPr>
        <w:t xml:space="preserve"> on behalf of </w:t>
      </w:r>
      <w:hyperlink r:id="rId15" w:history="1">
        <w:r w:rsidRPr="002B03FA">
          <w:rPr>
            <w:rStyle w:val="Hyperlink"/>
            <w:color w:val="auto"/>
            <w:sz w:val="20"/>
            <w:szCs w:val="20"/>
            <w:u w:val="none"/>
          </w:rPr>
          <w:t>Accounting Research Center, Booth School of Business, University of Chicago</w:t>
        </w:r>
      </w:hyperlink>
    </w:p>
    <w:p w:rsidR="003F4E6D" w:rsidRPr="002B03FA" w:rsidRDefault="003F4E6D" w:rsidP="002B03FA">
      <w:pPr>
        <w:spacing w:line="360" w:lineRule="auto"/>
        <w:jc w:val="both"/>
        <w:rPr>
          <w:rFonts w:cs="Times New Roman"/>
          <w:sz w:val="20"/>
          <w:szCs w:val="20"/>
          <w:lang w:val="en-GB"/>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Ball, R., Brown, P., 1968, An empirical evaluation of accounting income numbers, Journal of</w:t>
      </w:r>
    </w:p>
    <w:p w:rsidR="003F4E6D" w:rsidRPr="002B03FA" w:rsidRDefault="003F4E6D" w:rsidP="002B03FA">
      <w:pPr>
        <w:spacing w:line="360" w:lineRule="auto"/>
        <w:jc w:val="both"/>
        <w:rPr>
          <w:rFonts w:cs="Times New Roman"/>
          <w:sz w:val="20"/>
          <w:szCs w:val="20"/>
          <w:lang w:val="en-GB"/>
        </w:rPr>
      </w:pPr>
      <w:r w:rsidRPr="002B03FA">
        <w:rPr>
          <w:rFonts w:cs="Times New Roman"/>
          <w:sz w:val="20"/>
          <w:szCs w:val="20"/>
          <w:lang w:val="en-US" w:eastAsia="en-US" w:bidi="ar-SA"/>
        </w:rPr>
        <w:t>Accounting Research 6, 159-177.</w:t>
      </w:r>
    </w:p>
    <w:p w:rsidR="003F4E6D" w:rsidRPr="002B03FA" w:rsidRDefault="003F4E6D" w:rsidP="002B03FA">
      <w:pPr>
        <w:spacing w:line="360" w:lineRule="auto"/>
        <w:jc w:val="both"/>
        <w:rPr>
          <w:rFonts w:cs="Times New Roman"/>
          <w:sz w:val="20"/>
          <w:szCs w:val="20"/>
          <w:lang w:val="en-GB"/>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Ball, R., Robin, A., 1999, Time-series properties of accounting earnings: International evidence, unpublished, University of Rochester and Rochester Institute of Technology, May.</w:t>
      </w:r>
    </w:p>
    <w:p w:rsidR="003F4E6D" w:rsidRPr="002B03FA" w:rsidRDefault="003F4E6D" w:rsidP="002B03FA">
      <w:pPr>
        <w:spacing w:line="360" w:lineRule="auto"/>
        <w:jc w:val="both"/>
        <w:rPr>
          <w:rFonts w:cs="Times New Roman"/>
          <w:sz w:val="20"/>
          <w:szCs w:val="20"/>
          <w:lang w:val="en-GB"/>
        </w:rPr>
      </w:pPr>
    </w:p>
    <w:p w:rsidR="003F4E6D" w:rsidRPr="002B03FA" w:rsidRDefault="003F4E6D" w:rsidP="002B03FA">
      <w:pPr>
        <w:spacing w:line="360" w:lineRule="auto"/>
        <w:jc w:val="both"/>
        <w:rPr>
          <w:rFonts w:cs="Times New Roman"/>
          <w:sz w:val="20"/>
          <w:szCs w:val="20"/>
          <w:lang w:val="en-GB"/>
        </w:rPr>
      </w:pPr>
      <w:r w:rsidRPr="002B03FA">
        <w:rPr>
          <w:rFonts w:cs="Times New Roman"/>
          <w:sz w:val="20"/>
          <w:szCs w:val="20"/>
          <w:lang w:val="en-GB"/>
        </w:rPr>
        <w:t xml:space="preserve">Ball, R., S.P. Kothari, and A. Robin (2000), The effect of international institutional factors on properties of accounting earnings, </w:t>
      </w:r>
      <w:r w:rsidRPr="002B03FA">
        <w:rPr>
          <w:rFonts w:cs="Times New Roman"/>
          <w:i/>
          <w:sz w:val="20"/>
          <w:szCs w:val="20"/>
          <w:lang w:val="en-GB"/>
        </w:rPr>
        <w:t>Journal of Accounting and Economics</w:t>
      </w:r>
      <w:r w:rsidRPr="002B03FA">
        <w:rPr>
          <w:rFonts w:cs="Times New Roman"/>
          <w:sz w:val="20"/>
          <w:szCs w:val="20"/>
          <w:lang w:val="en-GB"/>
        </w:rPr>
        <w:t>, vol. 29, pp. 1-51.</w:t>
      </w:r>
    </w:p>
    <w:p w:rsidR="003F4E6D" w:rsidRPr="002B03FA" w:rsidRDefault="003F4E6D" w:rsidP="002B03FA">
      <w:pPr>
        <w:spacing w:line="360" w:lineRule="auto"/>
        <w:jc w:val="both"/>
        <w:rPr>
          <w:rFonts w:cs="Times New Roman"/>
          <w:sz w:val="20"/>
          <w:szCs w:val="20"/>
          <w:lang w:val="en-GB"/>
        </w:rPr>
      </w:pPr>
    </w:p>
    <w:p w:rsidR="003F4E6D" w:rsidRPr="002B03FA" w:rsidRDefault="003F4E6D" w:rsidP="002B03FA">
      <w:pPr>
        <w:autoSpaceDE w:val="0"/>
        <w:autoSpaceDN w:val="0"/>
        <w:adjustRightInd w:val="0"/>
        <w:spacing w:line="360" w:lineRule="auto"/>
        <w:jc w:val="both"/>
        <w:rPr>
          <w:rFonts w:cs="Times New Roman"/>
          <w:sz w:val="20"/>
          <w:szCs w:val="20"/>
        </w:rPr>
      </w:pPr>
      <w:r w:rsidRPr="002B03FA">
        <w:rPr>
          <w:rFonts w:cs="Times New Roman"/>
          <w:sz w:val="20"/>
          <w:szCs w:val="20"/>
        </w:rPr>
        <w:t xml:space="preserve">Ball R. Kothari S. P. Nikolayev V. (2009) “Econometrics of the Basu Asymmetric Timeliness Coefficient and Accounting conservatism” </w:t>
      </w:r>
      <w:r w:rsidRPr="002B03FA">
        <w:rPr>
          <w:rFonts w:cs="Times New Roman"/>
          <w:i/>
          <w:iCs/>
          <w:sz w:val="20"/>
          <w:szCs w:val="20"/>
        </w:rPr>
        <w:t xml:space="preserve">Chicago Booth School of Business Research Paper Series </w:t>
      </w:r>
      <w:r w:rsidRPr="002B03FA">
        <w:rPr>
          <w:rFonts w:cs="Times New Roman"/>
          <w:sz w:val="20"/>
          <w:szCs w:val="20"/>
        </w:rPr>
        <w:t>No. 9-16</w:t>
      </w:r>
    </w:p>
    <w:p w:rsidR="003F4E6D" w:rsidRPr="002B03FA" w:rsidRDefault="003F4E6D" w:rsidP="002B03FA">
      <w:pPr>
        <w:autoSpaceDE w:val="0"/>
        <w:autoSpaceDN w:val="0"/>
        <w:adjustRightInd w:val="0"/>
        <w:spacing w:line="360" w:lineRule="auto"/>
        <w:jc w:val="both"/>
        <w:rPr>
          <w:rFonts w:cs="Times New Roman"/>
          <w:sz w:val="20"/>
          <w:szCs w:val="20"/>
          <w:lang w:val="en-GB"/>
        </w:rPr>
      </w:pPr>
    </w:p>
    <w:p w:rsidR="003F4E6D" w:rsidRPr="002B03FA" w:rsidRDefault="003F4E6D" w:rsidP="002B03FA">
      <w:pPr>
        <w:autoSpaceDE w:val="0"/>
        <w:autoSpaceDN w:val="0"/>
        <w:adjustRightInd w:val="0"/>
        <w:spacing w:line="360" w:lineRule="auto"/>
        <w:jc w:val="both"/>
        <w:rPr>
          <w:rFonts w:cs="Times New Roman"/>
          <w:sz w:val="20"/>
          <w:szCs w:val="20"/>
          <w:lang w:val="en-GB"/>
        </w:rPr>
      </w:pPr>
      <w:r w:rsidRPr="002B03FA">
        <w:rPr>
          <w:rFonts w:cs="Times New Roman"/>
          <w:sz w:val="20"/>
          <w:szCs w:val="20"/>
          <w:lang w:val="en-GB"/>
        </w:rPr>
        <w:t xml:space="preserve">Ball, R., and L. Shivakumar (2005), The role of accruals in asymmetrically timely gain and loss recognition, </w:t>
      </w:r>
      <w:r w:rsidRPr="002B03FA">
        <w:rPr>
          <w:rFonts w:cs="Times New Roman"/>
          <w:i/>
          <w:sz w:val="20"/>
          <w:szCs w:val="20"/>
          <w:lang w:val="en-GB"/>
        </w:rPr>
        <w:t>Journal of Accounting Research</w:t>
      </w:r>
      <w:r w:rsidRPr="002B03FA">
        <w:rPr>
          <w:rFonts w:cs="Times New Roman"/>
          <w:sz w:val="20"/>
          <w:szCs w:val="20"/>
          <w:lang w:val="en-GB"/>
        </w:rPr>
        <w:t>, vol. 44, no. 2, pp. 207-242. Guay, W., Discussion, pp. 243-255.</w:t>
      </w:r>
    </w:p>
    <w:p w:rsidR="003F4E6D" w:rsidRPr="002B03FA" w:rsidRDefault="003F4E6D" w:rsidP="002B03FA">
      <w:pPr>
        <w:autoSpaceDE w:val="0"/>
        <w:autoSpaceDN w:val="0"/>
        <w:adjustRightInd w:val="0"/>
        <w:spacing w:line="360" w:lineRule="auto"/>
        <w:jc w:val="both"/>
        <w:rPr>
          <w:rFonts w:cs="Times New Roman"/>
          <w:sz w:val="20"/>
          <w:szCs w:val="20"/>
          <w:lang w:val="en-GB"/>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 xml:space="preserve">Ball, R., A. Robin and J. Wu, ‘‘Incentives Versus Standards: Properties of Accounting Income in Four East Asian Countries, </w:t>
      </w:r>
      <w:r w:rsidRPr="002B03FA">
        <w:rPr>
          <w:rFonts w:cs="Times New Roman"/>
          <w:i/>
          <w:sz w:val="20"/>
          <w:szCs w:val="20"/>
          <w:lang w:val="en-US" w:eastAsia="en-US" w:bidi="ar-SA"/>
        </w:rPr>
        <w:t>Journal of Accounting and Economics</w:t>
      </w:r>
      <w:r w:rsidRPr="002B03FA">
        <w:rPr>
          <w:rFonts w:cs="Times New Roman"/>
          <w:sz w:val="20"/>
          <w:szCs w:val="20"/>
          <w:lang w:val="en-US" w:eastAsia="en-US" w:bidi="ar-SA"/>
        </w:rPr>
        <w:t xml:space="preserve"> (2003), pp. 36: 235–270.</w:t>
      </w: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 xml:space="preserve">Balin B, </w:t>
      </w:r>
      <w:r w:rsidRPr="002B03FA">
        <w:rPr>
          <w:rFonts w:cs="Times New Roman"/>
          <w:i/>
          <w:sz w:val="20"/>
          <w:szCs w:val="20"/>
          <w:lang w:val="en-US" w:eastAsia="en-US" w:bidi="ar-SA"/>
        </w:rPr>
        <w:t xml:space="preserve">Basel Ι, Basle Ι,  and emerging markets a nontechnical analyses </w:t>
      </w:r>
      <w:r w:rsidRPr="002B03FA">
        <w:rPr>
          <w:rFonts w:cs="Times New Roman"/>
          <w:sz w:val="20"/>
          <w:szCs w:val="20"/>
          <w:lang w:val="en-US" w:eastAsia="en-US" w:bidi="ar-SA"/>
        </w:rPr>
        <w:t>(2008)</w:t>
      </w: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Basu, S. 1995. Conservatism and the asymmetric timeliness of earnings. Ph.D. thesis. University of Rochester, New York.</w:t>
      </w:r>
    </w:p>
    <w:p w:rsidR="00221B51" w:rsidRDefault="00221B51" w:rsidP="002B03FA">
      <w:pPr>
        <w:autoSpaceDE w:val="0"/>
        <w:autoSpaceDN w:val="0"/>
        <w:adjustRightInd w:val="0"/>
        <w:spacing w:line="360" w:lineRule="auto"/>
        <w:jc w:val="both"/>
        <w:rPr>
          <w:rFonts w:cs="Times New Roman"/>
          <w:sz w:val="20"/>
          <w:szCs w:val="20"/>
          <w:lang w:val="en-US" w:eastAsia="nl-NL" w:bidi="ar-SA"/>
        </w:rPr>
      </w:pPr>
    </w:p>
    <w:p w:rsidR="00221B51" w:rsidRDefault="00221B51" w:rsidP="002B03FA">
      <w:pPr>
        <w:autoSpaceDE w:val="0"/>
        <w:autoSpaceDN w:val="0"/>
        <w:adjustRightInd w:val="0"/>
        <w:spacing w:line="360" w:lineRule="auto"/>
        <w:jc w:val="both"/>
        <w:rPr>
          <w:rFonts w:cs="Times New Roman"/>
          <w:sz w:val="20"/>
          <w:szCs w:val="20"/>
          <w:lang w:val="en-US" w:eastAsia="nl-NL" w:bidi="ar-SA"/>
        </w:rPr>
      </w:pPr>
      <w:r>
        <w:rPr>
          <w:rFonts w:cs="Times New Roman"/>
          <w:sz w:val="20"/>
          <w:szCs w:val="20"/>
          <w:lang w:val="en-US" w:eastAsia="nl-NL" w:bidi="ar-SA"/>
        </w:rPr>
        <w:t xml:space="preserve">Basu, S. 2005. Discussion of  “Conditional and unconditional Conservatism: Concepts and Modeling”, </w:t>
      </w:r>
      <w:r w:rsidRPr="00221B51">
        <w:rPr>
          <w:rFonts w:cs="Times New Roman"/>
          <w:i/>
          <w:sz w:val="20"/>
          <w:szCs w:val="20"/>
          <w:lang w:val="en-US" w:eastAsia="nl-NL" w:bidi="ar-SA"/>
        </w:rPr>
        <w:t>Review of Accounting Studies</w:t>
      </w:r>
      <w:r>
        <w:rPr>
          <w:rFonts w:cs="Times New Roman"/>
          <w:sz w:val="20"/>
          <w:szCs w:val="20"/>
          <w:lang w:val="en-US" w:eastAsia="nl-NL" w:bidi="ar-SA"/>
        </w:rPr>
        <w:t>, 10, 311-321</w:t>
      </w:r>
    </w:p>
    <w:p w:rsidR="00221B51" w:rsidRPr="002B03FA" w:rsidRDefault="00221B51"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GB"/>
        </w:rPr>
      </w:pPr>
      <w:r w:rsidRPr="002B03FA">
        <w:rPr>
          <w:rFonts w:cs="Times New Roman"/>
          <w:sz w:val="20"/>
          <w:szCs w:val="20"/>
          <w:lang w:val="en-GB"/>
        </w:rPr>
        <w:t xml:space="preserve">Basu, S. (1997), The conservatism principle and the asymmetric timeliness of earnings. </w:t>
      </w:r>
      <w:r w:rsidRPr="002B03FA">
        <w:rPr>
          <w:rFonts w:cs="Times New Roman"/>
          <w:i/>
          <w:iCs/>
          <w:sz w:val="20"/>
          <w:szCs w:val="20"/>
          <w:lang w:val="en-GB"/>
        </w:rPr>
        <w:t>Journal of Accounting and Economics</w:t>
      </w:r>
      <w:r w:rsidRPr="002B03FA">
        <w:rPr>
          <w:rFonts w:cs="Times New Roman"/>
          <w:sz w:val="20"/>
          <w:szCs w:val="20"/>
          <w:lang w:val="en-GB"/>
        </w:rPr>
        <w:t>, vol. 24, no. 1, pp. 3 – 37.</w:t>
      </w: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lastRenderedPageBreak/>
        <w:t>Basu, S., Hwang, L., Jan, C., 2001a, Auditor conservatism and quarterly earnings, Working Paper, Baruch College, CUNY.</w:t>
      </w:r>
    </w:p>
    <w:p w:rsidR="00195135" w:rsidRDefault="00195135" w:rsidP="002B03FA">
      <w:pPr>
        <w:autoSpaceDE w:val="0"/>
        <w:autoSpaceDN w:val="0"/>
        <w:adjustRightInd w:val="0"/>
        <w:spacing w:line="360" w:lineRule="auto"/>
        <w:jc w:val="both"/>
        <w:rPr>
          <w:rFonts w:cs="Times New Roman"/>
          <w:sz w:val="20"/>
          <w:szCs w:val="20"/>
          <w:lang w:val="en-US" w:eastAsia="en-US"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Basu, S., Hwang, L., Jan, C., 2001b, Differences in conservatism between big eight and non-big eight auditors, Working Paper, Baruch College, CUNY.</w:t>
      </w:r>
    </w:p>
    <w:p w:rsidR="003F4E6D" w:rsidRPr="002B03FA" w:rsidRDefault="003F4E6D" w:rsidP="002B03FA">
      <w:pPr>
        <w:autoSpaceDE w:val="0"/>
        <w:autoSpaceDN w:val="0"/>
        <w:adjustRightInd w:val="0"/>
        <w:spacing w:line="360" w:lineRule="auto"/>
        <w:jc w:val="both"/>
        <w:rPr>
          <w:rFonts w:cs="Times New Roman"/>
          <w:sz w:val="20"/>
          <w:szCs w:val="20"/>
          <w:lang w:val="en-GB"/>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Beaver, W. H. 1993. Conservatism. Working paper, Stanford University (presented at the American Accounting Association Annual Meeting, San Francisco, CA).</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i/>
          <w:sz w:val="20"/>
          <w:szCs w:val="20"/>
          <w:lang w:val="en-US" w:eastAsia="en-US" w:bidi="ar-SA"/>
        </w:rPr>
      </w:pPr>
      <w:r w:rsidRPr="002B03FA">
        <w:rPr>
          <w:rFonts w:cs="Times New Roman"/>
          <w:sz w:val="20"/>
          <w:szCs w:val="20"/>
          <w:lang w:val="en-US" w:eastAsia="en-US" w:bidi="ar-SA"/>
        </w:rPr>
        <w:t xml:space="preserve">Beaver, W., Lambert, R., Morse, D., 1980, The information content of security prices, </w:t>
      </w:r>
      <w:r w:rsidRPr="002B03FA">
        <w:rPr>
          <w:rFonts w:cs="Times New Roman"/>
          <w:i/>
          <w:sz w:val="20"/>
          <w:szCs w:val="20"/>
          <w:lang w:val="en-US" w:eastAsia="en-US" w:bidi="ar-SA"/>
        </w:rPr>
        <w:t>Journal of</w:t>
      </w: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i/>
          <w:sz w:val="20"/>
          <w:szCs w:val="20"/>
          <w:lang w:val="en-US" w:eastAsia="en-US" w:bidi="ar-SA"/>
        </w:rPr>
        <w:t xml:space="preserve">Accounting &amp; Economics </w:t>
      </w:r>
      <w:r w:rsidRPr="002B03FA">
        <w:rPr>
          <w:rFonts w:cs="Times New Roman"/>
          <w:sz w:val="20"/>
          <w:szCs w:val="20"/>
          <w:lang w:val="en-US" w:eastAsia="en-US" w:bidi="ar-SA"/>
        </w:rPr>
        <w:t>2, 3-28.</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Beaver, W. H., and S. G. Ryan. 2000. Biases and lags in book value and their effects on the ability of the book to-market ratio to predict book return on equity. </w:t>
      </w:r>
      <w:r w:rsidRPr="002B03FA">
        <w:rPr>
          <w:rFonts w:cs="Times New Roman"/>
          <w:i/>
          <w:iCs/>
          <w:sz w:val="20"/>
          <w:szCs w:val="20"/>
          <w:lang w:val="en-US" w:eastAsia="nl-NL" w:bidi="ar-SA"/>
        </w:rPr>
        <w:t xml:space="preserve">Journal of Accounting Research </w:t>
      </w:r>
      <w:r w:rsidRPr="002B03FA">
        <w:rPr>
          <w:rFonts w:cs="Times New Roman"/>
          <w:sz w:val="20"/>
          <w:szCs w:val="20"/>
          <w:lang w:val="en-US" w:eastAsia="nl-NL" w:bidi="ar-SA"/>
        </w:rPr>
        <w:t>38 (Spring): 127.148.</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GB"/>
        </w:rPr>
      </w:pPr>
      <w:r w:rsidRPr="002B03FA">
        <w:rPr>
          <w:rFonts w:cs="Times New Roman"/>
          <w:sz w:val="20"/>
          <w:szCs w:val="20"/>
          <w:lang w:val="en-GB"/>
        </w:rPr>
        <w:t xml:space="preserve">Beaver, W.H., and S.G. Ryan (2005), Conditional and unconditional conservatism: concepts and modelling, </w:t>
      </w:r>
      <w:r w:rsidRPr="002B03FA">
        <w:rPr>
          <w:rFonts w:cs="Times New Roman"/>
          <w:i/>
          <w:sz w:val="20"/>
          <w:szCs w:val="20"/>
          <w:lang w:val="en-GB"/>
        </w:rPr>
        <w:t>Review of Accounting Studies</w:t>
      </w:r>
      <w:r w:rsidRPr="002B03FA">
        <w:rPr>
          <w:rFonts w:cs="Times New Roman"/>
          <w:sz w:val="20"/>
          <w:szCs w:val="20"/>
          <w:lang w:val="en-GB"/>
        </w:rPr>
        <w:t>, vol. 10, pp. 269-309.</w:t>
      </w:r>
    </w:p>
    <w:p w:rsidR="003F4E6D" w:rsidRPr="002B03FA" w:rsidRDefault="003F4E6D" w:rsidP="002B03FA">
      <w:pPr>
        <w:autoSpaceDE w:val="0"/>
        <w:autoSpaceDN w:val="0"/>
        <w:adjustRightInd w:val="0"/>
        <w:spacing w:line="360" w:lineRule="auto"/>
        <w:jc w:val="both"/>
        <w:rPr>
          <w:rFonts w:cs="Times New Roman"/>
          <w:sz w:val="20"/>
          <w:szCs w:val="20"/>
          <w:lang w:val="en-GB"/>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Belkaoui, A., 1985. Accounting theory. 2nd edition., Harcourt Brace Jovanovich, Orlando,</w:t>
      </w:r>
    </w:p>
    <w:p w:rsidR="003F4E6D" w:rsidRPr="002B03FA" w:rsidRDefault="003F4E6D" w:rsidP="002B03FA">
      <w:pPr>
        <w:spacing w:line="360" w:lineRule="auto"/>
        <w:jc w:val="both"/>
        <w:rPr>
          <w:rFonts w:cs="Times New Roman"/>
          <w:sz w:val="20"/>
          <w:szCs w:val="20"/>
          <w:lang w:val="en-US" w:eastAsia="nl-NL" w:bidi="ar-SA"/>
        </w:rPr>
      </w:pPr>
      <w:r w:rsidRPr="002B03FA">
        <w:rPr>
          <w:rFonts w:cs="Times New Roman"/>
          <w:sz w:val="20"/>
          <w:szCs w:val="20"/>
          <w:lang w:val="en-US" w:eastAsia="nl-NL" w:bidi="ar-SA"/>
        </w:rPr>
        <w:t>Florida.</w:t>
      </w:r>
    </w:p>
    <w:p w:rsidR="003F4E6D" w:rsidRPr="002B03FA" w:rsidRDefault="003F4E6D" w:rsidP="002B03FA">
      <w:pPr>
        <w:spacing w:line="360" w:lineRule="auto"/>
        <w:jc w:val="both"/>
        <w:rPr>
          <w:rFonts w:cs="Times New Roman"/>
          <w:sz w:val="20"/>
          <w:szCs w:val="20"/>
          <w:lang w:val="en-US"/>
        </w:rPr>
      </w:pPr>
    </w:p>
    <w:p w:rsidR="003F4E6D" w:rsidRPr="002B03FA" w:rsidRDefault="003F4E6D" w:rsidP="002B03FA">
      <w:pPr>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Bliss, J, H, 1924, </w:t>
      </w:r>
      <w:r w:rsidRPr="002B03FA">
        <w:rPr>
          <w:rFonts w:cs="Times New Roman"/>
          <w:i/>
          <w:iCs/>
          <w:sz w:val="20"/>
          <w:szCs w:val="20"/>
          <w:lang w:val="en-US" w:eastAsia="nl-NL" w:bidi="ar-SA"/>
        </w:rPr>
        <w:t xml:space="preserve">Management through Accounts. </w:t>
      </w:r>
      <w:r w:rsidRPr="002B03FA">
        <w:rPr>
          <w:rFonts w:cs="Times New Roman"/>
          <w:sz w:val="20"/>
          <w:szCs w:val="20"/>
          <w:lang w:val="en-US" w:eastAsia="nl-NL" w:bidi="ar-SA"/>
        </w:rPr>
        <w:t>New York, NY: The Ronald Press Co.</w:t>
      </w:r>
    </w:p>
    <w:p w:rsidR="003F4E6D" w:rsidRPr="002B03FA" w:rsidRDefault="003F4E6D" w:rsidP="002B03FA">
      <w:pPr>
        <w:spacing w:line="360" w:lineRule="auto"/>
        <w:jc w:val="both"/>
        <w:rPr>
          <w:rFonts w:cs="Times New Roman"/>
          <w:sz w:val="20"/>
          <w:szCs w:val="20"/>
          <w:lang w:val="en-US"/>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Brooks, L., and D. Buckmaster. 1976. Further evidence of the time series properties of accounting income. </w:t>
      </w:r>
      <w:r w:rsidRPr="002B03FA">
        <w:rPr>
          <w:rFonts w:cs="Times New Roman"/>
          <w:i/>
          <w:iCs/>
          <w:sz w:val="20"/>
          <w:szCs w:val="20"/>
          <w:lang w:val="en-US" w:eastAsia="nl-NL" w:bidi="ar-SA"/>
        </w:rPr>
        <w:t xml:space="preserve">Journal of Finance </w:t>
      </w:r>
      <w:r w:rsidRPr="002B03FA">
        <w:rPr>
          <w:rFonts w:cs="Times New Roman"/>
          <w:sz w:val="20"/>
          <w:szCs w:val="20"/>
          <w:lang w:val="en-US" w:eastAsia="nl-NL" w:bidi="ar-SA"/>
        </w:rPr>
        <w:t>31 (5): 1359.1373.</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F70590" w:rsidRPr="002B03FA" w:rsidRDefault="00F70590"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Brooks, C. “Introductory econometrics for Finance”, 2</w:t>
      </w:r>
      <w:r w:rsidRPr="002B03FA">
        <w:rPr>
          <w:rFonts w:cs="Times New Roman"/>
          <w:sz w:val="20"/>
          <w:szCs w:val="20"/>
          <w:vertAlign w:val="superscript"/>
          <w:lang w:val="en-US" w:eastAsia="nl-NL" w:bidi="ar-SA"/>
        </w:rPr>
        <w:t>nd</w:t>
      </w:r>
      <w:r w:rsidRPr="002B03FA">
        <w:rPr>
          <w:rFonts w:cs="Times New Roman"/>
          <w:sz w:val="20"/>
          <w:szCs w:val="20"/>
          <w:lang w:val="en-US" w:eastAsia="nl-NL" w:bidi="ar-SA"/>
        </w:rPr>
        <w:t xml:space="preserve"> edition</w:t>
      </w:r>
    </w:p>
    <w:p w:rsidR="00F70590" w:rsidRPr="002B03FA" w:rsidRDefault="00F70590"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Dechow, P.M., 1994. Accounting earnings and cash flows as measures of firm performance: The role</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en-US" w:bidi="ar-SA"/>
        </w:rPr>
        <w:t>of accounting accruals</w:t>
      </w:r>
      <w:r w:rsidRPr="002B03FA">
        <w:rPr>
          <w:rFonts w:cs="Times New Roman"/>
          <w:i/>
          <w:sz w:val="20"/>
          <w:szCs w:val="20"/>
          <w:lang w:val="en-US" w:eastAsia="en-US" w:bidi="ar-SA"/>
        </w:rPr>
        <w:t xml:space="preserve">. Journal of Accounting and Economics </w:t>
      </w:r>
      <w:r w:rsidRPr="002B03FA">
        <w:rPr>
          <w:rFonts w:cs="Times New Roman"/>
          <w:sz w:val="20"/>
          <w:szCs w:val="20"/>
          <w:lang w:val="en-US" w:eastAsia="en-US" w:bidi="ar-SA"/>
        </w:rPr>
        <w:t>18, 3 42.</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rPr>
      </w:pPr>
      <w:r w:rsidRPr="002B03FA">
        <w:rPr>
          <w:rFonts w:cs="Times New Roman"/>
          <w:sz w:val="20"/>
          <w:szCs w:val="20"/>
          <w:lang w:val="en-US"/>
        </w:rPr>
        <w:t xml:space="preserve">Dietrich, J.R., K.A. Muller III, and E.J. Riedl (2007), Asymmetric timeliness tests of accounting conservatism, </w:t>
      </w:r>
      <w:r w:rsidRPr="002B03FA">
        <w:rPr>
          <w:rFonts w:cs="Times New Roman"/>
          <w:i/>
          <w:sz w:val="20"/>
          <w:szCs w:val="20"/>
          <w:lang w:val="en-US"/>
        </w:rPr>
        <w:t>Review of Accounting Studies</w:t>
      </w:r>
      <w:r w:rsidRPr="002B03FA">
        <w:rPr>
          <w:rFonts w:cs="Times New Roman"/>
          <w:sz w:val="20"/>
          <w:szCs w:val="20"/>
          <w:lang w:val="en-US"/>
        </w:rPr>
        <w:t>, vol. 12, pp. 95-124.</w:t>
      </w:r>
    </w:p>
    <w:p w:rsidR="003F4E6D" w:rsidRPr="002B03FA" w:rsidRDefault="003F4E6D" w:rsidP="002B03FA">
      <w:pPr>
        <w:autoSpaceDE w:val="0"/>
        <w:autoSpaceDN w:val="0"/>
        <w:adjustRightInd w:val="0"/>
        <w:spacing w:line="360" w:lineRule="auto"/>
        <w:jc w:val="both"/>
        <w:rPr>
          <w:rFonts w:cs="Times New Roman"/>
          <w:sz w:val="20"/>
          <w:szCs w:val="20"/>
          <w:lang w:val="en-US"/>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Easton, Peter E., and Mark E. Zmijewski, 1989, Cross-sectional variation in the stock market response</w:t>
      </w: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 xml:space="preserve">to accounting earnings announcements, </w:t>
      </w:r>
      <w:r w:rsidRPr="002B03FA">
        <w:rPr>
          <w:rFonts w:cs="Times New Roman"/>
          <w:i/>
          <w:sz w:val="20"/>
          <w:szCs w:val="20"/>
          <w:lang w:val="en-US" w:eastAsia="en-US" w:bidi="ar-SA"/>
        </w:rPr>
        <w:t>Journal of Accounting and Economics</w:t>
      </w:r>
      <w:r w:rsidRPr="002B03FA">
        <w:rPr>
          <w:rFonts w:cs="Times New Roman"/>
          <w:sz w:val="20"/>
          <w:szCs w:val="20"/>
          <w:lang w:val="en-US" w:eastAsia="en-US" w:bidi="ar-SA"/>
        </w:rPr>
        <w:t xml:space="preserve"> 11, 117-141.</w:t>
      </w:r>
    </w:p>
    <w:p w:rsidR="003F4E6D" w:rsidRPr="002B03FA" w:rsidRDefault="003F4E6D" w:rsidP="002B03FA">
      <w:pPr>
        <w:autoSpaceDE w:val="0"/>
        <w:autoSpaceDN w:val="0"/>
        <w:adjustRightInd w:val="0"/>
        <w:spacing w:line="360" w:lineRule="auto"/>
        <w:jc w:val="both"/>
        <w:rPr>
          <w:rFonts w:cs="Times New Roman"/>
          <w:sz w:val="20"/>
          <w:szCs w:val="20"/>
          <w:lang w:val="en-US"/>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Elgers, P. T., and M. H. Lo. 1994. Reduction in analysts. annual earnings forecast errors using information in prior earnings and security returns. </w:t>
      </w:r>
      <w:r w:rsidRPr="002B03FA">
        <w:rPr>
          <w:rFonts w:cs="Times New Roman"/>
          <w:i/>
          <w:iCs/>
          <w:sz w:val="20"/>
          <w:szCs w:val="20"/>
          <w:lang w:val="en-US" w:eastAsia="nl-NL" w:bidi="ar-SA"/>
        </w:rPr>
        <w:t xml:space="preserve">Journal of Accounting Research </w:t>
      </w:r>
      <w:r w:rsidRPr="002B03FA">
        <w:rPr>
          <w:rFonts w:cs="Times New Roman"/>
          <w:sz w:val="20"/>
          <w:szCs w:val="20"/>
          <w:lang w:val="en-US" w:eastAsia="nl-NL" w:bidi="ar-SA"/>
        </w:rPr>
        <w:t>32 (Autumn): 290.303.</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lastRenderedPageBreak/>
        <w:t xml:space="preserve">Feltham, G., and J. A. Ohlson. 1995. Valuation and clean surplus accounting for operating and financial activities. </w:t>
      </w:r>
      <w:r w:rsidRPr="002B03FA">
        <w:rPr>
          <w:rFonts w:cs="Times New Roman"/>
          <w:i/>
          <w:iCs/>
          <w:sz w:val="20"/>
          <w:szCs w:val="20"/>
          <w:lang w:val="en-US" w:eastAsia="nl-NL" w:bidi="ar-SA"/>
        </w:rPr>
        <w:t xml:space="preserve">Contemporary Accounting Research </w:t>
      </w:r>
      <w:r w:rsidRPr="002B03FA">
        <w:rPr>
          <w:rFonts w:cs="Times New Roman"/>
          <w:sz w:val="20"/>
          <w:szCs w:val="20"/>
          <w:lang w:val="en-US" w:eastAsia="nl-NL" w:bidi="ar-SA"/>
        </w:rPr>
        <w:t>11 (Spring): 689.731.</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DD0EEC" w:rsidRPr="002B03FA" w:rsidRDefault="003F4E6D" w:rsidP="002B03FA">
      <w:pPr>
        <w:autoSpaceDE w:val="0"/>
        <w:autoSpaceDN w:val="0"/>
        <w:adjustRightInd w:val="0"/>
        <w:spacing w:line="360" w:lineRule="auto"/>
        <w:jc w:val="both"/>
        <w:rPr>
          <w:rFonts w:cs="Times New Roman"/>
          <w:i/>
          <w:iCs/>
          <w:sz w:val="20"/>
          <w:szCs w:val="20"/>
          <w:lang w:val="en-US" w:eastAsia="nl-NL" w:bidi="ar-SA"/>
        </w:rPr>
      </w:pPr>
      <w:r w:rsidRPr="002B03FA">
        <w:rPr>
          <w:rFonts w:cs="Times New Roman"/>
          <w:sz w:val="20"/>
          <w:szCs w:val="20"/>
          <w:lang w:val="en-US" w:eastAsia="nl-NL" w:bidi="ar-SA"/>
        </w:rPr>
        <w:t xml:space="preserve">Feltham, G. and J. A. Ohlson. 1996. Uncertainty resolution and the theory of depreciation measurement. </w:t>
      </w:r>
      <w:r w:rsidRPr="002B03FA">
        <w:rPr>
          <w:rFonts w:cs="Times New Roman"/>
          <w:i/>
          <w:iCs/>
          <w:sz w:val="20"/>
          <w:szCs w:val="20"/>
          <w:lang w:val="en-US" w:eastAsia="nl-NL" w:bidi="ar-SA"/>
        </w:rPr>
        <w:t xml:space="preserve">Journal of Accounting Research </w:t>
      </w:r>
      <w:r w:rsidRPr="002B03FA">
        <w:rPr>
          <w:rFonts w:cs="Times New Roman"/>
          <w:sz w:val="20"/>
          <w:szCs w:val="20"/>
          <w:lang w:val="en-US" w:eastAsia="nl-NL" w:bidi="ar-SA"/>
        </w:rPr>
        <w:t>34 (Autumn): 209.234.</w:t>
      </w:r>
    </w:p>
    <w:p w:rsidR="002B03FA" w:rsidRDefault="002B03FA"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Financial Accounting Standard Board,  Qualitative Characteristics of Accounting</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Information. Statement of Financial Accounting Concept No. 2, Stamford, CT.</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(1980).</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F70590" w:rsidRPr="002B03FA" w:rsidRDefault="00F70590"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rPr>
        <w:t xml:space="preserve">Finch, J. (2009), Twenty-five people at the heart of the meltdown, </w:t>
      </w:r>
      <w:r w:rsidRPr="002B03FA">
        <w:rPr>
          <w:rFonts w:cs="Times New Roman"/>
          <w:i/>
          <w:sz w:val="20"/>
          <w:szCs w:val="20"/>
          <w:lang w:val="en-US"/>
        </w:rPr>
        <w:t>The Guardian</w:t>
      </w:r>
    </w:p>
    <w:p w:rsidR="00F70590" w:rsidRPr="002B03FA" w:rsidRDefault="00F70590"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Joos, P., and M. Lamg “The effects of Accounting Diversity: Evidence from the European Union.” </w:t>
      </w:r>
      <w:r w:rsidRPr="002B03FA">
        <w:rPr>
          <w:rFonts w:cs="Times New Roman"/>
          <w:i/>
          <w:sz w:val="20"/>
          <w:szCs w:val="20"/>
          <w:lang w:val="en-US" w:eastAsia="nl-NL" w:bidi="ar-SA"/>
        </w:rPr>
        <w:t xml:space="preserve">Journal of Accounting Research </w:t>
      </w:r>
      <w:r w:rsidRPr="002B03FA">
        <w:rPr>
          <w:rFonts w:cs="Times New Roman"/>
          <w:sz w:val="20"/>
          <w:szCs w:val="20"/>
          <w:lang w:val="en-US" w:eastAsia="nl-NL" w:bidi="ar-SA"/>
        </w:rPr>
        <w:t>(Supplement 1994): 141-176</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tabs>
          <w:tab w:val="left" w:pos="426"/>
        </w:tabs>
        <w:spacing w:line="360" w:lineRule="auto"/>
        <w:jc w:val="both"/>
        <w:rPr>
          <w:rFonts w:cs="Times New Roman"/>
          <w:sz w:val="20"/>
          <w:szCs w:val="20"/>
        </w:rPr>
      </w:pPr>
      <w:r w:rsidRPr="002B03FA">
        <w:rPr>
          <w:rFonts w:cs="Times New Roman"/>
          <w:sz w:val="20"/>
          <w:szCs w:val="20"/>
        </w:rPr>
        <w:t xml:space="preserve">García Lara, J.M., B. García Osma and A. Mora (2005), The effect of earnings management on the asymmetric timeliness of earnings, </w:t>
      </w:r>
      <w:r w:rsidRPr="002B03FA">
        <w:rPr>
          <w:rFonts w:cs="Times New Roman"/>
          <w:i/>
          <w:sz w:val="20"/>
          <w:szCs w:val="20"/>
        </w:rPr>
        <w:t>Journal of Business Finance &amp; Accounting</w:t>
      </w:r>
      <w:r w:rsidRPr="002B03FA">
        <w:rPr>
          <w:rFonts w:cs="Times New Roman"/>
          <w:sz w:val="20"/>
          <w:szCs w:val="20"/>
        </w:rPr>
        <w:t>, Vol. 32 (3), pp. 691-726.</w:t>
      </w:r>
    </w:p>
    <w:p w:rsidR="003F4E6D" w:rsidRPr="002B03FA" w:rsidRDefault="003F4E6D" w:rsidP="002B03FA">
      <w:pPr>
        <w:autoSpaceDE w:val="0"/>
        <w:autoSpaceDN w:val="0"/>
        <w:adjustRightInd w:val="0"/>
        <w:spacing w:line="360" w:lineRule="auto"/>
        <w:jc w:val="both"/>
        <w:rPr>
          <w:rFonts w:cs="Times New Roman"/>
          <w:sz w:val="20"/>
          <w:szCs w:val="20"/>
          <w:lang w:val="en-GB"/>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rPr>
      </w:pPr>
      <w:r w:rsidRPr="002B03FA">
        <w:rPr>
          <w:rFonts w:cs="Times New Roman"/>
          <w:sz w:val="20"/>
          <w:szCs w:val="20"/>
          <w:lang w:val="en-US" w:eastAsia="en-US"/>
        </w:rPr>
        <w:t xml:space="preserve">Giner, B. and W.P. Rees (2001), On the asymmetric recognition of good and bad news in France, Germany and the United Kingdom, </w:t>
      </w:r>
      <w:r w:rsidRPr="002B03FA">
        <w:rPr>
          <w:rFonts w:cs="Times New Roman"/>
          <w:i/>
          <w:sz w:val="20"/>
          <w:szCs w:val="20"/>
          <w:lang w:val="en-US" w:eastAsia="en-US"/>
        </w:rPr>
        <w:t>Journal of Business Finance &amp; Accounting</w:t>
      </w:r>
      <w:r w:rsidRPr="002B03FA">
        <w:rPr>
          <w:rFonts w:cs="Times New Roman"/>
          <w:sz w:val="20"/>
          <w:szCs w:val="20"/>
          <w:lang w:val="en-US" w:eastAsia="en-US"/>
        </w:rPr>
        <w:t>, vol. 28, nos. 9&amp;10, pp. 1285–332.</w:t>
      </w:r>
    </w:p>
    <w:p w:rsidR="003F4E6D" w:rsidRPr="002B03FA" w:rsidRDefault="003F4E6D" w:rsidP="002B03FA">
      <w:pPr>
        <w:autoSpaceDE w:val="0"/>
        <w:autoSpaceDN w:val="0"/>
        <w:adjustRightInd w:val="0"/>
        <w:spacing w:line="360" w:lineRule="auto"/>
        <w:jc w:val="both"/>
        <w:rPr>
          <w:rFonts w:cs="Times New Roman"/>
          <w:sz w:val="20"/>
          <w:szCs w:val="20"/>
          <w:lang w:val="en-US" w:eastAsia="en-US"/>
        </w:rPr>
      </w:pPr>
    </w:p>
    <w:p w:rsidR="003F4E6D" w:rsidRPr="002B03FA" w:rsidRDefault="003F4E6D" w:rsidP="002B03FA">
      <w:pPr>
        <w:autoSpaceDE w:val="0"/>
        <w:autoSpaceDN w:val="0"/>
        <w:adjustRightInd w:val="0"/>
        <w:spacing w:line="360" w:lineRule="auto"/>
        <w:jc w:val="both"/>
        <w:rPr>
          <w:rFonts w:cs="Times New Roman"/>
          <w:sz w:val="20"/>
          <w:szCs w:val="20"/>
          <w:lang w:val="en-GB"/>
        </w:rPr>
      </w:pPr>
      <w:r w:rsidRPr="002B03FA">
        <w:rPr>
          <w:rFonts w:cs="Times New Roman"/>
          <w:sz w:val="20"/>
          <w:szCs w:val="20"/>
          <w:lang w:val="en-GB"/>
        </w:rPr>
        <w:t xml:space="preserve">Givoly, D. and C. Hayn (2000), The changing time-series properties of earnings, cash flows and accruals: Has financial reporting become more conservative? </w:t>
      </w:r>
      <w:r w:rsidRPr="002B03FA">
        <w:rPr>
          <w:rFonts w:cs="Times New Roman"/>
          <w:i/>
          <w:iCs/>
          <w:sz w:val="20"/>
          <w:szCs w:val="20"/>
          <w:lang w:val="en-GB"/>
        </w:rPr>
        <w:t>Journal of Accounting and Economics</w:t>
      </w:r>
      <w:r w:rsidRPr="002B03FA">
        <w:rPr>
          <w:rFonts w:cs="Times New Roman"/>
          <w:sz w:val="20"/>
          <w:szCs w:val="20"/>
          <w:lang w:val="en-GB"/>
        </w:rPr>
        <w:t>, vol. 29, no. 3, pp. 287-320.</w:t>
      </w:r>
    </w:p>
    <w:p w:rsidR="003F4E6D" w:rsidRPr="002B03FA" w:rsidRDefault="003F4E6D" w:rsidP="002B03FA">
      <w:pPr>
        <w:autoSpaceDE w:val="0"/>
        <w:autoSpaceDN w:val="0"/>
        <w:adjustRightInd w:val="0"/>
        <w:spacing w:line="360" w:lineRule="auto"/>
        <w:jc w:val="both"/>
        <w:rPr>
          <w:rFonts w:cs="Times New Roman"/>
          <w:sz w:val="20"/>
          <w:szCs w:val="20"/>
          <w:lang w:val="en-GB"/>
        </w:rPr>
      </w:pPr>
    </w:p>
    <w:p w:rsidR="003F4E6D" w:rsidRPr="002B03FA" w:rsidRDefault="003F4E6D" w:rsidP="002B03FA">
      <w:pPr>
        <w:autoSpaceDE w:val="0"/>
        <w:autoSpaceDN w:val="0"/>
        <w:adjustRightInd w:val="0"/>
        <w:spacing w:line="360" w:lineRule="auto"/>
        <w:jc w:val="both"/>
        <w:rPr>
          <w:rFonts w:cs="Times New Roman"/>
          <w:sz w:val="20"/>
          <w:szCs w:val="20"/>
        </w:rPr>
      </w:pPr>
      <w:r w:rsidRPr="002B03FA">
        <w:rPr>
          <w:rFonts w:cs="Times New Roman"/>
          <w:sz w:val="20"/>
          <w:szCs w:val="20"/>
        </w:rPr>
        <w:t xml:space="preserve">Givoly D., Hayn C.K., and Natarajan A.,(2007) “Measuring Reporting Conservatism” </w:t>
      </w:r>
      <w:r w:rsidRPr="002B03FA">
        <w:rPr>
          <w:rFonts w:cs="Times New Roman"/>
          <w:i/>
          <w:iCs/>
          <w:sz w:val="20"/>
          <w:szCs w:val="20"/>
        </w:rPr>
        <w:t>The Accounting Review</w:t>
      </w:r>
      <w:r w:rsidRPr="002B03FA">
        <w:rPr>
          <w:rFonts w:cs="Times New Roman"/>
          <w:sz w:val="20"/>
          <w:szCs w:val="20"/>
        </w:rPr>
        <w:t>, Vol. 82, No. 1, pp. 65-106.</w:t>
      </w:r>
    </w:p>
    <w:p w:rsidR="003F4E6D" w:rsidRPr="002B03FA" w:rsidRDefault="003F4E6D" w:rsidP="002B03FA">
      <w:pPr>
        <w:autoSpaceDE w:val="0"/>
        <w:autoSpaceDN w:val="0"/>
        <w:adjustRightInd w:val="0"/>
        <w:spacing w:line="360" w:lineRule="auto"/>
        <w:jc w:val="both"/>
        <w:rPr>
          <w:rFonts w:cs="Times New Roman"/>
          <w:sz w:val="20"/>
          <w:szCs w:val="20"/>
          <w:lang w:val="en-GB"/>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Hayn, C, 1995. The information content of losses. </w:t>
      </w:r>
      <w:r w:rsidRPr="002B03FA">
        <w:rPr>
          <w:rFonts w:cs="Times New Roman"/>
          <w:i/>
          <w:iCs/>
          <w:sz w:val="20"/>
          <w:szCs w:val="20"/>
          <w:lang w:val="en-US" w:eastAsia="nl-NL" w:bidi="ar-SA"/>
        </w:rPr>
        <w:t xml:space="preserve">Journal of Accounting &amp; Economics </w:t>
      </w:r>
      <w:r w:rsidRPr="002B03FA">
        <w:rPr>
          <w:rFonts w:cs="Times New Roman"/>
          <w:sz w:val="20"/>
          <w:szCs w:val="20"/>
          <w:lang w:val="en-US" w:eastAsia="nl-NL" w:bidi="ar-SA"/>
        </w:rPr>
        <w:t>20 (September): 125-153.</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DD0EEC" w:rsidRPr="002B03FA" w:rsidRDefault="00DD0EEC"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Hellman N, 2007  Accounting  conservatism under IFRS.</w:t>
      </w:r>
    </w:p>
    <w:p w:rsidR="00DD0EEC" w:rsidRPr="002B03FA" w:rsidRDefault="00DD0EEC"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Holthausen, R. W., and R. L. Watts. 2001. The relevance of value-relevance literature for financial accounting standard setting</w:t>
      </w:r>
      <w:r w:rsidRPr="002B03FA">
        <w:rPr>
          <w:rFonts w:cs="Times New Roman"/>
          <w:i/>
          <w:iCs/>
          <w:sz w:val="20"/>
          <w:szCs w:val="20"/>
          <w:lang w:val="en-US" w:eastAsia="nl-NL" w:bidi="ar-SA"/>
        </w:rPr>
        <w:t xml:space="preserve">. Journal of Accounting &amp; Economics </w:t>
      </w:r>
      <w:r w:rsidRPr="002B03FA">
        <w:rPr>
          <w:rFonts w:cs="Times New Roman"/>
          <w:sz w:val="20"/>
          <w:szCs w:val="20"/>
          <w:lang w:val="en-US" w:eastAsia="nl-NL" w:bidi="ar-SA"/>
        </w:rPr>
        <w:t>31 (September): 3.75.</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International Financial Reporting Standards (IFRS). Framework for the Preparation and</w:t>
      </w:r>
    </w:p>
    <w:p w:rsidR="003F4E6D" w:rsidRPr="002B03FA" w:rsidRDefault="003F4E6D" w:rsidP="002B03FA">
      <w:pPr>
        <w:spacing w:line="360" w:lineRule="auto"/>
        <w:jc w:val="both"/>
        <w:rPr>
          <w:rFonts w:cs="Times New Roman"/>
          <w:sz w:val="20"/>
          <w:szCs w:val="20"/>
          <w:lang w:val="en-US" w:eastAsia="nl-NL" w:bidi="ar-SA"/>
        </w:rPr>
      </w:pPr>
      <w:r w:rsidRPr="002B03FA">
        <w:rPr>
          <w:rFonts w:cs="Times New Roman"/>
          <w:sz w:val="20"/>
          <w:szCs w:val="20"/>
          <w:lang w:val="en-US" w:eastAsia="nl-NL" w:bidi="ar-SA"/>
        </w:rPr>
        <w:t>Presentation of Financial Statements (London: IASCF, 2004).</w:t>
      </w:r>
    </w:p>
    <w:p w:rsidR="003F4E6D" w:rsidRPr="002B03FA" w:rsidRDefault="003F4E6D" w:rsidP="002B03FA">
      <w:pPr>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 xml:space="preserve">Kaminsky, G.L. and S.L. Schmukler, </w:t>
      </w:r>
      <w:r w:rsidRPr="002B03FA">
        <w:rPr>
          <w:rFonts w:cs="Times New Roman"/>
          <w:i/>
          <w:sz w:val="20"/>
          <w:szCs w:val="20"/>
          <w:lang w:val="en-US" w:eastAsia="en-US" w:bidi="ar-SA"/>
        </w:rPr>
        <w:t>“What Triggers Market Jitters”?</w:t>
      </w:r>
      <w:r w:rsidRPr="002B03FA">
        <w:rPr>
          <w:rFonts w:cs="Times New Roman"/>
          <w:sz w:val="20"/>
          <w:szCs w:val="20"/>
          <w:lang w:val="en-US" w:eastAsia="en-US" w:bidi="ar-SA"/>
        </w:rPr>
        <w:t xml:space="preserve"> A Chronicle of the</w:t>
      </w: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lastRenderedPageBreak/>
        <w:t>Asian Crisis,’’ Policy research working paper. The World Bank Development Research</w:t>
      </w:r>
    </w:p>
    <w:p w:rsidR="003F4E6D" w:rsidRPr="002B03FA" w:rsidRDefault="003F4E6D" w:rsidP="002B03FA">
      <w:pPr>
        <w:spacing w:line="360" w:lineRule="auto"/>
        <w:jc w:val="both"/>
        <w:rPr>
          <w:rFonts w:cs="Times New Roman"/>
          <w:sz w:val="20"/>
          <w:szCs w:val="20"/>
          <w:lang w:val="en-US" w:eastAsia="nl-NL" w:bidi="ar-SA"/>
        </w:rPr>
      </w:pPr>
      <w:r w:rsidRPr="002B03FA">
        <w:rPr>
          <w:rFonts w:cs="Times New Roman"/>
          <w:sz w:val="20"/>
          <w:szCs w:val="20"/>
          <w:lang w:val="en-US" w:eastAsia="en-US" w:bidi="ar-SA"/>
        </w:rPr>
        <w:t>Group. (1999)</w:t>
      </w:r>
    </w:p>
    <w:p w:rsidR="003F4E6D" w:rsidRPr="002B03FA" w:rsidRDefault="003F4E6D" w:rsidP="002B03FA">
      <w:pPr>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i/>
          <w:sz w:val="20"/>
          <w:szCs w:val="20"/>
          <w:lang w:val="en-US" w:eastAsia="en-US" w:bidi="ar-SA"/>
        </w:rPr>
      </w:pPr>
      <w:r w:rsidRPr="002B03FA">
        <w:rPr>
          <w:rFonts w:cs="Times New Roman"/>
          <w:sz w:val="20"/>
          <w:szCs w:val="20"/>
          <w:lang w:val="en-US" w:eastAsia="en-US" w:bidi="ar-SA"/>
        </w:rPr>
        <w:t xml:space="preserve">Kodres, L. and M. Pritsker, </w:t>
      </w:r>
      <w:r w:rsidRPr="002B03FA">
        <w:rPr>
          <w:rFonts w:cs="Times New Roman"/>
          <w:i/>
          <w:sz w:val="20"/>
          <w:szCs w:val="20"/>
          <w:lang w:val="en-US" w:eastAsia="en-US" w:bidi="ar-SA"/>
        </w:rPr>
        <w:t>“A Rational Expectations Model of Financial Contagion”</w:t>
      </w:r>
    </w:p>
    <w:p w:rsidR="003F4E6D" w:rsidRPr="002B03FA" w:rsidRDefault="003F4E6D" w:rsidP="002B03FA">
      <w:pPr>
        <w:spacing w:line="360" w:lineRule="auto"/>
        <w:jc w:val="both"/>
        <w:rPr>
          <w:rFonts w:cs="Times New Roman"/>
          <w:sz w:val="20"/>
          <w:szCs w:val="20"/>
          <w:lang w:val="en-US" w:eastAsia="nl-NL" w:bidi="ar-SA"/>
        </w:rPr>
      </w:pPr>
      <w:r w:rsidRPr="002B03FA">
        <w:rPr>
          <w:rFonts w:cs="Times New Roman"/>
          <w:sz w:val="20"/>
          <w:szCs w:val="20"/>
          <w:lang w:val="en-US" w:eastAsia="en-US" w:bidi="ar-SA"/>
        </w:rPr>
        <w:t>Board of Governors of the Federal Reserve System. Mimeo. October. (1998)</w:t>
      </w:r>
    </w:p>
    <w:p w:rsidR="00F70590" w:rsidRPr="002B03FA" w:rsidRDefault="00F70590" w:rsidP="002B03FA">
      <w:pPr>
        <w:autoSpaceDE w:val="0"/>
        <w:autoSpaceDN w:val="0"/>
        <w:adjustRightInd w:val="0"/>
        <w:spacing w:line="360" w:lineRule="auto"/>
        <w:jc w:val="both"/>
        <w:rPr>
          <w:rFonts w:cs="Times New Roman"/>
          <w:sz w:val="20"/>
          <w:szCs w:val="20"/>
          <w:lang w:val="en-US" w:eastAsia="en-US"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Kothari, S.P., Sloan, R., 1992. Information in prices about future earnings: Implications for earnings</w:t>
      </w:r>
    </w:p>
    <w:p w:rsidR="003F4E6D" w:rsidRPr="002B03FA" w:rsidRDefault="003F4E6D" w:rsidP="002B03FA">
      <w:pPr>
        <w:spacing w:line="360" w:lineRule="auto"/>
        <w:jc w:val="both"/>
        <w:rPr>
          <w:rFonts w:cs="Times New Roman"/>
          <w:sz w:val="20"/>
          <w:szCs w:val="20"/>
          <w:lang w:val="en-US" w:eastAsia="en-US" w:bidi="ar-SA"/>
        </w:rPr>
      </w:pPr>
      <w:r w:rsidRPr="002B03FA">
        <w:rPr>
          <w:rFonts w:cs="Times New Roman"/>
          <w:sz w:val="20"/>
          <w:szCs w:val="20"/>
          <w:lang w:val="en-US" w:eastAsia="en-US" w:bidi="ar-SA"/>
        </w:rPr>
        <w:t>response coefficients. Journal of Accounting and Economics 15, 143-172.</w:t>
      </w:r>
    </w:p>
    <w:p w:rsidR="003F4E6D" w:rsidRPr="002B03FA" w:rsidRDefault="003F4E6D" w:rsidP="002B03FA">
      <w:pPr>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Kellogg, R, L, 1984, Accounting activities, security prices, and class action lawsuits. </w:t>
      </w:r>
      <w:r w:rsidRPr="002B03FA">
        <w:rPr>
          <w:rFonts w:cs="Times New Roman"/>
          <w:i/>
          <w:iCs/>
          <w:sz w:val="20"/>
          <w:szCs w:val="20"/>
          <w:lang w:val="en-US" w:eastAsia="nl-NL" w:bidi="ar-SA"/>
        </w:rPr>
        <w:t xml:space="preserve">Journal of Accounting &amp; Economics 6 (Decemher): </w:t>
      </w:r>
      <w:r w:rsidRPr="002B03FA">
        <w:rPr>
          <w:rFonts w:cs="Times New Roman"/>
          <w:sz w:val="20"/>
          <w:szCs w:val="20"/>
          <w:lang w:val="en-US" w:eastAsia="nl-NL" w:bidi="ar-SA"/>
        </w:rPr>
        <w:t>185-204,</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Krishnan, G., 2005b, The association between big 6 auditor industry expertise and asymmetric</w:t>
      </w: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 xml:space="preserve">timeliness of earnings, </w:t>
      </w:r>
      <w:r w:rsidRPr="002B03FA">
        <w:rPr>
          <w:rFonts w:cs="Times New Roman"/>
          <w:i/>
          <w:sz w:val="20"/>
          <w:szCs w:val="20"/>
          <w:lang w:val="en-US" w:eastAsia="en-US" w:bidi="ar-SA"/>
        </w:rPr>
        <w:t>Journal of Accounting Auditing &amp; Finance</w:t>
      </w:r>
      <w:r w:rsidRPr="002B03FA">
        <w:rPr>
          <w:rFonts w:cs="Times New Roman"/>
          <w:sz w:val="20"/>
          <w:szCs w:val="20"/>
          <w:lang w:val="en-US" w:eastAsia="en-US" w:bidi="ar-SA"/>
        </w:rPr>
        <w:t xml:space="preserve"> 20, 209-228.</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Leftwich, R. W. 1983. Accounting information in private markets: Evidence from private lending agreements. </w:t>
      </w:r>
      <w:r w:rsidRPr="002B03FA">
        <w:rPr>
          <w:rFonts w:cs="Times New Roman"/>
          <w:i/>
          <w:iCs/>
          <w:sz w:val="20"/>
          <w:szCs w:val="20"/>
          <w:lang w:val="en-US" w:eastAsia="nl-NL" w:bidi="ar-SA"/>
        </w:rPr>
        <w:t xml:space="preserve">The Accounting Review </w:t>
      </w:r>
      <w:r w:rsidRPr="002B03FA">
        <w:rPr>
          <w:rFonts w:cs="Times New Roman"/>
          <w:sz w:val="20"/>
          <w:szCs w:val="20"/>
          <w:lang w:val="en-US" w:eastAsia="nl-NL" w:bidi="ar-SA"/>
        </w:rPr>
        <w:t>58 (January): 23.42.</w:t>
      </w:r>
    </w:p>
    <w:p w:rsidR="00F70590" w:rsidRPr="002B03FA" w:rsidRDefault="00F70590" w:rsidP="002B03FA">
      <w:pPr>
        <w:autoSpaceDE w:val="0"/>
        <w:autoSpaceDN w:val="0"/>
        <w:adjustRightInd w:val="0"/>
        <w:spacing w:line="360" w:lineRule="auto"/>
        <w:jc w:val="both"/>
        <w:rPr>
          <w:rFonts w:cs="Times New Roman"/>
          <w:sz w:val="20"/>
          <w:szCs w:val="20"/>
          <w:lang w:val="en-US" w:eastAsia="nl-NL" w:bidi="ar-SA"/>
        </w:rPr>
      </w:pPr>
    </w:p>
    <w:p w:rsidR="00F70590" w:rsidRPr="002B03FA" w:rsidRDefault="00F70590"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Lightman, D. (2009), Congressional Budget Office compares downturn to Great Depression, McClatchy Washington Bureau, January 27.</w:t>
      </w:r>
    </w:p>
    <w:p w:rsidR="008530BF" w:rsidRPr="002B03FA" w:rsidRDefault="008530BF" w:rsidP="002B03FA">
      <w:pPr>
        <w:tabs>
          <w:tab w:val="left" w:pos="426"/>
        </w:tabs>
        <w:spacing w:line="360" w:lineRule="auto"/>
        <w:jc w:val="both"/>
        <w:rPr>
          <w:rFonts w:cs="Times New Roman"/>
          <w:sz w:val="20"/>
          <w:szCs w:val="20"/>
        </w:rPr>
      </w:pPr>
    </w:p>
    <w:p w:rsidR="003F4E6D" w:rsidRPr="002B03FA" w:rsidRDefault="003F4E6D" w:rsidP="002B03FA">
      <w:pPr>
        <w:tabs>
          <w:tab w:val="left" w:pos="426"/>
        </w:tabs>
        <w:spacing w:line="360" w:lineRule="auto"/>
        <w:jc w:val="both"/>
        <w:rPr>
          <w:rFonts w:cs="Times New Roman"/>
          <w:i/>
          <w:sz w:val="20"/>
          <w:szCs w:val="20"/>
        </w:rPr>
      </w:pPr>
      <w:r w:rsidRPr="002B03FA">
        <w:rPr>
          <w:rFonts w:cs="Times New Roman"/>
          <w:sz w:val="20"/>
          <w:szCs w:val="20"/>
        </w:rPr>
        <w:t xml:space="preserve">Nichols, D.C., J.M. Wahlen and M.M. Wieland (2008), Publicly traded versus privately held: implications for conditional conservatism in bank accounting, </w:t>
      </w:r>
      <w:r w:rsidRPr="002B03FA">
        <w:rPr>
          <w:rFonts w:cs="Times New Roman"/>
          <w:i/>
          <w:sz w:val="20"/>
          <w:szCs w:val="20"/>
        </w:rPr>
        <w:t>Review of Accounting studies,</w:t>
      </w:r>
      <w:r w:rsidRPr="002B03FA">
        <w:rPr>
          <w:rFonts w:cs="Times New Roman"/>
          <w:sz w:val="20"/>
          <w:szCs w:val="20"/>
        </w:rPr>
        <w:t xml:space="preserve"> Vol. 14, pp. 88-122.</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Nikolaev, V., 2009. Debt covenants and accounting conservatism: Complements or substitutes? Working paper, University of Chicago.</w:t>
      </w:r>
    </w:p>
    <w:p w:rsidR="003F4E6D" w:rsidRPr="002B03FA" w:rsidRDefault="003F4E6D" w:rsidP="002B03FA">
      <w:pPr>
        <w:tabs>
          <w:tab w:val="left" w:pos="426"/>
        </w:tabs>
        <w:spacing w:line="360" w:lineRule="auto"/>
        <w:jc w:val="both"/>
        <w:rPr>
          <w:rFonts w:cs="Times New Roman"/>
          <w:sz w:val="20"/>
          <w:szCs w:val="20"/>
        </w:rPr>
      </w:pPr>
    </w:p>
    <w:p w:rsidR="008530BF" w:rsidRPr="002B03FA" w:rsidRDefault="008530BF" w:rsidP="002B03FA">
      <w:pPr>
        <w:autoSpaceDE w:val="0"/>
        <w:autoSpaceDN w:val="0"/>
        <w:adjustRightInd w:val="0"/>
        <w:spacing w:line="360" w:lineRule="auto"/>
        <w:jc w:val="both"/>
        <w:rPr>
          <w:rFonts w:cs="Times New Roman"/>
          <w:sz w:val="20"/>
          <w:szCs w:val="20"/>
          <w:lang w:eastAsia="nl-NL" w:bidi="ar-SA"/>
        </w:rPr>
      </w:pPr>
      <w:r w:rsidRPr="002B03FA">
        <w:rPr>
          <w:rFonts w:cs="Times New Roman"/>
          <w:sz w:val="20"/>
          <w:szCs w:val="20"/>
          <w:lang w:eastAsia="nl-NL" w:bidi="ar-SA"/>
        </w:rPr>
        <w:t xml:space="preserve">Mishkin, F. S. (2009), </w:t>
      </w:r>
      <w:r w:rsidRPr="002B03FA">
        <w:rPr>
          <w:rFonts w:cs="Times New Roman"/>
          <w:i/>
          <w:sz w:val="20"/>
          <w:szCs w:val="20"/>
          <w:lang w:eastAsia="nl-NL" w:bidi="ar-SA"/>
        </w:rPr>
        <w:t>Is Monetary Policy Effective During Financial Crises?,</w:t>
      </w:r>
      <w:r w:rsidRPr="002B03FA">
        <w:rPr>
          <w:rFonts w:cs="Times New Roman"/>
          <w:sz w:val="20"/>
          <w:szCs w:val="20"/>
          <w:lang w:eastAsia="nl-NL" w:bidi="ar-SA"/>
        </w:rPr>
        <w:t xml:space="preserve"> National Bureau of Economic Research, Working paper, Vol. W14678.</w:t>
      </w:r>
    </w:p>
    <w:p w:rsidR="008530BF" w:rsidRPr="002B03FA" w:rsidRDefault="008530BF" w:rsidP="002B03FA">
      <w:pPr>
        <w:tabs>
          <w:tab w:val="left" w:pos="426"/>
        </w:tabs>
        <w:spacing w:line="360" w:lineRule="auto"/>
        <w:jc w:val="both"/>
        <w:rPr>
          <w:rFonts w:cs="Times New Roman"/>
          <w:sz w:val="20"/>
          <w:szCs w:val="20"/>
        </w:rPr>
      </w:pPr>
    </w:p>
    <w:p w:rsidR="003F4E6D" w:rsidRPr="002B03FA" w:rsidRDefault="003F4E6D" w:rsidP="002B03FA">
      <w:pPr>
        <w:tabs>
          <w:tab w:val="left" w:pos="426"/>
        </w:tabs>
        <w:spacing w:line="360" w:lineRule="auto"/>
        <w:jc w:val="both"/>
        <w:rPr>
          <w:rFonts w:cs="Times New Roman"/>
          <w:sz w:val="20"/>
          <w:szCs w:val="20"/>
        </w:rPr>
      </w:pPr>
      <w:r w:rsidRPr="002B03FA">
        <w:rPr>
          <w:rFonts w:cs="Times New Roman"/>
          <w:sz w:val="20"/>
          <w:szCs w:val="20"/>
        </w:rPr>
        <w:t xml:space="preserve">Pae J. (2007), Unexpected Accruals and Conditional Accounting Conservatism, </w:t>
      </w:r>
      <w:r w:rsidRPr="002B03FA">
        <w:rPr>
          <w:rFonts w:cs="Times New Roman"/>
          <w:i/>
          <w:iCs/>
          <w:sz w:val="20"/>
          <w:szCs w:val="20"/>
        </w:rPr>
        <w:t>Journal of Business Finance &amp; Accounting</w:t>
      </w:r>
      <w:r w:rsidRPr="002B03FA">
        <w:rPr>
          <w:rFonts w:cs="Times New Roman"/>
          <w:sz w:val="20"/>
          <w:szCs w:val="20"/>
        </w:rPr>
        <w:t>, Vol. 34 (5) &amp; (6), pp. 681–704.</w:t>
      </w:r>
    </w:p>
    <w:p w:rsidR="003F4E6D" w:rsidRPr="002B03FA" w:rsidRDefault="003F4E6D" w:rsidP="002B03FA">
      <w:pPr>
        <w:tabs>
          <w:tab w:val="left" w:pos="426"/>
        </w:tabs>
        <w:spacing w:line="360" w:lineRule="auto"/>
        <w:jc w:val="both"/>
        <w:rPr>
          <w:rFonts w:cs="Times New Roman"/>
          <w:sz w:val="20"/>
          <w:szCs w:val="20"/>
        </w:rPr>
      </w:pPr>
    </w:p>
    <w:p w:rsidR="003F4E6D" w:rsidRPr="002B03FA" w:rsidRDefault="003F4E6D" w:rsidP="002B03FA">
      <w:pPr>
        <w:tabs>
          <w:tab w:val="left" w:pos="426"/>
        </w:tabs>
        <w:spacing w:line="360" w:lineRule="auto"/>
        <w:jc w:val="both"/>
        <w:rPr>
          <w:rFonts w:cs="Times New Roman"/>
          <w:sz w:val="20"/>
          <w:szCs w:val="20"/>
        </w:rPr>
      </w:pPr>
      <w:r w:rsidRPr="002B03FA">
        <w:rPr>
          <w:rFonts w:cs="Times New Roman"/>
          <w:sz w:val="20"/>
          <w:szCs w:val="20"/>
        </w:rPr>
        <w:t xml:space="preserve">Pae, J., D. Thornton and M. Welker (2005), The Link between Earnings Conservatism and Balance Sheet Conservatism, </w:t>
      </w:r>
      <w:r w:rsidRPr="002B03FA">
        <w:rPr>
          <w:rFonts w:cs="Times New Roman"/>
          <w:i/>
          <w:iCs/>
          <w:sz w:val="20"/>
          <w:szCs w:val="20"/>
        </w:rPr>
        <w:t xml:space="preserve">Contemporary Accounting Research, </w:t>
      </w:r>
      <w:r w:rsidRPr="002B03FA">
        <w:rPr>
          <w:rFonts w:cs="Times New Roman"/>
          <w:sz w:val="20"/>
          <w:szCs w:val="20"/>
        </w:rPr>
        <w:t>Vol. 22 (3, Fall) pp. 693-717.</w:t>
      </w:r>
    </w:p>
    <w:p w:rsidR="003F4E6D" w:rsidRPr="002B03FA" w:rsidRDefault="003F4E6D" w:rsidP="002B03FA">
      <w:pPr>
        <w:tabs>
          <w:tab w:val="left" w:pos="426"/>
        </w:tabs>
        <w:spacing w:line="360" w:lineRule="auto"/>
        <w:jc w:val="both"/>
        <w:rPr>
          <w:rFonts w:cs="Times New Roman"/>
          <w:sz w:val="20"/>
          <w:szCs w:val="20"/>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Penndorf, B., 1930. The relation of taxation to the history of the Balance Sheet. The Accounting Review 5, 243 251.</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lastRenderedPageBreak/>
        <w:t>Pope P.F., and</w:t>
      </w:r>
      <w:r w:rsidRPr="002B03FA">
        <w:rPr>
          <w:rFonts w:cs="Times New Roman"/>
          <w:sz w:val="20"/>
          <w:szCs w:val="20"/>
          <w:lang w:val="en-US" w:eastAsia="en-US" w:bidi="ar-SA"/>
        </w:rPr>
        <w:t xml:space="preserve"> Journal of International Financial Management and Accounting 21:1 2010</w:t>
      </w:r>
      <w:r w:rsidRPr="002B03FA">
        <w:rPr>
          <w:rFonts w:cs="Times New Roman"/>
          <w:sz w:val="20"/>
          <w:szCs w:val="20"/>
          <w:lang w:val="en-US" w:eastAsia="nl-NL" w:bidi="ar-SA"/>
        </w:rPr>
        <w:t xml:space="preserve"> W. Rees. “International Differences in GAAP and the pricing of Earnings.” </w:t>
      </w:r>
      <w:r w:rsidRPr="002B03FA">
        <w:rPr>
          <w:rFonts w:cs="Times New Roman"/>
          <w:i/>
          <w:sz w:val="20"/>
          <w:szCs w:val="20"/>
          <w:lang w:val="en-US" w:eastAsia="nl-NL" w:bidi="ar-SA"/>
        </w:rPr>
        <w:t xml:space="preserve">Journal of Accounting and Economics </w:t>
      </w:r>
      <w:r w:rsidRPr="002B03FA">
        <w:rPr>
          <w:rFonts w:cs="Times New Roman"/>
          <w:sz w:val="20"/>
          <w:szCs w:val="20"/>
          <w:lang w:val="en-US" w:eastAsia="nl-NL" w:bidi="ar-SA"/>
        </w:rPr>
        <w:t>(September 1995): 155-92</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GB"/>
        </w:rPr>
      </w:pPr>
      <w:r w:rsidRPr="002B03FA">
        <w:rPr>
          <w:rFonts w:cs="Times New Roman"/>
          <w:sz w:val="20"/>
          <w:szCs w:val="20"/>
          <w:lang w:val="en-GB"/>
        </w:rPr>
        <w:t xml:space="preserve">Pope, P.F., and M. Walker (1999), International differences in the timeliness, conservatism, and classification of earnings, </w:t>
      </w:r>
      <w:r w:rsidRPr="002B03FA">
        <w:rPr>
          <w:rFonts w:cs="Times New Roman"/>
          <w:i/>
          <w:sz w:val="20"/>
          <w:szCs w:val="20"/>
          <w:lang w:val="en-GB"/>
        </w:rPr>
        <w:t>Journal of Accounting Research</w:t>
      </w:r>
      <w:r w:rsidRPr="002B03FA">
        <w:rPr>
          <w:rFonts w:cs="Times New Roman"/>
          <w:sz w:val="20"/>
          <w:szCs w:val="20"/>
          <w:lang w:val="en-GB"/>
        </w:rPr>
        <w:t>, vol. 37, Supplement, pp. 53-87.</w:t>
      </w:r>
    </w:p>
    <w:p w:rsidR="003F4E6D" w:rsidRPr="002B03FA" w:rsidRDefault="003F4E6D" w:rsidP="002B03FA">
      <w:pPr>
        <w:autoSpaceDE w:val="0"/>
        <w:autoSpaceDN w:val="0"/>
        <w:adjustRightInd w:val="0"/>
        <w:spacing w:line="360" w:lineRule="auto"/>
        <w:jc w:val="both"/>
        <w:rPr>
          <w:rFonts w:cs="Times New Roman"/>
          <w:sz w:val="20"/>
          <w:szCs w:val="20"/>
          <w:lang w:val="en-GB"/>
        </w:rPr>
      </w:pPr>
    </w:p>
    <w:p w:rsidR="003F4E6D" w:rsidRPr="002B03FA" w:rsidRDefault="003F4E6D" w:rsidP="002B03FA">
      <w:pPr>
        <w:spacing w:line="360" w:lineRule="auto"/>
        <w:jc w:val="both"/>
        <w:rPr>
          <w:rFonts w:cs="Times New Roman"/>
          <w:sz w:val="20"/>
          <w:szCs w:val="20"/>
          <w:lang w:val="en-GB"/>
        </w:rPr>
      </w:pPr>
      <w:r w:rsidRPr="002B03FA">
        <w:rPr>
          <w:rFonts w:cs="Times New Roman"/>
          <w:sz w:val="20"/>
          <w:szCs w:val="20"/>
          <w:lang w:val="en-GB"/>
        </w:rPr>
        <w:t xml:space="preserve">Raonic, I., S. McLeay, and I. Asimakopoulos (2004), The timeliness of income recognition by European companies: an analysis of institutional and market complexity, </w:t>
      </w:r>
      <w:r w:rsidRPr="002B03FA">
        <w:rPr>
          <w:rFonts w:cs="Times New Roman"/>
          <w:i/>
          <w:sz w:val="20"/>
          <w:szCs w:val="20"/>
          <w:lang w:val="en-GB"/>
        </w:rPr>
        <w:t>Journal of Business Finance &amp; Accounting</w:t>
      </w:r>
      <w:r w:rsidRPr="002B03FA">
        <w:rPr>
          <w:rFonts w:cs="Times New Roman"/>
          <w:sz w:val="20"/>
          <w:szCs w:val="20"/>
          <w:lang w:val="en-GB"/>
        </w:rPr>
        <w:t>, vol. 31, nos. 1 and 2, pp. 115-148. Rees, B. (2004), Discussion, pp. 149-165.</w:t>
      </w:r>
    </w:p>
    <w:p w:rsidR="003F4E6D" w:rsidRPr="002B03FA" w:rsidRDefault="003F4E6D" w:rsidP="002B03FA">
      <w:pPr>
        <w:spacing w:line="360" w:lineRule="auto"/>
        <w:jc w:val="both"/>
        <w:rPr>
          <w:rFonts w:cs="Times New Roman"/>
          <w:sz w:val="20"/>
          <w:szCs w:val="20"/>
          <w:lang w:val="en-US" w:eastAsia="en-US"/>
        </w:rPr>
      </w:pPr>
    </w:p>
    <w:p w:rsidR="003F4E6D" w:rsidRPr="002B03FA" w:rsidRDefault="003F4E6D" w:rsidP="002B03FA">
      <w:pPr>
        <w:spacing w:line="360" w:lineRule="auto"/>
        <w:jc w:val="both"/>
        <w:rPr>
          <w:rFonts w:cs="Times New Roman"/>
          <w:sz w:val="20"/>
          <w:szCs w:val="20"/>
          <w:lang w:val="en-US"/>
        </w:rPr>
      </w:pPr>
      <w:r w:rsidRPr="002B03FA">
        <w:rPr>
          <w:rFonts w:cs="Times New Roman"/>
          <w:sz w:val="20"/>
          <w:szCs w:val="20"/>
          <w:lang w:val="en-US"/>
        </w:rPr>
        <w:t xml:space="preserve">Rees, B. 2004, </w:t>
      </w:r>
      <w:r w:rsidRPr="002B03FA">
        <w:rPr>
          <w:rFonts w:cs="Times New Roman"/>
          <w:i/>
          <w:sz w:val="20"/>
          <w:szCs w:val="20"/>
          <w:lang w:val="en-US"/>
        </w:rPr>
        <w:t>Discussion of</w:t>
      </w:r>
      <w:r w:rsidRPr="002B03FA">
        <w:rPr>
          <w:rFonts w:cs="Times New Roman"/>
          <w:sz w:val="20"/>
          <w:szCs w:val="20"/>
          <w:lang w:val="en-US"/>
        </w:rPr>
        <w:t xml:space="preserve"> The Timeliness of Income Recognition by European Companies: An Analysis of Institutional and Market Complexity, Journal of Business Finance &amp; Accounting, 31(1) &amp; (2)</w:t>
      </w:r>
    </w:p>
    <w:p w:rsidR="00F70590" w:rsidRPr="002B03FA" w:rsidRDefault="00F70590"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Reilly, F.K. &amp; Brown, K.C. 2003. </w:t>
      </w:r>
      <w:r w:rsidRPr="002B03FA">
        <w:rPr>
          <w:rFonts w:cs="Times New Roman"/>
          <w:i/>
          <w:iCs/>
          <w:sz w:val="20"/>
          <w:szCs w:val="20"/>
          <w:lang w:val="en-US" w:eastAsia="nl-NL" w:bidi="ar-SA"/>
        </w:rPr>
        <w:t xml:space="preserve">Investment analysis portfolio management. </w:t>
      </w:r>
      <w:r w:rsidRPr="002B03FA">
        <w:rPr>
          <w:rFonts w:cs="Times New Roman"/>
          <w:sz w:val="20"/>
          <w:szCs w:val="20"/>
          <w:lang w:val="en-US" w:eastAsia="nl-NL" w:bidi="ar-SA"/>
        </w:rPr>
        <w:t>7thedition.</w:t>
      </w:r>
    </w:p>
    <w:p w:rsidR="003F4E6D" w:rsidRPr="002B03FA" w:rsidRDefault="003F4E6D" w:rsidP="002B03FA">
      <w:pPr>
        <w:spacing w:line="360" w:lineRule="auto"/>
        <w:jc w:val="both"/>
        <w:rPr>
          <w:rFonts w:cs="Times New Roman"/>
          <w:sz w:val="20"/>
          <w:szCs w:val="20"/>
          <w:lang w:val="en-US" w:eastAsia="nl-NL" w:bidi="ar-SA"/>
        </w:rPr>
      </w:pPr>
      <w:r w:rsidRPr="002B03FA">
        <w:rPr>
          <w:rFonts w:cs="Times New Roman"/>
          <w:sz w:val="20"/>
          <w:szCs w:val="20"/>
          <w:lang w:val="en-US" w:eastAsia="nl-NL" w:bidi="ar-SA"/>
        </w:rPr>
        <w:t>Cincinnati, Ohio: Thomson-South Western.</w:t>
      </w:r>
    </w:p>
    <w:p w:rsidR="003F4E6D" w:rsidRPr="002B03FA" w:rsidRDefault="003F4E6D" w:rsidP="002B03FA">
      <w:pPr>
        <w:spacing w:line="360" w:lineRule="auto"/>
        <w:jc w:val="both"/>
        <w:rPr>
          <w:rFonts w:cs="Times New Roman"/>
          <w:sz w:val="20"/>
          <w:szCs w:val="20"/>
          <w:lang w:val="en-US"/>
        </w:rPr>
      </w:pPr>
    </w:p>
    <w:p w:rsidR="003F4E6D" w:rsidRPr="002B03FA" w:rsidRDefault="003F4E6D" w:rsidP="002B03FA">
      <w:pPr>
        <w:tabs>
          <w:tab w:val="left" w:pos="426"/>
        </w:tabs>
        <w:autoSpaceDE w:val="0"/>
        <w:autoSpaceDN w:val="0"/>
        <w:adjustRightInd w:val="0"/>
        <w:spacing w:line="360" w:lineRule="auto"/>
        <w:jc w:val="both"/>
        <w:rPr>
          <w:rFonts w:cs="Times New Roman"/>
          <w:sz w:val="20"/>
          <w:szCs w:val="20"/>
        </w:rPr>
      </w:pPr>
      <w:r w:rsidRPr="002B03FA">
        <w:rPr>
          <w:rFonts w:cs="Times New Roman"/>
          <w:sz w:val="20"/>
          <w:szCs w:val="20"/>
        </w:rPr>
        <w:t xml:space="preserve">Roychowdhury, S. and R.L. Watts (2007), Asymmetric timeliness of earnings, market-to-book and conservatism in financial reporting, </w:t>
      </w:r>
      <w:r w:rsidRPr="002B03FA">
        <w:rPr>
          <w:rFonts w:cs="Times New Roman"/>
          <w:i/>
          <w:sz w:val="20"/>
          <w:szCs w:val="20"/>
        </w:rPr>
        <w:t>Journal of Accounting and Economics</w:t>
      </w:r>
      <w:r w:rsidRPr="002B03FA">
        <w:rPr>
          <w:rFonts w:cs="Times New Roman"/>
          <w:sz w:val="20"/>
          <w:szCs w:val="20"/>
        </w:rPr>
        <w:t>, Vol. 44, pp. 2–31.</w:t>
      </w:r>
    </w:p>
    <w:p w:rsidR="003F4E6D" w:rsidRPr="002B03FA" w:rsidRDefault="003F4E6D" w:rsidP="002B03FA">
      <w:pPr>
        <w:tabs>
          <w:tab w:val="left" w:pos="426"/>
        </w:tabs>
        <w:autoSpaceDE w:val="0"/>
        <w:autoSpaceDN w:val="0"/>
        <w:adjustRightInd w:val="0"/>
        <w:spacing w:line="360" w:lineRule="auto"/>
        <w:jc w:val="both"/>
        <w:rPr>
          <w:rFonts w:cs="Times New Roman"/>
          <w:sz w:val="20"/>
          <w:szCs w:val="20"/>
        </w:rPr>
      </w:pPr>
    </w:p>
    <w:p w:rsidR="003F4E6D" w:rsidRPr="002B03FA" w:rsidRDefault="003F4E6D" w:rsidP="002B03FA">
      <w:pPr>
        <w:autoSpaceDE w:val="0"/>
        <w:autoSpaceDN w:val="0"/>
        <w:adjustRightInd w:val="0"/>
        <w:spacing w:line="360" w:lineRule="auto"/>
        <w:jc w:val="both"/>
        <w:rPr>
          <w:rFonts w:cs="Times New Roman"/>
          <w:sz w:val="20"/>
          <w:szCs w:val="20"/>
          <w:lang w:val="en-GB"/>
        </w:rPr>
      </w:pPr>
      <w:r w:rsidRPr="002B03FA">
        <w:rPr>
          <w:rFonts w:cs="Times New Roman"/>
          <w:sz w:val="20"/>
          <w:szCs w:val="20"/>
          <w:lang w:val="en-GB"/>
        </w:rPr>
        <w:t xml:space="preserve">Ryan, S.G. (1995), A model of accrual measurement with implications for the evolution of the book-to-market ratio, </w:t>
      </w:r>
      <w:r w:rsidRPr="002B03FA">
        <w:rPr>
          <w:rFonts w:cs="Times New Roman"/>
          <w:i/>
          <w:iCs/>
          <w:sz w:val="20"/>
          <w:szCs w:val="20"/>
          <w:lang w:val="en-GB"/>
        </w:rPr>
        <w:t>Journal of Accounting Research</w:t>
      </w:r>
      <w:r w:rsidRPr="002B03FA">
        <w:rPr>
          <w:rFonts w:cs="Times New Roman"/>
          <w:sz w:val="20"/>
          <w:szCs w:val="20"/>
          <w:lang w:val="en-GB"/>
        </w:rPr>
        <w:t>, vol. 33 (Spring), pp. 95-112.</w:t>
      </w:r>
    </w:p>
    <w:p w:rsidR="003F4E6D" w:rsidRPr="002B03FA" w:rsidRDefault="003F4E6D" w:rsidP="002B03FA">
      <w:pPr>
        <w:autoSpaceDE w:val="0"/>
        <w:autoSpaceDN w:val="0"/>
        <w:adjustRightInd w:val="0"/>
        <w:spacing w:line="360" w:lineRule="auto"/>
        <w:jc w:val="both"/>
        <w:rPr>
          <w:rFonts w:cs="Times New Roman"/>
          <w:sz w:val="20"/>
          <w:szCs w:val="20"/>
          <w:lang w:val="en-GB"/>
        </w:rPr>
      </w:pPr>
    </w:p>
    <w:p w:rsidR="003F4E6D" w:rsidRPr="002B03FA" w:rsidRDefault="003F4E6D" w:rsidP="002B03FA">
      <w:pPr>
        <w:autoSpaceDE w:val="0"/>
        <w:autoSpaceDN w:val="0"/>
        <w:adjustRightInd w:val="0"/>
        <w:spacing w:line="360" w:lineRule="auto"/>
        <w:jc w:val="both"/>
        <w:rPr>
          <w:rFonts w:cs="Times New Roman"/>
          <w:sz w:val="20"/>
          <w:szCs w:val="20"/>
          <w:lang w:val="en-GB"/>
        </w:rPr>
      </w:pPr>
      <w:r w:rsidRPr="002B03FA">
        <w:rPr>
          <w:rFonts w:cs="Times New Roman"/>
          <w:sz w:val="20"/>
          <w:szCs w:val="20"/>
          <w:lang w:val="en-US" w:eastAsia="en-US" w:bidi="ar-SA"/>
        </w:rPr>
        <w:t>Ryan, S.G., 2006, Identifying conditional conservatism, European Accounting Review 15, 511-525.</w:t>
      </w:r>
    </w:p>
    <w:p w:rsidR="003F4E6D" w:rsidRPr="002B03FA" w:rsidRDefault="003F4E6D" w:rsidP="002B03FA">
      <w:pPr>
        <w:autoSpaceDE w:val="0"/>
        <w:autoSpaceDN w:val="0"/>
        <w:adjustRightInd w:val="0"/>
        <w:spacing w:line="360" w:lineRule="auto"/>
        <w:jc w:val="both"/>
        <w:rPr>
          <w:rFonts w:cs="Times New Roman"/>
          <w:sz w:val="20"/>
          <w:szCs w:val="20"/>
          <w:lang w:val="en-GB"/>
        </w:rPr>
      </w:pPr>
    </w:p>
    <w:p w:rsidR="003F4E6D" w:rsidRPr="002B03FA" w:rsidRDefault="003F4E6D" w:rsidP="002B03FA">
      <w:pPr>
        <w:spacing w:line="360" w:lineRule="auto"/>
        <w:jc w:val="both"/>
        <w:rPr>
          <w:rFonts w:cs="Times New Roman"/>
          <w:sz w:val="20"/>
          <w:szCs w:val="20"/>
          <w:lang w:val="en-GB"/>
        </w:rPr>
      </w:pPr>
      <w:r w:rsidRPr="002B03FA">
        <w:rPr>
          <w:rFonts w:cs="Times New Roman"/>
          <w:sz w:val="20"/>
          <w:szCs w:val="20"/>
          <w:lang w:val="en-GB"/>
        </w:rPr>
        <w:t xml:space="preserve">Ryan, S.G and P. A. Zarowin (2003), Why has the contemporaneous linear returns-earnings relation declined, </w:t>
      </w:r>
      <w:r w:rsidRPr="002B03FA">
        <w:rPr>
          <w:rFonts w:cs="Times New Roman"/>
          <w:i/>
          <w:sz w:val="20"/>
          <w:szCs w:val="20"/>
          <w:lang w:val="en-GB"/>
        </w:rPr>
        <w:t>The Accounting Review</w:t>
      </w:r>
      <w:r w:rsidRPr="002B03FA">
        <w:rPr>
          <w:rFonts w:cs="Times New Roman"/>
          <w:sz w:val="20"/>
          <w:szCs w:val="20"/>
          <w:lang w:val="en-GB"/>
        </w:rPr>
        <w:t>, vol. 78, no. 2, pp. 523-553.</w:t>
      </w: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p>
    <w:p w:rsidR="00F70590" w:rsidRPr="002B03FA" w:rsidRDefault="00F70590" w:rsidP="002B03FA">
      <w:pPr>
        <w:autoSpaceDE w:val="0"/>
        <w:autoSpaceDN w:val="0"/>
        <w:adjustRightInd w:val="0"/>
        <w:spacing w:line="360" w:lineRule="auto"/>
        <w:jc w:val="both"/>
        <w:rPr>
          <w:rFonts w:cs="Times New Roman"/>
          <w:sz w:val="20"/>
          <w:szCs w:val="20"/>
          <w:lang w:eastAsia="nl-NL" w:bidi="ar-SA"/>
        </w:rPr>
      </w:pPr>
      <w:r w:rsidRPr="002B03FA">
        <w:rPr>
          <w:rFonts w:cs="Times New Roman"/>
          <w:sz w:val="20"/>
          <w:szCs w:val="20"/>
          <w:lang w:eastAsia="nl-NL" w:bidi="ar-SA"/>
        </w:rPr>
        <w:t xml:space="preserve">Salmon, F. (2009), Recipe for Disaster: The Formula that Killed Wall Street, </w:t>
      </w:r>
      <w:r w:rsidRPr="002B03FA">
        <w:rPr>
          <w:rFonts w:cs="Times New Roman"/>
          <w:i/>
          <w:sz w:val="20"/>
          <w:szCs w:val="20"/>
          <w:lang w:eastAsia="nl-NL" w:bidi="ar-SA"/>
        </w:rPr>
        <w:t>Wired Magazine,</w:t>
      </w:r>
      <w:r w:rsidRPr="002B03FA">
        <w:rPr>
          <w:rFonts w:cs="Times New Roman"/>
          <w:sz w:val="20"/>
          <w:szCs w:val="20"/>
          <w:lang w:eastAsia="nl-NL" w:bidi="ar-SA"/>
        </w:rPr>
        <w:t xml:space="preserve"> Vol. 17.03.</w:t>
      </w:r>
    </w:p>
    <w:p w:rsidR="00F70590" w:rsidRPr="002B03FA" w:rsidRDefault="00F70590" w:rsidP="002B03FA">
      <w:pPr>
        <w:autoSpaceDE w:val="0"/>
        <w:autoSpaceDN w:val="0"/>
        <w:adjustRightInd w:val="0"/>
        <w:spacing w:line="360" w:lineRule="auto"/>
        <w:jc w:val="both"/>
        <w:rPr>
          <w:rFonts w:cs="Times New Roman"/>
          <w:sz w:val="20"/>
          <w:szCs w:val="20"/>
          <w:lang w:val="en-US" w:eastAsia="en-US"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Skinner, D.J., 1994. Why firms voluntarily disclose bad news. Journal of Accounting Research 32,</w:t>
      </w:r>
    </w:p>
    <w:p w:rsidR="003F4E6D" w:rsidRPr="002B03FA" w:rsidRDefault="003F4E6D" w:rsidP="002B03FA">
      <w:pPr>
        <w:spacing w:line="360" w:lineRule="auto"/>
        <w:jc w:val="both"/>
        <w:rPr>
          <w:rFonts w:cs="Times New Roman"/>
          <w:sz w:val="20"/>
          <w:szCs w:val="20"/>
          <w:lang w:val="en-GB"/>
        </w:rPr>
      </w:pPr>
      <w:r w:rsidRPr="002B03FA">
        <w:rPr>
          <w:rFonts w:cs="Times New Roman"/>
          <w:sz w:val="20"/>
          <w:szCs w:val="20"/>
          <w:lang w:val="en-US" w:eastAsia="en-US" w:bidi="ar-SA"/>
        </w:rPr>
        <w:t>38 60.</w:t>
      </w:r>
    </w:p>
    <w:p w:rsidR="003F4E6D" w:rsidRPr="002B03FA" w:rsidRDefault="003F4E6D" w:rsidP="002B03FA">
      <w:pPr>
        <w:spacing w:line="360" w:lineRule="auto"/>
        <w:jc w:val="both"/>
        <w:rPr>
          <w:rFonts w:cs="Times New Roman"/>
          <w:sz w:val="20"/>
          <w:szCs w:val="20"/>
          <w:lang w:val="en-GB"/>
        </w:rPr>
      </w:pPr>
    </w:p>
    <w:p w:rsidR="003F4E6D" w:rsidRPr="002B03FA" w:rsidRDefault="003F4E6D" w:rsidP="002B03FA">
      <w:pPr>
        <w:spacing w:line="360" w:lineRule="auto"/>
        <w:jc w:val="both"/>
        <w:rPr>
          <w:rFonts w:cs="Times New Roman"/>
          <w:sz w:val="20"/>
          <w:szCs w:val="20"/>
          <w:lang w:val="en-US"/>
        </w:rPr>
      </w:pPr>
      <w:r w:rsidRPr="002B03FA">
        <w:rPr>
          <w:rFonts w:cs="Times New Roman"/>
          <w:sz w:val="20"/>
          <w:szCs w:val="20"/>
          <w:lang w:val="en-US"/>
        </w:rPr>
        <w:t>Spiegel J. G. Shim. J. K.,  Dictionary of Accounting Terms, 4</w:t>
      </w:r>
      <w:r w:rsidRPr="002B03FA">
        <w:rPr>
          <w:rFonts w:cs="Times New Roman"/>
          <w:sz w:val="20"/>
          <w:szCs w:val="20"/>
          <w:vertAlign w:val="superscript"/>
          <w:lang w:val="en-US"/>
        </w:rPr>
        <w:t>th</w:t>
      </w:r>
      <w:r w:rsidRPr="002B03FA">
        <w:rPr>
          <w:rFonts w:cs="Times New Roman"/>
          <w:sz w:val="20"/>
          <w:szCs w:val="20"/>
          <w:lang w:val="en-US"/>
        </w:rPr>
        <w:t xml:space="preserve"> edition.</w:t>
      </w:r>
    </w:p>
    <w:p w:rsidR="003F4E6D" w:rsidRPr="002B03FA" w:rsidRDefault="003F4E6D" w:rsidP="002B03FA">
      <w:pPr>
        <w:spacing w:line="360" w:lineRule="auto"/>
        <w:jc w:val="both"/>
        <w:rPr>
          <w:rFonts w:cs="Times New Roman"/>
          <w:sz w:val="20"/>
          <w:szCs w:val="20"/>
          <w:lang w:val="en-US"/>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Smith, C. W., and J. Warner. 1979. On financial contracting: An analysis of bond covenants. </w:t>
      </w:r>
      <w:r w:rsidRPr="002B03FA">
        <w:rPr>
          <w:rFonts w:cs="Times New Roman"/>
          <w:i/>
          <w:iCs/>
          <w:sz w:val="20"/>
          <w:szCs w:val="20"/>
          <w:lang w:val="en-US" w:eastAsia="nl-NL" w:bidi="ar-SA"/>
        </w:rPr>
        <w:t xml:space="preserve">Journal of Financial Economics </w:t>
      </w:r>
      <w:r w:rsidRPr="002B03FA">
        <w:rPr>
          <w:rFonts w:cs="Times New Roman"/>
          <w:sz w:val="20"/>
          <w:szCs w:val="20"/>
          <w:lang w:val="en-US" w:eastAsia="nl-NL" w:bidi="ar-SA"/>
        </w:rPr>
        <w:t>7 (June): 117-161.</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i/>
          <w:iCs/>
          <w:sz w:val="20"/>
          <w:szCs w:val="20"/>
          <w:lang w:val="en-US" w:eastAsia="nl-NL" w:bidi="ar-SA"/>
        </w:rPr>
      </w:pPr>
      <w:r w:rsidRPr="002B03FA">
        <w:rPr>
          <w:rFonts w:cs="Times New Roman"/>
          <w:sz w:val="20"/>
          <w:szCs w:val="20"/>
          <w:lang w:val="en-US" w:eastAsia="nl-NL" w:bidi="ar-SA"/>
        </w:rPr>
        <w:t xml:space="preserve">Stewart, G.B. III 1991. </w:t>
      </w:r>
      <w:r w:rsidRPr="002B03FA">
        <w:rPr>
          <w:rFonts w:cs="Times New Roman"/>
          <w:i/>
          <w:iCs/>
          <w:sz w:val="20"/>
          <w:szCs w:val="20"/>
          <w:lang w:val="en-US" w:eastAsia="nl-NL" w:bidi="ar-SA"/>
        </w:rPr>
        <w:t>The quest for value</w:t>
      </w:r>
      <w:r w:rsidRPr="002B03FA">
        <w:rPr>
          <w:rFonts w:cs="Times New Roman"/>
          <w:sz w:val="20"/>
          <w:szCs w:val="20"/>
          <w:lang w:val="en-US" w:eastAsia="nl-NL" w:bidi="ar-SA"/>
        </w:rPr>
        <w:t>. New York: Harper-Collins.</w:t>
      </w: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p>
    <w:p w:rsidR="003F4E6D" w:rsidRPr="002B03FA" w:rsidRDefault="003F4E6D" w:rsidP="002B03FA">
      <w:pPr>
        <w:autoSpaceDE w:val="0"/>
        <w:autoSpaceDN w:val="0"/>
        <w:adjustRightInd w:val="0"/>
        <w:spacing w:line="360" w:lineRule="auto"/>
        <w:jc w:val="both"/>
        <w:rPr>
          <w:rFonts w:cs="Times New Roman"/>
          <w:i/>
          <w:iCs/>
          <w:sz w:val="20"/>
          <w:szCs w:val="20"/>
          <w:lang w:val="en-US" w:eastAsia="en-US" w:bidi="ar-SA"/>
        </w:rPr>
      </w:pPr>
      <w:r w:rsidRPr="002B03FA">
        <w:rPr>
          <w:rFonts w:cs="Times New Roman"/>
          <w:sz w:val="20"/>
          <w:szCs w:val="20"/>
          <w:lang w:val="en-US" w:eastAsia="en-US" w:bidi="ar-SA"/>
        </w:rPr>
        <w:lastRenderedPageBreak/>
        <w:t xml:space="preserve">Walker, R. G. 1992. The SEC's ban on upward asset revaluations and the disclosure of current values. </w:t>
      </w:r>
      <w:r w:rsidRPr="002B03FA">
        <w:rPr>
          <w:rFonts w:cs="Times New Roman"/>
          <w:i/>
          <w:iCs/>
          <w:sz w:val="20"/>
          <w:szCs w:val="20"/>
          <w:lang w:val="en-US" w:eastAsia="en-US" w:bidi="ar-SA"/>
        </w:rPr>
        <w:t>Abacus</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en-US" w:bidi="ar-SA"/>
        </w:rPr>
        <w:t>28: 3-35.</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Watts, R. L. 1977. Corporate fmancial statements, a product of the market and political processes. </w:t>
      </w:r>
      <w:r w:rsidRPr="002B03FA">
        <w:rPr>
          <w:rFonts w:cs="Times New Roman"/>
          <w:i/>
          <w:iCs/>
          <w:sz w:val="20"/>
          <w:szCs w:val="20"/>
          <w:lang w:val="en-US" w:eastAsia="nl-NL" w:bidi="ar-SA"/>
        </w:rPr>
        <w:t xml:space="preserve">Australian Journal of Management 2 </w:t>
      </w:r>
      <w:r w:rsidRPr="002B03FA">
        <w:rPr>
          <w:rFonts w:cs="Times New Roman"/>
          <w:sz w:val="20"/>
          <w:szCs w:val="20"/>
          <w:lang w:val="en-US" w:eastAsia="nl-NL" w:bidi="ar-SA"/>
        </w:rPr>
        <w:t>(April): 53-75.</w:t>
      </w:r>
    </w:p>
    <w:p w:rsidR="003F4E6D" w:rsidRPr="002B03FA" w:rsidRDefault="003F4E6D" w:rsidP="002B03FA">
      <w:pPr>
        <w:autoSpaceDE w:val="0"/>
        <w:autoSpaceDN w:val="0"/>
        <w:adjustRightInd w:val="0"/>
        <w:spacing w:line="360" w:lineRule="auto"/>
        <w:jc w:val="both"/>
        <w:rPr>
          <w:rFonts w:cs="Times New Roman"/>
          <w:i/>
          <w:iCs/>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 xml:space="preserve">Watts, R. L. and J. L. Zimmerman. 1979. The demand for and supply of accounting theories: The market for excuses. </w:t>
      </w:r>
      <w:r w:rsidRPr="002B03FA">
        <w:rPr>
          <w:rFonts w:cs="Times New Roman"/>
          <w:i/>
          <w:iCs/>
          <w:sz w:val="20"/>
          <w:szCs w:val="20"/>
          <w:lang w:val="en-US" w:eastAsia="nl-NL" w:bidi="ar-SA"/>
        </w:rPr>
        <w:t xml:space="preserve">The Accounting Review </w:t>
      </w:r>
      <w:r w:rsidRPr="002B03FA">
        <w:rPr>
          <w:rFonts w:cs="Times New Roman"/>
          <w:sz w:val="20"/>
          <w:szCs w:val="20"/>
          <w:lang w:val="en-US" w:eastAsia="nl-NL" w:bidi="ar-SA"/>
        </w:rPr>
        <w:t>54 (April): 273-305.</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r w:rsidRPr="002B03FA">
        <w:rPr>
          <w:rFonts w:cs="Times New Roman"/>
          <w:sz w:val="20"/>
          <w:szCs w:val="20"/>
          <w:lang w:val="en-US" w:eastAsia="nl-NL" w:bidi="ar-SA"/>
        </w:rPr>
        <w:t>Watts R. L. . 1993. A proposal for research on conservatism. Working paper, University of Rochester (also presented at American Accounting Association Annual Meeting, San Francisco, CA).</w:t>
      </w:r>
    </w:p>
    <w:p w:rsidR="003F4E6D" w:rsidRPr="002B03FA" w:rsidRDefault="003F4E6D" w:rsidP="002B03FA">
      <w:pPr>
        <w:autoSpaceDE w:val="0"/>
        <w:autoSpaceDN w:val="0"/>
        <w:adjustRightInd w:val="0"/>
        <w:spacing w:line="360" w:lineRule="auto"/>
        <w:jc w:val="both"/>
        <w:rPr>
          <w:rFonts w:cs="Times New Roman"/>
          <w:sz w:val="20"/>
          <w:szCs w:val="20"/>
          <w:lang w:val="en-US" w:eastAsia="nl-NL" w:bidi="ar-SA"/>
        </w:rPr>
      </w:pPr>
    </w:p>
    <w:p w:rsidR="003F4E6D" w:rsidRPr="002B03FA" w:rsidRDefault="003F4E6D" w:rsidP="002B03FA">
      <w:pPr>
        <w:spacing w:line="360" w:lineRule="auto"/>
        <w:jc w:val="both"/>
        <w:rPr>
          <w:rFonts w:cs="Times New Roman"/>
          <w:sz w:val="20"/>
          <w:szCs w:val="20"/>
          <w:lang w:val="en-GB"/>
        </w:rPr>
      </w:pPr>
      <w:r w:rsidRPr="002B03FA">
        <w:rPr>
          <w:rFonts w:cs="Times New Roman"/>
          <w:sz w:val="20"/>
          <w:szCs w:val="20"/>
          <w:lang w:val="en-GB"/>
        </w:rPr>
        <w:t xml:space="preserve">Watts, R.L. (2003), Conservatism in accounting. Part I: explanations and implications, Part II: evidence and research opportunities, </w:t>
      </w:r>
      <w:r w:rsidRPr="002B03FA">
        <w:rPr>
          <w:rFonts w:cs="Times New Roman"/>
          <w:i/>
          <w:sz w:val="20"/>
          <w:szCs w:val="20"/>
          <w:lang w:val="en-GB"/>
        </w:rPr>
        <w:t>Accounting Horizons</w:t>
      </w:r>
      <w:r w:rsidRPr="002B03FA">
        <w:rPr>
          <w:rFonts w:cs="Times New Roman"/>
          <w:sz w:val="20"/>
          <w:szCs w:val="20"/>
          <w:lang w:val="en-GB"/>
        </w:rPr>
        <w:t>, vol. 17, no. 3, pp. 207-221, and vol. 7, no. 4, pp. 287-301.</w:t>
      </w:r>
    </w:p>
    <w:p w:rsidR="003F4E6D" w:rsidRPr="002B03FA" w:rsidRDefault="003F4E6D" w:rsidP="002B03FA">
      <w:pPr>
        <w:spacing w:line="360" w:lineRule="auto"/>
        <w:jc w:val="both"/>
        <w:rPr>
          <w:rFonts w:cs="Times New Roman"/>
          <w:sz w:val="20"/>
          <w:szCs w:val="20"/>
          <w:lang w:val="en-US"/>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Wittenberg-Moerman, R., 2008. The role of information asymmetry and financial reporting quality in</w:t>
      </w: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debt contracting: Evidence from the secondary loan market, Journal of Accounting &amp; Economics 46, 240-260.</w:t>
      </w: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p>
    <w:p w:rsidR="00F70590" w:rsidRPr="002B03FA" w:rsidRDefault="00F70590"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rPr>
        <w:t>Woolridge, J. Randall and Gray, Gary; Applied Principles of Finance (2006</w:t>
      </w:r>
    </w:p>
    <w:p w:rsidR="00F70590" w:rsidRPr="002B03FA" w:rsidRDefault="00F70590" w:rsidP="002B03FA">
      <w:pPr>
        <w:autoSpaceDE w:val="0"/>
        <w:autoSpaceDN w:val="0"/>
        <w:adjustRightInd w:val="0"/>
        <w:spacing w:line="360" w:lineRule="auto"/>
        <w:jc w:val="both"/>
        <w:rPr>
          <w:rFonts w:cs="Times New Roman"/>
          <w:sz w:val="20"/>
          <w:szCs w:val="20"/>
          <w:lang w:val="en-US" w:eastAsia="en-US" w:bidi="ar-SA"/>
        </w:rPr>
      </w:pPr>
    </w:p>
    <w:p w:rsidR="003F4E6D" w:rsidRPr="002B03FA" w:rsidRDefault="003F4E6D" w:rsidP="002B03FA">
      <w:pPr>
        <w:spacing w:line="360" w:lineRule="auto"/>
        <w:jc w:val="both"/>
        <w:rPr>
          <w:rFonts w:cs="Times New Roman"/>
          <w:i/>
          <w:sz w:val="20"/>
          <w:szCs w:val="20"/>
          <w:lang w:val="en-US" w:eastAsia="en-US" w:bidi="ar-SA"/>
        </w:rPr>
      </w:pPr>
      <w:r w:rsidRPr="002B03FA">
        <w:rPr>
          <w:rFonts w:cs="Times New Roman"/>
          <w:sz w:val="20"/>
          <w:szCs w:val="20"/>
          <w:lang w:val="en-US"/>
        </w:rPr>
        <w:t xml:space="preserve">Vichitsarawong, T. Eng Li and Meek G, 2010 The Impact of the Asian on Conservatism and Timeliness of Earnings: Evidence from Hong Kong, Malaysia, Singapore and Thailand   </w:t>
      </w:r>
      <w:r w:rsidRPr="002B03FA">
        <w:rPr>
          <w:rFonts w:cs="Times New Roman"/>
          <w:i/>
          <w:sz w:val="20"/>
          <w:szCs w:val="20"/>
          <w:lang w:val="en-US" w:eastAsia="en-US" w:bidi="ar-SA"/>
        </w:rPr>
        <w:t>Journal of International Financial Management and Accounting</w:t>
      </w:r>
    </w:p>
    <w:p w:rsidR="003F4E6D" w:rsidRPr="002B03FA" w:rsidRDefault="003F4E6D" w:rsidP="002B03FA">
      <w:pPr>
        <w:spacing w:line="360" w:lineRule="auto"/>
        <w:jc w:val="both"/>
        <w:rPr>
          <w:rFonts w:cs="Times New Roman"/>
          <w:i/>
          <w:sz w:val="20"/>
          <w:szCs w:val="20"/>
          <w:lang w:val="en-US"/>
        </w:rPr>
      </w:pPr>
    </w:p>
    <w:p w:rsidR="003F4E6D" w:rsidRPr="002B03FA" w:rsidRDefault="003F4E6D" w:rsidP="002B03FA">
      <w:pPr>
        <w:autoSpaceDE w:val="0"/>
        <w:autoSpaceDN w:val="0"/>
        <w:adjustRightInd w:val="0"/>
        <w:spacing w:line="360" w:lineRule="auto"/>
        <w:jc w:val="both"/>
        <w:rPr>
          <w:rFonts w:cs="Times New Roman"/>
          <w:sz w:val="20"/>
          <w:szCs w:val="20"/>
          <w:lang w:val="en-US" w:eastAsia="en-US" w:bidi="ar-SA"/>
        </w:rPr>
      </w:pPr>
      <w:r w:rsidRPr="002B03FA">
        <w:rPr>
          <w:rFonts w:cs="Times New Roman"/>
          <w:sz w:val="20"/>
          <w:szCs w:val="20"/>
          <w:lang w:val="en-US" w:eastAsia="en-US" w:bidi="ar-SA"/>
        </w:rPr>
        <w:t xml:space="preserve">Zeff, S. A. 1972. </w:t>
      </w:r>
      <w:r w:rsidRPr="002B03FA">
        <w:rPr>
          <w:rFonts w:cs="Times New Roman"/>
          <w:i/>
          <w:iCs/>
          <w:sz w:val="20"/>
          <w:szCs w:val="20"/>
          <w:lang w:val="en-US" w:eastAsia="en-US" w:bidi="ar-SA"/>
        </w:rPr>
        <w:t>Forging Accounting Principles in Five Countries: A History and Analysis of Trends 1971</w:t>
      </w:r>
      <w:r w:rsidRPr="002B03FA">
        <w:rPr>
          <w:rFonts w:cs="Times New Roman"/>
          <w:sz w:val="20"/>
          <w:szCs w:val="20"/>
          <w:lang w:val="en-US" w:eastAsia="en-US" w:bidi="ar-SA"/>
        </w:rPr>
        <w:t>.</w:t>
      </w:r>
    </w:p>
    <w:p w:rsidR="003F4E6D" w:rsidRPr="002B03FA" w:rsidRDefault="003F4E6D" w:rsidP="002B03FA">
      <w:pPr>
        <w:spacing w:line="360" w:lineRule="auto"/>
        <w:jc w:val="both"/>
        <w:rPr>
          <w:rFonts w:cs="Times New Roman"/>
          <w:sz w:val="20"/>
          <w:szCs w:val="20"/>
          <w:lang w:val="en-US" w:eastAsia="en-US" w:bidi="ar-SA"/>
        </w:rPr>
      </w:pPr>
      <w:r w:rsidRPr="002B03FA">
        <w:rPr>
          <w:rFonts w:cs="Times New Roman"/>
          <w:sz w:val="20"/>
          <w:szCs w:val="20"/>
          <w:lang w:val="en-US" w:eastAsia="en-US" w:bidi="ar-SA"/>
        </w:rPr>
        <w:t>Arthur Andersen Lecture Series. Champaign, IL: Stipes  Publishing Company.</w:t>
      </w:r>
    </w:p>
    <w:p w:rsidR="003F4E6D" w:rsidRPr="002B03FA" w:rsidRDefault="003F4E6D" w:rsidP="002B03FA">
      <w:pPr>
        <w:spacing w:line="360" w:lineRule="auto"/>
        <w:jc w:val="both"/>
        <w:rPr>
          <w:rFonts w:cs="Times New Roman"/>
          <w:sz w:val="20"/>
          <w:szCs w:val="20"/>
          <w:lang w:val="en-US" w:eastAsia="en-US" w:bidi="ar-SA"/>
        </w:rPr>
      </w:pPr>
    </w:p>
    <w:p w:rsidR="003F4E6D" w:rsidRPr="00841B22" w:rsidRDefault="003F4E6D" w:rsidP="003F4E6D">
      <w:pPr>
        <w:spacing w:line="360" w:lineRule="auto"/>
        <w:jc w:val="both"/>
        <w:rPr>
          <w:rFonts w:cs="Times New Roman"/>
          <w:b/>
          <w:sz w:val="20"/>
          <w:szCs w:val="20"/>
          <w:lang w:val="en-US" w:eastAsia="en-US" w:bidi="ar-SA"/>
        </w:rPr>
      </w:pPr>
      <w:r w:rsidRPr="00841B22">
        <w:rPr>
          <w:rFonts w:cs="Times New Roman"/>
          <w:b/>
          <w:sz w:val="20"/>
          <w:szCs w:val="20"/>
          <w:lang w:val="en-US" w:eastAsia="en-US" w:bidi="ar-SA"/>
        </w:rPr>
        <w:t xml:space="preserve">Websites: </w:t>
      </w:r>
    </w:p>
    <w:p w:rsidR="003F4E6D" w:rsidRPr="00BA4567" w:rsidRDefault="003F4E6D" w:rsidP="003F4E6D">
      <w:pPr>
        <w:spacing w:line="360" w:lineRule="auto"/>
        <w:jc w:val="both"/>
        <w:rPr>
          <w:rFonts w:cs="Times New Roman"/>
          <w:sz w:val="20"/>
          <w:szCs w:val="20"/>
          <w:lang w:val="en-US" w:eastAsia="en-US" w:bidi="ar-SA"/>
        </w:rPr>
      </w:pPr>
    </w:p>
    <w:p w:rsidR="003F4E6D" w:rsidRPr="00BA4567" w:rsidRDefault="00542395" w:rsidP="003F4E6D">
      <w:pPr>
        <w:spacing w:line="360" w:lineRule="auto"/>
        <w:jc w:val="both"/>
        <w:rPr>
          <w:rFonts w:cs="Times New Roman"/>
          <w:sz w:val="20"/>
          <w:szCs w:val="20"/>
          <w:lang w:val="en-US" w:eastAsia="en-US" w:bidi="ar-SA"/>
        </w:rPr>
      </w:pPr>
      <w:hyperlink r:id="rId16" w:history="1">
        <w:r w:rsidR="003F4E6D" w:rsidRPr="00BA4567">
          <w:rPr>
            <w:rStyle w:val="Hyperlink"/>
            <w:color w:val="auto"/>
            <w:sz w:val="20"/>
            <w:szCs w:val="20"/>
            <w:u w:val="none"/>
            <w:lang w:val="en-US" w:eastAsia="en-US" w:bidi="ar-SA"/>
          </w:rPr>
          <w:t>www.bloomberg.com</w:t>
        </w:r>
      </w:hyperlink>
    </w:p>
    <w:p w:rsidR="003F4E6D" w:rsidRPr="00BA4567" w:rsidRDefault="00542395" w:rsidP="003F4E6D">
      <w:pPr>
        <w:spacing w:line="360" w:lineRule="auto"/>
        <w:jc w:val="both"/>
        <w:rPr>
          <w:rFonts w:cs="Times New Roman"/>
          <w:sz w:val="20"/>
          <w:szCs w:val="20"/>
          <w:lang w:val="en-US" w:eastAsia="en-US" w:bidi="ar-SA"/>
        </w:rPr>
      </w:pPr>
      <w:hyperlink r:id="rId17" w:history="1">
        <w:r w:rsidR="003F4E6D" w:rsidRPr="00BA4567">
          <w:rPr>
            <w:rStyle w:val="Hyperlink"/>
            <w:color w:val="auto"/>
            <w:sz w:val="20"/>
            <w:szCs w:val="20"/>
            <w:u w:val="none"/>
            <w:lang w:val="en-US" w:eastAsia="en-US" w:bidi="ar-SA"/>
          </w:rPr>
          <w:t>www.cia.gov</w:t>
        </w:r>
      </w:hyperlink>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www.finland.org</w:t>
      </w:r>
    </w:p>
    <w:p w:rsidR="003F4E6D" w:rsidRPr="00BA4567" w:rsidRDefault="00542395" w:rsidP="003F4E6D">
      <w:pPr>
        <w:spacing w:line="360" w:lineRule="auto"/>
        <w:jc w:val="both"/>
        <w:rPr>
          <w:rFonts w:cs="Times New Roman"/>
          <w:sz w:val="20"/>
          <w:szCs w:val="20"/>
          <w:lang w:val="en-US"/>
        </w:rPr>
      </w:pPr>
      <w:hyperlink r:id="rId18" w:history="1">
        <w:r w:rsidR="003F4E6D" w:rsidRPr="00BA4567">
          <w:rPr>
            <w:rStyle w:val="Hyperlink"/>
            <w:color w:val="auto"/>
            <w:sz w:val="20"/>
            <w:szCs w:val="20"/>
            <w:u w:val="none"/>
            <w:lang w:val="en-US"/>
          </w:rPr>
          <w:t>www.france24.com</w:t>
        </w:r>
      </w:hyperlink>
    </w:p>
    <w:p w:rsidR="003F4E6D" w:rsidRPr="00BA4567" w:rsidRDefault="00542395" w:rsidP="003F4E6D">
      <w:pPr>
        <w:spacing w:line="360" w:lineRule="auto"/>
        <w:jc w:val="both"/>
        <w:rPr>
          <w:rFonts w:cs="Times New Roman"/>
          <w:sz w:val="20"/>
          <w:szCs w:val="20"/>
          <w:lang w:val="en-US" w:eastAsia="en-US" w:bidi="ar-SA"/>
        </w:rPr>
      </w:pPr>
      <w:hyperlink r:id="rId19" w:history="1">
        <w:r w:rsidR="003F4E6D" w:rsidRPr="00BA4567">
          <w:rPr>
            <w:rStyle w:val="Hyperlink"/>
            <w:color w:val="auto"/>
            <w:sz w:val="20"/>
            <w:szCs w:val="20"/>
            <w:u w:val="none"/>
            <w:lang w:val="en-US" w:eastAsia="en-US" w:bidi="ar-SA"/>
          </w:rPr>
          <w:t>www.hdr.undp.org</w:t>
        </w:r>
      </w:hyperlink>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www.oecd.org</w:t>
      </w:r>
    </w:p>
    <w:p w:rsidR="003F4E6D" w:rsidRPr="00BA4567" w:rsidRDefault="00542395" w:rsidP="003F4E6D">
      <w:pPr>
        <w:spacing w:line="360" w:lineRule="auto"/>
        <w:jc w:val="both"/>
        <w:rPr>
          <w:rFonts w:cs="Times New Roman"/>
          <w:sz w:val="20"/>
          <w:szCs w:val="20"/>
          <w:lang w:val="en-US"/>
        </w:rPr>
      </w:pPr>
      <w:hyperlink r:id="rId20" w:history="1">
        <w:r w:rsidR="003F4E6D" w:rsidRPr="00BA4567">
          <w:rPr>
            <w:rStyle w:val="Hyperlink"/>
            <w:color w:val="auto"/>
            <w:sz w:val="20"/>
            <w:szCs w:val="20"/>
            <w:u w:val="none"/>
            <w:lang w:val="en-US"/>
          </w:rPr>
          <w:t>www.stat.gov</w:t>
        </w:r>
      </w:hyperlink>
    </w:p>
    <w:p w:rsidR="003F4E6D" w:rsidRPr="00BA4567" w:rsidRDefault="00542395" w:rsidP="003F4E6D">
      <w:pPr>
        <w:spacing w:line="360" w:lineRule="auto"/>
        <w:jc w:val="both"/>
        <w:rPr>
          <w:rFonts w:cs="Times New Roman"/>
          <w:sz w:val="20"/>
          <w:szCs w:val="20"/>
          <w:lang w:val="en-US"/>
        </w:rPr>
      </w:pPr>
      <w:hyperlink r:id="rId21" w:history="1">
        <w:r w:rsidR="003F4E6D" w:rsidRPr="00BA4567">
          <w:rPr>
            <w:rStyle w:val="Hyperlink"/>
            <w:color w:val="auto"/>
            <w:sz w:val="20"/>
            <w:szCs w:val="20"/>
            <w:u w:val="none"/>
            <w:lang w:val="en-US"/>
          </w:rPr>
          <w:t>www.stats.oecd.org</w:t>
        </w:r>
      </w:hyperlink>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www.worldbank.org</w:t>
      </w:r>
    </w:p>
    <w:p w:rsidR="003F4E6D" w:rsidRPr="00BA4567" w:rsidRDefault="00542395" w:rsidP="003F4E6D">
      <w:pPr>
        <w:spacing w:line="360" w:lineRule="auto"/>
        <w:jc w:val="both"/>
        <w:rPr>
          <w:rFonts w:cs="Times New Roman"/>
          <w:sz w:val="20"/>
          <w:szCs w:val="20"/>
          <w:lang w:val="en-US"/>
        </w:rPr>
      </w:pPr>
      <w:hyperlink r:id="rId22" w:history="1">
        <w:r w:rsidR="003F4E6D" w:rsidRPr="00BA4567">
          <w:rPr>
            <w:rStyle w:val="Hyperlink"/>
            <w:color w:val="auto"/>
            <w:sz w:val="20"/>
            <w:szCs w:val="20"/>
            <w:u w:val="none"/>
            <w:lang w:val="en-US"/>
          </w:rPr>
          <w:t>www.destorn.nl</w:t>
        </w:r>
      </w:hyperlink>
    </w:p>
    <w:p w:rsidR="00F70590" w:rsidRDefault="00F70590" w:rsidP="003F4E6D">
      <w:pPr>
        <w:spacing w:line="360" w:lineRule="auto"/>
        <w:jc w:val="both"/>
        <w:rPr>
          <w:rFonts w:cs="Times New Roman"/>
          <w:b/>
          <w:sz w:val="20"/>
          <w:szCs w:val="20"/>
          <w:lang w:val="en-US"/>
        </w:rPr>
      </w:pPr>
    </w:p>
    <w:p w:rsidR="003F4E6D" w:rsidRPr="00841B22" w:rsidRDefault="003F4E6D" w:rsidP="003F4E6D">
      <w:pPr>
        <w:spacing w:line="360" w:lineRule="auto"/>
        <w:jc w:val="both"/>
        <w:rPr>
          <w:rFonts w:cs="Times New Roman"/>
          <w:b/>
          <w:sz w:val="20"/>
          <w:szCs w:val="20"/>
          <w:lang w:val="en-US"/>
        </w:rPr>
      </w:pPr>
      <w:r w:rsidRPr="00841B22">
        <w:rPr>
          <w:rFonts w:cs="Times New Roman"/>
          <w:b/>
          <w:sz w:val="20"/>
          <w:szCs w:val="20"/>
          <w:lang w:val="en-US"/>
        </w:rPr>
        <w:lastRenderedPageBreak/>
        <w:t>Reports and articles:</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Austrian National Bank</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Basle Capital Accord 2003, 2</w:t>
      </w:r>
      <w:r>
        <w:rPr>
          <w:rFonts w:cs="Times New Roman"/>
          <w:sz w:val="20"/>
          <w:szCs w:val="20"/>
          <w:lang w:val="en-US"/>
        </w:rPr>
        <w:t>005 and 2006.</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 xml:space="preserve">Bloomberg: </w:t>
      </w:r>
      <w:r w:rsidRPr="00BA4567">
        <w:rPr>
          <w:rFonts w:cs="Times New Roman"/>
          <w:i/>
          <w:sz w:val="20"/>
          <w:szCs w:val="20"/>
          <w:lang w:val="en-US"/>
        </w:rPr>
        <w:t>“Germany enters worst recession in twelve years.”</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CIA World Fact Book 2010 Belgium, 2005 Germany (power purchasing parity), 2010 France and the Netherlands</w:t>
      </w:r>
    </w:p>
    <w:p w:rsidR="003F4E6D" w:rsidRPr="00BA4567" w:rsidRDefault="003F4E6D" w:rsidP="003F4E6D">
      <w:pPr>
        <w:widowControl w:val="0"/>
        <w:autoSpaceDE w:val="0"/>
        <w:autoSpaceDN w:val="0"/>
        <w:adjustRightInd w:val="0"/>
        <w:spacing w:after="20" w:line="360" w:lineRule="auto"/>
        <w:jc w:val="both"/>
        <w:rPr>
          <w:rFonts w:cs="Times New Roman"/>
          <w:sz w:val="20"/>
          <w:szCs w:val="20"/>
        </w:rPr>
      </w:pPr>
    </w:p>
    <w:p w:rsidR="003F4E6D" w:rsidRPr="00BA4567" w:rsidRDefault="00542395" w:rsidP="003F4E6D">
      <w:pPr>
        <w:widowControl w:val="0"/>
        <w:autoSpaceDE w:val="0"/>
        <w:autoSpaceDN w:val="0"/>
        <w:adjustRightInd w:val="0"/>
        <w:spacing w:after="20" w:line="360" w:lineRule="auto"/>
        <w:jc w:val="both"/>
        <w:rPr>
          <w:rFonts w:cs="Times New Roman"/>
          <w:sz w:val="20"/>
          <w:szCs w:val="20"/>
        </w:rPr>
      </w:pPr>
      <w:hyperlink r:id="rId23" w:history="1">
        <w:r w:rsidR="003F4E6D" w:rsidRPr="00BA4567">
          <w:rPr>
            <w:rFonts w:cs="Times New Roman"/>
            <w:sz w:val="20"/>
            <w:szCs w:val="20"/>
          </w:rPr>
          <w:t>Charles Smith</w:t>
        </w:r>
      </w:hyperlink>
      <w:r w:rsidR="003F4E6D" w:rsidRPr="00BA4567">
        <w:rPr>
          <w:rFonts w:cs="Times New Roman"/>
          <w:sz w:val="20"/>
          <w:szCs w:val="20"/>
        </w:rPr>
        <w:t xml:space="preserve">, article: </w:t>
      </w:r>
      <w:r w:rsidR="003F4E6D" w:rsidRPr="00BA4567">
        <w:rPr>
          <w:rFonts w:cs="Times New Roman"/>
          <w:i/>
          <w:sz w:val="20"/>
          <w:szCs w:val="20"/>
        </w:rPr>
        <w:t>'Ireland' in Wankel</w:t>
      </w:r>
      <w:r w:rsidR="003F4E6D" w:rsidRPr="00BA4567">
        <w:rPr>
          <w:rFonts w:cs="Times New Roman"/>
          <w:sz w:val="20"/>
          <w:szCs w:val="20"/>
        </w:rPr>
        <w:t xml:space="preserve">, C. </w:t>
      </w:r>
      <w:r w:rsidR="003F4E6D" w:rsidRPr="00BA4567">
        <w:rPr>
          <w:rFonts w:cs="Times New Roman"/>
          <w:iCs/>
          <w:sz w:val="20"/>
          <w:szCs w:val="20"/>
        </w:rPr>
        <w:t>Encyclopedia of Business in Today's World</w:t>
      </w:r>
      <w:r w:rsidR="003F4E6D" w:rsidRPr="00BA4567">
        <w:rPr>
          <w:rFonts w:cs="Times New Roman"/>
          <w:sz w:val="20"/>
          <w:szCs w:val="20"/>
        </w:rPr>
        <w:t>, California, USA, 2009.</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rPr>
      </w:pPr>
      <w:r w:rsidRPr="00BA4567">
        <w:rPr>
          <w:rFonts w:cs="Times New Roman"/>
          <w:sz w:val="20"/>
          <w:szCs w:val="20"/>
        </w:rPr>
        <w:t xml:space="preserve">Danuta Pavilenene, </w:t>
      </w:r>
      <w:r w:rsidRPr="00BA4567">
        <w:rPr>
          <w:rFonts w:cs="Times New Roman"/>
          <w:i/>
          <w:sz w:val="20"/>
          <w:szCs w:val="20"/>
        </w:rPr>
        <w:t>“Impact of the global financial crisis to be felt in Lithuania too”</w:t>
      </w:r>
      <w:r w:rsidRPr="00BA4567">
        <w:rPr>
          <w:rFonts w:cs="Times New Roman"/>
          <w:sz w:val="20"/>
          <w:szCs w:val="20"/>
        </w:rPr>
        <w:t xml:space="preserve"> Vilnius, 18.09.2008.</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 xml:space="preserve">Economia, 2009, </w:t>
      </w:r>
      <w:r w:rsidRPr="00BA4567">
        <w:rPr>
          <w:rFonts w:cs="Times New Roman"/>
          <w:i/>
          <w:sz w:val="20"/>
          <w:szCs w:val="20"/>
          <w:lang w:val="en-US"/>
        </w:rPr>
        <w:t xml:space="preserve">El Pais, </w:t>
      </w:r>
      <w:r w:rsidRPr="00BA4567">
        <w:rPr>
          <w:rFonts w:cs="Times New Roman"/>
          <w:sz w:val="20"/>
          <w:szCs w:val="20"/>
          <w:lang w:val="en-US"/>
        </w:rPr>
        <w:t>Madrid.</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 xml:space="preserve">Embassy of Finland 2008. </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i/>
          <w:sz w:val="20"/>
          <w:szCs w:val="20"/>
          <w:lang w:val="en-US"/>
        </w:rPr>
      </w:pPr>
      <w:r w:rsidRPr="00BA4567">
        <w:rPr>
          <w:rStyle w:val="citation"/>
          <w:sz w:val="20"/>
          <w:szCs w:val="20"/>
        </w:rPr>
        <w:t xml:space="preserve">Evans-Pritchard 2008 </w:t>
      </w:r>
      <w:hyperlink r:id="rId24" w:history="1">
        <w:r w:rsidRPr="00BA4567">
          <w:rPr>
            <w:rStyle w:val="Hyperlink"/>
            <w:i/>
            <w:color w:val="auto"/>
            <w:sz w:val="20"/>
            <w:szCs w:val="20"/>
            <w:u w:val="none"/>
          </w:rPr>
          <w:t xml:space="preserve">“Irish banks may need life-support” </w:t>
        </w:r>
      </w:hyperlink>
    </w:p>
    <w:p w:rsidR="003F4E6D" w:rsidRPr="00BA4567" w:rsidRDefault="003F4E6D" w:rsidP="003F4E6D">
      <w:pPr>
        <w:spacing w:line="360" w:lineRule="auto"/>
        <w:jc w:val="both"/>
        <w:rPr>
          <w:rFonts w:cs="Times New Roman"/>
          <w:sz w:val="20"/>
          <w:szCs w:val="20"/>
        </w:rPr>
      </w:pPr>
    </w:p>
    <w:p w:rsidR="003F4E6D" w:rsidRPr="00BA4567" w:rsidRDefault="003F4E6D" w:rsidP="003F4E6D">
      <w:pPr>
        <w:spacing w:line="360" w:lineRule="auto"/>
        <w:jc w:val="both"/>
        <w:rPr>
          <w:rFonts w:cs="Times New Roman"/>
          <w:sz w:val="20"/>
          <w:szCs w:val="20"/>
        </w:rPr>
      </w:pPr>
      <w:r w:rsidRPr="00BA4567">
        <w:rPr>
          <w:rFonts w:cs="Times New Roman"/>
          <w:sz w:val="20"/>
          <w:szCs w:val="20"/>
        </w:rPr>
        <w:t>Federal Ministry of Economics and Technology (Germany) Retrieved 30 November 2006.</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lang w:val="de-DE"/>
        </w:rPr>
      </w:pPr>
      <w:r w:rsidRPr="00BA4567">
        <w:rPr>
          <w:rFonts w:cs="Times New Roman"/>
          <w:sz w:val="20"/>
          <w:szCs w:val="20"/>
          <w:lang w:val="de-DE"/>
        </w:rPr>
        <w:t>Gürtler, Detlef: “</w:t>
      </w:r>
      <w:r w:rsidRPr="00BA4567">
        <w:rPr>
          <w:rFonts w:cs="Times New Roman"/>
          <w:i/>
          <w:sz w:val="20"/>
          <w:szCs w:val="20"/>
          <w:lang w:val="de-DE"/>
        </w:rPr>
        <w:t>Wirtschaftsatlas Deutschland</w:t>
      </w:r>
      <w:r w:rsidRPr="00BA4567">
        <w:rPr>
          <w:rFonts w:cs="Times New Roman"/>
          <w:sz w:val="20"/>
          <w:szCs w:val="20"/>
          <w:lang w:val="de-DE"/>
        </w:rPr>
        <w:t>” Rowohlt Berlin, 2010.</w:t>
      </w:r>
    </w:p>
    <w:p w:rsidR="003F4E6D" w:rsidRPr="00BA4567" w:rsidRDefault="003F4E6D" w:rsidP="003F4E6D">
      <w:pPr>
        <w:spacing w:line="360" w:lineRule="auto"/>
        <w:jc w:val="both"/>
        <w:rPr>
          <w:rFonts w:cs="Times New Roman"/>
          <w:sz w:val="20"/>
          <w:szCs w:val="20"/>
          <w:lang w:val="de-DE"/>
        </w:rPr>
      </w:pPr>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Human Development Index; “</w:t>
      </w:r>
      <w:r w:rsidRPr="00BA4567">
        <w:rPr>
          <w:rFonts w:cs="Times New Roman"/>
          <w:i/>
          <w:sz w:val="20"/>
          <w:szCs w:val="20"/>
          <w:lang w:val="en-US"/>
        </w:rPr>
        <w:t>list of countries.”</w:t>
      </w:r>
    </w:p>
    <w:p w:rsidR="00C67B46" w:rsidRDefault="00C67B46"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 xml:space="preserve">Hutchinson M. 2009 </w:t>
      </w:r>
      <w:r w:rsidRPr="00BA4567">
        <w:rPr>
          <w:rFonts w:cs="Times New Roman"/>
          <w:i/>
          <w:sz w:val="20"/>
          <w:szCs w:val="20"/>
          <w:lang w:val="en-US"/>
        </w:rPr>
        <w:t xml:space="preserve">Great-Britain-The “Rust Belt” of global finance </w:t>
      </w:r>
      <w:r w:rsidRPr="00BA4567">
        <w:rPr>
          <w:rFonts w:cs="Times New Roman"/>
          <w:sz w:val="20"/>
          <w:szCs w:val="20"/>
          <w:lang w:val="en-US"/>
        </w:rPr>
        <w:t>Money Morning.</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rPr>
      </w:pPr>
      <w:r w:rsidRPr="00BA4567">
        <w:rPr>
          <w:rFonts w:cs="Times New Roman"/>
          <w:sz w:val="20"/>
          <w:szCs w:val="20"/>
          <w:lang w:val="en-US"/>
        </w:rPr>
        <w:t xml:space="preserve">International Herald Tribune 2008; </w:t>
      </w:r>
      <w:hyperlink r:id="rId25" w:history="1">
        <w:r w:rsidRPr="00BA4567">
          <w:rPr>
            <w:rStyle w:val="Hyperlink"/>
            <w:i/>
            <w:color w:val="auto"/>
            <w:sz w:val="20"/>
            <w:szCs w:val="20"/>
            <w:u w:val="none"/>
          </w:rPr>
          <w:t>"Fortis chief executive out; chairman now faces shareholder anger."</w:t>
        </w:r>
      </w:hyperlink>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International Monetary Fund 2009, Austria.</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widowControl w:val="0"/>
        <w:autoSpaceDE w:val="0"/>
        <w:autoSpaceDN w:val="0"/>
        <w:adjustRightInd w:val="0"/>
        <w:spacing w:after="20" w:line="360" w:lineRule="auto"/>
        <w:jc w:val="both"/>
        <w:rPr>
          <w:rFonts w:cs="Times New Roman"/>
          <w:sz w:val="20"/>
          <w:szCs w:val="20"/>
          <w:lang w:val="en-US"/>
        </w:rPr>
      </w:pPr>
      <w:r w:rsidRPr="00BA4567">
        <w:rPr>
          <w:rFonts w:cs="Times New Roman"/>
          <w:sz w:val="20"/>
          <w:szCs w:val="20"/>
        </w:rPr>
        <w:t xml:space="preserve">La Moncloa, </w:t>
      </w:r>
      <w:hyperlink r:id="rId26" w:history="1">
        <w:r w:rsidRPr="00BA4567">
          <w:rPr>
            <w:rFonts w:cs="Times New Roman"/>
            <w:i/>
            <w:iCs/>
            <w:sz w:val="20"/>
            <w:szCs w:val="20"/>
          </w:rPr>
          <w:t>Official report on Spanish recent Macroeconomics</w:t>
        </w:r>
        <w:r w:rsidRPr="00BA4567">
          <w:rPr>
            <w:rFonts w:cs="Times New Roman"/>
            <w:iCs/>
            <w:sz w:val="20"/>
            <w:szCs w:val="20"/>
          </w:rPr>
          <w:t>, including tables and graphics</w:t>
        </w:r>
      </w:hyperlink>
      <w:r w:rsidRPr="00BA4567">
        <w:rPr>
          <w:rFonts w:cs="Times New Roman"/>
          <w:sz w:val="20"/>
          <w:szCs w:val="20"/>
        </w:rPr>
        <w:t xml:space="preserve">, retrieved 2008. </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OECD Economic Survey Austria 2009 (</w:t>
      </w:r>
      <w:r w:rsidRPr="00BA4567">
        <w:rPr>
          <w:rFonts w:cs="Times New Roman"/>
          <w:i/>
          <w:sz w:val="20"/>
          <w:szCs w:val="20"/>
          <w:lang w:val="en-US"/>
        </w:rPr>
        <w:t>facing the financial crisis</w:t>
      </w:r>
      <w:r w:rsidRPr="00BA4567">
        <w:rPr>
          <w:rFonts w:cs="Times New Roman"/>
          <w:sz w:val="20"/>
          <w:szCs w:val="20"/>
          <w:lang w:val="en-US"/>
        </w:rPr>
        <w:t>), Denmark 2009 (</w:t>
      </w:r>
      <w:r w:rsidRPr="00BA4567">
        <w:rPr>
          <w:rFonts w:cs="Times New Roman"/>
          <w:i/>
          <w:sz w:val="20"/>
          <w:szCs w:val="20"/>
          <w:lang w:val="en-US"/>
        </w:rPr>
        <w:t>the crisis and beyond</w:t>
      </w:r>
      <w:r w:rsidRPr="00BA4567">
        <w:rPr>
          <w:rFonts w:cs="Times New Roman"/>
          <w:sz w:val="20"/>
          <w:szCs w:val="20"/>
          <w:lang w:val="en-US"/>
        </w:rPr>
        <w:t>), and Norway 2010</w:t>
      </w:r>
    </w:p>
    <w:p w:rsidR="003F4E6D" w:rsidRPr="00BA4567" w:rsidRDefault="003F4E6D" w:rsidP="003F4E6D">
      <w:pPr>
        <w:spacing w:line="360" w:lineRule="auto"/>
        <w:jc w:val="both"/>
        <w:rPr>
          <w:rFonts w:cs="Times New Roman"/>
          <w:sz w:val="20"/>
          <w:szCs w:val="20"/>
          <w:lang w:val="en-US"/>
        </w:rPr>
      </w:pPr>
    </w:p>
    <w:p w:rsidR="003F4E6D" w:rsidRPr="00BA4567" w:rsidRDefault="003F4E6D" w:rsidP="003F4E6D">
      <w:pPr>
        <w:spacing w:line="360" w:lineRule="auto"/>
        <w:jc w:val="both"/>
        <w:rPr>
          <w:rFonts w:cs="Times New Roman"/>
          <w:sz w:val="20"/>
          <w:szCs w:val="20"/>
          <w:lang w:val="en-US"/>
        </w:rPr>
      </w:pPr>
      <w:r w:rsidRPr="00BA4567">
        <w:rPr>
          <w:rFonts w:cs="Times New Roman"/>
          <w:sz w:val="20"/>
          <w:szCs w:val="20"/>
          <w:lang w:val="en-US"/>
        </w:rPr>
        <w:t>OECD Observer Ireland and Sweden.</w:t>
      </w:r>
    </w:p>
    <w:p w:rsidR="003F4E6D" w:rsidRDefault="00C67B46" w:rsidP="003F4E6D">
      <w:pPr>
        <w:spacing w:line="360" w:lineRule="auto"/>
        <w:jc w:val="both"/>
        <w:rPr>
          <w:rFonts w:cs="Times New Roman"/>
          <w:sz w:val="20"/>
          <w:szCs w:val="20"/>
          <w:lang w:val="en-US"/>
        </w:rPr>
      </w:pPr>
      <w:r>
        <w:rPr>
          <w:rFonts w:cs="Times New Roman"/>
          <w:sz w:val="20"/>
          <w:szCs w:val="20"/>
          <w:lang w:val="en-US"/>
        </w:rPr>
        <w:lastRenderedPageBreak/>
        <w:t xml:space="preserve"> </w:t>
      </w:r>
    </w:p>
    <w:p w:rsidR="00C67B46" w:rsidRPr="00C67B46" w:rsidRDefault="00542395" w:rsidP="003F4E6D">
      <w:pPr>
        <w:spacing w:line="360" w:lineRule="auto"/>
        <w:jc w:val="both"/>
        <w:rPr>
          <w:rFonts w:cs="Times New Roman"/>
          <w:sz w:val="20"/>
          <w:szCs w:val="20"/>
          <w:lang w:val="en-US"/>
        </w:rPr>
      </w:pPr>
      <w:hyperlink r:id="rId27" w:history="1">
        <w:r w:rsidR="00C67B46">
          <w:rPr>
            <w:rStyle w:val="Hyperlink"/>
            <w:color w:val="auto"/>
            <w:sz w:val="20"/>
            <w:szCs w:val="20"/>
            <w:u w:val="none"/>
          </w:rPr>
          <w:t xml:space="preserve">Roubini 2009 </w:t>
        </w:r>
        <w:r w:rsidR="00C67B46" w:rsidRPr="00C67B46">
          <w:rPr>
            <w:rStyle w:val="Hyperlink"/>
            <w:i/>
            <w:color w:val="auto"/>
            <w:sz w:val="20"/>
            <w:szCs w:val="20"/>
            <w:u w:val="none"/>
          </w:rPr>
          <w:t>“Risks to Global Growth"</w:t>
        </w:r>
      </w:hyperlink>
      <w:r w:rsidR="00C67B46" w:rsidRPr="00C67B46">
        <w:rPr>
          <w:rStyle w:val="citation"/>
          <w:sz w:val="20"/>
          <w:szCs w:val="20"/>
        </w:rPr>
        <w:t xml:space="preserve"> </w:t>
      </w:r>
    </w:p>
    <w:p w:rsidR="00C67B46" w:rsidRPr="00BA4567" w:rsidRDefault="00C67B46" w:rsidP="003F4E6D">
      <w:pPr>
        <w:spacing w:line="360" w:lineRule="auto"/>
        <w:jc w:val="both"/>
        <w:rPr>
          <w:rFonts w:cs="Times New Roman"/>
          <w:sz w:val="20"/>
          <w:szCs w:val="20"/>
          <w:lang w:val="en-US"/>
        </w:rPr>
      </w:pPr>
    </w:p>
    <w:p w:rsidR="003F4E6D" w:rsidRPr="00BA4567" w:rsidRDefault="003F4E6D" w:rsidP="003F4E6D">
      <w:pPr>
        <w:widowControl w:val="0"/>
        <w:autoSpaceDE w:val="0"/>
        <w:autoSpaceDN w:val="0"/>
        <w:adjustRightInd w:val="0"/>
        <w:spacing w:after="20" w:line="360" w:lineRule="auto"/>
        <w:jc w:val="both"/>
        <w:rPr>
          <w:rFonts w:cs="Times New Roman"/>
          <w:sz w:val="20"/>
          <w:szCs w:val="20"/>
        </w:rPr>
      </w:pPr>
      <w:r w:rsidRPr="00BA4567">
        <w:rPr>
          <w:rFonts w:cs="Times New Roman"/>
          <w:sz w:val="20"/>
          <w:szCs w:val="20"/>
        </w:rPr>
        <w:t xml:space="preserve">Tremlett, Giles </w:t>
      </w:r>
      <w:hyperlink r:id="rId28" w:history="1">
        <w:r w:rsidRPr="00BA4567">
          <w:rPr>
            <w:rFonts w:cs="Times New Roman"/>
            <w:iCs/>
            <w:sz w:val="20"/>
            <w:szCs w:val="20"/>
          </w:rPr>
          <w:t>Economic statistics</w:t>
        </w:r>
      </w:hyperlink>
      <w:r w:rsidRPr="00BA4567">
        <w:rPr>
          <w:rFonts w:cs="Times New Roman"/>
          <w:sz w:val="20"/>
          <w:szCs w:val="20"/>
        </w:rPr>
        <w:t>, London, Guardian, retrieved 2008-08-13.</w:t>
      </w:r>
    </w:p>
    <w:p w:rsidR="003F4E6D" w:rsidRPr="00BA4567" w:rsidRDefault="003F4E6D" w:rsidP="003F4E6D">
      <w:pPr>
        <w:widowControl w:val="0"/>
        <w:autoSpaceDE w:val="0"/>
        <w:autoSpaceDN w:val="0"/>
        <w:adjustRightInd w:val="0"/>
        <w:spacing w:after="20" w:line="360" w:lineRule="auto"/>
        <w:jc w:val="both"/>
        <w:rPr>
          <w:rFonts w:cs="Times New Roman"/>
          <w:sz w:val="20"/>
          <w:szCs w:val="20"/>
        </w:rPr>
      </w:pPr>
    </w:p>
    <w:p w:rsidR="003F4E6D" w:rsidRPr="00D84C54" w:rsidRDefault="003F4E6D" w:rsidP="003F4E6D">
      <w:pPr>
        <w:spacing w:line="360" w:lineRule="auto"/>
        <w:jc w:val="both"/>
        <w:rPr>
          <w:rFonts w:cs="Times New Roman"/>
          <w:sz w:val="20"/>
          <w:szCs w:val="20"/>
          <w:lang w:val="en-US"/>
        </w:rPr>
      </w:pPr>
      <w:r w:rsidRPr="00D84C54">
        <w:rPr>
          <w:rFonts w:cs="Times New Roman"/>
          <w:sz w:val="20"/>
          <w:szCs w:val="20"/>
          <w:lang w:val="en-US"/>
        </w:rPr>
        <w:t>US Department of State 2010.</w:t>
      </w:r>
    </w:p>
    <w:p w:rsidR="003F4E6D" w:rsidRPr="00D84C54" w:rsidRDefault="003F4E6D" w:rsidP="003F4E6D">
      <w:pPr>
        <w:spacing w:line="360" w:lineRule="auto"/>
        <w:jc w:val="both"/>
        <w:rPr>
          <w:rFonts w:cs="Times New Roman"/>
          <w:sz w:val="20"/>
          <w:szCs w:val="20"/>
          <w:lang w:val="en-US"/>
        </w:rPr>
      </w:pPr>
    </w:p>
    <w:p w:rsidR="003F4E6D" w:rsidRDefault="003F4E6D" w:rsidP="003F4E6D">
      <w:pPr>
        <w:spacing w:line="360" w:lineRule="auto"/>
        <w:jc w:val="both"/>
        <w:rPr>
          <w:lang w:val="en-US"/>
        </w:rPr>
      </w:pPr>
    </w:p>
    <w:p w:rsidR="003F4E6D" w:rsidRPr="00BC331F" w:rsidRDefault="003F4E6D" w:rsidP="003F4E6D">
      <w:pPr>
        <w:widowControl w:val="0"/>
        <w:autoSpaceDE w:val="0"/>
        <w:autoSpaceDN w:val="0"/>
        <w:adjustRightInd w:val="0"/>
        <w:spacing w:after="20" w:line="360" w:lineRule="auto"/>
        <w:jc w:val="both"/>
        <w:rPr>
          <w:rFonts w:cs="Times New Roman"/>
          <w:sz w:val="20"/>
          <w:szCs w:val="20"/>
        </w:rPr>
      </w:pPr>
    </w:p>
    <w:p w:rsidR="003F4E6D" w:rsidRDefault="003F4E6D" w:rsidP="003F4E6D">
      <w:pPr>
        <w:jc w:val="both"/>
        <w:rPr>
          <w:lang w:val="en-US"/>
        </w:rPr>
      </w:pPr>
    </w:p>
    <w:p w:rsidR="003F4E6D" w:rsidRDefault="003F4E6D" w:rsidP="003F4E6D">
      <w:pPr>
        <w:jc w:val="both"/>
        <w:rPr>
          <w:lang w:val="en-US"/>
        </w:rPr>
      </w:pPr>
    </w:p>
    <w:p w:rsidR="003F4E6D" w:rsidRDefault="003F4E6D" w:rsidP="003F4E6D">
      <w:pPr>
        <w:jc w:val="both"/>
        <w:rPr>
          <w:lang w:val="en-US"/>
        </w:rPr>
      </w:pPr>
    </w:p>
    <w:p w:rsidR="003F4E6D" w:rsidRDefault="003F4E6D" w:rsidP="003F4E6D">
      <w:pPr>
        <w:jc w:val="both"/>
        <w:rPr>
          <w:lang w:val="en-US"/>
        </w:rPr>
      </w:pPr>
    </w:p>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DD0EEC" w:rsidRDefault="00DD0EEC" w:rsidP="003F4E6D">
      <w:pPr>
        <w:rPr>
          <w:lang w:val="en-US"/>
        </w:rPr>
        <w:sectPr w:rsidR="00DD0EEC" w:rsidSect="004F6EE3">
          <w:pgSz w:w="11906" w:h="16838" w:code="9"/>
          <w:pgMar w:top="1418" w:right="1418" w:bottom="1418" w:left="1418" w:header="709" w:footer="709" w:gutter="0"/>
          <w:cols w:space="708"/>
          <w:docGrid w:linePitch="360"/>
        </w:sectPr>
      </w:pPr>
    </w:p>
    <w:p w:rsidR="003F4E6D" w:rsidRDefault="00C37F58" w:rsidP="00C37F58">
      <w:pPr>
        <w:pStyle w:val="Kop1"/>
        <w:rPr>
          <w:lang w:val="en-US"/>
        </w:rPr>
      </w:pPr>
      <w:bookmarkStart w:id="206" w:name="_Toc268186089"/>
      <w:r w:rsidRPr="00C37F58">
        <w:rPr>
          <w:lang w:val="en-US"/>
        </w:rPr>
        <w:lastRenderedPageBreak/>
        <w:t>Appendix 2: Literature table</w:t>
      </w:r>
      <w:r w:rsidR="00CB5176">
        <w:rPr>
          <w:lang w:val="en-US"/>
        </w:rPr>
        <w:t xml:space="preserve"> and list of banks</w:t>
      </w:r>
      <w:bookmarkEnd w:id="206"/>
    </w:p>
    <w:p w:rsidR="00CB5176" w:rsidRDefault="00CB5176" w:rsidP="00CB5176">
      <w:pPr>
        <w:rPr>
          <w:lang w:val="en-US"/>
        </w:rPr>
      </w:pPr>
    </w:p>
    <w:p w:rsidR="00CB5176" w:rsidRPr="00CB5176" w:rsidRDefault="00CB5176" w:rsidP="00CB5176">
      <w:pPr>
        <w:rPr>
          <w:i/>
          <w:lang w:val="en-US"/>
        </w:rPr>
      </w:pPr>
      <w:r w:rsidRPr="00CB5176">
        <w:rPr>
          <w:i/>
          <w:lang w:val="en-US"/>
        </w:rPr>
        <w:t>Literature table:</w:t>
      </w:r>
    </w:p>
    <w:p w:rsidR="003F4E6D" w:rsidRDefault="003F4E6D" w:rsidP="003F4E6D">
      <w:pPr>
        <w:rPr>
          <w:lang w:val="en-US"/>
        </w:rPr>
      </w:pPr>
    </w:p>
    <w:tbl>
      <w:tblPr>
        <w:tblStyle w:val="MediumList22"/>
        <w:tblpPr w:leftFromText="142" w:rightFromText="142" w:vertAnchor="text" w:horzAnchor="margin" w:tblpXSpec="center" w:tblpY="99"/>
        <w:tblW w:w="0" w:type="auto"/>
        <w:tblLook w:val="01E0"/>
      </w:tblPr>
      <w:tblGrid>
        <w:gridCol w:w="777"/>
        <w:gridCol w:w="1861"/>
        <w:gridCol w:w="1922"/>
        <w:gridCol w:w="2081"/>
        <w:gridCol w:w="2816"/>
        <w:gridCol w:w="2441"/>
        <w:gridCol w:w="2320"/>
      </w:tblGrid>
      <w:tr w:rsidR="00DD0EEC" w:rsidRPr="00A54FD7" w:rsidTr="00C37F58">
        <w:trPr>
          <w:cnfStyle w:val="100000000000"/>
        </w:trPr>
        <w:tc>
          <w:tcPr>
            <w:cnfStyle w:val="001000000100"/>
            <w:tcW w:w="0" w:type="auto"/>
          </w:tcPr>
          <w:p w:rsidR="00DD0EEC" w:rsidRPr="00F851A5" w:rsidRDefault="00DD0EEC" w:rsidP="00DD0EEC">
            <w:pPr>
              <w:jc w:val="both"/>
              <w:rPr>
                <w:b/>
                <w:bCs/>
                <w:lang w:val="en-US"/>
              </w:rPr>
            </w:pPr>
            <w:r w:rsidRPr="00F851A5">
              <w:rPr>
                <w:b/>
                <w:bCs/>
                <w:sz w:val="22"/>
                <w:szCs w:val="22"/>
                <w:lang w:val="en-US"/>
              </w:rPr>
              <w:t>study</w:t>
            </w:r>
          </w:p>
        </w:tc>
        <w:tc>
          <w:tcPr>
            <w:cnfStyle w:val="000010000000"/>
            <w:tcW w:w="0" w:type="auto"/>
          </w:tcPr>
          <w:p w:rsidR="00DD0EEC" w:rsidRPr="00F851A5" w:rsidRDefault="00DD0EEC" w:rsidP="00DD0EEC">
            <w:pPr>
              <w:jc w:val="both"/>
              <w:rPr>
                <w:b/>
                <w:bCs/>
                <w:lang w:val="en-US"/>
              </w:rPr>
            </w:pPr>
            <w:r w:rsidRPr="00F851A5">
              <w:rPr>
                <w:b/>
                <w:bCs/>
                <w:sz w:val="22"/>
                <w:szCs w:val="22"/>
                <w:lang w:val="en-US"/>
              </w:rPr>
              <w:t xml:space="preserve">   </w:t>
            </w:r>
            <w:r w:rsidR="00C37F58">
              <w:rPr>
                <w:b/>
                <w:bCs/>
                <w:sz w:val="22"/>
                <w:szCs w:val="22"/>
                <w:lang w:val="en-US"/>
              </w:rPr>
              <w:t xml:space="preserve">      </w:t>
            </w:r>
            <w:r w:rsidRPr="00F851A5">
              <w:rPr>
                <w:b/>
                <w:bCs/>
                <w:sz w:val="22"/>
                <w:szCs w:val="22"/>
                <w:lang w:val="en-US"/>
              </w:rPr>
              <w:t>Title</w:t>
            </w:r>
          </w:p>
          <w:p w:rsidR="00DD0EEC" w:rsidRPr="00F851A5" w:rsidRDefault="00DD0EEC" w:rsidP="00DD0EEC">
            <w:pPr>
              <w:rPr>
                <w:lang w:val="en-US"/>
              </w:rPr>
            </w:pPr>
          </w:p>
          <w:p w:rsidR="00DD0EEC" w:rsidRPr="00F851A5" w:rsidRDefault="00DD0EEC" w:rsidP="00DD0EEC">
            <w:pPr>
              <w:jc w:val="center"/>
              <w:rPr>
                <w:lang w:val="en-US"/>
              </w:rPr>
            </w:pPr>
          </w:p>
        </w:tc>
        <w:tc>
          <w:tcPr>
            <w:tcW w:w="0" w:type="auto"/>
          </w:tcPr>
          <w:p w:rsidR="00DD0EEC" w:rsidRPr="00F851A5" w:rsidRDefault="00DD0EEC" w:rsidP="00DD0EEC">
            <w:pPr>
              <w:jc w:val="both"/>
              <w:cnfStyle w:val="100000000000"/>
              <w:rPr>
                <w:b/>
                <w:bCs/>
                <w:lang w:val="en-US"/>
              </w:rPr>
            </w:pPr>
            <w:r w:rsidRPr="00F851A5">
              <w:rPr>
                <w:b/>
                <w:bCs/>
                <w:sz w:val="22"/>
                <w:szCs w:val="22"/>
                <w:lang w:val="en-US"/>
              </w:rPr>
              <w:t>Author</w:t>
            </w:r>
          </w:p>
        </w:tc>
        <w:tc>
          <w:tcPr>
            <w:cnfStyle w:val="000010000000"/>
            <w:tcW w:w="0" w:type="auto"/>
          </w:tcPr>
          <w:p w:rsidR="00DD0EEC" w:rsidRPr="00F851A5" w:rsidRDefault="00DD0EEC" w:rsidP="00DD0EEC">
            <w:pPr>
              <w:jc w:val="both"/>
              <w:rPr>
                <w:b/>
                <w:bCs/>
                <w:lang w:val="en-US"/>
              </w:rPr>
            </w:pPr>
            <w:r w:rsidRPr="00F851A5">
              <w:rPr>
                <w:b/>
                <w:bCs/>
                <w:sz w:val="22"/>
                <w:szCs w:val="22"/>
                <w:lang w:val="en-US"/>
              </w:rPr>
              <w:t>Object of study</w:t>
            </w:r>
          </w:p>
        </w:tc>
        <w:tc>
          <w:tcPr>
            <w:tcW w:w="0" w:type="auto"/>
          </w:tcPr>
          <w:p w:rsidR="00DD0EEC" w:rsidRPr="00F851A5" w:rsidRDefault="00C37F58" w:rsidP="00DD0EEC">
            <w:pPr>
              <w:jc w:val="both"/>
              <w:cnfStyle w:val="100000000000"/>
              <w:rPr>
                <w:b/>
                <w:bCs/>
                <w:lang w:val="en-US"/>
              </w:rPr>
            </w:pPr>
            <w:r>
              <w:rPr>
                <w:b/>
                <w:bCs/>
                <w:sz w:val="22"/>
                <w:szCs w:val="22"/>
                <w:lang w:val="en-US"/>
              </w:rPr>
              <w:t xml:space="preserve">Sample(size, </w:t>
            </w:r>
            <w:r w:rsidR="00DD0EEC" w:rsidRPr="00F851A5">
              <w:rPr>
                <w:b/>
                <w:bCs/>
                <w:sz w:val="22"/>
                <w:szCs w:val="22"/>
                <w:lang w:val="en-US"/>
              </w:rPr>
              <w:t>country, period)</w:t>
            </w:r>
          </w:p>
        </w:tc>
        <w:tc>
          <w:tcPr>
            <w:cnfStyle w:val="000010000000"/>
            <w:tcW w:w="0" w:type="auto"/>
          </w:tcPr>
          <w:p w:rsidR="00DD0EEC" w:rsidRPr="00F851A5" w:rsidRDefault="00C37F58" w:rsidP="00DD0EEC">
            <w:pPr>
              <w:jc w:val="both"/>
              <w:rPr>
                <w:b/>
                <w:bCs/>
                <w:lang w:val="en-US"/>
              </w:rPr>
            </w:pPr>
            <w:r>
              <w:rPr>
                <w:b/>
                <w:bCs/>
                <w:sz w:val="22"/>
                <w:szCs w:val="22"/>
                <w:lang w:val="en-US"/>
              </w:rPr>
              <w:t xml:space="preserve">      </w:t>
            </w:r>
            <w:r w:rsidR="00DD0EEC" w:rsidRPr="00F851A5">
              <w:rPr>
                <w:b/>
                <w:bCs/>
                <w:sz w:val="22"/>
                <w:szCs w:val="22"/>
                <w:lang w:val="en-US"/>
              </w:rPr>
              <w:t>Methodology</w:t>
            </w:r>
          </w:p>
        </w:tc>
        <w:tc>
          <w:tcPr>
            <w:cnfStyle w:val="000100000000"/>
            <w:tcW w:w="0" w:type="auto"/>
          </w:tcPr>
          <w:p w:rsidR="00DD0EEC" w:rsidRPr="00F851A5" w:rsidRDefault="00DD0EEC" w:rsidP="00DD0EEC">
            <w:pPr>
              <w:jc w:val="both"/>
              <w:rPr>
                <w:b/>
                <w:bCs/>
                <w:lang w:val="en-US"/>
              </w:rPr>
            </w:pPr>
            <w:r w:rsidRPr="00F851A5">
              <w:rPr>
                <w:b/>
                <w:bCs/>
                <w:sz w:val="22"/>
                <w:szCs w:val="22"/>
                <w:lang w:val="en-US"/>
              </w:rPr>
              <w:t>Conclusion</w:t>
            </w:r>
          </w:p>
        </w:tc>
      </w:tr>
      <w:tr w:rsidR="00DD0EEC" w:rsidRPr="00A54FD7" w:rsidTr="00C37F58">
        <w:trPr>
          <w:cnfStyle w:val="000000100000"/>
        </w:trPr>
        <w:tc>
          <w:tcPr>
            <w:cnfStyle w:val="001000000000"/>
            <w:tcW w:w="0" w:type="auto"/>
          </w:tcPr>
          <w:p w:rsidR="00DD0EEC" w:rsidRPr="00F851A5" w:rsidRDefault="00DD0EEC" w:rsidP="00DD0EEC">
            <w:pPr>
              <w:jc w:val="both"/>
              <w:rPr>
                <w:b/>
                <w:bCs/>
                <w:lang w:val="en-US"/>
              </w:rPr>
            </w:pPr>
            <w:r w:rsidRPr="00F851A5">
              <w:rPr>
                <w:b/>
                <w:bCs/>
                <w:sz w:val="22"/>
                <w:szCs w:val="22"/>
                <w:lang w:val="en-US"/>
              </w:rPr>
              <w:t>1</w:t>
            </w:r>
          </w:p>
        </w:tc>
        <w:tc>
          <w:tcPr>
            <w:cnfStyle w:val="000010000000"/>
            <w:tcW w:w="0" w:type="auto"/>
          </w:tcPr>
          <w:p w:rsidR="00DD0EEC" w:rsidRPr="00F851A5" w:rsidRDefault="00DD0EEC" w:rsidP="00DD0EEC">
            <w:pPr>
              <w:jc w:val="both"/>
              <w:rPr>
                <w:lang w:val="en-US"/>
              </w:rPr>
            </w:pPr>
            <w:r w:rsidRPr="00F851A5">
              <w:rPr>
                <w:sz w:val="22"/>
                <w:szCs w:val="22"/>
                <w:lang w:val="en-US"/>
              </w:rPr>
              <w:t>Conservatism in Accounting Part I: Explanations and Implications</w:t>
            </w:r>
          </w:p>
        </w:tc>
        <w:tc>
          <w:tcPr>
            <w:tcW w:w="0" w:type="auto"/>
          </w:tcPr>
          <w:p w:rsidR="00DD0EEC" w:rsidRPr="00F851A5" w:rsidRDefault="00DD0EEC" w:rsidP="00DD0EEC">
            <w:pPr>
              <w:jc w:val="both"/>
              <w:cnfStyle w:val="000000100000"/>
              <w:rPr>
                <w:lang w:val="en-US"/>
              </w:rPr>
            </w:pPr>
            <w:r w:rsidRPr="00F851A5">
              <w:rPr>
                <w:sz w:val="22"/>
                <w:szCs w:val="22"/>
                <w:lang w:val="en-US"/>
              </w:rPr>
              <w:t>Ross L. Watts</w:t>
            </w:r>
            <w:r w:rsidR="004572D4">
              <w:rPr>
                <w:sz w:val="22"/>
                <w:szCs w:val="22"/>
                <w:lang w:val="en-US"/>
              </w:rPr>
              <w:t xml:space="preserve"> 2003</w:t>
            </w:r>
          </w:p>
        </w:tc>
        <w:tc>
          <w:tcPr>
            <w:cnfStyle w:val="000010000000"/>
            <w:tcW w:w="0" w:type="auto"/>
          </w:tcPr>
          <w:p w:rsidR="00DD0EEC" w:rsidRPr="008F7E52" w:rsidRDefault="00DD0EEC" w:rsidP="00DD0EEC">
            <w:pPr>
              <w:jc w:val="both"/>
              <w:rPr>
                <w:sz w:val="22"/>
                <w:szCs w:val="22"/>
                <w:lang w:val="en-US"/>
              </w:rPr>
            </w:pPr>
            <w:r w:rsidRPr="00F851A5">
              <w:rPr>
                <w:sz w:val="22"/>
                <w:szCs w:val="22"/>
                <w:lang w:val="en-US"/>
              </w:rPr>
              <w:t>Examination of alternative explanations for conservatism in accounting and their implications for accounting regulators.</w:t>
            </w:r>
          </w:p>
        </w:tc>
        <w:tc>
          <w:tcPr>
            <w:tcW w:w="0" w:type="auto"/>
          </w:tcPr>
          <w:p w:rsidR="00DD0EEC" w:rsidRPr="00F851A5" w:rsidRDefault="00DD0EEC" w:rsidP="00DD0EEC">
            <w:pPr>
              <w:jc w:val="both"/>
              <w:cnfStyle w:val="000000100000"/>
              <w:rPr>
                <w:lang w:val="en-US"/>
              </w:rPr>
            </w:pPr>
            <w:r w:rsidRPr="00F851A5">
              <w:rPr>
                <w:sz w:val="22"/>
                <w:szCs w:val="22"/>
                <w:lang w:val="en-US"/>
              </w:rPr>
              <w:t>This paper is based on existing literature(literature study), thus there is no test information included, September 2003</w:t>
            </w:r>
          </w:p>
        </w:tc>
        <w:tc>
          <w:tcPr>
            <w:cnfStyle w:val="000010000000"/>
            <w:tcW w:w="0" w:type="auto"/>
          </w:tcPr>
          <w:p w:rsidR="00DD0EEC" w:rsidRPr="00F851A5" w:rsidRDefault="00DD0EEC" w:rsidP="00DD0EEC">
            <w:pPr>
              <w:jc w:val="both"/>
              <w:rPr>
                <w:lang w:val="en-US"/>
              </w:rPr>
            </w:pPr>
            <w:r w:rsidRPr="00F851A5">
              <w:rPr>
                <w:sz w:val="22"/>
                <w:szCs w:val="22"/>
                <w:lang w:val="en-US"/>
              </w:rPr>
              <w:t xml:space="preserve">This paper studies conservatism in accounting and is divided in two parts. The first Part discusses explanations for conservatism and draws implications for regulation and standard setting. The paper draws a general contracting explanation for conservatism and predicts that other contracts employed within the firm, will also generate conservatism. It offers also a new argument: that an information perspective produces conservatism once the information costs of changed managerial </w:t>
            </w:r>
            <w:r w:rsidRPr="00F851A5">
              <w:rPr>
                <w:sz w:val="22"/>
                <w:szCs w:val="22"/>
                <w:lang w:val="en-US"/>
              </w:rPr>
              <w:lastRenderedPageBreak/>
              <w:t>behavior are introduced even without contracting considerations.</w:t>
            </w:r>
          </w:p>
        </w:tc>
        <w:tc>
          <w:tcPr>
            <w:cnfStyle w:val="000100000000"/>
            <w:tcW w:w="0" w:type="auto"/>
          </w:tcPr>
          <w:p w:rsidR="00DD0EEC" w:rsidRPr="00F851A5" w:rsidRDefault="00DD0EEC" w:rsidP="00DD0EEC">
            <w:pPr>
              <w:jc w:val="both"/>
              <w:rPr>
                <w:b/>
                <w:bCs/>
                <w:lang w:val="en-US"/>
              </w:rPr>
            </w:pPr>
            <w:r w:rsidRPr="00F851A5">
              <w:rPr>
                <w:b/>
                <w:bCs/>
                <w:sz w:val="22"/>
                <w:szCs w:val="22"/>
                <w:lang w:val="en-US"/>
              </w:rPr>
              <w:lastRenderedPageBreak/>
              <w:t xml:space="preserve">The main conclusion of this paper is that conservatism is essential. Managers will bias and noise value estimates, because there is a lack of verifiability, managers have limited tenures and limited liability’s. If regulators want to improve financial reporting, they must recognize the importance of verification, problems that conservatism’s asymmetric requirement evolved to address and regulators should concentrate on the accounting’s </w:t>
            </w:r>
            <w:r w:rsidRPr="00F851A5">
              <w:rPr>
                <w:b/>
                <w:bCs/>
                <w:sz w:val="22"/>
                <w:szCs w:val="22"/>
                <w:lang w:val="en-US"/>
              </w:rPr>
              <w:lastRenderedPageBreak/>
              <w:t>core competence.</w:t>
            </w:r>
          </w:p>
        </w:tc>
      </w:tr>
      <w:tr w:rsidR="00DD0EEC" w:rsidRPr="00A54FD7" w:rsidTr="00C37F58">
        <w:tc>
          <w:tcPr>
            <w:cnfStyle w:val="001000000000"/>
            <w:tcW w:w="0" w:type="auto"/>
          </w:tcPr>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2</w:t>
            </w:r>
          </w:p>
        </w:tc>
        <w:tc>
          <w:tcPr>
            <w:cnfStyle w:val="000010000000"/>
            <w:tcW w:w="0" w:type="auto"/>
          </w:tcPr>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Conservatism in Accounting Part II: Evidence and Research Opportunities</w:t>
            </w:r>
          </w:p>
        </w:tc>
        <w:tc>
          <w:tcPr>
            <w:tcW w:w="0" w:type="auto"/>
          </w:tcPr>
          <w:p w:rsidR="00DD0EEC" w:rsidRPr="00F851A5" w:rsidRDefault="00DD0EEC" w:rsidP="00DD0EEC">
            <w:pPr>
              <w:jc w:val="both"/>
              <w:cnfStyle w:val="000000000000"/>
              <w:rPr>
                <w:sz w:val="22"/>
                <w:szCs w:val="22"/>
                <w:lang w:val="en-US"/>
              </w:rPr>
            </w:pPr>
          </w:p>
          <w:p w:rsidR="00DD0EEC" w:rsidRPr="00F851A5" w:rsidRDefault="00DD0EEC" w:rsidP="00DD0EEC">
            <w:pPr>
              <w:jc w:val="both"/>
              <w:cnfStyle w:val="000000000000"/>
              <w:rPr>
                <w:sz w:val="22"/>
                <w:szCs w:val="22"/>
                <w:lang w:val="en-US"/>
              </w:rPr>
            </w:pPr>
          </w:p>
          <w:p w:rsidR="00DD0EEC" w:rsidRPr="00F851A5" w:rsidRDefault="00DD0EEC" w:rsidP="00DD0EEC">
            <w:pPr>
              <w:jc w:val="both"/>
              <w:cnfStyle w:val="000000000000"/>
              <w:rPr>
                <w:sz w:val="22"/>
                <w:szCs w:val="22"/>
                <w:lang w:val="en-US"/>
              </w:rPr>
            </w:pPr>
          </w:p>
          <w:p w:rsidR="00DD0EEC" w:rsidRPr="00F851A5" w:rsidRDefault="00DD0EEC" w:rsidP="00DD0EEC">
            <w:pPr>
              <w:jc w:val="both"/>
              <w:cnfStyle w:val="000000000000"/>
              <w:rPr>
                <w:sz w:val="22"/>
                <w:szCs w:val="22"/>
                <w:lang w:val="en-US"/>
              </w:rPr>
            </w:pPr>
          </w:p>
          <w:p w:rsidR="00DD0EEC" w:rsidRPr="00F851A5" w:rsidRDefault="00DD0EEC" w:rsidP="00DD0EEC">
            <w:pPr>
              <w:jc w:val="both"/>
              <w:cnfStyle w:val="000000000000"/>
              <w:rPr>
                <w:lang w:val="en-US"/>
              </w:rPr>
            </w:pPr>
            <w:r w:rsidRPr="00F851A5">
              <w:rPr>
                <w:sz w:val="22"/>
                <w:szCs w:val="22"/>
                <w:lang w:val="en-US"/>
              </w:rPr>
              <w:t>Ross L. Watts</w:t>
            </w:r>
            <w:r w:rsidR="004572D4">
              <w:rPr>
                <w:sz w:val="22"/>
                <w:szCs w:val="22"/>
                <w:lang w:val="en-US"/>
              </w:rPr>
              <w:t xml:space="preserve"> 2003</w:t>
            </w:r>
          </w:p>
        </w:tc>
        <w:tc>
          <w:tcPr>
            <w:cnfStyle w:val="000010000000"/>
            <w:tcW w:w="0" w:type="auto"/>
          </w:tcPr>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Summary of the empirical evidence on conservatism, its consistency with alternative explanations, and opportunities for future research.</w:t>
            </w:r>
          </w:p>
        </w:tc>
        <w:tc>
          <w:tcPr>
            <w:tcW w:w="0" w:type="auto"/>
          </w:tcPr>
          <w:p w:rsidR="00DD0EEC" w:rsidRPr="00F851A5" w:rsidRDefault="00DD0EEC" w:rsidP="00DD0EEC">
            <w:pPr>
              <w:jc w:val="both"/>
              <w:cnfStyle w:val="000000000000"/>
              <w:rPr>
                <w:sz w:val="22"/>
                <w:szCs w:val="22"/>
                <w:lang w:val="en-US"/>
              </w:rPr>
            </w:pPr>
          </w:p>
          <w:p w:rsidR="00DD0EEC" w:rsidRPr="00F851A5" w:rsidRDefault="00DD0EEC" w:rsidP="00DD0EEC">
            <w:pPr>
              <w:jc w:val="both"/>
              <w:cnfStyle w:val="000000000000"/>
              <w:rPr>
                <w:sz w:val="22"/>
                <w:szCs w:val="22"/>
                <w:lang w:val="en-US"/>
              </w:rPr>
            </w:pPr>
          </w:p>
          <w:p w:rsidR="00DD0EEC" w:rsidRPr="00F851A5" w:rsidRDefault="00DD0EEC" w:rsidP="00DD0EEC">
            <w:pPr>
              <w:jc w:val="both"/>
              <w:cnfStyle w:val="000000000000"/>
              <w:rPr>
                <w:sz w:val="22"/>
                <w:szCs w:val="22"/>
                <w:lang w:val="en-US"/>
              </w:rPr>
            </w:pPr>
          </w:p>
          <w:p w:rsidR="00DD0EEC" w:rsidRPr="00F851A5" w:rsidRDefault="00DD0EEC" w:rsidP="00DD0EEC">
            <w:pPr>
              <w:jc w:val="both"/>
              <w:cnfStyle w:val="000000000000"/>
              <w:rPr>
                <w:sz w:val="22"/>
                <w:szCs w:val="22"/>
                <w:lang w:val="en-US"/>
              </w:rPr>
            </w:pPr>
          </w:p>
          <w:p w:rsidR="00DD0EEC" w:rsidRPr="00F851A5" w:rsidRDefault="00DD0EEC" w:rsidP="00DD0EEC">
            <w:pPr>
              <w:jc w:val="both"/>
              <w:cnfStyle w:val="000000000000"/>
              <w:rPr>
                <w:lang w:val="en-US"/>
              </w:rPr>
            </w:pPr>
            <w:r w:rsidRPr="00F851A5">
              <w:rPr>
                <w:sz w:val="22"/>
                <w:szCs w:val="22"/>
                <w:lang w:val="en-US"/>
              </w:rPr>
              <w:t>This paper is based on existing literature(literature study), thus there is no test information included, September 2003</w:t>
            </w:r>
          </w:p>
        </w:tc>
        <w:tc>
          <w:tcPr>
            <w:cnfStyle w:val="000010000000"/>
            <w:tcW w:w="0" w:type="auto"/>
          </w:tcPr>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 xml:space="preserve">This is Part II of the literature study of conservatism in accounting. This part summarizes the empirical evidence on the existence of conservatism. Ross L. Watts elaborates several measurements for conservatism, draws evidences on alternative conservatism explanations and on non-conservatism explanations. Further this article discusses some research opportunities.  </w:t>
            </w:r>
          </w:p>
        </w:tc>
        <w:tc>
          <w:tcPr>
            <w:cnfStyle w:val="000100000000"/>
            <w:tcW w:w="0" w:type="auto"/>
          </w:tcPr>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Default="00DD0EEC" w:rsidP="00DD0EEC">
            <w:pPr>
              <w:jc w:val="both"/>
              <w:rPr>
                <w:b/>
                <w:bCs/>
                <w:sz w:val="22"/>
                <w:szCs w:val="22"/>
                <w:lang w:val="en-US"/>
              </w:rPr>
            </w:pPr>
            <w:r w:rsidRPr="00F851A5">
              <w:rPr>
                <w:b/>
                <w:bCs/>
                <w:sz w:val="22"/>
                <w:szCs w:val="22"/>
                <w:lang w:val="en-US"/>
              </w:rPr>
              <w:t xml:space="preserve">In this paper the writer concludes that existing evidence for accounting conservatism is most consistent with the contracting and litigation explanations. Further the writer concludes there is a reason to believe that the four explanations for conservatism (contracting, litigation, tax and regulation) are not independent. Also conservatism is driven by a concern with overpayment by contracting parties, courts and government and this principle will not </w:t>
            </w:r>
            <w:r w:rsidRPr="00F851A5">
              <w:rPr>
                <w:b/>
                <w:bCs/>
                <w:sz w:val="22"/>
                <w:szCs w:val="22"/>
                <w:lang w:val="en-US"/>
              </w:rPr>
              <w:lastRenderedPageBreak/>
              <w:t>exclude earnings management or abandonment options.</w:t>
            </w:r>
            <w:r w:rsidR="00C37F58">
              <w:rPr>
                <w:b/>
                <w:bCs/>
                <w:sz w:val="22"/>
                <w:szCs w:val="22"/>
                <w:lang w:val="en-US"/>
              </w:rPr>
              <w:t xml:space="preserve"> </w:t>
            </w:r>
          </w:p>
          <w:p w:rsidR="00C37F58" w:rsidRDefault="00C37F58" w:rsidP="00DD0EEC">
            <w:pPr>
              <w:jc w:val="both"/>
              <w:rPr>
                <w:b/>
                <w:bCs/>
                <w:sz w:val="22"/>
                <w:szCs w:val="22"/>
                <w:lang w:val="en-US"/>
              </w:rPr>
            </w:pPr>
          </w:p>
          <w:p w:rsidR="00C37F58" w:rsidRDefault="00C37F58" w:rsidP="00DD0EEC">
            <w:pPr>
              <w:jc w:val="both"/>
              <w:rPr>
                <w:b/>
                <w:bCs/>
                <w:sz w:val="22"/>
                <w:szCs w:val="22"/>
                <w:lang w:val="en-US"/>
              </w:rPr>
            </w:pPr>
          </w:p>
          <w:p w:rsidR="00C37F58" w:rsidRPr="00F851A5" w:rsidRDefault="00C37F58" w:rsidP="00DD0EEC">
            <w:pPr>
              <w:jc w:val="both"/>
              <w:rPr>
                <w:b/>
                <w:bCs/>
                <w:lang w:val="en-US"/>
              </w:rPr>
            </w:pPr>
          </w:p>
        </w:tc>
      </w:tr>
      <w:tr w:rsidR="00DD0EEC" w:rsidRPr="00A54FD7" w:rsidTr="00C37F58">
        <w:trPr>
          <w:cnfStyle w:val="000000100000"/>
        </w:trPr>
        <w:tc>
          <w:tcPr>
            <w:cnfStyle w:val="001000000000"/>
            <w:tcW w:w="0" w:type="auto"/>
          </w:tcPr>
          <w:p w:rsidR="00DD0EEC" w:rsidRPr="00F851A5" w:rsidRDefault="00DD0EEC" w:rsidP="00DD0EEC">
            <w:pPr>
              <w:jc w:val="both"/>
              <w:rPr>
                <w:b/>
                <w:bCs/>
                <w:lang w:val="en-US"/>
              </w:rPr>
            </w:pPr>
            <w:r w:rsidRPr="00F851A5">
              <w:rPr>
                <w:b/>
                <w:bCs/>
                <w:sz w:val="22"/>
                <w:szCs w:val="22"/>
                <w:lang w:val="en-US"/>
              </w:rPr>
              <w:lastRenderedPageBreak/>
              <w:t>3</w:t>
            </w:r>
          </w:p>
        </w:tc>
        <w:tc>
          <w:tcPr>
            <w:cnfStyle w:val="000010000000"/>
            <w:tcW w:w="0" w:type="auto"/>
          </w:tcPr>
          <w:p w:rsidR="00DD0EEC" w:rsidRPr="00F851A5" w:rsidRDefault="00DD0EEC" w:rsidP="00DD0EEC">
            <w:pPr>
              <w:jc w:val="both"/>
              <w:rPr>
                <w:lang w:val="en-US"/>
              </w:rPr>
            </w:pPr>
            <w:r w:rsidRPr="00F851A5">
              <w:rPr>
                <w:sz w:val="22"/>
                <w:szCs w:val="22"/>
                <w:lang w:val="en-US"/>
              </w:rPr>
              <w:t>The conservatism principle and the asymmetric timeliness of earnings</w:t>
            </w:r>
          </w:p>
        </w:tc>
        <w:tc>
          <w:tcPr>
            <w:tcW w:w="0" w:type="auto"/>
          </w:tcPr>
          <w:p w:rsidR="00DD0EEC" w:rsidRPr="008F7E52" w:rsidRDefault="00DD0EEC" w:rsidP="00DD0EEC">
            <w:pPr>
              <w:jc w:val="both"/>
              <w:cnfStyle w:val="000000100000"/>
              <w:rPr>
                <w:sz w:val="22"/>
                <w:szCs w:val="22"/>
                <w:lang w:val="en-US"/>
              </w:rPr>
            </w:pPr>
            <w:r w:rsidRPr="00F851A5">
              <w:rPr>
                <w:sz w:val="22"/>
                <w:szCs w:val="22"/>
                <w:lang w:val="en-US"/>
              </w:rPr>
              <w:t>Sudipta Basu</w:t>
            </w:r>
            <w:r w:rsidR="004572D4">
              <w:rPr>
                <w:sz w:val="22"/>
                <w:szCs w:val="22"/>
                <w:lang w:val="en-US"/>
              </w:rPr>
              <w:t xml:space="preserve"> </w:t>
            </w:r>
            <w:r w:rsidR="00EB3F16">
              <w:rPr>
                <w:sz w:val="22"/>
                <w:szCs w:val="22"/>
                <w:lang w:val="en-US"/>
              </w:rPr>
              <w:t>1997</w:t>
            </w:r>
          </w:p>
        </w:tc>
        <w:tc>
          <w:tcPr>
            <w:cnfStyle w:val="000010000000"/>
            <w:tcW w:w="0" w:type="auto"/>
          </w:tcPr>
          <w:p w:rsidR="00DD0EEC" w:rsidRPr="00F851A5" w:rsidRDefault="00DD0EEC" w:rsidP="00DD0EEC">
            <w:pPr>
              <w:jc w:val="both"/>
              <w:rPr>
                <w:lang w:val="en-US"/>
              </w:rPr>
            </w:pPr>
            <w:r w:rsidRPr="00F851A5">
              <w:rPr>
                <w:sz w:val="22"/>
                <w:szCs w:val="22"/>
                <w:lang w:val="en-US"/>
              </w:rPr>
              <w:t>Re-examination of the conservatism principle. Investigation of the effects of the conservatism principle on reported financial statements.</w:t>
            </w:r>
          </w:p>
        </w:tc>
        <w:tc>
          <w:tcPr>
            <w:tcW w:w="0" w:type="auto"/>
          </w:tcPr>
          <w:p w:rsidR="00DD0EEC" w:rsidRPr="00F851A5" w:rsidRDefault="00DD0EEC" w:rsidP="00DD0EEC">
            <w:pPr>
              <w:jc w:val="both"/>
              <w:cnfStyle w:val="000000100000"/>
              <w:rPr>
                <w:lang w:val="en-US"/>
              </w:rPr>
            </w:pPr>
            <w:r w:rsidRPr="00F851A5">
              <w:rPr>
                <w:sz w:val="22"/>
                <w:szCs w:val="22"/>
                <w:lang w:val="en-US"/>
              </w:rPr>
              <w:t>The samples implemented for the test in this paper consist of all firm-year observations from 1963 -1990 with returns data on the center for research in security prices NYSE/AMEX monthly files, and with necessary accounting data on the Compustat annual industrial and research files. (United States).</w:t>
            </w:r>
          </w:p>
        </w:tc>
        <w:tc>
          <w:tcPr>
            <w:cnfStyle w:val="000010000000"/>
            <w:tcW w:w="0" w:type="auto"/>
          </w:tcPr>
          <w:p w:rsidR="00DD0EEC" w:rsidRPr="00F851A5" w:rsidRDefault="00DD0EEC" w:rsidP="00DD0EEC">
            <w:pPr>
              <w:jc w:val="both"/>
              <w:rPr>
                <w:lang w:val="en-US"/>
              </w:rPr>
            </w:pPr>
            <w:r w:rsidRPr="00F851A5">
              <w:rPr>
                <w:sz w:val="22"/>
                <w:szCs w:val="22"/>
                <w:lang w:val="en-US"/>
              </w:rPr>
              <w:t xml:space="preserve">The paper extends research on the timeliness of earnings by pointing out that the timelines is asymmetrically greater for bad news than for goods news. S. Basu states that in efficient markets, stock returns symmetrically and quickly reflect all publicly available news, so he uses returns to measure news. The research of the conservatism principle is based on four predictions. For the first prediction:  earnings is more timely or concurrently sensitive in reflecting publicly available bad news than good news the researcher used negative and positive </w:t>
            </w:r>
            <w:r w:rsidRPr="00F851A5">
              <w:rPr>
                <w:sz w:val="22"/>
                <w:szCs w:val="22"/>
                <w:lang w:val="en-US"/>
              </w:rPr>
              <w:lastRenderedPageBreak/>
              <w:t xml:space="preserve">unexpected annual stock returns to proxy for bad news and good news. For the other three predictions S.Basu used empirical tests. </w:t>
            </w:r>
          </w:p>
        </w:tc>
        <w:tc>
          <w:tcPr>
            <w:cnfStyle w:val="000100000000"/>
            <w:tcW w:w="0" w:type="auto"/>
          </w:tcPr>
          <w:p w:rsidR="00DD0EEC" w:rsidRPr="00F851A5" w:rsidRDefault="00DD0EEC" w:rsidP="00DD0EEC">
            <w:pPr>
              <w:jc w:val="both"/>
              <w:rPr>
                <w:b/>
                <w:bCs/>
                <w:lang w:val="en-US"/>
              </w:rPr>
            </w:pPr>
            <w:r w:rsidRPr="00F851A5">
              <w:rPr>
                <w:b/>
                <w:bCs/>
                <w:sz w:val="22"/>
                <w:szCs w:val="22"/>
                <w:lang w:val="en-US"/>
              </w:rPr>
              <w:lastRenderedPageBreak/>
              <w:t xml:space="preserve">S. Basu investigated the effects of the conservatism principle on reported financial statements and interprets conservatism as resulting in earnings reflecting bad news more quickly than good news. He indicated that the concurrent sensitivity of earnings to negative returns is two to six times as large as the concurrent sensitivity of earnings to positive returns and he also showed that positive earnings changes tend to persist whereas negative earnings changes </w:t>
            </w:r>
            <w:r w:rsidRPr="00F851A5">
              <w:rPr>
                <w:b/>
                <w:bCs/>
                <w:sz w:val="22"/>
                <w:szCs w:val="22"/>
                <w:lang w:val="en-US"/>
              </w:rPr>
              <w:lastRenderedPageBreak/>
              <w:t xml:space="preserve">show a marked tendency to reverse. The conclusion of this paper is that earnings are timelier in reporting publicly available bad news about future cash flows than good news. </w:t>
            </w:r>
          </w:p>
        </w:tc>
      </w:tr>
      <w:tr w:rsidR="00DD0EEC" w:rsidRPr="00A54FD7" w:rsidTr="00C37F58">
        <w:tc>
          <w:tcPr>
            <w:cnfStyle w:val="001000000000"/>
            <w:tcW w:w="0" w:type="auto"/>
          </w:tcPr>
          <w:p w:rsidR="00DD0EEC" w:rsidRPr="00F851A5" w:rsidRDefault="00DD0EEC" w:rsidP="00DD0EEC">
            <w:pPr>
              <w:jc w:val="both"/>
              <w:rPr>
                <w:b/>
                <w:bCs/>
                <w:sz w:val="22"/>
                <w:szCs w:val="22"/>
                <w:lang w:val="en-US"/>
              </w:rPr>
            </w:pPr>
          </w:p>
          <w:p w:rsidR="00DD0EEC" w:rsidRDefault="00DD0EEC" w:rsidP="00DD0EEC">
            <w:pPr>
              <w:jc w:val="both"/>
              <w:rPr>
                <w:b/>
                <w:bCs/>
                <w:sz w:val="22"/>
                <w:szCs w:val="22"/>
                <w:lang w:val="en-US"/>
              </w:rPr>
            </w:pPr>
          </w:p>
          <w:p w:rsidR="00C37F58" w:rsidRDefault="00C37F58" w:rsidP="00DD0EEC">
            <w:pPr>
              <w:jc w:val="both"/>
              <w:rPr>
                <w:b/>
                <w:bCs/>
                <w:sz w:val="22"/>
                <w:szCs w:val="22"/>
                <w:lang w:val="en-US"/>
              </w:rPr>
            </w:pPr>
          </w:p>
          <w:p w:rsidR="00C37F58" w:rsidRDefault="00C37F58"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4</w:t>
            </w:r>
          </w:p>
        </w:tc>
        <w:tc>
          <w:tcPr>
            <w:cnfStyle w:val="000010000000"/>
            <w:tcW w:w="0" w:type="auto"/>
          </w:tcPr>
          <w:p w:rsidR="00DD0EEC" w:rsidRDefault="00DD0EEC" w:rsidP="00DD0EEC">
            <w:pPr>
              <w:jc w:val="both"/>
              <w:rPr>
                <w:sz w:val="22"/>
                <w:szCs w:val="22"/>
                <w:lang w:val="en-US"/>
              </w:rPr>
            </w:pPr>
          </w:p>
          <w:p w:rsidR="00C37F58" w:rsidRDefault="00C37F58" w:rsidP="00DD0EEC">
            <w:pPr>
              <w:jc w:val="both"/>
              <w:rPr>
                <w:sz w:val="22"/>
                <w:szCs w:val="22"/>
                <w:lang w:val="en-US"/>
              </w:rPr>
            </w:pPr>
          </w:p>
          <w:p w:rsidR="00C37F58" w:rsidRPr="00F851A5" w:rsidRDefault="00C37F58" w:rsidP="00DD0EEC">
            <w:pPr>
              <w:jc w:val="both"/>
              <w:rPr>
                <w:sz w:val="22"/>
                <w:szCs w:val="22"/>
                <w:lang w:val="en-US"/>
              </w:rPr>
            </w:pPr>
          </w:p>
          <w:p w:rsidR="00DD0EEC" w:rsidRDefault="00DD0EEC"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Discussion of “Conditional and Unconditional Conservatism: Concepts and Modeling”</w:t>
            </w:r>
          </w:p>
        </w:tc>
        <w:tc>
          <w:tcPr>
            <w:tcW w:w="0" w:type="auto"/>
          </w:tcPr>
          <w:p w:rsidR="00DD0EEC" w:rsidRDefault="00DD0EEC" w:rsidP="00DD0EEC">
            <w:pPr>
              <w:jc w:val="both"/>
              <w:cnfStyle w:val="000000000000"/>
              <w:rPr>
                <w:sz w:val="22"/>
                <w:szCs w:val="22"/>
                <w:lang w:val="en-US"/>
              </w:rPr>
            </w:pPr>
          </w:p>
          <w:p w:rsidR="00C37F58" w:rsidRDefault="00C37F58" w:rsidP="00DD0EEC">
            <w:pPr>
              <w:jc w:val="both"/>
              <w:cnfStyle w:val="000000000000"/>
              <w:rPr>
                <w:sz w:val="22"/>
                <w:szCs w:val="22"/>
                <w:lang w:val="en-US"/>
              </w:rPr>
            </w:pPr>
          </w:p>
          <w:p w:rsidR="00C37F58" w:rsidRPr="00F851A5" w:rsidRDefault="00C37F58" w:rsidP="00DD0EEC">
            <w:pPr>
              <w:jc w:val="both"/>
              <w:cnfStyle w:val="000000000000"/>
              <w:rPr>
                <w:sz w:val="22"/>
                <w:szCs w:val="22"/>
                <w:lang w:val="en-US"/>
              </w:rPr>
            </w:pPr>
          </w:p>
          <w:p w:rsidR="00DD0EEC" w:rsidRDefault="00DD0EEC" w:rsidP="00DD0EEC">
            <w:pPr>
              <w:jc w:val="both"/>
              <w:cnfStyle w:val="000000000000"/>
              <w:rPr>
                <w:sz w:val="22"/>
                <w:szCs w:val="22"/>
                <w:lang w:val="en-US"/>
              </w:rPr>
            </w:pPr>
          </w:p>
          <w:p w:rsidR="00DD0EEC" w:rsidRPr="00F851A5" w:rsidRDefault="00DD0EEC" w:rsidP="00DD0EEC">
            <w:pPr>
              <w:jc w:val="both"/>
              <w:cnfStyle w:val="000000000000"/>
              <w:rPr>
                <w:sz w:val="22"/>
                <w:szCs w:val="22"/>
                <w:lang w:val="en-US"/>
              </w:rPr>
            </w:pPr>
            <w:r w:rsidRPr="00F851A5">
              <w:rPr>
                <w:sz w:val="22"/>
                <w:szCs w:val="22"/>
                <w:lang w:val="en-US"/>
              </w:rPr>
              <w:t>Sudipta Basu</w:t>
            </w:r>
            <w:r w:rsidR="00EB3F16">
              <w:rPr>
                <w:sz w:val="22"/>
                <w:szCs w:val="22"/>
                <w:lang w:val="en-US"/>
              </w:rPr>
              <w:t xml:space="preserve"> 2005</w:t>
            </w:r>
          </w:p>
        </w:tc>
        <w:tc>
          <w:tcPr>
            <w:cnfStyle w:val="000010000000"/>
            <w:tcW w:w="0" w:type="auto"/>
          </w:tcPr>
          <w:p w:rsidR="00DD0EEC" w:rsidRPr="00F851A5" w:rsidRDefault="00DD0EEC" w:rsidP="00DD0EEC">
            <w:pPr>
              <w:jc w:val="both"/>
              <w:rPr>
                <w:sz w:val="22"/>
                <w:szCs w:val="22"/>
                <w:lang w:val="en-US"/>
              </w:rPr>
            </w:pPr>
          </w:p>
          <w:p w:rsidR="00DD0EEC" w:rsidRDefault="00DD0EEC" w:rsidP="00DD0EEC">
            <w:pPr>
              <w:jc w:val="both"/>
              <w:rPr>
                <w:sz w:val="22"/>
                <w:szCs w:val="22"/>
                <w:lang w:val="en-US"/>
              </w:rPr>
            </w:pPr>
          </w:p>
          <w:p w:rsidR="00C37F58" w:rsidRDefault="00C37F58" w:rsidP="00DD0EEC">
            <w:pPr>
              <w:jc w:val="both"/>
              <w:rPr>
                <w:sz w:val="22"/>
                <w:szCs w:val="22"/>
                <w:lang w:val="en-US"/>
              </w:rPr>
            </w:pPr>
          </w:p>
          <w:p w:rsidR="00C37F58" w:rsidRDefault="00C37F58"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Further investigation of a model of Beaver and Ryan. Basu takes this model as a basis to give an answer on the research question: Why unconditional and conditional conservatism are more than mere substitutes, and provide evidence from the historical record.</w:t>
            </w:r>
          </w:p>
        </w:tc>
        <w:tc>
          <w:tcPr>
            <w:tcW w:w="0" w:type="auto"/>
          </w:tcPr>
          <w:p w:rsidR="00DD0EEC" w:rsidRPr="00F851A5" w:rsidRDefault="00DD0EEC" w:rsidP="00DD0EEC">
            <w:pPr>
              <w:jc w:val="both"/>
              <w:cnfStyle w:val="000000000000"/>
              <w:rPr>
                <w:sz w:val="22"/>
                <w:szCs w:val="22"/>
                <w:lang w:val="en-US"/>
              </w:rPr>
            </w:pPr>
          </w:p>
          <w:p w:rsidR="00DD0EEC" w:rsidRDefault="00DD0EEC" w:rsidP="00DD0EEC">
            <w:pPr>
              <w:jc w:val="both"/>
              <w:cnfStyle w:val="000000000000"/>
              <w:rPr>
                <w:sz w:val="22"/>
                <w:szCs w:val="22"/>
                <w:lang w:val="en-US"/>
              </w:rPr>
            </w:pPr>
          </w:p>
          <w:p w:rsidR="00C37F58" w:rsidRDefault="00C37F58" w:rsidP="00DD0EEC">
            <w:pPr>
              <w:jc w:val="both"/>
              <w:cnfStyle w:val="000000000000"/>
              <w:rPr>
                <w:sz w:val="22"/>
                <w:szCs w:val="22"/>
                <w:lang w:val="en-US"/>
              </w:rPr>
            </w:pPr>
          </w:p>
          <w:p w:rsidR="00C37F58" w:rsidRDefault="00C37F58" w:rsidP="00DD0EEC">
            <w:pPr>
              <w:jc w:val="both"/>
              <w:cnfStyle w:val="000000000000"/>
              <w:rPr>
                <w:sz w:val="22"/>
                <w:szCs w:val="22"/>
                <w:lang w:val="en-US"/>
              </w:rPr>
            </w:pPr>
          </w:p>
          <w:p w:rsidR="00DD0EEC" w:rsidRPr="008F7E52" w:rsidRDefault="00DD0EEC" w:rsidP="00DD0EEC">
            <w:pPr>
              <w:jc w:val="both"/>
              <w:cnfStyle w:val="000000000000"/>
              <w:rPr>
                <w:sz w:val="22"/>
                <w:szCs w:val="22"/>
                <w:lang w:val="en-US"/>
              </w:rPr>
            </w:pPr>
            <w:r w:rsidRPr="00F851A5">
              <w:rPr>
                <w:sz w:val="22"/>
                <w:szCs w:val="22"/>
                <w:lang w:val="en-US"/>
              </w:rPr>
              <w:t>This is a discussion paper about conservatism that investigates a previous model of Beaver and Ryan. No test information is included. 2005</w:t>
            </w:r>
          </w:p>
        </w:tc>
        <w:tc>
          <w:tcPr>
            <w:cnfStyle w:val="000010000000"/>
            <w:tcW w:w="0" w:type="auto"/>
          </w:tcPr>
          <w:p w:rsidR="00DD0EEC" w:rsidRPr="00F851A5" w:rsidRDefault="00DD0EEC" w:rsidP="00DD0EEC">
            <w:pPr>
              <w:jc w:val="both"/>
              <w:rPr>
                <w:sz w:val="22"/>
                <w:szCs w:val="22"/>
                <w:lang w:val="en-US"/>
              </w:rPr>
            </w:pPr>
          </w:p>
          <w:p w:rsidR="00DD0EEC" w:rsidRDefault="00DD0EEC" w:rsidP="00DD0EEC">
            <w:pPr>
              <w:jc w:val="both"/>
              <w:rPr>
                <w:sz w:val="22"/>
                <w:szCs w:val="22"/>
                <w:lang w:val="en-US"/>
              </w:rPr>
            </w:pPr>
          </w:p>
          <w:p w:rsidR="00C37F58" w:rsidRDefault="00C37F58" w:rsidP="00DD0EEC">
            <w:pPr>
              <w:jc w:val="both"/>
              <w:rPr>
                <w:sz w:val="22"/>
                <w:szCs w:val="22"/>
                <w:lang w:val="en-US"/>
              </w:rPr>
            </w:pPr>
          </w:p>
          <w:p w:rsidR="00C37F58" w:rsidRDefault="00C37F58"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 xml:space="preserve">In this article Basu further react to a previous test model of Beaver and Ryan. They model, simulate and graph the effects of various factors on the nonlinear earnings-return relation induced by conditional conservatism. They integrated in their model two separate algebraic analyses of unconditional and conditional conservatism. (e.g. Beaver and Ryan, 11; Ryan and Zarowin, 38) They made use of Monte Carlo analyses </w:t>
            </w:r>
            <w:r w:rsidRPr="00F851A5">
              <w:rPr>
                <w:sz w:val="22"/>
                <w:szCs w:val="22"/>
                <w:lang w:val="en-US"/>
              </w:rPr>
              <w:lastRenderedPageBreak/>
              <w:t>to simulate the flow of market value innovations into reported earnings.  Basu arguments that unconditional conservatism isn’t a substitute for conditional conservatism and state that researchers can learn a lot more by consideration of the frictions between actual accounting and their simple models.</w:t>
            </w:r>
          </w:p>
        </w:tc>
        <w:tc>
          <w:tcPr>
            <w:cnfStyle w:val="000100000000"/>
            <w:tcW w:w="0" w:type="auto"/>
          </w:tcPr>
          <w:p w:rsidR="00DD0EEC" w:rsidRDefault="00DD0EEC" w:rsidP="00DD0EEC">
            <w:pPr>
              <w:jc w:val="both"/>
              <w:rPr>
                <w:b/>
                <w:bCs/>
                <w:sz w:val="22"/>
                <w:szCs w:val="22"/>
                <w:lang w:val="en-US"/>
              </w:rPr>
            </w:pPr>
          </w:p>
          <w:p w:rsidR="00C37F58" w:rsidRDefault="00C37F58" w:rsidP="00DD0EEC">
            <w:pPr>
              <w:jc w:val="both"/>
              <w:rPr>
                <w:b/>
                <w:bCs/>
                <w:sz w:val="22"/>
                <w:szCs w:val="22"/>
                <w:lang w:val="en-US"/>
              </w:rPr>
            </w:pPr>
          </w:p>
          <w:p w:rsidR="00C37F58" w:rsidRDefault="00C37F58" w:rsidP="00DD0EEC">
            <w:pPr>
              <w:jc w:val="both"/>
              <w:rPr>
                <w:b/>
                <w:bCs/>
                <w:sz w:val="22"/>
                <w:szCs w:val="22"/>
                <w:lang w:val="en-US"/>
              </w:rPr>
            </w:pPr>
          </w:p>
          <w:p w:rsidR="00C37F58" w:rsidRDefault="00C37F58"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 xml:space="preserve">Because this is a discussion we will give a brief summary: Basu extends the model of Beaver and Ryan and says that in the future researchers should carefully consider the frictions between actual accounting practice and previous simple theoretical models. He stated that application of nonlinear estimation techniques is likely to improve the </w:t>
            </w:r>
            <w:r w:rsidRPr="00F851A5">
              <w:rPr>
                <w:b/>
                <w:bCs/>
                <w:sz w:val="22"/>
                <w:szCs w:val="22"/>
                <w:lang w:val="en-US"/>
              </w:rPr>
              <w:lastRenderedPageBreak/>
              <w:t>understanding of how accounting works in the real world. The biggest of Beaver and Ryan is the contribution in ordinary exploring new ways to formalize and generate intuition for future research.</w:t>
            </w:r>
          </w:p>
        </w:tc>
      </w:tr>
      <w:tr w:rsidR="00DD0EEC" w:rsidRPr="00A54FD7" w:rsidTr="00C37F58">
        <w:trPr>
          <w:cnfStyle w:val="000000100000"/>
        </w:trPr>
        <w:tc>
          <w:tcPr>
            <w:cnfStyle w:val="001000000000"/>
            <w:tcW w:w="0" w:type="auto"/>
          </w:tcPr>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5</w:t>
            </w:r>
          </w:p>
        </w:tc>
        <w:tc>
          <w:tcPr>
            <w:cnfStyle w:val="000010000000"/>
            <w:tcW w:w="0" w:type="auto"/>
          </w:tcPr>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The Timeliness of Income Recognition by European Companies: An analysis of Institutional and Market Complexity</w:t>
            </w:r>
          </w:p>
        </w:tc>
        <w:tc>
          <w:tcPr>
            <w:tcW w:w="0" w:type="auto"/>
          </w:tcPr>
          <w:p w:rsidR="00DD0EEC" w:rsidRPr="00F851A5" w:rsidRDefault="00DD0EEC" w:rsidP="00DD0EEC">
            <w:pPr>
              <w:jc w:val="both"/>
              <w:cnfStyle w:val="000000100000"/>
              <w:rPr>
                <w:sz w:val="22"/>
                <w:szCs w:val="22"/>
                <w:lang w:val="en-US"/>
              </w:rPr>
            </w:pPr>
          </w:p>
          <w:p w:rsidR="00DD0EEC" w:rsidRPr="00F851A5" w:rsidRDefault="00DD0EEC" w:rsidP="00DD0EEC">
            <w:pPr>
              <w:jc w:val="both"/>
              <w:cnfStyle w:val="000000100000"/>
              <w:rPr>
                <w:sz w:val="22"/>
                <w:szCs w:val="22"/>
                <w:lang w:val="en-US"/>
              </w:rPr>
            </w:pPr>
          </w:p>
          <w:p w:rsidR="00DD0EEC" w:rsidRPr="00F851A5" w:rsidRDefault="00DD0EEC" w:rsidP="00DD0EEC">
            <w:pPr>
              <w:jc w:val="both"/>
              <w:cnfStyle w:val="000000100000"/>
              <w:rPr>
                <w:sz w:val="22"/>
                <w:szCs w:val="22"/>
                <w:lang w:val="en-US"/>
              </w:rPr>
            </w:pPr>
          </w:p>
          <w:p w:rsidR="00DD0EEC" w:rsidRPr="00F851A5" w:rsidRDefault="00DD0EEC" w:rsidP="00DD0EEC">
            <w:pPr>
              <w:jc w:val="both"/>
              <w:cnfStyle w:val="000000100000"/>
              <w:rPr>
                <w:sz w:val="22"/>
                <w:szCs w:val="22"/>
                <w:lang w:val="en-US"/>
              </w:rPr>
            </w:pPr>
          </w:p>
          <w:p w:rsidR="00DD0EEC" w:rsidRPr="00F851A5" w:rsidRDefault="00DD0EEC" w:rsidP="00DD0EEC">
            <w:pPr>
              <w:jc w:val="both"/>
              <w:cnfStyle w:val="000000100000"/>
              <w:rPr>
                <w:lang w:val="en-US"/>
              </w:rPr>
            </w:pPr>
            <w:r w:rsidRPr="00F851A5">
              <w:rPr>
                <w:sz w:val="22"/>
                <w:szCs w:val="22"/>
                <w:lang w:val="en-US"/>
              </w:rPr>
              <w:t>Ivana Raonic, Stuart McLeay, Ioannis Asimakopoulos</w:t>
            </w:r>
            <w:r w:rsidR="00EB3F16">
              <w:rPr>
                <w:sz w:val="22"/>
                <w:szCs w:val="22"/>
                <w:lang w:val="en-US"/>
              </w:rPr>
              <w:t xml:space="preserve"> 2004</w:t>
            </w:r>
          </w:p>
        </w:tc>
        <w:tc>
          <w:tcPr>
            <w:cnfStyle w:val="000010000000"/>
            <w:tcW w:w="0" w:type="auto"/>
          </w:tcPr>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 xml:space="preserve">Analyze of the asymmetric timeliness of income recognition of good and bad news in the earnings of 366 European firms between 1987 and 1999 </w:t>
            </w:r>
          </w:p>
        </w:tc>
        <w:tc>
          <w:tcPr>
            <w:tcW w:w="0" w:type="auto"/>
          </w:tcPr>
          <w:p w:rsidR="00DD0EEC" w:rsidRPr="00F851A5" w:rsidRDefault="00DD0EEC" w:rsidP="00DD0EEC">
            <w:pPr>
              <w:jc w:val="both"/>
              <w:cnfStyle w:val="000000100000"/>
              <w:rPr>
                <w:sz w:val="22"/>
                <w:szCs w:val="22"/>
                <w:lang w:val="en-US"/>
              </w:rPr>
            </w:pPr>
          </w:p>
          <w:p w:rsidR="00DD0EEC" w:rsidRPr="00F851A5" w:rsidRDefault="00DD0EEC" w:rsidP="00DD0EEC">
            <w:pPr>
              <w:jc w:val="both"/>
              <w:cnfStyle w:val="000000100000"/>
              <w:rPr>
                <w:sz w:val="22"/>
                <w:szCs w:val="22"/>
                <w:lang w:val="en-US"/>
              </w:rPr>
            </w:pPr>
          </w:p>
          <w:p w:rsidR="00DD0EEC" w:rsidRPr="00F851A5" w:rsidRDefault="00DD0EEC" w:rsidP="00DD0EEC">
            <w:pPr>
              <w:jc w:val="both"/>
              <w:cnfStyle w:val="000000100000"/>
              <w:rPr>
                <w:sz w:val="22"/>
                <w:szCs w:val="22"/>
                <w:lang w:val="en-US"/>
              </w:rPr>
            </w:pPr>
          </w:p>
          <w:p w:rsidR="00DD0EEC" w:rsidRPr="00F851A5" w:rsidRDefault="00DD0EEC" w:rsidP="00DD0EEC">
            <w:pPr>
              <w:jc w:val="both"/>
              <w:cnfStyle w:val="000000100000"/>
              <w:rPr>
                <w:sz w:val="22"/>
                <w:szCs w:val="22"/>
                <w:lang w:val="en-US"/>
              </w:rPr>
            </w:pPr>
          </w:p>
          <w:p w:rsidR="00DD0EEC" w:rsidRPr="00F851A5" w:rsidRDefault="00DD0EEC" w:rsidP="00DD0EEC">
            <w:pPr>
              <w:jc w:val="both"/>
              <w:cnfStyle w:val="000000100000"/>
              <w:rPr>
                <w:lang w:val="en-US"/>
              </w:rPr>
            </w:pPr>
            <w:r w:rsidRPr="00F851A5">
              <w:rPr>
                <w:sz w:val="22"/>
                <w:szCs w:val="22"/>
                <w:lang w:val="en-US"/>
              </w:rPr>
              <w:t>First sample: Consist of All European companies(709firms) that traded their equity on exchanges in more than one European country between 1987 and 1999</w:t>
            </w:r>
          </w:p>
          <w:p w:rsidR="00DD0EEC" w:rsidRPr="00F851A5" w:rsidRDefault="00DD0EEC" w:rsidP="00DD0EEC">
            <w:pPr>
              <w:jc w:val="both"/>
              <w:cnfStyle w:val="000000100000"/>
              <w:rPr>
                <w:lang w:val="en-US"/>
              </w:rPr>
            </w:pPr>
            <w:r w:rsidRPr="00F851A5">
              <w:rPr>
                <w:sz w:val="22"/>
                <w:szCs w:val="22"/>
                <w:lang w:val="en-US"/>
              </w:rPr>
              <w:t xml:space="preserve">Second sample: Consist 366 European firms and 3724 firm-year observations; Earnings Yield and Stock Return. </w:t>
            </w:r>
            <w:r w:rsidR="00240DAE">
              <w:rPr>
                <w:sz w:val="22"/>
                <w:szCs w:val="22"/>
                <w:lang w:val="en-US"/>
              </w:rPr>
              <w:t>(Resource</w:t>
            </w:r>
            <w:r w:rsidR="00240DAE" w:rsidRPr="00F851A5">
              <w:rPr>
                <w:sz w:val="22"/>
                <w:szCs w:val="22"/>
                <w:lang w:val="en-US"/>
              </w:rPr>
              <w:t xml:space="preserve">: Datastream)  </w:t>
            </w:r>
            <w:r w:rsidRPr="00F851A5">
              <w:rPr>
                <w:sz w:val="22"/>
                <w:szCs w:val="22"/>
                <w:lang w:val="en-US"/>
              </w:rPr>
              <w:t>January/March 2004</w:t>
            </w:r>
          </w:p>
        </w:tc>
        <w:tc>
          <w:tcPr>
            <w:cnfStyle w:val="000010000000"/>
            <w:tcW w:w="0" w:type="auto"/>
          </w:tcPr>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 xml:space="preserve">In this research paper they followed previous work of practitioners like: Basu, Ball et al, Givoly and Hayn, Giner and Rees, and Pope and Walker. Through algebraic modeling they conduct a regression analyses. With the results they present additional evidence on conservatism and timeliness. In this </w:t>
            </w:r>
            <w:r w:rsidRPr="00F851A5">
              <w:rPr>
                <w:sz w:val="22"/>
                <w:szCs w:val="22"/>
                <w:lang w:val="en-US"/>
              </w:rPr>
              <w:lastRenderedPageBreak/>
              <w:t>paper researchers suggests two methodological improvements: (1) modeling international exposure to different jurisdictions as a firm-specific effect. (2) Incorporating changes through time as an interaction effect in the full model.</w:t>
            </w:r>
          </w:p>
        </w:tc>
        <w:tc>
          <w:tcPr>
            <w:cnfStyle w:val="000100000000"/>
            <w:tcW w:w="0" w:type="auto"/>
          </w:tcPr>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Pr="00F851A5" w:rsidRDefault="00DD0EEC"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 xml:space="preserve">This study provides evidence of accounting conservatism with respect to different regulatory areas. They documented a trend towards greater conservatism for firms domiciled and listed in different markets. The main conclusion of this paper is that in </w:t>
            </w:r>
            <w:r w:rsidRPr="00F851A5">
              <w:rPr>
                <w:b/>
                <w:bCs/>
                <w:sz w:val="22"/>
                <w:szCs w:val="22"/>
                <w:lang w:val="en-US"/>
              </w:rPr>
              <w:lastRenderedPageBreak/>
              <w:t xml:space="preserve">general equity market exposure appears to be positively associated with greater timeliness in earnings recognition, while regulatory enforcement is positively associated with the bias towards conservatism. </w:t>
            </w:r>
          </w:p>
        </w:tc>
      </w:tr>
      <w:tr w:rsidR="00DD0EEC" w:rsidRPr="00A54FD7" w:rsidTr="00C37F58">
        <w:tc>
          <w:tcPr>
            <w:cnfStyle w:val="001000000000"/>
            <w:tcW w:w="0" w:type="auto"/>
          </w:tcPr>
          <w:p w:rsidR="00C37F58" w:rsidRDefault="00C37F58" w:rsidP="00DD0EEC">
            <w:pPr>
              <w:jc w:val="both"/>
              <w:rPr>
                <w:b/>
                <w:bCs/>
                <w:sz w:val="22"/>
                <w:szCs w:val="22"/>
                <w:lang w:val="en-US"/>
              </w:rPr>
            </w:pPr>
          </w:p>
          <w:p w:rsidR="00C37F58" w:rsidRDefault="00C37F58" w:rsidP="00DD0EEC">
            <w:pPr>
              <w:jc w:val="both"/>
              <w:rPr>
                <w:b/>
                <w:bCs/>
                <w:sz w:val="22"/>
                <w:szCs w:val="22"/>
                <w:lang w:val="en-US"/>
              </w:rPr>
            </w:pPr>
          </w:p>
          <w:p w:rsidR="00C37F58" w:rsidRDefault="00C37F58"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6</w:t>
            </w:r>
          </w:p>
        </w:tc>
        <w:tc>
          <w:tcPr>
            <w:cnfStyle w:val="000010000000"/>
            <w:tcW w:w="0" w:type="auto"/>
          </w:tcPr>
          <w:p w:rsidR="00C37F58" w:rsidRDefault="00C37F58" w:rsidP="00DD0EEC">
            <w:pPr>
              <w:jc w:val="both"/>
              <w:rPr>
                <w:sz w:val="22"/>
                <w:szCs w:val="22"/>
                <w:lang w:val="en-US"/>
              </w:rPr>
            </w:pPr>
          </w:p>
          <w:p w:rsidR="00C37F58" w:rsidRDefault="00C37F58" w:rsidP="00DD0EEC">
            <w:pPr>
              <w:jc w:val="both"/>
              <w:rPr>
                <w:sz w:val="22"/>
                <w:szCs w:val="22"/>
                <w:lang w:val="en-US"/>
              </w:rPr>
            </w:pPr>
          </w:p>
          <w:p w:rsidR="00C37F58" w:rsidRDefault="00C37F58"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Discussion of The Timeliness of Income Recognition by European Companies: An analysis of Institutional and Market Complexity</w:t>
            </w:r>
          </w:p>
        </w:tc>
        <w:tc>
          <w:tcPr>
            <w:tcW w:w="0" w:type="auto"/>
          </w:tcPr>
          <w:p w:rsidR="00C37F58" w:rsidRDefault="00DD0EEC" w:rsidP="00DD0EEC">
            <w:pPr>
              <w:jc w:val="both"/>
              <w:cnfStyle w:val="000000000000"/>
              <w:rPr>
                <w:sz w:val="22"/>
                <w:szCs w:val="22"/>
                <w:lang w:val="en-US"/>
              </w:rPr>
            </w:pPr>
            <w:r>
              <w:rPr>
                <w:sz w:val="22"/>
                <w:szCs w:val="22"/>
                <w:lang w:val="en-US"/>
              </w:rPr>
              <w:t xml:space="preserve">    </w:t>
            </w:r>
          </w:p>
          <w:p w:rsidR="00C37F58" w:rsidRDefault="00C37F58" w:rsidP="00DD0EEC">
            <w:pPr>
              <w:jc w:val="both"/>
              <w:cnfStyle w:val="000000000000"/>
              <w:rPr>
                <w:sz w:val="22"/>
                <w:szCs w:val="22"/>
                <w:lang w:val="en-US"/>
              </w:rPr>
            </w:pPr>
          </w:p>
          <w:p w:rsidR="00C37F58" w:rsidRDefault="00C37F58" w:rsidP="00DD0EEC">
            <w:pPr>
              <w:jc w:val="both"/>
              <w:cnfStyle w:val="000000000000"/>
              <w:rPr>
                <w:sz w:val="22"/>
                <w:szCs w:val="22"/>
                <w:lang w:val="en-US"/>
              </w:rPr>
            </w:pPr>
          </w:p>
          <w:p w:rsidR="00DD0EEC" w:rsidRPr="00F851A5" w:rsidRDefault="00C37F58" w:rsidP="00DD0EEC">
            <w:pPr>
              <w:jc w:val="both"/>
              <w:cnfStyle w:val="000000000000"/>
              <w:rPr>
                <w:lang w:val="en-US"/>
              </w:rPr>
            </w:pPr>
            <w:r>
              <w:rPr>
                <w:sz w:val="22"/>
                <w:szCs w:val="22"/>
                <w:lang w:val="en-US"/>
              </w:rPr>
              <w:t xml:space="preserve">        </w:t>
            </w:r>
            <w:r w:rsidR="00DD0EEC" w:rsidRPr="00F851A5">
              <w:rPr>
                <w:sz w:val="22"/>
                <w:szCs w:val="22"/>
                <w:lang w:val="en-US"/>
              </w:rPr>
              <w:t>Bill Rees</w:t>
            </w:r>
            <w:r w:rsidR="00EB3F16">
              <w:rPr>
                <w:sz w:val="22"/>
                <w:szCs w:val="22"/>
                <w:lang w:val="en-US"/>
              </w:rPr>
              <w:t xml:space="preserve"> 2004</w:t>
            </w:r>
          </w:p>
        </w:tc>
        <w:tc>
          <w:tcPr>
            <w:cnfStyle w:val="000010000000"/>
            <w:tcW w:w="0" w:type="auto"/>
          </w:tcPr>
          <w:p w:rsidR="00DD0EEC" w:rsidRPr="00F851A5" w:rsidRDefault="00DD0EEC" w:rsidP="00DD0EEC">
            <w:pPr>
              <w:jc w:val="both"/>
              <w:rPr>
                <w:lang w:val="en-US"/>
              </w:rPr>
            </w:pPr>
          </w:p>
        </w:tc>
        <w:tc>
          <w:tcPr>
            <w:tcW w:w="0" w:type="auto"/>
          </w:tcPr>
          <w:p w:rsidR="00C37F58" w:rsidRDefault="00C37F58" w:rsidP="00DD0EEC">
            <w:pPr>
              <w:jc w:val="both"/>
              <w:cnfStyle w:val="000000000000"/>
              <w:rPr>
                <w:sz w:val="22"/>
                <w:szCs w:val="22"/>
                <w:lang w:val="en-US"/>
              </w:rPr>
            </w:pPr>
          </w:p>
          <w:p w:rsidR="00C37F58" w:rsidRDefault="00C37F58" w:rsidP="00DD0EEC">
            <w:pPr>
              <w:jc w:val="both"/>
              <w:cnfStyle w:val="000000000000"/>
              <w:rPr>
                <w:sz w:val="22"/>
                <w:szCs w:val="22"/>
                <w:lang w:val="en-US"/>
              </w:rPr>
            </w:pPr>
          </w:p>
          <w:p w:rsidR="00C37F58" w:rsidRDefault="00C37F58" w:rsidP="00DD0EEC">
            <w:pPr>
              <w:jc w:val="both"/>
              <w:cnfStyle w:val="000000000000"/>
              <w:rPr>
                <w:sz w:val="22"/>
                <w:szCs w:val="22"/>
                <w:lang w:val="en-US"/>
              </w:rPr>
            </w:pPr>
          </w:p>
          <w:p w:rsidR="00DD0EEC" w:rsidRPr="00F851A5" w:rsidRDefault="00DD0EEC" w:rsidP="00DD0EEC">
            <w:pPr>
              <w:jc w:val="both"/>
              <w:cnfStyle w:val="000000000000"/>
              <w:rPr>
                <w:lang w:val="en-US"/>
              </w:rPr>
            </w:pPr>
            <w:r w:rsidRPr="00F851A5">
              <w:rPr>
                <w:sz w:val="22"/>
                <w:szCs w:val="22"/>
                <w:lang w:val="en-US"/>
              </w:rPr>
              <w:t>Sample consists of 366 European firms. Period: 1987-1999. In this paper the researchers restrict their sample to cross-listed firms and incorporate measures of the scope of accounting disclosure, importance if the equity market, and the strength of the enforcement system in the various markets in which the firms are listed.</w:t>
            </w:r>
          </w:p>
          <w:p w:rsidR="00DD0EEC" w:rsidRPr="00F851A5" w:rsidRDefault="00DD0EEC" w:rsidP="00DD0EEC">
            <w:pPr>
              <w:jc w:val="both"/>
              <w:cnfStyle w:val="000000000000"/>
              <w:rPr>
                <w:lang w:val="en-US"/>
              </w:rPr>
            </w:pPr>
            <w:r w:rsidRPr="00F851A5">
              <w:rPr>
                <w:sz w:val="22"/>
                <w:szCs w:val="22"/>
                <w:lang w:val="en-US"/>
              </w:rPr>
              <w:t>January/March 2004</w:t>
            </w:r>
          </w:p>
        </w:tc>
        <w:tc>
          <w:tcPr>
            <w:cnfStyle w:val="000010000000"/>
            <w:tcW w:w="0" w:type="auto"/>
          </w:tcPr>
          <w:p w:rsidR="00C37F58" w:rsidRDefault="00C37F58" w:rsidP="00DD0EEC">
            <w:pPr>
              <w:jc w:val="both"/>
              <w:rPr>
                <w:sz w:val="22"/>
                <w:szCs w:val="22"/>
                <w:lang w:val="en-US"/>
              </w:rPr>
            </w:pPr>
          </w:p>
          <w:p w:rsidR="00C37F58" w:rsidRDefault="00C37F58" w:rsidP="00DD0EEC">
            <w:pPr>
              <w:jc w:val="both"/>
              <w:rPr>
                <w:sz w:val="22"/>
                <w:szCs w:val="22"/>
                <w:lang w:val="en-US"/>
              </w:rPr>
            </w:pPr>
          </w:p>
          <w:p w:rsidR="00C37F58" w:rsidRDefault="00C37F58" w:rsidP="00DD0EEC">
            <w:pPr>
              <w:jc w:val="both"/>
              <w:rPr>
                <w:sz w:val="22"/>
                <w:szCs w:val="22"/>
                <w:lang w:val="en-US"/>
              </w:rPr>
            </w:pPr>
          </w:p>
          <w:p w:rsidR="00DD0EEC" w:rsidRPr="00F851A5" w:rsidRDefault="00DD0EEC" w:rsidP="00DD0EEC">
            <w:pPr>
              <w:jc w:val="both"/>
              <w:rPr>
                <w:lang w:val="en-US"/>
              </w:rPr>
            </w:pPr>
            <w:r>
              <w:rPr>
                <w:sz w:val="22"/>
                <w:szCs w:val="22"/>
                <w:lang w:val="en-US"/>
              </w:rPr>
              <w:t>I</w:t>
            </w:r>
            <w:r w:rsidRPr="00F851A5">
              <w:rPr>
                <w:sz w:val="22"/>
                <w:szCs w:val="22"/>
                <w:lang w:val="en-US"/>
              </w:rPr>
              <w:t>t’s a discussion about a model that is elaborated in section 5 of this table. The researchers attempted to develop our understanding of asymmetric recognition by incorporating causal factors into the model. Their underlying approach remains mostly based on the Basu model.</w:t>
            </w:r>
          </w:p>
        </w:tc>
        <w:tc>
          <w:tcPr>
            <w:cnfStyle w:val="000100000000"/>
            <w:tcW w:w="0" w:type="auto"/>
          </w:tcPr>
          <w:p w:rsidR="00C37F58" w:rsidRDefault="00C37F58" w:rsidP="00DD0EEC">
            <w:pPr>
              <w:jc w:val="both"/>
              <w:rPr>
                <w:b/>
                <w:bCs/>
                <w:sz w:val="22"/>
                <w:szCs w:val="22"/>
                <w:lang w:val="en-US"/>
              </w:rPr>
            </w:pPr>
          </w:p>
          <w:p w:rsidR="00C37F58" w:rsidRDefault="00C37F58" w:rsidP="00DD0EEC">
            <w:pPr>
              <w:jc w:val="both"/>
              <w:rPr>
                <w:b/>
                <w:bCs/>
                <w:sz w:val="22"/>
                <w:szCs w:val="22"/>
                <w:lang w:val="en-US"/>
              </w:rPr>
            </w:pPr>
          </w:p>
          <w:p w:rsidR="00C37F58" w:rsidRDefault="00C37F58"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 xml:space="preserve">The main conclusion is: in general, capital market pressure and regulatory impact each appear to lead to more conservative accounting, the joint effect being mitigated when both influences are strong and a trend towards greater conservatism has been documented for firms domiciled and listed in different markets. </w:t>
            </w:r>
            <w:r w:rsidRPr="00F851A5">
              <w:rPr>
                <w:b/>
                <w:bCs/>
                <w:sz w:val="22"/>
                <w:szCs w:val="22"/>
                <w:lang w:val="en-US"/>
              </w:rPr>
              <w:lastRenderedPageBreak/>
              <w:t xml:space="preserve">Bill Rees concluded in his discussion </w:t>
            </w:r>
          </w:p>
        </w:tc>
      </w:tr>
      <w:tr w:rsidR="00DD0EEC" w:rsidRPr="00A54FD7" w:rsidTr="00C37F58">
        <w:trPr>
          <w:cnfStyle w:val="000000100000"/>
        </w:trPr>
        <w:tc>
          <w:tcPr>
            <w:cnfStyle w:val="001000000000"/>
            <w:tcW w:w="0" w:type="auto"/>
          </w:tcPr>
          <w:p w:rsidR="00DD0EEC" w:rsidRPr="00F851A5"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7</w:t>
            </w:r>
          </w:p>
        </w:tc>
        <w:tc>
          <w:tcPr>
            <w:cnfStyle w:val="000010000000"/>
            <w:tcW w:w="0" w:type="auto"/>
          </w:tcPr>
          <w:p w:rsidR="00DD0EEC" w:rsidRPr="00F851A5" w:rsidRDefault="00DD0EEC" w:rsidP="00DD0EEC">
            <w:pPr>
              <w:jc w:val="both"/>
              <w:rPr>
                <w:sz w:val="22"/>
                <w:szCs w:val="22"/>
                <w:lang w:val="en-US"/>
              </w:rPr>
            </w:pPr>
          </w:p>
          <w:p w:rsidR="00DD0EEC" w:rsidRDefault="00DD0EEC" w:rsidP="00DD0EEC">
            <w:pPr>
              <w:jc w:val="both"/>
              <w:rPr>
                <w:sz w:val="22"/>
                <w:szCs w:val="22"/>
                <w:lang w:val="en-US"/>
              </w:rPr>
            </w:pPr>
          </w:p>
          <w:p w:rsidR="00DD0EEC" w:rsidRDefault="00DD0EEC"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Asymmetric timeliness of accounting conservatism</w:t>
            </w:r>
          </w:p>
        </w:tc>
        <w:tc>
          <w:tcPr>
            <w:tcW w:w="0" w:type="auto"/>
          </w:tcPr>
          <w:p w:rsidR="00DD0EEC" w:rsidRPr="00F851A5" w:rsidRDefault="00DD0EEC" w:rsidP="00DD0EEC">
            <w:pPr>
              <w:jc w:val="both"/>
              <w:cnfStyle w:val="000000100000"/>
              <w:rPr>
                <w:sz w:val="22"/>
                <w:szCs w:val="22"/>
                <w:lang w:val="de-DE"/>
              </w:rPr>
            </w:pPr>
          </w:p>
          <w:p w:rsidR="00DD0EEC" w:rsidRDefault="00DD0EEC" w:rsidP="00DD0EEC">
            <w:pPr>
              <w:jc w:val="both"/>
              <w:cnfStyle w:val="000000100000"/>
              <w:rPr>
                <w:sz w:val="22"/>
                <w:szCs w:val="22"/>
                <w:lang w:val="de-DE"/>
              </w:rPr>
            </w:pPr>
          </w:p>
          <w:p w:rsidR="00DD0EEC" w:rsidRDefault="00DD0EEC" w:rsidP="00DD0EEC">
            <w:pPr>
              <w:jc w:val="both"/>
              <w:cnfStyle w:val="000000100000"/>
              <w:rPr>
                <w:sz w:val="22"/>
                <w:szCs w:val="22"/>
                <w:lang w:val="de-DE"/>
              </w:rPr>
            </w:pPr>
          </w:p>
          <w:p w:rsidR="00DD0EEC" w:rsidRPr="00F851A5" w:rsidRDefault="00DD0EEC" w:rsidP="00DD0EEC">
            <w:pPr>
              <w:jc w:val="both"/>
              <w:cnfStyle w:val="000000100000"/>
              <w:rPr>
                <w:lang w:val="de-DE"/>
              </w:rPr>
            </w:pPr>
            <w:r w:rsidRPr="00F851A5">
              <w:rPr>
                <w:sz w:val="22"/>
                <w:szCs w:val="22"/>
                <w:lang w:val="de-DE"/>
              </w:rPr>
              <w:t>J. R. Dietrich, K. A. Muller III, E. J. Riedl</w:t>
            </w:r>
            <w:r w:rsidR="00EB3F16">
              <w:rPr>
                <w:sz w:val="22"/>
                <w:szCs w:val="22"/>
                <w:lang w:val="de-DE"/>
              </w:rPr>
              <w:t xml:space="preserve"> 2007</w:t>
            </w:r>
          </w:p>
        </w:tc>
        <w:tc>
          <w:tcPr>
            <w:cnfStyle w:val="000010000000"/>
            <w:tcW w:w="0" w:type="auto"/>
          </w:tcPr>
          <w:p w:rsidR="00DD0EEC" w:rsidRPr="00F851A5" w:rsidRDefault="00DD0EEC" w:rsidP="00DD0EEC">
            <w:pPr>
              <w:jc w:val="both"/>
              <w:rPr>
                <w:sz w:val="22"/>
                <w:szCs w:val="22"/>
                <w:lang w:val="en-US"/>
              </w:rPr>
            </w:pPr>
          </w:p>
          <w:p w:rsidR="00DD0EEC" w:rsidRDefault="00DD0EEC" w:rsidP="00DD0EEC">
            <w:pPr>
              <w:jc w:val="both"/>
              <w:rPr>
                <w:sz w:val="22"/>
                <w:szCs w:val="22"/>
                <w:lang w:val="en-US"/>
              </w:rPr>
            </w:pPr>
          </w:p>
          <w:p w:rsidR="00DD0EEC" w:rsidRDefault="00DD0EEC"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Research on the relationship between earnings and stock returns to examine whether “bad” news is incorporated into earnings on a timelier basis than “good” news.</w:t>
            </w:r>
          </w:p>
        </w:tc>
        <w:tc>
          <w:tcPr>
            <w:tcW w:w="0" w:type="auto"/>
          </w:tcPr>
          <w:p w:rsidR="00DD0EEC" w:rsidRDefault="00DD0EEC" w:rsidP="00DD0EEC">
            <w:pPr>
              <w:jc w:val="both"/>
              <w:cnfStyle w:val="000000100000"/>
              <w:rPr>
                <w:sz w:val="22"/>
                <w:szCs w:val="22"/>
                <w:lang w:val="en-US"/>
              </w:rPr>
            </w:pPr>
          </w:p>
          <w:p w:rsidR="00DD0EEC" w:rsidRDefault="00DD0EEC" w:rsidP="00DD0EEC">
            <w:pPr>
              <w:jc w:val="both"/>
              <w:cnfStyle w:val="000000100000"/>
              <w:rPr>
                <w:sz w:val="22"/>
                <w:szCs w:val="22"/>
                <w:lang w:val="en-US"/>
              </w:rPr>
            </w:pPr>
          </w:p>
          <w:p w:rsidR="00DD0EEC" w:rsidRDefault="00DD0EEC" w:rsidP="00DD0EEC">
            <w:pPr>
              <w:jc w:val="both"/>
              <w:cnfStyle w:val="000000100000"/>
              <w:rPr>
                <w:sz w:val="22"/>
                <w:szCs w:val="22"/>
                <w:lang w:val="en-US"/>
              </w:rPr>
            </w:pPr>
          </w:p>
          <w:p w:rsidR="00DD0EEC" w:rsidRPr="000C63E1" w:rsidRDefault="00DD0EEC" w:rsidP="00DD0EEC">
            <w:pPr>
              <w:jc w:val="both"/>
              <w:cnfStyle w:val="000000100000"/>
              <w:rPr>
                <w:sz w:val="22"/>
                <w:szCs w:val="22"/>
                <w:lang w:val="en-US"/>
              </w:rPr>
            </w:pPr>
            <w:r w:rsidRPr="00F851A5">
              <w:rPr>
                <w:sz w:val="22"/>
                <w:szCs w:val="22"/>
                <w:lang w:val="en-US"/>
              </w:rPr>
              <w:t>The research evaluates the research designs of previous researchers. 2007</w:t>
            </w:r>
          </w:p>
        </w:tc>
        <w:tc>
          <w:tcPr>
            <w:cnfStyle w:val="000010000000"/>
            <w:tcW w:w="0" w:type="auto"/>
          </w:tcPr>
          <w:p w:rsidR="00DD0EEC" w:rsidRPr="00F851A5" w:rsidRDefault="00DD0EEC" w:rsidP="00DD0EEC">
            <w:pPr>
              <w:jc w:val="both"/>
              <w:rPr>
                <w:sz w:val="22"/>
                <w:szCs w:val="22"/>
                <w:lang w:val="en-US"/>
              </w:rPr>
            </w:pPr>
          </w:p>
          <w:p w:rsidR="00DD0EEC" w:rsidRDefault="00DD0EEC" w:rsidP="00DD0EEC">
            <w:pPr>
              <w:jc w:val="both"/>
              <w:rPr>
                <w:sz w:val="22"/>
                <w:szCs w:val="22"/>
                <w:lang w:val="en-US"/>
              </w:rPr>
            </w:pPr>
          </w:p>
          <w:p w:rsidR="00DD0EEC" w:rsidRDefault="00DD0EEC"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This research is based on the Basu model. The underlying intuition is the conclusion of the Basu model: stock returns are driven by information. In the first section they demonstrate that the asymmetric timeliness research design induces biases in coefficient estimates and R</w:t>
            </w:r>
            <w:r w:rsidRPr="00F851A5">
              <w:rPr>
                <w:rFonts w:cs="Times New Roman"/>
                <w:sz w:val="22"/>
                <w:szCs w:val="22"/>
                <w:lang w:val="en-US"/>
              </w:rPr>
              <w:t>²</w:t>
            </w:r>
            <w:r w:rsidRPr="00F851A5">
              <w:rPr>
                <w:sz w:val="22"/>
                <w:szCs w:val="22"/>
                <w:lang w:val="en-US"/>
              </w:rPr>
              <w:t xml:space="preserve"> measures except under very restrictive conditions. In the second section the researchers provide estimates of the magnitude of biases in three empirical specifications that use both simulated and actual data series.</w:t>
            </w:r>
          </w:p>
        </w:tc>
        <w:tc>
          <w:tcPr>
            <w:cnfStyle w:val="000100000000"/>
            <w:tcW w:w="0" w:type="auto"/>
          </w:tcPr>
          <w:p w:rsidR="00DD0EEC" w:rsidRPr="00F851A5"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 xml:space="preserve">The conclusion of the research is that the evidence strongly suggests that results from prior studies that employ the asymmetric timeliness research design are attributable to biases test statistics arising from the research design, and thus cannot be interpreted as evidence of conservatism. The main conclusion is that alternative research designs: Givoly and Hahn (2000), Feltham and Olson (1995), and Easton &amp; Pae (2004) may offer more fruitful avenues for future investigations of accounting </w:t>
            </w:r>
            <w:r w:rsidRPr="00F851A5">
              <w:rPr>
                <w:b/>
                <w:bCs/>
                <w:sz w:val="22"/>
                <w:szCs w:val="22"/>
                <w:lang w:val="en-US"/>
              </w:rPr>
              <w:lastRenderedPageBreak/>
              <w:t>conservatism.</w:t>
            </w:r>
          </w:p>
        </w:tc>
      </w:tr>
      <w:tr w:rsidR="00DD0EEC" w:rsidRPr="00A54FD7" w:rsidTr="00C37F58">
        <w:tc>
          <w:tcPr>
            <w:cnfStyle w:val="001000000000"/>
            <w:tcW w:w="0" w:type="auto"/>
          </w:tcPr>
          <w:p w:rsidR="002B03FA" w:rsidRDefault="002B03FA"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8</w:t>
            </w:r>
          </w:p>
        </w:tc>
        <w:tc>
          <w:tcPr>
            <w:cnfStyle w:val="000010000000"/>
            <w:tcW w:w="0" w:type="auto"/>
          </w:tcPr>
          <w:p w:rsidR="002B03FA" w:rsidRDefault="002B03FA"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International Differences in the Timeliness, Conservatism, and Classification of Earnings</w:t>
            </w:r>
          </w:p>
        </w:tc>
        <w:tc>
          <w:tcPr>
            <w:tcW w:w="0" w:type="auto"/>
          </w:tcPr>
          <w:p w:rsidR="002B03FA" w:rsidRDefault="002B03FA" w:rsidP="00DD0EEC">
            <w:pPr>
              <w:jc w:val="both"/>
              <w:cnfStyle w:val="000000000000"/>
              <w:rPr>
                <w:sz w:val="22"/>
                <w:szCs w:val="22"/>
                <w:lang w:val="en-US"/>
              </w:rPr>
            </w:pPr>
          </w:p>
          <w:p w:rsidR="00DD0EEC" w:rsidRDefault="00DD0EEC" w:rsidP="00DD0EEC">
            <w:pPr>
              <w:jc w:val="both"/>
              <w:cnfStyle w:val="000000000000"/>
              <w:rPr>
                <w:rFonts w:cs="Times New Roman"/>
                <w:sz w:val="22"/>
                <w:szCs w:val="22"/>
                <w:lang w:val="en-US"/>
              </w:rPr>
            </w:pPr>
            <w:r w:rsidRPr="00F851A5">
              <w:rPr>
                <w:sz w:val="22"/>
                <w:szCs w:val="22"/>
                <w:lang w:val="en-US"/>
              </w:rPr>
              <w:t xml:space="preserve">Peter F. Pope , Martin Walker </w:t>
            </w:r>
            <w:r w:rsidRPr="00F851A5">
              <w:rPr>
                <w:rFonts w:cs="Times New Roman"/>
                <w:sz w:val="22"/>
                <w:szCs w:val="22"/>
                <w:lang w:val="en-US"/>
              </w:rPr>
              <w:t>†</w:t>
            </w:r>
          </w:p>
          <w:p w:rsidR="00EB3F16" w:rsidRPr="00F851A5" w:rsidRDefault="00EB3F16" w:rsidP="00DD0EEC">
            <w:pPr>
              <w:jc w:val="both"/>
              <w:cnfStyle w:val="000000000000"/>
              <w:rPr>
                <w:lang w:val="en-US"/>
              </w:rPr>
            </w:pPr>
            <w:r>
              <w:rPr>
                <w:rFonts w:cs="Times New Roman"/>
                <w:sz w:val="22"/>
                <w:szCs w:val="22"/>
                <w:lang w:val="en-US"/>
              </w:rPr>
              <w:t>1999</w:t>
            </w:r>
          </w:p>
        </w:tc>
        <w:tc>
          <w:tcPr>
            <w:cnfStyle w:val="000010000000"/>
            <w:tcW w:w="0" w:type="auto"/>
          </w:tcPr>
          <w:p w:rsidR="002B03FA" w:rsidRDefault="002B03FA"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Analyze of the differences in the timeliness of income recognition between the U.S. and U.K. GAAP financial reporting regimes</w:t>
            </w:r>
          </w:p>
        </w:tc>
        <w:tc>
          <w:tcPr>
            <w:tcW w:w="0" w:type="auto"/>
          </w:tcPr>
          <w:p w:rsidR="002B03FA" w:rsidRDefault="002B03FA" w:rsidP="00DD0EEC">
            <w:pPr>
              <w:jc w:val="both"/>
              <w:cnfStyle w:val="000000000000"/>
              <w:rPr>
                <w:sz w:val="22"/>
                <w:szCs w:val="22"/>
                <w:lang w:val="en-US"/>
              </w:rPr>
            </w:pPr>
          </w:p>
          <w:p w:rsidR="00DD0EEC" w:rsidRPr="00F851A5" w:rsidRDefault="00DD0EEC" w:rsidP="00DD0EEC">
            <w:pPr>
              <w:jc w:val="both"/>
              <w:cnfStyle w:val="000000000000"/>
              <w:rPr>
                <w:lang w:val="en-US"/>
              </w:rPr>
            </w:pPr>
            <w:r w:rsidRPr="00F851A5">
              <w:rPr>
                <w:sz w:val="22"/>
                <w:szCs w:val="22"/>
                <w:lang w:val="en-US"/>
              </w:rPr>
              <w:t xml:space="preserve">The sample consists of data for all December fiscal year-end nonfinancial firms listed in the U.S. (NYSE/AMEX) and UK (London Stock Exchange) during 1976-1996. </w:t>
            </w:r>
          </w:p>
          <w:p w:rsidR="00DD0EEC" w:rsidRPr="00F851A5" w:rsidRDefault="00DD0EEC" w:rsidP="00DD0EEC">
            <w:pPr>
              <w:jc w:val="both"/>
              <w:cnfStyle w:val="000000000000"/>
              <w:rPr>
                <w:lang w:val="en-US"/>
              </w:rPr>
            </w:pPr>
            <w:r w:rsidRPr="00F851A5">
              <w:rPr>
                <w:sz w:val="22"/>
                <w:szCs w:val="22"/>
                <w:lang w:val="en-US"/>
              </w:rPr>
              <w:t>Resources: Datastream and Compustat. 1999</w:t>
            </w:r>
          </w:p>
        </w:tc>
        <w:tc>
          <w:tcPr>
            <w:cnfStyle w:val="000010000000"/>
            <w:tcW w:w="0" w:type="auto"/>
          </w:tcPr>
          <w:p w:rsidR="002B03FA" w:rsidRDefault="002B03FA" w:rsidP="00DD0EEC">
            <w:pPr>
              <w:jc w:val="both"/>
              <w:rPr>
                <w:sz w:val="22"/>
                <w:szCs w:val="22"/>
                <w:lang w:val="en-US"/>
              </w:rPr>
            </w:pPr>
          </w:p>
          <w:p w:rsidR="00DD0EEC" w:rsidRPr="00F851A5" w:rsidRDefault="00DD0EEC" w:rsidP="00DD0EEC">
            <w:pPr>
              <w:jc w:val="both"/>
              <w:rPr>
                <w:lang w:val="en-US"/>
              </w:rPr>
            </w:pPr>
            <w:r w:rsidRPr="00F851A5">
              <w:rPr>
                <w:sz w:val="22"/>
                <w:szCs w:val="22"/>
                <w:lang w:val="en-US"/>
              </w:rPr>
              <w:t>This study compares conservatism of two measures of reported earnings across the US and UK accounting regimes.. With the basis of the Basu model (1997) they present a formal model in which the response of reported earnings to changes in market value varies according to whether the value change is good news or bad. In this design they present pooled results , annual cross-section results, and write-offs of large transitory losses were tolerated in the research design</w:t>
            </w:r>
          </w:p>
        </w:tc>
        <w:tc>
          <w:tcPr>
            <w:cnfStyle w:val="000100000000"/>
            <w:tcW w:w="0" w:type="auto"/>
          </w:tcPr>
          <w:p w:rsidR="002B03FA" w:rsidRDefault="002B03FA" w:rsidP="00DD0EEC">
            <w:pPr>
              <w:jc w:val="both"/>
              <w:rPr>
                <w:b/>
                <w:bCs/>
                <w:sz w:val="22"/>
                <w:szCs w:val="22"/>
                <w:lang w:val="en-US"/>
              </w:rPr>
            </w:pPr>
          </w:p>
          <w:p w:rsidR="00DD0EEC" w:rsidRPr="002B03FA" w:rsidRDefault="00DD0EEC" w:rsidP="00DD0EEC">
            <w:pPr>
              <w:jc w:val="both"/>
              <w:rPr>
                <w:b/>
                <w:bCs/>
                <w:sz w:val="22"/>
                <w:szCs w:val="22"/>
                <w:lang w:val="en-US"/>
              </w:rPr>
            </w:pPr>
            <w:r w:rsidRPr="00F851A5">
              <w:rPr>
                <w:b/>
                <w:bCs/>
                <w:sz w:val="22"/>
                <w:szCs w:val="22"/>
                <w:lang w:val="en-US"/>
              </w:rPr>
              <w:t xml:space="preserve">The research presents several suggestions to measure accounting conservatism in income recognition. Mainly the practitioners suggest that when evaluating comparative conservatism, it is important to capture two distinct properties of conservative accounting: delays in reporting good news and early recognition of bad news. The results of the model show that the degree of conservatism displayed by earnings before extraordinary items under US GAAP was higher than under UK GAAP and the results also indicate that under US GAAP conservatism is </w:t>
            </w:r>
            <w:r w:rsidRPr="00F851A5">
              <w:rPr>
                <w:b/>
                <w:bCs/>
                <w:sz w:val="22"/>
                <w:szCs w:val="22"/>
                <w:lang w:val="en-US"/>
              </w:rPr>
              <w:lastRenderedPageBreak/>
              <w:t>relatively slow in recognizing good news in earnings.</w:t>
            </w:r>
          </w:p>
        </w:tc>
      </w:tr>
      <w:tr w:rsidR="00DD0EEC" w:rsidRPr="00A54FD7" w:rsidTr="00C37F58">
        <w:trPr>
          <w:cnfStyle w:val="000000100000"/>
        </w:trPr>
        <w:tc>
          <w:tcPr>
            <w:cnfStyle w:val="001000000000"/>
            <w:tcW w:w="0" w:type="auto"/>
          </w:tcPr>
          <w:p w:rsidR="00DD0EEC" w:rsidRPr="00F851A5"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9</w:t>
            </w:r>
          </w:p>
        </w:tc>
        <w:tc>
          <w:tcPr>
            <w:cnfStyle w:val="000010000000"/>
            <w:tcW w:w="0" w:type="auto"/>
          </w:tcPr>
          <w:p w:rsidR="00DD0EEC" w:rsidRPr="00F851A5"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Econometrics of the Basu Asymmetric Timeliness Coefficient and The Accounting Conservatism. (Working Paper)</w:t>
            </w:r>
          </w:p>
        </w:tc>
        <w:tc>
          <w:tcPr>
            <w:tcW w:w="0" w:type="auto"/>
          </w:tcPr>
          <w:p w:rsidR="00DD0EEC" w:rsidRPr="00F851A5" w:rsidRDefault="00DD0EEC" w:rsidP="00DD0EEC">
            <w:pPr>
              <w:jc w:val="both"/>
              <w:cnfStyle w:val="000000100000"/>
              <w:rPr>
                <w:b/>
                <w:bCs/>
                <w:sz w:val="22"/>
                <w:szCs w:val="22"/>
                <w:lang w:val="en-US"/>
              </w:rPr>
            </w:pPr>
          </w:p>
          <w:p w:rsidR="00DD0EEC" w:rsidRDefault="00DD0EEC" w:rsidP="00DD0EEC">
            <w:pPr>
              <w:jc w:val="both"/>
              <w:cnfStyle w:val="000000100000"/>
              <w:rPr>
                <w:b/>
                <w:bCs/>
                <w:sz w:val="22"/>
                <w:szCs w:val="22"/>
                <w:lang w:val="en-US"/>
              </w:rPr>
            </w:pPr>
          </w:p>
          <w:p w:rsidR="00DD0EEC" w:rsidRDefault="00DD0EEC" w:rsidP="00DD0EEC">
            <w:pPr>
              <w:jc w:val="both"/>
              <w:cnfStyle w:val="000000100000"/>
              <w:rPr>
                <w:b/>
                <w:bCs/>
                <w:sz w:val="22"/>
                <w:szCs w:val="22"/>
                <w:lang w:val="en-US"/>
              </w:rPr>
            </w:pPr>
          </w:p>
          <w:p w:rsidR="00DD0EEC" w:rsidRPr="00F851A5" w:rsidRDefault="00DD0EEC" w:rsidP="00DD0EEC">
            <w:pPr>
              <w:jc w:val="both"/>
              <w:cnfStyle w:val="000000100000"/>
              <w:rPr>
                <w:b/>
                <w:bCs/>
                <w:lang w:val="en-US"/>
              </w:rPr>
            </w:pPr>
            <w:r w:rsidRPr="00F851A5">
              <w:rPr>
                <w:b/>
                <w:bCs/>
                <w:sz w:val="22"/>
                <w:szCs w:val="22"/>
                <w:lang w:val="en-US"/>
              </w:rPr>
              <w:t>Ray Ball, S. P. Kothari, Valeri Nikolaev</w:t>
            </w:r>
            <w:r w:rsidR="00EB3F16">
              <w:rPr>
                <w:b/>
                <w:bCs/>
                <w:sz w:val="22"/>
                <w:szCs w:val="22"/>
                <w:lang w:val="en-US"/>
              </w:rPr>
              <w:t xml:space="preserve"> 2009</w:t>
            </w:r>
          </w:p>
        </w:tc>
        <w:tc>
          <w:tcPr>
            <w:cnfStyle w:val="000010000000"/>
            <w:tcW w:w="0" w:type="auto"/>
          </w:tcPr>
          <w:p w:rsidR="00DD0EEC" w:rsidRPr="00F851A5"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Analysis of the econometrics of the Basu asymmetric timeliness coefficient. The analysis addresses the conceptual and econometric challenges to the measure raised in the recent literature.</w:t>
            </w:r>
          </w:p>
        </w:tc>
        <w:tc>
          <w:tcPr>
            <w:tcW w:w="0" w:type="auto"/>
          </w:tcPr>
          <w:p w:rsidR="00DD0EEC" w:rsidRPr="00F851A5" w:rsidRDefault="00DD0EEC" w:rsidP="00DD0EEC">
            <w:pPr>
              <w:jc w:val="both"/>
              <w:cnfStyle w:val="000000100000"/>
              <w:rPr>
                <w:b/>
                <w:bCs/>
                <w:sz w:val="22"/>
                <w:szCs w:val="22"/>
                <w:lang w:val="en-US"/>
              </w:rPr>
            </w:pPr>
          </w:p>
          <w:p w:rsidR="00DD0EEC" w:rsidRDefault="00DD0EEC" w:rsidP="00DD0EEC">
            <w:pPr>
              <w:jc w:val="both"/>
              <w:cnfStyle w:val="000000100000"/>
              <w:rPr>
                <w:b/>
                <w:bCs/>
                <w:sz w:val="22"/>
                <w:szCs w:val="22"/>
                <w:lang w:val="en-US"/>
              </w:rPr>
            </w:pPr>
          </w:p>
          <w:p w:rsidR="00DD0EEC" w:rsidRDefault="00DD0EEC" w:rsidP="00DD0EEC">
            <w:pPr>
              <w:jc w:val="both"/>
              <w:cnfStyle w:val="000000100000"/>
              <w:rPr>
                <w:b/>
                <w:bCs/>
                <w:sz w:val="22"/>
                <w:szCs w:val="22"/>
                <w:lang w:val="en-US"/>
              </w:rPr>
            </w:pPr>
          </w:p>
          <w:p w:rsidR="00DD0EEC" w:rsidRPr="000C63E1" w:rsidRDefault="00DD0EEC" w:rsidP="00DD0EEC">
            <w:pPr>
              <w:jc w:val="both"/>
              <w:cnfStyle w:val="000000100000"/>
              <w:rPr>
                <w:b/>
                <w:bCs/>
                <w:sz w:val="22"/>
                <w:szCs w:val="22"/>
                <w:lang w:val="en-US"/>
              </w:rPr>
            </w:pPr>
            <w:r w:rsidRPr="00F851A5">
              <w:rPr>
                <w:b/>
                <w:bCs/>
                <w:sz w:val="22"/>
                <w:szCs w:val="22"/>
                <w:lang w:val="en-US"/>
              </w:rPr>
              <w:t>This paper only proposes a model. No tests are done.</w:t>
            </w:r>
          </w:p>
          <w:p w:rsidR="00DD0EEC" w:rsidRPr="00F851A5" w:rsidRDefault="00DD0EEC" w:rsidP="00DD0EEC">
            <w:pPr>
              <w:jc w:val="both"/>
              <w:cnfStyle w:val="000000100000"/>
              <w:rPr>
                <w:b/>
                <w:bCs/>
                <w:lang w:val="en-US"/>
              </w:rPr>
            </w:pPr>
            <w:r w:rsidRPr="00F851A5">
              <w:rPr>
                <w:b/>
                <w:bCs/>
                <w:sz w:val="22"/>
                <w:szCs w:val="22"/>
                <w:lang w:val="en-US"/>
              </w:rPr>
              <w:t xml:space="preserve">First Draft : May 2006, Current version April 2009  </w:t>
            </w:r>
          </w:p>
        </w:tc>
        <w:tc>
          <w:tcPr>
            <w:cnfStyle w:val="000010000000"/>
            <w:tcW w:w="0" w:type="auto"/>
          </w:tcPr>
          <w:p w:rsidR="00DD0EEC" w:rsidRPr="00F851A5"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The researchers present a model of prices leading earnings to analyze the econometrics of the Basu model (1997). The analysis addresses conceptual and econometric challenges to the measure raised in the recent literature and show that the Basu measure is unbiased under the null hypothesis of zero asymmetry. In this paper they demonstrate that any differential persistence in economic gains and losses does not explain the Basu coefficient and an extension of the Roychowdhurry and Watts (2007) analyze is made.</w:t>
            </w:r>
          </w:p>
        </w:tc>
        <w:tc>
          <w:tcPr>
            <w:cnfStyle w:val="000100000000"/>
            <w:tcW w:w="0" w:type="auto"/>
          </w:tcPr>
          <w:p w:rsidR="00DD0EEC" w:rsidRPr="00F851A5"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lang w:val="en-US"/>
              </w:rPr>
            </w:pPr>
            <w:r w:rsidRPr="00F851A5">
              <w:rPr>
                <w:b/>
                <w:bCs/>
                <w:sz w:val="22"/>
                <w:szCs w:val="22"/>
                <w:lang w:val="en-US"/>
              </w:rPr>
              <w:t>Main conclusion of the paper is that the market to book ratio does not per se determine asymmetric timeliness; its effect arises because it is correlated with the amount of price revision associated with revisions in “unbooked” components such as growth option expectations.</w:t>
            </w:r>
          </w:p>
        </w:tc>
      </w:tr>
      <w:tr w:rsidR="00DD0EEC" w:rsidRPr="00A54FD7" w:rsidTr="00C37F58">
        <w:trPr>
          <w:trHeight w:val="2335"/>
        </w:trPr>
        <w:tc>
          <w:tcPr>
            <w:cnfStyle w:val="00100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sidRPr="00F851A5">
              <w:rPr>
                <w:b/>
                <w:bCs/>
                <w:sz w:val="22"/>
                <w:szCs w:val="22"/>
                <w:lang w:val="en-US"/>
              </w:rPr>
              <w:t>10</w:t>
            </w:r>
          </w:p>
        </w:tc>
        <w:tc>
          <w:tcPr>
            <w:cnfStyle w:val="000010000000"/>
            <w:tcW w:w="0" w:type="auto"/>
          </w:tcPr>
          <w:p w:rsidR="00DD0EEC" w:rsidRDefault="00DD0EEC" w:rsidP="00DD0EEC">
            <w:pPr>
              <w:autoSpaceDE w:val="0"/>
              <w:autoSpaceDN w:val="0"/>
              <w:adjustRightInd w:val="0"/>
              <w:rPr>
                <w:rFonts w:cs="Times New Roman"/>
                <w:sz w:val="22"/>
                <w:szCs w:val="22"/>
                <w:lang w:val="en-US" w:eastAsia="en-US" w:bidi="ar-SA"/>
              </w:rPr>
            </w:pPr>
          </w:p>
          <w:p w:rsidR="00DD0EEC" w:rsidRDefault="00DD0EEC" w:rsidP="00DD0EEC">
            <w:pPr>
              <w:autoSpaceDE w:val="0"/>
              <w:autoSpaceDN w:val="0"/>
              <w:adjustRightInd w:val="0"/>
              <w:rPr>
                <w:rFonts w:cs="Times New Roman"/>
                <w:sz w:val="22"/>
                <w:szCs w:val="22"/>
                <w:lang w:val="en-US" w:eastAsia="en-US" w:bidi="ar-SA"/>
              </w:rPr>
            </w:pPr>
          </w:p>
          <w:p w:rsidR="00DD0EEC" w:rsidRDefault="00DD0EEC" w:rsidP="00DD0EEC">
            <w:pPr>
              <w:autoSpaceDE w:val="0"/>
              <w:autoSpaceDN w:val="0"/>
              <w:adjustRightInd w:val="0"/>
              <w:rPr>
                <w:rFonts w:cs="Times New Roman"/>
                <w:sz w:val="22"/>
                <w:szCs w:val="22"/>
                <w:lang w:val="en-US" w:eastAsia="en-US" w:bidi="ar-SA"/>
              </w:rPr>
            </w:pPr>
          </w:p>
          <w:p w:rsidR="00DD0EEC" w:rsidRPr="00F851A5" w:rsidRDefault="00DD0EEC" w:rsidP="00DD0EEC">
            <w:pPr>
              <w:autoSpaceDE w:val="0"/>
              <w:autoSpaceDN w:val="0"/>
              <w:adjustRightInd w:val="0"/>
              <w:rPr>
                <w:rFonts w:cs="Times New Roman"/>
                <w:sz w:val="22"/>
                <w:szCs w:val="22"/>
                <w:lang w:val="en-US" w:eastAsia="en-US" w:bidi="ar-SA"/>
              </w:rPr>
            </w:pPr>
            <w:r w:rsidRPr="00F851A5">
              <w:rPr>
                <w:rFonts w:cs="Times New Roman"/>
                <w:sz w:val="22"/>
                <w:szCs w:val="22"/>
                <w:lang w:val="en-US" w:eastAsia="en-US" w:bidi="ar-SA"/>
              </w:rPr>
              <w:t>The Impact of the Asian Financial Crisis on</w:t>
            </w:r>
          </w:p>
          <w:p w:rsidR="00DD0EEC" w:rsidRPr="00F851A5" w:rsidRDefault="00DD0EEC" w:rsidP="00DD0EEC">
            <w:pPr>
              <w:autoSpaceDE w:val="0"/>
              <w:autoSpaceDN w:val="0"/>
              <w:adjustRightInd w:val="0"/>
              <w:rPr>
                <w:rFonts w:cs="Times New Roman"/>
                <w:sz w:val="22"/>
                <w:szCs w:val="22"/>
                <w:lang w:val="en-US" w:eastAsia="en-US" w:bidi="ar-SA"/>
              </w:rPr>
            </w:pPr>
            <w:r w:rsidRPr="00F851A5">
              <w:rPr>
                <w:rFonts w:cs="Times New Roman"/>
                <w:sz w:val="22"/>
                <w:szCs w:val="22"/>
                <w:lang w:val="en-US" w:eastAsia="en-US" w:bidi="ar-SA"/>
              </w:rPr>
              <w:t>Conservatism and Timeliness of Earnings:</w:t>
            </w:r>
          </w:p>
          <w:p w:rsidR="00DD0EEC" w:rsidRPr="00F851A5" w:rsidRDefault="00DD0EEC" w:rsidP="00DD0EEC">
            <w:pPr>
              <w:autoSpaceDE w:val="0"/>
              <w:autoSpaceDN w:val="0"/>
              <w:adjustRightInd w:val="0"/>
              <w:rPr>
                <w:rFonts w:cs="Times New Roman"/>
                <w:sz w:val="22"/>
                <w:szCs w:val="22"/>
                <w:lang w:val="en-US" w:eastAsia="en-US" w:bidi="ar-SA"/>
              </w:rPr>
            </w:pPr>
            <w:r w:rsidRPr="00F851A5">
              <w:rPr>
                <w:rFonts w:cs="Times New Roman"/>
                <w:sz w:val="22"/>
                <w:szCs w:val="22"/>
                <w:lang w:val="en-US" w:eastAsia="en-US" w:bidi="ar-SA"/>
              </w:rPr>
              <w:t>Evidence from Hong Kong, Malaysia,</w:t>
            </w:r>
          </w:p>
          <w:p w:rsidR="00DD0EEC" w:rsidRPr="00F851A5" w:rsidRDefault="00DD0EEC" w:rsidP="00DD0EEC">
            <w:pPr>
              <w:jc w:val="both"/>
              <w:rPr>
                <w:b/>
                <w:bCs/>
                <w:sz w:val="22"/>
                <w:szCs w:val="22"/>
                <w:lang w:val="en-US"/>
              </w:rPr>
            </w:pPr>
            <w:r w:rsidRPr="00F851A5">
              <w:rPr>
                <w:rFonts w:cs="Times New Roman"/>
                <w:sz w:val="22"/>
                <w:szCs w:val="22"/>
                <w:lang w:val="en-US" w:eastAsia="en-US" w:bidi="ar-SA"/>
              </w:rPr>
              <w:t>Singapore, and Thailand.</w:t>
            </w:r>
          </w:p>
        </w:tc>
        <w:tc>
          <w:tcPr>
            <w:tcW w:w="0" w:type="auto"/>
          </w:tcPr>
          <w:p w:rsidR="00DD0EEC" w:rsidRDefault="00DD0EEC" w:rsidP="00DD0EEC">
            <w:pPr>
              <w:jc w:val="both"/>
              <w:cnfStyle w:val="000000000000"/>
              <w:rPr>
                <w:b/>
                <w:bCs/>
                <w:sz w:val="22"/>
                <w:szCs w:val="22"/>
                <w:lang w:val="en-US"/>
              </w:rPr>
            </w:pPr>
          </w:p>
          <w:p w:rsidR="00DD0EEC" w:rsidRDefault="00DD0EEC" w:rsidP="00DD0EEC">
            <w:pPr>
              <w:jc w:val="both"/>
              <w:cnfStyle w:val="000000000000"/>
              <w:rPr>
                <w:b/>
                <w:bCs/>
                <w:sz w:val="22"/>
                <w:szCs w:val="22"/>
                <w:lang w:val="en-US"/>
              </w:rPr>
            </w:pPr>
          </w:p>
          <w:p w:rsidR="00DD0EEC" w:rsidRDefault="00DD0EEC" w:rsidP="00DD0EEC">
            <w:pPr>
              <w:jc w:val="both"/>
              <w:cnfStyle w:val="000000000000"/>
              <w:rPr>
                <w:b/>
                <w:bCs/>
                <w:sz w:val="22"/>
                <w:szCs w:val="22"/>
                <w:lang w:val="en-US"/>
              </w:rPr>
            </w:pPr>
          </w:p>
          <w:p w:rsidR="00DD0EEC" w:rsidRPr="00F851A5" w:rsidRDefault="00DD0EEC" w:rsidP="00DD0EEC">
            <w:pPr>
              <w:jc w:val="both"/>
              <w:cnfStyle w:val="000000000000"/>
              <w:rPr>
                <w:b/>
                <w:bCs/>
                <w:sz w:val="22"/>
                <w:szCs w:val="22"/>
                <w:lang w:val="en-US"/>
              </w:rPr>
            </w:pPr>
            <w:r w:rsidRPr="00F851A5">
              <w:rPr>
                <w:b/>
                <w:bCs/>
                <w:sz w:val="22"/>
                <w:szCs w:val="22"/>
                <w:lang w:val="en-US"/>
              </w:rPr>
              <w:t>Vichitsarawong, Eng Li and Gary k. Meek</w:t>
            </w:r>
            <w:r w:rsidR="00EB3F16">
              <w:rPr>
                <w:b/>
                <w:bCs/>
                <w:sz w:val="22"/>
                <w:szCs w:val="22"/>
                <w:lang w:val="en-US"/>
              </w:rPr>
              <w:t xml:space="preserve"> 2010</w:t>
            </w:r>
          </w:p>
        </w:tc>
        <w:tc>
          <w:tcPr>
            <w:cnfStyle w:val="00001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sidRPr="00F851A5">
              <w:rPr>
                <w:b/>
                <w:bCs/>
                <w:sz w:val="22"/>
                <w:szCs w:val="22"/>
                <w:lang w:val="en-US"/>
              </w:rPr>
              <w:t>Measuring conservatism and timeliness of earnings during the financial crisis in the late ninety’s in Hong Kong, Malaysia, Thailand and Singapore.</w:t>
            </w:r>
          </w:p>
        </w:tc>
        <w:tc>
          <w:tcPr>
            <w:tcW w:w="0" w:type="auto"/>
          </w:tcPr>
          <w:p w:rsidR="00DD0EEC" w:rsidRDefault="00DD0EEC" w:rsidP="00DD0EEC">
            <w:pPr>
              <w:jc w:val="both"/>
              <w:cnfStyle w:val="000000000000"/>
              <w:rPr>
                <w:b/>
                <w:bCs/>
                <w:sz w:val="22"/>
                <w:szCs w:val="22"/>
                <w:lang w:val="en-US"/>
              </w:rPr>
            </w:pPr>
          </w:p>
          <w:p w:rsidR="00DD0EEC" w:rsidRDefault="00DD0EEC" w:rsidP="00DD0EEC">
            <w:pPr>
              <w:jc w:val="both"/>
              <w:cnfStyle w:val="000000000000"/>
              <w:rPr>
                <w:b/>
                <w:bCs/>
                <w:sz w:val="22"/>
                <w:szCs w:val="22"/>
                <w:lang w:val="en-US"/>
              </w:rPr>
            </w:pPr>
          </w:p>
          <w:p w:rsidR="00DD0EEC" w:rsidRDefault="00DD0EEC" w:rsidP="00DD0EEC">
            <w:pPr>
              <w:jc w:val="both"/>
              <w:cnfStyle w:val="000000000000"/>
              <w:rPr>
                <w:b/>
                <w:bCs/>
                <w:sz w:val="22"/>
                <w:szCs w:val="22"/>
                <w:lang w:val="en-US"/>
              </w:rPr>
            </w:pPr>
          </w:p>
          <w:p w:rsidR="00DD0EEC" w:rsidRPr="00F851A5" w:rsidRDefault="00DD0EEC" w:rsidP="00DD0EEC">
            <w:pPr>
              <w:jc w:val="both"/>
              <w:cnfStyle w:val="000000000000"/>
              <w:rPr>
                <w:b/>
                <w:bCs/>
                <w:sz w:val="22"/>
                <w:szCs w:val="22"/>
                <w:lang w:val="en-US"/>
              </w:rPr>
            </w:pPr>
            <w:r w:rsidRPr="00F851A5">
              <w:rPr>
                <w:b/>
                <w:bCs/>
                <w:sz w:val="22"/>
                <w:szCs w:val="22"/>
                <w:lang w:val="en-US"/>
              </w:rPr>
              <w:t>Data about stock returns and earnings is obtained from the Global Vantage database.</w:t>
            </w:r>
          </w:p>
          <w:p w:rsidR="00DD0EEC" w:rsidRPr="00F851A5" w:rsidRDefault="00DD0EEC" w:rsidP="00DD0EEC">
            <w:pPr>
              <w:jc w:val="both"/>
              <w:cnfStyle w:val="000000000000"/>
              <w:rPr>
                <w:b/>
                <w:bCs/>
                <w:sz w:val="22"/>
                <w:szCs w:val="22"/>
                <w:lang w:val="en-US"/>
              </w:rPr>
            </w:pPr>
            <w:r w:rsidRPr="00F851A5">
              <w:rPr>
                <w:b/>
                <w:bCs/>
                <w:sz w:val="22"/>
                <w:szCs w:val="22"/>
                <w:lang w:val="en-US"/>
              </w:rPr>
              <w:t>For the countries Hong Kong, Malaysia, Thailand and Singapore. For the years 1995 till 2004.</w:t>
            </w:r>
          </w:p>
        </w:tc>
        <w:tc>
          <w:tcPr>
            <w:cnfStyle w:val="00001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sidRPr="00F851A5">
              <w:rPr>
                <w:b/>
                <w:bCs/>
                <w:sz w:val="22"/>
                <w:szCs w:val="22"/>
                <w:lang w:val="en-US"/>
              </w:rPr>
              <w:t>The B</w:t>
            </w:r>
            <w:r>
              <w:rPr>
                <w:b/>
                <w:bCs/>
                <w:sz w:val="22"/>
                <w:szCs w:val="22"/>
                <w:lang w:val="en-US"/>
              </w:rPr>
              <w:t xml:space="preserve">asu-model is used to measure </w:t>
            </w:r>
            <w:r w:rsidRPr="00F851A5">
              <w:rPr>
                <w:b/>
                <w:bCs/>
                <w:sz w:val="22"/>
                <w:szCs w:val="22"/>
                <w:lang w:val="en-US"/>
              </w:rPr>
              <w:t>conservatism</w:t>
            </w:r>
            <w:r>
              <w:rPr>
                <w:b/>
                <w:bCs/>
                <w:sz w:val="22"/>
                <w:szCs w:val="22"/>
                <w:lang w:val="en-US"/>
              </w:rPr>
              <w:t>. This is done for the crisis and post-crisis period to asses the degree of conservatism during these periods and compares the crisis and post-crisis period.</w:t>
            </w:r>
          </w:p>
        </w:tc>
        <w:tc>
          <w:tcPr>
            <w:cnfStyle w:val="00010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The level of conservatism during the crisis period is low as is the timeliness of earnings. During the post crisis period the level of conservatism increases</w:t>
            </w:r>
          </w:p>
        </w:tc>
      </w:tr>
      <w:tr w:rsidR="00DD0EEC" w:rsidRPr="00A54FD7" w:rsidTr="00C37F58">
        <w:trPr>
          <w:cnfStyle w:val="000000100000"/>
          <w:trHeight w:val="3061"/>
        </w:trPr>
        <w:tc>
          <w:tcPr>
            <w:cnfStyle w:val="00100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11</w:t>
            </w:r>
          </w:p>
        </w:tc>
        <w:tc>
          <w:tcPr>
            <w:cnfStyle w:val="000010000000"/>
            <w:tcW w:w="0" w:type="auto"/>
          </w:tcPr>
          <w:p w:rsidR="00DD0EEC" w:rsidRDefault="00DD0EEC" w:rsidP="00DD0EEC">
            <w:pPr>
              <w:jc w:val="both"/>
              <w:rPr>
                <w:rFonts w:cs="Times New Roman"/>
                <w:sz w:val="22"/>
                <w:szCs w:val="22"/>
                <w:lang w:val="en-GB"/>
              </w:rPr>
            </w:pPr>
          </w:p>
          <w:p w:rsidR="00DD0EEC" w:rsidRDefault="00DD0EEC" w:rsidP="00DD0EEC">
            <w:pPr>
              <w:jc w:val="both"/>
              <w:rPr>
                <w:rFonts w:cs="Times New Roman"/>
                <w:sz w:val="22"/>
                <w:szCs w:val="22"/>
                <w:lang w:val="en-GB"/>
              </w:rPr>
            </w:pPr>
          </w:p>
          <w:p w:rsidR="00DD0EEC" w:rsidRDefault="00DD0EEC" w:rsidP="00DD0EEC">
            <w:pPr>
              <w:jc w:val="both"/>
              <w:rPr>
                <w:rFonts w:cs="Times New Roman"/>
                <w:sz w:val="22"/>
                <w:szCs w:val="22"/>
                <w:lang w:val="en-GB"/>
              </w:rPr>
            </w:pPr>
          </w:p>
          <w:p w:rsidR="00DD0EEC" w:rsidRPr="007F1105" w:rsidRDefault="00DD0EEC" w:rsidP="00DD0EEC">
            <w:pPr>
              <w:jc w:val="both"/>
              <w:rPr>
                <w:b/>
                <w:bCs/>
                <w:sz w:val="22"/>
                <w:szCs w:val="22"/>
                <w:lang w:val="en-US"/>
              </w:rPr>
            </w:pPr>
            <w:r w:rsidRPr="007F1105">
              <w:rPr>
                <w:rFonts w:cs="Times New Roman"/>
                <w:sz w:val="22"/>
                <w:szCs w:val="22"/>
                <w:lang w:val="en-GB"/>
              </w:rPr>
              <w:t>The changing time-series properties of earnings, cash flows and accruals: Has financial reporting become more conservative</w:t>
            </w:r>
          </w:p>
        </w:tc>
        <w:tc>
          <w:tcPr>
            <w:tcW w:w="0" w:type="auto"/>
          </w:tcPr>
          <w:p w:rsidR="00DD0EEC" w:rsidRDefault="00DD0EEC" w:rsidP="00DD0EEC">
            <w:pPr>
              <w:jc w:val="both"/>
              <w:cnfStyle w:val="000000100000"/>
              <w:rPr>
                <w:b/>
                <w:bCs/>
                <w:sz w:val="22"/>
                <w:szCs w:val="22"/>
                <w:lang w:val="en-US"/>
              </w:rPr>
            </w:pPr>
          </w:p>
          <w:p w:rsidR="00DD0EEC" w:rsidRDefault="00DD0EEC" w:rsidP="00DD0EEC">
            <w:pPr>
              <w:jc w:val="both"/>
              <w:cnfStyle w:val="000000100000"/>
              <w:rPr>
                <w:b/>
                <w:bCs/>
                <w:sz w:val="22"/>
                <w:szCs w:val="22"/>
                <w:lang w:val="en-US"/>
              </w:rPr>
            </w:pPr>
          </w:p>
          <w:p w:rsidR="00DD0EEC" w:rsidRDefault="00DD0EEC" w:rsidP="00DD0EEC">
            <w:pPr>
              <w:jc w:val="both"/>
              <w:cnfStyle w:val="000000100000"/>
              <w:rPr>
                <w:b/>
                <w:bCs/>
                <w:sz w:val="22"/>
                <w:szCs w:val="22"/>
                <w:lang w:val="en-US"/>
              </w:rPr>
            </w:pPr>
          </w:p>
          <w:p w:rsidR="00DD0EEC" w:rsidRPr="00F851A5" w:rsidRDefault="00DD0EEC" w:rsidP="00DD0EEC">
            <w:pPr>
              <w:jc w:val="both"/>
              <w:cnfStyle w:val="000000100000"/>
              <w:rPr>
                <w:b/>
                <w:bCs/>
                <w:sz w:val="22"/>
                <w:szCs w:val="22"/>
                <w:lang w:val="en-US"/>
              </w:rPr>
            </w:pPr>
            <w:r>
              <w:rPr>
                <w:b/>
                <w:bCs/>
                <w:sz w:val="22"/>
                <w:szCs w:val="22"/>
                <w:lang w:val="en-US"/>
              </w:rPr>
              <w:t xml:space="preserve">Givoly D. and Hayn C. </w:t>
            </w:r>
            <w:r w:rsidR="00EB3F16">
              <w:rPr>
                <w:b/>
                <w:bCs/>
                <w:sz w:val="22"/>
                <w:szCs w:val="22"/>
                <w:lang w:val="en-US"/>
              </w:rPr>
              <w:t xml:space="preserve"> 2000</w:t>
            </w:r>
          </w:p>
        </w:tc>
        <w:tc>
          <w:tcPr>
            <w:cnfStyle w:val="00001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Fluctuations in the properties of earnings, accruals and cash flows are investigated over time in order to examine if these fluctuations are in line with the increase in the degree of conservatism.</w:t>
            </w:r>
          </w:p>
        </w:tc>
        <w:tc>
          <w:tcPr>
            <w:tcW w:w="0" w:type="auto"/>
          </w:tcPr>
          <w:p w:rsidR="00DD0EEC" w:rsidRDefault="00DD0EEC" w:rsidP="00DD0EEC">
            <w:pPr>
              <w:jc w:val="both"/>
              <w:cnfStyle w:val="000000100000"/>
              <w:rPr>
                <w:b/>
                <w:bCs/>
                <w:sz w:val="22"/>
                <w:szCs w:val="22"/>
                <w:lang w:val="en-US"/>
              </w:rPr>
            </w:pPr>
          </w:p>
          <w:p w:rsidR="00DD0EEC" w:rsidRDefault="00DD0EEC" w:rsidP="00DD0EEC">
            <w:pPr>
              <w:jc w:val="both"/>
              <w:cnfStyle w:val="000000100000"/>
              <w:rPr>
                <w:b/>
                <w:bCs/>
                <w:sz w:val="22"/>
                <w:szCs w:val="22"/>
                <w:lang w:val="en-US"/>
              </w:rPr>
            </w:pPr>
          </w:p>
          <w:p w:rsidR="00DD0EEC" w:rsidRDefault="00DD0EEC" w:rsidP="00DD0EEC">
            <w:pPr>
              <w:jc w:val="both"/>
              <w:cnfStyle w:val="000000100000"/>
              <w:rPr>
                <w:b/>
                <w:bCs/>
                <w:sz w:val="22"/>
                <w:szCs w:val="22"/>
                <w:lang w:val="en-US"/>
              </w:rPr>
            </w:pPr>
          </w:p>
          <w:p w:rsidR="00DD0EEC" w:rsidRPr="00F851A5" w:rsidRDefault="00DD0EEC" w:rsidP="00DD0EEC">
            <w:pPr>
              <w:jc w:val="both"/>
              <w:cnfStyle w:val="000000100000"/>
              <w:rPr>
                <w:b/>
                <w:bCs/>
                <w:sz w:val="22"/>
                <w:szCs w:val="22"/>
                <w:lang w:val="en-US"/>
              </w:rPr>
            </w:pPr>
            <w:r>
              <w:rPr>
                <w:b/>
                <w:bCs/>
                <w:sz w:val="22"/>
                <w:szCs w:val="22"/>
                <w:lang w:val="en-US"/>
              </w:rPr>
              <w:t>The data (obtained from compustat) contains 896 companies for 1968 till 1988.</w:t>
            </w:r>
          </w:p>
        </w:tc>
        <w:tc>
          <w:tcPr>
            <w:cnfStyle w:val="00001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The methods used to asses conservatism are the Basu model, accrual based measures and book-to-market measures. The research consist of US firms.</w:t>
            </w:r>
          </w:p>
        </w:tc>
        <w:tc>
          <w:tcPr>
            <w:cnfStyle w:val="00010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The researches indicate that the last 20 years the degree of conservatism has increased significantly.</w:t>
            </w:r>
          </w:p>
        </w:tc>
      </w:tr>
      <w:tr w:rsidR="00DD0EEC" w:rsidRPr="00A54FD7" w:rsidTr="00C37F58">
        <w:trPr>
          <w:trHeight w:val="2782"/>
        </w:trPr>
        <w:tc>
          <w:tcPr>
            <w:cnfStyle w:val="00100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1</w:t>
            </w:r>
            <w:r w:rsidR="007F10C4">
              <w:rPr>
                <w:b/>
                <w:bCs/>
                <w:sz w:val="22"/>
                <w:szCs w:val="22"/>
                <w:lang w:val="en-US"/>
              </w:rPr>
              <w:t>2</w:t>
            </w:r>
          </w:p>
        </w:tc>
        <w:tc>
          <w:tcPr>
            <w:cnfStyle w:val="000010000000"/>
            <w:tcW w:w="0" w:type="auto"/>
          </w:tcPr>
          <w:p w:rsidR="00DD0EEC" w:rsidRDefault="00DD0EEC" w:rsidP="00DD0EEC">
            <w:pPr>
              <w:jc w:val="both"/>
              <w:rPr>
                <w:rFonts w:cs="Times New Roman"/>
                <w:sz w:val="22"/>
                <w:szCs w:val="22"/>
              </w:rPr>
            </w:pPr>
          </w:p>
          <w:p w:rsidR="00DD0EEC" w:rsidRDefault="00DD0EEC" w:rsidP="00DD0EEC">
            <w:pPr>
              <w:jc w:val="both"/>
              <w:rPr>
                <w:rFonts w:cs="Times New Roman"/>
                <w:sz w:val="22"/>
                <w:szCs w:val="22"/>
              </w:rPr>
            </w:pPr>
          </w:p>
          <w:p w:rsidR="00DD0EEC" w:rsidRPr="000B353B" w:rsidRDefault="00DD0EEC" w:rsidP="00DD0EEC">
            <w:pPr>
              <w:jc w:val="both"/>
              <w:rPr>
                <w:b/>
                <w:bCs/>
                <w:sz w:val="22"/>
                <w:szCs w:val="22"/>
                <w:lang w:val="en-US"/>
              </w:rPr>
            </w:pPr>
            <w:r w:rsidRPr="000B353B">
              <w:rPr>
                <w:rFonts w:cs="Times New Roman"/>
                <w:sz w:val="22"/>
                <w:szCs w:val="22"/>
              </w:rPr>
              <w:t>The effect of earnings management on the asymmetric timeliness of earnings</w:t>
            </w:r>
          </w:p>
        </w:tc>
        <w:tc>
          <w:tcPr>
            <w:tcW w:w="0" w:type="auto"/>
          </w:tcPr>
          <w:p w:rsidR="00DD0EEC" w:rsidRDefault="00DD0EEC" w:rsidP="00DD0EEC">
            <w:pPr>
              <w:jc w:val="both"/>
              <w:cnfStyle w:val="000000000000"/>
              <w:rPr>
                <w:b/>
                <w:bCs/>
                <w:sz w:val="22"/>
                <w:szCs w:val="22"/>
                <w:lang w:val="en-US"/>
              </w:rPr>
            </w:pPr>
          </w:p>
          <w:p w:rsidR="00DD0EEC" w:rsidRDefault="00DD0EEC" w:rsidP="00DD0EEC">
            <w:pPr>
              <w:jc w:val="both"/>
              <w:cnfStyle w:val="000000000000"/>
              <w:rPr>
                <w:b/>
                <w:bCs/>
                <w:sz w:val="22"/>
                <w:szCs w:val="22"/>
                <w:lang w:val="en-US"/>
              </w:rPr>
            </w:pPr>
          </w:p>
          <w:p w:rsidR="00DD0EEC" w:rsidRPr="00F851A5" w:rsidRDefault="00DD0EEC" w:rsidP="00DD0EEC">
            <w:pPr>
              <w:jc w:val="both"/>
              <w:cnfStyle w:val="000000000000"/>
              <w:rPr>
                <w:b/>
                <w:bCs/>
                <w:sz w:val="22"/>
                <w:szCs w:val="22"/>
                <w:lang w:val="en-US"/>
              </w:rPr>
            </w:pPr>
            <w:r>
              <w:rPr>
                <w:b/>
                <w:bCs/>
                <w:sz w:val="22"/>
                <w:szCs w:val="22"/>
                <w:lang w:val="en-US"/>
              </w:rPr>
              <w:t>Garcia, Lara et al.</w:t>
            </w:r>
            <w:r w:rsidR="00EB3F16">
              <w:rPr>
                <w:b/>
                <w:bCs/>
                <w:sz w:val="22"/>
                <w:szCs w:val="22"/>
                <w:lang w:val="en-US"/>
              </w:rPr>
              <w:t xml:space="preserve"> 2004</w:t>
            </w:r>
          </w:p>
        </w:tc>
        <w:tc>
          <w:tcPr>
            <w:cnfStyle w:val="00001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The effect of code law and common law mechanisms on the degree of conservatism.</w:t>
            </w:r>
          </w:p>
        </w:tc>
        <w:tc>
          <w:tcPr>
            <w:tcW w:w="0" w:type="auto"/>
          </w:tcPr>
          <w:p w:rsidR="00DD0EEC" w:rsidRDefault="00DD0EEC" w:rsidP="00DD0EEC">
            <w:pPr>
              <w:jc w:val="both"/>
              <w:cnfStyle w:val="000000000000"/>
              <w:rPr>
                <w:b/>
                <w:bCs/>
                <w:sz w:val="22"/>
                <w:szCs w:val="22"/>
                <w:lang w:val="en-US"/>
              </w:rPr>
            </w:pPr>
          </w:p>
          <w:p w:rsidR="00DD0EEC" w:rsidRDefault="00DD0EEC" w:rsidP="00DD0EEC">
            <w:pPr>
              <w:jc w:val="both"/>
              <w:cnfStyle w:val="000000000000"/>
              <w:rPr>
                <w:b/>
                <w:bCs/>
                <w:sz w:val="22"/>
                <w:szCs w:val="22"/>
                <w:lang w:val="en-US"/>
              </w:rPr>
            </w:pPr>
          </w:p>
          <w:p w:rsidR="00DD0EEC" w:rsidRPr="00F851A5" w:rsidRDefault="00DD0EEC" w:rsidP="00DD0EEC">
            <w:pPr>
              <w:jc w:val="both"/>
              <w:cnfStyle w:val="000000000000"/>
              <w:rPr>
                <w:b/>
                <w:bCs/>
                <w:sz w:val="22"/>
                <w:szCs w:val="22"/>
                <w:lang w:val="en-US"/>
              </w:rPr>
            </w:pPr>
            <w:r>
              <w:rPr>
                <w:b/>
                <w:bCs/>
                <w:sz w:val="22"/>
                <w:szCs w:val="22"/>
                <w:lang w:val="en-US"/>
              </w:rPr>
              <w:t>The data consists of earnings data (EBIT). For the United Kingdom, France and Germany. The sample period is from 1990 till 2000</w:t>
            </w:r>
          </w:p>
        </w:tc>
        <w:tc>
          <w:tcPr>
            <w:cnfStyle w:val="00001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 xml:space="preserve">The Basu model is used to measure the degree of conservatism. Also a model is build to </w:t>
            </w:r>
            <w:r w:rsidR="00F70590">
              <w:rPr>
                <w:b/>
                <w:bCs/>
                <w:sz w:val="22"/>
                <w:szCs w:val="22"/>
                <w:lang w:val="en-US"/>
              </w:rPr>
              <w:t>assess</w:t>
            </w:r>
            <w:r>
              <w:rPr>
                <w:b/>
                <w:bCs/>
                <w:sz w:val="22"/>
                <w:szCs w:val="22"/>
                <w:lang w:val="en-US"/>
              </w:rPr>
              <w:t xml:space="preserve"> the effects of earnings management</w:t>
            </w:r>
          </w:p>
        </w:tc>
        <w:tc>
          <w:tcPr>
            <w:cnfStyle w:val="00010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 xml:space="preserve">The asymmetric verifiability in earnings in the code law countries (Germany and France) is significantly decreasing. </w:t>
            </w:r>
          </w:p>
        </w:tc>
      </w:tr>
      <w:tr w:rsidR="00DD0EEC" w:rsidRPr="00A54FD7" w:rsidTr="00C37F58">
        <w:trPr>
          <w:cnfStyle w:val="010000000000"/>
          <w:trHeight w:val="3083"/>
        </w:trPr>
        <w:tc>
          <w:tcPr>
            <w:cnfStyle w:val="001000000001"/>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C37F58" w:rsidRDefault="00C37F58"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1</w:t>
            </w:r>
            <w:r w:rsidR="007F10C4">
              <w:rPr>
                <w:b/>
                <w:bCs/>
                <w:sz w:val="22"/>
                <w:szCs w:val="22"/>
                <w:lang w:val="en-US"/>
              </w:rPr>
              <w:t>3</w:t>
            </w:r>
          </w:p>
        </w:tc>
        <w:tc>
          <w:tcPr>
            <w:cnfStyle w:val="000010000000"/>
            <w:tcW w:w="0" w:type="auto"/>
          </w:tcPr>
          <w:p w:rsidR="00DD0EEC" w:rsidRDefault="00DD0EEC" w:rsidP="00DD0EEC">
            <w:pPr>
              <w:jc w:val="both"/>
              <w:rPr>
                <w:rFonts w:cs="Times New Roman"/>
                <w:sz w:val="22"/>
                <w:szCs w:val="22"/>
                <w:lang w:val="en-GB"/>
              </w:rPr>
            </w:pPr>
          </w:p>
          <w:p w:rsidR="00DD0EEC" w:rsidRDefault="00DD0EEC" w:rsidP="00DD0EEC">
            <w:pPr>
              <w:jc w:val="both"/>
              <w:rPr>
                <w:rFonts w:cs="Times New Roman"/>
                <w:sz w:val="22"/>
                <w:szCs w:val="22"/>
                <w:lang w:val="en-GB"/>
              </w:rPr>
            </w:pPr>
          </w:p>
          <w:p w:rsidR="00C37F58" w:rsidRDefault="00C37F58" w:rsidP="00DD0EEC">
            <w:pPr>
              <w:jc w:val="both"/>
              <w:rPr>
                <w:rFonts w:cs="Times New Roman"/>
                <w:sz w:val="22"/>
                <w:szCs w:val="22"/>
                <w:lang w:val="en-GB"/>
              </w:rPr>
            </w:pPr>
          </w:p>
          <w:p w:rsidR="00DD0EEC" w:rsidRPr="007F4D9E" w:rsidRDefault="00DD0EEC" w:rsidP="00DD0EEC">
            <w:pPr>
              <w:jc w:val="both"/>
              <w:rPr>
                <w:b/>
                <w:bCs/>
                <w:sz w:val="22"/>
                <w:szCs w:val="22"/>
                <w:lang w:val="en-US"/>
              </w:rPr>
            </w:pPr>
            <w:r w:rsidRPr="007F4D9E">
              <w:rPr>
                <w:rFonts w:cs="Times New Roman"/>
                <w:sz w:val="22"/>
                <w:szCs w:val="22"/>
                <w:lang w:val="en-GB"/>
              </w:rPr>
              <w:t>The effect of international institutional factors on properties of accounting earnings</w:t>
            </w:r>
          </w:p>
        </w:tc>
        <w:tc>
          <w:tcPr>
            <w:tcW w:w="0" w:type="auto"/>
          </w:tcPr>
          <w:p w:rsidR="00DD0EEC" w:rsidRDefault="00DD0EEC" w:rsidP="00DD0EEC">
            <w:pPr>
              <w:jc w:val="both"/>
              <w:cnfStyle w:val="010000000000"/>
              <w:rPr>
                <w:b/>
                <w:bCs/>
                <w:sz w:val="22"/>
                <w:szCs w:val="22"/>
                <w:lang w:val="en-US"/>
              </w:rPr>
            </w:pPr>
          </w:p>
          <w:p w:rsidR="00DD0EEC" w:rsidRDefault="00DD0EEC" w:rsidP="00DD0EEC">
            <w:pPr>
              <w:jc w:val="both"/>
              <w:cnfStyle w:val="010000000000"/>
              <w:rPr>
                <w:b/>
                <w:bCs/>
                <w:sz w:val="22"/>
                <w:szCs w:val="22"/>
                <w:lang w:val="en-US"/>
              </w:rPr>
            </w:pPr>
          </w:p>
          <w:p w:rsidR="00C37F58" w:rsidRDefault="00C37F58" w:rsidP="00DD0EEC">
            <w:pPr>
              <w:jc w:val="both"/>
              <w:cnfStyle w:val="010000000000"/>
              <w:rPr>
                <w:b/>
                <w:bCs/>
                <w:sz w:val="22"/>
                <w:szCs w:val="22"/>
                <w:lang w:val="en-US"/>
              </w:rPr>
            </w:pPr>
            <w:r>
              <w:rPr>
                <w:b/>
                <w:bCs/>
                <w:sz w:val="22"/>
                <w:szCs w:val="22"/>
                <w:lang w:val="en-US"/>
              </w:rPr>
              <w:t xml:space="preserve">   </w:t>
            </w:r>
          </w:p>
          <w:p w:rsidR="00DD0EEC" w:rsidRPr="00F851A5" w:rsidRDefault="00C37F58" w:rsidP="00DD0EEC">
            <w:pPr>
              <w:jc w:val="both"/>
              <w:cnfStyle w:val="010000000000"/>
              <w:rPr>
                <w:b/>
                <w:bCs/>
                <w:sz w:val="22"/>
                <w:szCs w:val="22"/>
                <w:lang w:val="en-US"/>
              </w:rPr>
            </w:pPr>
            <w:r>
              <w:rPr>
                <w:b/>
                <w:bCs/>
                <w:sz w:val="22"/>
                <w:szCs w:val="22"/>
                <w:lang w:val="en-US"/>
              </w:rPr>
              <w:t xml:space="preserve">   </w:t>
            </w:r>
            <w:r w:rsidR="00DD0EEC">
              <w:rPr>
                <w:b/>
                <w:bCs/>
                <w:sz w:val="22"/>
                <w:szCs w:val="22"/>
                <w:lang w:val="en-US"/>
              </w:rPr>
              <w:t xml:space="preserve">Ball et al. </w:t>
            </w:r>
            <w:r w:rsidR="00EB3F16">
              <w:rPr>
                <w:b/>
                <w:bCs/>
                <w:sz w:val="22"/>
                <w:szCs w:val="22"/>
                <w:lang w:val="en-US"/>
              </w:rPr>
              <w:t xml:space="preserve"> 2000</w:t>
            </w:r>
          </w:p>
        </w:tc>
        <w:tc>
          <w:tcPr>
            <w:cnfStyle w:val="00001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C37F58" w:rsidRDefault="00C37F58"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In this research it is assumed that the degree of conservatism in the United Kingdom is less conservative than normally expected in common  law countries, hence still more conservative than in code law countries.</w:t>
            </w:r>
          </w:p>
        </w:tc>
        <w:tc>
          <w:tcPr>
            <w:tcW w:w="0" w:type="auto"/>
          </w:tcPr>
          <w:p w:rsidR="00DD0EEC" w:rsidRDefault="00DD0EEC" w:rsidP="00DD0EEC">
            <w:pPr>
              <w:jc w:val="both"/>
              <w:cnfStyle w:val="010000000000"/>
              <w:rPr>
                <w:b/>
                <w:bCs/>
                <w:sz w:val="22"/>
                <w:szCs w:val="22"/>
                <w:lang w:val="en-US"/>
              </w:rPr>
            </w:pPr>
          </w:p>
          <w:p w:rsidR="00DD0EEC" w:rsidRDefault="00DD0EEC" w:rsidP="00DD0EEC">
            <w:pPr>
              <w:jc w:val="both"/>
              <w:cnfStyle w:val="010000000000"/>
              <w:rPr>
                <w:b/>
                <w:bCs/>
                <w:sz w:val="22"/>
                <w:szCs w:val="22"/>
                <w:lang w:val="en-US"/>
              </w:rPr>
            </w:pPr>
          </w:p>
          <w:p w:rsidR="00C37F58" w:rsidRDefault="00C37F58" w:rsidP="00DD0EEC">
            <w:pPr>
              <w:jc w:val="both"/>
              <w:cnfStyle w:val="010000000000"/>
              <w:rPr>
                <w:b/>
                <w:bCs/>
                <w:sz w:val="22"/>
                <w:szCs w:val="22"/>
                <w:lang w:val="en-US"/>
              </w:rPr>
            </w:pPr>
          </w:p>
          <w:p w:rsidR="00DD0EEC" w:rsidRPr="00F851A5" w:rsidRDefault="00DD0EEC" w:rsidP="00DD0EEC">
            <w:pPr>
              <w:jc w:val="both"/>
              <w:cnfStyle w:val="010000000000"/>
              <w:rPr>
                <w:b/>
                <w:bCs/>
                <w:sz w:val="22"/>
                <w:szCs w:val="22"/>
                <w:lang w:val="en-US"/>
              </w:rPr>
            </w:pPr>
            <w:r>
              <w:rPr>
                <w:b/>
                <w:bCs/>
                <w:sz w:val="22"/>
                <w:szCs w:val="22"/>
                <w:lang w:val="en-US"/>
              </w:rPr>
              <w:t>Accounting income is gathered from 1985 till 1995. The following countries were examined; Japan, France, The United States, The United-Kingdom, Australia, Germany and Canada.</w:t>
            </w:r>
          </w:p>
        </w:tc>
        <w:tc>
          <w:tcPr>
            <w:cnfStyle w:val="00001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C37F58" w:rsidRDefault="00C37F58"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The Basu model is used in this research to measure conservatism.</w:t>
            </w:r>
          </w:p>
        </w:tc>
        <w:tc>
          <w:tcPr>
            <w:cnfStyle w:val="000100000000"/>
            <w:tcW w:w="0" w:type="auto"/>
          </w:tcPr>
          <w:p w:rsidR="00DD0EEC" w:rsidRDefault="00DD0EEC" w:rsidP="00DD0EEC">
            <w:pPr>
              <w:jc w:val="both"/>
              <w:rPr>
                <w:b/>
                <w:bCs/>
                <w:sz w:val="22"/>
                <w:szCs w:val="22"/>
                <w:lang w:val="en-US"/>
              </w:rPr>
            </w:pPr>
          </w:p>
          <w:p w:rsidR="00DD0EEC" w:rsidRDefault="00DD0EEC" w:rsidP="00DD0EEC">
            <w:pPr>
              <w:jc w:val="both"/>
              <w:rPr>
                <w:b/>
                <w:bCs/>
                <w:sz w:val="22"/>
                <w:szCs w:val="22"/>
                <w:lang w:val="en-US"/>
              </w:rPr>
            </w:pPr>
          </w:p>
          <w:p w:rsidR="00C37F58" w:rsidRDefault="00C37F58" w:rsidP="00DD0EEC">
            <w:pPr>
              <w:jc w:val="both"/>
              <w:rPr>
                <w:b/>
                <w:bCs/>
                <w:sz w:val="22"/>
                <w:szCs w:val="22"/>
                <w:lang w:val="en-US"/>
              </w:rPr>
            </w:pPr>
          </w:p>
          <w:p w:rsidR="00DD0EEC" w:rsidRPr="00F851A5" w:rsidRDefault="00DD0EEC" w:rsidP="00DD0EEC">
            <w:pPr>
              <w:jc w:val="both"/>
              <w:rPr>
                <w:b/>
                <w:bCs/>
                <w:sz w:val="22"/>
                <w:szCs w:val="22"/>
                <w:lang w:val="en-US"/>
              </w:rPr>
            </w:pPr>
            <w:r>
              <w:rPr>
                <w:b/>
                <w:bCs/>
                <w:sz w:val="22"/>
                <w:szCs w:val="22"/>
                <w:lang w:val="en-US"/>
              </w:rPr>
              <w:t>Common law countries are significantly more conservative than code law countries. And the in the UK the level of conservative reporting was the lowest of the common law countries.</w:t>
            </w:r>
          </w:p>
        </w:tc>
      </w:tr>
    </w:tbl>
    <w:p w:rsidR="003F4E6D" w:rsidRDefault="003F4E6D" w:rsidP="003F4E6D">
      <w:pPr>
        <w:rPr>
          <w:lang w:val="en-US"/>
        </w:rPr>
      </w:pPr>
    </w:p>
    <w:p w:rsidR="003F4E6D" w:rsidRDefault="003F4E6D" w:rsidP="003F4E6D">
      <w:pPr>
        <w:rPr>
          <w:lang w:val="en-US"/>
        </w:rPr>
      </w:pPr>
    </w:p>
    <w:p w:rsidR="003F4E6D" w:rsidRDefault="003F4E6D" w:rsidP="003F4E6D">
      <w:pPr>
        <w:rPr>
          <w:lang w:val="en-US"/>
        </w:rPr>
      </w:pPr>
    </w:p>
    <w:p w:rsidR="00CB5176" w:rsidRDefault="00CB5176" w:rsidP="003F4E6D">
      <w:pPr>
        <w:rPr>
          <w:lang w:val="en-US"/>
        </w:rPr>
      </w:pPr>
    </w:p>
    <w:p w:rsidR="00CB5176" w:rsidRDefault="00CB5176" w:rsidP="003F4E6D">
      <w:pPr>
        <w:rPr>
          <w:lang w:val="en-US"/>
        </w:rPr>
      </w:pPr>
    </w:p>
    <w:p w:rsidR="00CB5176" w:rsidRPr="00CB5176" w:rsidRDefault="00CB5176" w:rsidP="003F4E6D">
      <w:pPr>
        <w:rPr>
          <w:i/>
          <w:lang w:val="en-US"/>
        </w:rPr>
      </w:pPr>
      <w:r w:rsidRPr="00CB5176">
        <w:rPr>
          <w:i/>
          <w:lang w:val="en-US"/>
        </w:rPr>
        <w:lastRenderedPageBreak/>
        <w:t>List of banks:</w:t>
      </w:r>
    </w:p>
    <w:p w:rsidR="00CB5176" w:rsidRDefault="00CB5176" w:rsidP="003F4E6D">
      <w:pPr>
        <w:rPr>
          <w:lang w:val="en-US"/>
        </w:rPr>
      </w:pPr>
    </w:p>
    <w:tbl>
      <w:tblPr>
        <w:tblStyle w:val="MediumList22"/>
        <w:tblW w:w="11260" w:type="dxa"/>
        <w:tblLook w:val="04A0"/>
      </w:tblPr>
      <w:tblGrid>
        <w:gridCol w:w="960"/>
        <w:gridCol w:w="10300"/>
      </w:tblGrid>
      <w:tr w:rsidR="00CB5176" w:rsidRPr="00CB5176" w:rsidTr="00CB5176">
        <w:trPr>
          <w:cnfStyle w:val="100000000000"/>
          <w:trHeight w:val="263"/>
        </w:trPr>
        <w:tc>
          <w:tcPr>
            <w:cnfStyle w:val="001000000100"/>
            <w:tcW w:w="960" w:type="dxa"/>
            <w:noWrap/>
            <w:hideMark/>
          </w:tcPr>
          <w:p w:rsidR="00CB5176" w:rsidRPr="00CB5176" w:rsidRDefault="00CB5176" w:rsidP="00CB5176">
            <w:pPr>
              <w:rPr>
                <w:rFonts w:ascii="Times New Roman" w:hAnsi="Times New Roman" w:cs="Times New Roman"/>
                <w:lang w:val="nl-NL" w:eastAsia="nl-NL" w:bidi="ar-SA"/>
              </w:rPr>
            </w:pPr>
          </w:p>
        </w:tc>
        <w:tc>
          <w:tcPr>
            <w:tcW w:w="10300" w:type="dxa"/>
            <w:hideMark/>
          </w:tcPr>
          <w:p w:rsidR="00CB5176" w:rsidRDefault="00CB5176" w:rsidP="00CB5176">
            <w:pPr>
              <w:cnfStyle w:val="1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w:t>
            </w:r>
            <w:r>
              <w:rPr>
                <w:rFonts w:ascii="Times New Roman" w:hAnsi="Times New Roman" w:cs="Times New Roman"/>
                <w:lang w:val="nl-NL" w:eastAsia="nl-NL" w:bidi="ar-SA"/>
              </w:rPr>
              <w:t>ank names:</w:t>
            </w:r>
          </w:p>
          <w:p w:rsidR="00CB5176" w:rsidRPr="00CB5176" w:rsidRDefault="00CB5176" w:rsidP="00CB5176">
            <w:pPr>
              <w:cnfStyle w:val="100000000000"/>
              <w:rPr>
                <w:rFonts w:ascii="Times New Roman" w:hAnsi="Times New Roman" w:cs="Times New Roman"/>
                <w:lang w:val="nl-NL" w:eastAsia="nl-NL" w:bidi="ar-SA"/>
              </w:rPr>
            </w:pP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BKS 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BTV (3 Banken Gruppe)-Bank für Tirol und Vorarlberg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Erste Group 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Immofinanz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Oberbank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Oesterreichische Volksbanken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Raiffeisen International Bank-Holding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Raiffeisenlandesbank Oberösterreich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Volksbank Vorarlberg e.Gen.</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10</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Wiener Privatbank SE</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Ageas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Dexia</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Fortis SA/NV</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Groupe Bruxelles Lambert</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KBC Group-KBC Groep NV/ KBC Groupe SA</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Aarhus Lokalbank</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Alm. Brand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Amagerbanken, Aktieselskab</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Gronlandsbanken A/S-Bank of Greenland</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20</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BankNordik P/F</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Danske Bank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DiBa Bank 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Djurslands Bank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Holdingselskabet af 1958 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Hvidbjerg Bank Aktieselskab</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Jyske Bank A/S (Group)</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Kreditbanken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Laan &amp; Spar Bank 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lastRenderedPageBreak/>
              <w:t>29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Lollands Bank</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30</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Max Bank 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31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Moens Bank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32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Morsoe Bank</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33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Noerresundby Bank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34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Nordfyns Bank</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35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Nordjyske Bank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36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Oestjydsk Bank 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37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Ringkjoebing Landbobank</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38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Salling Bank 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39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Skaelskor Bank</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40</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Skjern Bank</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41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Spar Nord Bank</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42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Sparbank 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43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Sparekassen Faaborg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44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Svendborg Sparekassen 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45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Sydbank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46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Toender Bank 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47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Totalbanken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48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Vestfyns Bank 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49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Vestjysk Bank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50</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Vinderup Bank 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51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Vordingborg Bank A/S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52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Aktia Plc</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53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Bank of Aland Plc-Alandsbanken Abp</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54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Amanda Capital Plc</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55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Norvestia Oyj</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56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Pohjola Pankki Oyj-Pohjola Bank plc</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57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Sampo Plc</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58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Affine</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59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Altarea</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60</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Banque de la Réunion</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lastRenderedPageBreak/>
              <w:t>61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Banque Tarneaud</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62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BNP Paribas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63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Boursorama</w:t>
            </w:r>
          </w:p>
        </w:tc>
      </w:tr>
      <w:tr w:rsidR="00CB5176" w:rsidRPr="00CB5176" w:rsidTr="00CB5176">
        <w:trPr>
          <w:trHeight w:val="525"/>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64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Crédit Agricole Atlantique Vendée-Caisse Régionale de crédit agricole mutuel Atlantique Vendée</w:t>
            </w:r>
          </w:p>
        </w:tc>
      </w:tr>
      <w:tr w:rsidR="00CB5176" w:rsidRPr="00CB5176" w:rsidTr="00CB5176">
        <w:trPr>
          <w:cnfStyle w:val="000000100000"/>
          <w:trHeight w:val="525"/>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65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Credit Agricole Alpes Provence-Caisse régionale de credit agricole mutuel d'Alpes-Provence</w:t>
            </w:r>
          </w:p>
        </w:tc>
      </w:tr>
      <w:tr w:rsidR="00CB5176" w:rsidRPr="00CB5176" w:rsidTr="00CB5176">
        <w:trPr>
          <w:trHeight w:val="525"/>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66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Crédit Agricole de l'Ille-et-Vilaine-Caisse régionale de crédit agricole mutuel de l'Ille-et-Vilaine</w:t>
            </w:r>
          </w:p>
        </w:tc>
      </w:tr>
      <w:tr w:rsidR="00CB5176" w:rsidRPr="00CB5176" w:rsidTr="00CB5176">
        <w:trPr>
          <w:cnfStyle w:val="000000100000"/>
          <w:trHeight w:val="525"/>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67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Credit Agricole de la Touraine et du Poitou-Caisse régionale de credit agricole mutuel de la Touraine et du Poitou</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68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Caisse régionale de crédit agricole mutuel de Normandie-Seine</w:t>
            </w:r>
          </w:p>
        </w:tc>
      </w:tr>
      <w:tr w:rsidR="00CB5176" w:rsidRPr="00CB5176" w:rsidTr="00CB5176">
        <w:trPr>
          <w:cnfStyle w:val="000000100000"/>
          <w:trHeight w:val="525"/>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69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Crédit Agricole d'Ile-de-France-Caisse régionale de crédit agricole mutuel de Paris et d'Ile-de-France</w:t>
            </w:r>
          </w:p>
        </w:tc>
      </w:tr>
      <w:tr w:rsidR="00CB5176" w:rsidRPr="00CB5176" w:rsidTr="00CB5176">
        <w:trPr>
          <w:trHeight w:val="525"/>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70</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Crédit Agricole du Morbihan-Caisse régionale de Crédit Agricole mutuel du Morbihan</w:t>
            </w:r>
          </w:p>
        </w:tc>
      </w:tr>
      <w:tr w:rsidR="00CB5176" w:rsidRPr="00CB5176" w:rsidTr="00CB5176">
        <w:trPr>
          <w:cnfStyle w:val="000000100000"/>
          <w:trHeight w:val="525"/>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71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Crédit Agricole Loire Haute-Loire-Caisse régionale de crédit agricole mutuel Loire Haute-Loire</w:t>
            </w:r>
          </w:p>
        </w:tc>
      </w:tr>
      <w:tr w:rsidR="00CB5176" w:rsidRPr="00CB5176" w:rsidTr="00CB5176">
        <w:trPr>
          <w:trHeight w:val="525"/>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72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Crédit Agricole Nord de France-Caisse régionale de crédit agricole mutuel Nord de France</w:t>
            </w:r>
          </w:p>
        </w:tc>
      </w:tr>
      <w:tr w:rsidR="00CB5176" w:rsidRPr="00CB5176" w:rsidTr="00CB5176">
        <w:trPr>
          <w:cnfStyle w:val="000000100000"/>
          <w:trHeight w:val="525"/>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73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Credit Agricole Sud Rhône Alpes-Caisse régionale de credit agricole mutuel Sud Rhône -Alpes</w:t>
            </w:r>
          </w:p>
        </w:tc>
      </w:tr>
      <w:tr w:rsidR="00CB5176" w:rsidRPr="00CB5176" w:rsidTr="00CB5176">
        <w:trPr>
          <w:trHeight w:val="525"/>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74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Crédit Agricole Mutuel Toulouse 31 CCI-Caisse Régionale de Crédit Agricole Mutuel Toulouse 31</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75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CFCAL Banque-Crédit Foncier et Communal d'Alsace et de Lorraine (Banque)</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76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Cofitem - Cofimur</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77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Crédit Agricole S.A.</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78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Crédit Industriel et Commercial - CIC</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79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Eurosic</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80</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FALA</w:t>
            </w:r>
          </w:p>
        </w:tc>
      </w:tr>
      <w:tr w:rsidR="00CB5176" w:rsidRPr="00CB5176" w:rsidTr="00CB5176">
        <w:trPr>
          <w:cnfStyle w:val="000000100000"/>
          <w:trHeight w:val="525"/>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81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I.R.D. Nord Pas-de-Calais-Institut Régional de Développement de la Région Nord Pas-de-Calais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82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Initiative &amp; Finance Investissement SA</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lastRenderedPageBreak/>
              <w:t>83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Locindus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84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Natixis</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85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Paris Orléans SA</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86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SDR Bretagne</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87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SIIC de PARIS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88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SIIC de PARIS 8ème</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89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Société financière pour le financement de bureaux et d'usines SOFIBUS</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90</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Société Générale</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91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Union Financière de France Banque</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92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Aareal Bank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93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Ahag Wertpapierhandelsbank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94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Baader Bank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95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Bankverein Werther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96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Bausparkasse Mainz AG BKM</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97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Berlin Hyp-Berlin-Hannoverschen Hypothekenbank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98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Comdirect Bank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99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Commerzbank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100</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Concord Investmentbank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101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DAB 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102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Deutsche Bank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103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Deutsche Postbank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104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DF Deutsche Forfait Aktiengesellschaft</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105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DVB Bank SE</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106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F.I.B. Frankfurter Investmentbank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107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Gontard &amp; Metallbank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108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HSBC Trinkaus &amp; Burkhardt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109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IKB Deutsche Industriebank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110</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LBB Holding AG-Landesbank Berlin Holding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111</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Merkur-Bank KGaA</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112</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mwb fairtrade Wertpapierhandelsbank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113</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NORDAKTIENBANK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114</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Oldenburgische Landesbank - OLB</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lastRenderedPageBreak/>
              <w:t>115</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quirin 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116</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UmweltBank AG</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117</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Varengold Wertpapierhandelsbank AG</w:t>
            </w:r>
          </w:p>
        </w:tc>
      </w:tr>
      <w:tr w:rsidR="00CB5176" w:rsidRPr="00CB5176" w:rsidTr="00CB5176">
        <w:trPr>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118</w:t>
            </w:r>
          </w:p>
        </w:tc>
        <w:tc>
          <w:tcPr>
            <w:tcW w:w="10300" w:type="dxa"/>
            <w:hideMark/>
          </w:tcPr>
          <w:p w:rsidR="00CB5176" w:rsidRPr="00CB5176" w:rsidRDefault="00CB5176"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Wüstenrot &amp; Württembergische</w:t>
            </w:r>
          </w:p>
        </w:tc>
      </w:tr>
      <w:tr w:rsidR="00CB5176" w:rsidRPr="00CB5176" w:rsidTr="00CB5176">
        <w:trPr>
          <w:cnfStyle w:val="000000100000"/>
          <w:trHeight w:val="263"/>
        </w:trPr>
        <w:tc>
          <w:tcPr>
            <w:cnfStyle w:val="001000000000"/>
            <w:tcW w:w="960" w:type="dxa"/>
            <w:noWrap/>
            <w:hideMark/>
          </w:tcPr>
          <w:p w:rsidR="00CB5176" w:rsidRPr="00CB5176" w:rsidRDefault="00CB5176"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119</w:t>
            </w:r>
          </w:p>
        </w:tc>
        <w:tc>
          <w:tcPr>
            <w:tcW w:w="10300" w:type="dxa"/>
            <w:hideMark/>
          </w:tcPr>
          <w:p w:rsidR="00CB5176" w:rsidRPr="00CB5176" w:rsidRDefault="00CB5176"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Allied Irish Banks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120</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Latvian Savings Bank-Latvijas KrajBanka</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121</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AB DnB NORD Bankas</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122</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AB Ukio Bankas</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123</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Bankas Snoras</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124</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Siauliu Bankas</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125</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Brait SA</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126</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Espirito Santo Financial Group S.A.</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127</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IdB Holdings SA</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128</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BinckBank NV</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129</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Delta Lloyd Group-Delta Lloyd NV</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130</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Fortis NV</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131</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ING Groep NV</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132</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Robeco NV</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133</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SNS Reaal NV</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134</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Van Lanschot NV</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135</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ABG Sundal Collier Holding ASA</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136</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DnB Nor ASA</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137</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Storebrand ASA-Storebrand Group</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138</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Banco BPI SA</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139</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Millennium bcp-Banco Comercial Português, SA</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140</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Banco Espirito Santo SA</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141</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BANIF SGPS SA</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142</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Finibanco Holding SGPS SA</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143</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Banco Bilbao Vizcaya Argentaria SA</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144</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Banco de Sabadell SA</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145</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Banco de Valencia SA</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147</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Banco Guipuzcoano SA</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lastRenderedPageBreak/>
              <w:t>148</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Banco Pastor SA</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149</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Banco Popular Espanol SA</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150</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Banco Santander SA</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151</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Bankinter SA</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152</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Avanza Bank Holding AB</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153</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HQ AB</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154</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Nordea Bank AB (publ)</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155</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Skandinaviska Enskilda Banken AB</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156</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Svenska Handelsbanken</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157</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3i Group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158</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Aberdeen Asset Management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159</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Alliance Trust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160</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Arbuthnot Banking Group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161</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Baillie Gifford Japan Trust Plc (The)</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162</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Baillie Gifford Shin Nippon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163</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Bankers Investment Trust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164</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Barclays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165</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Brewin Dolphin Holdings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166</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British Assets Trust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167</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Close Brothers Group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168</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Dunedin Enterprise Investment Trust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169</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Dunedin Smaller Companies Investment Trust</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170</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Edinburgh Investment Trust Plc (The)</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171</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Edinburgh Worldwide Investment Trust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172</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Electra Private Equity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173</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Foreign &amp; Colonial Investment Trust Plc (The)</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174</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HSBC Holdings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175</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Intermediate Capital Group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176</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International Personal Finance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177</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Investec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178</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Jupiter Primadona Growth Trust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179</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Lloyds Banking Group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lastRenderedPageBreak/>
              <w:t>180</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London Capital Group Holdings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181</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Man Group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182</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Mercantile Investment Trust plc (The)</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183</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Mid Wynd International Investment</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184</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Monks Investment Trust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185</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Murray International Trust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186</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Northern 2 VCT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187</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Northern 3 VCT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188</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Northern Aim VCT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189</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Northern Investors Company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190</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Northern Venture Trust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191</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Pacific Horizon Investment Trust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192</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Paragon Group of Companies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193</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Polar Capital Technology Trust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194</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Rathbone Brothers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195</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RIT Capital Partners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197</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Schroders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198</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Scottish Investment Trust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199</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Scottish Mortgage Investment Trust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200</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Standard Chartered Plc</w:t>
            </w:r>
          </w:p>
        </w:tc>
      </w:tr>
      <w:tr w:rsidR="004572D4" w:rsidRPr="00CB5176" w:rsidTr="00CB5176">
        <w:trPr>
          <w:cnfStyle w:val="000000100000"/>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201</w:t>
            </w:r>
          </w:p>
        </w:tc>
        <w:tc>
          <w:tcPr>
            <w:tcW w:w="10300" w:type="dxa"/>
            <w:hideMark/>
          </w:tcPr>
          <w:p w:rsidR="004572D4" w:rsidRPr="00CB5176" w:rsidRDefault="004572D4" w:rsidP="00CB5176">
            <w:pPr>
              <w:cnfStyle w:val="000000100000"/>
              <w:rPr>
                <w:rFonts w:ascii="Times New Roman" w:hAnsi="Times New Roman" w:cs="Times New Roman"/>
                <w:lang w:val="nl-NL" w:eastAsia="nl-NL" w:bidi="ar-SA"/>
              </w:rPr>
            </w:pPr>
            <w:r w:rsidRPr="00CB5176">
              <w:rPr>
                <w:rFonts w:ascii="Times New Roman" w:hAnsi="Times New Roman" w:cs="Times New Roman"/>
                <w:lang w:val="nl-NL" w:eastAsia="nl-NL" w:bidi="ar-SA"/>
              </w:rPr>
              <w:t>Throgmorton Trust PLC</w:t>
            </w:r>
          </w:p>
        </w:tc>
      </w:tr>
      <w:tr w:rsidR="004572D4" w:rsidRPr="00CB5176" w:rsidTr="00CB5176">
        <w:trPr>
          <w:trHeight w:val="263"/>
        </w:trPr>
        <w:tc>
          <w:tcPr>
            <w:cnfStyle w:val="001000000000"/>
            <w:tcW w:w="960" w:type="dxa"/>
            <w:noWrap/>
            <w:hideMark/>
          </w:tcPr>
          <w:p w:rsidR="004572D4" w:rsidRPr="00CB5176" w:rsidRDefault="004572D4" w:rsidP="00CB5176">
            <w:pPr>
              <w:jc w:val="right"/>
              <w:rPr>
                <w:rFonts w:ascii="Times New Roman" w:hAnsi="Times New Roman" w:cs="Times New Roman"/>
                <w:lang w:val="nl-NL" w:eastAsia="nl-NL" w:bidi="ar-SA"/>
              </w:rPr>
            </w:pPr>
            <w:r w:rsidRPr="00CB5176">
              <w:rPr>
                <w:rFonts w:ascii="Times New Roman" w:hAnsi="Times New Roman" w:cs="Times New Roman"/>
                <w:lang w:val="nl-NL" w:eastAsia="nl-NL" w:bidi="ar-SA"/>
              </w:rPr>
              <w:t>202</w:t>
            </w:r>
          </w:p>
        </w:tc>
        <w:tc>
          <w:tcPr>
            <w:tcW w:w="10300" w:type="dxa"/>
            <w:hideMark/>
          </w:tcPr>
          <w:p w:rsidR="004572D4" w:rsidRPr="00CB5176" w:rsidRDefault="004572D4" w:rsidP="00CB5176">
            <w:pPr>
              <w:cnfStyle w:val="000000000000"/>
              <w:rPr>
                <w:rFonts w:ascii="Times New Roman" w:hAnsi="Times New Roman" w:cs="Times New Roman"/>
                <w:lang w:val="nl-NL" w:eastAsia="nl-NL" w:bidi="ar-SA"/>
              </w:rPr>
            </w:pPr>
            <w:r w:rsidRPr="00CB5176">
              <w:rPr>
                <w:rFonts w:ascii="Times New Roman" w:hAnsi="Times New Roman" w:cs="Times New Roman"/>
                <w:lang w:val="nl-NL" w:eastAsia="nl-NL" w:bidi="ar-SA"/>
              </w:rPr>
              <w:t>Witan Investment Trust Plc</w:t>
            </w:r>
          </w:p>
        </w:tc>
      </w:tr>
    </w:tbl>
    <w:p w:rsidR="00CB5176" w:rsidRDefault="00CB5176" w:rsidP="003F4E6D">
      <w:pPr>
        <w:rPr>
          <w:lang w:val="en-US"/>
        </w:rPr>
      </w:pPr>
    </w:p>
    <w:sectPr w:rsidR="00CB5176" w:rsidSect="00DD0EEC">
      <w:pgSz w:w="16838" w:h="11906" w:orient="landscape" w:code="9"/>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1489" w:rsidRDefault="00911489">
      <w:r>
        <w:separator/>
      </w:r>
    </w:p>
  </w:endnote>
  <w:endnote w:type="continuationSeparator" w:id="1">
    <w:p w:rsidR="00911489" w:rsidRDefault="0091148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ngsana New">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EYInterstate Light">
    <w:altName w:val="Arial Narrow"/>
    <w:panose1 w:val="00000000000000000000"/>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inherit">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6EB9" w:rsidRDefault="001D6EB9" w:rsidP="00A11D53">
    <w:pPr>
      <w:pStyle w:val="Voettekst"/>
      <w:framePr w:wrap="around" w:vAnchor="text" w:hAnchor="margin" w:xAlign="right" w:y="1"/>
      <w:rPr>
        <w:rStyle w:val="Paginanummer"/>
        <w:rFonts w:cs="Angsana New"/>
      </w:rPr>
    </w:pPr>
    <w:r>
      <w:rPr>
        <w:rStyle w:val="Paginanummer"/>
        <w:rFonts w:cs="Angsana New"/>
      </w:rPr>
      <w:fldChar w:fldCharType="begin"/>
    </w:r>
    <w:r>
      <w:rPr>
        <w:rStyle w:val="Paginanummer"/>
        <w:rFonts w:cs="Angsana New"/>
      </w:rPr>
      <w:instrText xml:space="preserve">PAGE  </w:instrText>
    </w:r>
    <w:r>
      <w:rPr>
        <w:rStyle w:val="Paginanummer"/>
        <w:rFonts w:cs="Angsana New"/>
      </w:rPr>
      <w:fldChar w:fldCharType="separate"/>
    </w:r>
    <w:r>
      <w:rPr>
        <w:rStyle w:val="Paginanummer"/>
        <w:rFonts w:cs="Angsana New"/>
        <w:noProof/>
      </w:rPr>
      <w:t>66</w:t>
    </w:r>
    <w:r>
      <w:rPr>
        <w:rStyle w:val="Paginanummer"/>
        <w:rFonts w:cs="Angsana New"/>
      </w:rPr>
      <w:fldChar w:fldCharType="end"/>
    </w:r>
  </w:p>
  <w:p w:rsidR="001D6EB9" w:rsidRDefault="001D6EB9" w:rsidP="00A11D53">
    <w:pPr>
      <w:pStyle w:val="Voetteks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6713086"/>
      <w:docPartObj>
        <w:docPartGallery w:val="Page Numbers (Bottom of Page)"/>
        <w:docPartUnique/>
      </w:docPartObj>
    </w:sdtPr>
    <w:sdtContent>
      <w:p w:rsidR="001D6EB9" w:rsidRDefault="001D6EB9">
        <w:pPr>
          <w:pStyle w:val="Voettekst"/>
          <w:jc w:val="center"/>
        </w:pPr>
        <w:fldSimple w:instr=" PAGE   \* MERGEFORMAT ">
          <w:r w:rsidR="00E3163F">
            <w:rPr>
              <w:noProof/>
            </w:rPr>
            <w:t>1</w:t>
          </w:r>
        </w:fldSimple>
      </w:p>
    </w:sdtContent>
  </w:sdt>
  <w:p w:rsidR="001D6EB9" w:rsidRDefault="001D6EB9" w:rsidP="00A11D53">
    <w:pPr>
      <w:pStyle w:val="Voettekst"/>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1489" w:rsidRDefault="00911489">
      <w:r>
        <w:separator/>
      </w:r>
    </w:p>
  </w:footnote>
  <w:footnote w:type="continuationSeparator" w:id="1">
    <w:p w:rsidR="00911489" w:rsidRDefault="00911489">
      <w:r>
        <w:continuationSeparator/>
      </w:r>
    </w:p>
  </w:footnote>
  <w:footnote w:id="2">
    <w:p w:rsidR="001D6EB9" w:rsidRDefault="001D6EB9">
      <w:pPr>
        <w:pStyle w:val="Voetnoottekst"/>
      </w:pPr>
      <w:r>
        <w:rPr>
          <w:rStyle w:val="Voetnootmarkering"/>
        </w:rPr>
        <w:footnoteRef/>
      </w:r>
      <w:r>
        <w:t xml:space="preserve"> </w:t>
      </w:r>
      <w:r w:rsidRPr="00DA3D17">
        <w:rPr>
          <w:lang w:val="en-US"/>
        </w:rPr>
        <w:t xml:space="preserve">For rejecting outliers </w:t>
      </w:r>
      <w:r>
        <w:rPr>
          <w:lang w:val="en-US"/>
        </w:rPr>
        <w:t xml:space="preserve">the </w:t>
      </w:r>
      <w:r w:rsidRPr="00DA3D17">
        <w:rPr>
          <w:lang w:val="en-US"/>
        </w:rPr>
        <w:t>method for the full sample period is used</w:t>
      </w:r>
      <w:r>
        <w:rPr>
          <w:lang w:val="en-US"/>
        </w:rPr>
        <w:t xml:space="preserve"> for all sample periods.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6EB9" w:rsidRDefault="001D6EB9">
    <w:pPr>
      <w:pStyle w:val="Koptekst"/>
    </w:pPr>
    <w:r w:rsidRPr="00542395">
      <w:rPr>
        <w:noProof/>
        <w:lang w:val="en-US" w:eastAsia="en-US" w:bidi="ar-SA"/>
      </w:rPr>
      <w:pict>
        <v:shapetype id="_x0000_t32" coordsize="21600,21600" o:spt="32" o:oned="t" path="m,l21600,21600e" filled="f">
          <v:path arrowok="t" fillok="f" o:connecttype="none"/>
          <o:lock v:ext="edit" shapetype="t"/>
        </v:shapetype>
        <v:shape id="_x0000_s2049" type="#_x0000_t32" style="position:absolute;margin-left:.4pt;margin-top:19.35pt;width:444pt;height:0;z-index:251658240" o:connectortype="straight"/>
      </w:pict>
    </w:r>
    <w:r>
      <w:rPr>
        <w:noProof/>
        <w:lang w:val="nl-NL" w:eastAsia="nl-NL" w:bidi="ar-SA"/>
      </w:rPr>
      <w:drawing>
        <wp:anchor distT="0" distB="0" distL="114300" distR="114300" simplePos="0" relativeHeight="251657216" behindDoc="1" locked="0" layoutInCell="1" allowOverlap="1">
          <wp:simplePos x="0" y="0"/>
          <wp:positionH relativeFrom="column">
            <wp:posOffset>4157980</wp:posOffset>
          </wp:positionH>
          <wp:positionV relativeFrom="paragraph">
            <wp:posOffset>-354330</wp:posOffset>
          </wp:positionV>
          <wp:extent cx="1590675" cy="704850"/>
          <wp:effectExtent l="19050" t="0" r="9525" b="0"/>
          <wp:wrapNone/>
          <wp:docPr id="2" name="Afbeelding 0" descr="eur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0" descr="eur_logo.png"/>
                  <pic:cNvPicPr>
                    <a:picLocks noChangeAspect="1" noChangeArrowheads="1"/>
                  </pic:cNvPicPr>
                </pic:nvPicPr>
                <pic:blipFill>
                  <a:blip r:embed="rId1"/>
                  <a:srcRect/>
                  <a:stretch>
                    <a:fillRect/>
                  </a:stretch>
                </pic:blipFill>
                <pic:spPr bwMode="auto">
                  <a:xfrm>
                    <a:off x="0" y="0"/>
                    <a:ext cx="1590675" cy="704850"/>
                  </a:xfrm>
                  <a:prstGeom prst="rect">
                    <a:avLst/>
                  </a:prstGeom>
                  <a:noFill/>
                </pic:spPr>
              </pic:pic>
            </a:graphicData>
          </a:graphic>
        </wp:anchor>
      </w:drawing>
    </w:r>
    <w:r>
      <w:t xml:space="preserve">El Allali T. (2010) Master thesis Accounting Conservatism </w:t>
    </w:r>
  </w:p>
  <w:p w:rsidR="001D6EB9" w:rsidRDefault="001D6EB9">
    <w:pPr>
      <w:pStyle w:val="Kopteks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72A31"/>
    <w:multiLevelType w:val="hybridMultilevel"/>
    <w:tmpl w:val="A8A41654"/>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B7F4659"/>
    <w:multiLevelType w:val="hybridMultilevel"/>
    <w:tmpl w:val="FCE6A716"/>
    <w:lvl w:ilvl="0" w:tplc="04090009">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DFC4198"/>
    <w:multiLevelType w:val="multilevel"/>
    <w:tmpl w:val="7C5A2CBA"/>
    <w:lvl w:ilvl="0">
      <w:start w:val="1"/>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
    <w:nsid w:val="10040976"/>
    <w:multiLevelType w:val="multilevel"/>
    <w:tmpl w:val="495E254A"/>
    <w:lvl w:ilvl="0">
      <w:start w:val="1"/>
      <w:numFmt w:val="decimal"/>
      <w:lvlText w:val="%1"/>
      <w:lvlJc w:val="left"/>
      <w:pPr>
        <w:ind w:left="360" w:hanging="360"/>
      </w:pPr>
      <w:rPr>
        <w:rFonts w:cs="Times New Roman" w:hint="default"/>
      </w:rPr>
    </w:lvl>
    <w:lvl w:ilvl="1">
      <w:start w:val="7"/>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
    <w:nsid w:val="119E064F"/>
    <w:multiLevelType w:val="multilevel"/>
    <w:tmpl w:val="692AE22C"/>
    <w:lvl w:ilvl="0">
      <w:start w:val="4"/>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nsid w:val="149D7E82"/>
    <w:multiLevelType w:val="hybridMultilevel"/>
    <w:tmpl w:val="2C0AF17A"/>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1CA50DCB"/>
    <w:multiLevelType w:val="multilevel"/>
    <w:tmpl w:val="58EE13A2"/>
    <w:lvl w:ilvl="0">
      <w:start w:val="4"/>
      <w:numFmt w:val="decimal"/>
      <w:lvlText w:val="%1"/>
      <w:lvlJc w:val="left"/>
      <w:pPr>
        <w:tabs>
          <w:tab w:val="num" w:pos="555"/>
        </w:tabs>
        <w:ind w:left="555" w:hanging="555"/>
      </w:pPr>
      <w:rPr>
        <w:rFonts w:cs="Times New Roman" w:hint="default"/>
      </w:rPr>
    </w:lvl>
    <w:lvl w:ilvl="1">
      <w:start w:val="2"/>
      <w:numFmt w:val="decimal"/>
      <w:lvlText w:val="%1.%2"/>
      <w:lvlJc w:val="left"/>
      <w:pPr>
        <w:tabs>
          <w:tab w:val="num" w:pos="555"/>
        </w:tabs>
        <w:ind w:left="555" w:hanging="555"/>
      </w:pPr>
      <w:rPr>
        <w:rFonts w:ascii="Times New Roman" w:hAnsi="Times New Roman" w:cs="Times New Roman" w:hint="default"/>
        <w:b/>
        <w:bCs/>
        <w:i w:val="0"/>
        <w:iCs w:val="0"/>
        <w:sz w:val="24"/>
        <w:szCs w:val="24"/>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nsid w:val="26A30116"/>
    <w:multiLevelType w:val="multilevel"/>
    <w:tmpl w:val="8D265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3D471D"/>
    <w:multiLevelType w:val="multilevel"/>
    <w:tmpl w:val="D43C9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297CEB"/>
    <w:multiLevelType w:val="hybridMultilevel"/>
    <w:tmpl w:val="0A64167E"/>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F5C1EDF"/>
    <w:multiLevelType w:val="multilevel"/>
    <w:tmpl w:val="2544F6AE"/>
    <w:lvl w:ilvl="0">
      <w:start w:val="2"/>
      <w:numFmt w:val="decimal"/>
      <w:lvlText w:val="%1"/>
      <w:lvlJc w:val="left"/>
      <w:pPr>
        <w:ind w:left="360" w:hanging="360"/>
      </w:pPr>
      <w:rPr>
        <w:rFonts w:cs="Times New Roman" w:hint="default"/>
        <w:b w:val="0"/>
      </w:rPr>
    </w:lvl>
    <w:lvl w:ilvl="1">
      <w:start w:val="2"/>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11">
    <w:nsid w:val="31A714FA"/>
    <w:multiLevelType w:val="hybridMultilevel"/>
    <w:tmpl w:val="107CA746"/>
    <w:lvl w:ilvl="0" w:tplc="B84E0920">
      <w:start w:val="1"/>
      <w:numFmt w:val="bullet"/>
      <w:lvlText w:val=""/>
      <w:lvlJc w:val="left"/>
      <w:pPr>
        <w:ind w:left="720" w:hanging="360"/>
      </w:pPr>
      <w:rPr>
        <w:rFonts w:ascii="Wingdings" w:hAnsi="Wingdings" w:hint="default"/>
        <w:sz w:val="24"/>
      </w:rPr>
    </w:lvl>
    <w:lvl w:ilvl="1" w:tplc="04090009">
      <w:start w:val="1"/>
      <w:numFmt w:val="bullet"/>
      <w:lvlText w:val=""/>
      <w:lvlJc w:val="left"/>
      <w:pPr>
        <w:tabs>
          <w:tab w:val="num" w:pos="1440"/>
        </w:tabs>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81835D7"/>
    <w:multiLevelType w:val="hybridMultilevel"/>
    <w:tmpl w:val="5B7059FA"/>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A5176AE"/>
    <w:multiLevelType w:val="hybridMultilevel"/>
    <w:tmpl w:val="87E4B6C6"/>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F085AFB"/>
    <w:multiLevelType w:val="hybridMultilevel"/>
    <w:tmpl w:val="431C0B52"/>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5">
    <w:nsid w:val="428F19D4"/>
    <w:multiLevelType w:val="multilevel"/>
    <w:tmpl w:val="02804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7531081"/>
    <w:multiLevelType w:val="multilevel"/>
    <w:tmpl w:val="8C96E0A6"/>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7">
    <w:nsid w:val="4A5F6C54"/>
    <w:multiLevelType w:val="hybridMultilevel"/>
    <w:tmpl w:val="19D0BA2E"/>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4FC21708"/>
    <w:multiLevelType w:val="hybridMultilevel"/>
    <w:tmpl w:val="9AE4ABCE"/>
    <w:lvl w:ilvl="0" w:tplc="04130009">
      <w:start w:val="1"/>
      <w:numFmt w:val="bullet"/>
      <w:lvlText w:val=""/>
      <w:lvlJc w:val="left"/>
      <w:pPr>
        <w:ind w:left="1637" w:hanging="360"/>
      </w:pPr>
      <w:rPr>
        <w:rFonts w:ascii="Wingdings" w:hAnsi="Wingdings"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9">
    <w:nsid w:val="5000511E"/>
    <w:multiLevelType w:val="hybridMultilevel"/>
    <w:tmpl w:val="06B6BB92"/>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531D3CF3"/>
    <w:multiLevelType w:val="hybridMultilevel"/>
    <w:tmpl w:val="79C6171E"/>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55E31B75"/>
    <w:multiLevelType w:val="multilevel"/>
    <w:tmpl w:val="26F4A376"/>
    <w:lvl w:ilvl="0">
      <w:start w:val="2"/>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480"/>
        </w:tabs>
        <w:ind w:left="480" w:hanging="480"/>
      </w:pPr>
      <w:rPr>
        <w:rFonts w:cs="Times New Roman" w:hint="default"/>
      </w:rPr>
    </w:lvl>
    <w:lvl w:ilvl="2">
      <w:start w:val="9"/>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2">
    <w:nsid w:val="576043DC"/>
    <w:multiLevelType w:val="hybridMultilevel"/>
    <w:tmpl w:val="0E063D28"/>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5FFC1725"/>
    <w:multiLevelType w:val="hybridMultilevel"/>
    <w:tmpl w:val="8DEAF57C"/>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62517895"/>
    <w:multiLevelType w:val="multilevel"/>
    <w:tmpl w:val="8452D8AA"/>
    <w:lvl w:ilvl="0">
      <w:start w:val="1"/>
      <w:numFmt w:val="decimal"/>
      <w:lvlText w:val="%1"/>
      <w:lvlJc w:val="left"/>
      <w:pPr>
        <w:ind w:left="360" w:hanging="360"/>
      </w:pPr>
      <w:rPr>
        <w:rFonts w:cs="Times New Roman" w:hint="default"/>
      </w:rPr>
    </w:lvl>
    <w:lvl w:ilvl="1">
      <w:start w:val="1"/>
      <w:numFmt w:val="decimal"/>
      <w:pStyle w:val="Style1"/>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nsid w:val="635907F4"/>
    <w:multiLevelType w:val="multilevel"/>
    <w:tmpl w:val="A800A1D4"/>
    <w:lvl w:ilvl="0">
      <w:start w:val="4"/>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480"/>
        </w:tabs>
        <w:ind w:left="480" w:hanging="480"/>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6">
    <w:nsid w:val="654C591A"/>
    <w:multiLevelType w:val="multilevel"/>
    <w:tmpl w:val="E796E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86A7EF0"/>
    <w:multiLevelType w:val="hybridMultilevel"/>
    <w:tmpl w:val="16FC2236"/>
    <w:lvl w:ilvl="0" w:tplc="04130009">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68FE2A8A"/>
    <w:multiLevelType w:val="multilevel"/>
    <w:tmpl w:val="8912EA32"/>
    <w:lvl w:ilvl="0">
      <w:start w:val="1"/>
      <w:numFmt w:val="decimal"/>
      <w:lvlText w:val="%1"/>
      <w:lvlJc w:val="left"/>
      <w:pPr>
        <w:ind w:left="360" w:hanging="360"/>
      </w:pPr>
      <w:rPr>
        <w:rFonts w:cs="Times New Roman" w:hint="default"/>
      </w:rPr>
    </w:lvl>
    <w:lvl w:ilvl="1">
      <w:start w:val="5"/>
      <w:numFmt w:val="decimal"/>
      <w:lvlText w:val="%1.%2"/>
      <w:lvlJc w:val="left"/>
      <w:pPr>
        <w:ind w:left="360" w:hanging="360"/>
      </w:pPr>
      <w:rPr>
        <w:rFonts w:ascii="Times New Roman" w:hAnsi="Times New Roman"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9">
    <w:nsid w:val="69925936"/>
    <w:multiLevelType w:val="multilevel"/>
    <w:tmpl w:val="D6E227A8"/>
    <w:lvl w:ilvl="0">
      <w:start w:val="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0">
    <w:nsid w:val="6D551EAB"/>
    <w:multiLevelType w:val="hybridMultilevel"/>
    <w:tmpl w:val="579C6C66"/>
    <w:lvl w:ilvl="0" w:tplc="04090009">
      <w:start w:val="1"/>
      <w:numFmt w:val="bullet"/>
      <w:lvlText w:val=""/>
      <w:lvlJc w:val="left"/>
      <w:pPr>
        <w:tabs>
          <w:tab w:val="num" w:pos="1060"/>
        </w:tabs>
        <w:ind w:left="1060" w:hanging="360"/>
      </w:pPr>
      <w:rPr>
        <w:rFonts w:ascii="Wingdings" w:hAnsi="Wingdings" w:hint="default"/>
      </w:rPr>
    </w:lvl>
    <w:lvl w:ilvl="1" w:tplc="04090003" w:tentative="1">
      <w:start w:val="1"/>
      <w:numFmt w:val="bullet"/>
      <w:lvlText w:val="o"/>
      <w:lvlJc w:val="left"/>
      <w:pPr>
        <w:tabs>
          <w:tab w:val="num" w:pos="1780"/>
        </w:tabs>
        <w:ind w:left="1780" w:hanging="360"/>
      </w:pPr>
      <w:rPr>
        <w:rFonts w:ascii="Courier New" w:hAnsi="Courier New" w:hint="default"/>
      </w:rPr>
    </w:lvl>
    <w:lvl w:ilvl="2" w:tplc="04090005" w:tentative="1">
      <w:start w:val="1"/>
      <w:numFmt w:val="bullet"/>
      <w:lvlText w:val=""/>
      <w:lvlJc w:val="left"/>
      <w:pPr>
        <w:tabs>
          <w:tab w:val="num" w:pos="2500"/>
        </w:tabs>
        <w:ind w:left="2500" w:hanging="360"/>
      </w:pPr>
      <w:rPr>
        <w:rFonts w:ascii="Wingdings" w:hAnsi="Wingdings" w:hint="default"/>
      </w:rPr>
    </w:lvl>
    <w:lvl w:ilvl="3" w:tplc="04090001" w:tentative="1">
      <w:start w:val="1"/>
      <w:numFmt w:val="bullet"/>
      <w:lvlText w:val=""/>
      <w:lvlJc w:val="left"/>
      <w:pPr>
        <w:tabs>
          <w:tab w:val="num" w:pos="3220"/>
        </w:tabs>
        <w:ind w:left="3220" w:hanging="360"/>
      </w:pPr>
      <w:rPr>
        <w:rFonts w:ascii="Symbol" w:hAnsi="Symbol" w:hint="default"/>
      </w:rPr>
    </w:lvl>
    <w:lvl w:ilvl="4" w:tplc="04090003" w:tentative="1">
      <w:start w:val="1"/>
      <w:numFmt w:val="bullet"/>
      <w:lvlText w:val="o"/>
      <w:lvlJc w:val="left"/>
      <w:pPr>
        <w:tabs>
          <w:tab w:val="num" w:pos="3940"/>
        </w:tabs>
        <w:ind w:left="3940" w:hanging="360"/>
      </w:pPr>
      <w:rPr>
        <w:rFonts w:ascii="Courier New" w:hAnsi="Courier New" w:hint="default"/>
      </w:rPr>
    </w:lvl>
    <w:lvl w:ilvl="5" w:tplc="04090005" w:tentative="1">
      <w:start w:val="1"/>
      <w:numFmt w:val="bullet"/>
      <w:lvlText w:val=""/>
      <w:lvlJc w:val="left"/>
      <w:pPr>
        <w:tabs>
          <w:tab w:val="num" w:pos="4660"/>
        </w:tabs>
        <w:ind w:left="4660" w:hanging="360"/>
      </w:pPr>
      <w:rPr>
        <w:rFonts w:ascii="Wingdings" w:hAnsi="Wingdings" w:hint="default"/>
      </w:rPr>
    </w:lvl>
    <w:lvl w:ilvl="6" w:tplc="04090001" w:tentative="1">
      <w:start w:val="1"/>
      <w:numFmt w:val="bullet"/>
      <w:lvlText w:val=""/>
      <w:lvlJc w:val="left"/>
      <w:pPr>
        <w:tabs>
          <w:tab w:val="num" w:pos="5380"/>
        </w:tabs>
        <w:ind w:left="5380" w:hanging="360"/>
      </w:pPr>
      <w:rPr>
        <w:rFonts w:ascii="Symbol" w:hAnsi="Symbol" w:hint="default"/>
      </w:rPr>
    </w:lvl>
    <w:lvl w:ilvl="7" w:tplc="04090003" w:tentative="1">
      <w:start w:val="1"/>
      <w:numFmt w:val="bullet"/>
      <w:lvlText w:val="o"/>
      <w:lvlJc w:val="left"/>
      <w:pPr>
        <w:tabs>
          <w:tab w:val="num" w:pos="6100"/>
        </w:tabs>
        <w:ind w:left="6100" w:hanging="360"/>
      </w:pPr>
      <w:rPr>
        <w:rFonts w:ascii="Courier New" w:hAnsi="Courier New" w:hint="default"/>
      </w:rPr>
    </w:lvl>
    <w:lvl w:ilvl="8" w:tplc="04090005" w:tentative="1">
      <w:start w:val="1"/>
      <w:numFmt w:val="bullet"/>
      <w:lvlText w:val=""/>
      <w:lvlJc w:val="left"/>
      <w:pPr>
        <w:tabs>
          <w:tab w:val="num" w:pos="6820"/>
        </w:tabs>
        <w:ind w:left="6820" w:hanging="360"/>
      </w:pPr>
      <w:rPr>
        <w:rFonts w:ascii="Wingdings" w:hAnsi="Wingdings" w:hint="default"/>
      </w:rPr>
    </w:lvl>
  </w:abstractNum>
  <w:abstractNum w:abstractNumId="31">
    <w:nsid w:val="6EE64B6B"/>
    <w:multiLevelType w:val="multilevel"/>
    <w:tmpl w:val="17743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FE613A5"/>
    <w:multiLevelType w:val="multilevel"/>
    <w:tmpl w:val="B0309274"/>
    <w:lvl w:ilvl="0">
      <w:start w:val="4"/>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480"/>
        </w:tabs>
        <w:ind w:left="480" w:hanging="480"/>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3">
    <w:nsid w:val="769A3FA9"/>
    <w:multiLevelType w:val="multilevel"/>
    <w:tmpl w:val="D564EEE8"/>
    <w:lvl w:ilvl="0">
      <w:start w:val="4"/>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480"/>
        </w:tabs>
        <w:ind w:left="480" w:hanging="480"/>
      </w:pPr>
      <w:rPr>
        <w:rFonts w:cs="Times New Roman" w:hint="default"/>
      </w:rPr>
    </w:lvl>
    <w:lvl w:ilvl="2">
      <w:start w:val="3"/>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4">
    <w:nsid w:val="7CAE6DB3"/>
    <w:multiLevelType w:val="multilevel"/>
    <w:tmpl w:val="E6CE0C46"/>
    <w:lvl w:ilvl="0">
      <w:start w:val="1"/>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360"/>
        </w:tabs>
        <w:ind w:left="360" w:hanging="360"/>
      </w:pPr>
      <w:rPr>
        <w:rFonts w:cs="Times New Roman" w:hint="default"/>
        <w:b/>
      </w:rPr>
    </w:lvl>
    <w:lvl w:ilvl="2">
      <w:start w:val="1"/>
      <w:numFmt w:val="decimal"/>
      <w:lvlText w:val="%1.%2.%3"/>
      <w:lvlJc w:val="left"/>
      <w:pPr>
        <w:tabs>
          <w:tab w:val="num" w:pos="720"/>
        </w:tabs>
        <w:ind w:left="720" w:hanging="720"/>
      </w:pPr>
      <w:rPr>
        <w:rFonts w:cs="Times New Roman" w:hint="default"/>
        <w:b w:val="0"/>
      </w:rPr>
    </w:lvl>
    <w:lvl w:ilvl="3">
      <w:start w:val="1"/>
      <w:numFmt w:val="decimal"/>
      <w:lvlText w:val="%1.%2.%3.%4"/>
      <w:lvlJc w:val="left"/>
      <w:pPr>
        <w:tabs>
          <w:tab w:val="num" w:pos="720"/>
        </w:tabs>
        <w:ind w:left="720" w:hanging="720"/>
      </w:pPr>
      <w:rPr>
        <w:rFonts w:cs="Times New Roman" w:hint="default"/>
        <w:b w:val="0"/>
      </w:rPr>
    </w:lvl>
    <w:lvl w:ilvl="4">
      <w:start w:val="1"/>
      <w:numFmt w:val="decimal"/>
      <w:lvlText w:val="%1.%2.%3.%4.%5"/>
      <w:lvlJc w:val="left"/>
      <w:pPr>
        <w:tabs>
          <w:tab w:val="num" w:pos="1080"/>
        </w:tabs>
        <w:ind w:left="1080" w:hanging="1080"/>
      </w:pPr>
      <w:rPr>
        <w:rFonts w:cs="Times New Roman" w:hint="default"/>
        <w:b w:val="0"/>
      </w:rPr>
    </w:lvl>
    <w:lvl w:ilvl="5">
      <w:start w:val="1"/>
      <w:numFmt w:val="decimal"/>
      <w:lvlText w:val="%1.%2.%3.%4.%5.%6"/>
      <w:lvlJc w:val="left"/>
      <w:pPr>
        <w:tabs>
          <w:tab w:val="num" w:pos="1080"/>
        </w:tabs>
        <w:ind w:left="1080" w:hanging="1080"/>
      </w:pPr>
      <w:rPr>
        <w:rFonts w:cs="Times New Roman" w:hint="default"/>
        <w:b w:val="0"/>
      </w:rPr>
    </w:lvl>
    <w:lvl w:ilvl="6">
      <w:start w:val="1"/>
      <w:numFmt w:val="decimal"/>
      <w:lvlText w:val="%1.%2.%3.%4.%5.%6.%7"/>
      <w:lvlJc w:val="left"/>
      <w:pPr>
        <w:tabs>
          <w:tab w:val="num" w:pos="1440"/>
        </w:tabs>
        <w:ind w:left="1440" w:hanging="1440"/>
      </w:pPr>
      <w:rPr>
        <w:rFonts w:cs="Times New Roman" w:hint="default"/>
        <w:b w:val="0"/>
      </w:rPr>
    </w:lvl>
    <w:lvl w:ilvl="7">
      <w:start w:val="1"/>
      <w:numFmt w:val="decimal"/>
      <w:lvlText w:val="%1.%2.%3.%4.%5.%6.%7.%8"/>
      <w:lvlJc w:val="left"/>
      <w:pPr>
        <w:tabs>
          <w:tab w:val="num" w:pos="1440"/>
        </w:tabs>
        <w:ind w:left="1440" w:hanging="1440"/>
      </w:pPr>
      <w:rPr>
        <w:rFonts w:cs="Times New Roman" w:hint="default"/>
        <w:b w:val="0"/>
      </w:rPr>
    </w:lvl>
    <w:lvl w:ilvl="8">
      <w:start w:val="1"/>
      <w:numFmt w:val="decimal"/>
      <w:lvlText w:val="%1.%2.%3.%4.%5.%6.%7.%8.%9"/>
      <w:lvlJc w:val="left"/>
      <w:pPr>
        <w:tabs>
          <w:tab w:val="num" w:pos="1800"/>
        </w:tabs>
        <w:ind w:left="1800" w:hanging="1800"/>
      </w:pPr>
      <w:rPr>
        <w:rFonts w:cs="Times New Roman" w:hint="default"/>
        <w:b w:val="0"/>
      </w:rPr>
    </w:lvl>
  </w:abstractNum>
  <w:abstractNum w:abstractNumId="35">
    <w:nsid w:val="7FA64901"/>
    <w:multiLevelType w:val="multilevel"/>
    <w:tmpl w:val="FFC02D9E"/>
    <w:lvl w:ilvl="0">
      <w:start w:val="1"/>
      <w:numFmt w:val="decimal"/>
      <w:lvlText w:val="%1"/>
      <w:lvlJc w:val="left"/>
      <w:pPr>
        <w:ind w:left="360" w:hanging="360"/>
      </w:pPr>
      <w:rPr>
        <w:rFonts w:cs="Times New Roman" w:hint="default"/>
      </w:rPr>
    </w:lvl>
    <w:lvl w:ilvl="1">
      <w:start w:val="7"/>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17"/>
  </w:num>
  <w:num w:numId="2">
    <w:abstractNumId w:val="19"/>
  </w:num>
  <w:num w:numId="3">
    <w:abstractNumId w:val="22"/>
  </w:num>
  <w:num w:numId="4">
    <w:abstractNumId w:val="11"/>
  </w:num>
  <w:num w:numId="5">
    <w:abstractNumId w:val="9"/>
  </w:num>
  <w:num w:numId="6">
    <w:abstractNumId w:val="12"/>
  </w:num>
  <w:num w:numId="7">
    <w:abstractNumId w:val="18"/>
  </w:num>
  <w:num w:numId="8">
    <w:abstractNumId w:val="4"/>
  </w:num>
  <w:num w:numId="9">
    <w:abstractNumId w:val="30"/>
  </w:num>
  <w:num w:numId="10">
    <w:abstractNumId w:val="21"/>
  </w:num>
  <w:num w:numId="11">
    <w:abstractNumId w:val="27"/>
  </w:num>
  <w:num w:numId="12">
    <w:abstractNumId w:val="0"/>
  </w:num>
  <w:num w:numId="13">
    <w:abstractNumId w:val="20"/>
  </w:num>
  <w:num w:numId="14">
    <w:abstractNumId w:val="5"/>
  </w:num>
  <w:num w:numId="15">
    <w:abstractNumId w:val="24"/>
  </w:num>
  <w:num w:numId="16">
    <w:abstractNumId w:val="2"/>
  </w:num>
  <w:num w:numId="17">
    <w:abstractNumId w:val="13"/>
  </w:num>
  <w:num w:numId="18">
    <w:abstractNumId w:val="23"/>
  </w:num>
  <w:num w:numId="19">
    <w:abstractNumId w:val="1"/>
  </w:num>
  <w:num w:numId="20">
    <w:abstractNumId w:val="34"/>
  </w:num>
  <w:num w:numId="21">
    <w:abstractNumId w:val="28"/>
  </w:num>
  <w:num w:numId="22">
    <w:abstractNumId w:val="3"/>
  </w:num>
  <w:num w:numId="23">
    <w:abstractNumId w:val="35"/>
  </w:num>
  <w:num w:numId="24">
    <w:abstractNumId w:val="15"/>
  </w:num>
  <w:num w:numId="25">
    <w:abstractNumId w:val="7"/>
  </w:num>
  <w:num w:numId="26">
    <w:abstractNumId w:val="8"/>
  </w:num>
  <w:num w:numId="27">
    <w:abstractNumId w:val="31"/>
  </w:num>
  <w:num w:numId="28">
    <w:abstractNumId w:val="10"/>
  </w:num>
  <w:num w:numId="29">
    <w:abstractNumId w:val="14"/>
  </w:num>
  <w:num w:numId="30">
    <w:abstractNumId w:val="26"/>
  </w:num>
  <w:num w:numId="31">
    <w:abstractNumId w:val="29"/>
  </w:num>
  <w:num w:numId="32">
    <w:abstractNumId w:val="6"/>
  </w:num>
  <w:num w:numId="33">
    <w:abstractNumId w:val="16"/>
  </w:num>
  <w:num w:numId="34">
    <w:abstractNumId w:val="25"/>
  </w:num>
  <w:num w:numId="35">
    <w:abstractNumId w:val="32"/>
  </w:num>
  <w:num w:numId="36">
    <w:abstractNumId w:val="33"/>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hyphenationZone w:val="425"/>
  <w:drawingGridHorizontalSpacing w:val="120"/>
  <w:displayHorizontalDrawingGridEvery w:val="2"/>
  <w:characterSpacingControl w:val="doNotCompress"/>
  <w:hdrShapeDefaults>
    <o:shapedefaults v:ext="edit" spidmax="4098"/>
    <o:shapelayout v:ext="edit">
      <o:idmap v:ext="edit" data="2"/>
      <o:rules v:ext="edit">
        <o:r id="V:Rule2" type="connector" idref="#_x0000_s2049"/>
      </o:rules>
    </o:shapelayout>
  </w:hdrShapeDefaults>
  <w:footnotePr>
    <w:footnote w:id="0"/>
    <w:footnote w:id="1"/>
  </w:footnotePr>
  <w:endnotePr>
    <w:endnote w:id="0"/>
    <w:endnote w:id="1"/>
  </w:endnotePr>
  <w:compat>
    <w:applyBreakingRules/>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75BC4"/>
    <w:rsid w:val="00000032"/>
    <w:rsid w:val="00000CE8"/>
    <w:rsid w:val="0000212C"/>
    <w:rsid w:val="0000393F"/>
    <w:rsid w:val="00003B07"/>
    <w:rsid w:val="00003CDD"/>
    <w:rsid w:val="0000534E"/>
    <w:rsid w:val="000070E9"/>
    <w:rsid w:val="00007204"/>
    <w:rsid w:val="00010928"/>
    <w:rsid w:val="00015CBC"/>
    <w:rsid w:val="00016782"/>
    <w:rsid w:val="00017CF0"/>
    <w:rsid w:val="000209D5"/>
    <w:rsid w:val="00020F9D"/>
    <w:rsid w:val="000211E3"/>
    <w:rsid w:val="000218C7"/>
    <w:rsid w:val="000224F1"/>
    <w:rsid w:val="00024B78"/>
    <w:rsid w:val="00027780"/>
    <w:rsid w:val="00031095"/>
    <w:rsid w:val="0003208E"/>
    <w:rsid w:val="00032DB1"/>
    <w:rsid w:val="000337C5"/>
    <w:rsid w:val="0003388D"/>
    <w:rsid w:val="0003603B"/>
    <w:rsid w:val="0003796F"/>
    <w:rsid w:val="00040C5E"/>
    <w:rsid w:val="0004260B"/>
    <w:rsid w:val="00045F7E"/>
    <w:rsid w:val="00046654"/>
    <w:rsid w:val="0005008B"/>
    <w:rsid w:val="0005095C"/>
    <w:rsid w:val="00050D27"/>
    <w:rsid w:val="00052056"/>
    <w:rsid w:val="00052378"/>
    <w:rsid w:val="00052996"/>
    <w:rsid w:val="00052ECF"/>
    <w:rsid w:val="00053F26"/>
    <w:rsid w:val="000542F3"/>
    <w:rsid w:val="000556C7"/>
    <w:rsid w:val="00055FB4"/>
    <w:rsid w:val="00057505"/>
    <w:rsid w:val="000610D4"/>
    <w:rsid w:val="00064EB0"/>
    <w:rsid w:val="000652AE"/>
    <w:rsid w:val="000668C1"/>
    <w:rsid w:val="0006780B"/>
    <w:rsid w:val="00073A80"/>
    <w:rsid w:val="00080034"/>
    <w:rsid w:val="00080F6B"/>
    <w:rsid w:val="000820A4"/>
    <w:rsid w:val="0008431B"/>
    <w:rsid w:val="00086265"/>
    <w:rsid w:val="00087EEB"/>
    <w:rsid w:val="00087FFA"/>
    <w:rsid w:val="0009104F"/>
    <w:rsid w:val="00091300"/>
    <w:rsid w:val="00093760"/>
    <w:rsid w:val="000A3307"/>
    <w:rsid w:val="000A3906"/>
    <w:rsid w:val="000A3B24"/>
    <w:rsid w:val="000A3C6C"/>
    <w:rsid w:val="000A42ED"/>
    <w:rsid w:val="000A47EE"/>
    <w:rsid w:val="000A4940"/>
    <w:rsid w:val="000A5D05"/>
    <w:rsid w:val="000A6933"/>
    <w:rsid w:val="000A6E71"/>
    <w:rsid w:val="000A6E82"/>
    <w:rsid w:val="000A7A6E"/>
    <w:rsid w:val="000B09C9"/>
    <w:rsid w:val="000B0E86"/>
    <w:rsid w:val="000B0EB5"/>
    <w:rsid w:val="000B1258"/>
    <w:rsid w:val="000B353B"/>
    <w:rsid w:val="000B526F"/>
    <w:rsid w:val="000B5997"/>
    <w:rsid w:val="000B6106"/>
    <w:rsid w:val="000B653C"/>
    <w:rsid w:val="000B7E3F"/>
    <w:rsid w:val="000C264D"/>
    <w:rsid w:val="000C31D8"/>
    <w:rsid w:val="000C3B14"/>
    <w:rsid w:val="000C3EE2"/>
    <w:rsid w:val="000C62C6"/>
    <w:rsid w:val="000C63E1"/>
    <w:rsid w:val="000D041E"/>
    <w:rsid w:val="000D1A6F"/>
    <w:rsid w:val="000D397E"/>
    <w:rsid w:val="000D4BD5"/>
    <w:rsid w:val="000D710D"/>
    <w:rsid w:val="000D72FE"/>
    <w:rsid w:val="000D7E12"/>
    <w:rsid w:val="000D7F71"/>
    <w:rsid w:val="000E3EF7"/>
    <w:rsid w:val="000E4EDD"/>
    <w:rsid w:val="000E51C2"/>
    <w:rsid w:val="000E53A1"/>
    <w:rsid w:val="000E5604"/>
    <w:rsid w:val="000E6A95"/>
    <w:rsid w:val="000F1238"/>
    <w:rsid w:val="000F26AD"/>
    <w:rsid w:val="000F3103"/>
    <w:rsid w:val="000F3707"/>
    <w:rsid w:val="000F4E72"/>
    <w:rsid w:val="000F66D0"/>
    <w:rsid w:val="000F74F3"/>
    <w:rsid w:val="000F774E"/>
    <w:rsid w:val="000F7A02"/>
    <w:rsid w:val="00101371"/>
    <w:rsid w:val="00101481"/>
    <w:rsid w:val="00102574"/>
    <w:rsid w:val="001043A2"/>
    <w:rsid w:val="001049DA"/>
    <w:rsid w:val="00105725"/>
    <w:rsid w:val="001070B8"/>
    <w:rsid w:val="0010775F"/>
    <w:rsid w:val="00107CAC"/>
    <w:rsid w:val="00112342"/>
    <w:rsid w:val="0011428D"/>
    <w:rsid w:val="0011491C"/>
    <w:rsid w:val="00114D26"/>
    <w:rsid w:val="00115486"/>
    <w:rsid w:val="00115650"/>
    <w:rsid w:val="00116B42"/>
    <w:rsid w:val="00120A7B"/>
    <w:rsid w:val="00121085"/>
    <w:rsid w:val="001223B0"/>
    <w:rsid w:val="00124598"/>
    <w:rsid w:val="00124707"/>
    <w:rsid w:val="0012492A"/>
    <w:rsid w:val="001251E9"/>
    <w:rsid w:val="001257D8"/>
    <w:rsid w:val="0012724F"/>
    <w:rsid w:val="00130748"/>
    <w:rsid w:val="00130B4A"/>
    <w:rsid w:val="00130B9E"/>
    <w:rsid w:val="00130DEB"/>
    <w:rsid w:val="00131F7E"/>
    <w:rsid w:val="00140CA0"/>
    <w:rsid w:val="0014161B"/>
    <w:rsid w:val="00141796"/>
    <w:rsid w:val="00142476"/>
    <w:rsid w:val="001435A4"/>
    <w:rsid w:val="001437DA"/>
    <w:rsid w:val="001441D6"/>
    <w:rsid w:val="00144AC0"/>
    <w:rsid w:val="00145BFE"/>
    <w:rsid w:val="00145D80"/>
    <w:rsid w:val="00146AF1"/>
    <w:rsid w:val="00147091"/>
    <w:rsid w:val="00150819"/>
    <w:rsid w:val="00150A0D"/>
    <w:rsid w:val="0015308A"/>
    <w:rsid w:val="001564DF"/>
    <w:rsid w:val="00156746"/>
    <w:rsid w:val="00162A73"/>
    <w:rsid w:val="00164493"/>
    <w:rsid w:val="0016480D"/>
    <w:rsid w:val="00165A89"/>
    <w:rsid w:val="00165E2D"/>
    <w:rsid w:val="00165E3C"/>
    <w:rsid w:val="00166187"/>
    <w:rsid w:val="001664B6"/>
    <w:rsid w:val="001672E9"/>
    <w:rsid w:val="00170D0A"/>
    <w:rsid w:val="001728EE"/>
    <w:rsid w:val="0017379D"/>
    <w:rsid w:val="00173CAF"/>
    <w:rsid w:val="00174059"/>
    <w:rsid w:val="00174AED"/>
    <w:rsid w:val="00176184"/>
    <w:rsid w:val="00177B14"/>
    <w:rsid w:val="00177CB9"/>
    <w:rsid w:val="0018072A"/>
    <w:rsid w:val="001809E5"/>
    <w:rsid w:val="00181105"/>
    <w:rsid w:val="00184D6C"/>
    <w:rsid w:val="001862E7"/>
    <w:rsid w:val="0018674C"/>
    <w:rsid w:val="00187F1B"/>
    <w:rsid w:val="00190029"/>
    <w:rsid w:val="0019072C"/>
    <w:rsid w:val="00190E2A"/>
    <w:rsid w:val="0019210A"/>
    <w:rsid w:val="001933FB"/>
    <w:rsid w:val="001936B7"/>
    <w:rsid w:val="00193FDE"/>
    <w:rsid w:val="00194D02"/>
    <w:rsid w:val="00195004"/>
    <w:rsid w:val="00195135"/>
    <w:rsid w:val="001969BC"/>
    <w:rsid w:val="00196A9D"/>
    <w:rsid w:val="001A1D6F"/>
    <w:rsid w:val="001A1DC4"/>
    <w:rsid w:val="001A2371"/>
    <w:rsid w:val="001A28A9"/>
    <w:rsid w:val="001A2E67"/>
    <w:rsid w:val="001A4C58"/>
    <w:rsid w:val="001A5065"/>
    <w:rsid w:val="001B1B12"/>
    <w:rsid w:val="001B1EF2"/>
    <w:rsid w:val="001B2B76"/>
    <w:rsid w:val="001B379E"/>
    <w:rsid w:val="001B3BEA"/>
    <w:rsid w:val="001B6684"/>
    <w:rsid w:val="001B69A3"/>
    <w:rsid w:val="001B7B76"/>
    <w:rsid w:val="001C0CC0"/>
    <w:rsid w:val="001C25BB"/>
    <w:rsid w:val="001C76F0"/>
    <w:rsid w:val="001D1889"/>
    <w:rsid w:val="001D1D9A"/>
    <w:rsid w:val="001D21E8"/>
    <w:rsid w:val="001D347F"/>
    <w:rsid w:val="001D358B"/>
    <w:rsid w:val="001D58FF"/>
    <w:rsid w:val="001D6448"/>
    <w:rsid w:val="001D6EB9"/>
    <w:rsid w:val="001E2CF4"/>
    <w:rsid w:val="001E34B3"/>
    <w:rsid w:val="001E4003"/>
    <w:rsid w:val="001E639A"/>
    <w:rsid w:val="001E6773"/>
    <w:rsid w:val="001E7346"/>
    <w:rsid w:val="001E78D5"/>
    <w:rsid w:val="001E7C1B"/>
    <w:rsid w:val="001E7DD2"/>
    <w:rsid w:val="001F1F1F"/>
    <w:rsid w:val="001F214D"/>
    <w:rsid w:val="001F2BC6"/>
    <w:rsid w:val="001F6D7F"/>
    <w:rsid w:val="00200496"/>
    <w:rsid w:val="00200E80"/>
    <w:rsid w:val="002028C0"/>
    <w:rsid w:val="00203B1C"/>
    <w:rsid w:val="00203B26"/>
    <w:rsid w:val="002048A6"/>
    <w:rsid w:val="00205874"/>
    <w:rsid w:val="00205CED"/>
    <w:rsid w:val="00206769"/>
    <w:rsid w:val="00207210"/>
    <w:rsid w:val="002100F4"/>
    <w:rsid w:val="00211981"/>
    <w:rsid w:val="00214274"/>
    <w:rsid w:val="00214B1B"/>
    <w:rsid w:val="00215A47"/>
    <w:rsid w:val="00216CC1"/>
    <w:rsid w:val="00217A20"/>
    <w:rsid w:val="00221B51"/>
    <w:rsid w:val="0022281D"/>
    <w:rsid w:val="00223BB9"/>
    <w:rsid w:val="00223E60"/>
    <w:rsid w:val="00225C16"/>
    <w:rsid w:val="00226344"/>
    <w:rsid w:val="00234E1C"/>
    <w:rsid w:val="00235466"/>
    <w:rsid w:val="00236156"/>
    <w:rsid w:val="002400C4"/>
    <w:rsid w:val="00240B4A"/>
    <w:rsid w:val="00240DAE"/>
    <w:rsid w:val="00241C00"/>
    <w:rsid w:val="00241EB1"/>
    <w:rsid w:val="002431D7"/>
    <w:rsid w:val="002446E2"/>
    <w:rsid w:val="00245E07"/>
    <w:rsid w:val="00245F76"/>
    <w:rsid w:val="00246283"/>
    <w:rsid w:val="00252111"/>
    <w:rsid w:val="0025324B"/>
    <w:rsid w:val="00253AAE"/>
    <w:rsid w:val="002564FC"/>
    <w:rsid w:val="00262719"/>
    <w:rsid w:val="0026368C"/>
    <w:rsid w:val="002650B1"/>
    <w:rsid w:val="002660B7"/>
    <w:rsid w:val="002666F8"/>
    <w:rsid w:val="00267131"/>
    <w:rsid w:val="0026784A"/>
    <w:rsid w:val="0027360B"/>
    <w:rsid w:val="00273D41"/>
    <w:rsid w:val="00276F8C"/>
    <w:rsid w:val="00277278"/>
    <w:rsid w:val="002802DF"/>
    <w:rsid w:val="00280A9D"/>
    <w:rsid w:val="0028225A"/>
    <w:rsid w:val="00282EA5"/>
    <w:rsid w:val="0028333E"/>
    <w:rsid w:val="00284B9C"/>
    <w:rsid w:val="00285763"/>
    <w:rsid w:val="0028748B"/>
    <w:rsid w:val="002878DF"/>
    <w:rsid w:val="0029210F"/>
    <w:rsid w:val="00292122"/>
    <w:rsid w:val="00294BFA"/>
    <w:rsid w:val="002952D7"/>
    <w:rsid w:val="0029581E"/>
    <w:rsid w:val="00296073"/>
    <w:rsid w:val="002971E2"/>
    <w:rsid w:val="002A31D8"/>
    <w:rsid w:val="002A40DB"/>
    <w:rsid w:val="002A455E"/>
    <w:rsid w:val="002A50AA"/>
    <w:rsid w:val="002A5A7F"/>
    <w:rsid w:val="002B03FA"/>
    <w:rsid w:val="002B3FEE"/>
    <w:rsid w:val="002B4244"/>
    <w:rsid w:val="002B4F89"/>
    <w:rsid w:val="002B5967"/>
    <w:rsid w:val="002B5ED9"/>
    <w:rsid w:val="002B61A8"/>
    <w:rsid w:val="002B739B"/>
    <w:rsid w:val="002C3025"/>
    <w:rsid w:val="002C33CA"/>
    <w:rsid w:val="002C4DD9"/>
    <w:rsid w:val="002C5CBC"/>
    <w:rsid w:val="002C6881"/>
    <w:rsid w:val="002C7F62"/>
    <w:rsid w:val="002D007F"/>
    <w:rsid w:val="002D00B6"/>
    <w:rsid w:val="002D0116"/>
    <w:rsid w:val="002D075D"/>
    <w:rsid w:val="002D210E"/>
    <w:rsid w:val="002D26E1"/>
    <w:rsid w:val="002D48F6"/>
    <w:rsid w:val="002D4B71"/>
    <w:rsid w:val="002D7672"/>
    <w:rsid w:val="002E1319"/>
    <w:rsid w:val="002E346B"/>
    <w:rsid w:val="002E3E50"/>
    <w:rsid w:val="002E6A33"/>
    <w:rsid w:val="002E70EC"/>
    <w:rsid w:val="002E742D"/>
    <w:rsid w:val="002F150A"/>
    <w:rsid w:val="002F1A67"/>
    <w:rsid w:val="002F20FC"/>
    <w:rsid w:val="002F3BD6"/>
    <w:rsid w:val="002F4F8B"/>
    <w:rsid w:val="002F6310"/>
    <w:rsid w:val="002F655A"/>
    <w:rsid w:val="002F7EFD"/>
    <w:rsid w:val="00303339"/>
    <w:rsid w:val="00303382"/>
    <w:rsid w:val="003049F9"/>
    <w:rsid w:val="00304C43"/>
    <w:rsid w:val="003072CA"/>
    <w:rsid w:val="00310601"/>
    <w:rsid w:val="00310D29"/>
    <w:rsid w:val="00311C75"/>
    <w:rsid w:val="00312368"/>
    <w:rsid w:val="00312841"/>
    <w:rsid w:val="00315B9C"/>
    <w:rsid w:val="003170DD"/>
    <w:rsid w:val="0031764C"/>
    <w:rsid w:val="0032030C"/>
    <w:rsid w:val="00320B05"/>
    <w:rsid w:val="00324331"/>
    <w:rsid w:val="00324856"/>
    <w:rsid w:val="00324CA3"/>
    <w:rsid w:val="003264A9"/>
    <w:rsid w:val="00326F9E"/>
    <w:rsid w:val="003301DA"/>
    <w:rsid w:val="003304D8"/>
    <w:rsid w:val="0033208E"/>
    <w:rsid w:val="003328B1"/>
    <w:rsid w:val="00332E33"/>
    <w:rsid w:val="003355BB"/>
    <w:rsid w:val="0033588F"/>
    <w:rsid w:val="00335966"/>
    <w:rsid w:val="00336061"/>
    <w:rsid w:val="00337611"/>
    <w:rsid w:val="00337DAB"/>
    <w:rsid w:val="00342312"/>
    <w:rsid w:val="003428B4"/>
    <w:rsid w:val="00342C41"/>
    <w:rsid w:val="00344076"/>
    <w:rsid w:val="003444D3"/>
    <w:rsid w:val="00345084"/>
    <w:rsid w:val="00345A99"/>
    <w:rsid w:val="00346520"/>
    <w:rsid w:val="003468B6"/>
    <w:rsid w:val="0035037F"/>
    <w:rsid w:val="0035070C"/>
    <w:rsid w:val="00350AE2"/>
    <w:rsid w:val="00352245"/>
    <w:rsid w:val="00352CE4"/>
    <w:rsid w:val="00352E14"/>
    <w:rsid w:val="003600F5"/>
    <w:rsid w:val="003602E7"/>
    <w:rsid w:val="003608A6"/>
    <w:rsid w:val="00360F4D"/>
    <w:rsid w:val="00361F4F"/>
    <w:rsid w:val="0036340E"/>
    <w:rsid w:val="00363AC3"/>
    <w:rsid w:val="003651AE"/>
    <w:rsid w:val="00367472"/>
    <w:rsid w:val="003719CE"/>
    <w:rsid w:val="003729A6"/>
    <w:rsid w:val="003758F7"/>
    <w:rsid w:val="00377EB4"/>
    <w:rsid w:val="00380A8F"/>
    <w:rsid w:val="00380D5B"/>
    <w:rsid w:val="0038230A"/>
    <w:rsid w:val="00382818"/>
    <w:rsid w:val="00383549"/>
    <w:rsid w:val="00384780"/>
    <w:rsid w:val="00384FAE"/>
    <w:rsid w:val="003871F8"/>
    <w:rsid w:val="00387441"/>
    <w:rsid w:val="00387443"/>
    <w:rsid w:val="0038764A"/>
    <w:rsid w:val="003878E4"/>
    <w:rsid w:val="0039056F"/>
    <w:rsid w:val="0039178E"/>
    <w:rsid w:val="0039395C"/>
    <w:rsid w:val="00395B78"/>
    <w:rsid w:val="003972FC"/>
    <w:rsid w:val="003A0ED2"/>
    <w:rsid w:val="003A2853"/>
    <w:rsid w:val="003A49CF"/>
    <w:rsid w:val="003A4E76"/>
    <w:rsid w:val="003A534E"/>
    <w:rsid w:val="003A5701"/>
    <w:rsid w:val="003A58D4"/>
    <w:rsid w:val="003A5D8C"/>
    <w:rsid w:val="003B1B56"/>
    <w:rsid w:val="003B22E7"/>
    <w:rsid w:val="003B4088"/>
    <w:rsid w:val="003B4C9D"/>
    <w:rsid w:val="003B4F65"/>
    <w:rsid w:val="003B508A"/>
    <w:rsid w:val="003B5291"/>
    <w:rsid w:val="003B7547"/>
    <w:rsid w:val="003C20EA"/>
    <w:rsid w:val="003C3C40"/>
    <w:rsid w:val="003C3CD2"/>
    <w:rsid w:val="003C3CE6"/>
    <w:rsid w:val="003C4076"/>
    <w:rsid w:val="003C5035"/>
    <w:rsid w:val="003D0771"/>
    <w:rsid w:val="003D0B8C"/>
    <w:rsid w:val="003D365F"/>
    <w:rsid w:val="003D47BF"/>
    <w:rsid w:val="003D496E"/>
    <w:rsid w:val="003D4E03"/>
    <w:rsid w:val="003D64EE"/>
    <w:rsid w:val="003D73B0"/>
    <w:rsid w:val="003E0026"/>
    <w:rsid w:val="003E03A9"/>
    <w:rsid w:val="003E1002"/>
    <w:rsid w:val="003E1D91"/>
    <w:rsid w:val="003E3D9B"/>
    <w:rsid w:val="003E5AD4"/>
    <w:rsid w:val="003E6F4D"/>
    <w:rsid w:val="003E6F68"/>
    <w:rsid w:val="003E72E6"/>
    <w:rsid w:val="003E7595"/>
    <w:rsid w:val="003E7D10"/>
    <w:rsid w:val="003F3B29"/>
    <w:rsid w:val="003F45D3"/>
    <w:rsid w:val="003F4E6D"/>
    <w:rsid w:val="003F65BD"/>
    <w:rsid w:val="003F6E26"/>
    <w:rsid w:val="003F7CCB"/>
    <w:rsid w:val="003F7EEF"/>
    <w:rsid w:val="00403A73"/>
    <w:rsid w:val="00404523"/>
    <w:rsid w:val="00404B84"/>
    <w:rsid w:val="00405355"/>
    <w:rsid w:val="00405BAD"/>
    <w:rsid w:val="004064DB"/>
    <w:rsid w:val="00407F84"/>
    <w:rsid w:val="0041127E"/>
    <w:rsid w:val="00414864"/>
    <w:rsid w:val="00420A6E"/>
    <w:rsid w:val="004231B8"/>
    <w:rsid w:val="0042434C"/>
    <w:rsid w:val="0042583F"/>
    <w:rsid w:val="00426A12"/>
    <w:rsid w:val="00427F84"/>
    <w:rsid w:val="0043000F"/>
    <w:rsid w:val="00430612"/>
    <w:rsid w:val="00431643"/>
    <w:rsid w:val="004326EF"/>
    <w:rsid w:val="00432A5C"/>
    <w:rsid w:val="0043380C"/>
    <w:rsid w:val="00433A06"/>
    <w:rsid w:val="00434616"/>
    <w:rsid w:val="00434C1B"/>
    <w:rsid w:val="00434FDC"/>
    <w:rsid w:val="00435553"/>
    <w:rsid w:val="00440703"/>
    <w:rsid w:val="00441B47"/>
    <w:rsid w:val="0044248F"/>
    <w:rsid w:val="00444262"/>
    <w:rsid w:val="00452CDA"/>
    <w:rsid w:val="00452DF6"/>
    <w:rsid w:val="00454D41"/>
    <w:rsid w:val="00455C87"/>
    <w:rsid w:val="004572D4"/>
    <w:rsid w:val="00460D30"/>
    <w:rsid w:val="00462F92"/>
    <w:rsid w:val="004639B9"/>
    <w:rsid w:val="00464287"/>
    <w:rsid w:val="00467FCF"/>
    <w:rsid w:val="00471019"/>
    <w:rsid w:val="004723E6"/>
    <w:rsid w:val="0047519A"/>
    <w:rsid w:val="00476018"/>
    <w:rsid w:val="00476352"/>
    <w:rsid w:val="00476B44"/>
    <w:rsid w:val="0047752E"/>
    <w:rsid w:val="0047782B"/>
    <w:rsid w:val="00477B8C"/>
    <w:rsid w:val="0048073A"/>
    <w:rsid w:val="00480AA9"/>
    <w:rsid w:val="00481738"/>
    <w:rsid w:val="004840A6"/>
    <w:rsid w:val="0048441E"/>
    <w:rsid w:val="004873AA"/>
    <w:rsid w:val="00490058"/>
    <w:rsid w:val="00490A55"/>
    <w:rsid w:val="00491645"/>
    <w:rsid w:val="004917C8"/>
    <w:rsid w:val="00492EA4"/>
    <w:rsid w:val="00493063"/>
    <w:rsid w:val="00493EC2"/>
    <w:rsid w:val="00494756"/>
    <w:rsid w:val="004A0ACC"/>
    <w:rsid w:val="004A13D4"/>
    <w:rsid w:val="004A1B11"/>
    <w:rsid w:val="004A2074"/>
    <w:rsid w:val="004A2204"/>
    <w:rsid w:val="004A3DE6"/>
    <w:rsid w:val="004A3F7E"/>
    <w:rsid w:val="004A4C33"/>
    <w:rsid w:val="004A4E5C"/>
    <w:rsid w:val="004A6062"/>
    <w:rsid w:val="004A667B"/>
    <w:rsid w:val="004B13F5"/>
    <w:rsid w:val="004B404B"/>
    <w:rsid w:val="004B4228"/>
    <w:rsid w:val="004B6006"/>
    <w:rsid w:val="004B6290"/>
    <w:rsid w:val="004B643C"/>
    <w:rsid w:val="004B6546"/>
    <w:rsid w:val="004B6634"/>
    <w:rsid w:val="004C1BC8"/>
    <w:rsid w:val="004C209A"/>
    <w:rsid w:val="004C267B"/>
    <w:rsid w:val="004C2F1B"/>
    <w:rsid w:val="004C5D8F"/>
    <w:rsid w:val="004C5F25"/>
    <w:rsid w:val="004D0C1C"/>
    <w:rsid w:val="004D1490"/>
    <w:rsid w:val="004D22F8"/>
    <w:rsid w:val="004D35CD"/>
    <w:rsid w:val="004D4609"/>
    <w:rsid w:val="004D7FBE"/>
    <w:rsid w:val="004E3517"/>
    <w:rsid w:val="004E4454"/>
    <w:rsid w:val="004E48A7"/>
    <w:rsid w:val="004E63DB"/>
    <w:rsid w:val="004E6C57"/>
    <w:rsid w:val="004E7E1E"/>
    <w:rsid w:val="004F04A1"/>
    <w:rsid w:val="004F0B26"/>
    <w:rsid w:val="004F1663"/>
    <w:rsid w:val="004F2FAA"/>
    <w:rsid w:val="004F4296"/>
    <w:rsid w:val="004F666A"/>
    <w:rsid w:val="004F68A9"/>
    <w:rsid w:val="004F6EE3"/>
    <w:rsid w:val="00500F46"/>
    <w:rsid w:val="00501F21"/>
    <w:rsid w:val="00502329"/>
    <w:rsid w:val="00502EFA"/>
    <w:rsid w:val="00503003"/>
    <w:rsid w:val="0050477D"/>
    <w:rsid w:val="00504F87"/>
    <w:rsid w:val="00506D65"/>
    <w:rsid w:val="005105E5"/>
    <w:rsid w:val="005106FE"/>
    <w:rsid w:val="00510A8A"/>
    <w:rsid w:val="005149B9"/>
    <w:rsid w:val="005166B5"/>
    <w:rsid w:val="0051698C"/>
    <w:rsid w:val="00516E1A"/>
    <w:rsid w:val="00517ECD"/>
    <w:rsid w:val="005207AE"/>
    <w:rsid w:val="005209EE"/>
    <w:rsid w:val="00520E09"/>
    <w:rsid w:val="0052123D"/>
    <w:rsid w:val="00521C34"/>
    <w:rsid w:val="00523BDC"/>
    <w:rsid w:val="00523C67"/>
    <w:rsid w:val="00523CFA"/>
    <w:rsid w:val="0052730D"/>
    <w:rsid w:val="00527DBB"/>
    <w:rsid w:val="00533607"/>
    <w:rsid w:val="005338CC"/>
    <w:rsid w:val="00534C15"/>
    <w:rsid w:val="005378B8"/>
    <w:rsid w:val="0054128E"/>
    <w:rsid w:val="005413AF"/>
    <w:rsid w:val="00542395"/>
    <w:rsid w:val="005427E1"/>
    <w:rsid w:val="00543585"/>
    <w:rsid w:val="00544E9C"/>
    <w:rsid w:val="005466E5"/>
    <w:rsid w:val="00550FEA"/>
    <w:rsid w:val="00551733"/>
    <w:rsid w:val="00552C8D"/>
    <w:rsid w:val="00553DB8"/>
    <w:rsid w:val="0055407B"/>
    <w:rsid w:val="00555B52"/>
    <w:rsid w:val="00555D25"/>
    <w:rsid w:val="005572B9"/>
    <w:rsid w:val="005605D9"/>
    <w:rsid w:val="005609E5"/>
    <w:rsid w:val="00560FD9"/>
    <w:rsid w:val="00561091"/>
    <w:rsid w:val="00561D5E"/>
    <w:rsid w:val="00562CF0"/>
    <w:rsid w:val="005656C7"/>
    <w:rsid w:val="00565E0E"/>
    <w:rsid w:val="00567DE9"/>
    <w:rsid w:val="00570000"/>
    <w:rsid w:val="0057000E"/>
    <w:rsid w:val="005702DD"/>
    <w:rsid w:val="005716F7"/>
    <w:rsid w:val="00572686"/>
    <w:rsid w:val="0057368B"/>
    <w:rsid w:val="0057414B"/>
    <w:rsid w:val="005744BD"/>
    <w:rsid w:val="005747B1"/>
    <w:rsid w:val="00575103"/>
    <w:rsid w:val="00575876"/>
    <w:rsid w:val="0058000D"/>
    <w:rsid w:val="00583B5D"/>
    <w:rsid w:val="00584311"/>
    <w:rsid w:val="005854BC"/>
    <w:rsid w:val="005857E7"/>
    <w:rsid w:val="00585AF6"/>
    <w:rsid w:val="00590C11"/>
    <w:rsid w:val="00590CED"/>
    <w:rsid w:val="00592A2E"/>
    <w:rsid w:val="0059331A"/>
    <w:rsid w:val="00594938"/>
    <w:rsid w:val="00595194"/>
    <w:rsid w:val="0059649C"/>
    <w:rsid w:val="005970B2"/>
    <w:rsid w:val="005970E9"/>
    <w:rsid w:val="00597A50"/>
    <w:rsid w:val="00597C4F"/>
    <w:rsid w:val="005A17CF"/>
    <w:rsid w:val="005A20A3"/>
    <w:rsid w:val="005A554C"/>
    <w:rsid w:val="005A5CB7"/>
    <w:rsid w:val="005A6CBB"/>
    <w:rsid w:val="005A7062"/>
    <w:rsid w:val="005A7782"/>
    <w:rsid w:val="005B118E"/>
    <w:rsid w:val="005B1348"/>
    <w:rsid w:val="005B2A2F"/>
    <w:rsid w:val="005B2D53"/>
    <w:rsid w:val="005B31F7"/>
    <w:rsid w:val="005B36F9"/>
    <w:rsid w:val="005B67D6"/>
    <w:rsid w:val="005B699A"/>
    <w:rsid w:val="005B7300"/>
    <w:rsid w:val="005B76BC"/>
    <w:rsid w:val="005C00B7"/>
    <w:rsid w:val="005C0352"/>
    <w:rsid w:val="005C046D"/>
    <w:rsid w:val="005C098E"/>
    <w:rsid w:val="005C1511"/>
    <w:rsid w:val="005C2078"/>
    <w:rsid w:val="005C2550"/>
    <w:rsid w:val="005C2BD7"/>
    <w:rsid w:val="005C43BA"/>
    <w:rsid w:val="005C53E6"/>
    <w:rsid w:val="005C7304"/>
    <w:rsid w:val="005C7E87"/>
    <w:rsid w:val="005C7F5E"/>
    <w:rsid w:val="005D299C"/>
    <w:rsid w:val="005D3CB1"/>
    <w:rsid w:val="005D4C97"/>
    <w:rsid w:val="005D57C7"/>
    <w:rsid w:val="005D6B1A"/>
    <w:rsid w:val="005D6B5C"/>
    <w:rsid w:val="005D6F21"/>
    <w:rsid w:val="005E16AF"/>
    <w:rsid w:val="005E1AB0"/>
    <w:rsid w:val="005E1CDF"/>
    <w:rsid w:val="005E1D1F"/>
    <w:rsid w:val="005E54EF"/>
    <w:rsid w:val="005E6920"/>
    <w:rsid w:val="005E6B44"/>
    <w:rsid w:val="005E73EF"/>
    <w:rsid w:val="005E76DC"/>
    <w:rsid w:val="005E7860"/>
    <w:rsid w:val="005F7F20"/>
    <w:rsid w:val="00601C27"/>
    <w:rsid w:val="00603536"/>
    <w:rsid w:val="00605783"/>
    <w:rsid w:val="00605AE0"/>
    <w:rsid w:val="006065EB"/>
    <w:rsid w:val="00606DF5"/>
    <w:rsid w:val="00607080"/>
    <w:rsid w:val="00607564"/>
    <w:rsid w:val="00610FF7"/>
    <w:rsid w:val="00611413"/>
    <w:rsid w:val="006121DD"/>
    <w:rsid w:val="006129FC"/>
    <w:rsid w:val="00612E3E"/>
    <w:rsid w:val="00613425"/>
    <w:rsid w:val="006135C3"/>
    <w:rsid w:val="00613763"/>
    <w:rsid w:val="006144B7"/>
    <w:rsid w:val="00614634"/>
    <w:rsid w:val="00616B04"/>
    <w:rsid w:val="00617811"/>
    <w:rsid w:val="00620FEB"/>
    <w:rsid w:val="00622B48"/>
    <w:rsid w:val="00625702"/>
    <w:rsid w:val="006265B2"/>
    <w:rsid w:val="00626766"/>
    <w:rsid w:val="0062778F"/>
    <w:rsid w:val="0063213C"/>
    <w:rsid w:val="006321E1"/>
    <w:rsid w:val="00634BC3"/>
    <w:rsid w:val="00634C00"/>
    <w:rsid w:val="00636A85"/>
    <w:rsid w:val="00636DB8"/>
    <w:rsid w:val="00637602"/>
    <w:rsid w:val="0064075D"/>
    <w:rsid w:val="00640CE3"/>
    <w:rsid w:val="006416D0"/>
    <w:rsid w:val="006418D4"/>
    <w:rsid w:val="006424A1"/>
    <w:rsid w:val="006432E5"/>
    <w:rsid w:val="00644189"/>
    <w:rsid w:val="006447BA"/>
    <w:rsid w:val="006449C0"/>
    <w:rsid w:val="00645978"/>
    <w:rsid w:val="00645EFC"/>
    <w:rsid w:val="00646AD0"/>
    <w:rsid w:val="00647BB3"/>
    <w:rsid w:val="006503E0"/>
    <w:rsid w:val="00652E2C"/>
    <w:rsid w:val="00653618"/>
    <w:rsid w:val="00653EAD"/>
    <w:rsid w:val="00654B9F"/>
    <w:rsid w:val="0065790F"/>
    <w:rsid w:val="006614C3"/>
    <w:rsid w:val="00664E50"/>
    <w:rsid w:val="0066638D"/>
    <w:rsid w:val="00666BE4"/>
    <w:rsid w:val="00667737"/>
    <w:rsid w:val="00667F7B"/>
    <w:rsid w:val="0067059D"/>
    <w:rsid w:val="0067078C"/>
    <w:rsid w:val="00672173"/>
    <w:rsid w:val="0067280E"/>
    <w:rsid w:val="00673B33"/>
    <w:rsid w:val="00673EBC"/>
    <w:rsid w:val="006741EE"/>
    <w:rsid w:val="00675923"/>
    <w:rsid w:val="0067598F"/>
    <w:rsid w:val="006761DD"/>
    <w:rsid w:val="006808A5"/>
    <w:rsid w:val="00680B49"/>
    <w:rsid w:val="006835C0"/>
    <w:rsid w:val="00683B20"/>
    <w:rsid w:val="00683FF6"/>
    <w:rsid w:val="006841B5"/>
    <w:rsid w:val="00684844"/>
    <w:rsid w:val="006850AB"/>
    <w:rsid w:val="00685DDD"/>
    <w:rsid w:val="0068602D"/>
    <w:rsid w:val="00686318"/>
    <w:rsid w:val="00687482"/>
    <w:rsid w:val="006930B0"/>
    <w:rsid w:val="00694CDA"/>
    <w:rsid w:val="00695EA0"/>
    <w:rsid w:val="0069642B"/>
    <w:rsid w:val="00697A08"/>
    <w:rsid w:val="006A0A0A"/>
    <w:rsid w:val="006A1F30"/>
    <w:rsid w:val="006A2246"/>
    <w:rsid w:val="006A2AB1"/>
    <w:rsid w:val="006A5560"/>
    <w:rsid w:val="006A5BA4"/>
    <w:rsid w:val="006A6D86"/>
    <w:rsid w:val="006A6E00"/>
    <w:rsid w:val="006A70F5"/>
    <w:rsid w:val="006B00A5"/>
    <w:rsid w:val="006B0913"/>
    <w:rsid w:val="006B0A7E"/>
    <w:rsid w:val="006B0BC9"/>
    <w:rsid w:val="006B0CB0"/>
    <w:rsid w:val="006B13D3"/>
    <w:rsid w:val="006B2369"/>
    <w:rsid w:val="006B448B"/>
    <w:rsid w:val="006B6510"/>
    <w:rsid w:val="006B6D1C"/>
    <w:rsid w:val="006B70C5"/>
    <w:rsid w:val="006C02D8"/>
    <w:rsid w:val="006C0903"/>
    <w:rsid w:val="006C1C1E"/>
    <w:rsid w:val="006C211E"/>
    <w:rsid w:val="006C31AA"/>
    <w:rsid w:val="006C3F66"/>
    <w:rsid w:val="006C4BB9"/>
    <w:rsid w:val="006C7422"/>
    <w:rsid w:val="006D0DD0"/>
    <w:rsid w:val="006D1ADB"/>
    <w:rsid w:val="006D47DF"/>
    <w:rsid w:val="006D5E95"/>
    <w:rsid w:val="006D6A3D"/>
    <w:rsid w:val="006D75AE"/>
    <w:rsid w:val="006E2D37"/>
    <w:rsid w:val="006E4356"/>
    <w:rsid w:val="006E596A"/>
    <w:rsid w:val="006E7CD1"/>
    <w:rsid w:val="006E7FC6"/>
    <w:rsid w:val="006F0021"/>
    <w:rsid w:val="006F0737"/>
    <w:rsid w:val="006F1A71"/>
    <w:rsid w:val="006F28DC"/>
    <w:rsid w:val="006F339F"/>
    <w:rsid w:val="006F51A8"/>
    <w:rsid w:val="006F57AE"/>
    <w:rsid w:val="006F5A42"/>
    <w:rsid w:val="006F6CEF"/>
    <w:rsid w:val="006F7B90"/>
    <w:rsid w:val="006F7BB3"/>
    <w:rsid w:val="007004A9"/>
    <w:rsid w:val="00700CC9"/>
    <w:rsid w:val="0070193A"/>
    <w:rsid w:val="007034EA"/>
    <w:rsid w:val="00703F42"/>
    <w:rsid w:val="0071232A"/>
    <w:rsid w:val="00714AA7"/>
    <w:rsid w:val="00716758"/>
    <w:rsid w:val="00716E61"/>
    <w:rsid w:val="00717379"/>
    <w:rsid w:val="00720B95"/>
    <w:rsid w:val="0072179A"/>
    <w:rsid w:val="007219F5"/>
    <w:rsid w:val="00724AEB"/>
    <w:rsid w:val="0072659A"/>
    <w:rsid w:val="00727A0A"/>
    <w:rsid w:val="007307CD"/>
    <w:rsid w:val="007316F6"/>
    <w:rsid w:val="00733895"/>
    <w:rsid w:val="007341DA"/>
    <w:rsid w:val="00734AE7"/>
    <w:rsid w:val="007354F7"/>
    <w:rsid w:val="007367C1"/>
    <w:rsid w:val="0074083D"/>
    <w:rsid w:val="00741CC8"/>
    <w:rsid w:val="007428CE"/>
    <w:rsid w:val="007431C4"/>
    <w:rsid w:val="00745EE5"/>
    <w:rsid w:val="00746B01"/>
    <w:rsid w:val="00746B4D"/>
    <w:rsid w:val="007476A2"/>
    <w:rsid w:val="00752CE7"/>
    <w:rsid w:val="00753325"/>
    <w:rsid w:val="00754A4F"/>
    <w:rsid w:val="00754EBC"/>
    <w:rsid w:val="007557EC"/>
    <w:rsid w:val="00757331"/>
    <w:rsid w:val="00757377"/>
    <w:rsid w:val="00760F8A"/>
    <w:rsid w:val="007623DA"/>
    <w:rsid w:val="00762BE5"/>
    <w:rsid w:val="00762F8B"/>
    <w:rsid w:val="00764632"/>
    <w:rsid w:val="00770866"/>
    <w:rsid w:val="00772155"/>
    <w:rsid w:val="00772E71"/>
    <w:rsid w:val="007735C7"/>
    <w:rsid w:val="00775077"/>
    <w:rsid w:val="007750D9"/>
    <w:rsid w:val="00775E56"/>
    <w:rsid w:val="00776FE7"/>
    <w:rsid w:val="0078079E"/>
    <w:rsid w:val="00783BD3"/>
    <w:rsid w:val="00784871"/>
    <w:rsid w:val="00786A3E"/>
    <w:rsid w:val="0078717F"/>
    <w:rsid w:val="007872D2"/>
    <w:rsid w:val="00790B65"/>
    <w:rsid w:val="00791F92"/>
    <w:rsid w:val="0079701A"/>
    <w:rsid w:val="007A01C2"/>
    <w:rsid w:val="007A23AB"/>
    <w:rsid w:val="007A4C72"/>
    <w:rsid w:val="007A7434"/>
    <w:rsid w:val="007A7D86"/>
    <w:rsid w:val="007B07EF"/>
    <w:rsid w:val="007B2787"/>
    <w:rsid w:val="007B35A2"/>
    <w:rsid w:val="007B4603"/>
    <w:rsid w:val="007B663B"/>
    <w:rsid w:val="007B6D55"/>
    <w:rsid w:val="007B7B3F"/>
    <w:rsid w:val="007C3F59"/>
    <w:rsid w:val="007C47CA"/>
    <w:rsid w:val="007C5F27"/>
    <w:rsid w:val="007C6201"/>
    <w:rsid w:val="007C665E"/>
    <w:rsid w:val="007C7570"/>
    <w:rsid w:val="007C7F3F"/>
    <w:rsid w:val="007D01D6"/>
    <w:rsid w:val="007D09F6"/>
    <w:rsid w:val="007D0A8A"/>
    <w:rsid w:val="007D0DFC"/>
    <w:rsid w:val="007D1160"/>
    <w:rsid w:val="007D140B"/>
    <w:rsid w:val="007D193B"/>
    <w:rsid w:val="007D2206"/>
    <w:rsid w:val="007D36C3"/>
    <w:rsid w:val="007D3E68"/>
    <w:rsid w:val="007D414B"/>
    <w:rsid w:val="007D4799"/>
    <w:rsid w:val="007E0BA9"/>
    <w:rsid w:val="007E0C29"/>
    <w:rsid w:val="007E12B0"/>
    <w:rsid w:val="007E232A"/>
    <w:rsid w:val="007E2425"/>
    <w:rsid w:val="007E2747"/>
    <w:rsid w:val="007E50C5"/>
    <w:rsid w:val="007E6EE3"/>
    <w:rsid w:val="007E7706"/>
    <w:rsid w:val="007E7B51"/>
    <w:rsid w:val="007E7C14"/>
    <w:rsid w:val="007F02F1"/>
    <w:rsid w:val="007F0506"/>
    <w:rsid w:val="007F06AB"/>
    <w:rsid w:val="007F06EF"/>
    <w:rsid w:val="007F10C4"/>
    <w:rsid w:val="007F1105"/>
    <w:rsid w:val="007F2A74"/>
    <w:rsid w:val="007F2F9C"/>
    <w:rsid w:val="007F3946"/>
    <w:rsid w:val="007F4820"/>
    <w:rsid w:val="007F4D9E"/>
    <w:rsid w:val="007F55E6"/>
    <w:rsid w:val="007F6B8D"/>
    <w:rsid w:val="007F7A33"/>
    <w:rsid w:val="00800FE0"/>
    <w:rsid w:val="0080276E"/>
    <w:rsid w:val="008027E4"/>
    <w:rsid w:val="00803834"/>
    <w:rsid w:val="00804960"/>
    <w:rsid w:val="00805186"/>
    <w:rsid w:val="00806499"/>
    <w:rsid w:val="00806D92"/>
    <w:rsid w:val="0080729E"/>
    <w:rsid w:val="0081001B"/>
    <w:rsid w:val="008109C2"/>
    <w:rsid w:val="00810E7C"/>
    <w:rsid w:val="00811C3B"/>
    <w:rsid w:val="00813A53"/>
    <w:rsid w:val="00817C9F"/>
    <w:rsid w:val="00820C32"/>
    <w:rsid w:val="0082125B"/>
    <w:rsid w:val="0082135A"/>
    <w:rsid w:val="008218E3"/>
    <w:rsid w:val="00821AF9"/>
    <w:rsid w:val="00821EFF"/>
    <w:rsid w:val="0082366A"/>
    <w:rsid w:val="00823B71"/>
    <w:rsid w:val="008240EA"/>
    <w:rsid w:val="00825057"/>
    <w:rsid w:val="0082526B"/>
    <w:rsid w:val="00825306"/>
    <w:rsid w:val="00826EF8"/>
    <w:rsid w:val="008278FE"/>
    <w:rsid w:val="00830132"/>
    <w:rsid w:val="00830C44"/>
    <w:rsid w:val="0083546F"/>
    <w:rsid w:val="00835AAE"/>
    <w:rsid w:val="00836054"/>
    <w:rsid w:val="008375B3"/>
    <w:rsid w:val="00837C22"/>
    <w:rsid w:val="0084057C"/>
    <w:rsid w:val="008406A1"/>
    <w:rsid w:val="008406DC"/>
    <w:rsid w:val="00841B22"/>
    <w:rsid w:val="0084273C"/>
    <w:rsid w:val="0084284F"/>
    <w:rsid w:val="00842C98"/>
    <w:rsid w:val="00844BD3"/>
    <w:rsid w:val="00846429"/>
    <w:rsid w:val="00846F68"/>
    <w:rsid w:val="00850560"/>
    <w:rsid w:val="0085187F"/>
    <w:rsid w:val="00851A4C"/>
    <w:rsid w:val="008530BF"/>
    <w:rsid w:val="00853144"/>
    <w:rsid w:val="008552CB"/>
    <w:rsid w:val="0085586A"/>
    <w:rsid w:val="00855BB7"/>
    <w:rsid w:val="00855E70"/>
    <w:rsid w:val="008571F5"/>
    <w:rsid w:val="00860B69"/>
    <w:rsid w:val="00861B35"/>
    <w:rsid w:val="008637DF"/>
    <w:rsid w:val="00863C75"/>
    <w:rsid w:val="00863C8F"/>
    <w:rsid w:val="00864D7B"/>
    <w:rsid w:val="00865629"/>
    <w:rsid w:val="00865DA1"/>
    <w:rsid w:val="008662B5"/>
    <w:rsid w:val="008666E6"/>
    <w:rsid w:val="00866A27"/>
    <w:rsid w:val="0086760C"/>
    <w:rsid w:val="00873C83"/>
    <w:rsid w:val="00874038"/>
    <w:rsid w:val="0087682B"/>
    <w:rsid w:val="00877018"/>
    <w:rsid w:val="00877407"/>
    <w:rsid w:val="008810A8"/>
    <w:rsid w:val="0088110E"/>
    <w:rsid w:val="00884480"/>
    <w:rsid w:val="00884956"/>
    <w:rsid w:val="00885420"/>
    <w:rsid w:val="00885C23"/>
    <w:rsid w:val="00885ED5"/>
    <w:rsid w:val="008864CF"/>
    <w:rsid w:val="008868CD"/>
    <w:rsid w:val="00887FB6"/>
    <w:rsid w:val="00890FF4"/>
    <w:rsid w:val="00891530"/>
    <w:rsid w:val="0089232E"/>
    <w:rsid w:val="008932BE"/>
    <w:rsid w:val="0089405A"/>
    <w:rsid w:val="008950CC"/>
    <w:rsid w:val="00897EE7"/>
    <w:rsid w:val="008A051C"/>
    <w:rsid w:val="008A1A67"/>
    <w:rsid w:val="008A229E"/>
    <w:rsid w:val="008A2FC0"/>
    <w:rsid w:val="008A46B2"/>
    <w:rsid w:val="008A4977"/>
    <w:rsid w:val="008A4CC8"/>
    <w:rsid w:val="008A5DB1"/>
    <w:rsid w:val="008A776F"/>
    <w:rsid w:val="008A7CFB"/>
    <w:rsid w:val="008B14EE"/>
    <w:rsid w:val="008B356C"/>
    <w:rsid w:val="008B45DF"/>
    <w:rsid w:val="008B4654"/>
    <w:rsid w:val="008B6272"/>
    <w:rsid w:val="008B6A32"/>
    <w:rsid w:val="008B7A6B"/>
    <w:rsid w:val="008C0BC4"/>
    <w:rsid w:val="008C1BF5"/>
    <w:rsid w:val="008C285B"/>
    <w:rsid w:val="008C2A55"/>
    <w:rsid w:val="008C55DE"/>
    <w:rsid w:val="008C56A9"/>
    <w:rsid w:val="008C58B7"/>
    <w:rsid w:val="008C5F35"/>
    <w:rsid w:val="008C68BE"/>
    <w:rsid w:val="008C73AD"/>
    <w:rsid w:val="008D0B78"/>
    <w:rsid w:val="008D1486"/>
    <w:rsid w:val="008D1A6F"/>
    <w:rsid w:val="008D437F"/>
    <w:rsid w:val="008D4E12"/>
    <w:rsid w:val="008D52A7"/>
    <w:rsid w:val="008D619C"/>
    <w:rsid w:val="008D63B1"/>
    <w:rsid w:val="008D69C5"/>
    <w:rsid w:val="008D7170"/>
    <w:rsid w:val="008D7D57"/>
    <w:rsid w:val="008E28BC"/>
    <w:rsid w:val="008E36A9"/>
    <w:rsid w:val="008E63F9"/>
    <w:rsid w:val="008E7BA7"/>
    <w:rsid w:val="008E7FC7"/>
    <w:rsid w:val="008F097E"/>
    <w:rsid w:val="008F20E3"/>
    <w:rsid w:val="008F2F48"/>
    <w:rsid w:val="008F35C4"/>
    <w:rsid w:val="008F4037"/>
    <w:rsid w:val="008F4E59"/>
    <w:rsid w:val="008F4FE4"/>
    <w:rsid w:val="008F510C"/>
    <w:rsid w:val="008F72B9"/>
    <w:rsid w:val="008F7E52"/>
    <w:rsid w:val="008F7E74"/>
    <w:rsid w:val="0090075B"/>
    <w:rsid w:val="00901AFD"/>
    <w:rsid w:val="00903A30"/>
    <w:rsid w:val="00907C0F"/>
    <w:rsid w:val="009105EC"/>
    <w:rsid w:val="00911489"/>
    <w:rsid w:val="009131FA"/>
    <w:rsid w:val="00913232"/>
    <w:rsid w:val="00913558"/>
    <w:rsid w:val="00915BB1"/>
    <w:rsid w:val="00916F95"/>
    <w:rsid w:val="009175F2"/>
    <w:rsid w:val="009205CA"/>
    <w:rsid w:val="0092098B"/>
    <w:rsid w:val="00923963"/>
    <w:rsid w:val="00924977"/>
    <w:rsid w:val="009258D6"/>
    <w:rsid w:val="00926DB2"/>
    <w:rsid w:val="009271F4"/>
    <w:rsid w:val="00927905"/>
    <w:rsid w:val="00927EF3"/>
    <w:rsid w:val="00930319"/>
    <w:rsid w:val="009304A8"/>
    <w:rsid w:val="00931646"/>
    <w:rsid w:val="00933241"/>
    <w:rsid w:val="00934816"/>
    <w:rsid w:val="00935C93"/>
    <w:rsid w:val="00936A57"/>
    <w:rsid w:val="009373F4"/>
    <w:rsid w:val="00943C7E"/>
    <w:rsid w:val="009446B9"/>
    <w:rsid w:val="00944EBA"/>
    <w:rsid w:val="00947563"/>
    <w:rsid w:val="00947771"/>
    <w:rsid w:val="00947E4D"/>
    <w:rsid w:val="00950EBB"/>
    <w:rsid w:val="00951B63"/>
    <w:rsid w:val="00951DEC"/>
    <w:rsid w:val="00952D9D"/>
    <w:rsid w:val="009533BE"/>
    <w:rsid w:val="009538E6"/>
    <w:rsid w:val="0095394A"/>
    <w:rsid w:val="00953D4E"/>
    <w:rsid w:val="00954487"/>
    <w:rsid w:val="00956206"/>
    <w:rsid w:val="00957AA8"/>
    <w:rsid w:val="0096023D"/>
    <w:rsid w:val="00960D30"/>
    <w:rsid w:val="00961AD7"/>
    <w:rsid w:val="00961D05"/>
    <w:rsid w:val="00962BA4"/>
    <w:rsid w:val="00962F4B"/>
    <w:rsid w:val="00964006"/>
    <w:rsid w:val="00970800"/>
    <w:rsid w:val="00971D03"/>
    <w:rsid w:val="009723B8"/>
    <w:rsid w:val="00975DE6"/>
    <w:rsid w:val="00977920"/>
    <w:rsid w:val="00977A22"/>
    <w:rsid w:val="00980EC4"/>
    <w:rsid w:val="009858C2"/>
    <w:rsid w:val="009866EE"/>
    <w:rsid w:val="00987331"/>
    <w:rsid w:val="009874C6"/>
    <w:rsid w:val="00990BDB"/>
    <w:rsid w:val="009914A1"/>
    <w:rsid w:val="00991573"/>
    <w:rsid w:val="009958D5"/>
    <w:rsid w:val="009965F6"/>
    <w:rsid w:val="009A098E"/>
    <w:rsid w:val="009A14C5"/>
    <w:rsid w:val="009A1796"/>
    <w:rsid w:val="009A326E"/>
    <w:rsid w:val="009A59EB"/>
    <w:rsid w:val="009A7116"/>
    <w:rsid w:val="009A728C"/>
    <w:rsid w:val="009A744D"/>
    <w:rsid w:val="009B0A8A"/>
    <w:rsid w:val="009B4A3E"/>
    <w:rsid w:val="009C3CEC"/>
    <w:rsid w:val="009C57FD"/>
    <w:rsid w:val="009C76A1"/>
    <w:rsid w:val="009C77B7"/>
    <w:rsid w:val="009C7BD4"/>
    <w:rsid w:val="009D059F"/>
    <w:rsid w:val="009D19A1"/>
    <w:rsid w:val="009D22BC"/>
    <w:rsid w:val="009D3618"/>
    <w:rsid w:val="009D3A4D"/>
    <w:rsid w:val="009D40A0"/>
    <w:rsid w:val="009D6D9B"/>
    <w:rsid w:val="009D79B1"/>
    <w:rsid w:val="009E2C7C"/>
    <w:rsid w:val="009E422E"/>
    <w:rsid w:val="009E4E20"/>
    <w:rsid w:val="009E6BE1"/>
    <w:rsid w:val="009F1F51"/>
    <w:rsid w:val="009F3963"/>
    <w:rsid w:val="009F4768"/>
    <w:rsid w:val="009F4B74"/>
    <w:rsid w:val="009F4EB2"/>
    <w:rsid w:val="009F4ED9"/>
    <w:rsid w:val="009F6445"/>
    <w:rsid w:val="009F6B24"/>
    <w:rsid w:val="009F7B6C"/>
    <w:rsid w:val="009F7DF7"/>
    <w:rsid w:val="00A0164F"/>
    <w:rsid w:val="00A032B8"/>
    <w:rsid w:val="00A035A3"/>
    <w:rsid w:val="00A05C41"/>
    <w:rsid w:val="00A060A8"/>
    <w:rsid w:val="00A077AD"/>
    <w:rsid w:val="00A11D53"/>
    <w:rsid w:val="00A13FAE"/>
    <w:rsid w:val="00A152D6"/>
    <w:rsid w:val="00A15CEE"/>
    <w:rsid w:val="00A175D8"/>
    <w:rsid w:val="00A178DA"/>
    <w:rsid w:val="00A203A9"/>
    <w:rsid w:val="00A2041E"/>
    <w:rsid w:val="00A2126E"/>
    <w:rsid w:val="00A2165F"/>
    <w:rsid w:val="00A22CA5"/>
    <w:rsid w:val="00A22FF7"/>
    <w:rsid w:val="00A23E8B"/>
    <w:rsid w:val="00A244BE"/>
    <w:rsid w:val="00A24BB6"/>
    <w:rsid w:val="00A25EB5"/>
    <w:rsid w:val="00A272AB"/>
    <w:rsid w:val="00A27408"/>
    <w:rsid w:val="00A27BDC"/>
    <w:rsid w:val="00A27E75"/>
    <w:rsid w:val="00A35C3B"/>
    <w:rsid w:val="00A41B0D"/>
    <w:rsid w:val="00A429BE"/>
    <w:rsid w:val="00A4550D"/>
    <w:rsid w:val="00A47475"/>
    <w:rsid w:val="00A510D1"/>
    <w:rsid w:val="00A5240F"/>
    <w:rsid w:val="00A54063"/>
    <w:rsid w:val="00A547D4"/>
    <w:rsid w:val="00A54EC5"/>
    <w:rsid w:val="00A54FD7"/>
    <w:rsid w:val="00A56693"/>
    <w:rsid w:val="00A57C21"/>
    <w:rsid w:val="00A61196"/>
    <w:rsid w:val="00A6141B"/>
    <w:rsid w:val="00A625DC"/>
    <w:rsid w:val="00A63EC6"/>
    <w:rsid w:val="00A65665"/>
    <w:rsid w:val="00A661CB"/>
    <w:rsid w:val="00A7020C"/>
    <w:rsid w:val="00A70342"/>
    <w:rsid w:val="00A71E2C"/>
    <w:rsid w:val="00A72BD8"/>
    <w:rsid w:val="00A73809"/>
    <w:rsid w:val="00A7390F"/>
    <w:rsid w:val="00A73E63"/>
    <w:rsid w:val="00A74B06"/>
    <w:rsid w:val="00A7745B"/>
    <w:rsid w:val="00A8068E"/>
    <w:rsid w:val="00A817EA"/>
    <w:rsid w:val="00A822B7"/>
    <w:rsid w:val="00A84161"/>
    <w:rsid w:val="00A84EFB"/>
    <w:rsid w:val="00A8507D"/>
    <w:rsid w:val="00A85652"/>
    <w:rsid w:val="00A85F85"/>
    <w:rsid w:val="00A86C87"/>
    <w:rsid w:val="00A87BA5"/>
    <w:rsid w:val="00A9052C"/>
    <w:rsid w:val="00A9200A"/>
    <w:rsid w:val="00A93888"/>
    <w:rsid w:val="00A9509F"/>
    <w:rsid w:val="00A97763"/>
    <w:rsid w:val="00A97B32"/>
    <w:rsid w:val="00AA1C99"/>
    <w:rsid w:val="00AA23A6"/>
    <w:rsid w:val="00AA2D50"/>
    <w:rsid w:val="00AA367A"/>
    <w:rsid w:val="00AA6762"/>
    <w:rsid w:val="00AA6C01"/>
    <w:rsid w:val="00AA7B34"/>
    <w:rsid w:val="00AB025F"/>
    <w:rsid w:val="00AB1773"/>
    <w:rsid w:val="00AB221B"/>
    <w:rsid w:val="00AB234C"/>
    <w:rsid w:val="00AB2B68"/>
    <w:rsid w:val="00AB329D"/>
    <w:rsid w:val="00AB334C"/>
    <w:rsid w:val="00AB4353"/>
    <w:rsid w:val="00AB439C"/>
    <w:rsid w:val="00AB4A01"/>
    <w:rsid w:val="00AB4A98"/>
    <w:rsid w:val="00AB56AC"/>
    <w:rsid w:val="00AB7ED1"/>
    <w:rsid w:val="00AC0C4C"/>
    <w:rsid w:val="00AC0E40"/>
    <w:rsid w:val="00AC1477"/>
    <w:rsid w:val="00AC1EA3"/>
    <w:rsid w:val="00AC20B6"/>
    <w:rsid w:val="00AC261C"/>
    <w:rsid w:val="00AC2BD1"/>
    <w:rsid w:val="00AC3BB3"/>
    <w:rsid w:val="00AC3CE9"/>
    <w:rsid w:val="00AC4906"/>
    <w:rsid w:val="00AC5951"/>
    <w:rsid w:val="00AC76D8"/>
    <w:rsid w:val="00AC7D65"/>
    <w:rsid w:val="00AD2B38"/>
    <w:rsid w:val="00AD364F"/>
    <w:rsid w:val="00AD3788"/>
    <w:rsid w:val="00AD4643"/>
    <w:rsid w:val="00AD4EB4"/>
    <w:rsid w:val="00AD5E03"/>
    <w:rsid w:val="00AE1647"/>
    <w:rsid w:val="00AE17B7"/>
    <w:rsid w:val="00AE477D"/>
    <w:rsid w:val="00AE4979"/>
    <w:rsid w:val="00AE693C"/>
    <w:rsid w:val="00AE7641"/>
    <w:rsid w:val="00AF0EE7"/>
    <w:rsid w:val="00AF1F63"/>
    <w:rsid w:val="00AF25CB"/>
    <w:rsid w:val="00AF295C"/>
    <w:rsid w:val="00AF61D4"/>
    <w:rsid w:val="00AF6276"/>
    <w:rsid w:val="00AF69BB"/>
    <w:rsid w:val="00AF784D"/>
    <w:rsid w:val="00AF7B5A"/>
    <w:rsid w:val="00AF7E53"/>
    <w:rsid w:val="00B00108"/>
    <w:rsid w:val="00B02143"/>
    <w:rsid w:val="00B028AA"/>
    <w:rsid w:val="00B0372E"/>
    <w:rsid w:val="00B03C5B"/>
    <w:rsid w:val="00B04E68"/>
    <w:rsid w:val="00B051A5"/>
    <w:rsid w:val="00B05C13"/>
    <w:rsid w:val="00B05D2A"/>
    <w:rsid w:val="00B0747F"/>
    <w:rsid w:val="00B076D5"/>
    <w:rsid w:val="00B10560"/>
    <w:rsid w:val="00B12975"/>
    <w:rsid w:val="00B12F58"/>
    <w:rsid w:val="00B1487F"/>
    <w:rsid w:val="00B165A4"/>
    <w:rsid w:val="00B17D8A"/>
    <w:rsid w:val="00B20471"/>
    <w:rsid w:val="00B210EB"/>
    <w:rsid w:val="00B21640"/>
    <w:rsid w:val="00B21A50"/>
    <w:rsid w:val="00B22662"/>
    <w:rsid w:val="00B2607F"/>
    <w:rsid w:val="00B27C0B"/>
    <w:rsid w:val="00B36B26"/>
    <w:rsid w:val="00B36E98"/>
    <w:rsid w:val="00B37756"/>
    <w:rsid w:val="00B40561"/>
    <w:rsid w:val="00B4094C"/>
    <w:rsid w:val="00B40DA7"/>
    <w:rsid w:val="00B433EA"/>
    <w:rsid w:val="00B43EAE"/>
    <w:rsid w:val="00B4494B"/>
    <w:rsid w:val="00B44E53"/>
    <w:rsid w:val="00B4509F"/>
    <w:rsid w:val="00B4638D"/>
    <w:rsid w:val="00B4791F"/>
    <w:rsid w:val="00B520FB"/>
    <w:rsid w:val="00B53470"/>
    <w:rsid w:val="00B53F35"/>
    <w:rsid w:val="00B554EB"/>
    <w:rsid w:val="00B56641"/>
    <w:rsid w:val="00B60927"/>
    <w:rsid w:val="00B64DC4"/>
    <w:rsid w:val="00B664B3"/>
    <w:rsid w:val="00B66721"/>
    <w:rsid w:val="00B6673E"/>
    <w:rsid w:val="00B668E2"/>
    <w:rsid w:val="00B66E69"/>
    <w:rsid w:val="00B71F7B"/>
    <w:rsid w:val="00B73FEC"/>
    <w:rsid w:val="00B751E5"/>
    <w:rsid w:val="00B75B65"/>
    <w:rsid w:val="00B77762"/>
    <w:rsid w:val="00B82994"/>
    <w:rsid w:val="00B82C69"/>
    <w:rsid w:val="00B8465F"/>
    <w:rsid w:val="00B87A68"/>
    <w:rsid w:val="00B9129D"/>
    <w:rsid w:val="00B9383B"/>
    <w:rsid w:val="00B93C69"/>
    <w:rsid w:val="00B949FF"/>
    <w:rsid w:val="00B956BB"/>
    <w:rsid w:val="00B97F1A"/>
    <w:rsid w:val="00BA0405"/>
    <w:rsid w:val="00BA05DA"/>
    <w:rsid w:val="00BA0A98"/>
    <w:rsid w:val="00BA1F5C"/>
    <w:rsid w:val="00BA4151"/>
    <w:rsid w:val="00BA447B"/>
    <w:rsid w:val="00BA4567"/>
    <w:rsid w:val="00BA4BA1"/>
    <w:rsid w:val="00BA5F95"/>
    <w:rsid w:val="00BA6803"/>
    <w:rsid w:val="00BB03B4"/>
    <w:rsid w:val="00BB113C"/>
    <w:rsid w:val="00BB4264"/>
    <w:rsid w:val="00BB4D77"/>
    <w:rsid w:val="00BB53BA"/>
    <w:rsid w:val="00BB7078"/>
    <w:rsid w:val="00BC1A5F"/>
    <w:rsid w:val="00BC3149"/>
    <w:rsid w:val="00BC331F"/>
    <w:rsid w:val="00BC34EE"/>
    <w:rsid w:val="00BC3F33"/>
    <w:rsid w:val="00BC49DB"/>
    <w:rsid w:val="00BC531E"/>
    <w:rsid w:val="00BC6A79"/>
    <w:rsid w:val="00BD0FA3"/>
    <w:rsid w:val="00BD22AD"/>
    <w:rsid w:val="00BD28E5"/>
    <w:rsid w:val="00BD3A8C"/>
    <w:rsid w:val="00BD4057"/>
    <w:rsid w:val="00BD5EE7"/>
    <w:rsid w:val="00BD6AA7"/>
    <w:rsid w:val="00BE0968"/>
    <w:rsid w:val="00BE1947"/>
    <w:rsid w:val="00BE1C9F"/>
    <w:rsid w:val="00BE5D48"/>
    <w:rsid w:val="00BE6198"/>
    <w:rsid w:val="00BE7EED"/>
    <w:rsid w:val="00BF1779"/>
    <w:rsid w:val="00BF1B0D"/>
    <w:rsid w:val="00BF1C0F"/>
    <w:rsid w:val="00BF3120"/>
    <w:rsid w:val="00BF66E1"/>
    <w:rsid w:val="00C00E0E"/>
    <w:rsid w:val="00C02E55"/>
    <w:rsid w:val="00C03520"/>
    <w:rsid w:val="00C0383F"/>
    <w:rsid w:val="00C04050"/>
    <w:rsid w:val="00C07333"/>
    <w:rsid w:val="00C07C2A"/>
    <w:rsid w:val="00C1014E"/>
    <w:rsid w:val="00C10206"/>
    <w:rsid w:val="00C11566"/>
    <w:rsid w:val="00C1357E"/>
    <w:rsid w:val="00C14AE5"/>
    <w:rsid w:val="00C2085D"/>
    <w:rsid w:val="00C21FC9"/>
    <w:rsid w:val="00C22BE9"/>
    <w:rsid w:val="00C23F11"/>
    <w:rsid w:val="00C247AC"/>
    <w:rsid w:val="00C2511A"/>
    <w:rsid w:val="00C25361"/>
    <w:rsid w:val="00C26127"/>
    <w:rsid w:val="00C26D25"/>
    <w:rsid w:val="00C27137"/>
    <w:rsid w:val="00C317F0"/>
    <w:rsid w:val="00C32051"/>
    <w:rsid w:val="00C32946"/>
    <w:rsid w:val="00C32A58"/>
    <w:rsid w:val="00C36AAB"/>
    <w:rsid w:val="00C37F58"/>
    <w:rsid w:val="00C41E72"/>
    <w:rsid w:val="00C426CE"/>
    <w:rsid w:val="00C43A5F"/>
    <w:rsid w:val="00C43F8B"/>
    <w:rsid w:val="00C44A12"/>
    <w:rsid w:val="00C45ED4"/>
    <w:rsid w:val="00C46E67"/>
    <w:rsid w:val="00C47B6B"/>
    <w:rsid w:val="00C525CF"/>
    <w:rsid w:val="00C5524C"/>
    <w:rsid w:val="00C55D83"/>
    <w:rsid w:val="00C56697"/>
    <w:rsid w:val="00C57F23"/>
    <w:rsid w:val="00C624EF"/>
    <w:rsid w:val="00C62702"/>
    <w:rsid w:val="00C62A60"/>
    <w:rsid w:val="00C63B4D"/>
    <w:rsid w:val="00C64157"/>
    <w:rsid w:val="00C6533B"/>
    <w:rsid w:val="00C65C6D"/>
    <w:rsid w:val="00C65FB3"/>
    <w:rsid w:val="00C66DD6"/>
    <w:rsid w:val="00C67B46"/>
    <w:rsid w:val="00C71E0A"/>
    <w:rsid w:val="00C724D9"/>
    <w:rsid w:val="00C743E4"/>
    <w:rsid w:val="00C75BC4"/>
    <w:rsid w:val="00C8067F"/>
    <w:rsid w:val="00C81DDA"/>
    <w:rsid w:val="00C82D0F"/>
    <w:rsid w:val="00C863CD"/>
    <w:rsid w:val="00C86AF6"/>
    <w:rsid w:val="00C87E34"/>
    <w:rsid w:val="00C90E6E"/>
    <w:rsid w:val="00C90FB1"/>
    <w:rsid w:val="00C9213A"/>
    <w:rsid w:val="00C9223E"/>
    <w:rsid w:val="00C94BAD"/>
    <w:rsid w:val="00C94ECF"/>
    <w:rsid w:val="00C963AD"/>
    <w:rsid w:val="00C977B7"/>
    <w:rsid w:val="00CA11F8"/>
    <w:rsid w:val="00CA2173"/>
    <w:rsid w:val="00CA38E4"/>
    <w:rsid w:val="00CA465D"/>
    <w:rsid w:val="00CA577D"/>
    <w:rsid w:val="00CA6DC2"/>
    <w:rsid w:val="00CA707A"/>
    <w:rsid w:val="00CA7C82"/>
    <w:rsid w:val="00CB0748"/>
    <w:rsid w:val="00CB0985"/>
    <w:rsid w:val="00CB35F4"/>
    <w:rsid w:val="00CB5176"/>
    <w:rsid w:val="00CB5CE8"/>
    <w:rsid w:val="00CB7883"/>
    <w:rsid w:val="00CC1034"/>
    <w:rsid w:val="00CC1F71"/>
    <w:rsid w:val="00CC2771"/>
    <w:rsid w:val="00CC4811"/>
    <w:rsid w:val="00CC6DBE"/>
    <w:rsid w:val="00CD17A1"/>
    <w:rsid w:val="00CD2C29"/>
    <w:rsid w:val="00CD499D"/>
    <w:rsid w:val="00CD5E49"/>
    <w:rsid w:val="00CD67DC"/>
    <w:rsid w:val="00CD68CE"/>
    <w:rsid w:val="00CD6B17"/>
    <w:rsid w:val="00CD740C"/>
    <w:rsid w:val="00CD74FB"/>
    <w:rsid w:val="00CE0523"/>
    <w:rsid w:val="00CE06DA"/>
    <w:rsid w:val="00CE11FC"/>
    <w:rsid w:val="00CE127C"/>
    <w:rsid w:val="00CE1B4D"/>
    <w:rsid w:val="00CE2B32"/>
    <w:rsid w:val="00CE399E"/>
    <w:rsid w:val="00CE3AD0"/>
    <w:rsid w:val="00CE51CA"/>
    <w:rsid w:val="00CE5A8C"/>
    <w:rsid w:val="00CE5B6A"/>
    <w:rsid w:val="00CE6CC8"/>
    <w:rsid w:val="00CE6E0B"/>
    <w:rsid w:val="00CE7485"/>
    <w:rsid w:val="00CF0731"/>
    <w:rsid w:val="00CF4E10"/>
    <w:rsid w:val="00CF4EFF"/>
    <w:rsid w:val="00CF52CD"/>
    <w:rsid w:val="00CF5F89"/>
    <w:rsid w:val="00CF7647"/>
    <w:rsid w:val="00D03BEA"/>
    <w:rsid w:val="00D0415A"/>
    <w:rsid w:val="00D061FF"/>
    <w:rsid w:val="00D06C1E"/>
    <w:rsid w:val="00D1001F"/>
    <w:rsid w:val="00D10A38"/>
    <w:rsid w:val="00D11833"/>
    <w:rsid w:val="00D11FA6"/>
    <w:rsid w:val="00D130F6"/>
    <w:rsid w:val="00D1322B"/>
    <w:rsid w:val="00D13A6C"/>
    <w:rsid w:val="00D16E92"/>
    <w:rsid w:val="00D173F4"/>
    <w:rsid w:val="00D17C8B"/>
    <w:rsid w:val="00D20C31"/>
    <w:rsid w:val="00D2172F"/>
    <w:rsid w:val="00D23672"/>
    <w:rsid w:val="00D24277"/>
    <w:rsid w:val="00D27351"/>
    <w:rsid w:val="00D277A6"/>
    <w:rsid w:val="00D27904"/>
    <w:rsid w:val="00D3239D"/>
    <w:rsid w:val="00D3253A"/>
    <w:rsid w:val="00D33381"/>
    <w:rsid w:val="00D34663"/>
    <w:rsid w:val="00D3475A"/>
    <w:rsid w:val="00D408B7"/>
    <w:rsid w:val="00D45780"/>
    <w:rsid w:val="00D45A90"/>
    <w:rsid w:val="00D479F6"/>
    <w:rsid w:val="00D50281"/>
    <w:rsid w:val="00D506F7"/>
    <w:rsid w:val="00D50815"/>
    <w:rsid w:val="00D51446"/>
    <w:rsid w:val="00D51F34"/>
    <w:rsid w:val="00D5305E"/>
    <w:rsid w:val="00D54950"/>
    <w:rsid w:val="00D55657"/>
    <w:rsid w:val="00D56320"/>
    <w:rsid w:val="00D57C6F"/>
    <w:rsid w:val="00D606B8"/>
    <w:rsid w:val="00D61A07"/>
    <w:rsid w:val="00D63F71"/>
    <w:rsid w:val="00D64883"/>
    <w:rsid w:val="00D661AA"/>
    <w:rsid w:val="00D66A26"/>
    <w:rsid w:val="00D71B4D"/>
    <w:rsid w:val="00D73DAE"/>
    <w:rsid w:val="00D778BF"/>
    <w:rsid w:val="00D84C54"/>
    <w:rsid w:val="00D852C5"/>
    <w:rsid w:val="00D85600"/>
    <w:rsid w:val="00D85AAB"/>
    <w:rsid w:val="00D87855"/>
    <w:rsid w:val="00D87F16"/>
    <w:rsid w:val="00D90010"/>
    <w:rsid w:val="00D934A6"/>
    <w:rsid w:val="00D93B68"/>
    <w:rsid w:val="00D940C8"/>
    <w:rsid w:val="00D946EB"/>
    <w:rsid w:val="00D94E29"/>
    <w:rsid w:val="00D96EC0"/>
    <w:rsid w:val="00D97610"/>
    <w:rsid w:val="00D97865"/>
    <w:rsid w:val="00DA001A"/>
    <w:rsid w:val="00DA0865"/>
    <w:rsid w:val="00DA0BC3"/>
    <w:rsid w:val="00DA122B"/>
    <w:rsid w:val="00DA2385"/>
    <w:rsid w:val="00DA2FEA"/>
    <w:rsid w:val="00DA3CAE"/>
    <w:rsid w:val="00DA3D17"/>
    <w:rsid w:val="00DA713B"/>
    <w:rsid w:val="00DB05AC"/>
    <w:rsid w:val="00DB0BFE"/>
    <w:rsid w:val="00DB1515"/>
    <w:rsid w:val="00DB2008"/>
    <w:rsid w:val="00DB2A0E"/>
    <w:rsid w:val="00DB5E38"/>
    <w:rsid w:val="00DB68B7"/>
    <w:rsid w:val="00DB7F22"/>
    <w:rsid w:val="00DC295C"/>
    <w:rsid w:val="00DC5D04"/>
    <w:rsid w:val="00DC771F"/>
    <w:rsid w:val="00DD0EEC"/>
    <w:rsid w:val="00DD317E"/>
    <w:rsid w:val="00DD343E"/>
    <w:rsid w:val="00DD3BE0"/>
    <w:rsid w:val="00DD3C04"/>
    <w:rsid w:val="00DD5D51"/>
    <w:rsid w:val="00DE2050"/>
    <w:rsid w:val="00DE2E31"/>
    <w:rsid w:val="00DE316E"/>
    <w:rsid w:val="00DE4619"/>
    <w:rsid w:val="00DE47EE"/>
    <w:rsid w:val="00DE71B5"/>
    <w:rsid w:val="00DE7676"/>
    <w:rsid w:val="00DF0C95"/>
    <w:rsid w:val="00DF192B"/>
    <w:rsid w:val="00DF2CF7"/>
    <w:rsid w:val="00DF2E39"/>
    <w:rsid w:val="00DF59A2"/>
    <w:rsid w:val="00DF5CD7"/>
    <w:rsid w:val="00E00ED6"/>
    <w:rsid w:val="00E01004"/>
    <w:rsid w:val="00E0274C"/>
    <w:rsid w:val="00E06A0C"/>
    <w:rsid w:val="00E07184"/>
    <w:rsid w:val="00E10623"/>
    <w:rsid w:val="00E117FA"/>
    <w:rsid w:val="00E11FFE"/>
    <w:rsid w:val="00E146A5"/>
    <w:rsid w:val="00E14E5B"/>
    <w:rsid w:val="00E16AA6"/>
    <w:rsid w:val="00E17ABC"/>
    <w:rsid w:val="00E17F5D"/>
    <w:rsid w:val="00E209AD"/>
    <w:rsid w:val="00E213B2"/>
    <w:rsid w:val="00E225FC"/>
    <w:rsid w:val="00E23857"/>
    <w:rsid w:val="00E24180"/>
    <w:rsid w:val="00E27B60"/>
    <w:rsid w:val="00E30B60"/>
    <w:rsid w:val="00E3163F"/>
    <w:rsid w:val="00E32FA1"/>
    <w:rsid w:val="00E343BC"/>
    <w:rsid w:val="00E36E71"/>
    <w:rsid w:val="00E37D89"/>
    <w:rsid w:val="00E42C3A"/>
    <w:rsid w:val="00E43E2F"/>
    <w:rsid w:val="00E44A9C"/>
    <w:rsid w:val="00E44F93"/>
    <w:rsid w:val="00E45C5F"/>
    <w:rsid w:val="00E46B21"/>
    <w:rsid w:val="00E47EF1"/>
    <w:rsid w:val="00E501D0"/>
    <w:rsid w:val="00E52A4F"/>
    <w:rsid w:val="00E52D59"/>
    <w:rsid w:val="00E5334A"/>
    <w:rsid w:val="00E5626A"/>
    <w:rsid w:val="00E57E01"/>
    <w:rsid w:val="00E615D8"/>
    <w:rsid w:val="00E62353"/>
    <w:rsid w:val="00E65BBD"/>
    <w:rsid w:val="00E66543"/>
    <w:rsid w:val="00E700C2"/>
    <w:rsid w:val="00E70833"/>
    <w:rsid w:val="00E712A7"/>
    <w:rsid w:val="00E71B4D"/>
    <w:rsid w:val="00E720CA"/>
    <w:rsid w:val="00E742B0"/>
    <w:rsid w:val="00E743B7"/>
    <w:rsid w:val="00E7534A"/>
    <w:rsid w:val="00E76294"/>
    <w:rsid w:val="00E76B91"/>
    <w:rsid w:val="00E80145"/>
    <w:rsid w:val="00E81B05"/>
    <w:rsid w:val="00E82ADA"/>
    <w:rsid w:val="00E82FC9"/>
    <w:rsid w:val="00E851FD"/>
    <w:rsid w:val="00E85A6F"/>
    <w:rsid w:val="00E867DC"/>
    <w:rsid w:val="00E903BD"/>
    <w:rsid w:val="00E909F3"/>
    <w:rsid w:val="00E911D6"/>
    <w:rsid w:val="00E911FD"/>
    <w:rsid w:val="00E92219"/>
    <w:rsid w:val="00E93373"/>
    <w:rsid w:val="00E944E6"/>
    <w:rsid w:val="00E95332"/>
    <w:rsid w:val="00E956E6"/>
    <w:rsid w:val="00E96013"/>
    <w:rsid w:val="00E96AAB"/>
    <w:rsid w:val="00E97F85"/>
    <w:rsid w:val="00EA03A4"/>
    <w:rsid w:val="00EA462B"/>
    <w:rsid w:val="00EA66F8"/>
    <w:rsid w:val="00EA6D67"/>
    <w:rsid w:val="00EA7A9D"/>
    <w:rsid w:val="00EB033E"/>
    <w:rsid w:val="00EB169D"/>
    <w:rsid w:val="00EB1969"/>
    <w:rsid w:val="00EB3ED2"/>
    <w:rsid w:val="00EB3F16"/>
    <w:rsid w:val="00EB48DE"/>
    <w:rsid w:val="00EB5425"/>
    <w:rsid w:val="00EB5D23"/>
    <w:rsid w:val="00EB6AE7"/>
    <w:rsid w:val="00EB74D5"/>
    <w:rsid w:val="00EC2F47"/>
    <w:rsid w:val="00EC2F7D"/>
    <w:rsid w:val="00EC3C45"/>
    <w:rsid w:val="00EC3E01"/>
    <w:rsid w:val="00EC52EC"/>
    <w:rsid w:val="00EC5CFB"/>
    <w:rsid w:val="00EC7299"/>
    <w:rsid w:val="00EC72A9"/>
    <w:rsid w:val="00EC7D2E"/>
    <w:rsid w:val="00EC7E8E"/>
    <w:rsid w:val="00ED1844"/>
    <w:rsid w:val="00ED48B1"/>
    <w:rsid w:val="00ED4A30"/>
    <w:rsid w:val="00ED6317"/>
    <w:rsid w:val="00ED65D3"/>
    <w:rsid w:val="00ED74B8"/>
    <w:rsid w:val="00ED7F1F"/>
    <w:rsid w:val="00EE020D"/>
    <w:rsid w:val="00EE0EC0"/>
    <w:rsid w:val="00EE12CF"/>
    <w:rsid w:val="00EE1ACE"/>
    <w:rsid w:val="00EE1C19"/>
    <w:rsid w:val="00EE301C"/>
    <w:rsid w:val="00EE3756"/>
    <w:rsid w:val="00EE3894"/>
    <w:rsid w:val="00EE3F59"/>
    <w:rsid w:val="00EE4361"/>
    <w:rsid w:val="00EE56B5"/>
    <w:rsid w:val="00EF03D6"/>
    <w:rsid w:val="00EF0A81"/>
    <w:rsid w:val="00EF1D81"/>
    <w:rsid w:val="00EF1E0E"/>
    <w:rsid w:val="00EF3651"/>
    <w:rsid w:val="00EF443D"/>
    <w:rsid w:val="00EF4A3A"/>
    <w:rsid w:val="00EF5421"/>
    <w:rsid w:val="00EF699D"/>
    <w:rsid w:val="00EF7A00"/>
    <w:rsid w:val="00F0106C"/>
    <w:rsid w:val="00F02403"/>
    <w:rsid w:val="00F035E4"/>
    <w:rsid w:val="00F03AD8"/>
    <w:rsid w:val="00F03E07"/>
    <w:rsid w:val="00F0406A"/>
    <w:rsid w:val="00F050CB"/>
    <w:rsid w:val="00F0549B"/>
    <w:rsid w:val="00F1136A"/>
    <w:rsid w:val="00F116DD"/>
    <w:rsid w:val="00F129C5"/>
    <w:rsid w:val="00F13204"/>
    <w:rsid w:val="00F147DA"/>
    <w:rsid w:val="00F15FF1"/>
    <w:rsid w:val="00F161A5"/>
    <w:rsid w:val="00F16F9C"/>
    <w:rsid w:val="00F2009D"/>
    <w:rsid w:val="00F20285"/>
    <w:rsid w:val="00F2046D"/>
    <w:rsid w:val="00F205F7"/>
    <w:rsid w:val="00F20E52"/>
    <w:rsid w:val="00F2248E"/>
    <w:rsid w:val="00F23347"/>
    <w:rsid w:val="00F2537C"/>
    <w:rsid w:val="00F255F0"/>
    <w:rsid w:val="00F2575C"/>
    <w:rsid w:val="00F2581F"/>
    <w:rsid w:val="00F2607D"/>
    <w:rsid w:val="00F261F2"/>
    <w:rsid w:val="00F263DC"/>
    <w:rsid w:val="00F26AB9"/>
    <w:rsid w:val="00F305C0"/>
    <w:rsid w:val="00F30CD2"/>
    <w:rsid w:val="00F31C1A"/>
    <w:rsid w:val="00F32D6D"/>
    <w:rsid w:val="00F3674F"/>
    <w:rsid w:val="00F36A4A"/>
    <w:rsid w:val="00F36CC0"/>
    <w:rsid w:val="00F41E13"/>
    <w:rsid w:val="00F42DE3"/>
    <w:rsid w:val="00F43312"/>
    <w:rsid w:val="00F43403"/>
    <w:rsid w:val="00F43DBE"/>
    <w:rsid w:val="00F455CB"/>
    <w:rsid w:val="00F4589A"/>
    <w:rsid w:val="00F4624F"/>
    <w:rsid w:val="00F46636"/>
    <w:rsid w:val="00F4702D"/>
    <w:rsid w:val="00F50A65"/>
    <w:rsid w:val="00F50D63"/>
    <w:rsid w:val="00F5394F"/>
    <w:rsid w:val="00F55C77"/>
    <w:rsid w:val="00F613C0"/>
    <w:rsid w:val="00F615FC"/>
    <w:rsid w:val="00F616A0"/>
    <w:rsid w:val="00F61E44"/>
    <w:rsid w:val="00F63490"/>
    <w:rsid w:val="00F70590"/>
    <w:rsid w:val="00F730DD"/>
    <w:rsid w:val="00F7361F"/>
    <w:rsid w:val="00F73701"/>
    <w:rsid w:val="00F7375E"/>
    <w:rsid w:val="00F73967"/>
    <w:rsid w:val="00F80FC9"/>
    <w:rsid w:val="00F8175B"/>
    <w:rsid w:val="00F82650"/>
    <w:rsid w:val="00F83109"/>
    <w:rsid w:val="00F84645"/>
    <w:rsid w:val="00F851A5"/>
    <w:rsid w:val="00F85C0F"/>
    <w:rsid w:val="00F86432"/>
    <w:rsid w:val="00F91A3B"/>
    <w:rsid w:val="00F93335"/>
    <w:rsid w:val="00F94ACE"/>
    <w:rsid w:val="00F94BD9"/>
    <w:rsid w:val="00F96B80"/>
    <w:rsid w:val="00F970FE"/>
    <w:rsid w:val="00F97547"/>
    <w:rsid w:val="00F97570"/>
    <w:rsid w:val="00FA04FC"/>
    <w:rsid w:val="00FA1767"/>
    <w:rsid w:val="00FB05ED"/>
    <w:rsid w:val="00FB09E7"/>
    <w:rsid w:val="00FB0BC7"/>
    <w:rsid w:val="00FB0E28"/>
    <w:rsid w:val="00FB141D"/>
    <w:rsid w:val="00FB22FA"/>
    <w:rsid w:val="00FB3591"/>
    <w:rsid w:val="00FB385F"/>
    <w:rsid w:val="00FB3C65"/>
    <w:rsid w:val="00FB5720"/>
    <w:rsid w:val="00FB592F"/>
    <w:rsid w:val="00FB6271"/>
    <w:rsid w:val="00FB7508"/>
    <w:rsid w:val="00FC05E5"/>
    <w:rsid w:val="00FC0B7B"/>
    <w:rsid w:val="00FC0DCF"/>
    <w:rsid w:val="00FC1FC3"/>
    <w:rsid w:val="00FC36E3"/>
    <w:rsid w:val="00FC48A3"/>
    <w:rsid w:val="00FC4F78"/>
    <w:rsid w:val="00FC59BA"/>
    <w:rsid w:val="00FC6037"/>
    <w:rsid w:val="00FD2042"/>
    <w:rsid w:val="00FD3020"/>
    <w:rsid w:val="00FD388B"/>
    <w:rsid w:val="00FD43AE"/>
    <w:rsid w:val="00FD4BE7"/>
    <w:rsid w:val="00FD6C29"/>
    <w:rsid w:val="00FD7199"/>
    <w:rsid w:val="00FE1099"/>
    <w:rsid w:val="00FE1A79"/>
    <w:rsid w:val="00FE1FF5"/>
    <w:rsid w:val="00FE3D25"/>
    <w:rsid w:val="00FE47B5"/>
    <w:rsid w:val="00FE5DA9"/>
    <w:rsid w:val="00FE5DF7"/>
    <w:rsid w:val="00FE77D2"/>
    <w:rsid w:val="00FF080B"/>
    <w:rsid w:val="00FF2E59"/>
    <w:rsid w:val="00FF59A5"/>
    <w:rsid w:val="00FF721F"/>
    <w:rsid w:val="00FF796E"/>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4098"/>
    <o:shapelayout v:ext="edit">
      <o:idmap v:ext="edit" data="1"/>
      <o:rules v:ext="edit">
        <o:r id="V:Rule14" type="connector" idref="#_x0000_s1030"/>
        <o:r id="V:Rule15" type="connector" idref="#_x0000_s1034"/>
        <o:r id="V:Rule16" type="connector" idref="#_x0000_s1028"/>
        <o:r id="V:Rule17" type="connector" idref="#_x0000_s1038"/>
        <o:r id="V:Rule18" type="connector" idref="#_x0000_s1031"/>
        <o:r id="V:Rule19" type="connector" idref="#_x0000_s1032"/>
        <o:r id="V:Rule20" type="connector" idref="#_x0000_s1029"/>
        <o:r id="V:Rule21" type="connector" idref="#_x0000_s1033"/>
        <o:r id="V:Rule22" type="connector" idref="#_x0000_s1040"/>
        <o:r id="V:Rule23" type="connector" idref="#_x0000_s1036"/>
        <o:r id="V:Rule24" type="connector" idref="#_x0000_s1035"/>
        <o:r id="V:Rule25" type="connector" idref="#_x0000_s1039"/>
        <o:r id="V:Rule26" type="connector" idref="#_x0000_s10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Standaard">
    <w:name w:val="Normal"/>
    <w:qFormat/>
    <w:rsid w:val="005702DD"/>
    <w:rPr>
      <w:rFonts w:cs="Angsana New"/>
      <w:sz w:val="24"/>
      <w:szCs w:val="24"/>
      <w:lang w:val="en-AU" w:eastAsia="en-AU" w:bidi="th-TH"/>
    </w:rPr>
  </w:style>
  <w:style w:type="paragraph" w:styleId="Kop1">
    <w:name w:val="heading 1"/>
    <w:basedOn w:val="Standaard"/>
    <w:next w:val="Standaard"/>
    <w:link w:val="Kop1Char"/>
    <w:uiPriority w:val="99"/>
    <w:qFormat/>
    <w:rsid w:val="00F7375E"/>
    <w:pPr>
      <w:keepNext/>
      <w:spacing w:before="240" w:after="60"/>
      <w:outlineLvl w:val="0"/>
    </w:pPr>
    <w:rPr>
      <w:b/>
      <w:bCs/>
      <w:kern w:val="32"/>
      <w:sz w:val="28"/>
      <w:szCs w:val="40"/>
    </w:rPr>
  </w:style>
  <w:style w:type="paragraph" w:styleId="Kop2">
    <w:name w:val="heading 2"/>
    <w:basedOn w:val="Standaard"/>
    <w:next w:val="Standaard"/>
    <w:link w:val="Kop2Char"/>
    <w:uiPriority w:val="99"/>
    <w:qFormat/>
    <w:locked/>
    <w:rsid w:val="006C1C1E"/>
    <w:pPr>
      <w:keepNext/>
      <w:spacing w:before="240" w:after="60"/>
      <w:outlineLvl w:val="1"/>
    </w:pPr>
    <w:rPr>
      <w:rFonts w:ascii="Arial" w:hAnsi="Arial" w:cs="Arial"/>
      <w:b/>
      <w:bCs/>
      <w:i/>
      <w:iCs/>
      <w:sz w:val="28"/>
      <w:szCs w:val="28"/>
    </w:rPr>
  </w:style>
  <w:style w:type="paragraph" w:styleId="Kop3">
    <w:name w:val="heading 3"/>
    <w:basedOn w:val="Standaard"/>
    <w:next w:val="Standaard"/>
    <w:link w:val="Kop3Char"/>
    <w:uiPriority w:val="99"/>
    <w:qFormat/>
    <w:rsid w:val="00A41B0D"/>
    <w:pPr>
      <w:keepNext/>
      <w:keepLines/>
      <w:spacing w:before="200"/>
      <w:outlineLvl w:val="2"/>
    </w:pPr>
    <w:rPr>
      <w:rFonts w:ascii="Cambria" w:hAnsi="Cambria"/>
      <w:b/>
      <w:bCs/>
      <w:color w:val="4F81BD"/>
      <w:szCs w:val="30"/>
    </w:rPr>
  </w:style>
  <w:style w:type="paragraph" w:styleId="Kop5">
    <w:name w:val="heading 5"/>
    <w:basedOn w:val="Standaard"/>
    <w:link w:val="Kop5Char"/>
    <w:uiPriority w:val="99"/>
    <w:qFormat/>
    <w:locked/>
    <w:rsid w:val="00F03E07"/>
    <w:pPr>
      <w:spacing w:before="100" w:beforeAutospacing="1" w:after="100" w:afterAutospacing="1"/>
      <w:outlineLvl w:val="4"/>
    </w:pPr>
    <w:rPr>
      <w:rFonts w:cs="Times New Roman"/>
      <w:b/>
      <w:bCs/>
      <w:sz w:val="20"/>
      <w:szCs w:val="20"/>
      <w:lang w:val="en-US" w:eastAsia="en-US" w:bidi="ar-SA"/>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F7375E"/>
    <w:rPr>
      <w:rFonts w:cs="Angsana New"/>
      <w:b/>
      <w:bCs/>
      <w:kern w:val="32"/>
      <w:sz w:val="40"/>
      <w:szCs w:val="40"/>
      <w:lang w:val="en-AU" w:eastAsia="en-AU" w:bidi="th-TH"/>
    </w:rPr>
  </w:style>
  <w:style w:type="character" w:customStyle="1" w:styleId="Kop2Char">
    <w:name w:val="Kop 2 Char"/>
    <w:basedOn w:val="Standaardalinea-lettertype"/>
    <w:link w:val="Kop2"/>
    <w:uiPriority w:val="99"/>
    <w:semiHidden/>
    <w:locked/>
    <w:rsid w:val="001A5065"/>
    <w:rPr>
      <w:rFonts w:ascii="Cambria" w:hAnsi="Cambria" w:cs="Angsana New"/>
      <w:b/>
      <w:bCs/>
      <w:i/>
      <w:iCs/>
      <w:sz w:val="35"/>
      <w:szCs w:val="35"/>
      <w:lang w:val="en-AU" w:eastAsia="en-AU" w:bidi="th-TH"/>
    </w:rPr>
  </w:style>
  <w:style w:type="character" w:customStyle="1" w:styleId="Kop3Char">
    <w:name w:val="Kop 3 Char"/>
    <w:basedOn w:val="Standaardalinea-lettertype"/>
    <w:link w:val="Kop3"/>
    <w:uiPriority w:val="99"/>
    <w:semiHidden/>
    <w:locked/>
    <w:rsid w:val="00A41B0D"/>
    <w:rPr>
      <w:rFonts w:ascii="Cambria" w:hAnsi="Cambria" w:cs="Angsana New"/>
      <w:b/>
      <w:bCs/>
      <w:color w:val="4F81BD"/>
      <w:sz w:val="30"/>
      <w:szCs w:val="30"/>
      <w:lang w:val="en-AU" w:eastAsia="en-AU" w:bidi="th-TH"/>
    </w:rPr>
  </w:style>
  <w:style w:type="character" w:customStyle="1" w:styleId="Kop5Char">
    <w:name w:val="Kop 5 Char"/>
    <w:basedOn w:val="Standaardalinea-lettertype"/>
    <w:link w:val="Kop5"/>
    <w:uiPriority w:val="99"/>
    <w:semiHidden/>
    <w:locked/>
    <w:rsid w:val="00555D25"/>
    <w:rPr>
      <w:rFonts w:ascii="Calibri" w:hAnsi="Calibri" w:cs="Cordia New"/>
      <w:b/>
      <w:bCs/>
      <w:i/>
      <w:iCs/>
      <w:sz w:val="33"/>
      <w:szCs w:val="33"/>
      <w:lang w:val="en-AU" w:eastAsia="en-AU" w:bidi="th-TH"/>
    </w:rPr>
  </w:style>
  <w:style w:type="table" w:styleId="Tabelraster">
    <w:name w:val="Table Grid"/>
    <w:basedOn w:val="Standaardtabel"/>
    <w:uiPriority w:val="99"/>
    <w:rsid w:val="00CC1F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oetnoottekst">
    <w:name w:val="footnote text"/>
    <w:basedOn w:val="Standaard"/>
    <w:link w:val="VoetnoottekstChar"/>
    <w:uiPriority w:val="99"/>
    <w:semiHidden/>
    <w:rsid w:val="007A01C2"/>
    <w:rPr>
      <w:sz w:val="20"/>
      <w:szCs w:val="20"/>
    </w:rPr>
  </w:style>
  <w:style w:type="character" w:customStyle="1" w:styleId="VoetnoottekstChar">
    <w:name w:val="Voetnoottekst Char"/>
    <w:basedOn w:val="Standaardalinea-lettertype"/>
    <w:link w:val="Voetnoottekst"/>
    <w:uiPriority w:val="99"/>
    <w:semiHidden/>
    <w:locked/>
    <w:rsid w:val="007C47CA"/>
    <w:rPr>
      <w:rFonts w:cs="Angsana New"/>
      <w:sz w:val="25"/>
      <w:szCs w:val="25"/>
      <w:lang w:val="en-AU" w:eastAsia="en-AU" w:bidi="th-TH"/>
    </w:rPr>
  </w:style>
  <w:style w:type="character" w:styleId="Voetnootmarkering">
    <w:name w:val="footnote reference"/>
    <w:basedOn w:val="Standaardalinea-lettertype"/>
    <w:uiPriority w:val="99"/>
    <w:semiHidden/>
    <w:rsid w:val="007A01C2"/>
    <w:rPr>
      <w:rFonts w:cs="Times New Roman"/>
      <w:vertAlign w:val="superscript"/>
    </w:rPr>
  </w:style>
  <w:style w:type="character" w:styleId="Hyperlink">
    <w:name w:val="Hyperlink"/>
    <w:basedOn w:val="Standaardalinea-lettertype"/>
    <w:uiPriority w:val="99"/>
    <w:rsid w:val="007A01C2"/>
    <w:rPr>
      <w:rFonts w:cs="Times New Roman"/>
      <w:color w:val="0000FF"/>
      <w:u w:val="single"/>
    </w:rPr>
  </w:style>
  <w:style w:type="character" w:customStyle="1" w:styleId="citationspeech">
    <w:name w:val="citation speech"/>
    <w:basedOn w:val="Standaardalinea-lettertype"/>
    <w:uiPriority w:val="99"/>
    <w:rsid w:val="007A01C2"/>
    <w:rPr>
      <w:rFonts w:cs="Times New Roman"/>
    </w:rPr>
  </w:style>
  <w:style w:type="paragraph" w:styleId="Voettekst">
    <w:name w:val="footer"/>
    <w:basedOn w:val="Standaard"/>
    <w:link w:val="VoettekstChar"/>
    <w:uiPriority w:val="99"/>
    <w:rsid w:val="00A11D53"/>
    <w:pPr>
      <w:tabs>
        <w:tab w:val="center" w:pos="4153"/>
        <w:tab w:val="right" w:pos="8306"/>
      </w:tabs>
    </w:pPr>
  </w:style>
  <w:style w:type="character" w:customStyle="1" w:styleId="VoettekstChar">
    <w:name w:val="Voettekst Char"/>
    <w:basedOn w:val="Standaardalinea-lettertype"/>
    <w:link w:val="Voettekst"/>
    <w:uiPriority w:val="99"/>
    <w:locked/>
    <w:rsid w:val="00F8175B"/>
    <w:rPr>
      <w:rFonts w:cs="Angsana New"/>
      <w:sz w:val="24"/>
      <w:szCs w:val="24"/>
      <w:lang w:val="en-AU" w:eastAsia="en-AU" w:bidi="th-TH"/>
    </w:rPr>
  </w:style>
  <w:style w:type="character" w:styleId="Paginanummer">
    <w:name w:val="page number"/>
    <w:basedOn w:val="Standaardalinea-lettertype"/>
    <w:uiPriority w:val="99"/>
    <w:rsid w:val="00A11D53"/>
    <w:rPr>
      <w:rFonts w:cs="Times New Roman"/>
    </w:rPr>
  </w:style>
  <w:style w:type="character" w:customStyle="1" w:styleId="citationnews">
    <w:name w:val="citation news"/>
    <w:basedOn w:val="Standaardalinea-lettertype"/>
    <w:uiPriority w:val="99"/>
    <w:rsid w:val="003B508A"/>
    <w:rPr>
      <w:rFonts w:cs="Times New Roman"/>
    </w:rPr>
  </w:style>
  <w:style w:type="character" w:customStyle="1" w:styleId="printonly">
    <w:name w:val="printonly"/>
    <w:basedOn w:val="Standaardalinea-lettertype"/>
    <w:rsid w:val="003B508A"/>
    <w:rPr>
      <w:rFonts w:cs="Times New Roman"/>
    </w:rPr>
  </w:style>
  <w:style w:type="character" w:customStyle="1" w:styleId="reference-accessdate">
    <w:name w:val="reference-accessdate"/>
    <w:basedOn w:val="Standaardalinea-lettertype"/>
    <w:rsid w:val="003729A6"/>
    <w:rPr>
      <w:rFonts w:cs="Times New Roman"/>
    </w:rPr>
  </w:style>
  <w:style w:type="character" w:customStyle="1" w:styleId="citationweb">
    <w:name w:val="citation web"/>
    <w:basedOn w:val="Standaardalinea-lettertype"/>
    <w:uiPriority w:val="99"/>
    <w:rsid w:val="00F15FF1"/>
    <w:rPr>
      <w:rFonts w:cs="Times New Roman"/>
    </w:rPr>
  </w:style>
  <w:style w:type="paragraph" w:styleId="Kopvaninhoudsopgave">
    <w:name w:val="TOC Heading"/>
    <w:basedOn w:val="Kop1"/>
    <w:next w:val="Standaard"/>
    <w:uiPriority w:val="99"/>
    <w:qFormat/>
    <w:rsid w:val="00A54FD7"/>
    <w:pPr>
      <w:keepLines/>
      <w:spacing w:before="480" w:after="0" w:line="276" w:lineRule="auto"/>
      <w:outlineLvl w:val="9"/>
    </w:pPr>
    <w:rPr>
      <w:rFonts w:cs="Times New Roman"/>
      <w:color w:val="365F91"/>
      <w:kern w:val="0"/>
      <w:szCs w:val="28"/>
      <w:lang w:val="nl-NL" w:eastAsia="en-US" w:bidi="ar-SA"/>
    </w:rPr>
  </w:style>
  <w:style w:type="paragraph" w:styleId="Inhopg1">
    <w:name w:val="toc 1"/>
    <w:basedOn w:val="Standaard"/>
    <w:next w:val="Standaard"/>
    <w:autoRedefine/>
    <w:uiPriority w:val="39"/>
    <w:rsid w:val="006B0BC9"/>
    <w:pPr>
      <w:tabs>
        <w:tab w:val="right" w:leader="dot" w:pos="9060"/>
      </w:tabs>
      <w:spacing w:line="360" w:lineRule="auto"/>
    </w:pPr>
    <w:rPr>
      <w:b/>
      <w:bCs/>
      <w:noProof/>
      <w:szCs w:val="30"/>
    </w:rPr>
  </w:style>
  <w:style w:type="character" w:styleId="Nadruk">
    <w:name w:val="Emphasis"/>
    <w:basedOn w:val="Standaardalinea-lettertype"/>
    <w:uiPriority w:val="99"/>
    <w:qFormat/>
    <w:rsid w:val="00101481"/>
    <w:rPr>
      <w:rFonts w:cs="Times New Roman"/>
      <w:b/>
      <w:i/>
      <w:iCs/>
    </w:rPr>
  </w:style>
  <w:style w:type="paragraph" w:styleId="Lijstalinea">
    <w:name w:val="List Paragraph"/>
    <w:basedOn w:val="Standaard"/>
    <w:uiPriority w:val="99"/>
    <w:qFormat/>
    <w:rsid w:val="005C1511"/>
    <w:pPr>
      <w:ind w:left="720"/>
      <w:contextualSpacing/>
    </w:pPr>
    <w:rPr>
      <w:szCs w:val="30"/>
    </w:rPr>
  </w:style>
  <w:style w:type="paragraph" w:styleId="Koptekst">
    <w:name w:val="header"/>
    <w:basedOn w:val="Standaard"/>
    <w:link w:val="KoptekstChar"/>
    <w:uiPriority w:val="99"/>
    <w:rsid w:val="00F8175B"/>
    <w:pPr>
      <w:tabs>
        <w:tab w:val="center" w:pos="4536"/>
        <w:tab w:val="right" w:pos="9072"/>
      </w:tabs>
    </w:pPr>
    <w:rPr>
      <w:szCs w:val="30"/>
    </w:rPr>
  </w:style>
  <w:style w:type="character" w:customStyle="1" w:styleId="KoptekstChar">
    <w:name w:val="Koptekst Char"/>
    <w:basedOn w:val="Standaardalinea-lettertype"/>
    <w:link w:val="Koptekst"/>
    <w:uiPriority w:val="99"/>
    <w:locked/>
    <w:rsid w:val="00F8175B"/>
    <w:rPr>
      <w:rFonts w:cs="Angsana New"/>
      <w:sz w:val="30"/>
      <w:szCs w:val="30"/>
      <w:lang w:val="en-AU" w:eastAsia="en-AU" w:bidi="th-TH"/>
    </w:rPr>
  </w:style>
  <w:style w:type="paragraph" w:styleId="Ballontekst">
    <w:name w:val="Balloon Text"/>
    <w:basedOn w:val="Standaard"/>
    <w:link w:val="BallontekstChar"/>
    <w:uiPriority w:val="99"/>
    <w:rsid w:val="00F8175B"/>
    <w:rPr>
      <w:rFonts w:ascii="Tahoma" w:hAnsi="Tahoma"/>
      <w:sz w:val="16"/>
      <w:szCs w:val="20"/>
    </w:rPr>
  </w:style>
  <w:style w:type="character" w:customStyle="1" w:styleId="BallontekstChar">
    <w:name w:val="Ballontekst Char"/>
    <w:basedOn w:val="Standaardalinea-lettertype"/>
    <w:link w:val="Ballontekst"/>
    <w:uiPriority w:val="99"/>
    <w:locked/>
    <w:rsid w:val="00F8175B"/>
    <w:rPr>
      <w:rFonts w:ascii="Tahoma" w:hAnsi="Tahoma" w:cs="Angsana New"/>
      <w:sz w:val="16"/>
      <w:lang w:val="en-AU" w:eastAsia="en-AU" w:bidi="th-TH"/>
    </w:rPr>
  </w:style>
  <w:style w:type="paragraph" w:customStyle="1" w:styleId="Lijstalinea1">
    <w:name w:val="Lijstalinea1"/>
    <w:basedOn w:val="Standaard"/>
    <w:uiPriority w:val="99"/>
    <w:rsid w:val="00EF0A81"/>
    <w:pPr>
      <w:widowControl w:val="0"/>
      <w:suppressAutoHyphens/>
      <w:ind w:left="720"/>
    </w:pPr>
    <w:rPr>
      <w:rFonts w:cs="Times New Roman"/>
      <w:kern w:val="1"/>
      <w:szCs w:val="30"/>
      <w:lang w:val="nl-NL" w:bidi="ar-SA"/>
    </w:rPr>
  </w:style>
  <w:style w:type="character" w:customStyle="1" w:styleId="texhtml1">
    <w:name w:val="texhtml1"/>
    <w:basedOn w:val="Standaardalinea-lettertype"/>
    <w:uiPriority w:val="99"/>
    <w:rsid w:val="00491645"/>
    <w:rPr>
      <w:rFonts w:cs="Times New Roman"/>
      <w:sz w:val="30"/>
      <w:szCs w:val="30"/>
    </w:rPr>
  </w:style>
  <w:style w:type="paragraph" w:customStyle="1" w:styleId="Default">
    <w:name w:val="Default"/>
    <w:uiPriority w:val="99"/>
    <w:rsid w:val="00352E14"/>
    <w:pPr>
      <w:autoSpaceDE w:val="0"/>
      <w:autoSpaceDN w:val="0"/>
      <w:adjustRightInd w:val="0"/>
    </w:pPr>
    <w:rPr>
      <w:color w:val="000000"/>
      <w:sz w:val="24"/>
      <w:szCs w:val="24"/>
      <w:lang w:val="nl-NL" w:eastAsia="nl-NL"/>
    </w:rPr>
  </w:style>
  <w:style w:type="paragraph" w:customStyle="1" w:styleId="000">
    <w:name w:val="000"/>
    <w:aliases w:val="standaard"/>
    <w:basedOn w:val="Standaard"/>
    <w:uiPriority w:val="99"/>
    <w:rsid w:val="00414864"/>
    <w:pPr>
      <w:overflowPunct w:val="0"/>
      <w:autoSpaceDE w:val="0"/>
      <w:autoSpaceDN w:val="0"/>
      <w:adjustRightInd w:val="0"/>
      <w:spacing w:line="260" w:lineRule="atLeast"/>
      <w:textAlignment w:val="baseline"/>
    </w:pPr>
    <w:rPr>
      <w:rFonts w:ascii="EYInterstate Light" w:hAnsi="EYInterstate Light" w:cs="Times New Roman"/>
      <w:sz w:val="22"/>
      <w:szCs w:val="20"/>
      <w:lang w:val="nl-NL" w:eastAsia="en-US" w:bidi="ar-SA"/>
    </w:rPr>
  </w:style>
  <w:style w:type="character" w:styleId="Tekstvantijdelijkeaanduiding">
    <w:name w:val="Placeholder Text"/>
    <w:basedOn w:val="Standaardalinea-lettertype"/>
    <w:uiPriority w:val="99"/>
    <w:semiHidden/>
    <w:rsid w:val="00C21FC9"/>
    <w:rPr>
      <w:rFonts w:cs="Times New Roman"/>
      <w:color w:val="808080"/>
    </w:rPr>
  </w:style>
  <w:style w:type="character" w:styleId="Verwijzingopmerking">
    <w:name w:val="annotation reference"/>
    <w:basedOn w:val="Standaardalinea-lettertype"/>
    <w:uiPriority w:val="99"/>
    <w:semiHidden/>
    <w:rsid w:val="00E76B91"/>
    <w:rPr>
      <w:rFonts w:cs="Times New Roman"/>
      <w:sz w:val="16"/>
      <w:szCs w:val="16"/>
    </w:rPr>
  </w:style>
  <w:style w:type="paragraph" w:styleId="Tekstopmerking">
    <w:name w:val="annotation text"/>
    <w:basedOn w:val="Standaard"/>
    <w:link w:val="TekstopmerkingChar"/>
    <w:uiPriority w:val="99"/>
    <w:semiHidden/>
    <w:rsid w:val="00E76B91"/>
    <w:rPr>
      <w:sz w:val="20"/>
      <w:szCs w:val="20"/>
    </w:rPr>
  </w:style>
  <w:style w:type="character" w:customStyle="1" w:styleId="TekstopmerkingChar">
    <w:name w:val="Tekst opmerking Char"/>
    <w:basedOn w:val="Standaardalinea-lettertype"/>
    <w:link w:val="Tekstopmerking"/>
    <w:uiPriority w:val="99"/>
    <w:semiHidden/>
    <w:locked/>
    <w:rsid w:val="004B6290"/>
    <w:rPr>
      <w:rFonts w:cs="Angsana New"/>
      <w:sz w:val="25"/>
      <w:szCs w:val="25"/>
      <w:lang w:val="en-AU" w:eastAsia="en-AU" w:bidi="th-TH"/>
    </w:rPr>
  </w:style>
  <w:style w:type="paragraph" w:styleId="Onderwerpvanopmerking">
    <w:name w:val="annotation subject"/>
    <w:basedOn w:val="Tekstopmerking"/>
    <w:next w:val="Tekstopmerking"/>
    <w:link w:val="OnderwerpvanopmerkingChar"/>
    <w:uiPriority w:val="99"/>
    <w:semiHidden/>
    <w:rsid w:val="00E76B91"/>
    <w:rPr>
      <w:b/>
      <w:bCs/>
    </w:rPr>
  </w:style>
  <w:style w:type="character" w:customStyle="1" w:styleId="OnderwerpvanopmerkingChar">
    <w:name w:val="Onderwerp van opmerking Char"/>
    <w:basedOn w:val="TekstopmerkingChar"/>
    <w:link w:val="Onderwerpvanopmerking"/>
    <w:uiPriority w:val="99"/>
    <w:semiHidden/>
    <w:locked/>
    <w:rsid w:val="004B6290"/>
    <w:rPr>
      <w:b/>
      <w:bCs/>
    </w:rPr>
  </w:style>
  <w:style w:type="table" w:customStyle="1" w:styleId="Lichtearcering1">
    <w:name w:val="Lichte arcering1"/>
    <w:uiPriority w:val="99"/>
    <w:rsid w:val="00284B9C"/>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table" w:customStyle="1" w:styleId="Lichtearcering-accent11">
    <w:name w:val="Lichte arcering - accent 11"/>
    <w:uiPriority w:val="99"/>
    <w:rsid w:val="00284B9C"/>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Gemiddeldraster11">
    <w:name w:val="Gemiddeld raster 11"/>
    <w:uiPriority w:val="99"/>
    <w:rsid w:val="00284B9C"/>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style>
  <w:style w:type="table" w:styleId="Lichtearcering-accent2">
    <w:name w:val="Light Shading Accent 2"/>
    <w:basedOn w:val="Standaardtabel"/>
    <w:uiPriority w:val="99"/>
    <w:rsid w:val="00BE0968"/>
    <w:rPr>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customStyle="1" w:styleId="Gemiddeldearcering21">
    <w:name w:val="Gemiddelde arcering 21"/>
    <w:uiPriority w:val="99"/>
    <w:rsid w:val="00BE0968"/>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Gemiddeldearcering2-accent2">
    <w:name w:val="Medium Shading 2 Accent 2"/>
    <w:basedOn w:val="Standaardtabel"/>
    <w:uiPriority w:val="99"/>
    <w:rsid w:val="00BE0968"/>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C0504D"/>
      </w:tcPr>
    </w:tblStylePr>
    <w:tblStylePr w:type="lastCol">
      <w:rPr>
        <w:rFonts w:cs="Times New Roman"/>
        <w:b/>
        <w:bCs/>
        <w:color w:val="FFFFFF"/>
      </w:rPr>
      <w:tblPr/>
      <w:tcPr>
        <w:tcBorders>
          <w:left w:val="nil"/>
          <w:right w:val="nil"/>
          <w:insideH w:val="nil"/>
          <w:insideV w:val="nil"/>
        </w:tcBorders>
        <w:shd w:val="clear" w:color="auto" w:fill="C0504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customStyle="1" w:styleId="Gemiddeldearcering2-accent11">
    <w:name w:val="Gemiddelde arcering 2 - accent 11"/>
    <w:uiPriority w:val="99"/>
    <w:rsid w:val="00BE0968"/>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Gemiddeldearcering1-accent6">
    <w:name w:val="Medium Shading 1 Accent 6"/>
    <w:basedOn w:val="Standaardtabel"/>
    <w:uiPriority w:val="99"/>
    <w:rsid w:val="00BE0968"/>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pPr>
      <w:rPr>
        <w:rFonts w:cs="Times New Roman"/>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DE4D0"/>
      </w:tcPr>
    </w:tblStylePr>
    <w:tblStylePr w:type="band1Horz">
      <w:rPr>
        <w:rFonts w:cs="Times New Roman"/>
      </w:rPr>
      <w:tblPr/>
      <w:tcPr>
        <w:tcBorders>
          <w:insideH w:val="nil"/>
          <w:insideV w:val="nil"/>
        </w:tcBorders>
        <w:shd w:val="clear" w:color="auto" w:fill="FDE4D0"/>
      </w:tcPr>
    </w:tblStylePr>
    <w:tblStylePr w:type="band2Horz">
      <w:rPr>
        <w:rFonts w:cs="Times New Roman"/>
      </w:rPr>
      <w:tblPr/>
      <w:tcPr>
        <w:tcBorders>
          <w:insideH w:val="nil"/>
          <w:insideV w:val="nil"/>
        </w:tcBorders>
      </w:tcPr>
    </w:tblStylePr>
  </w:style>
  <w:style w:type="table" w:customStyle="1" w:styleId="Gemiddeldelijst21">
    <w:name w:val="Gemiddelde lijst 21"/>
    <w:uiPriority w:val="99"/>
    <w:rsid w:val="00BE0968"/>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Lichtearcering2">
    <w:name w:val="Lichte arcering2"/>
    <w:uiPriority w:val="99"/>
    <w:rsid w:val="00241C00"/>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table" w:customStyle="1" w:styleId="Gemiddeldelijst11">
    <w:name w:val="Gemiddelde lijst 11"/>
    <w:uiPriority w:val="99"/>
    <w:rsid w:val="001B379E"/>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table" w:styleId="Gemiddeldearcering2-accent6">
    <w:name w:val="Medium Shading 2 Accent 6"/>
    <w:basedOn w:val="Standaardtabel"/>
    <w:uiPriority w:val="99"/>
    <w:rsid w:val="001B379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F79646"/>
      </w:tcPr>
    </w:tblStylePr>
    <w:tblStylePr w:type="lastCol">
      <w:rPr>
        <w:rFonts w:cs="Times New Roman"/>
        <w:b/>
        <w:bCs/>
        <w:color w:val="FFFFFF"/>
      </w:rPr>
      <w:tblPr/>
      <w:tcPr>
        <w:tcBorders>
          <w:left w:val="nil"/>
          <w:right w:val="nil"/>
          <w:insideH w:val="nil"/>
          <w:insideV w:val="nil"/>
        </w:tcBorders>
        <w:shd w:val="clear" w:color="auto" w:fill="F79646"/>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99"/>
    <w:rsid w:val="001B379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BACC6"/>
      </w:tcPr>
    </w:tblStylePr>
    <w:tblStylePr w:type="lastCol">
      <w:rPr>
        <w:rFonts w:cs="Times New Roman"/>
        <w:b/>
        <w:bCs/>
        <w:color w:val="FFFFFF"/>
      </w:rPr>
      <w:tblPr/>
      <w:tcPr>
        <w:tcBorders>
          <w:left w:val="nil"/>
          <w:right w:val="nil"/>
          <w:insideH w:val="nil"/>
          <w:insideV w:val="nil"/>
        </w:tcBorders>
        <w:shd w:val="clear" w:color="auto" w:fill="4BACC6"/>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99"/>
    <w:rsid w:val="001B379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8064A2"/>
      </w:tcPr>
    </w:tblStylePr>
    <w:tblStylePr w:type="lastCol">
      <w:rPr>
        <w:rFonts w:cs="Times New Roman"/>
        <w:b/>
        <w:bCs/>
        <w:color w:val="FFFFFF"/>
      </w:rPr>
      <w:tblPr/>
      <w:tcPr>
        <w:tcBorders>
          <w:left w:val="nil"/>
          <w:right w:val="nil"/>
          <w:insideH w:val="nil"/>
          <w:insideV w:val="nil"/>
        </w:tcBorders>
        <w:shd w:val="clear" w:color="auto" w:fill="8064A2"/>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99"/>
    <w:rsid w:val="001B379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9BBB59"/>
      </w:tcPr>
    </w:tblStylePr>
    <w:tblStylePr w:type="lastCol">
      <w:rPr>
        <w:rFonts w:cs="Times New Roman"/>
        <w:b/>
        <w:bCs/>
        <w:color w:val="FFFFFF"/>
      </w:rPr>
      <w:tblPr/>
      <w:tcPr>
        <w:tcBorders>
          <w:left w:val="nil"/>
          <w:right w:val="nil"/>
          <w:insideH w:val="nil"/>
          <w:insideV w:val="nil"/>
        </w:tcBorders>
        <w:shd w:val="clear" w:color="auto" w:fill="9BBB59"/>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Gemiddeldearcering1-accent5">
    <w:name w:val="Medium Shading 1 Accent 5"/>
    <w:basedOn w:val="Standaardtabel"/>
    <w:uiPriority w:val="99"/>
    <w:rsid w:val="001B379E"/>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pPr>
      <w:rPr>
        <w:rFonts w:cs="Times New Roman"/>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cPr>
    </w:tblStylePr>
    <w:tblStylePr w:type="band1Horz">
      <w:rPr>
        <w:rFonts w:cs="Times New Roman"/>
      </w:rPr>
      <w:tblPr/>
      <w:tcPr>
        <w:tcBorders>
          <w:insideH w:val="nil"/>
          <w:insideV w:val="nil"/>
        </w:tcBorders>
        <w:shd w:val="clear" w:color="auto" w:fill="D2EAF1"/>
      </w:tcPr>
    </w:tblStylePr>
    <w:tblStylePr w:type="band2Horz">
      <w:rPr>
        <w:rFonts w:cs="Times New Roman"/>
      </w:rPr>
      <w:tblPr/>
      <w:tcPr>
        <w:tcBorders>
          <w:insideH w:val="nil"/>
          <w:insideV w:val="nil"/>
        </w:tcBorders>
      </w:tcPr>
    </w:tblStylePr>
  </w:style>
  <w:style w:type="table" w:customStyle="1" w:styleId="Lichtearcering-accent12">
    <w:name w:val="Lichte arcering - accent 12"/>
    <w:uiPriority w:val="99"/>
    <w:rsid w:val="00BD3A8C"/>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chtraster1">
    <w:name w:val="Licht raster1"/>
    <w:uiPriority w:val="99"/>
    <w:rsid w:val="005D57C7"/>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table" w:customStyle="1" w:styleId="LightShading1">
    <w:name w:val="Light Shading1"/>
    <w:uiPriority w:val="99"/>
    <w:rsid w:val="00B75B65"/>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character" w:styleId="GevolgdeHyperlink">
    <w:name w:val="FollowedHyperlink"/>
    <w:basedOn w:val="Standaardalinea-lettertype"/>
    <w:uiPriority w:val="99"/>
    <w:rsid w:val="006C1C1E"/>
    <w:rPr>
      <w:rFonts w:cs="Times New Roman"/>
      <w:color w:val="0000FF"/>
      <w:u w:val="single"/>
    </w:rPr>
  </w:style>
  <w:style w:type="character" w:styleId="HTML-citaat">
    <w:name w:val="HTML Cite"/>
    <w:basedOn w:val="Standaardalinea-lettertype"/>
    <w:uiPriority w:val="99"/>
    <w:rsid w:val="006C1C1E"/>
    <w:rPr>
      <w:rFonts w:cs="Times New Roman"/>
    </w:rPr>
  </w:style>
  <w:style w:type="character" w:styleId="HTMLCode">
    <w:name w:val="HTML Code"/>
    <w:basedOn w:val="Standaardalinea-lettertype"/>
    <w:uiPriority w:val="99"/>
    <w:rsid w:val="006C1C1E"/>
    <w:rPr>
      <w:rFonts w:ascii="Courier New" w:hAnsi="Courier New" w:cs="Courier New"/>
      <w:sz w:val="20"/>
      <w:szCs w:val="20"/>
    </w:rPr>
  </w:style>
  <w:style w:type="paragraph" w:styleId="HTML-voorafopgemaakt">
    <w:name w:val="HTML Preformatted"/>
    <w:basedOn w:val="Standaard"/>
    <w:link w:val="HTML-voorafopgemaaktChar"/>
    <w:uiPriority w:val="99"/>
    <w:rsid w:val="006C1C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bidi="ar-SA"/>
    </w:rPr>
  </w:style>
  <w:style w:type="character" w:customStyle="1" w:styleId="HTML-voorafopgemaaktChar">
    <w:name w:val="HTML - vooraf opgemaakt Char"/>
    <w:basedOn w:val="Standaardalinea-lettertype"/>
    <w:link w:val="HTML-voorafopgemaakt"/>
    <w:uiPriority w:val="99"/>
    <w:semiHidden/>
    <w:locked/>
    <w:rsid w:val="001A5065"/>
    <w:rPr>
      <w:rFonts w:ascii="Courier New" w:hAnsi="Courier New" w:cs="Angsana New"/>
      <w:sz w:val="25"/>
      <w:szCs w:val="25"/>
      <w:lang w:val="en-AU" w:eastAsia="en-AU" w:bidi="th-TH"/>
    </w:rPr>
  </w:style>
  <w:style w:type="character" w:styleId="HTML-schrijfmachine">
    <w:name w:val="HTML Typewriter"/>
    <w:basedOn w:val="Standaardalinea-lettertype"/>
    <w:uiPriority w:val="99"/>
    <w:rsid w:val="006C1C1E"/>
    <w:rPr>
      <w:rFonts w:ascii="Courier New" w:hAnsi="Courier New" w:cs="Courier New"/>
      <w:sz w:val="20"/>
      <w:szCs w:val="20"/>
    </w:rPr>
  </w:style>
  <w:style w:type="paragraph" w:styleId="Normaalweb">
    <w:name w:val="Normal (Web)"/>
    <w:basedOn w:val="Standaard"/>
    <w:uiPriority w:val="99"/>
    <w:rsid w:val="006C1C1E"/>
    <w:pPr>
      <w:spacing w:before="100" w:beforeAutospacing="1" w:after="100" w:afterAutospacing="1"/>
    </w:pPr>
    <w:rPr>
      <w:rFonts w:cs="Times New Roman"/>
      <w:lang w:val="en-US" w:eastAsia="en-US" w:bidi="ar-SA"/>
    </w:rPr>
  </w:style>
  <w:style w:type="paragraph" w:customStyle="1" w:styleId="suggestions">
    <w:name w:val="suggestions"/>
    <w:basedOn w:val="Standaard"/>
    <w:uiPriority w:val="99"/>
    <w:rsid w:val="006C1C1E"/>
    <w:rPr>
      <w:rFonts w:cs="Times New Roman"/>
      <w:lang w:val="en-US" w:eastAsia="en-US" w:bidi="ar-SA"/>
    </w:rPr>
  </w:style>
  <w:style w:type="paragraph" w:customStyle="1" w:styleId="suggestions-special">
    <w:name w:val="suggestions-special"/>
    <w:basedOn w:val="Standaard"/>
    <w:uiPriority w:val="99"/>
    <w:rsid w:val="006C1C1E"/>
    <w:pPr>
      <w:pBdr>
        <w:top w:val="single" w:sz="6" w:space="3" w:color="AAAAAA"/>
        <w:left w:val="single" w:sz="6" w:space="3" w:color="AAAAAA"/>
        <w:bottom w:val="single" w:sz="6" w:space="3" w:color="AAAAAA"/>
        <w:right w:val="single" w:sz="6" w:space="3" w:color="AAAAAA"/>
      </w:pBdr>
      <w:spacing w:line="300" w:lineRule="atLeast"/>
    </w:pPr>
    <w:rPr>
      <w:rFonts w:cs="Times New Roman"/>
      <w:vanish/>
      <w:sz w:val="19"/>
      <w:szCs w:val="19"/>
      <w:lang w:val="en-US" w:eastAsia="en-US" w:bidi="ar-SA"/>
    </w:rPr>
  </w:style>
  <w:style w:type="paragraph" w:customStyle="1" w:styleId="suggestions-results">
    <w:name w:val="suggestions-results"/>
    <w:basedOn w:val="Standaard"/>
    <w:uiPriority w:val="99"/>
    <w:rsid w:val="006C1C1E"/>
    <w:pPr>
      <w:pBdr>
        <w:top w:val="single" w:sz="6" w:space="0" w:color="AAAAAA"/>
        <w:left w:val="single" w:sz="6" w:space="0" w:color="AAAAAA"/>
        <w:bottom w:val="single" w:sz="6" w:space="0" w:color="AAAAAA"/>
        <w:right w:val="single" w:sz="6" w:space="0" w:color="AAAAAA"/>
      </w:pBdr>
      <w:shd w:val="clear" w:color="auto" w:fill="FFFFFF"/>
    </w:pPr>
    <w:rPr>
      <w:rFonts w:cs="Times New Roman"/>
      <w:sz w:val="19"/>
      <w:szCs w:val="19"/>
      <w:lang w:val="en-US" w:eastAsia="en-US" w:bidi="ar-SA"/>
    </w:rPr>
  </w:style>
  <w:style w:type="paragraph" w:customStyle="1" w:styleId="suggestions-result">
    <w:name w:val="suggestions-result"/>
    <w:basedOn w:val="Standaard"/>
    <w:uiPriority w:val="99"/>
    <w:rsid w:val="006C1C1E"/>
    <w:pPr>
      <w:spacing w:line="360" w:lineRule="atLeast"/>
    </w:pPr>
    <w:rPr>
      <w:rFonts w:cs="Times New Roman"/>
      <w:lang w:val="en-US" w:eastAsia="en-US" w:bidi="ar-SA"/>
    </w:rPr>
  </w:style>
  <w:style w:type="paragraph" w:customStyle="1" w:styleId="suggestions-result-current">
    <w:name w:val="suggestions-result-current"/>
    <w:basedOn w:val="Standaard"/>
    <w:uiPriority w:val="99"/>
    <w:rsid w:val="006C1C1E"/>
    <w:pPr>
      <w:shd w:val="clear" w:color="auto" w:fill="4C59A6"/>
      <w:spacing w:before="100" w:beforeAutospacing="1" w:after="100" w:afterAutospacing="1"/>
    </w:pPr>
    <w:rPr>
      <w:rFonts w:cs="Times New Roman"/>
      <w:color w:val="FFFFFF"/>
      <w:lang w:val="en-US" w:eastAsia="en-US" w:bidi="ar-SA"/>
    </w:rPr>
  </w:style>
  <w:style w:type="paragraph" w:customStyle="1" w:styleId="autoellipsis-matched">
    <w:name w:val="autoellipsis-matched"/>
    <w:basedOn w:val="Standaard"/>
    <w:uiPriority w:val="99"/>
    <w:rsid w:val="006C1C1E"/>
    <w:pPr>
      <w:spacing w:before="100" w:beforeAutospacing="1" w:after="100" w:afterAutospacing="1"/>
    </w:pPr>
    <w:rPr>
      <w:rFonts w:cs="Times New Roman"/>
      <w:b/>
      <w:bCs/>
      <w:lang w:val="en-US" w:eastAsia="en-US" w:bidi="ar-SA"/>
    </w:rPr>
  </w:style>
  <w:style w:type="paragraph" w:customStyle="1" w:styleId="wikieditor-ui">
    <w:name w:val="wikieditor-ui"/>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E0EEF7"/>
      <w:spacing w:before="100" w:beforeAutospacing="1" w:after="100" w:afterAutospacing="1"/>
    </w:pPr>
    <w:rPr>
      <w:rFonts w:cs="Times New Roman"/>
      <w:lang w:val="en-US" w:eastAsia="en-US" w:bidi="ar-SA"/>
    </w:rPr>
  </w:style>
  <w:style w:type="paragraph" w:customStyle="1" w:styleId="wikieditor-wikitext">
    <w:name w:val="wikieditor-wikitext"/>
    <w:basedOn w:val="Standaard"/>
    <w:uiPriority w:val="99"/>
    <w:rsid w:val="006C1C1E"/>
    <w:pPr>
      <w:spacing w:before="100" w:beforeAutospacing="1" w:after="100" w:afterAutospacing="1"/>
    </w:pPr>
    <w:rPr>
      <w:rFonts w:cs="Times New Roman"/>
      <w:lang w:val="en-US" w:eastAsia="en-US" w:bidi="ar-SA"/>
    </w:rPr>
  </w:style>
  <w:style w:type="paragraph" w:customStyle="1" w:styleId="wikieditor-ui-controls">
    <w:name w:val="wikieditor-ui-controls"/>
    <w:basedOn w:val="Standaard"/>
    <w:uiPriority w:val="99"/>
    <w:rsid w:val="006C1C1E"/>
    <w:pPr>
      <w:pBdr>
        <w:bottom w:val="single" w:sz="6" w:space="0" w:color="C0C0C0"/>
      </w:pBdr>
      <w:shd w:val="clear" w:color="auto" w:fill="FFFFFF"/>
      <w:spacing w:after="100" w:afterAutospacing="1"/>
    </w:pPr>
    <w:rPr>
      <w:rFonts w:cs="Times New Roman"/>
      <w:lang w:val="en-US" w:eastAsia="en-US" w:bidi="ar-SA"/>
    </w:rPr>
  </w:style>
  <w:style w:type="paragraph" w:customStyle="1" w:styleId="wikieditor-ui-tabs">
    <w:name w:val="wikieditor-ui-tabs"/>
    <w:basedOn w:val="Standaard"/>
    <w:uiPriority w:val="99"/>
    <w:rsid w:val="006C1C1E"/>
    <w:pPr>
      <w:pBdr>
        <w:top w:val="single" w:sz="6" w:space="0" w:color="C0C0C0"/>
        <w:left w:val="single" w:sz="6" w:space="0" w:color="C0C0C0"/>
      </w:pBdr>
      <w:shd w:val="clear" w:color="auto" w:fill="FFFFFF"/>
      <w:spacing w:before="100" w:beforeAutospacing="1" w:after="100" w:afterAutospacing="1"/>
      <w:ind w:left="-15"/>
    </w:pPr>
    <w:rPr>
      <w:rFonts w:cs="Times New Roman"/>
      <w:lang w:val="en-US" w:eastAsia="en-US" w:bidi="ar-SA"/>
    </w:rPr>
  </w:style>
  <w:style w:type="paragraph" w:customStyle="1" w:styleId="wikieditor-ui-buttons">
    <w:name w:val="wikieditor-ui-buttons"/>
    <w:basedOn w:val="Standaard"/>
    <w:uiPriority w:val="99"/>
    <w:rsid w:val="006C1C1E"/>
    <w:pPr>
      <w:pBdr>
        <w:top w:val="single" w:sz="6" w:space="0" w:color="FFFFFF"/>
      </w:pBdr>
      <w:shd w:val="clear" w:color="auto" w:fill="FFFFFF"/>
      <w:spacing w:before="100" w:beforeAutospacing="1" w:after="100" w:afterAutospacing="1"/>
      <w:ind w:right="-15"/>
    </w:pPr>
    <w:rPr>
      <w:rFonts w:cs="Times New Roman"/>
      <w:lang w:val="en-US" w:eastAsia="en-US" w:bidi="ar-SA"/>
    </w:rPr>
  </w:style>
  <w:style w:type="paragraph" w:customStyle="1" w:styleId="wikieditor-view-wikitext">
    <w:name w:val="wikieditor-view-wikitext"/>
    <w:basedOn w:val="Standaard"/>
    <w:uiPriority w:val="99"/>
    <w:rsid w:val="006C1C1E"/>
    <w:pPr>
      <w:spacing w:before="100" w:beforeAutospacing="1" w:after="100" w:afterAutospacing="1" w:line="240" w:lineRule="atLeast"/>
    </w:pPr>
    <w:rPr>
      <w:rFonts w:cs="Times New Roman"/>
      <w:lang w:val="en-US" w:eastAsia="en-US" w:bidi="ar-SA"/>
    </w:rPr>
  </w:style>
  <w:style w:type="paragraph" w:customStyle="1" w:styleId="wikieditor-ui-loading">
    <w:name w:val="wikieditor-ui-loading"/>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F3F3F3"/>
      <w:ind w:left="-15" w:right="-15"/>
      <w:jc w:val="center"/>
    </w:pPr>
    <w:rPr>
      <w:rFonts w:cs="Times New Roman"/>
      <w:lang w:val="en-US" w:eastAsia="en-US" w:bidi="ar-SA"/>
    </w:rPr>
  </w:style>
  <w:style w:type="paragraph" w:customStyle="1" w:styleId="wikieditor-toolbar-field-wrapper">
    <w:name w:val="wikieditor-toolbar-field-wrapper"/>
    <w:basedOn w:val="Standaard"/>
    <w:uiPriority w:val="99"/>
    <w:rsid w:val="006C1C1E"/>
    <w:pPr>
      <w:spacing w:before="100" w:beforeAutospacing="1" w:after="100" w:afterAutospacing="1"/>
    </w:pPr>
    <w:rPr>
      <w:rFonts w:cs="Times New Roman"/>
      <w:lang w:val="en-US" w:eastAsia="en-US" w:bidi="ar-SA"/>
    </w:rPr>
  </w:style>
  <w:style w:type="paragraph" w:customStyle="1" w:styleId="wikieditor-toolbar-floated-field-wrapper">
    <w:name w:val="wikieditor-toolbar-floated-field-wrapper"/>
    <w:basedOn w:val="Standaard"/>
    <w:uiPriority w:val="99"/>
    <w:rsid w:val="006C1C1E"/>
    <w:pPr>
      <w:spacing w:before="100" w:beforeAutospacing="1" w:after="100" w:afterAutospacing="1"/>
      <w:ind w:right="480"/>
    </w:pPr>
    <w:rPr>
      <w:rFonts w:cs="Times New Roman"/>
      <w:lang w:val="en-US" w:eastAsia="en-US" w:bidi="ar-SA"/>
    </w:rPr>
  </w:style>
  <w:style w:type="paragraph" w:customStyle="1" w:styleId="wikieditor-toolbar-dialog-hint">
    <w:name w:val="wikieditor-toolbar-dialog-hint"/>
    <w:basedOn w:val="Standaard"/>
    <w:uiPriority w:val="99"/>
    <w:rsid w:val="006C1C1E"/>
    <w:pPr>
      <w:spacing w:before="100" w:beforeAutospacing="1" w:after="100" w:afterAutospacing="1"/>
    </w:pPr>
    <w:rPr>
      <w:rFonts w:cs="Times New Roman"/>
      <w:color w:val="999999"/>
      <w:lang w:val="en-US" w:eastAsia="en-US" w:bidi="ar-SA"/>
    </w:rPr>
  </w:style>
  <w:style w:type="paragraph" w:customStyle="1" w:styleId="wikieditor-toolbar-dialog-wrapper">
    <w:name w:val="wikieditor-toolbar-dialog-wrapper"/>
    <w:basedOn w:val="Standaard"/>
    <w:uiPriority w:val="99"/>
    <w:rsid w:val="006C1C1E"/>
    <w:pPr>
      <w:spacing w:before="100" w:beforeAutospacing="1" w:after="100" w:afterAutospacing="1"/>
    </w:pPr>
    <w:rPr>
      <w:rFonts w:cs="Times New Roman"/>
      <w:lang w:val="en-US" w:eastAsia="en-US" w:bidi="ar-SA"/>
    </w:rPr>
  </w:style>
  <w:style w:type="paragraph" w:customStyle="1" w:styleId="wikieditor-toolbar-table-dimension-fields">
    <w:name w:val="wikieditor-toolbar-table-dimension-fields"/>
    <w:basedOn w:val="Standaard"/>
    <w:uiPriority w:val="99"/>
    <w:rsid w:val="006C1C1E"/>
    <w:pPr>
      <w:spacing w:before="100" w:beforeAutospacing="1" w:after="100" w:afterAutospacing="1"/>
    </w:pPr>
    <w:rPr>
      <w:rFonts w:cs="Times New Roman"/>
      <w:lang w:val="en-US" w:eastAsia="en-US" w:bidi="ar-SA"/>
    </w:rPr>
  </w:style>
  <w:style w:type="paragraph" w:customStyle="1" w:styleId="wikieditor-dialog-editoptions">
    <w:name w:val="wikieditor-dialog-editoptions"/>
    <w:basedOn w:val="Standaard"/>
    <w:uiPriority w:val="99"/>
    <w:rsid w:val="006C1C1E"/>
    <w:pPr>
      <w:spacing w:before="225" w:after="100" w:afterAutospacing="1"/>
    </w:pPr>
    <w:rPr>
      <w:rFonts w:cs="Times New Roman"/>
      <w:lang w:val="en-US" w:eastAsia="en-US" w:bidi="ar-SA"/>
    </w:rPr>
  </w:style>
  <w:style w:type="paragraph" w:customStyle="1" w:styleId="wikieditor-publish-dialog-copywarn">
    <w:name w:val="wikieditor-publish-dialog-copywarn"/>
    <w:basedOn w:val="Standaard"/>
    <w:uiPriority w:val="99"/>
    <w:rsid w:val="006C1C1E"/>
    <w:pPr>
      <w:spacing w:before="120" w:after="100" w:afterAutospacing="1"/>
    </w:pPr>
    <w:rPr>
      <w:rFonts w:cs="Times New Roman"/>
      <w:lang w:val="en-US" w:eastAsia="en-US" w:bidi="ar-SA"/>
    </w:rPr>
  </w:style>
  <w:style w:type="paragraph" w:customStyle="1" w:styleId="wikieditor-publish-dialog-summary">
    <w:name w:val="wikieditor-publish-dialog-summary"/>
    <w:basedOn w:val="Standaard"/>
    <w:uiPriority w:val="99"/>
    <w:rsid w:val="006C1C1E"/>
    <w:pPr>
      <w:spacing w:before="360" w:after="100" w:afterAutospacing="1"/>
    </w:pPr>
    <w:rPr>
      <w:rFonts w:cs="Times New Roman"/>
      <w:lang w:val="en-US" w:eastAsia="en-US" w:bidi="ar-SA"/>
    </w:rPr>
  </w:style>
  <w:style w:type="paragraph" w:customStyle="1" w:styleId="wikieditor-publish-dialog-options">
    <w:name w:val="wikieditor-publish-dialog-options"/>
    <w:basedOn w:val="Standaard"/>
    <w:uiPriority w:val="99"/>
    <w:rsid w:val="006C1C1E"/>
    <w:pPr>
      <w:spacing w:before="360" w:after="100" w:afterAutospacing="1"/>
    </w:pPr>
    <w:rPr>
      <w:rFonts w:cs="Times New Roman"/>
      <w:lang w:val="en-US" w:eastAsia="en-US" w:bidi="ar-SA"/>
    </w:rPr>
  </w:style>
  <w:style w:type="paragraph" w:customStyle="1" w:styleId="wikieditor-ui-toolbar">
    <w:name w:val="wikieditor-ui-toolbar"/>
    <w:basedOn w:val="Standaard"/>
    <w:uiPriority w:val="99"/>
    <w:rsid w:val="006C1C1E"/>
    <w:pPr>
      <w:spacing w:before="100" w:beforeAutospacing="1" w:after="100" w:afterAutospacing="1"/>
    </w:pPr>
    <w:rPr>
      <w:rFonts w:cs="Times New Roman"/>
      <w:lang w:val="en-US" w:eastAsia="en-US" w:bidi="ar-SA"/>
    </w:rPr>
  </w:style>
  <w:style w:type="paragraph" w:customStyle="1" w:styleId="wikieditor-toolbar-spritedbutton">
    <w:name w:val="wikieditor-toolbar-spritedbutton"/>
    <w:basedOn w:val="Standaard"/>
    <w:uiPriority w:val="99"/>
    <w:rsid w:val="006C1C1E"/>
    <w:pPr>
      <w:spacing w:before="100" w:beforeAutospacing="1" w:after="100" w:afterAutospacing="1"/>
      <w:ind w:hanging="18913"/>
    </w:pPr>
    <w:rPr>
      <w:rFonts w:cs="Times New Roman"/>
      <w:lang w:val="en-US" w:eastAsia="en-US" w:bidi="ar-SA"/>
    </w:rPr>
  </w:style>
  <w:style w:type="paragraph" w:customStyle="1" w:styleId="ui-helper-hidden">
    <w:name w:val="ui-helper-hidden"/>
    <w:basedOn w:val="Standaard"/>
    <w:uiPriority w:val="99"/>
    <w:rsid w:val="006C1C1E"/>
    <w:pPr>
      <w:spacing w:before="100" w:beforeAutospacing="1" w:after="100" w:afterAutospacing="1"/>
    </w:pPr>
    <w:rPr>
      <w:rFonts w:cs="Times New Roman"/>
      <w:vanish/>
      <w:lang w:val="en-US" w:eastAsia="en-US" w:bidi="ar-SA"/>
    </w:rPr>
  </w:style>
  <w:style w:type="paragraph" w:customStyle="1" w:styleId="ui-helper-reset">
    <w:name w:val="ui-helper-reset"/>
    <w:basedOn w:val="Standaard"/>
    <w:uiPriority w:val="99"/>
    <w:rsid w:val="006C1C1E"/>
    <w:rPr>
      <w:rFonts w:cs="Times New Roman"/>
      <w:lang w:val="en-US" w:eastAsia="en-US" w:bidi="ar-SA"/>
    </w:rPr>
  </w:style>
  <w:style w:type="paragraph" w:customStyle="1" w:styleId="ui-helper-clearfix">
    <w:name w:val="ui-helper-clearfix"/>
    <w:basedOn w:val="Standaard"/>
    <w:uiPriority w:val="99"/>
    <w:rsid w:val="006C1C1E"/>
    <w:pPr>
      <w:spacing w:before="100" w:beforeAutospacing="1" w:after="100" w:afterAutospacing="1"/>
    </w:pPr>
    <w:rPr>
      <w:rFonts w:cs="Times New Roman"/>
      <w:lang w:val="en-US" w:eastAsia="en-US" w:bidi="ar-SA"/>
    </w:rPr>
  </w:style>
  <w:style w:type="paragraph" w:customStyle="1" w:styleId="ui-helper-zfix">
    <w:name w:val="ui-helper-zfix"/>
    <w:basedOn w:val="Standaard"/>
    <w:uiPriority w:val="99"/>
    <w:rsid w:val="006C1C1E"/>
    <w:pPr>
      <w:spacing w:before="100" w:beforeAutospacing="1" w:after="100" w:afterAutospacing="1"/>
    </w:pPr>
    <w:rPr>
      <w:rFonts w:cs="Times New Roman"/>
      <w:lang w:val="en-US" w:eastAsia="en-US" w:bidi="ar-SA"/>
    </w:rPr>
  </w:style>
  <w:style w:type="paragraph" w:customStyle="1" w:styleId="ui-icon">
    <w:name w:val="ui-icon"/>
    <w:basedOn w:val="Standaard"/>
    <w:uiPriority w:val="99"/>
    <w:rsid w:val="006C1C1E"/>
    <w:pPr>
      <w:spacing w:before="100" w:beforeAutospacing="1" w:after="100" w:afterAutospacing="1"/>
      <w:ind w:firstLine="7343"/>
    </w:pPr>
    <w:rPr>
      <w:rFonts w:cs="Times New Roman"/>
      <w:lang w:val="en-US" w:eastAsia="en-US" w:bidi="ar-SA"/>
    </w:rPr>
  </w:style>
  <w:style w:type="paragraph" w:customStyle="1" w:styleId="ui-widget-overlay">
    <w:name w:val="ui-widget-overlay"/>
    <w:basedOn w:val="Standaard"/>
    <w:uiPriority w:val="99"/>
    <w:rsid w:val="006C1C1E"/>
    <w:pPr>
      <w:shd w:val="clear" w:color="auto" w:fill="000000"/>
      <w:spacing w:before="100" w:beforeAutospacing="1" w:after="100" w:afterAutospacing="1"/>
    </w:pPr>
    <w:rPr>
      <w:rFonts w:cs="Times New Roman"/>
      <w:lang w:val="en-US" w:eastAsia="en-US" w:bidi="ar-SA"/>
    </w:rPr>
  </w:style>
  <w:style w:type="paragraph" w:customStyle="1" w:styleId="ui-widget">
    <w:name w:val="ui-widget"/>
    <w:basedOn w:val="Standaard"/>
    <w:uiPriority w:val="99"/>
    <w:rsid w:val="006C1C1E"/>
    <w:pPr>
      <w:spacing w:before="100" w:beforeAutospacing="1" w:after="100" w:afterAutospacing="1"/>
    </w:pPr>
    <w:rPr>
      <w:rFonts w:ascii="Arial" w:hAnsi="Arial" w:cs="Arial"/>
      <w:sz w:val="22"/>
      <w:szCs w:val="22"/>
      <w:lang w:val="en-US" w:eastAsia="en-US" w:bidi="ar-SA"/>
    </w:rPr>
  </w:style>
  <w:style w:type="paragraph" w:customStyle="1" w:styleId="ui-widget-content">
    <w:name w:val="ui-widget-content"/>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FFFFFF"/>
      <w:spacing w:before="100" w:beforeAutospacing="1" w:after="100" w:afterAutospacing="1"/>
    </w:pPr>
    <w:rPr>
      <w:rFonts w:cs="Times New Roman"/>
      <w:color w:val="000000"/>
      <w:lang w:val="en-US" w:eastAsia="en-US" w:bidi="ar-SA"/>
    </w:rPr>
  </w:style>
  <w:style w:type="paragraph" w:customStyle="1" w:styleId="ui-widget-header">
    <w:name w:val="ui-widget-header"/>
    <w:basedOn w:val="Standaard"/>
    <w:uiPriority w:val="99"/>
    <w:rsid w:val="006C1C1E"/>
    <w:pPr>
      <w:pBdr>
        <w:bottom w:val="single" w:sz="6" w:space="0" w:color="C0C0C0"/>
      </w:pBdr>
      <w:shd w:val="clear" w:color="auto" w:fill="E2EEF6"/>
      <w:spacing w:before="100" w:beforeAutospacing="1" w:after="100" w:afterAutospacing="1" w:line="240" w:lineRule="atLeast"/>
    </w:pPr>
    <w:rPr>
      <w:rFonts w:cs="Times New Roman"/>
      <w:b/>
      <w:bCs/>
      <w:color w:val="333333"/>
      <w:lang w:val="en-US" w:eastAsia="en-US" w:bidi="ar-SA"/>
    </w:rPr>
  </w:style>
  <w:style w:type="paragraph" w:customStyle="1" w:styleId="ui-state-default">
    <w:name w:val="ui-state-default"/>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E2EEF6"/>
      <w:spacing w:before="100" w:beforeAutospacing="1" w:after="100" w:afterAutospacing="1"/>
    </w:pPr>
    <w:rPr>
      <w:rFonts w:cs="Times New Roman"/>
      <w:color w:val="333333"/>
      <w:lang w:val="en-US" w:eastAsia="en-US" w:bidi="ar-SA"/>
    </w:rPr>
  </w:style>
  <w:style w:type="paragraph" w:customStyle="1" w:styleId="ui-state-hover">
    <w:name w:val="ui-state-hover"/>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FFFFFF"/>
      <w:spacing w:before="100" w:beforeAutospacing="1" w:after="100" w:afterAutospacing="1"/>
    </w:pPr>
    <w:rPr>
      <w:rFonts w:cs="Times New Roman"/>
      <w:color w:val="333333"/>
      <w:lang w:val="en-US" w:eastAsia="en-US" w:bidi="ar-SA"/>
    </w:rPr>
  </w:style>
  <w:style w:type="paragraph" w:customStyle="1" w:styleId="ui-state-focus">
    <w:name w:val="ui-state-focus"/>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FFFFFF"/>
      <w:spacing w:before="100" w:beforeAutospacing="1" w:after="100" w:afterAutospacing="1"/>
    </w:pPr>
    <w:rPr>
      <w:rFonts w:cs="Times New Roman"/>
      <w:color w:val="333333"/>
      <w:lang w:val="en-US" w:eastAsia="en-US" w:bidi="ar-SA"/>
    </w:rPr>
  </w:style>
  <w:style w:type="paragraph" w:customStyle="1" w:styleId="ui-state-active">
    <w:name w:val="ui-state-active"/>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FFFFFF"/>
      <w:spacing w:before="100" w:beforeAutospacing="1" w:after="100" w:afterAutospacing="1"/>
    </w:pPr>
    <w:rPr>
      <w:rFonts w:cs="Times New Roman"/>
      <w:color w:val="333333"/>
      <w:lang w:val="en-US" w:eastAsia="en-US" w:bidi="ar-SA"/>
    </w:rPr>
  </w:style>
  <w:style w:type="paragraph" w:customStyle="1" w:styleId="ui-state-highlight">
    <w:name w:val="ui-state-highlight"/>
    <w:basedOn w:val="Standaard"/>
    <w:uiPriority w:val="99"/>
    <w:rsid w:val="006C1C1E"/>
    <w:pPr>
      <w:pBdr>
        <w:top w:val="single" w:sz="6" w:space="0" w:color="FCEFA1"/>
        <w:left w:val="single" w:sz="6" w:space="0" w:color="FCEFA1"/>
        <w:bottom w:val="single" w:sz="6" w:space="0" w:color="FCEFA1"/>
        <w:right w:val="single" w:sz="6" w:space="0" w:color="FCEFA1"/>
      </w:pBdr>
      <w:spacing w:before="100" w:beforeAutospacing="1" w:after="100" w:afterAutospacing="1"/>
    </w:pPr>
    <w:rPr>
      <w:rFonts w:cs="Times New Roman"/>
      <w:color w:val="363636"/>
      <w:lang w:val="en-US" w:eastAsia="en-US" w:bidi="ar-SA"/>
    </w:rPr>
  </w:style>
  <w:style w:type="paragraph" w:customStyle="1" w:styleId="ui-state-error">
    <w:name w:val="ui-state-error"/>
    <w:basedOn w:val="Standaard"/>
    <w:uiPriority w:val="99"/>
    <w:rsid w:val="006C1C1E"/>
    <w:pPr>
      <w:pBdr>
        <w:top w:val="single" w:sz="6" w:space="0" w:color="CD0A0A"/>
        <w:left w:val="single" w:sz="6" w:space="0" w:color="CD0A0A"/>
        <w:bottom w:val="single" w:sz="6" w:space="0" w:color="CD0A0A"/>
        <w:right w:val="single" w:sz="6" w:space="0" w:color="CD0A0A"/>
      </w:pBdr>
      <w:spacing w:before="100" w:beforeAutospacing="1" w:after="100" w:afterAutospacing="1"/>
    </w:pPr>
    <w:rPr>
      <w:rFonts w:cs="Times New Roman"/>
      <w:color w:val="CD0A0A"/>
      <w:lang w:val="en-US" w:eastAsia="en-US" w:bidi="ar-SA"/>
    </w:rPr>
  </w:style>
  <w:style w:type="paragraph" w:customStyle="1" w:styleId="ui-state-error-text">
    <w:name w:val="ui-state-error-text"/>
    <w:basedOn w:val="Standaard"/>
    <w:uiPriority w:val="99"/>
    <w:rsid w:val="006C1C1E"/>
    <w:pPr>
      <w:spacing w:before="100" w:beforeAutospacing="1" w:after="100" w:afterAutospacing="1"/>
    </w:pPr>
    <w:rPr>
      <w:rFonts w:cs="Times New Roman"/>
      <w:color w:val="CD0A0A"/>
      <w:lang w:val="en-US" w:eastAsia="en-US" w:bidi="ar-SA"/>
    </w:rPr>
  </w:style>
  <w:style w:type="paragraph" w:customStyle="1" w:styleId="ui-state-disabled">
    <w:name w:val="ui-state-disabled"/>
    <w:basedOn w:val="Standaard"/>
    <w:uiPriority w:val="99"/>
    <w:rsid w:val="006C1C1E"/>
    <w:pPr>
      <w:spacing w:before="100" w:beforeAutospacing="1" w:after="100" w:afterAutospacing="1"/>
    </w:pPr>
    <w:rPr>
      <w:rFonts w:cs="Times New Roman"/>
      <w:lang w:val="en-US" w:eastAsia="en-US" w:bidi="ar-SA"/>
    </w:rPr>
  </w:style>
  <w:style w:type="paragraph" w:customStyle="1" w:styleId="ui-priority-primary">
    <w:name w:val="ui-priority-primary"/>
    <w:basedOn w:val="Standaard"/>
    <w:uiPriority w:val="99"/>
    <w:rsid w:val="006C1C1E"/>
    <w:pPr>
      <w:spacing w:before="100" w:beforeAutospacing="1" w:after="100" w:afterAutospacing="1"/>
    </w:pPr>
    <w:rPr>
      <w:rFonts w:cs="Times New Roman"/>
      <w:b/>
      <w:bCs/>
      <w:lang w:val="en-US" w:eastAsia="en-US" w:bidi="ar-SA"/>
    </w:rPr>
  </w:style>
  <w:style w:type="paragraph" w:customStyle="1" w:styleId="ui-priority-secondary">
    <w:name w:val="ui-priority-secondary"/>
    <w:basedOn w:val="Standaard"/>
    <w:uiPriority w:val="99"/>
    <w:rsid w:val="006C1C1E"/>
    <w:pPr>
      <w:spacing w:before="100" w:beforeAutospacing="1" w:after="100" w:afterAutospacing="1"/>
    </w:pPr>
    <w:rPr>
      <w:rFonts w:cs="Times New Roman"/>
      <w:lang w:val="en-US" w:eastAsia="en-US" w:bidi="ar-SA"/>
    </w:rPr>
  </w:style>
  <w:style w:type="paragraph" w:customStyle="1" w:styleId="ui-widget-shadow">
    <w:name w:val="ui-widget-shadow"/>
    <w:basedOn w:val="Standaard"/>
    <w:uiPriority w:val="99"/>
    <w:rsid w:val="006C1C1E"/>
    <w:pPr>
      <w:shd w:val="clear" w:color="auto" w:fill="000000"/>
      <w:ind w:left="-120"/>
    </w:pPr>
    <w:rPr>
      <w:rFonts w:cs="Times New Roman"/>
      <w:lang w:val="en-US" w:eastAsia="en-US" w:bidi="ar-SA"/>
    </w:rPr>
  </w:style>
  <w:style w:type="paragraph" w:customStyle="1" w:styleId="ui-datepicker">
    <w:name w:val="ui-datepicker"/>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row-break">
    <w:name w:val="ui-datepicker-row-break"/>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rtl">
    <w:name w:val="ui-datepicker-rtl"/>
    <w:basedOn w:val="Standaard"/>
    <w:uiPriority w:val="99"/>
    <w:rsid w:val="006C1C1E"/>
    <w:pPr>
      <w:bidi/>
      <w:spacing w:before="100" w:beforeAutospacing="1" w:after="100" w:afterAutospacing="1"/>
    </w:pPr>
    <w:rPr>
      <w:rFonts w:cs="Times New Roman"/>
      <w:lang w:val="en-US" w:eastAsia="en-US" w:bidi="ar-SA"/>
    </w:rPr>
  </w:style>
  <w:style w:type="paragraph" w:customStyle="1" w:styleId="ui-datepicker-cover">
    <w:name w:val="ui-datepicker-cover"/>
    <w:basedOn w:val="Standaard"/>
    <w:uiPriority w:val="99"/>
    <w:rsid w:val="006C1C1E"/>
    <w:pPr>
      <w:spacing w:before="100" w:beforeAutospacing="1" w:after="100" w:afterAutospacing="1"/>
    </w:pPr>
    <w:rPr>
      <w:rFonts w:cs="Times New Roman"/>
      <w:lang w:val="en-US" w:eastAsia="en-US" w:bidi="ar-SA"/>
    </w:rPr>
  </w:style>
  <w:style w:type="paragraph" w:customStyle="1" w:styleId="ui-dialog">
    <w:name w:val="ui-dialog"/>
    <w:basedOn w:val="Standaard"/>
    <w:uiPriority w:val="99"/>
    <w:rsid w:val="006C1C1E"/>
    <w:pPr>
      <w:spacing w:before="100" w:beforeAutospacing="1" w:after="100" w:afterAutospacing="1"/>
    </w:pPr>
    <w:rPr>
      <w:rFonts w:cs="Times New Roman"/>
      <w:lang w:val="en-US" w:eastAsia="en-US" w:bidi="ar-SA"/>
    </w:rPr>
  </w:style>
  <w:style w:type="paragraph" w:customStyle="1" w:styleId="ui-progressbar">
    <w:name w:val="ui-progressbar"/>
    <w:basedOn w:val="Standaard"/>
    <w:uiPriority w:val="99"/>
    <w:rsid w:val="006C1C1E"/>
    <w:pPr>
      <w:spacing w:before="100" w:beforeAutospacing="1" w:after="100" w:afterAutospacing="1"/>
    </w:pPr>
    <w:rPr>
      <w:rFonts w:cs="Times New Roman"/>
      <w:lang w:val="en-US" w:eastAsia="en-US" w:bidi="ar-SA"/>
    </w:rPr>
  </w:style>
  <w:style w:type="paragraph" w:customStyle="1" w:styleId="ui-resizable-handle">
    <w:name w:val="ui-resizable-handle"/>
    <w:basedOn w:val="Standaard"/>
    <w:uiPriority w:val="99"/>
    <w:rsid w:val="006C1C1E"/>
    <w:pPr>
      <w:spacing w:before="100" w:beforeAutospacing="1" w:after="100" w:afterAutospacing="1"/>
    </w:pPr>
    <w:rPr>
      <w:rFonts w:cs="Times New Roman"/>
      <w:sz w:val="2"/>
      <w:szCs w:val="2"/>
      <w:lang w:val="en-US" w:eastAsia="en-US" w:bidi="ar-SA"/>
    </w:rPr>
  </w:style>
  <w:style w:type="paragraph" w:customStyle="1" w:styleId="ui-resizable-n">
    <w:name w:val="ui-resizable-n"/>
    <w:basedOn w:val="Standaard"/>
    <w:uiPriority w:val="99"/>
    <w:rsid w:val="006C1C1E"/>
    <w:pPr>
      <w:spacing w:before="100" w:beforeAutospacing="1" w:after="100" w:afterAutospacing="1"/>
    </w:pPr>
    <w:rPr>
      <w:rFonts w:cs="Times New Roman"/>
      <w:lang w:val="en-US" w:eastAsia="en-US" w:bidi="ar-SA"/>
    </w:rPr>
  </w:style>
  <w:style w:type="paragraph" w:customStyle="1" w:styleId="ui-resizable-s">
    <w:name w:val="ui-resizable-s"/>
    <w:basedOn w:val="Standaard"/>
    <w:uiPriority w:val="99"/>
    <w:rsid w:val="006C1C1E"/>
    <w:pPr>
      <w:spacing w:before="100" w:beforeAutospacing="1" w:after="100" w:afterAutospacing="1"/>
    </w:pPr>
    <w:rPr>
      <w:rFonts w:cs="Times New Roman"/>
      <w:lang w:val="en-US" w:eastAsia="en-US" w:bidi="ar-SA"/>
    </w:rPr>
  </w:style>
  <w:style w:type="paragraph" w:customStyle="1" w:styleId="ui-resizable-e">
    <w:name w:val="ui-resizable-e"/>
    <w:basedOn w:val="Standaard"/>
    <w:uiPriority w:val="99"/>
    <w:rsid w:val="006C1C1E"/>
    <w:pPr>
      <w:spacing w:before="100" w:beforeAutospacing="1" w:after="100" w:afterAutospacing="1"/>
    </w:pPr>
    <w:rPr>
      <w:rFonts w:cs="Times New Roman"/>
      <w:lang w:val="en-US" w:eastAsia="en-US" w:bidi="ar-SA"/>
    </w:rPr>
  </w:style>
  <w:style w:type="paragraph" w:customStyle="1" w:styleId="ui-resizable-w">
    <w:name w:val="ui-resizable-w"/>
    <w:basedOn w:val="Standaard"/>
    <w:uiPriority w:val="99"/>
    <w:rsid w:val="006C1C1E"/>
    <w:pPr>
      <w:spacing w:before="100" w:beforeAutospacing="1" w:after="100" w:afterAutospacing="1"/>
    </w:pPr>
    <w:rPr>
      <w:rFonts w:cs="Times New Roman"/>
      <w:lang w:val="en-US" w:eastAsia="en-US" w:bidi="ar-SA"/>
    </w:rPr>
  </w:style>
  <w:style w:type="paragraph" w:customStyle="1" w:styleId="ui-resizable-se">
    <w:name w:val="ui-resizable-se"/>
    <w:basedOn w:val="Standaard"/>
    <w:uiPriority w:val="99"/>
    <w:rsid w:val="006C1C1E"/>
    <w:pPr>
      <w:spacing w:before="100" w:beforeAutospacing="1" w:after="100" w:afterAutospacing="1"/>
    </w:pPr>
    <w:rPr>
      <w:rFonts w:cs="Times New Roman"/>
      <w:lang w:val="en-US" w:eastAsia="en-US" w:bidi="ar-SA"/>
    </w:rPr>
  </w:style>
  <w:style w:type="paragraph" w:customStyle="1" w:styleId="ui-resizable-sw">
    <w:name w:val="ui-resizable-sw"/>
    <w:basedOn w:val="Standaard"/>
    <w:uiPriority w:val="99"/>
    <w:rsid w:val="006C1C1E"/>
    <w:pPr>
      <w:spacing w:before="100" w:beforeAutospacing="1" w:after="100" w:afterAutospacing="1"/>
    </w:pPr>
    <w:rPr>
      <w:rFonts w:cs="Times New Roman"/>
      <w:lang w:val="en-US" w:eastAsia="en-US" w:bidi="ar-SA"/>
    </w:rPr>
  </w:style>
  <w:style w:type="paragraph" w:customStyle="1" w:styleId="ui-resizable-nw">
    <w:name w:val="ui-resizable-nw"/>
    <w:basedOn w:val="Standaard"/>
    <w:uiPriority w:val="99"/>
    <w:rsid w:val="006C1C1E"/>
    <w:pPr>
      <w:spacing w:before="100" w:beforeAutospacing="1" w:after="100" w:afterAutospacing="1"/>
    </w:pPr>
    <w:rPr>
      <w:rFonts w:cs="Times New Roman"/>
      <w:lang w:val="en-US" w:eastAsia="en-US" w:bidi="ar-SA"/>
    </w:rPr>
  </w:style>
  <w:style w:type="paragraph" w:customStyle="1" w:styleId="ui-resizable-ne">
    <w:name w:val="ui-resizable-ne"/>
    <w:basedOn w:val="Standaard"/>
    <w:uiPriority w:val="99"/>
    <w:rsid w:val="006C1C1E"/>
    <w:pPr>
      <w:spacing w:before="100" w:beforeAutospacing="1" w:after="100" w:afterAutospacing="1"/>
    </w:pPr>
    <w:rPr>
      <w:rFonts w:cs="Times New Roman"/>
      <w:lang w:val="en-US" w:eastAsia="en-US" w:bidi="ar-SA"/>
    </w:rPr>
  </w:style>
  <w:style w:type="paragraph" w:customStyle="1" w:styleId="ui-slider">
    <w:name w:val="ui-slider"/>
    <w:basedOn w:val="Standaard"/>
    <w:uiPriority w:val="99"/>
    <w:rsid w:val="006C1C1E"/>
    <w:pPr>
      <w:spacing w:before="100" w:beforeAutospacing="1" w:after="100" w:afterAutospacing="1"/>
    </w:pPr>
    <w:rPr>
      <w:rFonts w:cs="Times New Roman"/>
      <w:lang w:val="en-US" w:eastAsia="en-US" w:bidi="ar-SA"/>
    </w:rPr>
  </w:style>
  <w:style w:type="paragraph" w:customStyle="1" w:styleId="ui-slider-horizontal">
    <w:name w:val="ui-slider-horizontal"/>
    <w:basedOn w:val="Standaard"/>
    <w:uiPriority w:val="99"/>
    <w:rsid w:val="006C1C1E"/>
    <w:pPr>
      <w:spacing w:before="100" w:beforeAutospacing="1" w:after="100" w:afterAutospacing="1"/>
    </w:pPr>
    <w:rPr>
      <w:rFonts w:cs="Times New Roman"/>
      <w:lang w:val="en-US" w:eastAsia="en-US" w:bidi="ar-SA"/>
    </w:rPr>
  </w:style>
  <w:style w:type="paragraph" w:customStyle="1" w:styleId="ui-slider-vertical">
    <w:name w:val="ui-slider-vertical"/>
    <w:basedOn w:val="Standaard"/>
    <w:uiPriority w:val="99"/>
    <w:rsid w:val="006C1C1E"/>
    <w:pPr>
      <w:spacing w:before="100" w:beforeAutospacing="1" w:after="100" w:afterAutospacing="1"/>
    </w:pPr>
    <w:rPr>
      <w:rFonts w:cs="Times New Roman"/>
      <w:lang w:val="en-US" w:eastAsia="en-US" w:bidi="ar-SA"/>
    </w:rPr>
  </w:style>
  <w:style w:type="paragraph" w:customStyle="1" w:styleId="ui-tabs">
    <w:name w:val="ui-tabs"/>
    <w:basedOn w:val="Standaard"/>
    <w:uiPriority w:val="99"/>
    <w:rsid w:val="006C1C1E"/>
    <w:pPr>
      <w:spacing w:before="100" w:beforeAutospacing="1" w:after="100" w:afterAutospacing="1"/>
    </w:pPr>
    <w:rPr>
      <w:rFonts w:cs="Times New Roman"/>
      <w:lang w:val="en-US" w:eastAsia="en-US" w:bidi="ar-SA"/>
    </w:rPr>
  </w:style>
  <w:style w:type="paragraph" w:customStyle="1" w:styleId="references-small">
    <w:name w:val="references-small"/>
    <w:basedOn w:val="Standaard"/>
    <w:uiPriority w:val="99"/>
    <w:rsid w:val="006C1C1E"/>
    <w:pPr>
      <w:spacing w:before="100" w:beforeAutospacing="1" w:after="100" w:afterAutospacing="1"/>
    </w:pPr>
    <w:rPr>
      <w:rFonts w:cs="Times New Roman"/>
      <w:sz w:val="22"/>
      <w:szCs w:val="22"/>
      <w:lang w:val="en-US" w:eastAsia="en-US" w:bidi="ar-SA"/>
    </w:rPr>
  </w:style>
  <w:style w:type="paragraph" w:customStyle="1" w:styleId="navbox-title">
    <w:name w:val="navbox-title"/>
    <w:basedOn w:val="Standaard"/>
    <w:uiPriority w:val="99"/>
    <w:rsid w:val="006C1C1E"/>
    <w:pPr>
      <w:shd w:val="clear" w:color="auto" w:fill="CCCCFF"/>
      <w:spacing w:before="100" w:beforeAutospacing="1" w:after="100" w:afterAutospacing="1"/>
      <w:jc w:val="center"/>
    </w:pPr>
    <w:rPr>
      <w:rFonts w:cs="Times New Roman"/>
      <w:lang w:val="en-US" w:eastAsia="en-US" w:bidi="ar-SA"/>
    </w:rPr>
  </w:style>
  <w:style w:type="paragraph" w:customStyle="1" w:styleId="navbox-abovebelow">
    <w:name w:val="navbox-abovebelow"/>
    <w:basedOn w:val="Standaard"/>
    <w:uiPriority w:val="99"/>
    <w:rsid w:val="006C1C1E"/>
    <w:pPr>
      <w:shd w:val="clear" w:color="auto" w:fill="DDDDFF"/>
      <w:spacing w:before="100" w:beforeAutospacing="1" w:after="100" w:afterAutospacing="1"/>
      <w:jc w:val="center"/>
    </w:pPr>
    <w:rPr>
      <w:rFonts w:cs="Times New Roman"/>
      <w:lang w:val="en-US" w:eastAsia="en-US" w:bidi="ar-SA"/>
    </w:rPr>
  </w:style>
  <w:style w:type="paragraph" w:customStyle="1" w:styleId="navbox-group">
    <w:name w:val="navbox-group"/>
    <w:basedOn w:val="Standaard"/>
    <w:uiPriority w:val="99"/>
    <w:rsid w:val="006C1C1E"/>
    <w:pPr>
      <w:shd w:val="clear" w:color="auto" w:fill="DDDDFF"/>
      <w:spacing w:before="100" w:beforeAutospacing="1" w:after="100" w:afterAutospacing="1"/>
      <w:jc w:val="right"/>
    </w:pPr>
    <w:rPr>
      <w:rFonts w:cs="Times New Roman"/>
      <w:b/>
      <w:bCs/>
      <w:lang w:val="en-US" w:eastAsia="en-US" w:bidi="ar-SA"/>
    </w:rPr>
  </w:style>
  <w:style w:type="paragraph" w:customStyle="1" w:styleId="navbox">
    <w:name w:val="navbox"/>
    <w:basedOn w:val="Standaard"/>
    <w:uiPriority w:val="99"/>
    <w:rsid w:val="006C1C1E"/>
    <w:pPr>
      <w:shd w:val="clear" w:color="auto" w:fill="FDFDFD"/>
      <w:spacing w:before="100" w:beforeAutospacing="1" w:after="100" w:afterAutospacing="1"/>
    </w:pPr>
    <w:rPr>
      <w:rFonts w:cs="Times New Roman"/>
      <w:lang w:val="en-US" w:eastAsia="en-US" w:bidi="ar-SA"/>
    </w:rPr>
  </w:style>
  <w:style w:type="paragraph" w:customStyle="1" w:styleId="navbox-subgroup">
    <w:name w:val="navbox-subgroup"/>
    <w:basedOn w:val="Standaard"/>
    <w:uiPriority w:val="99"/>
    <w:rsid w:val="006C1C1E"/>
    <w:pPr>
      <w:shd w:val="clear" w:color="auto" w:fill="FDFDFD"/>
      <w:spacing w:before="100" w:beforeAutospacing="1" w:after="100" w:afterAutospacing="1"/>
    </w:pPr>
    <w:rPr>
      <w:rFonts w:cs="Times New Roman"/>
      <w:lang w:val="en-US" w:eastAsia="en-US" w:bidi="ar-SA"/>
    </w:rPr>
  </w:style>
  <w:style w:type="paragraph" w:customStyle="1" w:styleId="navbox-list">
    <w:name w:val="navbox-list"/>
    <w:basedOn w:val="Standaard"/>
    <w:uiPriority w:val="99"/>
    <w:rsid w:val="006C1C1E"/>
    <w:pPr>
      <w:spacing w:before="100" w:beforeAutospacing="1" w:after="100" w:afterAutospacing="1"/>
    </w:pPr>
    <w:rPr>
      <w:rFonts w:cs="Times New Roman"/>
      <w:lang w:val="en-US" w:eastAsia="en-US" w:bidi="ar-SA"/>
    </w:rPr>
  </w:style>
  <w:style w:type="paragraph" w:customStyle="1" w:styleId="navbox-even">
    <w:name w:val="navbox-even"/>
    <w:basedOn w:val="Standaard"/>
    <w:uiPriority w:val="99"/>
    <w:rsid w:val="006C1C1E"/>
    <w:pPr>
      <w:shd w:val="clear" w:color="auto" w:fill="F7F7F7"/>
      <w:spacing w:before="100" w:beforeAutospacing="1" w:after="100" w:afterAutospacing="1"/>
    </w:pPr>
    <w:rPr>
      <w:rFonts w:cs="Times New Roman"/>
      <w:lang w:val="en-US" w:eastAsia="en-US" w:bidi="ar-SA"/>
    </w:rPr>
  </w:style>
  <w:style w:type="paragraph" w:customStyle="1" w:styleId="navbox-odd">
    <w:name w:val="navbox-odd"/>
    <w:basedOn w:val="Standaard"/>
    <w:uiPriority w:val="99"/>
    <w:rsid w:val="006C1C1E"/>
    <w:pPr>
      <w:spacing w:before="100" w:beforeAutospacing="1" w:after="100" w:afterAutospacing="1"/>
    </w:pPr>
    <w:rPr>
      <w:rFonts w:cs="Times New Roman"/>
      <w:lang w:val="en-US" w:eastAsia="en-US" w:bidi="ar-SA"/>
    </w:rPr>
  </w:style>
  <w:style w:type="paragraph" w:customStyle="1" w:styleId="collapsebutton">
    <w:name w:val="collapsebutton"/>
    <w:basedOn w:val="Standaard"/>
    <w:uiPriority w:val="99"/>
    <w:rsid w:val="006C1C1E"/>
    <w:pPr>
      <w:spacing w:before="100" w:beforeAutospacing="1" w:after="100" w:afterAutospacing="1"/>
      <w:jc w:val="right"/>
    </w:pPr>
    <w:rPr>
      <w:rFonts w:cs="Times New Roman"/>
      <w:lang w:val="en-US" w:eastAsia="en-US" w:bidi="ar-SA"/>
    </w:rPr>
  </w:style>
  <w:style w:type="paragraph" w:customStyle="1" w:styleId="infobox">
    <w:name w:val="infobox"/>
    <w:basedOn w:val="Standaard"/>
    <w:uiPriority w:val="99"/>
    <w:rsid w:val="006C1C1E"/>
    <w:pPr>
      <w:pBdr>
        <w:top w:val="single" w:sz="6" w:space="2" w:color="AAAAAA"/>
        <w:left w:val="single" w:sz="6" w:space="2" w:color="AAAAAA"/>
        <w:bottom w:val="single" w:sz="6" w:space="2" w:color="AAAAAA"/>
        <w:right w:val="single" w:sz="6" w:space="2" w:color="AAAAAA"/>
      </w:pBdr>
      <w:shd w:val="clear" w:color="auto" w:fill="F9F9F9"/>
      <w:spacing w:before="120" w:after="120"/>
      <w:ind w:left="240"/>
    </w:pPr>
    <w:rPr>
      <w:rFonts w:cs="Times New Roman"/>
      <w:color w:val="000000"/>
      <w:lang w:val="en-US" w:eastAsia="en-US" w:bidi="ar-SA"/>
    </w:rPr>
  </w:style>
  <w:style w:type="paragraph" w:customStyle="1" w:styleId="redirect-in-category">
    <w:name w:val="redirect-in-category"/>
    <w:basedOn w:val="Standaard"/>
    <w:uiPriority w:val="99"/>
    <w:rsid w:val="006C1C1E"/>
    <w:pPr>
      <w:spacing w:before="100" w:beforeAutospacing="1" w:after="100" w:afterAutospacing="1"/>
    </w:pPr>
    <w:rPr>
      <w:rFonts w:cs="Times New Roman"/>
      <w:i/>
      <w:iCs/>
      <w:lang w:val="en-US" w:eastAsia="en-US" w:bidi="ar-SA"/>
    </w:rPr>
  </w:style>
  <w:style w:type="paragraph" w:customStyle="1" w:styleId="allpagesredirect">
    <w:name w:val="allpagesredirect"/>
    <w:basedOn w:val="Standaard"/>
    <w:uiPriority w:val="99"/>
    <w:rsid w:val="006C1C1E"/>
    <w:pPr>
      <w:spacing w:before="100" w:beforeAutospacing="1" w:after="100" w:afterAutospacing="1"/>
    </w:pPr>
    <w:rPr>
      <w:rFonts w:cs="Times New Roman"/>
      <w:i/>
      <w:iCs/>
      <w:lang w:val="en-US" w:eastAsia="en-US" w:bidi="ar-SA"/>
    </w:rPr>
  </w:style>
  <w:style w:type="paragraph" w:customStyle="1" w:styleId="messagebox">
    <w:name w:val="messagebox"/>
    <w:basedOn w:val="Standaard"/>
    <w:uiPriority w:val="99"/>
    <w:rsid w:val="006C1C1E"/>
    <w:pPr>
      <w:pBdr>
        <w:top w:val="single" w:sz="6" w:space="2" w:color="AAAAAA"/>
        <w:left w:val="single" w:sz="6" w:space="2" w:color="AAAAAA"/>
        <w:bottom w:val="single" w:sz="6" w:space="2" w:color="AAAAAA"/>
        <w:right w:val="single" w:sz="6" w:space="2" w:color="AAAAAA"/>
      </w:pBdr>
      <w:shd w:val="clear" w:color="auto" w:fill="F9F9F9"/>
      <w:spacing w:after="240"/>
    </w:pPr>
    <w:rPr>
      <w:rFonts w:cs="Times New Roman"/>
      <w:lang w:val="en-US" w:eastAsia="en-US" w:bidi="ar-SA"/>
    </w:rPr>
  </w:style>
  <w:style w:type="paragraph" w:customStyle="1" w:styleId="ipa">
    <w:name w:val="ipa"/>
    <w:basedOn w:val="Standaard"/>
    <w:uiPriority w:val="99"/>
    <w:rsid w:val="006C1C1E"/>
    <w:pPr>
      <w:spacing w:before="100" w:beforeAutospacing="1" w:after="100" w:afterAutospacing="1"/>
    </w:pPr>
    <w:rPr>
      <w:rFonts w:ascii="Arial Unicode MS" w:eastAsia="Arial Unicode MS" w:hAnsi="Arial Unicode MS" w:cs="Arial Unicode MS"/>
      <w:lang w:val="en-US" w:eastAsia="en-US" w:bidi="ar-SA"/>
    </w:rPr>
  </w:style>
  <w:style w:type="paragraph" w:customStyle="1" w:styleId="unicode">
    <w:name w:val="unicode"/>
    <w:basedOn w:val="Standaard"/>
    <w:uiPriority w:val="99"/>
    <w:rsid w:val="006C1C1E"/>
    <w:pPr>
      <w:spacing w:before="100" w:beforeAutospacing="1" w:after="100" w:afterAutospacing="1"/>
    </w:pPr>
    <w:rPr>
      <w:rFonts w:ascii="inherit" w:hAnsi="inherit" w:cs="Times New Roman"/>
      <w:lang w:val="en-US" w:eastAsia="en-US" w:bidi="ar-SA"/>
    </w:rPr>
  </w:style>
  <w:style w:type="paragraph" w:customStyle="1" w:styleId="polytonic">
    <w:name w:val="polytonic"/>
    <w:basedOn w:val="Standaard"/>
    <w:uiPriority w:val="99"/>
    <w:rsid w:val="006C1C1E"/>
    <w:pPr>
      <w:spacing w:before="100" w:beforeAutospacing="1" w:after="100" w:afterAutospacing="1"/>
    </w:pPr>
    <w:rPr>
      <w:rFonts w:ascii="inherit" w:hAnsi="inherit" w:cs="Times New Roman"/>
      <w:lang w:val="en-US" w:eastAsia="en-US" w:bidi="ar-SA"/>
    </w:rPr>
  </w:style>
  <w:style w:type="paragraph" w:customStyle="1" w:styleId="hiddenstructure">
    <w:name w:val="hiddenstructure"/>
    <w:basedOn w:val="Standaard"/>
    <w:uiPriority w:val="99"/>
    <w:rsid w:val="006C1C1E"/>
    <w:pPr>
      <w:shd w:val="clear" w:color="auto" w:fill="00FF00"/>
      <w:spacing w:before="100" w:beforeAutospacing="1" w:after="100" w:afterAutospacing="1"/>
    </w:pPr>
    <w:rPr>
      <w:rFonts w:cs="Times New Roman"/>
      <w:color w:val="FF0000"/>
      <w:lang w:val="en-US" w:eastAsia="en-US" w:bidi="ar-SA"/>
    </w:rPr>
  </w:style>
  <w:style w:type="paragraph" w:customStyle="1" w:styleId="rellink">
    <w:name w:val="rellink"/>
    <w:basedOn w:val="Standaard"/>
    <w:uiPriority w:val="99"/>
    <w:rsid w:val="006C1C1E"/>
    <w:pPr>
      <w:spacing w:before="100" w:beforeAutospacing="1" w:after="120"/>
    </w:pPr>
    <w:rPr>
      <w:rFonts w:cs="Times New Roman"/>
      <w:i/>
      <w:iCs/>
      <w:lang w:val="en-US" w:eastAsia="en-US" w:bidi="ar-SA"/>
    </w:rPr>
  </w:style>
  <w:style w:type="paragraph" w:customStyle="1" w:styleId="dablink">
    <w:name w:val="dablink"/>
    <w:basedOn w:val="Standaard"/>
    <w:uiPriority w:val="99"/>
    <w:rsid w:val="006C1C1E"/>
    <w:pPr>
      <w:spacing w:before="100" w:beforeAutospacing="1" w:after="120"/>
    </w:pPr>
    <w:rPr>
      <w:rFonts w:cs="Times New Roman"/>
      <w:i/>
      <w:iCs/>
      <w:lang w:val="en-US" w:eastAsia="en-US" w:bidi="ar-SA"/>
    </w:rPr>
  </w:style>
  <w:style w:type="paragraph" w:customStyle="1" w:styleId="geo-default">
    <w:name w:val="geo-default"/>
    <w:basedOn w:val="Standaard"/>
    <w:uiPriority w:val="99"/>
    <w:rsid w:val="006C1C1E"/>
    <w:pPr>
      <w:spacing w:before="100" w:beforeAutospacing="1" w:after="100" w:afterAutospacing="1"/>
    </w:pPr>
    <w:rPr>
      <w:rFonts w:cs="Times New Roman"/>
      <w:lang w:val="en-US" w:eastAsia="en-US" w:bidi="ar-SA"/>
    </w:rPr>
  </w:style>
  <w:style w:type="paragraph" w:customStyle="1" w:styleId="geo-dms">
    <w:name w:val="geo-dms"/>
    <w:basedOn w:val="Standaard"/>
    <w:uiPriority w:val="99"/>
    <w:rsid w:val="006C1C1E"/>
    <w:pPr>
      <w:spacing w:before="100" w:beforeAutospacing="1" w:after="100" w:afterAutospacing="1"/>
    </w:pPr>
    <w:rPr>
      <w:rFonts w:cs="Times New Roman"/>
      <w:lang w:val="en-US" w:eastAsia="en-US" w:bidi="ar-SA"/>
    </w:rPr>
  </w:style>
  <w:style w:type="paragraph" w:customStyle="1" w:styleId="geo-dec">
    <w:name w:val="geo-dec"/>
    <w:basedOn w:val="Standaard"/>
    <w:uiPriority w:val="99"/>
    <w:rsid w:val="006C1C1E"/>
    <w:pPr>
      <w:spacing w:before="100" w:beforeAutospacing="1" w:after="100" w:afterAutospacing="1"/>
    </w:pPr>
    <w:rPr>
      <w:rFonts w:cs="Times New Roman"/>
      <w:lang w:val="en-US" w:eastAsia="en-US" w:bidi="ar-SA"/>
    </w:rPr>
  </w:style>
  <w:style w:type="paragraph" w:customStyle="1" w:styleId="geo-nondefault">
    <w:name w:val="geo-nondefault"/>
    <w:basedOn w:val="Standaard"/>
    <w:uiPriority w:val="99"/>
    <w:rsid w:val="006C1C1E"/>
    <w:pPr>
      <w:spacing w:before="100" w:beforeAutospacing="1" w:after="100" w:afterAutospacing="1"/>
    </w:pPr>
    <w:rPr>
      <w:rFonts w:cs="Times New Roman"/>
      <w:vanish/>
      <w:lang w:val="en-US" w:eastAsia="en-US" w:bidi="ar-SA"/>
    </w:rPr>
  </w:style>
  <w:style w:type="paragraph" w:customStyle="1" w:styleId="geo-multi-punct">
    <w:name w:val="geo-multi-punct"/>
    <w:basedOn w:val="Standaard"/>
    <w:uiPriority w:val="99"/>
    <w:rsid w:val="006C1C1E"/>
    <w:pPr>
      <w:spacing w:before="100" w:beforeAutospacing="1" w:after="100" w:afterAutospacing="1"/>
    </w:pPr>
    <w:rPr>
      <w:rFonts w:cs="Times New Roman"/>
      <w:vanish/>
      <w:lang w:val="en-US" w:eastAsia="en-US" w:bidi="ar-SA"/>
    </w:rPr>
  </w:style>
  <w:style w:type="paragraph" w:customStyle="1" w:styleId="longitude">
    <w:name w:val="longitude"/>
    <w:basedOn w:val="Standaard"/>
    <w:uiPriority w:val="99"/>
    <w:rsid w:val="006C1C1E"/>
    <w:pPr>
      <w:spacing w:before="100" w:beforeAutospacing="1" w:after="100" w:afterAutospacing="1"/>
    </w:pPr>
    <w:rPr>
      <w:rFonts w:cs="Times New Roman"/>
      <w:lang w:val="en-US" w:eastAsia="en-US" w:bidi="ar-SA"/>
    </w:rPr>
  </w:style>
  <w:style w:type="paragraph" w:customStyle="1" w:styleId="latitude">
    <w:name w:val="latitude"/>
    <w:basedOn w:val="Standaard"/>
    <w:uiPriority w:val="99"/>
    <w:rsid w:val="006C1C1E"/>
    <w:pPr>
      <w:spacing w:before="100" w:beforeAutospacing="1" w:after="100" w:afterAutospacing="1"/>
    </w:pPr>
    <w:rPr>
      <w:rFonts w:cs="Times New Roman"/>
      <w:lang w:val="en-US" w:eastAsia="en-US" w:bidi="ar-SA"/>
    </w:rPr>
  </w:style>
  <w:style w:type="paragraph" w:customStyle="1" w:styleId="template-documentation">
    <w:name w:val="template-documentation"/>
    <w:basedOn w:val="Standaard"/>
    <w:uiPriority w:val="99"/>
    <w:rsid w:val="006C1C1E"/>
    <w:pPr>
      <w:pBdr>
        <w:top w:val="single" w:sz="6" w:space="12" w:color="AAAAAA"/>
        <w:left w:val="single" w:sz="6" w:space="12" w:color="AAAAAA"/>
        <w:bottom w:val="single" w:sz="6" w:space="12" w:color="AAAAAA"/>
        <w:right w:val="single" w:sz="6" w:space="12" w:color="AAAAAA"/>
      </w:pBdr>
      <w:shd w:val="clear" w:color="auto" w:fill="ECFCF4"/>
      <w:spacing w:before="240"/>
    </w:pPr>
    <w:rPr>
      <w:rFonts w:cs="Times New Roman"/>
      <w:lang w:val="en-US" w:eastAsia="en-US" w:bidi="ar-SA"/>
    </w:rPr>
  </w:style>
  <w:style w:type="paragraph" w:customStyle="1" w:styleId="mw-tag-markers">
    <w:name w:val="mw-tag-markers"/>
    <w:basedOn w:val="Standaard"/>
    <w:uiPriority w:val="99"/>
    <w:rsid w:val="006C1C1E"/>
    <w:pPr>
      <w:spacing w:before="100" w:beforeAutospacing="1" w:after="100" w:afterAutospacing="1"/>
    </w:pPr>
    <w:rPr>
      <w:rFonts w:ascii="Arial" w:hAnsi="Arial" w:cs="Arial"/>
      <w:i/>
      <w:iCs/>
      <w:sz w:val="22"/>
      <w:szCs w:val="22"/>
      <w:lang w:val="en-US" w:eastAsia="en-US" w:bidi="ar-SA"/>
    </w:rPr>
  </w:style>
  <w:style w:type="paragraph" w:customStyle="1" w:styleId="texhtml">
    <w:name w:val="texhtml"/>
    <w:basedOn w:val="Standaard"/>
    <w:uiPriority w:val="99"/>
    <w:rsid w:val="006C1C1E"/>
    <w:pPr>
      <w:spacing w:before="100" w:beforeAutospacing="1" w:after="100" w:afterAutospacing="1" w:line="360" w:lineRule="atLeast"/>
    </w:pPr>
    <w:rPr>
      <w:rFonts w:cs="Times New Roman"/>
      <w:sz w:val="30"/>
      <w:szCs w:val="30"/>
      <w:lang w:val="en-US" w:eastAsia="en-US" w:bidi="ar-SA"/>
    </w:rPr>
  </w:style>
  <w:style w:type="paragraph" w:customStyle="1" w:styleId="special-label">
    <w:name w:val="special-label"/>
    <w:basedOn w:val="Standaard"/>
    <w:uiPriority w:val="99"/>
    <w:rsid w:val="006C1C1E"/>
    <w:pPr>
      <w:spacing w:before="100" w:beforeAutospacing="1" w:after="100" w:afterAutospacing="1"/>
    </w:pPr>
    <w:rPr>
      <w:rFonts w:cs="Times New Roman"/>
      <w:lang w:val="en-US" w:eastAsia="en-US" w:bidi="ar-SA"/>
    </w:rPr>
  </w:style>
  <w:style w:type="paragraph" w:customStyle="1" w:styleId="special-query">
    <w:name w:val="special-query"/>
    <w:basedOn w:val="Standaard"/>
    <w:uiPriority w:val="99"/>
    <w:rsid w:val="006C1C1E"/>
    <w:pPr>
      <w:spacing w:before="100" w:beforeAutospacing="1" w:after="100" w:afterAutospacing="1"/>
    </w:pPr>
    <w:rPr>
      <w:rFonts w:cs="Times New Roman"/>
      <w:lang w:val="en-US" w:eastAsia="en-US" w:bidi="ar-SA"/>
    </w:rPr>
  </w:style>
  <w:style w:type="paragraph" w:customStyle="1" w:styleId="special-hover">
    <w:name w:val="special-hover"/>
    <w:basedOn w:val="Standaard"/>
    <w:uiPriority w:val="99"/>
    <w:rsid w:val="006C1C1E"/>
    <w:pPr>
      <w:spacing w:before="100" w:beforeAutospacing="1" w:after="100" w:afterAutospacing="1"/>
    </w:pPr>
    <w:rPr>
      <w:rFonts w:cs="Times New Roman"/>
      <w:lang w:val="en-US" w:eastAsia="en-US" w:bidi="ar-SA"/>
    </w:rPr>
  </w:style>
  <w:style w:type="paragraph" w:customStyle="1" w:styleId="wikieditor-ui-text">
    <w:name w:val="wikieditor-ui-text"/>
    <w:basedOn w:val="Standaard"/>
    <w:uiPriority w:val="99"/>
    <w:rsid w:val="006C1C1E"/>
    <w:pPr>
      <w:spacing w:before="100" w:beforeAutospacing="1" w:after="100" w:afterAutospacing="1"/>
    </w:pPr>
    <w:rPr>
      <w:rFonts w:cs="Times New Roman"/>
      <w:lang w:val="en-US" w:eastAsia="en-US" w:bidi="ar-SA"/>
    </w:rPr>
  </w:style>
  <w:style w:type="paragraph" w:customStyle="1" w:styleId="wikieditor-ui-top">
    <w:name w:val="wikieditor-ui-top"/>
    <w:basedOn w:val="Standaard"/>
    <w:uiPriority w:val="99"/>
    <w:rsid w:val="006C1C1E"/>
    <w:pPr>
      <w:spacing w:before="100" w:beforeAutospacing="1" w:after="100" w:afterAutospacing="1"/>
    </w:pPr>
    <w:rPr>
      <w:rFonts w:cs="Times New Roman"/>
      <w:lang w:val="en-US" w:eastAsia="en-US" w:bidi="ar-SA"/>
    </w:rPr>
  </w:style>
  <w:style w:type="paragraph" w:customStyle="1" w:styleId="wikieditor-ui-left">
    <w:name w:val="wikieditor-ui-left"/>
    <w:basedOn w:val="Standaard"/>
    <w:uiPriority w:val="99"/>
    <w:rsid w:val="006C1C1E"/>
    <w:pPr>
      <w:spacing w:before="100" w:beforeAutospacing="1" w:after="100" w:afterAutospacing="1"/>
    </w:pPr>
    <w:rPr>
      <w:rFonts w:cs="Times New Roman"/>
      <w:lang w:val="en-US" w:eastAsia="en-US" w:bidi="ar-SA"/>
    </w:rPr>
  </w:style>
  <w:style w:type="paragraph" w:customStyle="1" w:styleId="wikieditor-ui-right">
    <w:name w:val="wikieditor-ui-right"/>
    <w:basedOn w:val="Standaard"/>
    <w:uiPriority w:val="99"/>
    <w:rsid w:val="006C1C1E"/>
    <w:pPr>
      <w:spacing w:before="100" w:beforeAutospacing="1" w:after="100" w:afterAutospacing="1"/>
    </w:pPr>
    <w:rPr>
      <w:rFonts w:cs="Times New Roman"/>
      <w:lang w:val="en-US" w:eastAsia="en-US" w:bidi="ar-SA"/>
    </w:rPr>
  </w:style>
  <w:style w:type="paragraph" w:customStyle="1" w:styleId="ui-dialog-titlebar-close">
    <w:name w:val="ui-dialog-titlebar-close"/>
    <w:basedOn w:val="Standaard"/>
    <w:uiPriority w:val="99"/>
    <w:rsid w:val="006C1C1E"/>
    <w:pPr>
      <w:spacing w:before="100" w:beforeAutospacing="1" w:after="100" w:afterAutospacing="1"/>
    </w:pPr>
    <w:rPr>
      <w:rFonts w:cs="Times New Roman"/>
      <w:lang w:val="en-US" w:eastAsia="en-US" w:bidi="ar-SA"/>
    </w:rPr>
  </w:style>
  <w:style w:type="paragraph" w:customStyle="1" w:styleId="wikieditor-template-dialog-field-wrapper">
    <w:name w:val="wikieditor-template-dialog-field-wrapper"/>
    <w:basedOn w:val="Standaard"/>
    <w:uiPriority w:val="99"/>
    <w:rsid w:val="006C1C1E"/>
    <w:pPr>
      <w:spacing w:before="100" w:beforeAutospacing="1" w:after="100" w:afterAutospacing="1"/>
    </w:pPr>
    <w:rPr>
      <w:rFonts w:cs="Times New Roman"/>
      <w:lang w:val="en-US" w:eastAsia="en-US" w:bidi="ar-SA"/>
    </w:rPr>
  </w:style>
  <w:style w:type="paragraph" w:customStyle="1" w:styleId="sections">
    <w:name w:val="sections"/>
    <w:basedOn w:val="Standaard"/>
    <w:uiPriority w:val="99"/>
    <w:rsid w:val="006C1C1E"/>
    <w:pPr>
      <w:spacing w:before="100" w:beforeAutospacing="1" w:after="100" w:afterAutospacing="1"/>
    </w:pPr>
    <w:rPr>
      <w:rFonts w:cs="Times New Roman"/>
      <w:lang w:val="en-US" w:eastAsia="en-US" w:bidi="ar-SA"/>
    </w:rPr>
  </w:style>
  <w:style w:type="paragraph" w:customStyle="1" w:styleId="tabs">
    <w:name w:val="tabs"/>
    <w:basedOn w:val="Standaard"/>
    <w:uiPriority w:val="99"/>
    <w:rsid w:val="006C1C1E"/>
    <w:pPr>
      <w:spacing w:before="100" w:beforeAutospacing="1" w:after="100" w:afterAutospacing="1"/>
    </w:pPr>
    <w:rPr>
      <w:rFonts w:cs="Times New Roman"/>
      <w:lang w:val="en-US" w:eastAsia="en-US" w:bidi="ar-SA"/>
    </w:rPr>
  </w:style>
  <w:style w:type="paragraph" w:customStyle="1" w:styleId="section-main">
    <w:name w:val="section-main"/>
    <w:basedOn w:val="Standaard"/>
    <w:uiPriority w:val="99"/>
    <w:rsid w:val="006C1C1E"/>
    <w:pPr>
      <w:spacing w:before="100" w:beforeAutospacing="1" w:after="100" w:afterAutospacing="1"/>
    </w:pPr>
    <w:rPr>
      <w:rFonts w:cs="Times New Roman"/>
      <w:lang w:val="en-US" w:eastAsia="en-US" w:bidi="ar-SA"/>
    </w:rPr>
  </w:style>
  <w:style w:type="paragraph" w:customStyle="1" w:styleId="group">
    <w:name w:val="group"/>
    <w:basedOn w:val="Standaard"/>
    <w:uiPriority w:val="99"/>
    <w:rsid w:val="006C1C1E"/>
    <w:pPr>
      <w:spacing w:before="100" w:beforeAutospacing="1" w:after="100" w:afterAutospacing="1"/>
    </w:pPr>
    <w:rPr>
      <w:rFonts w:cs="Times New Roman"/>
      <w:lang w:val="en-US" w:eastAsia="en-US" w:bidi="ar-SA"/>
    </w:rPr>
  </w:style>
  <w:style w:type="paragraph" w:customStyle="1" w:styleId="group-search">
    <w:name w:val="group-search"/>
    <w:basedOn w:val="Standaard"/>
    <w:uiPriority w:val="99"/>
    <w:rsid w:val="006C1C1E"/>
    <w:pPr>
      <w:spacing w:before="100" w:beforeAutospacing="1" w:after="100" w:afterAutospacing="1"/>
    </w:pPr>
    <w:rPr>
      <w:rFonts w:cs="Times New Roman"/>
      <w:lang w:val="en-US" w:eastAsia="en-US" w:bidi="ar-SA"/>
    </w:rPr>
  </w:style>
  <w:style w:type="paragraph" w:customStyle="1" w:styleId="group-insert">
    <w:name w:val="group-insert"/>
    <w:basedOn w:val="Standaard"/>
    <w:uiPriority w:val="99"/>
    <w:rsid w:val="006C1C1E"/>
    <w:pPr>
      <w:spacing w:before="100" w:beforeAutospacing="1" w:after="100" w:afterAutospacing="1"/>
    </w:pPr>
    <w:rPr>
      <w:rFonts w:cs="Times New Roman"/>
      <w:lang w:val="en-US" w:eastAsia="en-US" w:bidi="ar-SA"/>
    </w:rPr>
  </w:style>
  <w:style w:type="paragraph" w:customStyle="1" w:styleId="ui-accordion-header">
    <w:name w:val="ui-accordion-header"/>
    <w:basedOn w:val="Standaard"/>
    <w:uiPriority w:val="99"/>
    <w:rsid w:val="006C1C1E"/>
    <w:pPr>
      <w:spacing w:before="100" w:beforeAutospacing="1" w:after="100" w:afterAutospacing="1"/>
    </w:pPr>
    <w:rPr>
      <w:rFonts w:cs="Times New Roman"/>
      <w:lang w:val="en-US" w:eastAsia="en-US" w:bidi="ar-SA"/>
    </w:rPr>
  </w:style>
  <w:style w:type="paragraph" w:customStyle="1" w:styleId="ui-accordion-li-fix">
    <w:name w:val="ui-accordion-li-fix"/>
    <w:basedOn w:val="Standaard"/>
    <w:uiPriority w:val="99"/>
    <w:rsid w:val="006C1C1E"/>
    <w:pPr>
      <w:spacing w:before="100" w:beforeAutospacing="1" w:after="100" w:afterAutospacing="1"/>
    </w:pPr>
    <w:rPr>
      <w:rFonts w:cs="Times New Roman"/>
      <w:lang w:val="en-US" w:eastAsia="en-US" w:bidi="ar-SA"/>
    </w:rPr>
  </w:style>
  <w:style w:type="paragraph" w:customStyle="1" w:styleId="ui-accordion-content">
    <w:name w:val="ui-accordion-content"/>
    <w:basedOn w:val="Standaard"/>
    <w:uiPriority w:val="99"/>
    <w:rsid w:val="006C1C1E"/>
    <w:pPr>
      <w:spacing w:before="100" w:beforeAutospacing="1" w:after="100" w:afterAutospacing="1"/>
    </w:pPr>
    <w:rPr>
      <w:rFonts w:cs="Times New Roman"/>
      <w:lang w:val="en-US" w:eastAsia="en-US" w:bidi="ar-SA"/>
    </w:rPr>
  </w:style>
  <w:style w:type="paragraph" w:customStyle="1" w:styleId="ui-accordion-content-active">
    <w:name w:val="ui-accordion-content-active"/>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header">
    <w:name w:val="ui-datepicker-header"/>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prev">
    <w:name w:val="ui-datepicker-prev"/>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next">
    <w:name w:val="ui-datepicker-next"/>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title">
    <w:name w:val="ui-datepicker-title"/>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buttonpane">
    <w:name w:val="ui-datepicker-buttonpane"/>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group">
    <w:name w:val="ui-datepicker-group"/>
    <w:basedOn w:val="Standaard"/>
    <w:uiPriority w:val="99"/>
    <w:rsid w:val="006C1C1E"/>
    <w:pPr>
      <w:spacing w:before="100" w:beforeAutospacing="1" w:after="100" w:afterAutospacing="1"/>
    </w:pPr>
    <w:rPr>
      <w:rFonts w:cs="Times New Roman"/>
      <w:lang w:val="en-US" w:eastAsia="en-US" w:bidi="ar-SA"/>
    </w:rPr>
  </w:style>
  <w:style w:type="paragraph" w:customStyle="1" w:styleId="ui-dialog-titlebar">
    <w:name w:val="ui-dialog-titlebar"/>
    <w:basedOn w:val="Standaard"/>
    <w:uiPriority w:val="99"/>
    <w:rsid w:val="006C1C1E"/>
    <w:pPr>
      <w:spacing w:before="100" w:beforeAutospacing="1" w:after="100" w:afterAutospacing="1"/>
    </w:pPr>
    <w:rPr>
      <w:rFonts w:cs="Times New Roman"/>
      <w:lang w:val="en-US" w:eastAsia="en-US" w:bidi="ar-SA"/>
    </w:rPr>
  </w:style>
  <w:style w:type="paragraph" w:customStyle="1" w:styleId="ui-dialog-title">
    <w:name w:val="ui-dialog-title"/>
    <w:basedOn w:val="Standaard"/>
    <w:uiPriority w:val="99"/>
    <w:rsid w:val="006C1C1E"/>
    <w:pPr>
      <w:spacing w:before="100" w:beforeAutospacing="1" w:after="100" w:afterAutospacing="1"/>
    </w:pPr>
    <w:rPr>
      <w:rFonts w:cs="Times New Roman"/>
      <w:lang w:val="en-US" w:eastAsia="en-US" w:bidi="ar-SA"/>
    </w:rPr>
  </w:style>
  <w:style w:type="paragraph" w:customStyle="1" w:styleId="ui-dialog-content">
    <w:name w:val="ui-dialog-content"/>
    <w:basedOn w:val="Standaard"/>
    <w:uiPriority w:val="99"/>
    <w:rsid w:val="006C1C1E"/>
    <w:pPr>
      <w:spacing w:before="100" w:beforeAutospacing="1" w:after="100" w:afterAutospacing="1"/>
    </w:pPr>
    <w:rPr>
      <w:rFonts w:cs="Times New Roman"/>
      <w:lang w:val="en-US" w:eastAsia="en-US" w:bidi="ar-SA"/>
    </w:rPr>
  </w:style>
  <w:style w:type="paragraph" w:customStyle="1" w:styleId="ui-dialog-buttonpane">
    <w:name w:val="ui-dialog-buttonpane"/>
    <w:basedOn w:val="Standaard"/>
    <w:uiPriority w:val="99"/>
    <w:rsid w:val="006C1C1E"/>
    <w:pPr>
      <w:spacing w:before="100" w:beforeAutospacing="1" w:after="100" w:afterAutospacing="1"/>
    </w:pPr>
    <w:rPr>
      <w:rFonts w:cs="Times New Roman"/>
      <w:lang w:val="en-US" w:eastAsia="en-US" w:bidi="ar-SA"/>
    </w:rPr>
  </w:style>
  <w:style w:type="paragraph" w:customStyle="1" w:styleId="ui-progressbar-value">
    <w:name w:val="ui-progressbar-value"/>
    <w:basedOn w:val="Standaard"/>
    <w:uiPriority w:val="99"/>
    <w:rsid w:val="006C1C1E"/>
    <w:pPr>
      <w:spacing w:before="100" w:beforeAutospacing="1" w:after="100" w:afterAutospacing="1"/>
    </w:pPr>
    <w:rPr>
      <w:rFonts w:cs="Times New Roman"/>
      <w:lang w:val="en-US" w:eastAsia="en-US" w:bidi="ar-SA"/>
    </w:rPr>
  </w:style>
  <w:style w:type="paragraph" w:customStyle="1" w:styleId="ui-slider-handle">
    <w:name w:val="ui-slider-handle"/>
    <w:basedOn w:val="Standaard"/>
    <w:uiPriority w:val="99"/>
    <w:rsid w:val="006C1C1E"/>
    <w:pPr>
      <w:spacing w:before="100" w:beforeAutospacing="1" w:after="100" w:afterAutospacing="1"/>
    </w:pPr>
    <w:rPr>
      <w:rFonts w:cs="Times New Roman"/>
      <w:lang w:val="en-US" w:eastAsia="en-US" w:bidi="ar-SA"/>
    </w:rPr>
  </w:style>
  <w:style w:type="paragraph" w:customStyle="1" w:styleId="ui-slider-range">
    <w:name w:val="ui-slider-range"/>
    <w:basedOn w:val="Standaard"/>
    <w:uiPriority w:val="99"/>
    <w:rsid w:val="006C1C1E"/>
    <w:pPr>
      <w:spacing w:before="100" w:beforeAutospacing="1" w:after="100" w:afterAutospacing="1"/>
    </w:pPr>
    <w:rPr>
      <w:rFonts w:cs="Times New Roman"/>
      <w:lang w:val="en-US" w:eastAsia="en-US" w:bidi="ar-SA"/>
    </w:rPr>
  </w:style>
  <w:style w:type="paragraph" w:customStyle="1" w:styleId="ui-tabs-nav">
    <w:name w:val="ui-tabs-nav"/>
    <w:basedOn w:val="Standaard"/>
    <w:uiPriority w:val="99"/>
    <w:rsid w:val="006C1C1E"/>
    <w:pPr>
      <w:spacing w:before="100" w:beforeAutospacing="1" w:after="100" w:afterAutospacing="1"/>
    </w:pPr>
    <w:rPr>
      <w:rFonts w:cs="Times New Roman"/>
      <w:lang w:val="en-US" w:eastAsia="en-US" w:bidi="ar-SA"/>
    </w:rPr>
  </w:style>
  <w:style w:type="paragraph" w:customStyle="1" w:styleId="ui-tabs-panel">
    <w:name w:val="ui-tabs-panel"/>
    <w:basedOn w:val="Standaard"/>
    <w:uiPriority w:val="99"/>
    <w:rsid w:val="006C1C1E"/>
    <w:pPr>
      <w:spacing w:before="100" w:beforeAutospacing="1" w:after="100" w:afterAutospacing="1"/>
    </w:pPr>
    <w:rPr>
      <w:rFonts w:cs="Times New Roman"/>
      <w:lang w:val="en-US" w:eastAsia="en-US" w:bidi="ar-SA"/>
    </w:rPr>
  </w:style>
  <w:style w:type="paragraph" w:customStyle="1" w:styleId="imbox">
    <w:name w:val="imbox"/>
    <w:basedOn w:val="Standaard"/>
    <w:uiPriority w:val="99"/>
    <w:rsid w:val="006C1C1E"/>
    <w:pPr>
      <w:spacing w:before="100" w:beforeAutospacing="1" w:after="100" w:afterAutospacing="1"/>
    </w:pPr>
    <w:rPr>
      <w:rFonts w:cs="Times New Roman"/>
      <w:lang w:val="en-US" w:eastAsia="en-US" w:bidi="ar-SA"/>
    </w:rPr>
  </w:style>
  <w:style w:type="paragraph" w:customStyle="1" w:styleId="tocnumber">
    <w:name w:val="tocnumber"/>
    <w:basedOn w:val="Standaard"/>
    <w:uiPriority w:val="99"/>
    <w:rsid w:val="006C1C1E"/>
    <w:pPr>
      <w:spacing w:before="100" w:beforeAutospacing="1" w:after="100" w:afterAutospacing="1"/>
    </w:pPr>
    <w:rPr>
      <w:rFonts w:cs="Times New Roman"/>
      <w:lang w:val="en-US" w:eastAsia="en-US" w:bidi="ar-SA"/>
    </w:rPr>
  </w:style>
  <w:style w:type="paragraph" w:customStyle="1" w:styleId="selflink">
    <w:name w:val="selflink"/>
    <w:basedOn w:val="Standaard"/>
    <w:uiPriority w:val="99"/>
    <w:rsid w:val="006C1C1E"/>
    <w:pPr>
      <w:spacing w:before="100" w:beforeAutospacing="1" w:after="100" w:afterAutospacing="1"/>
    </w:pPr>
    <w:rPr>
      <w:rFonts w:cs="Times New Roman"/>
      <w:lang w:val="en-US" w:eastAsia="en-US" w:bidi="ar-SA"/>
    </w:rPr>
  </w:style>
  <w:style w:type="paragraph" w:customStyle="1" w:styleId="wpb-header">
    <w:name w:val="wpb-header"/>
    <w:basedOn w:val="Standaard"/>
    <w:uiPriority w:val="99"/>
    <w:rsid w:val="006C1C1E"/>
    <w:pPr>
      <w:spacing w:before="100" w:beforeAutospacing="1" w:after="100" w:afterAutospacing="1"/>
    </w:pPr>
    <w:rPr>
      <w:rFonts w:cs="Times New Roman"/>
      <w:lang w:val="en-US" w:eastAsia="en-US" w:bidi="ar-SA"/>
    </w:rPr>
  </w:style>
  <w:style w:type="paragraph" w:customStyle="1" w:styleId="wpb-outside">
    <w:name w:val="wpb-outside"/>
    <w:basedOn w:val="Standaard"/>
    <w:uiPriority w:val="99"/>
    <w:rsid w:val="006C1C1E"/>
    <w:pPr>
      <w:spacing w:before="100" w:beforeAutospacing="1" w:after="100" w:afterAutospacing="1"/>
    </w:pPr>
    <w:rPr>
      <w:rFonts w:cs="Times New Roman"/>
      <w:lang w:val="en-US" w:eastAsia="en-US" w:bidi="ar-SA"/>
    </w:rPr>
  </w:style>
  <w:style w:type="paragraph" w:customStyle="1" w:styleId="wikieditor-toolbar-table-preview-frame">
    <w:name w:val="wikieditor-toolbar-table-preview-frame"/>
    <w:basedOn w:val="Standaard"/>
    <w:uiPriority w:val="99"/>
    <w:rsid w:val="006C1C1E"/>
    <w:pPr>
      <w:spacing w:before="100" w:beforeAutospacing="1" w:after="100" w:afterAutospacing="1"/>
    </w:pPr>
    <w:rPr>
      <w:rFonts w:cs="Times New Roman"/>
      <w:lang w:val="en-US" w:eastAsia="en-US" w:bidi="ar-SA"/>
    </w:rPr>
  </w:style>
  <w:style w:type="paragraph" w:customStyle="1" w:styleId="wikieditor-toolbar-table-preview-content">
    <w:name w:val="wikieditor-toolbar-table-preview-content"/>
    <w:basedOn w:val="Standaard"/>
    <w:uiPriority w:val="99"/>
    <w:rsid w:val="006C1C1E"/>
    <w:pPr>
      <w:spacing w:before="100" w:beforeAutospacing="1" w:after="100" w:afterAutospacing="1"/>
    </w:pPr>
    <w:rPr>
      <w:rFonts w:cs="Times New Roman"/>
      <w:lang w:val="en-US" w:eastAsia="en-US" w:bidi="ar-SA"/>
    </w:rPr>
  </w:style>
  <w:style w:type="paragraph" w:customStyle="1" w:styleId="wikieditor-toolbar-table-preview">
    <w:name w:val="wikieditor-toolbar-table-preview"/>
    <w:basedOn w:val="Standaard"/>
    <w:uiPriority w:val="99"/>
    <w:rsid w:val="006C1C1E"/>
    <w:pPr>
      <w:spacing w:before="100" w:beforeAutospacing="1" w:after="100" w:afterAutospacing="1"/>
    </w:pPr>
    <w:rPr>
      <w:rFonts w:cs="Times New Roman"/>
      <w:lang w:val="en-US" w:eastAsia="en-US" w:bidi="ar-SA"/>
    </w:rPr>
  </w:style>
  <w:style w:type="paragraph" w:customStyle="1" w:styleId="section">
    <w:name w:val="section"/>
    <w:basedOn w:val="Standaard"/>
    <w:uiPriority w:val="99"/>
    <w:rsid w:val="006C1C1E"/>
    <w:pPr>
      <w:spacing w:before="100" w:beforeAutospacing="1" w:after="100" w:afterAutospacing="1"/>
    </w:pPr>
    <w:rPr>
      <w:rFonts w:cs="Times New Roman"/>
      <w:lang w:val="en-US" w:eastAsia="en-US" w:bidi="ar-SA"/>
    </w:rPr>
  </w:style>
  <w:style w:type="paragraph" w:customStyle="1" w:styleId="label">
    <w:name w:val="label"/>
    <w:basedOn w:val="Standaard"/>
    <w:uiPriority w:val="99"/>
    <w:rsid w:val="006C1C1E"/>
    <w:pPr>
      <w:spacing w:before="100" w:beforeAutospacing="1" w:after="100" w:afterAutospacing="1"/>
    </w:pPr>
    <w:rPr>
      <w:rFonts w:cs="Times New Roman"/>
      <w:lang w:val="en-US" w:eastAsia="en-US" w:bidi="ar-SA"/>
    </w:rPr>
  </w:style>
  <w:style w:type="paragraph" w:customStyle="1" w:styleId="tool-select">
    <w:name w:val="tool-select"/>
    <w:basedOn w:val="Standaard"/>
    <w:uiPriority w:val="99"/>
    <w:rsid w:val="006C1C1E"/>
    <w:pPr>
      <w:spacing w:before="100" w:beforeAutospacing="1" w:after="100" w:afterAutospacing="1"/>
    </w:pPr>
    <w:rPr>
      <w:rFonts w:cs="Times New Roman"/>
      <w:lang w:val="en-US" w:eastAsia="en-US" w:bidi="ar-SA"/>
    </w:rPr>
  </w:style>
  <w:style w:type="paragraph" w:customStyle="1" w:styleId="index">
    <w:name w:val="index"/>
    <w:basedOn w:val="Standaard"/>
    <w:uiPriority w:val="99"/>
    <w:rsid w:val="006C1C1E"/>
    <w:pPr>
      <w:spacing w:before="100" w:beforeAutospacing="1" w:after="100" w:afterAutospacing="1"/>
    </w:pPr>
    <w:rPr>
      <w:rFonts w:cs="Times New Roman"/>
      <w:lang w:val="en-US" w:eastAsia="en-US" w:bidi="ar-SA"/>
    </w:rPr>
  </w:style>
  <w:style w:type="paragraph" w:customStyle="1" w:styleId="pages">
    <w:name w:val="pages"/>
    <w:basedOn w:val="Standaard"/>
    <w:uiPriority w:val="99"/>
    <w:rsid w:val="006C1C1E"/>
    <w:pPr>
      <w:spacing w:before="100" w:beforeAutospacing="1" w:after="100" w:afterAutospacing="1"/>
    </w:pPr>
    <w:rPr>
      <w:rFonts w:cs="Times New Roman"/>
      <w:lang w:val="en-US" w:eastAsia="en-US" w:bidi="ar-SA"/>
    </w:rPr>
  </w:style>
  <w:style w:type="paragraph" w:customStyle="1" w:styleId="tmbox">
    <w:name w:val="tmbox"/>
    <w:basedOn w:val="Standaard"/>
    <w:uiPriority w:val="99"/>
    <w:rsid w:val="006C1C1E"/>
    <w:pPr>
      <w:spacing w:before="100" w:beforeAutospacing="1" w:after="100" w:afterAutospacing="1"/>
    </w:pPr>
    <w:rPr>
      <w:rFonts w:cs="Times New Roman"/>
      <w:lang w:val="en-US" w:eastAsia="en-US" w:bidi="ar-SA"/>
    </w:rPr>
  </w:style>
  <w:style w:type="paragraph" w:customStyle="1" w:styleId="spinner">
    <w:name w:val="spinner"/>
    <w:basedOn w:val="Standaard"/>
    <w:uiPriority w:val="99"/>
    <w:rsid w:val="006C1C1E"/>
    <w:pPr>
      <w:spacing w:before="100" w:beforeAutospacing="1" w:after="100" w:afterAutospacing="1"/>
    </w:pPr>
    <w:rPr>
      <w:rFonts w:cs="Times New Roman"/>
      <w:lang w:val="en-US" w:eastAsia="en-US" w:bidi="ar-SA"/>
    </w:rPr>
  </w:style>
  <w:style w:type="paragraph" w:customStyle="1" w:styleId="options">
    <w:name w:val="options"/>
    <w:basedOn w:val="Standaard"/>
    <w:uiPriority w:val="99"/>
    <w:rsid w:val="006C1C1E"/>
    <w:pPr>
      <w:spacing w:before="100" w:beforeAutospacing="1" w:after="100" w:afterAutospacing="1"/>
    </w:pPr>
    <w:rPr>
      <w:rFonts w:cs="Times New Roman"/>
      <w:lang w:val="en-US" w:eastAsia="en-US" w:bidi="ar-SA"/>
    </w:rPr>
  </w:style>
  <w:style w:type="paragraph" w:customStyle="1" w:styleId="current">
    <w:name w:val="current"/>
    <w:basedOn w:val="Standaard"/>
    <w:uiPriority w:val="99"/>
    <w:rsid w:val="006C1C1E"/>
    <w:pPr>
      <w:spacing w:before="100" w:beforeAutospacing="1" w:after="100" w:afterAutospacing="1"/>
    </w:pPr>
    <w:rPr>
      <w:rFonts w:cs="Times New Roman"/>
      <w:lang w:val="en-US" w:eastAsia="en-US" w:bidi="ar-SA"/>
    </w:rPr>
  </w:style>
  <w:style w:type="paragraph" w:customStyle="1" w:styleId="option">
    <w:name w:val="option"/>
    <w:basedOn w:val="Standaard"/>
    <w:uiPriority w:val="99"/>
    <w:rsid w:val="006C1C1E"/>
    <w:pPr>
      <w:spacing w:before="100" w:beforeAutospacing="1" w:after="100" w:afterAutospacing="1"/>
    </w:pPr>
    <w:rPr>
      <w:rFonts w:cs="Times New Roman"/>
      <w:lang w:val="en-US" w:eastAsia="en-US" w:bidi="ar-SA"/>
    </w:rPr>
  </w:style>
  <w:style w:type="paragraph" w:customStyle="1" w:styleId="optionrelheading-2">
    <w:name w:val="option[rel=heading-2]"/>
    <w:basedOn w:val="Standaard"/>
    <w:uiPriority w:val="99"/>
    <w:rsid w:val="006C1C1E"/>
    <w:pPr>
      <w:spacing w:before="100" w:beforeAutospacing="1" w:after="100" w:afterAutospacing="1"/>
    </w:pPr>
    <w:rPr>
      <w:rFonts w:cs="Times New Roman"/>
      <w:lang w:val="en-US" w:eastAsia="en-US" w:bidi="ar-SA"/>
    </w:rPr>
  </w:style>
  <w:style w:type="paragraph" w:customStyle="1" w:styleId="optionrelheading-3">
    <w:name w:val="option[rel=heading-3]"/>
    <w:basedOn w:val="Standaard"/>
    <w:uiPriority w:val="99"/>
    <w:rsid w:val="006C1C1E"/>
    <w:pPr>
      <w:spacing w:before="100" w:beforeAutospacing="1" w:after="100" w:afterAutospacing="1"/>
    </w:pPr>
    <w:rPr>
      <w:rFonts w:cs="Times New Roman"/>
      <w:lang w:val="en-US" w:eastAsia="en-US" w:bidi="ar-SA"/>
    </w:rPr>
  </w:style>
  <w:style w:type="paragraph" w:customStyle="1" w:styleId="optionrelheading-4">
    <w:name w:val="option[rel=heading-4]"/>
    <w:basedOn w:val="Standaard"/>
    <w:uiPriority w:val="99"/>
    <w:rsid w:val="006C1C1E"/>
    <w:pPr>
      <w:spacing w:before="100" w:beforeAutospacing="1" w:after="100" w:afterAutospacing="1"/>
    </w:pPr>
    <w:rPr>
      <w:rFonts w:cs="Times New Roman"/>
      <w:lang w:val="en-US" w:eastAsia="en-US" w:bidi="ar-SA"/>
    </w:rPr>
  </w:style>
  <w:style w:type="paragraph" w:customStyle="1" w:styleId="optionrelheading-5">
    <w:name w:val="option[rel=heading-5]"/>
    <w:basedOn w:val="Standaard"/>
    <w:uiPriority w:val="99"/>
    <w:rsid w:val="006C1C1E"/>
    <w:pPr>
      <w:spacing w:before="100" w:beforeAutospacing="1" w:after="100" w:afterAutospacing="1"/>
    </w:pPr>
    <w:rPr>
      <w:rFonts w:cs="Times New Roman"/>
      <w:lang w:val="en-US" w:eastAsia="en-US" w:bidi="ar-SA"/>
    </w:rPr>
  </w:style>
  <w:style w:type="paragraph" w:customStyle="1" w:styleId="menu">
    <w:name w:val="menu"/>
    <w:basedOn w:val="Standaard"/>
    <w:uiPriority w:val="99"/>
    <w:rsid w:val="006C1C1E"/>
    <w:pPr>
      <w:spacing w:before="100" w:beforeAutospacing="1" w:after="100" w:afterAutospacing="1"/>
    </w:pPr>
    <w:rPr>
      <w:rFonts w:cs="Times New Roman"/>
      <w:lang w:val="en-US" w:eastAsia="en-US" w:bidi="ar-SA"/>
    </w:rPr>
  </w:style>
  <w:style w:type="paragraph" w:customStyle="1" w:styleId="wikieditor-toolbar-table-preview-wrapper">
    <w:name w:val="wikieditor-toolbar-table-preview-wrapper"/>
    <w:basedOn w:val="Standaard"/>
    <w:uiPriority w:val="99"/>
    <w:rsid w:val="006C1C1E"/>
    <w:pPr>
      <w:spacing w:before="100" w:beforeAutospacing="1" w:after="100" w:afterAutospacing="1"/>
    </w:pPr>
    <w:rPr>
      <w:rFonts w:cs="Times New Roman"/>
      <w:lang w:val="en-US" w:eastAsia="en-US" w:bidi="ar-SA"/>
    </w:rPr>
  </w:style>
  <w:style w:type="paragraph" w:customStyle="1" w:styleId="sitenoticesmall">
    <w:name w:val="sitenoticesmall"/>
    <w:basedOn w:val="Standaard"/>
    <w:uiPriority w:val="99"/>
    <w:rsid w:val="006C1C1E"/>
    <w:pPr>
      <w:spacing w:before="100" w:beforeAutospacing="1" w:after="100" w:afterAutospacing="1"/>
    </w:pPr>
    <w:rPr>
      <w:rFonts w:cs="Times New Roman"/>
      <w:lang w:val="en-US" w:eastAsia="en-US" w:bidi="ar-SA"/>
    </w:rPr>
  </w:style>
  <w:style w:type="paragraph" w:customStyle="1" w:styleId="sitenoticesmallanon">
    <w:name w:val="sitenoticesmallanon"/>
    <w:basedOn w:val="Standaard"/>
    <w:uiPriority w:val="99"/>
    <w:rsid w:val="006C1C1E"/>
    <w:pPr>
      <w:spacing w:before="100" w:beforeAutospacing="1" w:after="100" w:afterAutospacing="1"/>
    </w:pPr>
    <w:rPr>
      <w:rFonts w:cs="Times New Roman"/>
      <w:lang w:val="en-US" w:eastAsia="en-US" w:bidi="ar-SA"/>
    </w:rPr>
  </w:style>
  <w:style w:type="paragraph" w:customStyle="1" w:styleId="sitenoticesmalluser">
    <w:name w:val="sitenoticesmalluser"/>
    <w:basedOn w:val="Standaard"/>
    <w:uiPriority w:val="99"/>
    <w:rsid w:val="006C1C1E"/>
    <w:pPr>
      <w:spacing w:before="100" w:beforeAutospacing="1" w:after="100" w:afterAutospacing="1"/>
    </w:pPr>
    <w:rPr>
      <w:rFonts w:cs="Times New Roman"/>
      <w:lang w:val="en-US" w:eastAsia="en-US" w:bidi="ar-SA"/>
    </w:rPr>
  </w:style>
  <w:style w:type="paragraph" w:customStyle="1" w:styleId="wikieditor-toolbar-dialog">
    <w:name w:val="wikieditor-toolbar-dialog"/>
    <w:basedOn w:val="Standaard"/>
    <w:uiPriority w:val="99"/>
    <w:rsid w:val="006C1C1E"/>
    <w:pPr>
      <w:spacing w:before="100" w:beforeAutospacing="1" w:after="100" w:afterAutospacing="1"/>
    </w:pPr>
    <w:rPr>
      <w:rFonts w:cs="Times New Roman"/>
      <w:lang w:val="en-US" w:eastAsia="en-US" w:bidi="ar-SA"/>
    </w:rPr>
  </w:style>
  <w:style w:type="paragraph" w:customStyle="1" w:styleId="ui-icon-closethick">
    <w:name w:val="ui-icon-closethick"/>
    <w:basedOn w:val="Standaard"/>
    <w:uiPriority w:val="99"/>
    <w:rsid w:val="006C1C1E"/>
    <w:pPr>
      <w:spacing w:before="100" w:beforeAutospacing="1" w:after="100" w:afterAutospacing="1"/>
    </w:pPr>
    <w:rPr>
      <w:rFonts w:cs="Times New Roman"/>
      <w:lang w:val="en-US" w:eastAsia="en-US" w:bidi="ar-SA"/>
    </w:rPr>
  </w:style>
  <w:style w:type="paragraph" w:customStyle="1" w:styleId="ui-accordion-header-active">
    <w:name w:val="ui-accordion-header-active"/>
    <w:basedOn w:val="Standaard"/>
    <w:uiPriority w:val="99"/>
    <w:rsid w:val="006C1C1E"/>
    <w:pPr>
      <w:spacing w:before="100" w:beforeAutospacing="1" w:after="100" w:afterAutospacing="1"/>
    </w:pPr>
    <w:rPr>
      <w:rFonts w:cs="Times New Roman"/>
      <w:lang w:val="en-US" w:eastAsia="en-US" w:bidi="ar-SA"/>
    </w:rPr>
  </w:style>
  <w:style w:type="paragraph" w:customStyle="1" w:styleId="ui-tabs-hide">
    <w:name w:val="ui-tabs-hide"/>
    <w:basedOn w:val="Standaard"/>
    <w:uiPriority w:val="99"/>
    <w:rsid w:val="006C1C1E"/>
    <w:pPr>
      <w:spacing w:before="100" w:beforeAutospacing="1" w:after="100" w:afterAutospacing="1"/>
    </w:pPr>
    <w:rPr>
      <w:rFonts w:cs="Times New Roman"/>
      <w:lang w:val="en-US" w:eastAsia="en-US" w:bidi="ar-SA"/>
    </w:rPr>
  </w:style>
  <w:style w:type="paragraph" w:customStyle="1" w:styleId="notice-all">
    <w:name w:val="notice-all"/>
    <w:basedOn w:val="Standaard"/>
    <w:uiPriority w:val="99"/>
    <w:rsid w:val="006C1C1E"/>
    <w:pPr>
      <w:spacing w:before="100" w:beforeAutospacing="1" w:after="100" w:afterAutospacing="1"/>
    </w:pPr>
    <w:rPr>
      <w:rFonts w:cs="Times New Roman"/>
      <w:lang w:val="en-US" w:eastAsia="en-US" w:bidi="ar-SA"/>
    </w:rPr>
  </w:style>
  <w:style w:type="character" w:customStyle="1" w:styleId="citation">
    <w:name w:val="citation"/>
    <w:basedOn w:val="Standaardalinea-lettertype"/>
    <w:rsid w:val="006C1C1E"/>
    <w:rPr>
      <w:rFonts w:cs="Times New Roman"/>
    </w:rPr>
  </w:style>
  <w:style w:type="character" w:customStyle="1" w:styleId="tab">
    <w:name w:val="tab"/>
    <w:basedOn w:val="Standaardalinea-lettertype"/>
    <w:uiPriority w:val="99"/>
    <w:rsid w:val="006C1C1E"/>
    <w:rPr>
      <w:rFonts w:cs="Times New Roman"/>
    </w:rPr>
  </w:style>
  <w:style w:type="paragraph" w:customStyle="1" w:styleId="special-label1">
    <w:name w:val="special-label1"/>
    <w:basedOn w:val="Standaard"/>
    <w:uiPriority w:val="99"/>
    <w:rsid w:val="006C1C1E"/>
    <w:pPr>
      <w:spacing w:before="100" w:beforeAutospacing="1" w:after="100" w:afterAutospacing="1"/>
    </w:pPr>
    <w:rPr>
      <w:rFonts w:cs="Times New Roman"/>
      <w:color w:val="808080"/>
      <w:sz w:val="19"/>
      <w:szCs w:val="19"/>
      <w:lang w:val="en-US" w:eastAsia="en-US" w:bidi="ar-SA"/>
    </w:rPr>
  </w:style>
  <w:style w:type="paragraph" w:customStyle="1" w:styleId="special-query1">
    <w:name w:val="special-query1"/>
    <w:basedOn w:val="Standaard"/>
    <w:uiPriority w:val="99"/>
    <w:rsid w:val="006C1C1E"/>
    <w:pPr>
      <w:spacing w:before="100" w:beforeAutospacing="1" w:after="100" w:afterAutospacing="1"/>
    </w:pPr>
    <w:rPr>
      <w:rFonts w:cs="Times New Roman"/>
      <w:i/>
      <w:iCs/>
      <w:color w:val="000000"/>
      <w:lang w:val="en-US" w:eastAsia="en-US" w:bidi="ar-SA"/>
    </w:rPr>
  </w:style>
  <w:style w:type="paragraph" w:customStyle="1" w:styleId="special-hover1">
    <w:name w:val="special-hover1"/>
    <w:basedOn w:val="Standaard"/>
    <w:uiPriority w:val="99"/>
    <w:rsid w:val="006C1C1E"/>
    <w:pPr>
      <w:shd w:val="clear" w:color="auto" w:fill="C0C0C0"/>
      <w:spacing w:before="100" w:beforeAutospacing="1" w:after="100" w:afterAutospacing="1"/>
    </w:pPr>
    <w:rPr>
      <w:rFonts w:cs="Times New Roman"/>
      <w:lang w:val="en-US" w:eastAsia="en-US" w:bidi="ar-SA"/>
    </w:rPr>
  </w:style>
  <w:style w:type="paragraph" w:customStyle="1" w:styleId="special-label2">
    <w:name w:val="special-label2"/>
    <w:basedOn w:val="Standaard"/>
    <w:uiPriority w:val="99"/>
    <w:rsid w:val="006C1C1E"/>
    <w:pPr>
      <w:spacing w:before="100" w:beforeAutospacing="1" w:after="100" w:afterAutospacing="1"/>
    </w:pPr>
    <w:rPr>
      <w:rFonts w:cs="Times New Roman"/>
      <w:color w:val="FFFFFF"/>
      <w:lang w:val="en-US" w:eastAsia="en-US" w:bidi="ar-SA"/>
    </w:rPr>
  </w:style>
  <w:style w:type="paragraph" w:customStyle="1" w:styleId="special-query2">
    <w:name w:val="special-query2"/>
    <w:basedOn w:val="Standaard"/>
    <w:uiPriority w:val="99"/>
    <w:rsid w:val="006C1C1E"/>
    <w:pPr>
      <w:spacing w:before="100" w:beforeAutospacing="1" w:after="100" w:afterAutospacing="1"/>
    </w:pPr>
    <w:rPr>
      <w:rFonts w:cs="Times New Roman"/>
      <w:color w:val="FFFFFF"/>
      <w:lang w:val="en-US" w:eastAsia="en-US" w:bidi="ar-SA"/>
    </w:rPr>
  </w:style>
  <w:style w:type="paragraph" w:customStyle="1" w:styleId="wikieditor-ui-text1">
    <w:name w:val="wikieditor-ui-text1"/>
    <w:basedOn w:val="Standaard"/>
    <w:uiPriority w:val="99"/>
    <w:rsid w:val="006C1C1E"/>
    <w:pPr>
      <w:spacing w:before="100" w:beforeAutospacing="1" w:after="100" w:afterAutospacing="1"/>
    </w:pPr>
    <w:rPr>
      <w:rFonts w:cs="Times New Roman"/>
      <w:lang w:val="en-US" w:eastAsia="en-US" w:bidi="ar-SA"/>
    </w:rPr>
  </w:style>
  <w:style w:type="paragraph" w:customStyle="1" w:styleId="wikieditor-ui-top1">
    <w:name w:val="wikieditor-ui-top1"/>
    <w:basedOn w:val="Standaard"/>
    <w:uiPriority w:val="99"/>
    <w:rsid w:val="006C1C1E"/>
    <w:pPr>
      <w:pBdr>
        <w:bottom w:val="single" w:sz="6" w:space="0" w:color="C0C0C0"/>
      </w:pBdr>
      <w:spacing w:before="100" w:beforeAutospacing="1" w:after="100" w:afterAutospacing="1"/>
    </w:pPr>
    <w:rPr>
      <w:rFonts w:cs="Times New Roman"/>
      <w:lang w:val="en-US" w:eastAsia="en-US" w:bidi="ar-SA"/>
    </w:rPr>
  </w:style>
  <w:style w:type="paragraph" w:customStyle="1" w:styleId="wikieditor-ui-left1">
    <w:name w:val="wikieditor-ui-left1"/>
    <w:basedOn w:val="Standaard"/>
    <w:uiPriority w:val="99"/>
    <w:rsid w:val="006C1C1E"/>
    <w:pPr>
      <w:spacing w:before="100" w:beforeAutospacing="1" w:after="100" w:afterAutospacing="1"/>
    </w:pPr>
    <w:rPr>
      <w:rFonts w:cs="Times New Roman"/>
      <w:lang w:val="en-US" w:eastAsia="en-US" w:bidi="ar-SA"/>
    </w:rPr>
  </w:style>
  <w:style w:type="paragraph" w:customStyle="1" w:styleId="wikieditor-ui-right1">
    <w:name w:val="wikieditor-ui-right1"/>
    <w:basedOn w:val="Standaard"/>
    <w:uiPriority w:val="99"/>
    <w:rsid w:val="006C1C1E"/>
    <w:pPr>
      <w:shd w:val="clear" w:color="auto" w:fill="F3F3F3"/>
      <w:spacing w:before="100" w:beforeAutospacing="1" w:after="100" w:afterAutospacing="1"/>
    </w:pPr>
    <w:rPr>
      <w:rFonts w:cs="Times New Roman"/>
      <w:lang w:val="en-US" w:eastAsia="en-US" w:bidi="ar-SA"/>
    </w:rPr>
  </w:style>
  <w:style w:type="paragraph" w:customStyle="1" w:styleId="ui-dialog-titlebar1">
    <w:name w:val="ui-dialog-titlebar1"/>
    <w:basedOn w:val="Standaard"/>
    <w:uiPriority w:val="99"/>
    <w:rsid w:val="006C1C1E"/>
    <w:pPr>
      <w:spacing w:before="100" w:beforeAutospacing="1" w:after="100" w:afterAutospacing="1"/>
    </w:pPr>
    <w:rPr>
      <w:rFonts w:cs="Times New Roman"/>
      <w:lang w:val="en-US" w:eastAsia="en-US" w:bidi="ar-SA"/>
    </w:rPr>
  </w:style>
  <w:style w:type="paragraph" w:customStyle="1" w:styleId="ui-widget-header1">
    <w:name w:val="ui-widget-header1"/>
    <w:basedOn w:val="Standaard"/>
    <w:uiPriority w:val="99"/>
    <w:rsid w:val="006C1C1E"/>
    <w:pPr>
      <w:pBdr>
        <w:bottom w:val="single" w:sz="6" w:space="0" w:color="6BC8F3"/>
      </w:pBdr>
      <w:shd w:val="clear" w:color="auto" w:fill="F0F0F0"/>
      <w:spacing w:before="100" w:beforeAutospacing="1" w:after="100" w:afterAutospacing="1" w:line="240" w:lineRule="atLeast"/>
    </w:pPr>
    <w:rPr>
      <w:rFonts w:cs="Times New Roman"/>
      <w:b/>
      <w:bCs/>
      <w:color w:val="333333"/>
      <w:lang w:val="en-US" w:eastAsia="en-US" w:bidi="ar-SA"/>
    </w:rPr>
  </w:style>
  <w:style w:type="paragraph" w:customStyle="1" w:styleId="ui-icon-closethick1">
    <w:name w:val="ui-icon-closethick1"/>
    <w:basedOn w:val="Standaard"/>
    <w:uiPriority w:val="99"/>
    <w:rsid w:val="006C1C1E"/>
    <w:pPr>
      <w:spacing w:before="100" w:beforeAutospacing="1" w:after="100" w:afterAutospacing="1"/>
    </w:pPr>
    <w:rPr>
      <w:rFonts w:cs="Times New Roman"/>
      <w:lang w:val="en-US" w:eastAsia="en-US" w:bidi="ar-SA"/>
    </w:rPr>
  </w:style>
  <w:style w:type="paragraph" w:customStyle="1" w:styleId="ui-dialog-buttonpane1">
    <w:name w:val="ui-dialog-buttonpane1"/>
    <w:basedOn w:val="Standaard"/>
    <w:uiPriority w:val="99"/>
    <w:rsid w:val="006C1C1E"/>
    <w:pPr>
      <w:pBdr>
        <w:top w:val="single" w:sz="6" w:space="0" w:color="CCCCCC"/>
      </w:pBdr>
      <w:spacing w:after="100" w:afterAutospacing="1"/>
    </w:pPr>
    <w:rPr>
      <w:rFonts w:cs="Times New Roman"/>
      <w:lang w:val="en-US" w:eastAsia="en-US" w:bidi="ar-SA"/>
    </w:rPr>
  </w:style>
  <w:style w:type="paragraph" w:customStyle="1" w:styleId="ui-dialog-titlebar-close1">
    <w:name w:val="ui-dialog-titlebar-close1"/>
    <w:basedOn w:val="Standaard"/>
    <w:uiPriority w:val="99"/>
    <w:rsid w:val="006C1C1E"/>
    <w:pPr>
      <w:spacing w:before="100" w:beforeAutospacing="1" w:after="100" w:afterAutospacing="1"/>
    </w:pPr>
    <w:rPr>
      <w:rFonts w:cs="Times New Roman"/>
      <w:lang w:val="en-US" w:eastAsia="en-US" w:bidi="ar-SA"/>
    </w:rPr>
  </w:style>
  <w:style w:type="paragraph" w:customStyle="1" w:styleId="ui-widget-content1">
    <w:name w:val="ui-widget-content1"/>
    <w:basedOn w:val="Standaard"/>
    <w:uiPriority w:val="99"/>
    <w:rsid w:val="006C1C1E"/>
    <w:pPr>
      <w:shd w:val="clear" w:color="auto" w:fill="FFFFFF"/>
      <w:spacing w:before="100" w:beforeAutospacing="1" w:after="100" w:afterAutospacing="1"/>
    </w:pPr>
    <w:rPr>
      <w:rFonts w:cs="Times New Roman"/>
      <w:color w:val="000000"/>
      <w:lang w:val="en-US" w:eastAsia="en-US" w:bidi="ar-SA"/>
    </w:rPr>
  </w:style>
  <w:style w:type="paragraph" w:customStyle="1" w:styleId="wikieditor-toolbar-table-preview-wrapper1">
    <w:name w:val="wikieditor-toolbar-table-preview-wrapper1"/>
    <w:basedOn w:val="Standaard"/>
    <w:uiPriority w:val="99"/>
    <w:rsid w:val="006C1C1E"/>
    <w:pPr>
      <w:spacing w:before="100" w:beforeAutospacing="1" w:after="100" w:afterAutospacing="1"/>
    </w:pPr>
    <w:rPr>
      <w:rFonts w:cs="Times New Roman"/>
      <w:lang w:val="en-US" w:eastAsia="en-US" w:bidi="ar-SA"/>
    </w:rPr>
  </w:style>
  <w:style w:type="paragraph" w:customStyle="1" w:styleId="wikieditor-toolbar-field-wrapper1">
    <w:name w:val="wikieditor-toolbar-field-wrapper1"/>
    <w:basedOn w:val="Standaard"/>
    <w:uiPriority w:val="99"/>
    <w:rsid w:val="006C1C1E"/>
    <w:pPr>
      <w:spacing w:before="100" w:beforeAutospacing="1" w:after="100" w:afterAutospacing="1"/>
      <w:ind w:right="300"/>
      <w:textAlignment w:val="bottom"/>
    </w:pPr>
    <w:rPr>
      <w:rFonts w:cs="Times New Roman"/>
      <w:lang w:val="en-US" w:eastAsia="en-US" w:bidi="ar-SA"/>
    </w:rPr>
  </w:style>
  <w:style w:type="paragraph" w:customStyle="1" w:styleId="wikieditor-toolbar-field-wrapper2">
    <w:name w:val="wikieditor-toolbar-field-wrapper2"/>
    <w:basedOn w:val="Standaard"/>
    <w:uiPriority w:val="99"/>
    <w:rsid w:val="006C1C1E"/>
    <w:pPr>
      <w:spacing w:before="100" w:beforeAutospacing="1" w:after="100" w:afterAutospacing="1"/>
      <w:ind w:left="300"/>
      <w:textAlignment w:val="bottom"/>
    </w:pPr>
    <w:rPr>
      <w:rFonts w:cs="Times New Roman"/>
      <w:lang w:val="en-US" w:eastAsia="en-US" w:bidi="ar-SA"/>
    </w:rPr>
  </w:style>
  <w:style w:type="paragraph" w:customStyle="1" w:styleId="ui-dialog-content1">
    <w:name w:val="ui-dialog-content1"/>
    <w:basedOn w:val="Standaard"/>
    <w:uiPriority w:val="99"/>
    <w:rsid w:val="006C1C1E"/>
    <w:pPr>
      <w:spacing w:before="100" w:beforeAutospacing="1" w:after="100" w:afterAutospacing="1"/>
    </w:pPr>
    <w:rPr>
      <w:rFonts w:cs="Times New Roman"/>
      <w:lang w:val="en-US" w:eastAsia="en-US" w:bidi="ar-SA"/>
    </w:rPr>
  </w:style>
  <w:style w:type="paragraph" w:customStyle="1" w:styleId="wikieditor-toolbar-floated-field-wrapper1">
    <w:name w:val="wikieditor-toolbar-floated-field-wrapper1"/>
    <w:basedOn w:val="Standaard"/>
    <w:uiPriority w:val="99"/>
    <w:rsid w:val="006C1C1E"/>
    <w:pPr>
      <w:spacing w:before="100" w:beforeAutospacing="1" w:after="100" w:afterAutospacing="1"/>
      <w:ind w:left="480"/>
    </w:pPr>
    <w:rPr>
      <w:rFonts w:cs="Times New Roman"/>
      <w:lang w:val="en-US" w:eastAsia="en-US" w:bidi="ar-SA"/>
    </w:rPr>
  </w:style>
  <w:style w:type="paragraph" w:customStyle="1" w:styleId="wikieditor-template-dialog-field-wrapper1">
    <w:name w:val="wikieditor-template-dialog-field-wrapper1"/>
    <w:basedOn w:val="Standaard"/>
    <w:uiPriority w:val="99"/>
    <w:rsid w:val="006C1C1E"/>
    <w:pPr>
      <w:pBdr>
        <w:bottom w:val="dashed" w:sz="6" w:space="9" w:color="C0C0C0"/>
      </w:pBdr>
      <w:spacing w:before="100" w:beforeAutospacing="1" w:after="100" w:afterAutospacing="1"/>
    </w:pPr>
    <w:rPr>
      <w:rFonts w:cs="Times New Roman"/>
      <w:lang w:val="en-US" w:eastAsia="en-US" w:bidi="ar-SA"/>
    </w:rPr>
  </w:style>
  <w:style w:type="paragraph" w:customStyle="1" w:styleId="sections1">
    <w:name w:val="sections1"/>
    <w:basedOn w:val="Standaard"/>
    <w:uiPriority w:val="99"/>
    <w:rsid w:val="006C1C1E"/>
    <w:pPr>
      <w:spacing w:before="100" w:beforeAutospacing="1" w:after="100" w:afterAutospacing="1"/>
    </w:pPr>
    <w:rPr>
      <w:rFonts w:cs="Times New Roman"/>
      <w:lang w:val="en-US" w:eastAsia="en-US" w:bidi="ar-SA"/>
    </w:rPr>
  </w:style>
  <w:style w:type="paragraph" w:customStyle="1" w:styleId="section1">
    <w:name w:val="section1"/>
    <w:basedOn w:val="Standaard"/>
    <w:uiPriority w:val="99"/>
    <w:rsid w:val="006C1C1E"/>
    <w:pPr>
      <w:pBdr>
        <w:top w:val="single" w:sz="6" w:space="0" w:color="DDDDDD"/>
      </w:pBdr>
      <w:shd w:val="clear" w:color="auto" w:fill="E0EEF7"/>
      <w:spacing w:before="100" w:beforeAutospacing="1" w:after="100" w:afterAutospacing="1"/>
    </w:pPr>
    <w:rPr>
      <w:rFonts w:cs="Times New Roman"/>
      <w:vanish/>
      <w:lang w:val="en-US" w:eastAsia="en-US" w:bidi="ar-SA"/>
    </w:rPr>
  </w:style>
  <w:style w:type="paragraph" w:customStyle="1" w:styleId="spinner1">
    <w:name w:val="spinner1"/>
    <w:basedOn w:val="Standaard"/>
    <w:uiPriority w:val="99"/>
    <w:rsid w:val="006C1C1E"/>
    <w:pPr>
      <w:spacing w:before="100" w:beforeAutospacing="1" w:after="100" w:afterAutospacing="1"/>
    </w:pPr>
    <w:rPr>
      <w:rFonts w:cs="Times New Roman"/>
      <w:vanish/>
      <w:lang w:val="en-US" w:eastAsia="en-US" w:bidi="ar-SA"/>
    </w:rPr>
  </w:style>
  <w:style w:type="paragraph" w:customStyle="1" w:styleId="spinner2">
    <w:name w:val="spinner2"/>
    <w:basedOn w:val="Standaard"/>
    <w:uiPriority w:val="99"/>
    <w:rsid w:val="006C1C1E"/>
    <w:pPr>
      <w:spacing w:before="100" w:beforeAutospacing="1" w:after="100" w:afterAutospacing="1"/>
      <w:ind w:left="120"/>
    </w:pPr>
    <w:rPr>
      <w:rFonts w:cs="Times New Roman"/>
      <w:color w:val="666666"/>
      <w:lang w:val="en-US" w:eastAsia="en-US" w:bidi="ar-SA"/>
    </w:rPr>
  </w:style>
  <w:style w:type="paragraph" w:customStyle="1" w:styleId="spinner3">
    <w:name w:val="spinner3"/>
    <w:basedOn w:val="Standaard"/>
    <w:uiPriority w:val="99"/>
    <w:rsid w:val="006C1C1E"/>
    <w:pPr>
      <w:spacing w:before="100" w:beforeAutospacing="1" w:after="100" w:afterAutospacing="1"/>
      <w:ind w:right="120"/>
    </w:pPr>
    <w:rPr>
      <w:rFonts w:cs="Times New Roman"/>
      <w:color w:val="666666"/>
      <w:lang w:val="en-US" w:eastAsia="en-US" w:bidi="ar-SA"/>
    </w:rPr>
  </w:style>
  <w:style w:type="paragraph" w:customStyle="1" w:styleId="tabs1">
    <w:name w:val="tabs1"/>
    <w:basedOn w:val="Standaard"/>
    <w:uiPriority w:val="99"/>
    <w:rsid w:val="006C1C1E"/>
    <w:pPr>
      <w:spacing w:before="45" w:after="45"/>
      <w:ind w:left="45" w:right="45"/>
    </w:pPr>
    <w:rPr>
      <w:rFonts w:cs="Times New Roman"/>
      <w:lang w:val="en-US" w:eastAsia="en-US" w:bidi="ar-SA"/>
    </w:rPr>
  </w:style>
  <w:style w:type="paragraph" w:customStyle="1" w:styleId="section-main1">
    <w:name w:val="section-main1"/>
    <w:basedOn w:val="Standaard"/>
    <w:uiPriority w:val="99"/>
    <w:rsid w:val="006C1C1E"/>
    <w:pPr>
      <w:spacing w:before="100" w:beforeAutospacing="1" w:after="100" w:afterAutospacing="1"/>
    </w:pPr>
    <w:rPr>
      <w:rFonts w:cs="Times New Roman"/>
      <w:lang w:val="en-US" w:eastAsia="en-US" w:bidi="ar-SA"/>
    </w:rPr>
  </w:style>
  <w:style w:type="paragraph" w:customStyle="1" w:styleId="group1">
    <w:name w:val="group1"/>
    <w:basedOn w:val="Standaard"/>
    <w:uiPriority w:val="99"/>
    <w:rsid w:val="006C1C1E"/>
    <w:pPr>
      <w:pBdr>
        <w:right w:val="single" w:sz="6" w:space="5" w:color="DDDDDD"/>
      </w:pBdr>
      <w:spacing w:before="45" w:after="45"/>
      <w:ind w:left="45" w:right="45"/>
    </w:pPr>
    <w:rPr>
      <w:rFonts w:cs="Times New Roman"/>
      <w:lang w:val="en-US" w:eastAsia="en-US" w:bidi="ar-SA"/>
    </w:rPr>
  </w:style>
  <w:style w:type="paragraph" w:customStyle="1" w:styleId="group2">
    <w:name w:val="group2"/>
    <w:basedOn w:val="Standaard"/>
    <w:uiPriority w:val="99"/>
    <w:rsid w:val="006C1C1E"/>
    <w:pPr>
      <w:pBdr>
        <w:left w:val="single" w:sz="6" w:space="5" w:color="DDDDDD"/>
      </w:pBdr>
      <w:spacing w:before="45" w:after="45"/>
      <w:ind w:left="45" w:right="45"/>
    </w:pPr>
    <w:rPr>
      <w:rFonts w:cs="Times New Roman"/>
      <w:lang w:val="en-US" w:eastAsia="en-US" w:bidi="ar-SA"/>
    </w:rPr>
  </w:style>
  <w:style w:type="paragraph" w:customStyle="1" w:styleId="group-search1">
    <w:name w:val="group-search1"/>
    <w:basedOn w:val="Standaard"/>
    <w:uiPriority w:val="99"/>
    <w:rsid w:val="006C1C1E"/>
    <w:pPr>
      <w:pBdr>
        <w:left w:val="single" w:sz="6" w:space="5" w:color="DDDDDD"/>
      </w:pBdr>
      <w:spacing w:before="100" w:beforeAutospacing="1" w:after="100" w:afterAutospacing="1"/>
    </w:pPr>
    <w:rPr>
      <w:rFonts w:cs="Times New Roman"/>
      <w:lang w:val="en-US" w:eastAsia="en-US" w:bidi="ar-SA"/>
    </w:rPr>
  </w:style>
  <w:style w:type="paragraph" w:customStyle="1" w:styleId="group-insert1">
    <w:name w:val="group-insert1"/>
    <w:basedOn w:val="Standaard"/>
    <w:uiPriority w:val="99"/>
    <w:rsid w:val="006C1C1E"/>
    <w:pPr>
      <w:spacing w:before="100" w:beforeAutospacing="1" w:after="100" w:afterAutospacing="1"/>
    </w:pPr>
    <w:rPr>
      <w:rFonts w:cs="Times New Roman"/>
      <w:lang w:val="en-US" w:eastAsia="en-US" w:bidi="ar-SA"/>
    </w:rPr>
  </w:style>
  <w:style w:type="paragraph" w:customStyle="1" w:styleId="group-search2">
    <w:name w:val="group-search2"/>
    <w:basedOn w:val="Standaard"/>
    <w:uiPriority w:val="99"/>
    <w:rsid w:val="006C1C1E"/>
    <w:pPr>
      <w:pBdr>
        <w:right w:val="single" w:sz="6" w:space="5" w:color="DDDDDD"/>
      </w:pBdr>
      <w:spacing w:before="100" w:beforeAutospacing="1" w:after="100" w:afterAutospacing="1"/>
    </w:pPr>
    <w:rPr>
      <w:rFonts w:cs="Times New Roman"/>
      <w:lang w:val="en-US" w:eastAsia="en-US" w:bidi="ar-SA"/>
    </w:rPr>
  </w:style>
  <w:style w:type="paragraph" w:customStyle="1" w:styleId="group-insert2">
    <w:name w:val="group-insert2"/>
    <w:basedOn w:val="Standaard"/>
    <w:uiPriority w:val="99"/>
    <w:rsid w:val="006C1C1E"/>
    <w:pPr>
      <w:spacing w:before="100" w:beforeAutospacing="1" w:after="100" w:afterAutospacing="1"/>
    </w:pPr>
    <w:rPr>
      <w:rFonts w:cs="Times New Roman"/>
      <w:lang w:val="en-US" w:eastAsia="en-US" w:bidi="ar-SA"/>
    </w:rPr>
  </w:style>
  <w:style w:type="character" w:customStyle="1" w:styleId="tab1">
    <w:name w:val="tab1"/>
    <w:basedOn w:val="Standaardalinea-lettertype"/>
    <w:uiPriority w:val="99"/>
    <w:rsid w:val="006C1C1E"/>
    <w:rPr>
      <w:rFonts w:cs="Times New Roman"/>
    </w:rPr>
  </w:style>
  <w:style w:type="paragraph" w:customStyle="1" w:styleId="label1">
    <w:name w:val="label1"/>
    <w:basedOn w:val="Standaard"/>
    <w:uiPriority w:val="99"/>
    <w:rsid w:val="006C1C1E"/>
    <w:pPr>
      <w:spacing w:before="30" w:after="30" w:line="330" w:lineRule="atLeast"/>
      <w:ind w:left="75" w:right="120"/>
    </w:pPr>
    <w:rPr>
      <w:rFonts w:cs="Times New Roman"/>
      <w:color w:val="777777"/>
      <w:lang w:val="en-US" w:eastAsia="en-US" w:bidi="ar-SA"/>
    </w:rPr>
  </w:style>
  <w:style w:type="paragraph" w:customStyle="1" w:styleId="tool-select1">
    <w:name w:val="tool-select1"/>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FFFFFF"/>
      <w:spacing w:before="30" w:after="30"/>
      <w:ind w:left="30"/>
    </w:pPr>
    <w:rPr>
      <w:rFonts w:cs="Times New Roman"/>
      <w:lang w:val="en-US" w:eastAsia="en-US" w:bidi="ar-SA"/>
    </w:rPr>
  </w:style>
  <w:style w:type="paragraph" w:customStyle="1" w:styleId="label2">
    <w:name w:val="label2"/>
    <w:basedOn w:val="Standaard"/>
    <w:uiPriority w:val="99"/>
    <w:rsid w:val="006C1C1E"/>
    <w:pPr>
      <w:spacing w:line="330" w:lineRule="atLeast"/>
      <w:ind w:right="60"/>
    </w:pPr>
    <w:rPr>
      <w:rFonts w:cs="Times New Roman"/>
      <w:color w:val="333333"/>
      <w:lang w:val="en-US" w:eastAsia="en-US" w:bidi="ar-SA"/>
    </w:rPr>
  </w:style>
  <w:style w:type="paragraph" w:customStyle="1" w:styleId="label3">
    <w:name w:val="label3"/>
    <w:basedOn w:val="Standaard"/>
    <w:uiPriority w:val="99"/>
    <w:rsid w:val="006C1C1E"/>
    <w:pPr>
      <w:spacing w:line="330" w:lineRule="atLeast"/>
      <w:ind w:left="60"/>
    </w:pPr>
    <w:rPr>
      <w:rFonts w:cs="Times New Roman"/>
      <w:color w:val="333333"/>
      <w:lang w:val="en-US" w:eastAsia="en-US" w:bidi="ar-SA"/>
    </w:rPr>
  </w:style>
  <w:style w:type="paragraph" w:customStyle="1" w:styleId="menu1">
    <w:name w:val="menu1"/>
    <w:basedOn w:val="Standaard"/>
    <w:uiPriority w:val="99"/>
    <w:rsid w:val="006C1C1E"/>
    <w:pPr>
      <w:spacing w:before="100" w:beforeAutospacing="1" w:after="100" w:afterAutospacing="1"/>
      <w:ind w:left="-15" w:right="-15"/>
    </w:pPr>
    <w:rPr>
      <w:rFonts w:cs="Times New Roman"/>
      <w:lang w:val="en-US" w:eastAsia="en-US" w:bidi="ar-SA"/>
    </w:rPr>
  </w:style>
  <w:style w:type="paragraph" w:customStyle="1" w:styleId="options1">
    <w:name w:val="options1"/>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FFFFFF"/>
      <w:spacing w:before="330" w:after="100" w:afterAutospacing="1"/>
      <w:ind w:left="-15"/>
    </w:pPr>
    <w:rPr>
      <w:rFonts w:cs="Times New Roman"/>
      <w:vanish/>
      <w:lang w:val="en-US" w:eastAsia="en-US" w:bidi="ar-SA"/>
    </w:rPr>
  </w:style>
  <w:style w:type="paragraph" w:customStyle="1" w:styleId="options2">
    <w:name w:val="options2"/>
    <w:basedOn w:val="Standaard"/>
    <w:uiPriority w:val="99"/>
    <w:rsid w:val="006C1C1E"/>
    <w:pPr>
      <w:spacing w:before="330" w:after="100" w:afterAutospacing="1"/>
    </w:pPr>
    <w:rPr>
      <w:rFonts w:cs="Times New Roman"/>
      <w:lang w:val="en-US" w:eastAsia="en-US" w:bidi="ar-SA"/>
    </w:rPr>
  </w:style>
  <w:style w:type="paragraph" w:customStyle="1" w:styleId="option1">
    <w:name w:val="option1"/>
    <w:basedOn w:val="Standaard"/>
    <w:uiPriority w:val="99"/>
    <w:rsid w:val="006C1C1E"/>
    <w:pPr>
      <w:spacing w:before="100" w:beforeAutospacing="1" w:after="100" w:afterAutospacing="1"/>
    </w:pPr>
    <w:rPr>
      <w:rFonts w:cs="Times New Roman"/>
      <w:color w:val="000000"/>
      <w:lang w:val="en-US" w:eastAsia="en-US" w:bidi="ar-SA"/>
    </w:rPr>
  </w:style>
  <w:style w:type="paragraph" w:customStyle="1" w:styleId="optionrelheading-21">
    <w:name w:val="option[rel=heading-2]1"/>
    <w:basedOn w:val="Standaard"/>
    <w:uiPriority w:val="99"/>
    <w:rsid w:val="006C1C1E"/>
    <w:pPr>
      <w:spacing w:before="100" w:beforeAutospacing="1" w:after="100" w:afterAutospacing="1"/>
    </w:pPr>
    <w:rPr>
      <w:rFonts w:cs="Times New Roman"/>
      <w:sz w:val="36"/>
      <w:szCs w:val="36"/>
      <w:lang w:val="en-US" w:eastAsia="en-US" w:bidi="ar-SA"/>
    </w:rPr>
  </w:style>
  <w:style w:type="paragraph" w:customStyle="1" w:styleId="optionrelheading-31">
    <w:name w:val="option[rel=heading-3]1"/>
    <w:basedOn w:val="Standaard"/>
    <w:uiPriority w:val="99"/>
    <w:rsid w:val="006C1C1E"/>
    <w:pPr>
      <w:spacing w:before="100" w:beforeAutospacing="1" w:after="100" w:afterAutospacing="1"/>
    </w:pPr>
    <w:rPr>
      <w:rFonts w:cs="Times New Roman"/>
      <w:sz w:val="32"/>
      <w:szCs w:val="32"/>
      <w:lang w:val="en-US" w:eastAsia="en-US" w:bidi="ar-SA"/>
    </w:rPr>
  </w:style>
  <w:style w:type="paragraph" w:customStyle="1" w:styleId="optionrelheading-41">
    <w:name w:val="option[rel=heading-4]1"/>
    <w:basedOn w:val="Standaard"/>
    <w:uiPriority w:val="99"/>
    <w:rsid w:val="006C1C1E"/>
    <w:pPr>
      <w:spacing w:before="100" w:beforeAutospacing="1" w:after="100" w:afterAutospacing="1"/>
    </w:pPr>
    <w:rPr>
      <w:rFonts w:cs="Times New Roman"/>
      <w:sz w:val="28"/>
      <w:szCs w:val="28"/>
      <w:lang w:val="en-US" w:eastAsia="en-US" w:bidi="ar-SA"/>
    </w:rPr>
  </w:style>
  <w:style w:type="paragraph" w:customStyle="1" w:styleId="optionrelheading-51">
    <w:name w:val="option[rel=heading-5]1"/>
    <w:basedOn w:val="Standaard"/>
    <w:uiPriority w:val="99"/>
    <w:rsid w:val="006C1C1E"/>
    <w:pPr>
      <w:spacing w:before="100" w:beforeAutospacing="1" w:after="100" w:afterAutospacing="1"/>
    </w:pPr>
    <w:rPr>
      <w:rFonts w:cs="Times New Roman"/>
      <w:b/>
      <w:bCs/>
      <w:lang w:val="en-US" w:eastAsia="en-US" w:bidi="ar-SA"/>
    </w:rPr>
  </w:style>
  <w:style w:type="paragraph" w:customStyle="1" w:styleId="index1">
    <w:name w:val="index1"/>
    <w:basedOn w:val="Standaard"/>
    <w:uiPriority w:val="99"/>
    <w:rsid w:val="006C1C1E"/>
    <w:pPr>
      <w:spacing w:before="100" w:beforeAutospacing="1" w:after="100" w:afterAutospacing="1"/>
    </w:pPr>
    <w:rPr>
      <w:rFonts w:cs="Times New Roman"/>
      <w:lang w:val="en-US" w:eastAsia="en-US" w:bidi="ar-SA"/>
    </w:rPr>
  </w:style>
  <w:style w:type="paragraph" w:customStyle="1" w:styleId="current1">
    <w:name w:val="current1"/>
    <w:basedOn w:val="Standaard"/>
    <w:uiPriority w:val="99"/>
    <w:rsid w:val="006C1C1E"/>
    <w:pPr>
      <w:shd w:val="clear" w:color="auto" w:fill="FAFAFA"/>
      <w:spacing w:before="100" w:beforeAutospacing="1" w:after="100" w:afterAutospacing="1"/>
    </w:pPr>
    <w:rPr>
      <w:rFonts w:cs="Times New Roman"/>
      <w:color w:val="333333"/>
      <w:lang w:val="en-US" w:eastAsia="en-US" w:bidi="ar-SA"/>
    </w:rPr>
  </w:style>
  <w:style w:type="paragraph" w:customStyle="1" w:styleId="pages1">
    <w:name w:val="pages1"/>
    <w:basedOn w:val="Standaard"/>
    <w:uiPriority w:val="99"/>
    <w:rsid w:val="006C1C1E"/>
    <w:pPr>
      <w:shd w:val="clear" w:color="auto" w:fill="FAFAFA"/>
      <w:spacing w:before="100" w:beforeAutospacing="1" w:after="100" w:afterAutospacing="1"/>
    </w:pPr>
    <w:rPr>
      <w:rFonts w:cs="Times New Roman"/>
      <w:lang w:val="en-US" w:eastAsia="en-US" w:bidi="ar-SA"/>
    </w:rPr>
  </w:style>
  <w:style w:type="paragraph" w:customStyle="1" w:styleId="wikieditor-toolbar-table-preview-frame1">
    <w:name w:val="wikieditor-toolbar-table-preview-frame1"/>
    <w:basedOn w:val="Standaard"/>
    <w:uiPriority w:val="99"/>
    <w:rsid w:val="006C1C1E"/>
    <w:pPr>
      <w:shd w:val="clear" w:color="auto" w:fill="FFFFFF"/>
      <w:spacing w:before="100" w:beforeAutospacing="1" w:after="100" w:afterAutospacing="1"/>
    </w:pPr>
    <w:rPr>
      <w:rFonts w:cs="Times New Roman"/>
      <w:lang w:val="en-US" w:eastAsia="en-US" w:bidi="ar-SA"/>
    </w:rPr>
  </w:style>
  <w:style w:type="paragraph" w:customStyle="1" w:styleId="wikieditor-toolbar-table-preview-content1">
    <w:name w:val="wikieditor-toolbar-table-preview-content1"/>
    <w:basedOn w:val="Standaard"/>
    <w:uiPriority w:val="99"/>
    <w:rsid w:val="006C1C1E"/>
    <w:pPr>
      <w:spacing w:before="100" w:beforeAutospacing="1" w:after="100" w:afterAutospacing="1"/>
    </w:pPr>
    <w:rPr>
      <w:rFonts w:cs="Times New Roman"/>
      <w:lang w:val="en-US" w:eastAsia="en-US" w:bidi="ar-SA"/>
    </w:rPr>
  </w:style>
  <w:style w:type="paragraph" w:customStyle="1" w:styleId="wikieditor-toolbar-table-preview1">
    <w:name w:val="wikieditor-toolbar-table-preview1"/>
    <w:basedOn w:val="Standaard"/>
    <w:uiPriority w:val="99"/>
    <w:rsid w:val="006C1C1E"/>
    <w:pPr>
      <w:spacing w:before="100" w:beforeAutospacing="1" w:after="100" w:afterAutospacing="1"/>
    </w:pPr>
    <w:rPr>
      <w:rFonts w:cs="Times New Roman"/>
      <w:lang w:val="en-US" w:eastAsia="en-US" w:bidi="ar-SA"/>
    </w:rPr>
  </w:style>
  <w:style w:type="paragraph" w:customStyle="1" w:styleId="ui-state-default1">
    <w:name w:val="ui-state-default1"/>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E2EEF6"/>
      <w:spacing w:before="100" w:beforeAutospacing="1" w:after="100" w:afterAutospacing="1"/>
    </w:pPr>
    <w:rPr>
      <w:rFonts w:cs="Times New Roman"/>
      <w:color w:val="333333"/>
      <w:lang w:val="en-US" w:eastAsia="en-US" w:bidi="ar-SA"/>
    </w:rPr>
  </w:style>
  <w:style w:type="paragraph" w:customStyle="1" w:styleId="ui-state-hover1">
    <w:name w:val="ui-state-hover1"/>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FFFFFF"/>
      <w:spacing w:before="100" w:beforeAutospacing="1" w:after="100" w:afterAutospacing="1"/>
    </w:pPr>
    <w:rPr>
      <w:rFonts w:cs="Times New Roman"/>
      <w:color w:val="333333"/>
      <w:lang w:val="en-US" w:eastAsia="en-US" w:bidi="ar-SA"/>
    </w:rPr>
  </w:style>
  <w:style w:type="paragraph" w:customStyle="1" w:styleId="ui-state-focus1">
    <w:name w:val="ui-state-focus1"/>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FFFFFF"/>
      <w:spacing w:before="100" w:beforeAutospacing="1" w:after="100" w:afterAutospacing="1"/>
    </w:pPr>
    <w:rPr>
      <w:rFonts w:cs="Times New Roman"/>
      <w:color w:val="333333"/>
      <w:lang w:val="en-US" w:eastAsia="en-US" w:bidi="ar-SA"/>
    </w:rPr>
  </w:style>
  <w:style w:type="paragraph" w:customStyle="1" w:styleId="ui-state-active1">
    <w:name w:val="ui-state-active1"/>
    <w:basedOn w:val="Standaard"/>
    <w:uiPriority w:val="99"/>
    <w:rsid w:val="006C1C1E"/>
    <w:pPr>
      <w:pBdr>
        <w:top w:val="single" w:sz="6" w:space="0" w:color="C0C0C0"/>
        <w:left w:val="single" w:sz="6" w:space="0" w:color="C0C0C0"/>
        <w:bottom w:val="single" w:sz="6" w:space="0" w:color="C0C0C0"/>
        <w:right w:val="single" w:sz="6" w:space="0" w:color="C0C0C0"/>
      </w:pBdr>
      <w:shd w:val="clear" w:color="auto" w:fill="FFFFFF"/>
      <w:spacing w:before="100" w:beforeAutospacing="1" w:after="100" w:afterAutospacing="1"/>
    </w:pPr>
    <w:rPr>
      <w:rFonts w:cs="Times New Roman"/>
      <w:color w:val="333333"/>
      <w:lang w:val="en-US" w:eastAsia="en-US" w:bidi="ar-SA"/>
    </w:rPr>
  </w:style>
  <w:style w:type="paragraph" w:customStyle="1" w:styleId="ui-state-highlight1">
    <w:name w:val="ui-state-highlight1"/>
    <w:basedOn w:val="Standaard"/>
    <w:uiPriority w:val="99"/>
    <w:rsid w:val="006C1C1E"/>
    <w:pPr>
      <w:pBdr>
        <w:top w:val="single" w:sz="6" w:space="0" w:color="FCEFA1"/>
        <w:left w:val="single" w:sz="6" w:space="0" w:color="FCEFA1"/>
        <w:bottom w:val="single" w:sz="6" w:space="0" w:color="FCEFA1"/>
        <w:right w:val="single" w:sz="6" w:space="0" w:color="FCEFA1"/>
      </w:pBdr>
      <w:spacing w:before="100" w:beforeAutospacing="1" w:after="100" w:afterAutospacing="1"/>
    </w:pPr>
    <w:rPr>
      <w:rFonts w:cs="Times New Roman"/>
      <w:color w:val="363636"/>
      <w:lang w:val="en-US" w:eastAsia="en-US" w:bidi="ar-SA"/>
    </w:rPr>
  </w:style>
  <w:style w:type="paragraph" w:customStyle="1" w:styleId="ui-state-error1">
    <w:name w:val="ui-state-error1"/>
    <w:basedOn w:val="Standaard"/>
    <w:uiPriority w:val="99"/>
    <w:rsid w:val="006C1C1E"/>
    <w:pPr>
      <w:pBdr>
        <w:top w:val="single" w:sz="6" w:space="0" w:color="CD0A0A"/>
        <w:left w:val="single" w:sz="6" w:space="0" w:color="CD0A0A"/>
        <w:bottom w:val="single" w:sz="6" w:space="0" w:color="CD0A0A"/>
        <w:right w:val="single" w:sz="6" w:space="0" w:color="CD0A0A"/>
      </w:pBdr>
      <w:spacing w:before="100" w:beforeAutospacing="1" w:after="100" w:afterAutospacing="1"/>
    </w:pPr>
    <w:rPr>
      <w:rFonts w:cs="Times New Roman"/>
      <w:color w:val="CD0A0A"/>
      <w:lang w:val="en-US" w:eastAsia="en-US" w:bidi="ar-SA"/>
    </w:rPr>
  </w:style>
  <w:style w:type="paragraph" w:customStyle="1" w:styleId="ui-state-error-text1">
    <w:name w:val="ui-state-error-text1"/>
    <w:basedOn w:val="Standaard"/>
    <w:uiPriority w:val="99"/>
    <w:rsid w:val="006C1C1E"/>
    <w:pPr>
      <w:spacing w:before="100" w:beforeAutospacing="1" w:after="100" w:afterAutospacing="1"/>
    </w:pPr>
    <w:rPr>
      <w:rFonts w:cs="Times New Roman"/>
      <w:color w:val="CD0A0A"/>
      <w:lang w:val="en-US" w:eastAsia="en-US" w:bidi="ar-SA"/>
    </w:rPr>
  </w:style>
  <w:style w:type="paragraph" w:customStyle="1" w:styleId="ui-state-disabled1">
    <w:name w:val="ui-state-disabled1"/>
    <w:basedOn w:val="Standaard"/>
    <w:uiPriority w:val="99"/>
    <w:rsid w:val="006C1C1E"/>
    <w:pPr>
      <w:spacing w:before="100" w:beforeAutospacing="1" w:after="100" w:afterAutospacing="1"/>
    </w:pPr>
    <w:rPr>
      <w:rFonts w:cs="Times New Roman"/>
      <w:lang w:val="en-US" w:eastAsia="en-US" w:bidi="ar-SA"/>
    </w:rPr>
  </w:style>
  <w:style w:type="paragraph" w:customStyle="1" w:styleId="ui-priority-primary1">
    <w:name w:val="ui-priority-primary1"/>
    <w:basedOn w:val="Standaard"/>
    <w:uiPriority w:val="99"/>
    <w:rsid w:val="006C1C1E"/>
    <w:pPr>
      <w:spacing w:before="100" w:beforeAutospacing="1" w:after="100" w:afterAutospacing="1"/>
    </w:pPr>
    <w:rPr>
      <w:rFonts w:cs="Times New Roman"/>
      <w:b/>
      <w:bCs/>
      <w:lang w:val="en-US" w:eastAsia="en-US" w:bidi="ar-SA"/>
    </w:rPr>
  </w:style>
  <w:style w:type="paragraph" w:customStyle="1" w:styleId="ui-priority-secondary1">
    <w:name w:val="ui-priority-secondary1"/>
    <w:basedOn w:val="Standaard"/>
    <w:uiPriority w:val="99"/>
    <w:rsid w:val="006C1C1E"/>
    <w:pPr>
      <w:spacing w:before="100" w:beforeAutospacing="1" w:after="100" w:afterAutospacing="1"/>
    </w:pPr>
    <w:rPr>
      <w:rFonts w:cs="Times New Roman"/>
      <w:lang w:val="en-US" w:eastAsia="en-US" w:bidi="ar-SA"/>
    </w:rPr>
  </w:style>
  <w:style w:type="paragraph" w:customStyle="1" w:styleId="ui-icon1">
    <w:name w:val="ui-icon1"/>
    <w:basedOn w:val="Standaard"/>
    <w:uiPriority w:val="99"/>
    <w:rsid w:val="006C1C1E"/>
    <w:pPr>
      <w:spacing w:before="100" w:beforeAutospacing="1" w:after="100" w:afterAutospacing="1"/>
      <w:ind w:firstLine="7343"/>
    </w:pPr>
    <w:rPr>
      <w:rFonts w:cs="Times New Roman"/>
      <w:lang w:val="en-US" w:eastAsia="en-US" w:bidi="ar-SA"/>
    </w:rPr>
  </w:style>
  <w:style w:type="paragraph" w:customStyle="1" w:styleId="ui-icon2">
    <w:name w:val="ui-icon2"/>
    <w:basedOn w:val="Standaard"/>
    <w:uiPriority w:val="99"/>
    <w:rsid w:val="006C1C1E"/>
    <w:pPr>
      <w:spacing w:before="100" w:beforeAutospacing="1" w:after="100" w:afterAutospacing="1"/>
      <w:ind w:firstLine="7343"/>
    </w:pPr>
    <w:rPr>
      <w:rFonts w:cs="Times New Roman"/>
      <w:lang w:val="en-US" w:eastAsia="en-US" w:bidi="ar-SA"/>
    </w:rPr>
  </w:style>
  <w:style w:type="paragraph" w:customStyle="1" w:styleId="ui-icon3">
    <w:name w:val="ui-icon3"/>
    <w:basedOn w:val="Standaard"/>
    <w:uiPriority w:val="99"/>
    <w:rsid w:val="006C1C1E"/>
    <w:pPr>
      <w:spacing w:before="100" w:beforeAutospacing="1" w:after="100" w:afterAutospacing="1"/>
      <w:ind w:firstLine="7343"/>
    </w:pPr>
    <w:rPr>
      <w:rFonts w:cs="Times New Roman"/>
      <w:lang w:val="en-US" w:eastAsia="en-US" w:bidi="ar-SA"/>
    </w:rPr>
  </w:style>
  <w:style w:type="paragraph" w:customStyle="1" w:styleId="ui-icon4">
    <w:name w:val="ui-icon4"/>
    <w:basedOn w:val="Standaard"/>
    <w:uiPriority w:val="99"/>
    <w:rsid w:val="006C1C1E"/>
    <w:pPr>
      <w:spacing w:before="100" w:beforeAutospacing="1" w:after="100" w:afterAutospacing="1"/>
      <w:ind w:firstLine="7343"/>
    </w:pPr>
    <w:rPr>
      <w:rFonts w:cs="Times New Roman"/>
      <w:lang w:val="en-US" w:eastAsia="en-US" w:bidi="ar-SA"/>
    </w:rPr>
  </w:style>
  <w:style w:type="paragraph" w:customStyle="1" w:styleId="ui-icon5">
    <w:name w:val="ui-icon5"/>
    <w:basedOn w:val="Standaard"/>
    <w:uiPriority w:val="99"/>
    <w:rsid w:val="006C1C1E"/>
    <w:pPr>
      <w:spacing w:before="100" w:beforeAutospacing="1" w:after="100" w:afterAutospacing="1"/>
      <w:ind w:firstLine="7343"/>
    </w:pPr>
    <w:rPr>
      <w:rFonts w:cs="Times New Roman"/>
      <w:lang w:val="en-US" w:eastAsia="en-US" w:bidi="ar-SA"/>
    </w:rPr>
  </w:style>
  <w:style w:type="paragraph" w:customStyle="1" w:styleId="ui-icon6">
    <w:name w:val="ui-icon6"/>
    <w:basedOn w:val="Standaard"/>
    <w:uiPriority w:val="99"/>
    <w:rsid w:val="006C1C1E"/>
    <w:pPr>
      <w:spacing w:before="100" w:beforeAutospacing="1" w:after="100" w:afterAutospacing="1"/>
      <w:ind w:firstLine="7343"/>
    </w:pPr>
    <w:rPr>
      <w:rFonts w:cs="Times New Roman"/>
      <w:lang w:val="en-US" w:eastAsia="en-US" w:bidi="ar-SA"/>
    </w:rPr>
  </w:style>
  <w:style w:type="paragraph" w:customStyle="1" w:styleId="ui-icon7">
    <w:name w:val="ui-icon7"/>
    <w:basedOn w:val="Standaard"/>
    <w:uiPriority w:val="99"/>
    <w:rsid w:val="006C1C1E"/>
    <w:pPr>
      <w:spacing w:before="100" w:beforeAutospacing="1" w:after="100" w:afterAutospacing="1"/>
      <w:ind w:firstLine="7343"/>
    </w:pPr>
    <w:rPr>
      <w:rFonts w:cs="Times New Roman"/>
      <w:lang w:val="en-US" w:eastAsia="en-US" w:bidi="ar-SA"/>
    </w:rPr>
  </w:style>
  <w:style w:type="paragraph" w:customStyle="1" w:styleId="ui-icon8">
    <w:name w:val="ui-icon8"/>
    <w:basedOn w:val="Standaard"/>
    <w:uiPriority w:val="99"/>
    <w:rsid w:val="006C1C1E"/>
    <w:pPr>
      <w:spacing w:before="100" w:beforeAutospacing="1" w:after="100" w:afterAutospacing="1"/>
      <w:ind w:firstLine="7343"/>
    </w:pPr>
    <w:rPr>
      <w:rFonts w:cs="Times New Roman"/>
      <w:lang w:val="en-US" w:eastAsia="en-US" w:bidi="ar-SA"/>
    </w:rPr>
  </w:style>
  <w:style w:type="paragraph" w:customStyle="1" w:styleId="ui-icon9">
    <w:name w:val="ui-icon9"/>
    <w:basedOn w:val="Standaard"/>
    <w:uiPriority w:val="99"/>
    <w:rsid w:val="006C1C1E"/>
    <w:pPr>
      <w:spacing w:before="100" w:beforeAutospacing="1" w:after="100" w:afterAutospacing="1"/>
      <w:ind w:firstLine="7343"/>
    </w:pPr>
    <w:rPr>
      <w:rFonts w:cs="Times New Roman"/>
      <w:lang w:val="en-US" w:eastAsia="en-US" w:bidi="ar-SA"/>
    </w:rPr>
  </w:style>
  <w:style w:type="paragraph" w:customStyle="1" w:styleId="ui-accordion-header1">
    <w:name w:val="ui-accordion-header1"/>
    <w:basedOn w:val="Standaard"/>
    <w:uiPriority w:val="99"/>
    <w:rsid w:val="006C1C1E"/>
    <w:pPr>
      <w:spacing w:before="15" w:after="100" w:afterAutospacing="1"/>
    </w:pPr>
    <w:rPr>
      <w:rFonts w:cs="Times New Roman"/>
      <w:lang w:val="en-US" w:eastAsia="en-US" w:bidi="ar-SA"/>
    </w:rPr>
  </w:style>
  <w:style w:type="paragraph" w:customStyle="1" w:styleId="ui-accordion-li-fix1">
    <w:name w:val="ui-accordion-li-fix1"/>
    <w:basedOn w:val="Standaard"/>
    <w:uiPriority w:val="99"/>
    <w:rsid w:val="006C1C1E"/>
    <w:pPr>
      <w:spacing w:before="100" w:beforeAutospacing="1" w:after="100" w:afterAutospacing="1"/>
    </w:pPr>
    <w:rPr>
      <w:rFonts w:cs="Times New Roman"/>
      <w:lang w:val="en-US" w:eastAsia="en-US" w:bidi="ar-SA"/>
    </w:rPr>
  </w:style>
  <w:style w:type="paragraph" w:customStyle="1" w:styleId="ui-accordion-header-active1">
    <w:name w:val="ui-accordion-header-active1"/>
    <w:basedOn w:val="Standaard"/>
    <w:uiPriority w:val="99"/>
    <w:rsid w:val="006C1C1E"/>
    <w:pPr>
      <w:spacing w:before="100" w:beforeAutospacing="1" w:after="100" w:afterAutospacing="1"/>
    </w:pPr>
    <w:rPr>
      <w:rFonts w:cs="Times New Roman"/>
      <w:lang w:val="en-US" w:eastAsia="en-US" w:bidi="ar-SA"/>
    </w:rPr>
  </w:style>
  <w:style w:type="paragraph" w:customStyle="1" w:styleId="ui-icon10">
    <w:name w:val="ui-icon10"/>
    <w:basedOn w:val="Standaard"/>
    <w:uiPriority w:val="99"/>
    <w:rsid w:val="006C1C1E"/>
    <w:pPr>
      <w:spacing w:after="100" w:afterAutospacing="1"/>
      <w:ind w:firstLine="7343"/>
    </w:pPr>
    <w:rPr>
      <w:rFonts w:cs="Times New Roman"/>
      <w:lang w:val="en-US" w:eastAsia="en-US" w:bidi="ar-SA"/>
    </w:rPr>
  </w:style>
  <w:style w:type="paragraph" w:customStyle="1" w:styleId="ui-accordion-content1">
    <w:name w:val="ui-accordion-content1"/>
    <w:basedOn w:val="Standaard"/>
    <w:uiPriority w:val="99"/>
    <w:rsid w:val="006C1C1E"/>
    <w:pPr>
      <w:spacing w:after="30"/>
    </w:pPr>
    <w:rPr>
      <w:rFonts w:cs="Times New Roman"/>
      <w:vanish/>
      <w:lang w:val="en-US" w:eastAsia="en-US" w:bidi="ar-SA"/>
    </w:rPr>
  </w:style>
  <w:style w:type="paragraph" w:customStyle="1" w:styleId="ui-accordion-content-active1">
    <w:name w:val="ui-accordion-content-active1"/>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header1">
    <w:name w:val="ui-datepicker-header1"/>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prev1">
    <w:name w:val="ui-datepicker-prev1"/>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next1">
    <w:name w:val="ui-datepicker-next1"/>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title1">
    <w:name w:val="ui-datepicker-title1"/>
    <w:basedOn w:val="Standaard"/>
    <w:uiPriority w:val="99"/>
    <w:rsid w:val="006C1C1E"/>
    <w:pPr>
      <w:spacing w:line="432" w:lineRule="atLeast"/>
      <w:ind w:left="552" w:right="552"/>
      <w:jc w:val="center"/>
    </w:pPr>
    <w:rPr>
      <w:rFonts w:cs="Times New Roman"/>
      <w:lang w:val="en-US" w:eastAsia="en-US" w:bidi="ar-SA"/>
    </w:rPr>
  </w:style>
  <w:style w:type="paragraph" w:customStyle="1" w:styleId="ui-datepicker-buttonpane1">
    <w:name w:val="ui-datepicker-buttonpane1"/>
    <w:basedOn w:val="Standaard"/>
    <w:uiPriority w:val="99"/>
    <w:rsid w:val="006C1C1E"/>
    <w:pPr>
      <w:spacing w:before="168"/>
    </w:pPr>
    <w:rPr>
      <w:rFonts w:cs="Times New Roman"/>
      <w:lang w:val="en-US" w:eastAsia="en-US" w:bidi="ar-SA"/>
    </w:rPr>
  </w:style>
  <w:style w:type="paragraph" w:customStyle="1" w:styleId="ui-datepicker-group1">
    <w:name w:val="ui-datepicker-group1"/>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group2">
    <w:name w:val="ui-datepicker-group2"/>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group3">
    <w:name w:val="ui-datepicker-group3"/>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header2">
    <w:name w:val="ui-datepicker-header2"/>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header3">
    <w:name w:val="ui-datepicker-header3"/>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buttonpane2">
    <w:name w:val="ui-datepicker-buttonpane2"/>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buttonpane3">
    <w:name w:val="ui-datepicker-buttonpane3"/>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header4">
    <w:name w:val="ui-datepicker-header4"/>
    <w:basedOn w:val="Standaard"/>
    <w:uiPriority w:val="99"/>
    <w:rsid w:val="006C1C1E"/>
    <w:pPr>
      <w:spacing w:before="100" w:beforeAutospacing="1" w:after="100" w:afterAutospacing="1"/>
    </w:pPr>
    <w:rPr>
      <w:rFonts w:cs="Times New Roman"/>
      <w:lang w:val="en-US" w:eastAsia="en-US" w:bidi="ar-SA"/>
    </w:rPr>
  </w:style>
  <w:style w:type="paragraph" w:customStyle="1" w:styleId="ui-datepicker-header5">
    <w:name w:val="ui-datepicker-header5"/>
    <w:basedOn w:val="Standaard"/>
    <w:uiPriority w:val="99"/>
    <w:rsid w:val="006C1C1E"/>
    <w:pPr>
      <w:spacing w:before="100" w:beforeAutospacing="1" w:after="100" w:afterAutospacing="1"/>
    </w:pPr>
    <w:rPr>
      <w:rFonts w:cs="Times New Roman"/>
      <w:lang w:val="en-US" w:eastAsia="en-US" w:bidi="ar-SA"/>
    </w:rPr>
  </w:style>
  <w:style w:type="paragraph" w:customStyle="1" w:styleId="ui-dialog-titlebar2">
    <w:name w:val="ui-dialog-titlebar2"/>
    <w:basedOn w:val="Standaard"/>
    <w:uiPriority w:val="99"/>
    <w:rsid w:val="006C1C1E"/>
    <w:pPr>
      <w:spacing w:before="100" w:beforeAutospacing="1" w:after="100" w:afterAutospacing="1"/>
    </w:pPr>
    <w:rPr>
      <w:rFonts w:cs="Times New Roman"/>
      <w:lang w:val="en-US" w:eastAsia="en-US" w:bidi="ar-SA"/>
    </w:rPr>
  </w:style>
  <w:style w:type="paragraph" w:customStyle="1" w:styleId="ui-dialog-title1">
    <w:name w:val="ui-dialog-title1"/>
    <w:basedOn w:val="Standaard"/>
    <w:uiPriority w:val="99"/>
    <w:rsid w:val="006C1C1E"/>
    <w:rPr>
      <w:rFonts w:cs="Times New Roman"/>
      <w:lang w:val="en-US" w:eastAsia="en-US" w:bidi="ar-SA"/>
    </w:rPr>
  </w:style>
  <w:style w:type="paragraph" w:customStyle="1" w:styleId="ui-dialog-titlebar-close2">
    <w:name w:val="ui-dialog-titlebar-close2"/>
    <w:basedOn w:val="Standaard"/>
    <w:uiPriority w:val="99"/>
    <w:rsid w:val="006C1C1E"/>
    <w:rPr>
      <w:rFonts w:cs="Times New Roman"/>
      <w:lang w:val="en-US" w:eastAsia="en-US" w:bidi="ar-SA"/>
    </w:rPr>
  </w:style>
  <w:style w:type="paragraph" w:customStyle="1" w:styleId="ui-dialog-content2">
    <w:name w:val="ui-dialog-content2"/>
    <w:basedOn w:val="Standaard"/>
    <w:uiPriority w:val="99"/>
    <w:rsid w:val="006C1C1E"/>
    <w:pPr>
      <w:spacing w:before="100" w:beforeAutospacing="1" w:after="100" w:afterAutospacing="1"/>
    </w:pPr>
    <w:rPr>
      <w:rFonts w:cs="Times New Roman"/>
      <w:lang w:val="en-US" w:eastAsia="en-US" w:bidi="ar-SA"/>
    </w:rPr>
  </w:style>
  <w:style w:type="paragraph" w:customStyle="1" w:styleId="ui-dialog-buttonpane2">
    <w:name w:val="ui-dialog-buttonpane2"/>
    <w:basedOn w:val="Standaard"/>
    <w:uiPriority w:val="99"/>
    <w:rsid w:val="006C1C1E"/>
    <w:pPr>
      <w:spacing w:before="120"/>
    </w:pPr>
    <w:rPr>
      <w:rFonts w:cs="Times New Roman"/>
      <w:lang w:val="en-US" w:eastAsia="en-US" w:bidi="ar-SA"/>
    </w:rPr>
  </w:style>
  <w:style w:type="paragraph" w:customStyle="1" w:styleId="ui-resizable-se1">
    <w:name w:val="ui-resizable-se1"/>
    <w:basedOn w:val="Standaard"/>
    <w:uiPriority w:val="99"/>
    <w:rsid w:val="006C1C1E"/>
    <w:pPr>
      <w:spacing w:before="100" w:beforeAutospacing="1" w:after="100" w:afterAutospacing="1"/>
    </w:pPr>
    <w:rPr>
      <w:rFonts w:cs="Times New Roman"/>
      <w:lang w:val="en-US" w:eastAsia="en-US" w:bidi="ar-SA"/>
    </w:rPr>
  </w:style>
  <w:style w:type="paragraph" w:customStyle="1" w:styleId="ui-progressbar-value1">
    <w:name w:val="ui-progressbar-value1"/>
    <w:basedOn w:val="Standaard"/>
    <w:uiPriority w:val="99"/>
    <w:rsid w:val="006C1C1E"/>
    <w:pPr>
      <w:ind w:left="-15" w:right="-15"/>
    </w:pPr>
    <w:rPr>
      <w:rFonts w:cs="Times New Roman"/>
      <w:lang w:val="en-US" w:eastAsia="en-US" w:bidi="ar-SA"/>
    </w:rPr>
  </w:style>
  <w:style w:type="paragraph" w:customStyle="1" w:styleId="ui-resizable-handle1">
    <w:name w:val="ui-resizable-handle1"/>
    <w:basedOn w:val="Standaard"/>
    <w:uiPriority w:val="99"/>
    <w:rsid w:val="006C1C1E"/>
    <w:pPr>
      <w:spacing w:before="100" w:beforeAutospacing="1" w:after="100" w:afterAutospacing="1"/>
    </w:pPr>
    <w:rPr>
      <w:rFonts w:cs="Times New Roman"/>
      <w:vanish/>
      <w:sz w:val="2"/>
      <w:szCs w:val="2"/>
      <w:lang w:val="en-US" w:eastAsia="en-US" w:bidi="ar-SA"/>
    </w:rPr>
  </w:style>
  <w:style w:type="paragraph" w:customStyle="1" w:styleId="ui-resizable-handle2">
    <w:name w:val="ui-resizable-handle2"/>
    <w:basedOn w:val="Standaard"/>
    <w:uiPriority w:val="99"/>
    <w:rsid w:val="006C1C1E"/>
    <w:pPr>
      <w:spacing w:before="100" w:beforeAutospacing="1" w:after="100" w:afterAutospacing="1"/>
    </w:pPr>
    <w:rPr>
      <w:rFonts w:cs="Times New Roman"/>
      <w:vanish/>
      <w:sz w:val="2"/>
      <w:szCs w:val="2"/>
      <w:lang w:val="en-US" w:eastAsia="en-US" w:bidi="ar-SA"/>
    </w:rPr>
  </w:style>
  <w:style w:type="paragraph" w:customStyle="1" w:styleId="ui-slider-handle1">
    <w:name w:val="ui-slider-handle1"/>
    <w:basedOn w:val="Standaard"/>
    <w:uiPriority w:val="99"/>
    <w:rsid w:val="006C1C1E"/>
    <w:pPr>
      <w:spacing w:before="100" w:beforeAutospacing="1" w:after="100" w:afterAutospacing="1"/>
    </w:pPr>
    <w:rPr>
      <w:rFonts w:cs="Times New Roman"/>
      <w:lang w:val="en-US" w:eastAsia="en-US" w:bidi="ar-SA"/>
    </w:rPr>
  </w:style>
  <w:style w:type="paragraph" w:customStyle="1" w:styleId="ui-slider-range1">
    <w:name w:val="ui-slider-range1"/>
    <w:basedOn w:val="Standaard"/>
    <w:uiPriority w:val="99"/>
    <w:rsid w:val="006C1C1E"/>
    <w:pPr>
      <w:spacing w:before="100" w:beforeAutospacing="1" w:after="100" w:afterAutospacing="1"/>
    </w:pPr>
    <w:rPr>
      <w:rFonts w:cs="Times New Roman"/>
      <w:sz w:val="17"/>
      <w:szCs w:val="17"/>
      <w:lang w:val="en-US" w:eastAsia="en-US" w:bidi="ar-SA"/>
    </w:rPr>
  </w:style>
  <w:style w:type="paragraph" w:customStyle="1" w:styleId="ui-slider-handle2">
    <w:name w:val="ui-slider-handle2"/>
    <w:basedOn w:val="Standaard"/>
    <w:uiPriority w:val="99"/>
    <w:rsid w:val="006C1C1E"/>
    <w:pPr>
      <w:spacing w:before="100" w:beforeAutospacing="1" w:after="100" w:afterAutospacing="1"/>
      <w:ind w:left="-144"/>
    </w:pPr>
    <w:rPr>
      <w:rFonts w:cs="Times New Roman"/>
      <w:lang w:val="en-US" w:eastAsia="en-US" w:bidi="ar-SA"/>
    </w:rPr>
  </w:style>
  <w:style w:type="paragraph" w:customStyle="1" w:styleId="ui-slider-range2">
    <w:name w:val="ui-slider-range2"/>
    <w:basedOn w:val="Standaard"/>
    <w:uiPriority w:val="99"/>
    <w:rsid w:val="006C1C1E"/>
    <w:pPr>
      <w:spacing w:before="100" w:beforeAutospacing="1" w:after="100" w:afterAutospacing="1"/>
    </w:pPr>
    <w:rPr>
      <w:rFonts w:cs="Times New Roman"/>
      <w:lang w:val="en-US" w:eastAsia="en-US" w:bidi="ar-SA"/>
    </w:rPr>
  </w:style>
  <w:style w:type="paragraph" w:customStyle="1" w:styleId="ui-slider-handle3">
    <w:name w:val="ui-slider-handle3"/>
    <w:basedOn w:val="Standaard"/>
    <w:uiPriority w:val="99"/>
    <w:rsid w:val="006C1C1E"/>
    <w:pPr>
      <w:spacing w:before="100" w:beforeAutospacing="1"/>
    </w:pPr>
    <w:rPr>
      <w:rFonts w:cs="Times New Roman"/>
      <w:lang w:val="en-US" w:eastAsia="en-US" w:bidi="ar-SA"/>
    </w:rPr>
  </w:style>
  <w:style w:type="paragraph" w:customStyle="1" w:styleId="ui-slider-range3">
    <w:name w:val="ui-slider-range3"/>
    <w:basedOn w:val="Standaard"/>
    <w:uiPriority w:val="99"/>
    <w:rsid w:val="006C1C1E"/>
    <w:pPr>
      <w:spacing w:before="100" w:beforeAutospacing="1" w:after="100" w:afterAutospacing="1"/>
    </w:pPr>
    <w:rPr>
      <w:rFonts w:cs="Times New Roman"/>
      <w:lang w:val="en-US" w:eastAsia="en-US" w:bidi="ar-SA"/>
    </w:rPr>
  </w:style>
  <w:style w:type="paragraph" w:customStyle="1" w:styleId="ui-tabs-nav1">
    <w:name w:val="ui-tabs-nav1"/>
    <w:basedOn w:val="Standaard"/>
    <w:uiPriority w:val="99"/>
    <w:rsid w:val="006C1C1E"/>
    <w:pPr>
      <w:spacing w:before="100" w:beforeAutospacing="1" w:after="100" w:afterAutospacing="1"/>
    </w:pPr>
    <w:rPr>
      <w:rFonts w:cs="Times New Roman"/>
      <w:lang w:val="en-US" w:eastAsia="en-US" w:bidi="ar-SA"/>
    </w:rPr>
  </w:style>
  <w:style w:type="paragraph" w:customStyle="1" w:styleId="ui-tabs-panel1">
    <w:name w:val="ui-tabs-panel1"/>
    <w:basedOn w:val="Standaard"/>
    <w:uiPriority w:val="99"/>
    <w:rsid w:val="006C1C1E"/>
    <w:pPr>
      <w:spacing w:before="100" w:beforeAutospacing="1" w:after="100" w:afterAutospacing="1"/>
    </w:pPr>
    <w:rPr>
      <w:rFonts w:cs="Times New Roman"/>
      <w:lang w:val="en-US" w:eastAsia="en-US" w:bidi="ar-SA"/>
    </w:rPr>
  </w:style>
  <w:style w:type="paragraph" w:customStyle="1" w:styleId="ui-tabs-hide1">
    <w:name w:val="ui-tabs-hide1"/>
    <w:basedOn w:val="Standaard"/>
    <w:uiPriority w:val="99"/>
    <w:rsid w:val="006C1C1E"/>
    <w:pPr>
      <w:spacing w:before="100" w:beforeAutospacing="1" w:after="100" w:afterAutospacing="1"/>
    </w:pPr>
    <w:rPr>
      <w:rFonts w:cs="Times New Roman"/>
      <w:vanish/>
      <w:lang w:val="en-US" w:eastAsia="en-US" w:bidi="ar-SA"/>
    </w:rPr>
  </w:style>
  <w:style w:type="paragraph" w:customStyle="1" w:styleId="navbox-title1">
    <w:name w:val="navbox-title1"/>
    <w:basedOn w:val="Standaard"/>
    <w:uiPriority w:val="99"/>
    <w:rsid w:val="006C1C1E"/>
    <w:pPr>
      <w:shd w:val="clear" w:color="auto" w:fill="DDDDFF"/>
      <w:spacing w:before="100" w:beforeAutospacing="1" w:after="100" w:afterAutospacing="1"/>
      <w:jc w:val="center"/>
    </w:pPr>
    <w:rPr>
      <w:rFonts w:cs="Times New Roman"/>
      <w:lang w:val="en-US" w:eastAsia="en-US" w:bidi="ar-SA"/>
    </w:rPr>
  </w:style>
  <w:style w:type="paragraph" w:customStyle="1" w:styleId="navbox-group1">
    <w:name w:val="navbox-group1"/>
    <w:basedOn w:val="Standaard"/>
    <w:uiPriority w:val="99"/>
    <w:rsid w:val="006C1C1E"/>
    <w:pPr>
      <w:shd w:val="clear" w:color="auto" w:fill="E6E6FF"/>
      <w:spacing w:before="100" w:beforeAutospacing="1" w:after="100" w:afterAutospacing="1"/>
      <w:jc w:val="right"/>
    </w:pPr>
    <w:rPr>
      <w:rFonts w:cs="Times New Roman"/>
      <w:b/>
      <w:bCs/>
      <w:lang w:val="en-US" w:eastAsia="en-US" w:bidi="ar-SA"/>
    </w:rPr>
  </w:style>
  <w:style w:type="paragraph" w:customStyle="1" w:styleId="navbox-abovebelow1">
    <w:name w:val="navbox-abovebelow1"/>
    <w:basedOn w:val="Standaard"/>
    <w:uiPriority w:val="99"/>
    <w:rsid w:val="006C1C1E"/>
    <w:pPr>
      <w:shd w:val="clear" w:color="auto" w:fill="E6E6FF"/>
      <w:spacing w:before="100" w:beforeAutospacing="1" w:after="100" w:afterAutospacing="1"/>
      <w:jc w:val="center"/>
    </w:pPr>
    <w:rPr>
      <w:rFonts w:cs="Times New Roman"/>
      <w:lang w:val="en-US" w:eastAsia="en-US" w:bidi="ar-SA"/>
    </w:rPr>
  </w:style>
  <w:style w:type="paragraph" w:customStyle="1" w:styleId="collapsebutton1">
    <w:name w:val="collapsebutton1"/>
    <w:basedOn w:val="Standaard"/>
    <w:uiPriority w:val="99"/>
    <w:rsid w:val="006C1C1E"/>
    <w:pPr>
      <w:spacing w:before="100" w:beforeAutospacing="1" w:after="100" w:afterAutospacing="1"/>
      <w:jc w:val="right"/>
    </w:pPr>
    <w:rPr>
      <w:rFonts w:cs="Times New Roman"/>
      <w:lang w:val="en-US" w:eastAsia="en-US" w:bidi="ar-SA"/>
    </w:rPr>
  </w:style>
  <w:style w:type="paragraph" w:customStyle="1" w:styleId="imbox1">
    <w:name w:val="imbox1"/>
    <w:basedOn w:val="Standaard"/>
    <w:uiPriority w:val="99"/>
    <w:rsid w:val="006C1C1E"/>
    <w:pPr>
      <w:ind w:left="-120" w:right="-120"/>
    </w:pPr>
    <w:rPr>
      <w:rFonts w:cs="Times New Roman"/>
      <w:lang w:val="en-US" w:eastAsia="en-US" w:bidi="ar-SA"/>
    </w:rPr>
  </w:style>
  <w:style w:type="paragraph" w:customStyle="1" w:styleId="imbox2">
    <w:name w:val="imbox2"/>
    <w:basedOn w:val="Standaard"/>
    <w:uiPriority w:val="99"/>
    <w:rsid w:val="006C1C1E"/>
    <w:pPr>
      <w:spacing w:before="60" w:after="60"/>
      <w:ind w:left="60" w:right="60"/>
    </w:pPr>
    <w:rPr>
      <w:rFonts w:cs="Times New Roman"/>
      <w:lang w:val="en-US" w:eastAsia="en-US" w:bidi="ar-SA"/>
    </w:rPr>
  </w:style>
  <w:style w:type="paragraph" w:customStyle="1" w:styleId="tmbox1">
    <w:name w:val="tmbox1"/>
    <w:basedOn w:val="Standaard"/>
    <w:uiPriority w:val="99"/>
    <w:rsid w:val="006C1C1E"/>
    <w:pPr>
      <w:spacing w:before="30" w:after="30"/>
    </w:pPr>
    <w:rPr>
      <w:rFonts w:cs="Times New Roman"/>
      <w:lang w:val="en-US" w:eastAsia="en-US" w:bidi="ar-SA"/>
    </w:rPr>
  </w:style>
  <w:style w:type="paragraph" w:customStyle="1" w:styleId="tocnumber1">
    <w:name w:val="tocnumber1"/>
    <w:basedOn w:val="Standaard"/>
    <w:uiPriority w:val="99"/>
    <w:rsid w:val="006C1C1E"/>
    <w:pPr>
      <w:spacing w:before="100" w:beforeAutospacing="1" w:after="100" w:afterAutospacing="1"/>
    </w:pPr>
    <w:rPr>
      <w:rFonts w:cs="Times New Roman"/>
      <w:vanish/>
      <w:lang w:val="en-US" w:eastAsia="en-US" w:bidi="ar-SA"/>
    </w:rPr>
  </w:style>
  <w:style w:type="paragraph" w:customStyle="1" w:styleId="selflink1">
    <w:name w:val="selflink1"/>
    <w:basedOn w:val="Standaard"/>
    <w:uiPriority w:val="99"/>
    <w:rsid w:val="006C1C1E"/>
    <w:pPr>
      <w:spacing w:before="100" w:beforeAutospacing="1" w:after="100" w:afterAutospacing="1"/>
    </w:pPr>
    <w:rPr>
      <w:rFonts w:cs="Times New Roman"/>
      <w:lang w:val="en-US" w:eastAsia="en-US" w:bidi="ar-SA"/>
    </w:rPr>
  </w:style>
  <w:style w:type="paragraph" w:customStyle="1" w:styleId="wpb-header1">
    <w:name w:val="wpb-header1"/>
    <w:basedOn w:val="Standaard"/>
    <w:uiPriority w:val="99"/>
    <w:rsid w:val="006C1C1E"/>
    <w:pPr>
      <w:spacing w:before="100" w:beforeAutospacing="1" w:after="100" w:afterAutospacing="1"/>
    </w:pPr>
    <w:rPr>
      <w:rFonts w:cs="Times New Roman"/>
      <w:vanish/>
      <w:lang w:val="en-US" w:eastAsia="en-US" w:bidi="ar-SA"/>
    </w:rPr>
  </w:style>
  <w:style w:type="paragraph" w:customStyle="1" w:styleId="wpb-header2">
    <w:name w:val="wpb-header2"/>
    <w:basedOn w:val="Standaard"/>
    <w:uiPriority w:val="99"/>
    <w:rsid w:val="006C1C1E"/>
    <w:pPr>
      <w:spacing w:before="100" w:beforeAutospacing="1" w:after="100" w:afterAutospacing="1"/>
    </w:pPr>
    <w:rPr>
      <w:rFonts w:cs="Times New Roman"/>
      <w:lang w:val="en-US" w:eastAsia="en-US" w:bidi="ar-SA"/>
    </w:rPr>
  </w:style>
  <w:style w:type="paragraph" w:customStyle="1" w:styleId="wpb-outside1">
    <w:name w:val="wpb-outside1"/>
    <w:basedOn w:val="Standaard"/>
    <w:uiPriority w:val="99"/>
    <w:rsid w:val="006C1C1E"/>
    <w:pPr>
      <w:spacing w:before="100" w:beforeAutospacing="1" w:after="100" w:afterAutospacing="1"/>
    </w:pPr>
    <w:rPr>
      <w:rFonts w:cs="Times New Roman"/>
      <w:vanish/>
      <w:lang w:val="en-US" w:eastAsia="en-US" w:bidi="ar-SA"/>
    </w:rPr>
  </w:style>
  <w:style w:type="paragraph" w:customStyle="1" w:styleId="notice-all1">
    <w:name w:val="notice-all1"/>
    <w:basedOn w:val="Standaard"/>
    <w:uiPriority w:val="99"/>
    <w:rsid w:val="006C1C1E"/>
    <w:pPr>
      <w:spacing w:before="100" w:beforeAutospacing="1" w:after="240"/>
      <w:ind w:right="30"/>
    </w:pPr>
    <w:rPr>
      <w:rFonts w:cs="Times New Roman"/>
      <w:lang w:val="en-US" w:eastAsia="en-US" w:bidi="ar-SA"/>
    </w:rPr>
  </w:style>
  <w:style w:type="paragraph" w:customStyle="1" w:styleId="sitenoticesmall1">
    <w:name w:val="sitenoticesmall1"/>
    <w:basedOn w:val="Standaard"/>
    <w:uiPriority w:val="99"/>
    <w:rsid w:val="006C1C1E"/>
    <w:pPr>
      <w:spacing w:before="100" w:beforeAutospacing="1" w:after="100" w:afterAutospacing="1"/>
    </w:pPr>
    <w:rPr>
      <w:rFonts w:cs="Times New Roman"/>
      <w:vanish/>
      <w:lang w:val="en-US" w:eastAsia="en-US" w:bidi="ar-SA"/>
    </w:rPr>
  </w:style>
  <w:style w:type="paragraph" w:customStyle="1" w:styleId="sitenoticesmallanon1">
    <w:name w:val="sitenoticesmallanon1"/>
    <w:basedOn w:val="Standaard"/>
    <w:uiPriority w:val="99"/>
    <w:rsid w:val="006C1C1E"/>
    <w:pPr>
      <w:spacing w:before="100" w:beforeAutospacing="1" w:after="100" w:afterAutospacing="1"/>
    </w:pPr>
    <w:rPr>
      <w:rFonts w:cs="Times New Roman"/>
      <w:vanish/>
      <w:lang w:val="en-US" w:eastAsia="en-US" w:bidi="ar-SA"/>
    </w:rPr>
  </w:style>
  <w:style w:type="paragraph" w:customStyle="1" w:styleId="sitenoticesmalluser1">
    <w:name w:val="sitenoticesmalluser1"/>
    <w:basedOn w:val="Standaard"/>
    <w:uiPriority w:val="99"/>
    <w:rsid w:val="006C1C1E"/>
    <w:pPr>
      <w:spacing w:before="100" w:beforeAutospacing="1" w:after="100" w:afterAutospacing="1"/>
    </w:pPr>
    <w:rPr>
      <w:rFonts w:cs="Times New Roman"/>
      <w:vanish/>
      <w:lang w:val="en-US" w:eastAsia="en-US" w:bidi="ar-SA"/>
    </w:rPr>
  </w:style>
  <w:style w:type="character" w:customStyle="1" w:styleId="country-name">
    <w:name w:val="country-name"/>
    <w:basedOn w:val="Standaardalinea-lettertype"/>
    <w:uiPriority w:val="99"/>
    <w:rsid w:val="006C1C1E"/>
    <w:rPr>
      <w:rFonts w:cs="Times New Roman"/>
    </w:rPr>
  </w:style>
  <w:style w:type="character" w:customStyle="1" w:styleId="toctoggle">
    <w:name w:val="toctoggle"/>
    <w:basedOn w:val="Standaardalinea-lettertype"/>
    <w:uiPriority w:val="99"/>
    <w:rsid w:val="006C1C1E"/>
    <w:rPr>
      <w:rFonts w:cs="Times New Roman"/>
    </w:rPr>
  </w:style>
  <w:style w:type="character" w:customStyle="1" w:styleId="tocnumber2">
    <w:name w:val="tocnumber2"/>
    <w:basedOn w:val="Standaardalinea-lettertype"/>
    <w:uiPriority w:val="99"/>
    <w:rsid w:val="006C1C1E"/>
    <w:rPr>
      <w:rFonts w:cs="Times New Roman"/>
    </w:rPr>
  </w:style>
  <w:style w:type="character" w:customStyle="1" w:styleId="toctext">
    <w:name w:val="toctext"/>
    <w:basedOn w:val="Standaardalinea-lettertype"/>
    <w:uiPriority w:val="99"/>
    <w:rsid w:val="006C1C1E"/>
    <w:rPr>
      <w:rFonts w:cs="Times New Roman"/>
    </w:rPr>
  </w:style>
  <w:style w:type="character" w:customStyle="1" w:styleId="editsection">
    <w:name w:val="editsection"/>
    <w:basedOn w:val="Standaardalinea-lettertype"/>
    <w:uiPriority w:val="99"/>
    <w:rsid w:val="006C1C1E"/>
    <w:rPr>
      <w:rFonts w:cs="Times New Roman"/>
    </w:rPr>
  </w:style>
  <w:style w:type="character" w:customStyle="1" w:styleId="mw-headline">
    <w:name w:val="mw-headline"/>
    <w:basedOn w:val="Standaardalinea-lettertype"/>
    <w:uiPriority w:val="99"/>
    <w:rsid w:val="006C1C1E"/>
    <w:rPr>
      <w:rFonts w:cs="Times New Roman"/>
    </w:rPr>
  </w:style>
  <w:style w:type="character" w:customStyle="1" w:styleId="z3988">
    <w:name w:val="z3988"/>
    <w:basedOn w:val="Standaardalinea-lettertype"/>
    <w:uiPriority w:val="99"/>
    <w:rsid w:val="006C1C1E"/>
    <w:rPr>
      <w:rFonts w:cs="Times New Roman"/>
    </w:rPr>
  </w:style>
  <w:style w:type="character" w:customStyle="1" w:styleId="languageicon">
    <w:name w:val="languageicon"/>
    <w:basedOn w:val="Standaardalinea-lettertype"/>
    <w:uiPriority w:val="99"/>
    <w:rsid w:val="006C1C1E"/>
    <w:rPr>
      <w:rFonts w:cs="Times New Roman"/>
    </w:rPr>
  </w:style>
  <w:style w:type="character" w:styleId="Zwaar">
    <w:name w:val="Strong"/>
    <w:basedOn w:val="Standaardalinea-lettertype"/>
    <w:uiPriority w:val="99"/>
    <w:qFormat/>
    <w:locked/>
    <w:rsid w:val="006C1C1E"/>
    <w:rPr>
      <w:rFonts w:cs="Times New Roman"/>
      <w:b/>
      <w:bCs/>
    </w:rPr>
  </w:style>
  <w:style w:type="paragraph" w:customStyle="1" w:styleId="oecdtitle5">
    <w:name w:val="oecdtitle5"/>
    <w:basedOn w:val="Standaard"/>
    <w:uiPriority w:val="99"/>
    <w:rsid w:val="00605AE0"/>
    <w:pPr>
      <w:spacing w:before="75" w:after="75"/>
    </w:pPr>
    <w:rPr>
      <w:rFonts w:cs="Times New Roman"/>
      <w:lang w:val="en-US" w:eastAsia="en-US" w:bidi="ar-SA"/>
    </w:rPr>
  </w:style>
  <w:style w:type="paragraph" w:styleId="Bovenkantformulier">
    <w:name w:val="HTML Top of Form"/>
    <w:basedOn w:val="Standaard"/>
    <w:next w:val="Standaard"/>
    <w:link w:val="BovenkantformulierChar"/>
    <w:hidden/>
    <w:uiPriority w:val="99"/>
    <w:rsid w:val="00F03E07"/>
    <w:pPr>
      <w:pBdr>
        <w:bottom w:val="single" w:sz="6" w:space="1" w:color="auto"/>
      </w:pBdr>
      <w:jc w:val="center"/>
    </w:pPr>
    <w:rPr>
      <w:rFonts w:ascii="Arial" w:hAnsi="Arial" w:cs="Arial"/>
      <w:vanish/>
      <w:sz w:val="16"/>
      <w:szCs w:val="16"/>
      <w:lang w:val="en-US" w:eastAsia="en-US" w:bidi="ar-SA"/>
    </w:rPr>
  </w:style>
  <w:style w:type="character" w:customStyle="1" w:styleId="BovenkantformulierChar">
    <w:name w:val="Bovenkant formulier Char"/>
    <w:basedOn w:val="Standaardalinea-lettertype"/>
    <w:link w:val="Bovenkantformulier"/>
    <w:uiPriority w:val="99"/>
    <w:semiHidden/>
    <w:locked/>
    <w:rsid w:val="00555D25"/>
    <w:rPr>
      <w:rFonts w:ascii="Arial" w:hAnsi="Arial" w:cs="Cordia New"/>
      <w:vanish/>
      <w:sz w:val="20"/>
      <w:szCs w:val="20"/>
      <w:lang w:val="en-AU" w:eastAsia="en-AU" w:bidi="th-TH"/>
    </w:rPr>
  </w:style>
  <w:style w:type="paragraph" w:styleId="Onderkantformulier">
    <w:name w:val="HTML Bottom of Form"/>
    <w:basedOn w:val="Standaard"/>
    <w:next w:val="Standaard"/>
    <w:link w:val="OnderkantformulierChar"/>
    <w:hidden/>
    <w:uiPriority w:val="99"/>
    <w:rsid w:val="00F03E07"/>
    <w:pPr>
      <w:pBdr>
        <w:top w:val="single" w:sz="6" w:space="1" w:color="auto"/>
      </w:pBdr>
      <w:jc w:val="center"/>
    </w:pPr>
    <w:rPr>
      <w:rFonts w:ascii="Arial" w:hAnsi="Arial" w:cs="Arial"/>
      <w:vanish/>
      <w:sz w:val="16"/>
      <w:szCs w:val="16"/>
      <w:lang w:val="en-US" w:eastAsia="en-US" w:bidi="ar-SA"/>
    </w:rPr>
  </w:style>
  <w:style w:type="character" w:customStyle="1" w:styleId="OnderkantformulierChar">
    <w:name w:val="Onderkant formulier Char"/>
    <w:basedOn w:val="Standaardalinea-lettertype"/>
    <w:link w:val="Onderkantformulier"/>
    <w:uiPriority w:val="99"/>
    <w:semiHidden/>
    <w:locked/>
    <w:rsid w:val="00555D25"/>
    <w:rPr>
      <w:rFonts w:ascii="Arial" w:hAnsi="Arial" w:cs="Cordia New"/>
      <w:vanish/>
      <w:sz w:val="20"/>
      <w:szCs w:val="20"/>
      <w:lang w:val="en-AU" w:eastAsia="en-AU" w:bidi="th-TH"/>
    </w:rPr>
  </w:style>
  <w:style w:type="paragraph" w:styleId="Subtitel">
    <w:name w:val="Subtitle"/>
    <w:basedOn w:val="Standaard"/>
    <w:next w:val="Standaard"/>
    <w:link w:val="SubtitelChar"/>
    <w:uiPriority w:val="99"/>
    <w:qFormat/>
    <w:locked/>
    <w:rsid w:val="008A1A67"/>
    <w:pPr>
      <w:numPr>
        <w:ilvl w:val="1"/>
      </w:numPr>
    </w:pPr>
    <w:rPr>
      <w:rFonts w:ascii="Cambria" w:hAnsi="Cambria"/>
      <w:i/>
      <w:iCs/>
      <w:color w:val="4F81BD"/>
      <w:spacing w:val="15"/>
      <w:szCs w:val="30"/>
    </w:rPr>
  </w:style>
  <w:style w:type="character" w:customStyle="1" w:styleId="SubtitelChar">
    <w:name w:val="Subtitel Char"/>
    <w:basedOn w:val="Standaardalinea-lettertype"/>
    <w:link w:val="Subtitel"/>
    <w:uiPriority w:val="99"/>
    <w:locked/>
    <w:rsid w:val="008A1A67"/>
    <w:rPr>
      <w:rFonts w:ascii="Cambria" w:hAnsi="Cambria" w:cs="Angsana New"/>
      <w:i/>
      <w:iCs/>
      <w:color w:val="4F81BD"/>
      <w:spacing w:val="15"/>
      <w:sz w:val="30"/>
      <w:szCs w:val="30"/>
      <w:lang w:val="en-AU" w:eastAsia="en-AU" w:bidi="th-TH"/>
    </w:rPr>
  </w:style>
  <w:style w:type="table" w:customStyle="1" w:styleId="Lichtearcering3">
    <w:name w:val="Lichte arcering3"/>
    <w:uiPriority w:val="99"/>
    <w:rsid w:val="00764632"/>
    <w:rPr>
      <w:color w:val="000000"/>
      <w:lang w:val="nl-NL" w:eastAsia="nl-NL"/>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table" w:customStyle="1" w:styleId="Lichtearcering4">
    <w:name w:val="Lichte arcering4"/>
    <w:uiPriority w:val="99"/>
    <w:rsid w:val="003D0771"/>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paragraph" w:styleId="Bijschrift">
    <w:name w:val="caption"/>
    <w:basedOn w:val="Standaard"/>
    <w:next w:val="Standaard"/>
    <w:uiPriority w:val="99"/>
    <w:qFormat/>
    <w:locked/>
    <w:rsid w:val="00E911D6"/>
    <w:pPr>
      <w:spacing w:after="200"/>
    </w:pPr>
    <w:rPr>
      <w:b/>
      <w:bCs/>
      <w:color w:val="4F81BD"/>
      <w:sz w:val="18"/>
      <w:szCs w:val="22"/>
    </w:rPr>
  </w:style>
  <w:style w:type="table" w:customStyle="1" w:styleId="Lichtearcering5">
    <w:name w:val="Lichte arcering5"/>
    <w:uiPriority w:val="99"/>
    <w:rsid w:val="00144AC0"/>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paragraph" w:customStyle="1" w:styleId="Style1">
    <w:name w:val="Style1"/>
    <w:basedOn w:val="Kop2"/>
    <w:uiPriority w:val="99"/>
    <w:rsid w:val="00431643"/>
    <w:pPr>
      <w:numPr>
        <w:ilvl w:val="1"/>
        <w:numId w:val="15"/>
      </w:numPr>
      <w:jc w:val="both"/>
    </w:pPr>
    <w:rPr>
      <w:rFonts w:ascii="Times New Roman" w:hAnsi="Times New Roman"/>
      <w:sz w:val="24"/>
      <w:szCs w:val="24"/>
    </w:rPr>
  </w:style>
  <w:style w:type="paragraph" w:styleId="Inhopg2">
    <w:name w:val="toc 2"/>
    <w:basedOn w:val="Standaard"/>
    <w:next w:val="Standaard"/>
    <w:autoRedefine/>
    <w:uiPriority w:val="39"/>
    <w:rsid w:val="001B3BEA"/>
    <w:pPr>
      <w:ind w:left="240"/>
    </w:pPr>
  </w:style>
  <w:style w:type="paragraph" w:styleId="Geenafstand">
    <w:name w:val="No Spacing"/>
    <w:link w:val="GeenafstandChar"/>
    <w:uiPriority w:val="99"/>
    <w:qFormat/>
    <w:rsid w:val="000D7E12"/>
    <w:rPr>
      <w:rFonts w:ascii="Calibri" w:hAnsi="Calibri" w:cs="Arial"/>
      <w:sz w:val="22"/>
      <w:szCs w:val="22"/>
      <w:lang w:val="nl-NL"/>
    </w:rPr>
  </w:style>
  <w:style w:type="character" w:customStyle="1" w:styleId="GeenafstandChar">
    <w:name w:val="Geen afstand Char"/>
    <w:basedOn w:val="Standaardalinea-lettertype"/>
    <w:link w:val="Geenafstand"/>
    <w:uiPriority w:val="99"/>
    <w:locked/>
    <w:rsid w:val="000D7E12"/>
    <w:rPr>
      <w:rFonts w:ascii="Calibri" w:hAnsi="Calibri" w:cs="Arial"/>
      <w:sz w:val="22"/>
      <w:szCs w:val="22"/>
      <w:lang w:val="nl-NL" w:eastAsia="en-US" w:bidi="ar-SA"/>
    </w:rPr>
  </w:style>
  <w:style w:type="table" w:customStyle="1" w:styleId="Lichtearcering6">
    <w:name w:val="Lichte arcering6"/>
    <w:uiPriority w:val="99"/>
    <w:rsid w:val="004B643C"/>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table" w:customStyle="1" w:styleId="LightList1">
    <w:name w:val="Light List1"/>
    <w:uiPriority w:val="99"/>
    <w:rsid w:val="001A2E67"/>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LightShading2">
    <w:name w:val="Light Shading2"/>
    <w:uiPriority w:val="99"/>
    <w:rsid w:val="00FC36E3"/>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table" w:customStyle="1" w:styleId="MediumShading11">
    <w:name w:val="Medium Shading 11"/>
    <w:uiPriority w:val="99"/>
    <w:rsid w:val="009D40A0"/>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style>
  <w:style w:type="table" w:customStyle="1" w:styleId="MediumShading1-Accent11">
    <w:name w:val="Medium Shading 1 - Accent 11"/>
    <w:uiPriority w:val="99"/>
    <w:rsid w:val="009D40A0"/>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customStyle="1" w:styleId="LightGrid1">
    <w:name w:val="Light Grid1"/>
    <w:uiPriority w:val="99"/>
    <w:rsid w:val="009D40A0"/>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table" w:customStyle="1" w:styleId="MediumList21">
    <w:name w:val="Medium List 21"/>
    <w:uiPriority w:val="99"/>
    <w:rsid w:val="00492EA4"/>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character" w:customStyle="1" w:styleId="fn">
    <w:name w:val="fn"/>
    <w:basedOn w:val="Standaardalinea-lettertype"/>
    <w:uiPriority w:val="99"/>
    <w:rsid w:val="005E7860"/>
    <w:rPr>
      <w:rFonts w:cs="Times New Roman"/>
    </w:rPr>
  </w:style>
  <w:style w:type="character" w:customStyle="1" w:styleId="author-title">
    <w:name w:val="author-title"/>
    <w:basedOn w:val="Standaardalinea-lettertype"/>
    <w:uiPriority w:val="99"/>
    <w:rsid w:val="005E7860"/>
    <w:rPr>
      <w:rFonts w:cs="Times New Roman"/>
    </w:rPr>
  </w:style>
  <w:style w:type="character" w:customStyle="1" w:styleId="author-attribution">
    <w:name w:val="author-attribution"/>
    <w:basedOn w:val="Standaardalinea-lettertype"/>
    <w:uiPriority w:val="99"/>
    <w:rsid w:val="005E7860"/>
    <w:rPr>
      <w:rFonts w:cs="Times New Roman"/>
    </w:rPr>
  </w:style>
  <w:style w:type="table" w:customStyle="1" w:styleId="LightList-Accent11">
    <w:name w:val="Light List - Accent 11"/>
    <w:basedOn w:val="Standaardtabel"/>
    <w:uiPriority w:val="99"/>
    <w:rsid w:val="0078079E"/>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table" w:styleId="Lichtelijst-accent6">
    <w:name w:val="Light List Accent 6"/>
    <w:basedOn w:val="Standaardtabel"/>
    <w:uiPriority w:val="99"/>
    <w:rsid w:val="0078079E"/>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F79646"/>
      </w:tcPr>
    </w:tblStylePr>
    <w:tblStylePr w:type="lastRow">
      <w:pPr>
        <w:spacing w:before="0" w:after="0"/>
      </w:pPr>
      <w:rPr>
        <w:rFonts w:cs="Times New Roman"/>
        <w:b/>
        <w:bCs/>
      </w:rPr>
      <w:tblPr/>
      <w:tcPr>
        <w:tcBorders>
          <w:top w:val="double" w:sz="6" w:space="0" w:color="F79646"/>
          <w:left w:val="single" w:sz="8" w:space="0" w:color="F79646"/>
          <w:bottom w:val="single" w:sz="8" w:space="0" w:color="F79646"/>
          <w:right w:val="single" w:sz="8" w:space="0" w:color="F7964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F79646"/>
          <w:left w:val="single" w:sz="8" w:space="0" w:color="F79646"/>
          <w:bottom w:val="single" w:sz="8" w:space="0" w:color="F79646"/>
          <w:right w:val="single" w:sz="8" w:space="0" w:color="F79646"/>
        </w:tcBorders>
      </w:tcPr>
    </w:tblStylePr>
    <w:tblStylePr w:type="band1Horz">
      <w:rPr>
        <w:rFonts w:cs="Times New Roman"/>
      </w:rPr>
      <w:tblPr/>
      <w:tcPr>
        <w:tcBorders>
          <w:top w:val="single" w:sz="8" w:space="0" w:color="F79646"/>
          <w:left w:val="single" w:sz="8" w:space="0" w:color="F79646"/>
          <w:bottom w:val="single" w:sz="8" w:space="0" w:color="F79646"/>
          <w:right w:val="single" w:sz="8" w:space="0" w:color="F79646"/>
        </w:tcBorders>
      </w:tcPr>
    </w:tblStylePr>
  </w:style>
  <w:style w:type="table" w:customStyle="1" w:styleId="MediumList1-Accent11">
    <w:name w:val="Medium List 1 - Accent 11"/>
    <w:basedOn w:val="Standaardtabel"/>
    <w:uiPriority w:val="99"/>
    <w:rsid w:val="0078079E"/>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rFonts w:cs="Times New Roman"/>
        <w:b/>
        <w:bCs/>
        <w:color w:val="1F497D"/>
      </w:rPr>
      <w:tblPr/>
      <w:tcPr>
        <w:tcBorders>
          <w:top w:val="single" w:sz="8" w:space="0" w:color="4F81BD"/>
          <w:bottom w:val="single" w:sz="8" w:space="0" w:color="4F81BD"/>
        </w:tcBorders>
      </w:tcPr>
    </w:tblStylePr>
    <w:tblStylePr w:type="firstCol">
      <w:rPr>
        <w:rFonts w:cs="Times New Roman"/>
        <w:b/>
        <w:bCs/>
      </w:rPr>
    </w:tblStylePr>
    <w:tblStylePr w:type="lastCol">
      <w:rPr>
        <w:rFonts w:cs="Times New Roman"/>
        <w:b/>
        <w:bCs/>
      </w:rPr>
      <w:tblPr/>
      <w:tcPr>
        <w:tcBorders>
          <w:top w:val="single" w:sz="8" w:space="0" w:color="4F81BD"/>
          <w:bottom w:val="single" w:sz="8" w:space="0" w:color="4F81BD"/>
        </w:tcBorders>
      </w:tcPr>
    </w:tblStylePr>
    <w:tblStylePr w:type="band1Vert">
      <w:rPr>
        <w:rFonts w:cs="Times New Roman"/>
      </w:rPr>
      <w:tblPr/>
      <w:tcPr>
        <w:shd w:val="clear" w:color="auto" w:fill="D3DFEE"/>
      </w:tcPr>
    </w:tblStylePr>
    <w:tblStylePr w:type="band1Horz">
      <w:rPr>
        <w:rFonts w:cs="Times New Roman"/>
      </w:rPr>
      <w:tblPr/>
      <w:tcPr>
        <w:shd w:val="clear" w:color="auto" w:fill="D3DFEE"/>
      </w:tcPr>
    </w:tblStylePr>
  </w:style>
  <w:style w:type="table" w:styleId="Gemiddeldelijst2-accent1">
    <w:name w:val="Medium List 2 Accent 1"/>
    <w:basedOn w:val="Standaardtabel"/>
    <w:uiPriority w:val="99"/>
    <w:rsid w:val="0078079E"/>
    <w:rPr>
      <w:rFonts w:ascii="Cambria" w:hAnsi="Cambria"/>
      <w:color w:val="00000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paragraph" w:styleId="Inhopg3">
    <w:name w:val="toc 3"/>
    <w:basedOn w:val="Standaard"/>
    <w:next w:val="Standaard"/>
    <w:autoRedefine/>
    <w:uiPriority w:val="39"/>
    <w:locked/>
    <w:rsid w:val="00A84EFB"/>
    <w:pPr>
      <w:ind w:left="480"/>
    </w:pPr>
  </w:style>
  <w:style w:type="paragraph" w:styleId="Inhopg4">
    <w:name w:val="toc 4"/>
    <w:basedOn w:val="Standaard"/>
    <w:next w:val="Standaard"/>
    <w:autoRedefine/>
    <w:uiPriority w:val="39"/>
    <w:locked/>
    <w:rsid w:val="001E6773"/>
    <w:pPr>
      <w:ind w:left="720"/>
    </w:pPr>
    <w:rPr>
      <w:rFonts w:cs="Times New Roman"/>
      <w:lang w:val="en-US" w:eastAsia="en-US" w:bidi="ar-SA"/>
    </w:rPr>
  </w:style>
  <w:style w:type="paragraph" w:styleId="Inhopg5">
    <w:name w:val="toc 5"/>
    <w:basedOn w:val="Standaard"/>
    <w:next w:val="Standaard"/>
    <w:autoRedefine/>
    <w:uiPriority w:val="39"/>
    <w:locked/>
    <w:rsid w:val="001E6773"/>
    <w:pPr>
      <w:ind w:left="960"/>
    </w:pPr>
    <w:rPr>
      <w:rFonts w:cs="Times New Roman"/>
      <w:lang w:val="en-US" w:eastAsia="en-US" w:bidi="ar-SA"/>
    </w:rPr>
  </w:style>
  <w:style w:type="paragraph" w:styleId="Inhopg6">
    <w:name w:val="toc 6"/>
    <w:basedOn w:val="Standaard"/>
    <w:next w:val="Standaard"/>
    <w:autoRedefine/>
    <w:uiPriority w:val="39"/>
    <w:locked/>
    <w:rsid w:val="001E6773"/>
    <w:pPr>
      <w:ind w:left="1200"/>
    </w:pPr>
    <w:rPr>
      <w:rFonts w:cs="Times New Roman"/>
      <w:lang w:val="en-US" w:eastAsia="en-US" w:bidi="ar-SA"/>
    </w:rPr>
  </w:style>
  <w:style w:type="paragraph" w:styleId="Inhopg7">
    <w:name w:val="toc 7"/>
    <w:basedOn w:val="Standaard"/>
    <w:next w:val="Standaard"/>
    <w:autoRedefine/>
    <w:uiPriority w:val="39"/>
    <w:locked/>
    <w:rsid w:val="001E6773"/>
    <w:pPr>
      <w:ind w:left="1440"/>
    </w:pPr>
    <w:rPr>
      <w:rFonts w:cs="Times New Roman"/>
      <w:lang w:val="en-US" w:eastAsia="en-US" w:bidi="ar-SA"/>
    </w:rPr>
  </w:style>
  <w:style w:type="paragraph" w:styleId="Inhopg8">
    <w:name w:val="toc 8"/>
    <w:basedOn w:val="Standaard"/>
    <w:next w:val="Standaard"/>
    <w:autoRedefine/>
    <w:uiPriority w:val="39"/>
    <w:locked/>
    <w:rsid w:val="001E6773"/>
    <w:pPr>
      <w:ind w:left="1680"/>
    </w:pPr>
    <w:rPr>
      <w:rFonts w:cs="Times New Roman"/>
      <w:lang w:val="en-US" w:eastAsia="en-US" w:bidi="ar-SA"/>
    </w:rPr>
  </w:style>
  <w:style w:type="paragraph" w:styleId="Inhopg9">
    <w:name w:val="toc 9"/>
    <w:basedOn w:val="Standaard"/>
    <w:next w:val="Standaard"/>
    <w:autoRedefine/>
    <w:uiPriority w:val="39"/>
    <w:locked/>
    <w:rsid w:val="001E6773"/>
    <w:pPr>
      <w:ind w:left="1920"/>
    </w:pPr>
    <w:rPr>
      <w:rFonts w:cs="Times New Roman"/>
      <w:lang w:val="en-US" w:eastAsia="en-US" w:bidi="ar-SA"/>
    </w:rPr>
  </w:style>
  <w:style w:type="character" w:styleId="Regelnummer">
    <w:name w:val="line number"/>
    <w:basedOn w:val="Standaardalinea-lettertype"/>
    <w:uiPriority w:val="99"/>
    <w:semiHidden/>
    <w:unhideWhenUsed/>
    <w:locked/>
    <w:rsid w:val="00667F7B"/>
  </w:style>
  <w:style w:type="table" w:customStyle="1" w:styleId="MediumList22">
    <w:name w:val="Medium List 22"/>
    <w:basedOn w:val="Standaardtabel"/>
    <w:uiPriority w:val="66"/>
    <w:rsid w:val="00F851A5"/>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99073399">
      <w:marLeft w:val="0"/>
      <w:marRight w:val="0"/>
      <w:marTop w:val="0"/>
      <w:marBottom w:val="0"/>
      <w:divBdr>
        <w:top w:val="none" w:sz="0" w:space="0" w:color="auto"/>
        <w:left w:val="none" w:sz="0" w:space="0" w:color="auto"/>
        <w:bottom w:val="none" w:sz="0" w:space="0" w:color="auto"/>
        <w:right w:val="none" w:sz="0" w:space="0" w:color="auto"/>
      </w:divBdr>
      <w:divsChild>
        <w:div w:id="299073592">
          <w:marLeft w:val="0"/>
          <w:marRight w:val="0"/>
          <w:marTop w:val="0"/>
          <w:marBottom w:val="0"/>
          <w:divBdr>
            <w:top w:val="none" w:sz="0" w:space="0" w:color="auto"/>
            <w:left w:val="none" w:sz="0" w:space="0" w:color="auto"/>
            <w:bottom w:val="none" w:sz="0" w:space="0" w:color="auto"/>
            <w:right w:val="none" w:sz="0" w:space="0" w:color="auto"/>
          </w:divBdr>
          <w:divsChild>
            <w:div w:id="299073597">
              <w:marLeft w:val="0"/>
              <w:marRight w:val="0"/>
              <w:marTop w:val="0"/>
              <w:marBottom w:val="0"/>
              <w:divBdr>
                <w:top w:val="none" w:sz="0" w:space="0" w:color="auto"/>
                <w:left w:val="none" w:sz="0" w:space="0" w:color="auto"/>
                <w:bottom w:val="none" w:sz="0" w:space="0" w:color="auto"/>
                <w:right w:val="none" w:sz="0" w:space="0" w:color="auto"/>
              </w:divBdr>
              <w:divsChild>
                <w:div w:id="2990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403">
      <w:marLeft w:val="0"/>
      <w:marRight w:val="0"/>
      <w:marTop w:val="0"/>
      <w:marBottom w:val="0"/>
      <w:divBdr>
        <w:top w:val="none" w:sz="0" w:space="0" w:color="auto"/>
        <w:left w:val="none" w:sz="0" w:space="0" w:color="auto"/>
        <w:bottom w:val="none" w:sz="0" w:space="0" w:color="auto"/>
        <w:right w:val="none" w:sz="0" w:space="0" w:color="auto"/>
      </w:divBdr>
      <w:divsChild>
        <w:div w:id="299073396">
          <w:marLeft w:val="0"/>
          <w:marRight w:val="0"/>
          <w:marTop w:val="0"/>
          <w:marBottom w:val="0"/>
          <w:divBdr>
            <w:top w:val="none" w:sz="0" w:space="0" w:color="auto"/>
            <w:left w:val="none" w:sz="0" w:space="0" w:color="auto"/>
            <w:bottom w:val="none" w:sz="0" w:space="0" w:color="auto"/>
            <w:right w:val="none" w:sz="0" w:space="0" w:color="auto"/>
          </w:divBdr>
          <w:divsChild>
            <w:div w:id="29907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406">
      <w:marLeft w:val="0"/>
      <w:marRight w:val="0"/>
      <w:marTop w:val="0"/>
      <w:marBottom w:val="0"/>
      <w:divBdr>
        <w:top w:val="none" w:sz="0" w:space="0" w:color="auto"/>
        <w:left w:val="none" w:sz="0" w:space="0" w:color="auto"/>
        <w:bottom w:val="none" w:sz="0" w:space="0" w:color="auto"/>
        <w:right w:val="none" w:sz="0" w:space="0" w:color="auto"/>
      </w:divBdr>
      <w:divsChild>
        <w:div w:id="299073402">
          <w:marLeft w:val="0"/>
          <w:marRight w:val="0"/>
          <w:marTop w:val="0"/>
          <w:marBottom w:val="0"/>
          <w:divBdr>
            <w:top w:val="none" w:sz="0" w:space="0" w:color="auto"/>
            <w:left w:val="none" w:sz="0" w:space="0" w:color="auto"/>
            <w:bottom w:val="none" w:sz="0" w:space="0" w:color="auto"/>
            <w:right w:val="none" w:sz="0" w:space="0" w:color="auto"/>
          </w:divBdr>
          <w:divsChild>
            <w:div w:id="2990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409">
      <w:marLeft w:val="0"/>
      <w:marRight w:val="0"/>
      <w:marTop w:val="0"/>
      <w:marBottom w:val="0"/>
      <w:divBdr>
        <w:top w:val="none" w:sz="0" w:space="0" w:color="auto"/>
        <w:left w:val="none" w:sz="0" w:space="0" w:color="auto"/>
        <w:bottom w:val="none" w:sz="0" w:space="0" w:color="auto"/>
        <w:right w:val="none" w:sz="0" w:space="0" w:color="auto"/>
      </w:divBdr>
      <w:divsChild>
        <w:div w:id="299073590">
          <w:marLeft w:val="0"/>
          <w:marRight w:val="0"/>
          <w:marTop w:val="0"/>
          <w:marBottom w:val="0"/>
          <w:divBdr>
            <w:top w:val="none" w:sz="0" w:space="0" w:color="auto"/>
            <w:left w:val="none" w:sz="0" w:space="0" w:color="auto"/>
            <w:bottom w:val="none" w:sz="0" w:space="0" w:color="auto"/>
            <w:right w:val="none" w:sz="0" w:space="0" w:color="auto"/>
          </w:divBdr>
          <w:divsChild>
            <w:div w:id="299073599">
              <w:marLeft w:val="0"/>
              <w:marRight w:val="0"/>
              <w:marTop w:val="0"/>
              <w:marBottom w:val="0"/>
              <w:divBdr>
                <w:top w:val="none" w:sz="0" w:space="0" w:color="auto"/>
                <w:left w:val="none" w:sz="0" w:space="0" w:color="auto"/>
                <w:bottom w:val="none" w:sz="0" w:space="0" w:color="auto"/>
                <w:right w:val="none" w:sz="0" w:space="0" w:color="auto"/>
              </w:divBdr>
              <w:divsChild>
                <w:div w:id="299073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410">
      <w:marLeft w:val="0"/>
      <w:marRight w:val="0"/>
      <w:marTop w:val="0"/>
      <w:marBottom w:val="0"/>
      <w:divBdr>
        <w:top w:val="none" w:sz="0" w:space="0" w:color="auto"/>
        <w:left w:val="none" w:sz="0" w:space="0" w:color="auto"/>
        <w:bottom w:val="none" w:sz="0" w:space="0" w:color="auto"/>
        <w:right w:val="none" w:sz="0" w:space="0" w:color="auto"/>
      </w:divBdr>
      <w:divsChild>
        <w:div w:id="299073405">
          <w:marLeft w:val="0"/>
          <w:marRight w:val="0"/>
          <w:marTop w:val="0"/>
          <w:marBottom w:val="0"/>
          <w:divBdr>
            <w:top w:val="none" w:sz="0" w:space="0" w:color="auto"/>
            <w:left w:val="none" w:sz="0" w:space="0" w:color="auto"/>
            <w:bottom w:val="none" w:sz="0" w:space="0" w:color="auto"/>
            <w:right w:val="none" w:sz="0" w:space="0" w:color="auto"/>
          </w:divBdr>
          <w:divsChild>
            <w:div w:id="299073591">
              <w:marLeft w:val="0"/>
              <w:marRight w:val="0"/>
              <w:marTop w:val="0"/>
              <w:marBottom w:val="0"/>
              <w:divBdr>
                <w:top w:val="none" w:sz="0" w:space="0" w:color="auto"/>
                <w:left w:val="none" w:sz="0" w:space="0" w:color="auto"/>
                <w:bottom w:val="none" w:sz="0" w:space="0" w:color="auto"/>
                <w:right w:val="none" w:sz="0" w:space="0" w:color="auto"/>
              </w:divBdr>
              <w:divsChild>
                <w:div w:id="29907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411">
      <w:marLeft w:val="0"/>
      <w:marRight w:val="0"/>
      <w:marTop w:val="0"/>
      <w:marBottom w:val="0"/>
      <w:divBdr>
        <w:top w:val="none" w:sz="0" w:space="0" w:color="auto"/>
        <w:left w:val="none" w:sz="0" w:space="0" w:color="auto"/>
        <w:bottom w:val="none" w:sz="0" w:space="0" w:color="auto"/>
        <w:right w:val="none" w:sz="0" w:space="0" w:color="auto"/>
      </w:divBdr>
      <w:divsChild>
        <w:div w:id="299073394">
          <w:marLeft w:val="0"/>
          <w:marRight w:val="0"/>
          <w:marTop w:val="0"/>
          <w:marBottom w:val="0"/>
          <w:divBdr>
            <w:top w:val="none" w:sz="0" w:space="0" w:color="auto"/>
            <w:left w:val="none" w:sz="0" w:space="0" w:color="auto"/>
            <w:bottom w:val="none" w:sz="0" w:space="0" w:color="auto"/>
            <w:right w:val="none" w:sz="0" w:space="0" w:color="auto"/>
          </w:divBdr>
          <w:divsChild>
            <w:div w:id="299073587">
              <w:marLeft w:val="0"/>
              <w:marRight w:val="0"/>
              <w:marTop w:val="0"/>
              <w:marBottom w:val="0"/>
              <w:divBdr>
                <w:top w:val="none" w:sz="0" w:space="0" w:color="auto"/>
                <w:left w:val="none" w:sz="0" w:space="0" w:color="auto"/>
                <w:bottom w:val="none" w:sz="0" w:space="0" w:color="auto"/>
                <w:right w:val="none" w:sz="0" w:space="0" w:color="auto"/>
              </w:divBdr>
              <w:divsChild>
                <w:div w:id="29907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416">
      <w:marLeft w:val="0"/>
      <w:marRight w:val="0"/>
      <w:marTop w:val="0"/>
      <w:marBottom w:val="0"/>
      <w:divBdr>
        <w:top w:val="none" w:sz="0" w:space="0" w:color="auto"/>
        <w:left w:val="none" w:sz="0" w:space="0" w:color="auto"/>
        <w:bottom w:val="none" w:sz="0" w:space="0" w:color="auto"/>
        <w:right w:val="none" w:sz="0" w:space="0" w:color="auto"/>
      </w:divBdr>
    </w:div>
    <w:div w:id="299073419">
      <w:marLeft w:val="0"/>
      <w:marRight w:val="0"/>
      <w:marTop w:val="0"/>
      <w:marBottom w:val="0"/>
      <w:divBdr>
        <w:top w:val="none" w:sz="0" w:space="0" w:color="auto"/>
        <w:left w:val="none" w:sz="0" w:space="0" w:color="auto"/>
        <w:bottom w:val="none" w:sz="0" w:space="0" w:color="auto"/>
        <w:right w:val="none" w:sz="0" w:space="0" w:color="auto"/>
      </w:divBdr>
      <w:divsChild>
        <w:div w:id="299073420">
          <w:marLeft w:val="0"/>
          <w:marRight w:val="0"/>
          <w:marTop w:val="0"/>
          <w:marBottom w:val="0"/>
          <w:divBdr>
            <w:top w:val="none" w:sz="0" w:space="0" w:color="auto"/>
            <w:left w:val="none" w:sz="0" w:space="0" w:color="auto"/>
            <w:bottom w:val="none" w:sz="0" w:space="0" w:color="auto"/>
            <w:right w:val="none" w:sz="0" w:space="0" w:color="auto"/>
          </w:divBdr>
          <w:divsChild>
            <w:div w:id="299073415">
              <w:marLeft w:val="0"/>
              <w:marRight w:val="0"/>
              <w:marTop w:val="0"/>
              <w:marBottom w:val="0"/>
              <w:divBdr>
                <w:top w:val="none" w:sz="0" w:space="0" w:color="auto"/>
                <w:left w:val="none" w:sz="0" w:space="0" w:color="auto"/>
                <w:bottom w:val="none" w:sz="0" w:space="0" w:color="auto"/>
                <w:right w:val="none" w:sz="0" w:space="0" w:color="auto"/>
              </w:divBdr>
              <w:divsChild>
                <w:div w:id="299073417">
                  <w:marLeft w:val="0"/>
                  <w:marRight w:val="0"/>
                  <w:marTop w:val="0"/>
                  <w:marBottom w:val="0"/>
                  <w:divBdr>
                    <w:top w:val="none" w:sz="0" w:space="0" w:color="auto"/>
                    <w:left w:val="none" w:sz="0" w:space="0" w:color="auto"/>
                    <w:bottom w:val="none" w:sz="0" w:space="0" w:color="auto"/>
                    <w:right w:val="none" w:sz="0" w:space="0" w:color="auto"/>
                  </w:divBdr>
                  <w:divsChild>
                    <w:div w:id="29907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9073421">
      <w:marLeft w:val="0"/>
      <w:marRight w:val="0"/>
      <w:marTop w:val="0"/>
      <w:marBottom w:val="0"/>
      <w:divBdr>
        <w:top w:val="none" w:sz="0" w:space="0" w:color="auto"/>
        <w:left w:val="none" w:sz="0" w:space="0" w:color="auto"/>
        <w:bottom w:val="none" w:sz="0" w:space="0" w:color="auto"/>
        <w:right w:val="none" w:sz="0" w:space="0" w:color="auto"/>
      </w:divBdr>
    </w:div>
    <w:div w:id="299073429">
      <w:marLeft w:val="0"/>
      <w:marRight w:val="0"/>
      <w:marTop w:val="0"/>
      <w:marBottom w:val="0"/>
      <w:divBdr>
        <w:top w:val="none" w:sz="0" w:space="0" w:color="auto"/>
        <w:left w:val="none" w:sz="0" w:space="0" w:color="auto"/>
        <w:bottom w:val="none" w:sz="0" w:space="0" w:color="auto"/>
        <w:right w:val="none" w:sz="0" w:space="0" w:color="auto"/>
      </w:divBdr>
      <w:divsChild>
        <w:div w:id="299073452">
          <w:marLeft w:val="0"/>
          <w:marRight w:val="0"/>
          <w:marTop w:val="0"/>
          <w:marBottom w:val="0"/>
          <w:divBdr>
            <w:top w:val="none" w:sz="0" w:space="0" w:color="auto"/>
            <w:left w:val="none" w:sz="0" w:space="0" w:color="auto"/>
            <w:bottom w:val="none" w:sz="0" w:space="0" w:color="auto"/>
            <w:right w:val="none" w:sz="0" w:space="0" w:color="auto"/>
          </w:divBdr>
          <w:divsChild>
            <w:div w:id="299073434">
              <w:marLeft w:val="0"/>
              <w:marRight w:val="0"/>
              <w:marTop w:val="0"/>
              <w:marBottom w:val="0"/>
              <w:divBdr>
                <w:top w:val="none" w:sz="0" w:space="0" w:color="auto"/>
                <w:left w:val="none" w:sz="0" w:space="0" w:color="auto"/>
                <w:bottom w:val="none" w:sz="0" w:space="0" w:color="auto"/>
                <w:right w:val="none" w:sz="0" w:space="0" w:color="auto"/>
              </w:divBdr>
              <w:divsChild>
                <w:div w:id="299073422">
                  <w:marLeft w:val="0"/>
                  <w:marRight w:val="0"/>
                  <w:marTop w:val="0"/>
                  <w:marBottom w:val="0"/>
                  <w:divBdr>
                    <w:top w:val="none" w:sz="0" w:space="0" w:color="auto"/>
                    <w:left w:val="none" w:sz="0" w:space="0" w:color="auto"/>
                    <w:bottom w:val="none" w:sz="0" w:space="0" w:color="auto"/>
                    <w:right w:val="none" w:sz="0" w:space="0" w:color="auto"/>
                  </w:divBdr>
                </w:div>
                <w:div w:id="299073423">
                  <w:marLeft w:val="0"/>
                  <w:marRight w:val="0"/>
                  <w:marTop w:val="0"/>
                  <w:marBottom w:val="0"/>
                  <w:divBdr>
                    <w:top w:val="none" w:sz="0" w:space="0" w:color="auto"/>
                    <w:left w:val="none" w:sz="0" w:space="0" w:color="auto"/>
                    <w:bottom w:val="none" w:sz="0" w:space="0" w:color="auto"/>
                    <w:right w:val="none" w:sz="0" w:space="0" w:color="auto"/>
                  </w:divBdr>
                  <w:divsChild>
                    <w:div w:id="299073427">
                      <w:marLeft w:val="0"/>
                      <w:marRight w:val="0"/>
                      <w:marTop w:val="0"/>
                      <w:marBottom w:val="0"/>
                      <w:divBdr>
                        <w:top w:val="none" w:sz="0" w:space="0" w:color="auto"/>
                        <w:left w:val="none" w:sz="0" w:space="0" w:color="auto"/>
                        <w:bottom w:val="none" w:sz="0" w:space="0" w:color="auto"/>
                        <w:right w:val="none" w:sz="0" w:space="0" w:color="auto"/>
                      </w:divBdr>
                    </w:div>
                  </w:divsChild>
                </w:div>
                <w:div w:id="299073424">
                  <w:marLeft w:val="0"/>
                  <w:marRight w:val="0"/>
                  <w:marTop w:val="0"/>
                  <w:marBottom w:val="0"/>
                  <w:divBdr>
                    <w:top w:val="none" w:sz="0" w:space="0" w:color="auto"/>
                    <w:left w:val="none" w:sz="0" w:space="0" w:color="auto"/>
                    <w:bottom w:val="none" w:sz="0" w:space="0" w:color="auto"/>
                    <w:right w:val="none" w:sz="0" w:space="0" w:color="auto"/>
                  </w:divBdr>
                </w:div>
                <w:div w:id="299073425">
                  <w:marLeft w:val="0"/>
                  <w:marRight w:val="0"/>
                  <w:marTop w:val="0"/>
                  <w:marBottom w:val="0"/>
                  <w:divBdr>
                    <w:top w:val="none" w:sz="0" w:space="0" w:color="auto"/>
                    <w:left w:val="none" w:sz="0" w:space="0" w:color="auto"/>
                    <w:bottom w:val="none" w:sz="0" w:space="0" w:color="auto"/>
                    <w:right w:val="none" w:sz="0" w:space="0" w:color="auto"/>
                  </w:divBdr>
                </w:div>
                <w:div w:id="299073428">
                  <w:marLeft w:val="0"/>
                  <w:marRight w:val="0"/>
                  <w:marTop w:val="0"/>
                  <w:marBottom w:val="0"/>
                  <w:divBdr>
                    <w:top w:val="none" w:sz="0" w:space="0" w:color="auto"/>
                    <w:left w:val="none" w:sz="0" w:space="0" w:color="auto"/>
                    <w:bottom w:val="none" w:sz="0" w:space="0" w:color="auto"/>
                    <w:right w:val="none" w:sz="0" w:space="0" w:color="auto"/>
                  </w:divBdr>
                </w:div>
                <w:div w:id="299073430">
                  <w:marLeft w:val="0"/>
                  <w:marRight w:val="0"/>
                  <w:marTop w:val="0"/>
                  <w:marBottom w:val="0"/>
                  <w:divBdr>
                    <w:top w:val="none" w:sz="0" w:space="0" w:color="auto"/>
                    <w:left w:val="none" w:sz="0" w:space="0" w:color="auto"/>
                    <w:bottom w:val="none" w:sz="0" w:space="0" w:color="auto"/>
                    <w:right w:val="none" w:sz="0" w:space="0" w:color="auto"/>
                  </w:divBdr>
                </w:div>
                <w:div w:id="299073431">
                  <w:marLeft w:val="0"/>
                  <w:marRight w:val="0"/>
                  <w:marTop w:val="0"/>
                  <w:marBottom w:val="0"/>
                  <w:divBdr>
                    <w:top w:val="none" w:sz="0" w:space="0" w:color="auto"/>
                    <w:left w:val="none" w:sz="0" w:space="0" w:color="auto"/>
                    <w:bottom w:val="none" w:sz="0" w:space="0" w:color="auto"/>
                    <w:right w:val="none" w:sz="0" w:space="0" w:color="auto"/>
                  </w:divBdr>
                </w:div>
                <w:div w:id="299073432">
                  <w:marLeft w:val="0"/>
                  <w:marRight w:val="0"/>
                  <w:marTop w:val="0"/>
                  <w:marBottom w:val="0"/>
                  <w:divBdr>
                    <w:top w:val="none" w:sz="0" w:space="0" w:color="auto"/>
                    <w:left w:val="none" w:sz="0" w:space="0" w:color="auto"/>
                    <w:bottom w:val="none" w:sz="0" w:space="0" w:color="auto"/>
                    <w:right w:val="none" w:sz="0" w:space="0" w:color="auto"/>
                  </w:divBdr>
                </w:div>
                <w:div w:id="299073433">
                  <w:marLeft w:val="0"/>
                  <w:marRight w:val="0"/>
                  <w:marTop w:val="0"/>
                  <w:marBottom w:val="0"/>
                  <w:divBdr>
                    <w:top w:val="none" w:sz="0" w:space="0" w:color="auto"/>
                    <w:left w:val="none" w:sz="0" w:space="0" w:color="auto"/>
                    <w:bottom w:val="none" w:sz="0" w:space="0" w:color="auto"/>
                    <w:right w:val="none" w:sz="0" w:space="0" w:color="auto"/>
                  </w:divBdr>
                </w:div>
                <w:div w:id="299073436">
                  <w:marLeft w:val="0"/>
                  <w:marRight w:val="0"/>
                  <w:marTop w:val="0"/>
                  <w:marBottom w:val="0"/>
                  <w:divBdr>
                    <w:top w:val="none" w:sz="0" w:space="0" w:color="auto"/>
                    <w:left w:val="none" w:sz="0" w:space="0" w:color="auto"/>
                    <w:bottom w:val="none" w:sz="0" w:space="0" w:color="auto"/>
                    <w:right w:val="none" w:sz="0" w:space="0" w:color="auto"/>
                  </w:divBdr>
                </w:div>
                <w:div w:id="299073438">
                  <w:marLeft w:val="0"/>
                  <w:marRight w:val="0"/>
                  <w:marTop w:val="0"/>
                  <w:marBottom w:val="0"/>
                  <w:divBdr>
                    <w:top w:val="none" w:sz="0" w:space="0" w:color="auto"/>
                    <w:left w:val="none" w:sz="0" w:space="0" w:color="auto"/>
                    <w:bottom w:val="none" w:sz="0" w:space="0" w:color="auto"/>
                    <w:right w:val="none" w:sz="0" w:space="0" w:color="auto"/>
                  </w:divBdr>
                  <w:divsChild>
                    <w:div w:id="299073450">
                      <w:marLeft w:val="0"/>
                      <w:marRight w:val="0"/>
                      <w:marTop w:val="0"/>
                      <w:marBottom w:val="0"/>
                      <w:divBdr>
                        <w:top w:val="none" w:sz="0" w:space="0" w:color="auto"/>
                        <w:left w:val="none" w:sz="0" w:space="0" w:color="auto"/>
                        <w:bottom w:val="none" w:sz="0" w:space="0" w:color="auto"/>
                        <w:right w:val="none" w:sz="0" w:space="0" w:color="auto"/>
                      </w:divBdr>
                    </w:div>
                  </w:divsChild>
                </w:div>
                <w:div w:id="299073441">
                  <w:marLeft w:val="0"/>
                  <w:marRight w:val="0"/>
                  <w:marTop w:val="0"/>
                  <w:marBottom w:val="0"/>
                  <w:divBdr>
                    <w:top w:val="none" w:sz="0" w:space="0" w:color="auto"/>
                    <w:left w:val="none" w:sz="0" w:space="0" w:color="auto"/>
                    <w:bottom w:val="none" w:sz="0" w:space="0" w:color="auto"/>
                    <w:right w:val="none" w:sz="0" w:space="0" w:color="auto"/>
                  </w:divBdr>
                </w:div>
                <w:div w:id="299073442">
                  <w:marLeft w:val="0"/>
                  <w:marRight w:val="0"/>
                  <w:marTop w:val="0"/>
                  <w:marBottom w:val="0"/>
                  <w:divBdr>
                    <w:top w:val="none" w:sz="0" w:space="0" w:color="auto"/>
                    <w:left w:val="none" w:sz="0" w:space="0" w:color="auto"/>
                    <w:bottom w:val="none" w:sz="0" w:space="0" w:color="auto"/>
                    <w:right w:val="none" w:sz="0" w:space="0" w:color="auto"/>
                  </w:divBdr>
                  <w:divsChild>
                    <w:div w:id="299073443">
                      <w:marLeft w:val="0"/>
                      <w:marRight w:val="0"/>
                      <w:marTop w:val="0"/>
                      <w:marBottom w:val="0"/>
                      <w:divBdr>
                        <w:top w:val="none" w:sz="0" w:space="0" w:color="auto"/>
                        <w:left w:val="none" w:sz="0" w:space="0" w:color="auto"/>
                        <w:bottom w:val="none" w:sz="0" w:space="0" w:color="auto"/>
                        <w:right w:val="none" w:sz="0" w:space="0" w:color="auto"/>
                      </w:divBdr>
                      <w:divsChild>
                        <w:div w:id="299073439">
                          <w:marLeft w:val="0"/>
                          <w:marRight w:val="0"/>
                          <w:marTop w:val="0"/>
                          <w:marBottom w:val="0"/>
                          <w:divBdr>
                            <w:top w:val="none" w:sz="0" w:space="0" w:color="auto"/>
                            <w:left w:val="none" w:sz="0" w:space="0" w:color="auto"/>
                            <w:bottom w:val="none" w:sz="0" w:space="0" w:color="auto"/>
                            <w:right w:val="none" w:sz="0" w:space="0" w:color="auto"/>
                          </w:divBdr>
                          <w:divsChild>
                            <w:div w:id="299073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444">
                  <w:marLeft w:val="0"/>
                  <w:marRight w:val="0"/>
                  <w:marTop w:val="0"/>
                  <w:marBottom w:val="0"/>
                  <w:divBdr>
                    <w:top w:val="none" w:sz="0" w:space="0" w:color="auto"/>
                    <w:left w:val="none" w:sz="0" w:space="0" w:color="auto"/>
                    <w:bottom w:val="none" w:sz="0" w:space="0" w:color="auto"/>
                    <w:right w:val="none" w:sz="0" w:space="0" w:color="auto"/>
                  </w:divBdr>
                </w:div>
                <w:div w:id="299073446">
                  <w:marLeft w:val="0"/>
                  <w:marRight w:val="0"/>
                  <w:marTop w:val="0"/>
                  <w:marBottom w:val="0"/>
                  <w:divBdr>
                    <w:top w:val="none" w:sz="0" w:space="0" w:color="auto"/>
                    <w:left w:val="none" w:sz="0" w:space="0" w:color="auto"/>
                    <w:bottom w:val="none" w:sz="0" w:space="0" w:color="auto"/>
                    <w:right w:val="none" w:sz="0" w:space="0" w:color="auto"/>
                  </w:divBdr>
                </w:div>
                <w:div w:id="299073447">
                  <w:marLeft w:val="0"/>
                  <w:marRight w:val="0"/>
                  <w:marTop w:val="0"/>
                  <w:marBottom w:val="0"/>
                  <w:divBdr>
                    <w:top w:val="none" w:sz="0" w:space="0" w:color="auto"/>
                    <w:left w:val="none" w:sz="0" w:space="0" w:color="auto"/>
                    <w:bottom w:val="none" w:sz="0" w:space="0" w:color="auto"/>
                    <w:right w:val="none" w:sz="0" w:space="0" w:color="auto"/>
                  </w:divBdr>
                  <w:divsChild>
                    <w:div w:id="299073437">
                      <w:marLeft w:val="0"/>
                      <w:marRight w:val="0"/>
                      <w:marTop w:val="0"/>
                      <w:marBottom w:val="0"/>
                      <w:divBdr>
                        <w:top w:val="none" w:sz="0" w:space="0" w:color="auto"/>
                        <w:left w:val="none" w:sz="0" w:space="0" w:color="auto"/>
                        <w:bottom w:val="none" w:sz="0" w:space="0" w:color="auto"/>
                        <w:right w:val="none" w:sz="0" w:space="0" w:color="auto"/>
                      </w:divBdr>
                      <w:divsChild>
                        <w:div w:id="299073440">
                          <w:marLeft w:val="0"/>
                          <w:marRight w:val="0"/>
                          <w:marTop w:val="0"/>
                          <w:marBottom w:val="0"/>
                          <w:divBdr>
                            <w:top w:val="none" w:sz="0" w:space="0" w:color="auto"/>
                            <w:left w:val="none" w:sz="0" w:space="0" w:color="auto"/>
                            <w:bottom w:val="none" w:sz="0" w:space="0" w:color="auto"/>
                            <w:right w:val="none" w:sz="0" w:space="0" w:color="auto"/>
                          </w:divBdr>
                          <w:divsChild>
                            <w:div w:id="29907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448">
                  <w:marLeft w:val="0"/>
                  <w:marRight w:val="0"/>
                  <w:marTop w:val="0"/>
                  <w:marBottom w:val="0"/>
                  <w:divBdr>
                    <w:top w:val="none" w:sz="0" w:space="0" w:color="auto"/>
                    <w:left w:val="none" w:sz="0" w:space="0" w:color="auto"/>
                    <w:bottom w:val="none" w:sz="0" w:space="0" w:color="auto"/>
                    <w:right w:val="none" w:sz="0" w:space="0" w:color="auto"/>
                  </w:divBdr>
                  <w:divsChild>
                    <w:div w:id="299073451">
                      <w:marLeft w:val="0"/>
                      <w:marRight w:val="0"/>
                      <w:marTop w:val="0"/>
                      <w:marBottom w:val="0"/>
                      <w:divBdr>
                        <w:top w:val="none" w:sz="0" w:space="0" w:color="auto"/>
                        <w:left w:val="none" w:sz="0" w:space="0" w:color="auto"/>
                        <w:bottom w:val="none" w:sz="0" w:space="0" w:color="auto"/>
                        <w:right w:val="none" w:sz="0" w:space="0" w:color="auto"/>
                      </w:divBdr>
                      <w:divsChild>
                        <w:div w:id="299073435">
                          <w:marLeft w:val="0"/>
                          <w:marRight w:val="0"/>
                          <w:marTop w:val="0"/>
                          <w:marBottom w:val="0"/>
                          <w:divBdr>
                            <w:top w:val="none" w:sz="0" w:space="0" w:color="auto"/>
                            <w:left w:val="none" w:sz="0" w:space="0" w:color="auto"/>
                            <w:bottom w:val="none" w:sz="0" w:space="0" w:color="auto"/>
                            <w:right w:val="none" w:sz="0" w:space="0" w:color="auto"/>
                          </w:divBdr>
                          <w:divsChild>
                            <w:div w:id="29907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9073465">
      <w:marLeft w:val="0"/>
      <w:marRight w:val="0"/>
      <w:marTop w:val="0"/>
      <w:marBottom w:val="0"/>
      <w:divBdr>
        <w:top w:val="none" w:sz="0" w:space="0" w:color="auto"/>
        <w:left w:val="none" w:sz="0" w:space="0" w:color="auto"/>
        <w:bottom w:val="none" w:sz="0" w:space="0" w:color="auto"/>
        <w:right w:val="none" w:sz="0" w:space="0" w:color="auto"/>
      </w:divBdr>
      <w:divsChild>
        <w:div w:id="299073524">
          <w:marLeft w:val="0"/>
          <w:marRight w:val="0"/>
          <w:marTop w:val="0"/>
          <w:marBottom w:val="0"/>
          <w:divBdr>
            <w:top w:val="none" w:sz="0" w:space="0" w:color="auto"/>
            <w:left w:val="none" w:sz="0" w:space="0" w:color="auto"/>
            <w:bottom w:val="none" w:sz="0" w:space="0" w:color="auto"/>
            <w:right w:val="none" w:sz="0" w:space="0" w:color="auto"/>
          </w:divBdr>
          <w:divsChild>
            <w:div w:id="299073554">
              <w:marLeft w:val="0"/>
              <w:marRight w:val="0"/>
              <w:marTop w:val="0"/>
              <w:marBottom w:val="0"/>
              <w:divBdr>
                <w:top w:val="none" w:sz="0" w:space="0" w:color="auto"/>
                <w:left w:val="none" w:sz="0" w:space="0" w:color="auto"/>
                <w:bottom w:val="none" w:sz="0" w:space="0" w:color="auto"/>
                <w:right w:val="none" w:sz="0" w:space="0" w:color="auto"/>
              </w:divBdr>
              <w:divsChild>
                <w:div w:id="29907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468">
      <w:marLeft w:val="0"/>
      <w:marRight w:val="0"/>
      <w:marTop w:val="0"/>
      <w:marBottom w:val="0"/>
      <w:divBdr>
        <w:top w:val="none" w:sz="0" w:space="0" w:color="auto"/>
        <w:left w:val="none" w:sz="0" w:space="0" w:color="auto"/>
        <w:bottom w:val="none" w:sz="0" w:space="0" w:color="auto"/>
        <w:right w:val="none" w:sz="0" w:space="0" w:color="auto"/>
      </w:divBdr>
      <w:divsChild>
        <w:div w:id="299073456">
          <w:marLeft w:val="0"/>
          <w:marRight w:val="0"/>
          <w:marTop w:val="0"/>
          <w:marBottom w:val="0"/>
          <w:divBdr>
            <w:top w:val="none" w:sz="0" w:space="0" w:color="auto"/>
            <w:left w:val="none" w:sz="0" w:space="0" w:color="auto"/>
            <w:bottom w:val="none" w:sz="0" w:space="0" w:color="auto"/>
            <w:right w:val="none" w:sz="0" w:space="0" w:color="auto"/>
          </w:divBdr>
          <w:divsChild>
            <w:div w:id="29907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472">
      <w:marLeft w:val="0"/>
      <w:marRight w:val="0"/>
      <w:marTop w:val="0"/>
      <w:marBottom w:val="0"/>
      <w:divBdr>
        <w:top w:val="none" w:sz="0" w:space="0" w:color="auto"/>
        <w:left w:val="none" w:sz="0" w:space="0" w:color="auto"/>
        <w:bottom w:val="none" w:sz="0" w:space="0" w:color="auto"/>
        <w:right w:val="none" w:sz="0" w:space="0" w:color="auto"/>
      </w:divBdr>
      <w:divsChild>
        <w:div w:id="299073586">
          <w:marLeft w:val="0"/>
          <w:marRight w:val="0"/>
          <w:marTop w:val="0"/>
          <w:marBottom w:val="0"/>
          <w:divBdr>
            <w:top w:val="none" w:sz="0" w:space="0" w:color="auto"/>
            <w:left w:val="none" w:sz="0" w:space="0" w:color="auto"/>
            <w:bottom w:val="none" w:sz="0" w:space="0" w:color="auto"/>
            <w:right w:val="none" w:sz="0" w:space="0" w:color="auto"/>
          </w:divBdr>
          <w:divsChild>
            <w:div w:id="299073515">
              <w:marLeft w:val="0"/>
              <w:marRight w:val="0"/>
              <w:marTop w:val="0"/>
              <w:marBottom w:val="0"/>
              <w:divBdr>
                <w:top w:val="none" w:sz="0" w:space="0" w:color="auto"/>
                <w:left w:val="none" w:sz="0" w:space="0" w:color="auto"/>
                <w:bottom w:val="none" w:sz="0" w:space="0" w:color="auto"/>
                <w:right w:val="none" w:sz="0" w:space="0" w:color="auto"/>
              </w:divBdr>
              <w:divsChild>
                <w:div w:id="299073463">
                  <w:marLeft w:val="0"/>
                  <w:marRight w:val="0"/>
                  <w:marTop w:val="0"/>
                  <w:marBottom w:val="0"/>
                  <w:divBdr>
                    <w:top w:val="none" w:sz="0" w:space="0" w:color="auto"/>
                    <w:left w:val="none" w:sz="0" w:space="0" w:color="auto"/>
                    <w:bottom w:val="none" w:sz="0" w:space="0" w:color="auto"/>
                    <w:right w:val="none" w:sz="0" w:space="0" w:color="auto"/>
                  </w:divBdr>
                </w:div>
                <w:div w:id="299073493">
                  <w:marLeft w:val="0"/>
                  <w:marRight w:val="0"/>
                  <w:marTop w:val="0"/>
                  <w:marBottom w:val="0"/>
                  <w:divBdr>
                    <w:top w:val="none" w:sz="0" w:space="0" w:color="auto"/>
                    <w:left w:val="none" w:sz="0" w:space="0" w:color="auto"/>
                    <w:bottom w:val="none" w:sz="0" w:space="0" w:color="auto"/>
                    <w:right w:val="none" w:sz="0" w:space="0" w:color="auto"/>
                  </w:divBdr>
                </w:div>
                <w:div w:id="29907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489">
      <w:marLeft w:val="0"/>
      <w:marRight w:val="0"/>
      <w:marTop w:val="0"/>
      <w:marBottom w:val="0"/>
      <w:divBdr>
        <w:top w:val="none" w:sz="0" w:space="0" w:color="auto"/>
        <w:left w:val="none" w:sz="0" w:space="0" w:color="auto"/>
        <w:bottom w:val="none" w:sz="0" w:space="0" w:color="auto"/>
        <w:right w:val="none" w:sz="0" w:space="0" w:color="auto"/>
      </w:divBdr>
      <w:divsChild>
        <w:div w:id="299073486">
          <w:marLeft w:val="0"/>
          <w:marRight w:val="0"/>
          <w:marTop w:val="0"/>
          <w:marBottom w:val="0"/>
          <w:divBdr>
            <w:top w:val="none" w:sz="0" w:space="0" w:color="auto"/>
            <w:left w:val="none" w:sz="0" w:space="0" w:color="auto"/>
            <w:bottom w:val="none" w:sz="0" w:space="0" w:color="auto"/>
            <w:right w:val="none" w:sz="0" w:space="0" w:color="auto"/>
          </w:divBdr>
          <w:divsChild>
            <w:div w:id="29907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496">
      <w:marLeft w:val="0"/>
      <w:marRight w:val="0"/>
      <w:marTop w:val="0"/>
      <w:marBottom w:val="0"/>
      <w:divBdr>
        <w:top w:val="none" w:sz="0" w:space="0" w:color="auto"/>
        <w:left w:val="none" w:sz="0" w:space="0" w:color="auto"/>
        <w:bottom w:val="none" w:sz="0" w:space="0" w:color="auto"/>
        <w:right w:val="none" w:sz="0" w:space="0" w:color="auto"/>
      </w:divBdr>
      <w:divsChild>
        <w:div w:id="299073542">
          <w:marLeft w:val="0"/>
          <w:marRight w:val="0"/>
          <w:marTop w:val="0"/>
          <w:marBottom w:val="0"/>
          <w:divBdr>
            <w:top w:val="none" w:sz="0" w:space="0" w:color="auto"/>
            <w:left w:val="none" w:sz="0" w:space="0" w:color="auto"/>
            <w:bottom w:val="none" w:sz="0" w:space="0" w:color="auto"/>
            <w:right w:val="none" w:sz="0" w:space="0" w:color="auto"/>
          </w:divBdr>
          <w:divsChild>
            <w:div w:id="299073455">
              <w:marLeft w:val="0"/>
              <w:marRight w:val="0"/>
              <w:marTop w:val="0"/>
              <w:marBottom w:val="0"/>
              <w:divBdr>
                <w:top w:val="none" w:sz="0" w:space="0" w:color="auto"/>
                <w:left w:val="none" w:sz="0" w:space="0" w:color="auto"/>
                <w:bottom w:val="none" w:sz="0" w:space="0" w:color="auto"/>
                <w:right w:val="none" w:sz="0" w:space="0" w:color="auto"/>
              </w:divBdr>
              <w:divsChild>
                <w:div w:id="299073500">
                  <w:marLeft w:val="0"/>
                  <w:marRight w:val="0"/>
                  <w:marTop w:val="0"/>
                  <w:marBottom w:val="0"/>
                  <w:divBdr>
                    <w:top w:val="none" w:sz="0" w:space="0" w:color="auto"/>
                    <w:left w:val="none" w:sz="0" w:space="0" w:color="auto"/>
                    <w:bottom w:val="none" w:sz="0" w:space="0" w:color="auto"/>
                    <w:right w:val="none" w:sz="0" w:space="0" w:color="auto"/>
                  </w:divBdr>
                </w:div>
                <w:div w:id="299073530">
                  <w:marLeft w:val="0"/>
                  <w:marRight w:val="0"/>
                  <w:marTop w:val="0"/>
                  <w:marBottom w:val="0"/>
                  <w:divBdr>
                    <w:top w:val="none" w:sz="0" w:space="0" w:color="auto"/>
                    <w:left w:val="none" w:sz="0" w:space="0" w:color="auto"/>
                    <w:bottom w:val="none" w:sz="0" w:space="0" w:color="auto"/>
                    <w:right w:val="none" w:sz="0" w:space="0" w:color="auto"/>
                  </w:divBdr>
                  <w:divsChild>
                    <w:div w:id="299073577">
                      <w:marLeft w:val="0"/>
                      <w:marRight w:val="0"/>
                      <w:marTop w:val="0"/>
                      <w:marBottom w:val="0"/>
                      <w:divBdr>
                        <w:top w:val="none" w:sz="0" w:space="0" w:color="auto"/>
                        <w:left w:val="none" w:sz="0" w:space="0" w:color="auto"/>
                        <w:bottom w:val="none" w:sz="0" w:space="0" w:color="auto"/>
                        <w:right w:val="none" w:sz="0" w:space="0" w:color="auto"/>
                      </w:divBdr>
                      <w:divsChild>
                        <w:div w:id="299073512">
                          <w:marLeft w:val="0"/>
                          <w:marRight w:val="0"/>
                          <w:marTop w:val="0"/>
                          <w:marBottom w:val="0"/>
                          <w:divBdr>
                            <w:top w:val="none" w:sz="0" w:space="0" w:color="auto"/>
                            <w:left w:val="none" w:sz="0" w:space="0" w:color="auto"/>
                            <w:bottom w:val="none" w:sz="0" w:space="0" w:color="auto"/>
                            <w:right w:val="none" w:sz="0" w:space="0" w:color="auto"/>
                          </w:divBdr>
                          <w:divsChild>
                            <w:div w:id="29907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536">
                  <w:marLeft w:val="0"/>
                  <w:marRight w:val="0"/>
                  <w:marTop w:val="0"/>
                  <w:marBottom w:val="0"/>
                  <w:divBdr>
                    <w:top w:val="none" w:sz="0" w:space="0" w:color="auto"/>
                    <w:left w:val="none" w:sz="0" w:space="0" w:color="auto"/>
                    <w:bottom w:val="none" w:sz="0" w:space="0" w:color="auto"/>
                    <w:right w:val="none" w:sz="0" w:space="0" w:color="auto"/>
                  </w:divBdr>
                </w:div>
                <w:div w:id="299073564">
                  <w:marLeft w:val="0"/>
                  <w:marRight w:val="0"/>
                  <w:marTop w:val="0"/>
                  <w:marBottom w:val="0"/>
                  <w:divBdr>
                    <w:top w:val="none" w:sz="0" w:space="0" w:color="auto"/>
                    <w:left w:val="none" w:sz="0" w:space="0" w:color="auto"/>
                    <w:bottom w:val="none" w:sz="0" w:space="0" w:color="auto"/>
                    <w:right w:val="none" w:sz="0" w:space="0" w:color="auto"/>
                  </w:divBdr>
                  <w:divsChild>
                    <w:div w:id="299073561">
                      <w:marLeft w:val="0"/>
                      <w:marRight w:val="0"/>
                      <w:marTop w:val="0"/>
                      <w:marBottom w:val="0"/>
                      <w:divBdr>
                        <w:top w:val="none" w:sz="0" w:space="0" w:color="auto"/>
                        <w:left w:val="none" w:sz="0" w:space="0" w:color="auto"/>
                        <w:bottom w:val="none" w:sz="0" w:space="0" w:color="auto"/>
                        <w:right w:val="none" w:sz="0" w:space="0" w:color="auto"/>
                      </w:divBdr>
                      <w:divsChild>
                        <w:div w:id="299073534">
                          <w:marLeft w:val="0"/>
                          <w:marRight w:val="0"/>
                          <w:marTop w:val="0"/>
                          <w:marBottom w:val="0"/>
                          <w:divBdr>
                            <w:top w:val="none" w:sz="0" w:space="0" w:color="auto"/>
                            <w:left w:val="none" w:sz="0" w:space="0" w:color="auto"/>
                            <w:bottom w:val="none" w:sz="0" w:space="0" w:color="auto"/>
                            <w:right w:val="none" w:sz="0" w:space="0" w:color="auto"/>
                          </w:divBdr>
                          <w:divsChild>
                            <w:div w:id="29907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574">
                  <w:marLeft w:val="0"/>
                  <w:marRight w:val="0"/>
                  <w:marTop w:val="0"/>
                  <w:marBottom w:val="0"/>
                  <w:divBdr>
                    <w:top w:val="none" w:sz="0" w:space="0" w:color="auto"/>
                    <w:left w:val="none" w:sz="0" w:space="0" w:color="auto"/>
                    <w:bottom w:val="none" w:sz="0" w:space="0" w:color="auto"/>
                    <w:right w:val="none" w:sz="0" w:space="0" w:color="auto"/>
                  </w:divBdr>
                  <w:divsChild>
                    <w:div w:id="299073533">
                      <w:marLeft w:val="0"/>
                      <w:marRight w:val="0"/>
                      <w:marTop w:val="0"/>
                      <w:marBottom w:val="0"/>
                      <w:divBdr>
                        <w:top w:val="none" w:sz="0" w:space="0" w:color="auto"/>
                        <w:left w:val="none" w:sz="0" w:space="0" w:color="auto"/>
                        <w:bottom w:val="none" w:sz="0" w:space="0" w:color="auto"/>
                        <w:right w:val="none" w:sz="0" w:space="0" w:color="auto"/>
                      </w:divBdr>
                      <w:divsChild>
                        <w:div w:id="299073497">
                          <w:marLeft w:val="0"/>
                          <w:marRight w:val="0"/>
                          <w:marTop w:val="0"/>
                          <w:marBottom w:val="0"/>
                          <w:divBdr>
                            <w:top w:val="none" w:sz="0" w:space="0" w:color="auto"/>
                            <w:left w:val="none" w:sz="0" w:space="0" w:color="auto"/>
                            <w:bottom w:val="none" w:sz="0" w:space="0" w:color="auto"/>
                            <w:right w:val="none" w:sz="0" w:space="0" w:color="auto"/>
                          </w:divBdr>
                          <w:divsChild>
                            <w:div w:id="29907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9073498">
      <w:marLeft w:val="0"/>
      <w:marRight w:val="0"/>
      <w:marTop w:val="0"/>
      <w:marBottom w:val="0"/>
      <w:divBdr>
        <w:top w:val="none" w:sz="0" w:space="0" w:color="auto"/>
        <w:left w:val="none" w:sz="0" w:space="0" w:color="auto"/>
        <w:bottom w:val="none" w:sz="0" w:space="0" w:color="auto"/>
        <w:right w:val="none" w:sz="0" w:space="0" w:color="auto"/>
      </w:divBdr>
      <w:divsChild>
        <w:div w:id="299073582">
          <w:marLeft w:val="0"/>
          <w:marRight w:val="0"/>
          <w:marTop w:val="0"/>
          <w:marBottom w:val="0"/>
          <w:divBdr>
            <w:top w:val="none" w:sz="0" w:space="0" w:color="auto"/>
            <w:left w:val="none" w:sz="0" w:space="0" w:color="auto"/>
            <w:bottom w:val="none" w:sz="0" w:space="0" w:color="auto"/>
            <w:right w:val="none" w:sz="0" w:space="0" w:color="auto"/>
          </w:divBdr>
          <w:divsChild>
            <w:div w:id="299073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506">
      <w:marLeft w:val="0"/>
      <w:marRight w:val="0"/>
      <w:marTop w:val="0"/>
      <w:marBottom w:val="0"/>
      <w:divBdr>
        <w:top w:val="none" w:sz="0" w:space="0" w:color="auto"/>
        <w:left w:val="none" w:sz="0" w:space="0" w:color="auto"/>
        <w:bottom w:val="none" w:sz="0" w:space="0" w:color="auto"/>
        <w:right w:val="none" w:sz="0" w:space="0" w:color="auto"/>
      </w:divBdr>
      <w:divsChild>
        <w:div w:id="299073505">
          <w:marLeft w:val="0"/>
          <w:marRight w:val="0"/>
          <w:marTop w:val="0"/>
          <w:marBottom w:val="0"/>
          <w:divBdr>
            <w:top w:val="none" w:sz="0" w:space="0" w:color="auto"/>
            <w:left w:val="none" w:sz="0" w:space="0" w:color="auto"/>
            <w:bottom w:val="none" w:sz="0" w:space="0" w:color="auto"/>
            <w:right w:val="none" w:sz="0" w:space="0" w:color="auto"/>
          </w:divBdr>
          <w:divsChild>
            <w:div w:id="299073529">
              <w:marLeft w:val="0"/>
              <w:marRight w:val="0"/>
              <w:marTop w:val="0"/>
              <w:marBottom w:val="0"/>
              <w:divBdr>
                <w:top w:val="none" w:sz="0" w:space="0" w:color="auto"/>
                <w:left w:val="none" w:sz="0" w:space="0" w:color="auto"/>
                <w:bottom w:val="none" w:sz="0" w:space="0" w:color="auto"/>
                <w:right w:val="none" w:sz="0" w:space="0" w:color="auto"/>
              </w:divBdr>
              <w:divsChild>
                <w:div w:id="299073487">
                  <w:marLeft w:val="0"/>
                  <w:marRight w:val="0"/>
                  <w:marTop w:val="0"/>
                  <w:marBottom w:val="0"/>
                  <w:divBdr>
                    <w:top w:val="none" w:sz="0" w:space="0" w:color="auto"/>
                    <w:left w:val="none" w:sz="0" w:space="0" w:color="auto"/>
                    <w:bottom w:val="none" w:sz="0" w:space="0" w:color="auto"/>
                    <w:right w:val="none" w:sz="0" w:space="0" w:color="auto"/>
                  </w:divBdr>
                </w:div>
                <w:div w:id="29907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514">
      <w:marLeft w:val="0"/>
      <w:marRight w:val="0"/>
      <w:marTop w:val="0"/>
      <w:marBottom w:val="0"/>
      <w:divBdr>
        <w:top w:val="none" w:sz="0" w:space="0" w:color="auto"/>
        <w:left w:val="none" w:sz="0" w:space="0" w:color="auto"/>
        <w:bottom w:val="none" w:sz="0" w:space="0" w:color="auto"/>
        <w:right w:val="none" w:sz="0" w:space="0" w:color="auto"/>
      </w:divBdr>
      <w:divsChild>
        <w:div w:id="299073557">
          <w:marLeft w:val="0"/>
          <w:marRight w:val="0"/>
          <w:marTop w:val="0"/>
          <w:marBottom w:val="0"/>
          <w:divBdr>
            <w:top w:val="none" w:sz="0" w:space="0" w:color="auto"/>
            <w:left w:val="none" w:sz="0" w:space="0" w:color="auto"/>
            <w:bottom w:val="none" w:sz="0" w:space="0" w:color="auto"/>
            <w:right w:val="none" w:sz="0" w:space="0" w:color="auto"/>
          </w:divBdr>
          <w:divsChild>
            <w:div w:id="299073473">
              <w:marLeft w:val="0"/>
              <w:marRight w:val="0"/>
              <w:marTop w:val="0"/>
              <w:marBottom w:val="0"/>
              <w:divBdr>
                <w:top w:val="none" w:sz="0" w:space="0" w:color="auto"/>
                <w:left w:val="none" w:sz="0" w:space="0" w:color="auto"/>
                <w:bottom w:val="none" w:sz="0" w:space="0" w:color="auto"/>
                <w:right w:val="none" w:sz="0" w:space="0" w:color="auto"/>
              </w:divBdr>
              <w:divsChild>
                <w:div w:id="29907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520">
      <w:marLeft w:val="0"/>
      <w:marRight w:val="0"/>
      <w:marTop w:val="0"/>
      <w:marBottom w:val="0"/>
      <w:divBdr>
        <w:top w:val="none" w:sz="0" w:space="0" w:color="auto"/>
        <w:left w:val="none" w:sz="0" w:space="0" w:color="auto"/>
        <w:bottom w:val="none" w:sz="0" w:space="0" w:color="auto"/>
        <w:right w:val="none" w:sz="0" w:space="0" w:color="auto"/>
      </w:divBdr>
      <w:divsChild>
        <w:div w:id="299073492">
          <w:marLeft w:val="0"/>
          <w:marRight w:val="0"/>
          <w:marTop w:val="0"/>
          <w:marBottom w:val="0"/>
          <w:divBdr>
            <w:top w:val="none" w:sz="0" w:space="0" w:color="auto"/>
            <w:left w:val="none" w:sz="0" w:space="0" w:color="auto"/>
            <w:bottom w:val="none" w:sz="0" w:space="0" w:color="auto"/>
            <w:right w:val="none" w:sz="0" w:space="0" w:color="auto"/>
          </w:divBdr>
        </w:div>
        <w:div w:id="299073527">
          <w:marLeft w:val="0"/>
          <w:marRight w:val="0"/>
          <w:marTop w:val="0"/>
          <w:marBottom w:val="0"/>
          <w:divBdr>
            <w:top w:val="none" w:sz="0" w:space="0" w:color="auto"/>
            <w:left w:val="none" w:sz="0" w:space="0" w:color="auto"/>
            <w:bottom w:val="none" w:sz="0" w:space="0" w:color="auto"/>
            <w:right w:val="none" w:sz="0" w:space="0" w:color="auto"/>
          </w:divBdr>
          <w:divsChild>
            <w:div w:id="299073481">
              <w:marLeft w:val="0"/>
              <w:marRight w:val="0"/>
              <w:marTop w:val="0"/>
              <w:marBottom w:val="0"/>
              <w:divBdr>
                <w:top w:val="none" w:sz="0" w:space="0" w:color="auto"/>
                <w:left w:val="none" w:sz="0" w:space="0" w:color="auto"/>
                <w:bottom w:val="none" w:sz="0" w:space="0" w:color="auto"/>
                <w:right w:val="none" w:sz="0" w:space="0" w:color="auto"/>
              </w:divBdr>
            </w:div>
            <w:div w:id="299073508">
              <w:marLeft w:val="0"/>
              <w:marRight w:val="0"/>
              <w:marTop w:val="0"/>
              <w:marBottom w:val="0"/>
              <w:divBdr>
                <w:top w:val="none" w:sz="0" w:space="0" w:color="auto"/>
                <w:left w:val="none" w:sz="0" w:space="0" w:color="auto"/>
                <w:bottom w:val="none" w:sz="0" w:space="0" w:color="auto"/>
                <w:right w:val="none" w:sz="0" w:space="0" w:color="auto"/>
              </w:divBdr>
              <w:divsChild>
                <w:div w:id="299073479">
                  <w:marLeft w:val="0"/>
                  <w:marRight w:val="0"/>
                  <w:marTop w:val="0"/>
                  <w:marBottom w:val="0"/>
                  <w:divBdr>
                    <w:top w:val="none" w:sz="0" w:space="0" w:color="auto"/>
                    <w:left w:val="none" w:sz="0" w:space="0" w:color="auto"/>
                    <w:bottom w:val="none" w:sz="0" w:space="0" w:color="auto"/>
                    <w:right w:val="none" w:sz="0" w:space="0" w:color="auto"/>
                  </w:divBdr>
                </w:div>
              </w:divsChild>
            </w:div>
            <w:div w:id="299073525">
              <w:marLeft w:val="0"/>
              <w:marRight w:val="0"/>
              <w:marTop w:val="0"/>
              <w:marBottom w:val="0"/>
              <w:divBdr>
                <w:top w:val="none" w:sz="0" w:space="0" w:color="auto"/>
                <w:left w:val="none" w:sz="0" w:space="0" w:color="auto"/>
                <w:bottom w:val="none" w:sz="0" w:space="0" w:color="auto"/>
                <w:right w:val="none" w:sz="0" w:space="0" w:color="auto"/>
              </w:divBdr>
              <w:divsChild>
                <w:div w:id="299073490">
                  <w:marLeft w:val="0"/>
                  <w:marRight w:val="0"/>
                  <w:marTop w:val="0"/>
                  <w:marBottom w:val="0"/>
                  <w:divBdr>
                    <w:top w:val="none" w:sz="0" w:space="0" w:color="auto"/>
                    <w:left w:val="none" w:sz="0" w:space="0" w:color="auto"/>
                    <w:bottom w:val="none" w:sz="0" w:space="0" w:color="auto"/>
                    <w:right w:val="none" w:sz="0" w:space="0" w:color="auto"/>
                  </w:divBdr>
                </w:div>
              </w:divsChild>
            </w:div>
            <w:div w:id="299073532">
              <w:marLeft w:val="0"/>
              <w:marRight w:val="0"/>
              <w:marTop w:val="0"/>
              <w:marBottom w:val="0"/>
              <w:divBdr>
                <w:top w:val="none" w:sz="0" w:space="0" w:color="auto"/>
                <w:left w:val="none" w:sz="0" w:space="0" w:color="auto"/>
                <w:bottom w:val="none" w:sz="0" w:space="0" w:color="auto"/>
                <w:right w:val="none" w:sz="0" w:space="0" w:color="auto"/>
              </w:divBdr>
              <w:divsChild>
                <w:div w:id="299073459">
                  <w:marLeft w:val="0"/>
                  <w:marRight w:val="0"/>
                  <w:marTop w:val="0"/>
                  <w:marBottom w:val="0"/>
                  <w:divBdr>
                    <w:top w:val="none" w:sz="0" w:space="0" w:color="auto"/>
                    <w:left w:val="none" w:sz="0" w:space="0" w:color="auto"/>
                    <w:bottom w:val="none" w:sz="0" w:space="0" w:color="auto"/>
                    <w:right w:val="none" w:sz="0" w:space="0" w:color="auto"/>
                  </w:divBdr>
                </w:div>
              </w:divsChild>
            </w:div>
            <w:div w:id="299073585">
              <w:marLeft w:val="0"/>
              <w:marRight w:val="0"/>
              <w:marTop w:val="0"/>
              <w:marBottom w:val="0"/>
              <w:divBdr>
                <w:top w:val="none" w:sz="0" w:space="0" w:color="auto"/>
                <w:left w:val="none" w:sz="0" w:space="0" w:color="auto"/>
                <w:bottom w:val="none" w:sz="0" w:space="0" w:color="auto"/>
                <w:right w:val="none" w:sz="0" w:space="0" w:color="auto"/>
              </w:divBdr>
              <w:divsChild>
                <w:div w:id="299073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541">
          <w:marLeft w:val="0"/>
          <w:marRight w:val="0"/>
          <w:marTop w:val="0"/>
          <w:marBottom w:val="0"/>
          <w:divBdr>
            <w:top w:val="none" w:sz="0" w:space="0" w:color="auto"/>
            <w:left w:val="none" w:sz="0" w:space="0" w:color="auto"/>
            <w:bottom w:val="none" w:sz="0" w:space="0" w:color="auto"/>
            <w:right w:val="none" w:sz="0" w:space="0" w:color="auto"/>
          </w:divBdr>
          <w:divsChild>
            <w:div w:id="299073517">
              <w:marLeft w:val="0"/>
              <w:marRight w:val="0"/>
              <w:marTop w:val="0"/>
              <w:marBottom w:val="0"/>
              <w:divBdr>
                <w:top w:val="none" w:sz="0" w:space="0" w:color="auto"/>
                <w:left w:val="none" w:sz="0" w:space="0" w:color="auto"/>
                <w:bottom w:val="none" w:sz="0" w:space="0" w:color="auto"/>
                <w:right w:val="none" w:sz="0" w:space="0" w:color="auto"/>
              </w:divBdr>
              <w:divsChild>
                <w:div w:id="299073461">
                  <w:marLeft w:val="0"/>
                  <w:marRight w:val="0"/>
                  <w:marTop w:val="0"/>
                  <w:marBottom w:val="0"/>
                  <w:divBdr>
                    <w:top w:val="none" w:sz="0" w:space="0" w:color="auto"/>
                    <w:left w:val="none" w:sz="0" w:space="0" w:color="auto"/>
                    <w:bottom w:val="none" w:sz="0" w:space="0" w:color="auto"/>
                    <w:right w:val="none" w:sz="0" w:space="0" w:color="auto"/>
                  </w:divBdr>
                </w:div>
                <w:div w:id="299073471">
                  <w:marLeft w:val="0"/>
                  <w:marRight w:val="0"/>
                  <w:marTop w:val="0"/>
                  <w:marBottom w:val="0"/>
                  <w:divBdr>
                    <w:top w:val="none" w:sz="0" w:space="0" w:color="auto"/>
                    <w:left w:val="none" w:sz="0" w:space="0" w:color="auto"/>
                    <w:bottom w:val="none" w:sz="0" w:space="0" w:color="auto"/>
                    <w:right w:val="none" w:sz="0" w:space="0" w:color="auto"/>
                  </w:divBdr>
                </w:div>
                <w:div w:id="299073575">
                  <w:marLeft w:val="0"/>
                  <w:marRight w:val="0"/>
                  <w:marTop w:val="0"/>
                  <w:marBottom w:val="0"/>
                  <w:divBdr>
                    <w:top w:val="none" w:sz="0" w:space="0" w:color="auto"/>
                    <w:left w:val="none" w:sz="0" w:space="0" w:color="auto"/>
                    <w:bottom w:val="none" w:sz="0" w:space="0" w:color="auto"/>
                    <w:right w:val="none" w:sz="0" w:space="0" w:color="auto"/>
                  </w:divBdr>
                  <w:divsChild>
                    <w:div w:id="29907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531">
              <w:marLeft w:val="0"/>
              <w:marRight w:val="0"/>
              <w:marTop w:val="0"/>
              <w:marBottom w:val="0"/>
              <w:divBdr>
                <w:top w:val="none" w:sz="0" w:space="0" w:color="auto"/>
                <w:left w:val="none" w:sz="0" w:space="0" w:color="auto"/>
                <w:bottom w:val="none" w:sz="0" w:space="0" w:color="auto"/>
                <w:right w:val="none" w:sz="0" w:space="0" w:color="auto"/>
              </w:divBdr>
            </w:div>
            <w:div w:id="299073559">
              <w:marLeft w:val="0"/>
              <w:marRight w:val="0"/>
              <w:marTop w:val="0"/>
              <w:marBottom w:val="0"/>
              <w:divBdr>
                <w:top w:val="none" w:sz="0" w:space="0" w:color="auto"/>
                <w:left w:val="none" w:sz="0" w:space="0" w:color="auto"/>
                <w:bottom w:val="none" w:sz="0" w:space="0" w:color="auto"/>
                <w:right w:val="none" w:sz="0" w:space="0" w:color="auto"/>
              </w:divBdr>
              <w:divsChild>
                <w:div w:id="299073504">
                  <w:marLeft w:val="0"/>
                  <w:marRight w:val="0"/>
                  <w:marTop w:val="0"/>
                  <w:marBottom w:val="0"/>
                  <w:divBdr>
                    <w:top w:val="none" w:sz="0" w:space="0" w:color="auto"/>
                    <w:left w:val="none" w:sz="0" w:space="0" w:color="auto"/>
                    <w:bottom w:val="none" w:sz="0" w:space="0" w:color="auto"/>
                    <w:right w:val="none" w:sz="0" w:space="0" w:color="auto"/>
                  </w:divBdr>
                </w:div>
                <w:div w:id="29907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544">
          <w:marLeft w:val="0"/>
          <w:marRight w:val="0"/>
          <w:marTop w:val="0"/>
          <w:marBottom w:val="0"/>
          <w:divBdr>
            <w:top w:val="none" w:sz="0" w:space="0" w:color="auto"/>
            <w:left w:val="none" w:sz="0" w:space="0" w:color="auto"/>
            <w:bottom w:val="none" w:sz="0" w:space="0" w:color="auto"/>
            <w:right w:val="none" w:sz="0" w:space="0" w:color="auto"/>
          </w:divBdr>
          <w:divsChild>
            <w:div w:id="299073499">
              <w:marLeft w:val="0"/>
              <w:marRight w:val="0"/>
              <w:marTop w:val="0"/>
              <w:marBottom w:val="0"/>
              <w:divBdr>
                <w:top w:val="none" w:sz="0" w:space="0" w:color="auto"/>
                <w:left w:val="none" w:sz="0" w:space="0" w:color="auto"/>
                <w:bottom w:val="none" w:sz="0" w:space="0" w:color="auto"/>
                <w:right w:val="none" w:sz="0" w:space="0" w:color="auto"/>
              </w:divBdr>
              <w:divsChild>
                <w:div w:id="299073457">
                  <w:marLeft w:val="0"/>
                  <w:marRight w:val="0"/>
                  <w:marTop w:val="0"/>
                  <w:marBottom w:val="0"/>
                  <w:divBdr>
                    <w:top w:val="none" w:sz="0" w:space="0" w:color="auto"/>
                    <w:left w:val="none" w:sz="0" w:space="0" w:color="auto"/>
                    <w:bottom w:val="none" w:sz="0" w:space="0" w:color="auto"/>
                    <w:right w:val="none" w:sz="0" w:space="0" w:color="auto"/>
                  </w:divBdr>
                </w:div>
                <w:div w:id="299073458">
                  <w:marLeft w:val="0"/>
                  <w:marRight w:val="0"/>
                  <w:marTop w:val="0"/>
                  <w:marBottom w:val="0"/>
                  <w:divBdr>
                    <w:top w:val="none" w:sz="0" w:space="0" w:color="auto"/>
                    <w:left w:val="none" w:sz="0" w:space="0" w:color="auto"/>
                    <w:bottom w:val="none" w:sz="0" w:space="0" w:color="auto"/>
                    <w:right w:val="none" w:sz="0" w:space="0" w:color="auto"/>
                  </w:divBdr>
                  <w:divsChild>
                    <w:div w:id="299073573">
                      <w:marLeft w:val="0"/>
                      <w:marRight w:val="0"/>
                      <w:marTop w:val="0"/>
                      <w:marBottom w:val="0"/>
                      <w:divBdr>
                        <w:top w:val="none" w:sz="0" w:space="0" w:color="auto"/>
                        <w:left w:val="none" w:sz="0" w:space="0" w:color="auto"/>
                        <w:bottom w:val="none" w:sz="0" w:space="0" w:color="auto"/>
                        <w:right w:val="none" w:sz="0" w:space="0" w:color="auto"/>
                      </w:divBdr>
                    </w:div>
                  </w:divsChild>
                </w:div>
                <w:div w:id="299073462">
                  <w:marLeft w:val="0"/>
                  <w:marRight w:val="0"/>
                  <w:marTop w:val="0"/>
                  <w:marBottom w:val="0"/>
                  <w:divBdr>
                    <w:top w:val="none" w:sz="0" w:space="0" w:color="auto"/>
                    <w:left w:val="none" w:sz="0" w:space="0" w:color="auto"/>
                    <w:bottom w:val="none" w:sz="0" w:space="0" w:color="auto"/>
                    <w:right w:val="none" w:sz="0" w:space="0" w:color="auto"/>
                  </w:divBdr>
                  <w:divsChild>
                    <w:div w:id="299073460">
                      <w:marLeft w:val="0"/>
                      <w:marRight w:val="0"/>
                      <w:marTop w:val="0"/>
                      <w:marBottom w:val="0"/>
                      <w:divBdr>
                        <w:top w:val="none" w:sz="0" w:space="0" w:color="auto"/>
                        <w:left w:val="none" w:sz="0" w:space="0" w:color="auto"/>
                        <w:bottom w:val="none" w:sz="0" w:space="0" w:color="auto"/>
                        <w:right w:val="none" w:sz="0" w:space="0" w:color="auto"/>
                      </w:divBdr>
                    </w:div>
                  </w:divsChild>
                </w:div>
                <w:div w:id="299073466">
                  <w:marLeft w:val="0"/>
                  <w:marRight w:val="0"/>
                  <w:marTop w:val="0"/>
                  <w:marBottom w:val="0"/>
                  <w:divBdr>
                    <w:top w:val="none" w:sz="0" w:space="0" w:color="auto"/>
                    <w:left w:val="none" w:sz="0" w:space="0" w:color="auto"/>
                    <w:bottom w:val="none" w:sz="0" w:space="0" w:color="auto"/>
                    <w:right w:val="none" w:sz="0" w:space="0" w:color="auto"/>
                  </w:divBdr>
                </w:div>
                <w:div w:id="299073467">
                  <w:marLeft w:val="0"/>
                  <w:marRight w:val="0"/>
                  <w:marTop w:val="0"/>
                  <w:marBottom w:val="0"/>
                  <w:divBdr>
                    <w:top w:val="none" w:sz="0" w:space="0" w:color="auto"/>
                    <w:left w:val="none" w:sz="0" w:space="0" w:color="auto"/>
                    <w:bottom w:val="none" w:sz="0" w:space="0" w:color="auto"/>
                    <w:right w:val="none" w:sz="0" w:space="0" w:color="auto"/>
                  </w:divBdr>
                </w:div>
                <w:div w:id="299073469">
                  <w:marLeft w:val="0"/>
                  <w:marRight w:val="0"/>
                  <w:marTop w:val="0"/>
                  <w:marBottom w:val="0"/>
                  <w:divBdr>
                    <w:top w:val="none" w:sz="0" w:space="0" w:color="auto"/>
                    <w:left w:val="none" w:sz="0" w:space="0" w:color="auto"/>
                    <w:bottom w:val="none" w:sz="0" w:space="0" w:color="auto"/>
                    <w:right w:val="none" w:sz="0" w:space="0" w:color="auto"/>
                  </w:divBdr>
                  <w:divsChild>
                    <w:div w:id="299073584">
                      <w:marLeft w:val="0"/>
                      <w:marRight w:val="0"/>
                      <w:marTop w:val="0"/>
                      <w:marBottom w:val="0"/>
                      <w:divBdr>
                        <w:top w:val="none" w:sz="0" w:space="0" w:color="auto"/>
                        <w:left w:val="none" w:sz="0" w:space="0" w:color="auto"/>
                        <w:bottom w:val="none" w:sz="0" w:space="0" w:color="auto"/>
                        <w:right w:val="none" w:sz="0" w:space="0" w:color="auto"/>
                      </w:divBdr>
                    </w:div>
                  </w:divsChild>
                </w:div>
                <w:div w:id="299073470">
                  <w:marLeft w:val="0"/>
                  <w:marRight w:val="0"/>
                  <w:marTop w:val="0"/>
                  <w:marBottom w:val="0"/>
                  <w:divBdr>
                    <w:top w:val="none" w:sz="0" w:space="0" w:color="auto"/>
                    <w:left w:val="none" w:sz="0" w:space="0" w:color="auto"/>
                    <w:bottom w:val="none" w:sz="0" w:space="0" w:color="auto"/>
                    <w:right w:val="none" w:sz="0" w:space="0" w:color="auto"/>
                  </w:divBdr>
                </w:div>
                <w:div w:id="299073474">
                  <w:marLeft w:val="0"/>
                  <w:marRight w:val="0"/>
                  <w:marTop w:val="0"/>
                  <w:marBottom w:val="0"/>
                  <w:divBdr>
                    <w:top w:val="none" w:sz="0" w:space="0" w:color="auto"/>
                    <w:left w:val="none" w:sz="0" w:space="0" w:color="auto"/>
                    <w:bottom w:val="none" w:sz="0" w:space="0" w:color="auto"/>
                    <w:right w:val="none" w:sz="0" w:space="0" w:color="auto"/>
                  </w:divBdr>
                  <w:divsChild>
                    <w:div w:id="299073543">
                      <w:marLeft w:val="0"/>
                      <w:marRight w:val="0"/>
                      <w:marTop w:val="0"/>
                      <w:marBottom w:val="0"/>
                      <w:divBdr>
                        <w:top w:val="none" w:sz="0" w:space="0" w:color="auto"/>
                        <w:left w:val="none" w:sz="0" w:space="0" w:color="auto"/>
                        <w:bottom w:val="none" w:sz="0" w:space="0" w:color="auto"/>
                        <w:right w:val="none" w:sz="0" w:space="0" w:color="auto"/>
                      </w:divBdr>
                      <w:divsChild>
                        <w:div w:id="299073494">
                          <w:marLeft w:val="0"/>
                          <w:marRight w:val="0"/>
                          <w:marTop w:val="0"/>
                          <w:marBottom w:val="0"/>
                          <w:divBdr>
                            <w:top w:val="none" w:sz="0" w:space="0" w:color="auto"/>
                            <w:left w:val="none" w:sz="0" w:space="0" w:color="auto"/>
                            <w:bottom w:val="none" w:sz="0" w:space="0" w:color="auto"/>
                            <w:right w:val="none" w:sz="0" w:space="0" w:color="auto"/>
                          </w:divBdr>
                          <w:divsChild>
                            <w:div w:id="29907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476">
                  <w:marLeft w:val="0"/>
                  <w:marRight w:val="0"/>
                  <w:marTop w:val="0"/>
                  <w:marBottom w:val="0"/>
                  <w:divBdr>
                    <w:top w:val="none" w:sz="0" w:space="0" w:color="auto"/>
                    <w:left w:val="none" w:sz="0" w:space="0" w:color="auto"/>
                    <w:bottom w:val="none" w:sz="0" w:space="0" w:color="auto"/>
                    <w:right w:val="none" w:sz="0" w:space="0" w:color="auto"/>
                  </w:divBdr>
                  <w:divsChild>
                    <w:div w:id="299073488">
                      <w:marLeft w:val="0"/>
                      <w:marRight w:val="0"/>
                      <w:marTop w:val="0"/>
                      <w:marBottom w:val="0"/>
                      <w:divBdr>
                        <w:top w:val="none" w:sz="0" w:space="0" w:color="auto"/>
                        <w:left w:val="none" w:sz="0" w:space="0" w:color="auto"/>
                        <w:bottom w:val="none" w:sz="0" w:space="0" w:color="auto"/>
                        <w:right w:val="none" w:sz="0" w:space="0" w:color="auto"/>
                      </w:divBdr>
                    </w:div>
                  </w:divsChild>
                </w:div>
                <w:div w:id="299073478">
                  <w:marLeft w:val="0"/>
                  <w:marRight w:val="0"/>
                  <w:marTop w:val="0"/>
                  <w:marBottom w:val="0"/>
                  <w:divBdr>
                    <w:top w:val="none" w:sz="0" w:space="0" w:color="auto"/>
                    <w:left w:val="none" w:sz="0" w:space="0" w:color="auto"/>
                    <w:bottom w:val="none" w:sz="0" w:space="0" w:color="auto"/>
                    <w:right w:val="none" w:sz="0" w:space="0" w:color="auto"/>
                  </w:divBdr>
                </w:div>
                <w:div w:id="299073480">
                  <w:marLeft w:val="0"/>
                  <w:marRight w:val="0"/>
                  <w:marTop w:val="0"/>
                  <w:marBottom w:val="0"/>
                  <w:divBdr>
                    <w:top w:val="none" w:sz="0" w:space="0" w:color="auto"/>
                    <w:left w:val="none" w:sz="0" w:space="0" w:color="auto"/>
                    <w:bottom w:val="none" w:sz="0" w:space="0" w:color="auto"/>
                    <w:right w:val="none" w:sz="0" w:space="0" w:color="auto"/>
                  </w:divBdr>
                </w:div>
                <w:div w:id="299073485">
                  <w:marLeft w:val="0"/>
                  <w:marRight w:val="0"/>
                  <w:marTop w:val="0"/>
                  <w:marBottom w:val="0"/>
                  <w:divBdr>
                    <w:top w:val="none" w:sz="0" w:space="0" w:color="auto"/>
                    <w:left w:val="none" w:sz="0" w:space="0" w:color="auto"/>
                    <w:bottom w:val="none" w:sz="0" w:space="0" w:color="auto"/>
                    <w:right w:val="none" w:sz="0" w:space="0" w:color="auto"/>
                  </w:divBdr>
                </w:div>
                <w:div w:id="299073495">
                  <w:marLeft w:val="0"/>
                  <w:marRight w:val="0"/>
                  <w:marTop w:val="0"/>
                  <w:marBottom w:val="0"/>
                  <w:divBdr>
                    <w:top w:val="none" w:sz="0" w:space="0" w:color="auto"/>
                    <w:left w:val="none" w:sz="0" w:space="0" w:color="auto"/>
                    <w:bottom w:val="none" w:sz="0" w:space="0" w:color="auto"/>
                    <w:right w:val="none" w:sz="0" w:space="0" w:color="auto"/>
                  </w:divBdr>
                  <w:divsChild>
                    <w:div w:id="299073580">
                      <w:marLeft w:val="0"/>
                      <w:marRight w:val="0"/>
                      <w:marTop w:val="0"/>
                      <w:marBottom w:val="0"/>
                      <w:divBdr>
                        <w:top w:val="none" w:sz="0" w:space="0" w:color="auto"/>
                        <w:left w:val="none" w:sz="0" w:space="0" w:color="auto"/>
                        <w:bottom w:val="none" w:sz="0" w:space="0" w:color="auto"/>
                        <w:right w:val="none" w:sz="0" w:space="0" w:color="auto"/>
                      </w:divBdr>
                    </w:div>
                  </w:divsChild>
                </w:div>
                <w:div w:id="299073502">
                  <w:marLeft w:val="0"/>
                  <w:marRight w:val="0"/>
                  <w:marTop w:val="0"/>
                  <w:marBottom w:val="0"/>
                  <w:divBdr>
                    <w:top w:val="none" w:sz="0" w:space="0" w:color="auto"/>
                    <w:left w:val="none" w:sz="0" w:space="0" w:color="auto"/>
                    <w:bottom w:val="none" w:sz="0" w:space="0" w:color="auto"/>
                    <w:right w:val="none" w:sz="0" w:space="0" w:color="auto"/>
                  </w:divBdr>
                </w:div>
                <w:div w:id="299073507">
                  <w:marLeft w:val="0"/>
                  <w:marRight w:val="0"/>
                  <w:marTop w:val="0"/>
                  <w:marBottom w:val="0"/>
                  <w:divBdr>
                    <w:top w:val="none" w:sz="0" w:space="0" w:color="auto"/>
                    <w:left w:val="none" w:sz="0" w:space="0" w:color="auto"/>
                    <w:bottom w:val="none" w:sz="0" w:space="0" w:color="auto"/>
                    <w:right w:val="none" w:sz="0" w:space="0" w:color="auto"/>
                  </w:divBdr>
                  <w:divsChild>
                    <w:div w:id="299073537">
                      <w:marLeft w:val="0"/>
                      <w:marRight w:val="0"/>
                      <w:marTop w:val="0"/>
                      <w:marBottom w:val="0"/>
                      <w:divBdr>
                        <w:top w:val="none" w:sz="0" w:space="0" w:color="auto"/>
                        <w:left w:val="none" w:sz="0" w:space="0" w:color="auto"/>
                        <w:bottom w:val="none" w:sz="0" w:space="0" w:color="auto"/>
                        <w:right w:val="none" w:sz="0" w:space="0" w:color="auto"/>
                      </w:divBdr>
                    </w:div>
                  </w:divsChild>
                </w:div>
                <w:div w:id="299073519">
                  <w:marLeft w:val="0"/>
                  <w:marRight w:val="0"/>
                  <w:marTop w:val="0"/>
                  <w:marBottom w:val="0"/>
                  <w:divBdr>
                    <w:top w:val="none" w:sz="0" w:space="0" w:color="auto"/>
                    <w:left w:val="none" w:sz="0" w:space="0" w:color="auto"/>
                    <w:bottom w:val="none" w:sz="0" w:space="0" w:color="auto"/>
                    <w:right w:val="none" w:sz="0" w:space="0" w:color="auto"/>
                  </w:divBdr>
                </w:div>
                <w:div w:id="299073521">
                  <w:marLeft w:val="0"/>
                  <w:marRight w:val="0"/>
                  <w:marTop w:val="0"/>
                  <w:marBottom w:val="0"/>
                  <w:divBdr>
                    <w:top w:val="none" w:sz="0" w:space="0" w:color="auto"/>
                    <w:left w:val="none" w:sz="0" w:space="0" w:color="auto"/>
                    <w:bottom w:val="none" w:sz="0" w:space="0" w:color="auto"/>
                    <w:right w:val="none" w:sz="0" w:space="0" w:color="auto"/>
                  </w:divBdr>
                  <w:divsChild>
                    <w:div w:id="299073464">
                      <w:marLeft w:val="0"/>
                      <w:marRight w:val="0"/>
                      <w:marTop w:val="0"/>
                      <w:marBottom w:val="0"/>
                      <w:divBdr>
                        <w:top w:val="none" w:sz="0" w:space="0" w:color="auto"/>
                        <w:left w:val="none" w:sz="0" w:space="0" w:color="auto"/>
                        <w:bottom w:val="none" w:sz="0" w:space="0" w:color="auto"/>
                        <w:right w:val="none" w:sz="0" w:space="0" w:color="auto"/>
                      </w:divBdr>
                    </w:div>
                    <w:div w:id="299073503">
                      <w:marLeft w:val="0"/>
                      <w:marRight w:val="0"/>
                      <w:marTop w:val="0"/>
                      <w:marBottom w:val="0"/>
                      <w:divBdr>
                        <w:top w:val="none" w:sz="0" w:space="0" w:color="auto"/>
                        <w:left w:val="none" w:sz="0" w:space="0" w:color="auto"/>
                        <w:bottom w:val="none" w:sz="0" w:space="0" w:color="auto"/>
                        <w:right w:val="none" w:sz="0" w:space="0" w:color="auto"/>
                      </w:divBdr>
                    </w:div>
                  </w:divsChild>
                </w:div>
                <w:div w:id="299073523">
                  <w:marLeft w:val="0"/>
                  <w:marRight w:val="0"/>
                  <w:marTop w:val="0"/>
                  <w:marBottom w:val="0"/>
                  <w:divBdr>
                    <w:top w:val="none" w:sz="0" w:space="0" w:color="auto"/>
                    <w:left w:val="none" w:sz="0" w:space="0" w:color="auto"/>
                    <w:bottom w:val="none" w:sz="0" w:space="0" w:color="auto"/>
                    <w:right w:val="none" w:sz="0" w:space="0" w:color="auto"/>
                  </w:divBdr>
                </w:div>
                <w:div w:id="299073526">
                  <w:marLeft w:val="0"/>
                  <w:marRight w:val="0"/>
                  <w:marTop w:val="0"/>
                  <w:marBottom w:val="0"/>
                  <w:divBdr>
                    <w:top w:val="none" w:sz="0" w:space="0" w:color="auto"/>
                    <w:left w:val="none" w:sz="0" w:space="0" w:color="auto"/>
                    <w:bottom w:val="none" w:sz="0" w:space="0" w:color="auto"/>
                    <w:right w:val="none" w:sz="0" w:space="0" w:color="auto"/>
                  </w:divBdr>
                </w:div>
                <w:div w:id="299073528">
                  <w:marLeft w:val="0"/>
                  <w:marRight w:val="0"/>
                  <w:marTop w:val="0"/>
                  <w:marBottom w:val="0"/>
                  <w:divBdr>
                    <w:top w:val="none" w:sz="0" w:space="0" w:color="auto"/>
                    <w:left w:val="none" w:sz="0" w:space="0" w:color="auto"/>
                    <w:bottom w:val="none" w:sz="0" w:space="0" w:color="auto"/>
                    <w:right w:val="none" w:sz="0" w:space="0" w:color="auto"/>
                  </w:divBdr>
                  <w:divsChild>
                    <w:div w:id="299073522">
                      <w:marLeft w:val="0"/>
                      <w:marRight w:val="0"/>
                      <w:marTop w:val="0"/>
                      <w:marBottom w:val="0"/>
                      <w:divBdr>
                        <w:top w:val="none" w:sz="0" w:space="0" w:color="auto"/>
                        <w:left w:val="none" w:sz="0" w:space="0" w:color="auto"/>
                        <w:bottom w:val="none" w:sz="0" w:space="0" w:color="auto"/>
                        <w:right w:val="none" w:sz="0" w:space="0" w:color="auto"/>
                      </w:divBdr>
                    </w:div>
                  </w:divsChild>
                </w:div>
                <w:div w:id="299073545">
                  <w:marLeft w:val="0"/>
                  <w:marRight w:val="0"/>
                  <w:marTop w:val="0"/>
                  <w:marBottom w:val="0"/>
                  <w:divBdr>
                    <w:top w:val="none" w:sz="0" w:space="0" w:color="auto"/>
                    <w:left w:val="none" w:sz="0" w:space="0" w:color="auto"/>
                    <w:bottom w:val="none" w:sz="0" w:space="0" w:color="auto"/>
                    <w:right w:val="none" w:sz="0" w:space="0" w:color="auto"/>
                  </w:divBdr>
                  <w:divsChild>
                    <w:div w:id="299073576">
                      <w:marLeft w:val="0"/>
                      <w:marRight w:val="0"/>
                      <w:marTop w:val="0"/>
                      <w:marBottom w:val="0"/>
                      <w:divBdr>
                        <w:top w:val="none" w:sz="0" w:space="0" w:color="auto"/>
                        <w:left w:val="none" w:sz="0" w:space="0" w:color="auto"/>
                        <w:bottom w:val="none" w:sz="0" w:space="0" w:color="auto"/>
                        <w:right w:val="none" w:sz="0" w:space="0" w:color="auto"/>
                      </w:divBdr>
                    </w:div>
                  </w:divsChild>
                </w:div>
                <w:div w:id="299073548">
                  <w:marLeft w:val="0"/>
                  <w:marRight w:val="0"/>
                  <w:marTop w:val="0"/>
                  <w:marBottom w:val="0"/>
                  <w:divBdr>
                    <w:top w:val="none" w:sz="0" w:space="0" w:color="auto"/>
                    <w:left w:val="none" w:sz="0" w:space="0" w:color="auto"/>
                    <w:bottom w:val="none" w:sz="0" w:space="0" w:color="auto"/>
                    <w:right w:val="none" w:sz="0" w:space="0" w:color="auto"/>
                  </w:divBdr>
                </w:div>
                <w:div w:id="299073552">
                  <w:marLeft w:val="0"/>
                  <w:marRight w:val="0"/>
                  <w:marTop w:val="0"/>
                  <w:marBottom w:val="0"/>
                  <w:divBdr>
                    <w:top w:val="none" w:sz="0" w:space="0" w:color="auto"/>
                    <w:left w:val="none" w:sz="0" w:space="0" w:color="auto"/>
                    <w:bottom w:val="none" w:sz="0" w:space="0" w:color="auto"/>
                    <w:right w:val="none" w:sz="0" w:space="0" w:color="auto"/>
                  </w:divBdr>
                </w:div>
                <w:div w:id="299073558">
                  <w:marLeft w:val="0"/>
                  <w:marRight w:val="0"/>
                  <w:marTop w:val="0"/>
                  <w:marBottom w:val="0"/>
                  <w:divBdr>
                    <w:top w:val="none" w:sz="0" w:space="0" w:color="auto"/>
                    <w:left w:val="none" w:sz="0" w:space="0" w:color="auto"/>
                    <w:bottom w:val="none" w:sz="0" w:space="0" w:color="auto"/>
                    <w:right w:val="none" w:sz="0" w:space="0" w:color="auto"/>
                  </w:divBdr>
                  <w:divsChild>
                    <w:div w:id="299073509">
                      <w:marLeft w:val="0"/>
                      <w:marRight w:val="0"/>
                      <w:marTop w:val="0"/>
                      <w:marBottom w:val="0"/>
                      <w:divBdr>
                        <w:top w:val="none" w:sz="0" w:space="0" w:color="auto"/>
                        <w:left w:val="none" w:sz="0" w:space="0" w:color="auto"/>
                        <w:bottom w:val="none" w:sz="0" w:space="0" w:color="auto"/>
                        <w:right w:val="none" w:sz="0" w:space="0" w:color="auto"/>
                      </w:divBdr>
                    </w:div>
                  </w:divsChild>
                </w:div>
                <w:div w:id="299073563">
                  <w:marLeft w:val="0"/>
                  <w:marRight w:val="0"/>
                  <w:marTop w:val="0"/>
                  <w:marBottom w:val="0"/>
                  <w:divBdr>
                    <w:top w:val="none" w:sz="0" w:space="0" w:color="auto"/>
                    <w:left w:val="none" w:sz="0" w:space="0" w:color="auto"/>
                    <w:bottom w:val="none" w:sz="0" w:space="0" w:color="auto"/>
                    <w:right w:val="none" w:sz="0" w:space="0" w:color="auto"/>
                  </w:divBdr>
                  <w:divsChild>
                    <w:div w:id="299073562">
                      <w:marLeft w:val="0"/>
                      <w:marRight w:val="0"/>
                      <w:marTop w:val="0"/>
                      <w:marBottom w:val="0"/>
                      <w:divBdr>
                        <w:top w:val="none" w:sz="0" w:space="0" w:color="auto"/>
                        <w:left w:val="none" w:sz="0" w:space="0" w:color="auto"/>
                        <w:bottom w:val="none" w:sz="0" w:space="0" w:color="auto"/>
                        <w:right w:val="none" w:sz="0" w:space="0" w:color="auto"/>
                      </w:divBdr>
                    </w:div>
                  </w:divsChild>
                </w:div>
                <w:div w:id="299073565">
                  <w:marLeft w:val="0"/>
                  <w:marRight w:val="0"/>
                  <w:marTop w:val="0"/>
                  <w:marBottom w:val="0"/>
                  <w:divBdr>
                    <w:top w:val="none" w:sz="0" w:space="0" w:color="auto"/>
                    <w:left w:val="none" w:sz="0" w:space="0" w:color="auto"/>
                    <w:bottom w:val="none" w:sz="0" w:space="0" w:color="auto"/>
                    <w:right w:val="none" w:sz="0" w:space="0" w:color="auto"/>
                  </w:divBdr>
                  <w:divsChild>
                    <w:div w:id="299073454">
                      <w:marLeft w:val="0"/>
                      <w:marRight w:val="0"/>
                      <w:marTop w:val="0"/>
                      <w:marBottom w:val="0"/>
                      <w:divBdr>
                        <w:top w:val="none" w:sz="0" w:space="0" w:color="auto"/>
                        <w:left w:val="none" w:sz="0" w:space="0" w:color="auto"/>
                        <w:bottom w:val="none" w:sz="0" w:space="0" w:color="auto"/>
                        <w:right w:val="none" w:sz="0" w:space="0" w:color="auto"/>
                      </w:divBdr>
                    </w:div>
                  </w:divsChild>
                </w:div>
                <w:div w:id="299073569">
                  <w:marLeft w:val="0"/>
                  <w:marRight w:val="0"/>
                  <w:marTop w:val="0"/>
                  <w:marBottom w:val="0"/>
                  <w:divBdr>
                    <w:top w:val="none" w:sz="0" w:space="0" w:color="auto"/>
                    <w:left w:val="none" w:sz="0" w:space="0" w:color="auto"/>
                    <w:bottom w:val="none" w:sz="0" w:space="0" w:color="auto"/>
                    <w:right w:val="none" w:sz="0" w:space="0" w:color="auto"/>
                  </w:divBdr>
                  <w:divsChild>
                    <w:div w:id="299073484">
                      <w:marLeft w:val="0"/>
                      <w:marRight w:val="0"/>
                      <w:marTop w:val="0"/>
                      <w:marBottom w:val="0"/>
                      <w:divBdr>
                        <w:top w:val="none" w:sz="0" w:space="0" w:color="auto"/>
                        <w:left w:val="none" w:sz="0" w:space="0" w:color="auto"/>
                        <w:bottom w:val="none" w:sz="0" w:space="0" w:color="auto"/>
                        <w:right w:val="none" w:sz="0" w:space="0" w:color="auto"/>
                      </w:divBdr>
                    </w:div>
                  </w:divsChild>
                </w:div>
                <w:div w:id="29907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560">
      <w:marLeft w:val="0"/>
      <w:marRight w:val="0"/>
      <w:marTop w:val="0"/>
      <w:marBottom w:val="0"/>
      <w:divBdr>
        <w:top w:val="none" w:sz="0" w:space="0" w:color="auto"/>
        <w:left w:val="none" w:sz="0" w:space="0" w:color="auto"/>
        <w:bottom w:val="none" w:sz="0" w:space="0" w:color="auto"/>
        <w:right w:val="none" w:sz="0" w:space="0" w:color="auto"/>
      </w:divBdr>
      <w:divsChild>
        <w:div w:id="299073556">
          <w:marLeft w:val="0"/>
          <w:marRight w:val="0"/>
          <w:marTop w:val="0"/>
          <w:marBottom w:val="0"/>
          <w:divBdr>
            <w:top w:val="none" w:sz="0" w:space="0" w:color="auto"/>
            <w:left w:val="none" w:sz="0" w:space="0" w:color="auto"/>
            <w:bottom w:val="none" w:sz="0" w:space="0" w:color="auto"/>
            <w:right w:val="none" w:sz="0" w:space="0" w:color="auto"/>
          </w:divBdr>
          <w:divsChild>
            <w:div w:id="299073549">
              <w:marLeft w:val="0"/>
              <w:marRight w:val="0"/>
              <w:marTop w:val="0"/>
              <w:marBottom w:val="0"/>
              <w:divBdr>
                <w:top w:val="none" w:sz="0" w:space="0" w:color="auto"/>
                <w:left w:val="none" w:sz="0" w:space="0" w:color="auto"/>
                <w:bottom w:val="none" w:sz="0" w:space="0" w:color="auto"/>
                <w:right w:val="none" w:sz="0" w:space="0" w:color="auto"/>
              </w:divBdr>
              <w:divsChild>
                <w:div w:id="299073475">
                  <w:marLeft w:val="0"/>
                  <w:marRight w:val="0"/>
                  <w:marTop w:val="0"/>
                  <w:marBottom w:val="0"/>
                  <w:divBdr>
                    <w:top w:val="none" w:sz="0" w:space="0" w:color="auto"/>
                    <w:left w:val="none" w:sz="0" w:space="0" w:color="auto"/>
                    <w:bottom w:val="none" w:sz="0" w:space="0" w:color="auto"/>
                    <w:right w:val="none" w:sz="0" w:space="0" w:color="auto"/>
                  </w:divBdr>
                  <w:divsChild>
                    <w:div w:id="299073539">
                      <w:marLeft w:val="0"/>
                      <w:marRight w:val="0"/>
                      <w:marTop w:val="0"/>
                      <w:marBottom w:val="0"/>
                      <w:divBdr>
                        <w:top w:val="none" w:sz="0" w:space="0" w:color="auto"/>
                        <w:left w:val="none" w:sz="0" w:space="0" w:color="auto"/>
                        <w:bottom w:val="none" w:sz="0" w:space="0" w:color="auto"/>
                        <w:right w:val="none" w:sz="0" w:space="0" w:color="auto"/>
                      </w:divBdr>
                      <w:divsChild>
                        <w:div w:id="299073477">
                          <w:marLeft w:val="0"/>
                          <w:marRight w:val="0"/>
                          <w:marTop w:val="0"/>
                          <w:marBottom w:val="0"/>
                          <w:divBdr>
                            <w:top w:val="none" w:sz="0" w:space="0" w:color="auto"/>
                            <w:left w:val="none" w:sz="0" w:space="0" w:color="auto"/>
                            <w:bottom w:val="none" w:sz="0" w:space="0" w:color="auto"/>
                            <w:right w:val="none" w:sz="0" w:space="0" w:color="auto"/>
                          </w:divBdr>
                          <w:divsChild>
                            <w:div w:id="29907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510">
                  <w:marLeft w:val="0"/>
                  <w:marRight w:val="0"/>
                  <w:marTop w:val="0"/>
                  <w:marBottom w:val="0"/>
                  <w:divBdr>
                    <w:top w:val="none" w:sz="0" w:space="0" w:color="auto"/>
                    <w:left w:val="none" w:sz="0" w:space="0" w:color="auto"/>
                    <w:bottom w:val="none" w:sz="0" w:space="0" w:color="auto"/>
                    <w:right w:val="none" w:sz="0" w:space="0" w:color="auto"/>
                  </w:divBdr>
                  <w:divsChild>
                    <w:div w:id="299073535">
                      <w:marLeft w:val="0"/>
                      <w:marRight w:val="0"/>
                      <w:marTop w:val="0"/>
                      <w:marBottom w:val="0"/>
                      <w:divBdr>
                        <w:top w:val="none" w:sz="0" w:space="0" w:color="auto"/>
                        <w:left w:val="none" w:sz="0" w:space="0" w:color="auto"/>
                        <w:bottom w:val="none" w:sz="0" w:space="0" w:color="auto"/>
                        <w:right w:val="none" w:sz="0" w:space="0" w:color="auto"/>
                      </w:divBdr>
                      <w:divsChild>
                        <w:div w:id="299073453">
                          <w:marLeft w:val="0"/>
                          <w:marRight w:val="0"/>
                          <w:marTop w:val="0"/>
                          <w:marBottom w:val="0"/>
                          <w:divBdr>
                            <w:top w:val="none" w:sz="0" w:space="0" w:color="auto"/>
                            <w:left w:val="none" w:sz="0" w:space="0" w:color="auto"/>
                            <w:bottom w:val="none" w:sz="0" w:space="0" w:color="auto"/>
                            <w:right w:val="none" w:sz="0" w:space="0" w:color="auto"/>
                          </w:divBdr>
                          <w:divsChild>
                            <w:div w:id="299073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540">
                  <w:marLeft w:val="0"/>
                  <w:marRight w:val="0"/>
                  <w:marTop w:val="0"/>
                  <w:marBottom w:val="0"/>
                  <w:divBdr>
                    <w:top w:val="none" w:sz="0" w:space="0" w:color="auto"/>
                    <w:left w:val="none" w:sz="0" w:space="0" w:color="auto"/>
                    <w:bottom w:val="none" w:sz="0" w:space="0" w:color="auto"/>
                    <w:right w:val="none" w:sz="0" w:space="0" w:color="auto"/>
                  </w:divBdr>
                </w:div>
                <w:div w:id="299073555">
                  <w:marLeft w:val="0"/>
                  <w:marRight w:val="0"/>
                  <w:marTop w:val="0"/>
                  <w:marBottom w:val="0"/>
                  <w:divBdr>
                    <w:top w:val="none" w:sz="0" w:space="0" w:color="auto"/>
                    <w:left w:val="none" w:sz="0" w:space="0" w:color="auto"/>
                    <w:bottom w:val="none" w:sz="0" w:space="0" w:color="auto"/>
                    <w:right w:val="none" w:sz="0" w:space="0" w:color="auto"/>
                  </w:divBdr>
                </w:div>
                <w:div w:id="299073583">
                  <w:marLeft w:val="0"/>
                  <w:marRight w:val="0"/>
                  <w:marTop w:val="0"/>
                  <w:marBottom w:val="0"/>
                  <w:divBdr>
                    <w:top w:val="none" w:sz="0" w:space="0" w:color="auto"/>
                    <w:left w:val="none" w:sz="0" w:space="0" w:color="auto"/>
                    <w:bottom w:val="none" w:sz="0" w:space="0" w:color="auto"/>
                    <w:right w:val="none" w:sz="0" w:space="0" w:color="auto"/>
                  </w:divBdr>
                  <w:divsChild>
                    <w:div w:id="299073491">
                      <w:marLeft w:val="0"/>
                      <w:marRight w:val="0"/>
                      <w:marTop w:val="0"/>
                      <w:marBottom w:val="0"/>
                      <w:divBdr>
                        <w:top w:val="none" w:sz="0" w:space="0" w:color="auto"/>
                        <w:left w:val="none" w:sz="0" w:space="0" w:color="auto"/>
                        <w:bottom w:val="none" w:sz="0" w:space="0" w:color="auto"/>
                        <w:right w:val="none" w:sz="0" w:space="0" w:color="auto"/>
                      </w:divBdr>
                      <w:divsChild>
                        <w:div w:id="299073511">
                          <w:marLeft w:val="0"/>
                          <w:marRight w:val="0"/>
                          <w:marTop w:val="0"/>
                          <w:marBottom w:val="0"/>
                          <w:divBdr>
                            <w:top w:val="none" w:sz="0" w:space="0" w:color="auto"/>
                            <w:left w:val="none" w:sz="0" w:space="0" w:color="auto"/>
                            <w:bottom w:val="none" w:sz="0" w:space="0" w:color="auto"/>
                            <w:right w:val="none" w:sz="0" w:space="0" w:color="auto"/>
                          </w:divBdr>
                          <w:divsChild>
                            <w:div w:id="299073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9073568">
      <w:marLeft w:val="0"/>
      <w:marRight w:val="0"/>
      <w:marTop w:val="0"/>
      <w:marBottom w:val="0"/>
      <w:divBdr>
        <w:top w:val="none" w:sz="0" w:space="0" w:color="auto"/>
        <w:left w:val="none" w:sz="0" w:space="0" w:color="auto"/>
        <w:bottom w:val="none" w:sz="0" w:space="0" w:color="auto"/>
        <w:right w:val="none" w:sz="0" w:space="0" w:color="auto"/>
      </w:divBdr>
      <w:divsChild>
        <w:div w:id="299073518">
          <w:marLeft w:val="0"/>
          <w:marRight w:val="0"/>
          <w:marTop w:val="0"/>
          <w:marBottom w:val="0"/>
          <w:divBdr>
            <w:top w:val="none" w:sz="0" w:space="0" w:color="auto"/>
            <w:left w:val="none" w:sz="0" w:space="0" w:color="auto"/>
            <w:bottom w:val="none" w:sz="0" w:space="0" w:color="auto"/>
            <w:right w:val="none" w:sz="0" w:space="0" w:color="auto"/>
          </w:divBdr>
          <w:divsChild>
            <w:div w:id="29907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588">
      <w:marLeft w:val="0"/>
      <w:marRight w:val="0"/>
      <w:marTop w:val="0"/>
      <w:marBottom w:val="0"/>
      <w:divBdr>
        <w:top w:val="none" w:sz="0" w:space="0" w:color="auto"/>
        <w:left w:val="none" w:sz="0" w:space="0" w:color="auto"/>
        <w:bottom w:val="none" w:sz="0" w:space="0" w:color="auto"/>
        <w:right w:val="none" w:sz="0" w:space="0" w:color="auto"/>
      </w:divBdr>
      <w:divsChild>
        <w:div w:id="299073595">
          <w:marLeft w:val="0"/>
          <w:marRight w:val="0"/>
          <w:marTop w:val="0"/>
          <w:marBottom w:val="0"/>
          <w:divBdr>
            <w:top w:val="none" w:sz="0" w:space="0" w:color="auto"/>
            <w:left w:val="none" w:sz="0" w:space="0" w:color="auto"/>
            <w:bottom w:val="none" w:sz="0" w:space="0" w:color="auto"/>
            <w:right w:val="none" w:sz="0" w:space="0" w:color="auto"/>
          </w:divBdr>
          <w:divsChild>
            <w:div w:id="299073414">
              <w:marLeft w:val="0"/>
              <w:marRight w:val="0"/>
              <w:marTop w:val="0"/>
              <w:marBottom w:val="0"/>
              <w:divBdr>
                <w:top w:val="none" w:sz="0" w:space="0" w:color="auto"/>
                <w:left w:val="none" w:sz="0" w:space="0" w:color="auto"/>
                <w:bottom w:val="none" w:sz="0" w:space="0" w:color="auto"/>
                <w:right w:val="none" w:sz="0" w:space="0" w:color="auto"/>
              </w:divBdr>
              <w:divsChild>
                <w:div w:id="29907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596">
      <w:marLeft w:val="0"/>
      <w:marRight w:val="0"/>
      <w:marTop w:val="0"/>
      <w:marBottom w:val="0"/>
      <w:divBdr>
        <w:top w:val="none" w:sz="0" w:space="0" w:color="auto"/>
        <w:left w:val="none" w:sz="0" w:space="0" w:color="auto"/>
        <w:bottom w:val="none" w:sz="0" w:space="0" w:color="auto"/>
        <w:right w:val="none" w:sz="0" w:space="0" w:color="auto"/>
      </w:divBdr>
      <w:divsChild>
        <w:div w:id="299073413">
          <w:marLeft w:val="0"/>
          <w:marRight w:val="0"/>
          <w:marTop w:val="0"/>
          <w:marBottom w:val="0"/>
          <w:divBdr>
            <w:top w:val="none" w:sz="0" w:space="0" w:color="auto"/>
            <w:left w:val="none" w:sz="0" w:space="0" w:color="auto"/>
            <w:bottom w:val="none" w:sz="0" w:space="0" w:color="auto"/>
            <w:right w:val="none" w:sz="0" w:space="0" w:color="auto"/>
          </w:divBdr>
          <w:divsChild>
            <w:div w:id="299073404">
              <w:marLeft w:val="0"/>
              <w:marRight w:val="0"/>
              <w:marTop w:val="0"/>
              <w:marBottom w:val="0"/>
              <w:divBdr>
                <w:top w:val="none" w:sz="0" w:space="0" w:color="auto"/>
                <w:left w:val="none" w:sz="0" w:space="0" w:color="auto"/>
                <w:bottom w:val="none" w:sz="0" w:space="0" w:color="auto"/>
                <w:right w:val="none" w:sz="0" w:space="0" w:color="auto"/>
              </w:divBdr>
              <w:divsChild>
                <w:div w:id="299073589">
                  <w:marLeft w:val="0"/>
                  <w:marRight w:val="0"/>
                  <w:marTop w:val="0"/>
                  <w:marBottom w:val="0"/>
                  <w:divBdr>
                    <w:top w:val="none" w:sz="0" w:space="0" w:color="auto"/>
                    <w:left w:val="none" w:sz="0" w:space="0" w:color="auto"/>
                    <w:bottom w:val="none" w:sz="0" w:space="0" w:color="auto"/>
                    <w:right w:val="none" w:sz="0" w:space="0" w:color="auto"/>
                  </w:divBdr>
                  <w:divsChild>
                    <w:div w:id="299073401">
                      <w:marLeft w:val="0"/>
                      <w:marRight w:val="0"/>
                      <w:marTop w:val="0"/>
                      <w:marBottom w:val="0"/>
                      <w:divBdr>
                        <w:top w:val="none" w:sz="0" w:space="0" w:color="auto"/>
                        <w:left w:val="none" w:sz="0" w:space="0" w:color="auto"/>
                        <w:bottom w:val="none" w:sz="0" w:space="0" w:color="auto"/>
                        <w:right w:val="none" w:sz="0" w:space="0" w:color="auto"/>
                      </w:divBdr>
                      <w:divsChild>
                        <w:div w:id="29907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073598">
      <w:marLeft w:val="0"/>
      <w:marRight w:val="0"/>
      <w:marTop w:val="0"/>
      <w:marBottom w:val="0"/>
      <w:divBdr>
        <w:top w:val="none" w:sz="0" w:space="0" w:color="auto"/>
        <w:left w:val="none" w:sz="0" w:space="0" w:color="auto"/>
        <w:bottom w:val="none" w:sz="0" w:space="0" w:color="auto"/>
        <w:right w:val="none" w:sz="0" w:space="0" w:color="auto"/>
      </w:divBdr>
      <w:divsChild>
        <w:div w:id="299073397">
          <w:marLeft w:val="0"/>
          <w:marRight w:val="0"/>
          <w:marTop w:val="0"/>
          <w:marBottom w:val="0"/>
          <w:divBdr>
            <w:top w:val="none" w:sz="0" w:space="0" w:color="auto"/>
            <w:left w:val="none" w:sz="0" w:space="0" w:color="auto"/>
            <w:bottom w:val="none" w:sz="0" w:space="0" w:color="auto"/>
            <w:right w:val="none" w:sz="0" w:space="0" w:color="auto"/>
          </w:divBdr>
          <w:divsChild>
            <w:div w:id="29907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605">
      <w:marLeft w:val="0"/>
      <w:marRight w:val="0"/>
      <w:marTop w:val="0"/>
      <w:marBottom w:val="0"/>
      <w:divBdr>
        <w:top w:val="none" w:sz="0" w:space="0" w:color="auto"/>
        <w:left w:val="none" w:sz="0" w:space="0" w:color="auto"/>
        <w:bottom w:val="none" w:sz="0" w:space="0" w:color="auto"/>
        <w:right w:val="none" w:sz="0" w:space="0" w:color="auto"/>
      </w:divBdr>
      <w:divsChild>
        <w:div w:id="299073624">
          <w:marLeft w:val="30"/>
          <w:marRight w:val="0"/>
          <w:marTop w:val="0"/>
          <w:marBottom w:val="0"/>
          <w:divBdr>
            <w:top w:val="none" w:sz="0" w:space="0" w:color="auto"/>
            <w:left w:val="none" w:sz="0" w:space="0" w:color="auto"/>
            <w:bottom w:val="none" w:sz="0" w:space="0" w:color="auto"/>
            <w:right w:val="none" w:sz="0" w:space="0" w:color="auto"/>
          </w:divBdr>
          <w:divsChild>
            <w:div w:id="299073700">
              <w:marLeft w:val="0"/>
              <w:marRight w:val="0"/>
              <w:marTop w:val="180"/>
              <w:marBottom w:val="0"/>
              <w:divBdr>
                <w:top w:val="none" w:sz="0" w:space="0" w:color="auto"/>
                <w:left w:val="none" w:sz="0" w:space="0" w:color="auto"/>
                <w:bottom w:val="none" w:sz="0" w:space="0" w:color="auto"/>
                <w:right w:val="none" w:sz="0" w:space="0" w:color="auto"/>
              </w:divBdr>
              <w:divsChild>
                <w:div w:id="299073623">
                  <w:marLeft w:val="30"/>
                  <w:marRight w:val="30"/>
                  <w:marTop w:val="30"/>
                  <w:marBottom w:val="30"/>
                  <w:divBdr>
                    <w:top w:val="none" w:sz="0" w:space="0" w:color="auto"/>
                    <w:left w:val="none" w:sz="0" w:space="0" w:color="auto"/>
                    <w:bottom w:val="none" w:sz="0" w:space="0" w:color="auto"/>
                    <w:right w:val="none" w:sz="0" w:space="0" w:color="auto"/>
                  </w:divBdr>
                  <w:divsChild>
                    <w:div w:id="299073614">
                      <w:marLeft w:val="0"/>
                      <w:marRight w:val="0"/>
                      <w:marTop w:val="0"/>
                      <w:marBottom w:val="0"/>
                      <w:divBdr>
                        <w:top w:val="none" w:sz="0" w:space="0" w:color="auto"/>
                        <w:left w:val="single" w:sz="2" w:space="0" w:color="A1B0D3"/>
                        <w:bottom w:val="single" w:sz="2" w:space="0" w:color="A1B0D3"/>
                        <w:right w:val="single" w:sz="2" w:space="0" w:color="A1B0D3"/>
                      </w:divBdr>
                      <w:divsChild>
                        <w:div w:id="299073615">
                          <w:marLeft w:val="0"/>
                          <w:marRight w:val="0"/>
                          <w:marTop w:val="0"/>
                          <w:marBottom w:val="0"/>
                          <w:divBdr>
                            <w:top w:val="none" w:sz="0" w:space="0" w:color="auto"/>
                            <w:left w:val="none" w:sz="0" w:space="0" w:color="auto"/>
                            <w:bottom w:val="none" w:sz="0" w:space="0" w:color="auto"/>
                            <w:right w:val="none" w:sz="0" w:space="0" w:color="auto"/>
                          </w:divBdr>
                          <w:divsChild>
                            <w:div w:id="299073638">
                              <w:marLeft w:val="0"/>
                              <w:marRight w:val="0"/>
                              <w:marTop w:val="0"/>
                              <w:marBottom w:val="0"/>
                              <w:divBdr>
                                <w:top w:val="none" w:sz="0" w:space="0" w:color="auto"/>
                                <w:left w:val="single" w:sz="2" w:space="0" w:color="A1B0D3"/>
                                <w:bottom w:val="single" w:sz="2" w:space="0" w:color="A1B0D3"/>
                                <w:right w:val="single" w:sz="2" w:space="0" w:color="A1B0D3"/>
                              </w:divBdr>
                              <w:divsChild>
                                <w:div w:id="299073393">
                                  <w:marLeft w:val="0"/>
                                  <w:marRight w:val="0"/>
                                  <w:marTop w:val="0"/>
                                  <w:marBottom w:val="0"/>
                                  <w:divBdr>
                                    <w:top w:val="none" w:sz="0" w:space="0" w:color="auto"/>
                                    <w:left w:val="none" w:sz="0" w:space="0" w:color="auto"/>
                                    <w:bottom w:val="none" w:sz="0" w:space="0" w:color="auto"/>
                                    <w:right w:val="none" w:sz="0" w:space="0" w:color="auto"/>
                                  </w:divBdr>
                                </w:div>
                                <w:div w:id="299073602">
                                  <w:marLeft w:val="0"/>
                                  <w:marRight w:val="0"/>
                                  <w:marTop w:val="0"/>
                                  <w:marBottom w:val="0"/>
                                  <w:divBdr>
                                    <w:top w:val="none" w:sz="0" w:space="0" w:color="auto"/>
                                    <w:left w:val="none" w:sz="0" w:space="0" w:color="auto"/>
                                    <w:bottom w:val="none" w:sz="0" w:space="0" w:color="auto"/>
                                    <w:right w:val="none" w:sz="0" w:space="0" w:color="auto"/>
                                  </w:divBdr>
                                </w:div>
                                <w:div w:id="29907361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9073630">
      <w:marLeft w:val="0"/>
      <w:marRight w:val="0"/>
      <w:marTop w:val="0"/>
      <w:marBottom w:val="0"/>
      <w:divBdr>
        <w:top w:val="none" w:sz="0" w:space="0" w:color="auto"/>
        <w:left w:val="none" w:sz="0" w:space="0" w:color="auto"/>
        <w:bottom w:val="none" w:sz="0" w:space="0" w:color="auto"/>
        <w:right w:val="none" w:sz="0" w:space="0" w:color="auto"/>
      </w:divBdr>
      <w:divsChild>
        <w:div w:id="299073649">
          <w:marLeft w:val="0"/>
          <w:marRight w:val="0"/>
          <w:marTop w:val="0"/>
          <w:marBottom w:val="0"/>
          <w:divBdr>
            <w:top w:val="none" w:sz="0" w:space="0" w:color="auto"/>
            <w:left w:val="none" w:sz="0" w:space="0" w:color="auto"/>
            <w:bottom w:val="none" w:sz="0" w:space="0" w:color="auto"/>
            <w:right w:val="none" w:sz="0" w:space="0" w:color="auto"/>
          </w:divBdr>
          <w:divsChild>
            <w:div w:id="299073694">
              <w:marLeft w:val="0"/>
              <w:marRight w:val="0"/>
              <w:marTop w:val="0"/>
              <w:marBottom w:val="0"/>
              <w:divBdr>
                <w:top w:val="none" w:sz="0" w:space="0" w:color="auto"/>
                <w:left w:val="none" w:sz="0" w:space="0" w:color="auto"/>
                <w:bottom w:val="none" w:sz="0" w:space="0" w:color="auto"/>
                <w:right w:val="none" w:sz="0" w:space="0" w:color="auto"/>
              </w:divBdr>
              <w:divsChild>
                <w:div w:id="299073622">
                  <w:marLeft w:val="0"/>
                  <w:marRight w:val="0"/>
                  <w:marTop w:val="0"/>
                  <w:marBottom w:val="0"/>
                  <w:divBdr>
                    <w:top w:val="none" w:sz="0" w:space="0" w:color="auto"/>
                    <w:left w:val="none" w:sz="0" w:space="0" w:color="auto"/>
                    <w:bottom w:val="none" w:sz="0" w:space="0" w:color="auto"/>
                    <w:right w:val="none" w:sz="0" w:space="0" w:color="auto"/>
                  </w:divBdr>
                  <w:divsChild>
                    <w:div w:id="299073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9073656">
      <w:marLeft w:val="0"/>
      <w:marRight w:val="0"/>
      <w:marTop w:val="0"/>
      <w:marBottom w:val="0"/>
      <w:divBdr>
        <w:top w:val="none" w:sz="0" w:space="0" w:color="auto"/>
        <w:left w:val="none" w:sz="0" w:space="0" w:color="auto"/>
        <w:bottom w:val="none" w:sz="0" w:space="0" w:color="auto"/>
        <w:right w:val="none" w:sz="0" w:space="0" w:color="auto"/>
      </w:divBdr>
      <w:divsChild>
        <w:div w:id="299073699">
          <w:marLeft w:val="0"/>
          <w:marRight w:val="0"/>
          <w:marTop w:val="0"/>
          <w:marBottom w:val="0"/>
          <w:divBdr>
            <w:top w:val="none" w:sz="0" w:space="0" w:color="auto"/>
            <w:left w:val="none" w:sz="0" w:space="0" w:color="auto"/>
            <w:bottom w:val="none" w:sz="0" w:space="0" w:color="auto"/>
            <w:right w:val="none" w:sz="0" w:space="0" w:color="auto"/>
          </w:divBdr>
          <w:divsChild>
            <w:div w:id="299073646">
              <w:marLeft w:val="0"/>
              <w:marRight w:val="0"/>
              <w:marTop w:val="0"/>
              <w:marBottom w:val="0"/>
              <w:divBdr>
                <w:top w:val="none" w:sz="0" w:space="0" w:color="auto"/>
                <w:left w:val="none" w:sz="0" w:space="0" w:color="auto"/>
                <w:bottom w:val="none" w:sz="0" w:space="0" w:color="auto"/>
                <w:right w:val="none" w:sz="0" w:space="0" w:color="auto"/>
              </w:divBdr>
              <w:divsChild>
                <w:div w:id="29907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073660">
      <w:marLeft w:val="0"/>
      <w:marRight w:val="0"/>
      <w:marTop w:val="0"/>
      <w:marBottom w:val="0"/>
      <w:divBdr>
        <w:top w:val="none" w:sz="0" w:space="0" w:color="auto"/>
        <w:left w:val="none" w:sz="0" w:space="0" w:color="auto"/>
        <w:bottom w:val="none" w:sz="0" w:space="0" w:color="auto"/>
        <w:right w:val="none" w:sz="0" w:space="0" w:color="auto"/>
      </w:divBdr>
      <w:divsChild>
        <w:div w:id="299073644">
          <w:marLeft w:val="0"/>
          <w:marRight w:val="0"/>
          <w:marTop w:val="0"/>
          <w:marBottom w:val="0"/>
          <w:divBdr>
            <w:top w:val="none" w:sz="0" w:space="0" w:color="auto"/>
            <w:left w:val="none" w:sz="0" w:space="0" w:color="auto"/>
            <w:bottom w:val="none" w:sz="0" w:space="0" w:color="auto"/>
            <w:right w:val="none" w:sz="0" w:space="0" w:color="auto"/>
          </w:divBdr>
          <w:divsChild>
            <w:div w:id="299073629">
              <w:marLeft w:val="0"/>
              <w:marRight w:val="300"/>
              <w:marTop w:val="0"/>
              <w:marBottom w:val="0"/>
              <w:divBdr>
                <w:top w:val="none" w:sz="0" w:space="0" w:color="auto"/>
                <w:left w:val="none" w:sz="0" w:space="0" w:color="auto"/>
                <w:bottom w:val="none" w:sz="0" w:space="0" w:color="auto"/>
                <w:right w:val="none" w:sz="0" w:space="0" w:color="auto"/>
              </w:divBdr>
              <w:divsChild>
                <w:div w:id="299073610">
                  <w:marLeft w:val="0"/>
                  <w:marRight w:val="0"/>
                  <w:marTop w:val="0"/>
                  <w:marBottom w:val="0"/>
                  <w:divBdr>
                    <w:top w:val="none" w:sz="0" w:space="0" w:color="auto"/>
                    <w:left w:val="none" w:sz="0" w:space="0" w:color="auto"/>
                    <w:bottom w:val="none" w:sz="0" w:space="0" w:color="auto"/>
                    <w:right w:val="none" w:sz="0" w:space="0" w:color="auto"/>
                  </w:divBdr>
                </w:div>
                <w:div w:id="299073655">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 w:id="299073661">
      <w:marLeft w:val="0"/>
      <w:marRight w:val="0"/>
      <w:marTop w:val="0"/>
      <w:marBottom w:val="0"/>
      <w:divBdr>
        <w:top w:val="none" w:sz="0" w:space="0" w:color="auto"/>
        <w:left w:val="none" w:sz="0" w:space="0" w:color="auto"/>
        <w:bottom w:val="none" w:sz="0" w:space="0" w:color="auto"/>
        <w:right w:val="none" w:sz="0" w:space="0" w:color="auto"/>
      </w:divBdr>
      <w:divsChild>
        <w:div w:id="299073681">
          <w:marLeft w:val="30"/>
          <w:marRight w:val="0"/>
          <w:marTop w:val="0"/>
          <w:marBottom w:val="0"/>
          <w:divBdr>
            <w:top w:val="none" w:sz="0" w:space="0" w:color="auto"/>
            <w:left w:val="none" w:sz="0" w:space="0" w:color="auto"/>
            <w:bottom w:val="none" w:sz="0" w:space="0" w:color="auto"/>
            <w:right w:val="none" w:sz="0" w:space="0" w:color="auto"/>
          </w:divBdr>
          <w:divsChild>
            <w:div w:id="299073674">
              <w:marLeft w:val="0"/>
              <w:marRight w:val="0"/>
              <w:marTop w:val="180"/>
              <w:marBottom w:val="0"/>
              <w:divBdr>
                <w:top w:val="none" w:sz="0" w:space="0" w:color="auto"/>
                <w:left w:val="none" w:sz="0" w:space="0" w:color="auto"/>
                <w:bottom w:val="none" w:sz="0" w:space="0" w:color="auto"/>
                <w:right w:val="none" w:sz="0" w:space="0" w:color="auto"/>
              </w:divBdr>
              <w:divsChild>
                <w:div w:id="299073678">
                  <w:marLeft w:val="30"/>
                  <w:marRight w:val="30"/>
                  <w:marTop w:val="30"/>
                  <w:marBottom w:val="30"/>
                  <w:divBdr>
                    <w:top w:val="none" w:sz="0" w:space="0" w:color="auto"/>
                    <w:left w:val="none" w:sz="0" w:space="0" w:color="auto"/>
                    <w:bottom w:val="none" w:sz="0" w:space="0" w:color="auto"/>
                    <w:right w:val="none" w:sz="0" w:space="0" w:color="auto"/>
                  </w:divBdr>
                  <w:divsChild>
                    <w:div w:id="299073706">
                      <w:marLeft w:val="0"/>
                      <w:marRight w:val="0"/>
                      <w:marTop w:val="0"/>
                      <w:marBottom w:val="0"/>
                      <w:divBdr>
                        <w:top w:val="none" w:sz="0" w:space="0" w:color="auto"/>
                        <w:left w:val="single" w:sz="2" w:space="0" w:color="A1B0D3"/>
                        <w:bottom w:val="single" w:sz="2" w:space="0" w:color="A1B0D3"/>
                        <w:right w:val="single" w:sz="2" w:space="0" w:color="A1B0D3"/>
                      </w:divBdr>
                      <w:divsChild>
                        <w:div w:id="299073696">
                          <w:marLeft w:val="0"/>
                          <w:marRight w:val="0"/>
                          <w:marTop w:val="0"/>
                          <w:marBottom w:val="0"/>
                          <w:divBdr>
                            <w:top w:val="none" w:sz="0" w:space="0" w:color="auto"/>
                            <w:left w:val="none" w:sz="0" w:space="0" w:color="auto"/>
                            <w:bottom w:val="none" w:sz="0" w:space="0" w:color="auto"/>
                            <w:right w:val="none" w:sz="0" w:space="0" w:color="auto"/>
                          </w:divBdr>
                          <w:divsChild>
                            <w:div w:id="299073613">
                              <w:marLeft w:val="0"/>
                              <w:marRight w:val="0"/>
                              <w:marTop w:val="0"/>
                              <w:marBottom w:val="0"/>
                              <w:divBdr>
                                <w:top w:val="none" w:sz="0" w:space="0" w:color="auto"/>
                                <w:left w:val="single" w:sz="2" w:space="0" w:color="A1B0D3"/>
                                <w:bottom w:val="single" w:sz="2" w:space="0" w:color="A1B0D3"/>
                                <w:right w:val="single" w:sz="2" w:space="0" w:color="A1B0D3"/>
                              </w:divBdr>
                              <w:divsChild>
                                <w:div w:id="299073609">
                                  <w:marLeft w:val="0"/>
                                  <w:marRight w:val="0"/>
                                  <w:marTop w:val="0"/>
                                  <w:marBottom w:val="0"/>
                                  <w:divBdr>
                                    <w:top w:val="none" w:sz="0" w:space="0" w:color="auto"/>
                                    <w:left w:val="none" w:sz="0" w:space="0" w:color="auto"/>
                                    <w:bottom w:val="none" w:sz="0" w:space="0" w:color="auto"/>
                                    <w:right w:val="none" w:sz="0" w:space="0" w:color="auto"/>
                                  </w:divBdr>
                                  <w:divsChild>
                                    <w:div w:id="299073668">
                                      <w:marLeft w:val="0"/>
                                      <w:marRight w:val="0"/>
                                      <w:marTop w:val="0"/>
                                      <w:marBottom w:val="0"/>
                                      <w:divBdr>
                                        <w:top w:val="none" w:sz="0" w:space="0" w:color="auto"/>
                                        <w:left w:val="none" w:sz="0" w:space="0" w:color="auto"/>
                                        <w:bottom w:val="none" w:sz="0" w:space="0" w:color="auto"/>
                                        <w:right w:val="none" w:sz="0" w:space="0" w:color="auto"/>
                                      </w:divBdr>
                                    </w:div>
                                  </w:divsChild>
                                </w:div>
                                <w:div w:id="299073626">
                                  <w:marLeft w:val="0"/>
                                  <w:marRight w:val="0"/>
                                  <w:marTop w:val="0"/>
                                  <w:marBottom w:val="150"/>
                                  <w:divBdr>
                                    <w:top w:val="none" w:sz="0" w:space="0" w:color="auto"/>
                                    <w:left w:val="none" w:sz="0" w:space="0" w:color="auto"/>
                                    <w:bottom w:val="none" w:sz="0" w:space="0" w:color="auto"/>
                                    <w:right w:val="none" w:sz="0" w:space="0" w:color="auto"/>
                                  </w:divBdr>
                                </w:div>
                                <w:div w:id="299073662">
                                  <w:marLeft w:val="0"/>
                                  <w:marRight w:val="0"/>
                                  <w:marTop w:val="0"/>
                                  <w:marBottom w:val="0"/>
                                  <w:divBdr>
                                    <w:top w:val="none" w:sz="0" w:space="0" w:color="auto"/>
                                    <w:left w:val="none" w:sz="0" w:space="0" w:color="auto"/>
                                    <w:bottom w:val="none" w:sz="0" w:space="0" w:color="auto"/>
                                    <w:right w:val="none" w:sz="0" w:space="0" w:color="auto"/>
                                  </w:divBdr>
                                </w:div>
                                <w:div w:id="299073675">
                                  <w:marLeft w:val="0"/>
                                  <w:marRight w:val="0"/>
                                  <w:marTop w:val="0"/>
                                  <w:marBottom w:val="0"/>
                                  <w:divBdr>
                                    <w:top w:val="none" w:sz="0" w:space="0" w:color="auto"/>
                                    <w:left w:val="none" w:sz="0" w:space="0" w:color="auto"/>
                                    <w:bottom w:val="none" w:sz="0" w:space="0" w:color="auto"/>
                                    <w:right w:val="none" w:sz="0" w:space="0" w:color="auto"/>
                                  </w:divBdr>
                                </w:div>
                                <w:div w:id="299073695">
                                  <w:marLeft w:val="0"/>
                                  <w:marRight w:val="0"/>
                                  <w:marTop w:val="0"/>
                                  <w:marBottom w:val="0"/>
                                  <w:divBdr>
                                    <w:top w:val="none" w:sz="0" w:space="0" w:color="auto"/>
                                    <w:left w:val="none" w:sz="0" w:space="0" w:color="auto"/>
                                    <w:bottom w:val="none" w:sz="0" w:space="0" w:color="auto"/>
                                    <w:right w:val="none" w:sz="0" w:space="0" w:color="auto"/>
                                  </w:divBdr>
                                </w:div>
                              </w:divsChild>
                            </w:div>
                            <w:div w:id="299073687">
                              <w:marLeft w:val="0"/>
                              <w:marRight w:val="0"/>
                              <w:marTop w:val="0"/>
                              <w:marBottom w:val="0"/>
                              <w:divBdr>
                                <w:top w:val="none" w:sz="0" w:space="0" w:color="auto"/>
                                <w:left w:val="single" w:sz="2" w:space="0" w:color="A1B0D3"/>
                                <w:bottom w:val="single" w:sz="2" w:space="0" w:color="A1B0D3"/>
                                <w:right w:val="single" w:sz="2" w:space="0" w:color="A1B0D3"/>
                              </w:divBdr>
                              <w:divsChild>
                                <w:div w:id="299073637">
                                  <w:marLeft w:val="0"/>
                                  <w:marRight w:val="0"/>
                                  <w:marTop w:val="0"/>
                                  <w:marBottom w:val="0"/>
                                  <w:divBdr>
                                    <w:top w:val="none" w:sz="0" w:space="0" w:color="auto"/>
                                    <w:left w:val="none" w:sz="0" w:space="0" w:color="auto"/>
                                    <w:bottom w:val="none" w:sz="0" w:space="0" w:color="auto"/>
                                    <w:right w:val="none" w:sz="0" w:space="0" w:color="auto"/>
                                  </w:divBdr>
                                </w:div>
                                <w:div w:id="29907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9073666">
      <w:marLeft w:val="0"/>
      <w:marRight w:val="0"/>
      <w:marTop w:val="0"/>
      <w:marBottom w:val="0"/>
      <w:divBdr>
        <w:top w:val="none" w:sz="0" w:space="0" w:color="auto"/>
        <w:left w:val="none" w:sz="0" w:space="0" w:color="auto"/>
        <w:bottom w:val="none" w:sz="0" w:space="0" w:color="auto"/>
        <w:right w:val="none" w:sz="0" w:space="0" w:color="auto"/>
      </w:divBdr>
      <w:divsChild>
        <w:div w:id="299073667">
          <w:marLeft w:val="0"/>
          <w:marRight w:val="0"/>
          <w:marTop w:val="0"/>
          <w:marBottom w:val="0"/>
          <w:divBdr>
            <w:top w:val="none" w:sz="0" w:space="0" w:color="auto"/>
            <w:left w:val="none" w:sz="0" w:space="0" w:color="auto"/>
            <w:bottom w:val="none" w:sz="0" w:space="0" w:color="auto"/>
            <w:right w:val="none" w:sz="0" w:space="0" w:color="auto"/>
          </w:divBdr>
          <w:divsChild>
            <w:div w:id="29907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671">
      <w:marLeft w:val="0"/>
      <w:marRight w:val="0"/>
      <w:marTop w:val="0"/>
      <w:marBottom w:val="0"/>
      <w:divBdr>
        <w:top w:val="none" w:sz="0" w:space="0" w:color="auto"/>
        <w:left w:val="none" w:sz="0" w:space="0" w:color="auto"/>
        <w:bottom w:val="none" w:sz="0" w:space="0" w:color="auto"/>
        <w:right w:val="none" w:sz="0" w:space="0" w:color="auto"/>
      </w:divBdr>
      <w:divsChild>
        <w:div w:id="299073617">
          <w:marLeft w:val="30"/>
          <w:marRight w:val="0"/>
          <w:marTop w:val="0"/>
          <w:marBottom w:val="0"/>
          <w:divBdr>
            <w:top w:val="none" w:sz="0" w:space="0" w:color="auto"/>
            <w:left w:val="none" w:sz="0" w:space="0" w:color="auto"/>
            <w:bottom w:val="none" w:sz="0" w:space="0" w:color="auto"/>
            <w:right w:val="none" w:sz="0" w:space="0" w:color="auto"/>
          </w:divBdr>
          <w:divsChild>
            <w:div w:id="299073684">
              <w:marLeft w:val="0"/>
              <w:marRight w:val="0"/>
              <w:marTop w:val="180"/>
              <w:marBottom w:val="0"/>
              <w:divBdr>
                <w:top w:val="none" w:sz="0" w:space="0" w:color="auto"/>
                <w:left w:val="none" w:sz="0" w:space="0" w:color="auto"/>
                <w:bottom w:val="none" w:sz="0" w:space="0" w:color="auto"/>
                <w:right w:val="none" w:sz="0" w:space="0" w:color="auto"/>
              </w:divBdr>
              <w:divsChild>
                <w:div w:id="299073685">
                  <w:marLeft w:val="30"/>
                  <w:marRight w:val="30"/>
                  <w:marTop w:val="30"/>
                  <w:marBottom w:val="30"/>
                  <w:divBdr>
                    <w:top w:val="none" w:sz="0" w:space="0" w:color="auto"/>
                    <w:left w:val="none" w:sz="0" w:space="0" w:color="auto"/>
                    <w:bottom w:val="none" w:sz="0" w:space="0" w:color="auto"/>
                    <w:right w:val="none" w:sz="0" w:space="0" w:color="auto"/>
                  </w:divBdr>
                  <w:divsChild>
                    <w:div w:id="299073669">
                      <w:marLeft w:val="0"/>
                      <w:marRight w:val="0"/>
                      <w:marTop w:val="0"/>
                      <w:marBottom w:val="0"/>
                      <w:divBdr>
                        <w:top w:val="none" w:sz="0" w:space="0" w:color="auto"/>
                        <w:left w:val="single" w:sz="2" w:space="0" w:color="A1B0D3"/>
                        <w:bottom w:val="single" w:sz="2" w:space="0" w:color="A1B0D3"/>
                        <w:right w:val="single" w:sz="2" w:space="0" w:color="A1B0D3"/>
                      </w:divBdr>
                      <w:divsChild>
                        <w:div w:id="299073701">
                          <w:marLeft w:val="0"/>
                          <w:marRight w:val="0"/>
                          <w:marTop w:val="0"/>
                          <w:marBottom w:val="0"/>
                          <w:divBdr>
                            <w:top w:val="none" w:sz="0" w:space="0" w:color="auto"/>
                            <w:left w:val="none" w:sz="0" w:space="0" w:color="auto"/>
                            <w:bottom w:val="none" w:sz="0" w:space="0" w:color="auto"/>
                            <w:right w:val="none" w:sz="0" w:space="0" w:color="auto"/>
                          </w:divBdr>
                          <w:divsChild>
                            <w:div w:id="299073663">
                              <w:marLeft w:val="0"/>
                              <w:marRight w:val="0"/>
                              <w:marTop w:val="0"/>
                              <w:marBottom w:val="0"/>
                              <w:divBdr>
                                <w:top w:val="none" w:sz="0" w:space="0" w:color="auto"/>
                                <w:left w:val="single" w:sz="2" w:space="0" w:color="A1B0D3"/>
                                <w:bottom w:val="single" w:sz="2" w:space="0" w:color="A1B0D3"/>
                                <w:right w:val="single" w:sz="2" w:space="0" w:color="A1B0D3"/>
                              </w:divBdr>
                              <w:divsChild>
                                <w:div w:id="299073607">
                                  <w:marLeft w:val="0"/>
                                  <w:marRight w:val="0"/>
                                  <w:marTop w:val="0"/>
                                  <w:marBottom w:val="150"/>
                                  <w:divBdr>
                                    <w:top w:val="none" w:sz="0" w:space="0" w:color="auto"/>
                                    <w:left w:val="none" w:sz="0" w:space="0" w:color="auto"/>
                                    <w:bottom w:val="none" w:sz="0" w:space="0" w:color="auto"/>
                                    <w:right w:val="none" w:sz="0" w:space="0" w:color="auto"/>
                                  </w:divBdr>
                                </w:div>
                                <w:div w:id="299073619">
                                  <w:marLeft w:val="0"/>
                                  <w:marRight w:val="0"/>
                                  <w:marTop w:val="0"/>
                                  <w:marBottom w:val="0"/>
                                  <w:divBdr>
                                    <w:top w:val="none" w:sz="0" w:space="0" w:color="auto"/>
                                    <w:left w:val="none" w:sz="0" w:space="0" w:color="auto"/>
                                    <w:bottom w:val="none" w:sz="0" w:space="0" w:color="auto"/>
                                    <w:right w:val="none" w:sz="0" w:space="0" w:color="auto"/>
                                  </w:divBdr>
                                </w:div>
                                <w:div w:id="29907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9073673">
      <w:marLeft w:val="0"/>
      <w:marRight w:val="0"/>
      <w:marTop w:val="0"/>
      <w:marBottom w:val="0"/>
      <w:divBdr>
        <w:top w:val="none" w:sz="0" w:space="0" w:color="auto"/>
        <w:left w:val="none" w:sz="0" w:space="0" w:color="auto"/>
        <w:bottom w:val="none" w:sz="0" w:space="0" w:color="auto"/>
        <w:right w:val="none" w:sz="0" w:space="0" w:color="auto"/>
      </w:divBdr>
      <w:divsChild>
        <w:div w:id="299073636">
          <w:marLeft w:val="0"/>
          <w:marRight w:val="0"/>
          <w:marTop w:val="0"/>
          <w:marBottom w:val="0"/>
          <w:divBdr>
            <w:top w:val="none" w:sz="0" w:space="0" w:color="auto"/>
            <w:left w:val="none" w:sz="0" w:space="0" w:color="auto"/>
            <w:bottom w:val="none" w:sz="0" w:space="0" w:color="auto"/>
            <w:right w:val="none" w:sz="0" w:space="0" w:color="auto"/>
          </w:divBdr>
          <w:divsChild>
            <w:div w:id="299073693">
              <w:marLeft w:val="0"/>
              <w:marRight w:val="0"/>
              <w:marTop w:val="0"/>
              <w:marBottom w:val="0"/>
              <w:divBdr>
                <w:top w:val="none" w:sz="0" w:space="0" w:color="auto"/>
                <w:left w:val="none" w:sz="0" w:space="0" w:color="auto"/>
                <w:bottom w:val="none" w:sz="0" w:space="0" w:color="auto"/>
                <w:right w:val="none" w:sz="0" w:space="0" w:color="auto"/>
              </w:divBdr>
              <w:divsChild>
                <w:div w:id="299073712">
                  <w:marLeft w:val="0"/>
                  <w:marRight w:val="0"/>
                  <w:marTop w:val="0"/>
                  <w:marBottom w:val="0"/>
                  <w:divBdr>
                    <w:top w:val="none" w:sz="0" w:space="0" w:color="auto"/>
                    <w:left w:val="none" w:sz="0" w:space="0" w:color="auto"/>
                    <w:bottom w:val="none" w:sz="0" w:space="0" w:color="auto"/>
                    <w:right w:val="none" w:sz="0" w:space="0" w:color="auto"/>
                  </w:divBdr>
                  <w:divsChild>
                    <w:div w:id="299073611">
                      <w:marLeft w:val="0"/>
                      <w:marRight w:val="0"/>
                      <w:marTop w:val="0"/>
                      <w:marBottom w:val="0"/>
                      <w:divBdr>
                        <w:top w:val="none" w:sz="0" w:space="0" w:color="auto"/>
                        <w:left w:val="none" w:sz="0" w:space="0" w:color="auto"/>
                        <w:bottom w:val="none" w:sz="0" w:space="0" w:color="auto"/>
                        <w:right w:val="none" w:sz="0" w:space="0" w:color="auto"/>
                      </w:divBdr>
                      <w:divsChild>
                        <w:div w:id="299073601">
                          <w:marLeft w:val="0"/>
                          <w:marRight w:val="0"/>
                          <w:marTop w:val="0"/>
                          <w:marBottom w:val="0"/>
                          <w:divBdr>
                            <w:top w:val="none" w:sz="0" w:space="0" w:color="auto"/>
                            <w:left w:val="none" w:sz="0" w:space="0" w:color="auto"/>
                            <w:bottom w:val="none" w:sz="0" w:space="0" w:color="auto"/>
                            <w:right w:val="none" w:sz="0" w:space="0" w:color="auto"/>
                          </w:divBdr>
                          <w:divsChild>
                            <w:div w:id="2990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9073677">
      <w:marLeft w:val="0"/>
      <w:marRight w:val="0"/>
      <w:marTop w:val="0"/>
      <w:marBottom w:val="0"/>
      <w:divBdr>
        <w:top w:val="none" w:sz="0" w:space="0" w:color="auto"/>
        <w:left w:val="none" w:sz="0" w:space="0" w:color="auto"/>
        <w:bottom w:val="none" w:sz="0" w:space="0" w:color="auto"/>
        <w:right w:val="none" w:sz="0" w:space="0" w:color="auto"/>
      </w:divBdr>
      <w:divsChild>
        <w:div w:id="299073703">
          <w:marLeft w:val="30"/>
          <w:marRight w:val="0"/>
          <w:marTop w:val="0"/>
          <w:marBottom w:val="0"/>
          <w:divBdr>
            <w:top w:val="none" w:sz="0" w:space="0" w:color="auto"/>
            <w:left w:val="none" w:sz="0" w:space="0" w:color="auto"/>
            <w:bottom w:val="none" w:sz="0" w:space="0" w:color="auto"/>
            <w:right w:val="none" w:sz="0" w:space="0" w:color="auto"/>
          </w:divBdr>
          <w:divsChild>
            <w:div w:id="299073708">
              <w:marLeft w:val="0"/>
              <w:marRight w:val="0"/>
              <w:marTop w:val="180"/>
              <w:marBottom w:val="0"/>
              <w:divBdr>
                <w:top w:val="none" w:sz="0" w:space="0" w:color="auto"/>
                <w:left w:val="none" w:sz="0" w:space="0" w:color="auto"/>
                <w:bottom w:val="none" w:sz="0" w:space="0" w:color="auto"/>
                <w:right w:val="none" w:sz="0" w:space="0" w:color="auto"/>
              </w:divBdr>
              <w:divsChild>
                <w:div w:id="299073608">
                  <w:marLeft w:val="30"/>
                  <w:marRight w:val="30"/>
                  <w:marTop w:val="30"/>
                  <w:marBottom w:val="30"/>
                  <w:divBdr>
                    <w:top w:val="none" w:sz="0" w:space="0" w:color="auto"/>
                    <w:left w:val="none" w:sz="0" w:space="0" w:color="auto"/>
                    <w:bottom w:val="none" w:sz="0" w:space="0" w:color="auto"/>
                    <w:right w:val="none" w:sz="0" w:space="0" w:color="auto"/>
                  </w:divBdr>
                  <w:divsChild>
                    <w:div w:id="299073641">
                      <w:marLeft w:val="0"/>
                      <w:marRight w:val="0"/>
                      <w:marTop w:val="0"/>
                      <w:marBottom w:val="0"/>
                      <w:divBdr>
                        <w:top w:val="none" w:sz="0" w:space="0" w:color="auto"/>
                        <w:left w:val="single" w:sz="2" w:space="0" w:color="A1B0D3"/>
                        <w:bottom w:val="single" w:sz="2" w:space="0" w:color="A1B0D3"/>
                        <w:right w:val="single" w:sz="2" w:space="0" w:color="A1B0D3"/>
                      </w:divBdr>
                      <w:divsChild>
                        <w:div w:id="299073651">
                          <w:marLeft w:val="0"/>
                          <w:marRight w:val="0"/>
                          <w:marTop w:val="0"/>
                          <w:marBottom w:val="0"/>
                          <w:divBdr>
                            <w:top w:val="none" w:sz="0" w:space="0" w:color="auto"/>
                            <w:left w:val="none" w:sz="0" w:space="0" w:color="auto"/>
                            <w:bottom w:val="none" w:sz="0" w:space="0" w:color="auto"/>
                            <w:right w:val="none" w:sz="0" w:space="0" w:color="auto"/>
                          </w:divBdr>
                          <w:divsChild>
                            <w:div w:id="299073707">
                              <w:marLeft w:val="0"/>
                              <w:marRight w:val="0"/>
                              <w:marTop w:val="0"/>
                              <w:marBottom w:val="0"/>
                              <w:divBdr>
                                <w:top w:val="none" w:sz="0" w:space="0" w:color="auto"/>
                                <w:left w:val="single" w:sz="2" w:space="0" w:color="A1B0D3"/>
                                <w:bottom w:val="single" w:sz="2" w:space="0" w:color="A1B0D3"/>
                                <w:right w:val="single" w:sz="2" w:space="0" w:color="A1B0D3"/>
                              </w:divBdr>
                              <w:divsChild>
                                <w:div w:id="299073612">
                                  <w:marLeft w:val="0"/>
                                  <w:marRight w:val="0"/>
                                  <w:marTop w:val="0"/>
                                  <w:marBottom w:val="150"/>
                                  <w:divBdr>
                                    <w:top w:val="none" w:sz="0" w:space="0" w:color="auto"/>
                                    <w:left w:val="none" w:sz="0" w:space="0" w:color="auto"/>
                                    <w:bottom w:val="none" w:sz="0" w:space="0" w:color="auto"/>
                                    <w:right w:val="none" w:sz="0" w:space="0" w:color="auto"/>
                                  </w:divBdr>
                                </w:div>
                                <w:div w:id="299073627">
                                  <w:marLeft w:val="0"/>
                                  <w:marRight w:val="0"/>
                                  <w:marTop w:val="0"/>
                                  <w:marBottom w:val="0"/>
                                  <w:divBdr>
                                    <w:top w:val="none" w:sz="0" w:space="0" w:color="auto"/>
                                    <w:left w:val="none" w:sz="0" w:space="0" w:color="auto"/>
                                    <w:bottom w:val="none" w:sz="0" w:space="0" w:color="auto"/>
                                    <w:right w:val="none" w:sz="0" w:space="0" w:color="auto"/>
                                  </w:divBdr>
                                </w:div>
                                <w:div w:id="29907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9073682">
      <w:marLeft w:val="0"/>
      <w:marRight w:val="0"/>
      <w:marTop w:val="0"/>
      <w:marBottom w:val="0"/>
      <w:divBdr>
        <w:top w:val="none" w:sz="0" w:space="0" w:color="auto"/>
        <w:left w:val="none" w:sz="0" w:space="0" w:color="auto"/>
        <w:bottom w:val="none" w:sz="0" w:space="0" w:color="auto"/>
        <w:right w:val="none" w:sz="0" w:space="0" w:color="auto"/>
      </w:divBdr>
      <w:divsChild>
        <w:div w:id="299073714">
          <w:marLeft w:val="120"/>
          <w:marRight w:val="120"/>
          <w:marTop w:val="120"/>
          <w:marBottom w:val="120"/>
          <w:divBdr>
            <w:top w:val="none" w:sz="0" w:space="0" w:color="auto"/>
            <w:left w:val="none" w:sz="0" w:space="0" w:color="auto"/>
            <w:bottom w:val="none" w:sz="0" w:space="0" w:color="auto"/>
            <w:right w:val="none" w:sz="0" w:space="0" w:color="auto"/>
          </w:divBdr>
          <w:divsChild>
            <w:div w:id="29907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689">
      <w:marLeft w:val="0"/>
      <w:marRight w:val="15"/>
      <w:marTop w:val="0"/>
      <w:marBottom w:val="0"/>
      <w:divBdr>
        <w:top w:val="none" w:sz="0" w:space="0" w:color="auto"/>
        <w:left w:val="none" w:sz="0" w:space="0" w:color="auto"/>
        <w:bottom w:val="none" w:sz="0" w:space="0" w:color="auto"/>
        <w:right w:val="none" w:sz="0" w:space="0" w:color="auto"/>
      </w:divBdr>
      <w:divsChild>
        <w:div w:id="299073664">
          <w:marLeft w:val="0"/>
          <w:marRight w:val="0"/>
          <w:marTop w:val="0"/>
          <w:marBottom w:val="0"/>
          <w:divBdr>
            <w:top w:val="none" w:sz="0" w:space="0" w:color="auto"/>
            <w:left w:val="none" w:sz="0" w:space="0" w:color="auto"/>
            <w:bottom w:val="none" w:sz="0" w:space="0" w:color="auto"/>
            <w:right w:val="none" w:sz="0" w:space="0" w:color="auto"/>
          </w:divBdr>
          <w:divsChild>
            <w:div w:id="299073709">
              <w:marLeft w:val="0"/>
              <w:marRight w:val="0"/>
              <w:marTop w:val="0"/>
              <w:marBottom w:val="45"/>
              <w:divBdr>
                <w:top w:val="none" w:sz="0" w:space="0" w:color="auto"/>
                <w:left w:val="none" w:sz="0" w:space="0" w:color="auto"/>
                <w:bottom w:val="none" w:sz="0" w:space="0" w:color="auto"/>
                <w:right w:val="none" w:sz="0" w:space="0" w:color="auto"/>
              </w:divBdr>
              <w:divsChild>
                <w:div w:id="299073676">
                  <w:marLeft w:val="0"/>
                  <w:marRight w:val="0"/>
                  <w:marTop w:val="0"/>
                  <w:marBottom w:val="0"/>
                  <w:divBdr>
                    <w:top w:val="none" w:sz="0" w:space="0" w:color="auto"/>
                    <w:left w:val="none" w:sz="0" w:space="0" w:color="auto"/>
                    <w:bottom w:val="none" w:sz="0" w:space="0" w:color="auto"/>
                    <w:right w:val="none" w:sz="0" w:space="0" w:color="auto"/>
                  </w:divBdr>
                  <w:divsChild>
                    <w:div w:id="299073621">
                      <w:marLeft w:val="-15"/>
                      <w:marRight w:val="-15"/>
                      <w:marTop w:val="0"/>
                      <w:marBottom w:val="0"/>
                      <w:divBdr>
                        <w:top w:val="single" w:sz="6" w:space="0" w:color="FFFFFF"/>
                        <w:left w:val="single" w:sz="6" w:space="0" w:color="FFFFFF"/>
                        <w:bottom w:val="single" w:sz="6" w:space="0" w:color="FFFFFF"/>
                        <w:right w:val="single" w:sz="6" w:space="0" w:color="FFFFFF"/>
                      </w:divBdr>
                      <w:divsChild>
                        <w:div w:id="299073657">
                          <w:marLeft w:val="0"/>
                          <w:marRight w:val="0"/>
                          <w:marTop w:val="1620"/>
                          <w:marBottom w:val="0"/>
                          <w:divBdr>
                            <w:top w:val="none" w:sz="0" w:space="0" w:color="auto"/>
                            <w:left w:val="none" w:sz="0" w:space="0" w:color="auto"/>
                            <w:bottom w:val="none" w:sz="0" w:space="0" w:color="auto"/>
                            <w:right w:val="none" w:sz="0" w:space="0" w:color="auto"/>
                          </w:divBdr>
                          <w:divsChild>
                            <w:div w:id="299073652">
                              <w:marLeft w:val="0"/>
                              <w:marRight w:val="0"/>
                              <w:marTop w:val="0"/>
                              <w:marBottom w:val="0"/>
                              <w:divBdr>
                                <w:top w:val="none" w:sz="0" w:space="0" w:color="auto"/>
                                <w:left w:val="none" w:sz="0" w:space="0" w:color="auto"/>
                                <w:bottom w:val="none" w:sz="0" w:space="0" w:color="auto"/>
                                <w:right w:val="none" w:sz="0" w:space="0" w:color="auto"/>
                              </w:divBdr>
                              <w:divsChild>
                                <w:div w:id="299073639">
                                  <w:marLeft w:val="0"/>
                                  <w:marRight w:val="0"/>
                                  <w:marTop w:val="0"/>
                                  <w:marBottom w:val="0"/>
                                  <w:divBdr>
                                    <w:top w:val="none" w:sz="0" w:space="0" w:color="auto"/>
                                    <w:left w:val="none" w:sz="0" w:space="0" w:color="auto"/>
                                    <w:bottom w:val="none" w:sz="0" w:space="0" w:color="auto"/>
                                    <w:right w:val="none" w:sz="0" w:space="0" w:color="auto"/>
                                  </w:divBdr>
                                  <w:divsChild>
                                    <w:div w:id="299073686">
                                      <w:marLeft w:val="0"/>
                                      <w:marRight w:val="0"/>
                                      <w:marTop w:val="0"/>
                                      <w:marBottom w:val="0"/>
                                      <w:divBdr>
                                        <w:top w:val="none" w:sz="0" w:space="0" w:color="auto"/>
                                        <w:left w:val="none" w:sz="0" w:space="0" w:color="auto"/>
                                        <w:bottom w:val="none" w:sz="0" w:space="0" w:color="auto"/>
                                        <w:right w:val="none" w:sz="0" w:space="0" w:color="auto"/>
                                      </w:divBdr>
                                      <w:divsChild>
                                        <w:div w:id="299073618">
                                          <w:marLeft w:val="0"/>
                                          <w:marRight w:val="0"/>
                                          <w:marTop w:val="0"/>
                                          <w:marBottom w:val="0"/>
                                          <w:divBdr>
                                            <w:top w:val="none" w:sz="0" w:space="0" w:color="auto"/>
                                            <w:left w:val="none" w:sz="0" w:space="0" w:color="auto"/>
                                            <w:bottom w:val="none" w:sz="0" w:space="0" w:color="auto"/>
                                            <w:right w:val="none" w:sz="0" w:space="0" w:color="auto"/>
                                          </w:divBdr>
                                        </w:div>
                                        <w:div w:id="29907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99073702">
      <w:marLeft w:val="0"/>
      <w:marRight w:val="0"/>
      <w:marTop w:val="0"/>
      <w:marBottom w:val="0"/>
      <w:divBdr>
        <w:top w:val="none" w:sz="0" w:space="0" w:color="auto"/>
        <w:left w:val="none" w:sz="0" w:space="0" w:color="auto"/>
        <w:bottom w:val="none" w:sz="0" w:space="0" w:color="auto"/>
        <w:right w:val="none" w:sz="0" w:space="0" w:color="auto"/>
      </w:divBdr>
      <w:divsChild>
        <w:div w:id="299073672">
          <w:marLeft w:val="30"/>
          <w:marRight w:val="0"/>
          <w:marTop w:val="0"/>
          <w:marBottom w:val="0"/>
          <w:divBdr>
            <w:top w:val="none" w:sz="0" w:space="0" w:color="auto"/>
            <w:left w:val="none" w:sz="0" w:space="0" w:color="auto"/>
            <w:bottom w:val="none" w:sz="0" w:space="0" w:color="auto"/>
            <w:right w:val="none" w:sz="0" w:space="0" w:color="auto"/>
          </w:divBdr>
          <w:divsChild>
            <w:div w:id="299073620">
              <w:marLeft w:val="0"/>
              <w:marRight w:val="0"/>
              <w:marTop w:val="180"/>
              <w:marBottom w:val="0"/>
              <w:divBdr>
                <w:top w:val="none" w:sz="0" w:space="0" w:color="auto"/>
                <w:left w:val="none" w:sz="0" w:space="0" w:color="auto"/>
                <w:bottom w:val="none" w:sz="0" w:space="0" w:color="auto"/>
                <w:right w:val="none" w:sz="0" w:space="0" w:color="auto"/>
              </w:divBdr>
              <w:divsChild>
                <w:div w:id="299073631">
                  <w:marLeft w:val="30"/>
                  <w:marRight w:val="30"/>
                  <w:marTop w:val="30"/>
                  <w:marBottom w:val="30"/>
                  <w:divBdr>
                    <w:top w:val="none" w:sz="0" w:space="0" w:color="auto"/>
                    <w:left w:val="none" w:sz="0" w:space="0" w:color="auto"/>
                    <w:bottom w:val="none" w:sz="0" w:space="0" w:color="auto"/>
                    <w:right w:val="none" w:sz="0" w:space="0" w:color="auto"/>
                  </w:divBdr>
                  <w:divsChild>
                    <w:div w:id="299073679">
                      <w:marLeft w:val="0"/>
                      <w:marRight w:val="0"/>
                      <w:marTop w:val="0"/>
                      <w:marBottom w:val="0"/>
                      <w:divBdr>
                        <w:top w:val="none" w:sz="0" w:space="0" w:color="auto"/>
                        <w:left w:val="single" w:sz="2" w:space="0" w:color="A1B0D3"/>
                        <w:bottom w:val="single" w:sz="2" w:space="0" w:color="A1B0D3"/>
                        <w:right w:val="single" w:sz="2" w:space="0" w:color="A1B0D3"/>
                      </w:divBdr>
                      <w:divsChild>
                        <w:div w:id="299073691">
                          <w:marLeft w:val="0"/>
                          <w:marRight w:val="0"/>
                          <w:marTop w:val="0"/>
                          <w:marBottom w:val="0"/>
                          <w:divBdr>
                            <w:top w:val="none" w:sz="0" w:space="0" w:color="auto"/>
                            <w:left w:val="none" w:sz="0" w:space="0" w:color="auto"/>
                            <w:bottom w:val="none" w:sz="0" w:space="0" w:color="auto"/>
                            <w:right w:val="none" w:sz="0" w:space="0" w:color="auto"/>
                          </w:divBdr>
                          <w:divsChild>
                            <w:div w:id="299073628">
                              <w:marLeft w:val="0"/>
                              <w:marRight w:val="0"/>
                              <w:marTop w:val="0"/>
                              <w:marBottom w:val="0"/>
                              <w:divBdr>
                                <w:top w:val="none" w:sz="0" w:space="0" w:color="auto"/>
                                <w:left w:val="single" w:sz="2" w:space="0" w:color="A1B0D3"/>
                                <w:bottom w:val="single" w:sz="2" w:space="0" w:color="A1B0D3"/>
                                <w:right w:val="single" w:sz="2" w:space="0" w:color="A1B0D3"/>
                              </w:divBdr>
                              <w:divsChild>
                                <w:div w:id="299073625">
                                  <w:marLeft w:val="0"/>
                                  <w:marRight w:val="0"/>
                                  <w:marTop w:val="0"/>
                                  <w:marBottom w:val="0"/>
                                  <w:divBdr>
                                    <w:top w:val="none" w:sz="0" w:space="0" w:color="auto"/>
                                    <w:left w:val="none" w:sz="0" w:space="0" w:color="auto"/>
                                    <w:bottom w:val="none" w:sz="0" w:space="0" w:color="auto"/>
                                    <w:right w:val="none" w:sz="0" w:space="0" w:color="auto"/>
                                  </w:divBdr>
                                </w:div>
                                <w:div w:id="299073688">
                                  <w:marLeft w:val="0"/>
                                  <w:marRight w:val="0"/>
                                  <w:marTop w:val="0"/>
                                  <w:marBottom w:val="0"/>
                                  <w:divBdr>
                                    <w:top w:val="none" w:sz="0" w:space="0" w:color="auto"/>
                                    <w:left w:val="none" w:sz="0" w:space="0" w:color="auto"/>
                                    <w:bottom w:val="none" w:sz="0" w:space="0" w:color="auto"/>
                                    <w:right w:val="none" w:sz="0" w:space="0" w:color="auto"/>
                                  </w:divBdr>
                                </w:div>
                                <w:div w:id="299073690">
                                  <w:marLeft w:val="0"/>
                                  <w:marRight w:val="0"/>
                                  <w:marTop w:val="0"/>
                                  <w:marBottom w:val="0"/>
                                  <w:divBdr>
                                    <w:top w:val="none" w:sz="0" w:space="0" w:color="auto"/>
                                    <w:left w:val="none" w:sz="0" w:space="0" w:color="auto"/>
                                    <w:bottom w:val="none" w:sz="0" w:space="0" w:color="auto"/>
                                    <w:right w:val="none" w:sz="0" w:space="0" w:color="auto"/>
                                  </w:divBdr>
                                  <w:divsChild>
                                    <w:div w:id="299073705">
                                      <w:marLeft w:val="0"/>
                                      <w:marRight w:val="0"/>
                                      <w:marTop w:val="0"/>
                                      <w:marBottom w:val="0"/>
                                      <w:divBdr>
                                        <w:top w:val="none" w:sz="0" w:space="0" w:color="auto"/>
                                        <w:left w:val="none" w:sz="0" w:space="0" w:color="auto"/>
                                        <w:bottom w:val="none" w:sz="0" w:space="0" w:color="auto"/>
                                        <w:right w:val="none" w:sz="0" w:space="0" w:color="auto"/>
                                      </w:divBdr>
                                    </w:div>
                                  </w:divsChild>
                                </w:div>
                                <w:div w:id="299073704">
                                  <w:marLeft w:val="0"/>
                                  <w:marRight w:val="0"/>
                                  <w:marTop w:val="0"/>
                                  <w:marBottom w:val="0"/>
                                  <w:divBdr>
                                    <w:top w:val="none" w:sz="0" w:space="0" w:color="auto"/>
                                    <w:left w:val="none" w:sz="0" w:space="0" w:color="auto"/>
                                    <w:bottom w:val="none" w:sz="0" w:space="0" w:color="auto"/>
                                    <w:right w:val="none" w:sz="0" w:space="0" w:color="auto"/>
                                  </w:divBdr>
                                </w:div>
                                <w:div w:id="299073710">
                                  <w:marLeft w:val="0"/>
                                  <w:marRight w:val="0"/>
                                  <w:marTop w:val="0"/>
                                  <w:marBottom w:val="150"/>
                                  <w:divBdr>
                                    <w:top w:val="none" w:sz="0" w:space="0" w:color="auto"/>
                                    <w:left w:val="none" w:sz="0" w:space="0" w:color="auto"/>
                                    <w:bottom w:val="none" w:sz="0" w:space="0" w:color="auto"/>
                                    <w:right w:val="none" w:sz="0" w:space="0" w:color="auto"/>
                                  </w:divBdr>
                                </w:div>
                              </w:divsChild>
                            </w:div>
                            <w:div w:id="299073635">
                              <w:marLeft w:val="0"/>
                              <w:marRight w:val="0"/>
                              <w:marTop w:val="0"/>
                              <w:marBottom w:val="0"/>
                              <w:divBdr>
                                <w:top w:val="none" w:sz="0" w:space="0" w:color="auto"/>
                                <w:left w:val="single" w:sz="2" w:space="0" w:color="A1B0D3"/>
                                <w:bottom w:val="single" w:sz="2" w:space="0" w:color="A1B0D3"/>
                                <w:right w:val="single" w:sz="2" w:space="0" w:color="A1B0D3"/>
                              </w:divBdr>
                              <w:divsChild>
                                <w:div w:id="299073606">
                                  <w:marLeft w:val="0"/>
                                  <w:marRight w:val="0"/>
                                  <w:marTop w:val="0"/>
                                  <w:marBottom w:val="0"/>
                                  <w:divBdr>
                                    <w:top w:val="none" w:sz="0" w:space="0" w:color="auto"/>
                                    <w:left w:val="none" w:sz="0" w:space="0" w:color="auto"/>
                                    <w:bottom w:val="none" w:sz="0" w:space="0" w:color="auto"/>
                                    <w:right w:val="none" w:sz="0" w:space="0" w:color="auto"/>
                                  </w:divBdr>
                                </w:div>
                                <w:div w:id="299073642">
                                  <w:marLeft w:val="0"/>
                                  <w:marRight w:val="0"/>
                                  <w:marTop w:val="0"/>
                                  <w:marBottom w:val="150"/>
                                  <w:divBdr>
                                    <w:top w:val="none" w:sz="0" w:space="0" w:color="auto"/>
                                    <w:left w:val="none" w:sz="0" w:space="0" w:color="auto"/>
                                    <w:bottom w:val="none" w:sz="0" w:space="0" w:color="auto"/>
                                    <w:right w:val="none" w:sz="0" w:space="0" w:color="auto"/>
                                  </w:divBdr>
                                </w:div>
                                <w:div w:id="299073680">
                                  <w:marLeft w:val="0"/>
                                  <w:marRight w:val="0"/>
                                  <w:marTop w:val="0"/>
                                  <w:marBottom w:val="0"/>
                                  <w:divBdr>
                                    <w:top w:val="none" w:sz="0" w:space="0" w:color="auto"/>
                                    <w:left w:val="none" w:sz="0" w:space="0" w:color="auto"/>
                                    <w:bottom w:val="none" w:sz="0" w:space="0" w:color="auto"/>
                                    <w:right w:val="none" w:sz="0" w:space="0" w:color="auto"/>
                                  </w:divBdr>
                                </w:div>
                              </w:divsChild>
                            </w:div>
                            <w:div w:id="299073640">
                              <w:marLeft w:val="0"/>
                              <w:marRight w:val="0"/>
                              <w:marTop w:val="0"/>
                              <w:marBottom w:val="0"/>
                              <w:divBdr>
                                <w:top w:val="none" w:sz="0" w:space="0" w:color="auto"/>
                                <w:left w:val="single" w:sz="2" w:space="0" w:color="A1B0D3"/>
                                <w:bottom w:val="single" w:sz="2" w:space="0" w:color="A1B0D3"/>
                                <w:right w:val="single" w:sz="2" w:space="0" w:color="A1B0D3"/>
                              </w:divBdr>
                              <w:divsChild>
                                <w:div w:id="299073603">
                                  <w:marLeft w:val="0"/>
                                  <w:marRight w:val="0"/>
                                  <w:marTop w:val="0"/>
                                  <w:marBottom w:val="0"/>
                                  <w:divBdr>
                                    <w:top w:val="none" w:sz="0" w:space="0" w:color="auto"/>
                                    <w:left w:val="none" w:sz="0" w:space="0" w:color="auto"/>
                                    <w:bottom w:val="none" w:sz="0" w:space="0" w:color="auto"/>
                                    <w:right w:val="none" w:sz="0" w:space="0" w:color="auto"/>
                                  </w:divBdr>
                                  <w:divsChild>
                                    <w:div w:id="299073650">
                                      <w:marLeft w:val="0"/>
                                      <w:marRight w:val="0"/>
                                      <w:marTop w:val="0"/>
                                      <w:marBottom w:val="0"/>
                                      <w:divBdr>
                                        <w:top w:val="none" w:sz="0" w:space="0" w:color="auto"/>
                                        <w:left w:val="none" w:sz="0" w:space="0" w:color="auto"/>
                                        <w:bottom w:val="none" w:sz="0" w:space="0" w:color="auto"/>
                                        <w:right w:val="none" w:sz="0" w:space="0" w:color="auto"/>
                                      </w:divBdr>
                                    </w:div>
                                  </w:divsChild>
                                </w:div>
                                <w:div w:id="299073634">
                                  <w:marLeft w:val="0"/>
                                  <w:marRight w:val="0"/>
                                  <w:marTop w:val="0"/>
                                  <w:marBottom w:val="0"/>
                                  <w:divBdr>
                                    <w:top w:val="none" w:sz="0" w:space="0" w:color="auto"/>
                                    <w:left w:val="none" w:sz="0" w:space="0" w:color="auto"/>
                                    <w:bottom w:val="none" w:sz="0" w:space="0" w:color="auto"/>
                                    <w:right w:val="none" w:sz="0" w:space="0" w:color="auto"/>
                                  </w:divBdr>
                                </w:div>
                                <w:div w:id="299073654">
                                  <w:marLeft w:val="0"/>
                                  <w:marRight w:val="0"/>
                                  <w:marTop w:val="0"/>
                                  <w:marBottom w:val="150"/>
                                  <w:divBdr>
                                    <w:top w:val="none" w:sz="0" w:space="0" w:color="auto"/>
                                    <w:left w:val="none" w:sz="0" w:space="0" w:color="auto"/>
                                    <w:bottom w:val="none" w:sz="0" w:space="0" w:color="auto"/>
                                    <w:right w:val="none" w:sz="0" w:space="0" w:color="auto"/>
                                  </w:divBdr>
                                </w:div>
                                <w:div w:id="299073665">
                                  <w:marLeft w:val="0"/>
                                  <w:marRight w:val="0"/>
                                  <w:marTop w:val="0"/>
                                  <w:marBottom w:val="0"/>
                                  <w:divBdr>
                                    <w:top w:val="none" w:sz="0" w:space="0" w:color="auto"/>
                                    <w:left w:val="none" w:sz="0" w:space="0" w:color="auto"/>
                                    <w:bottom w:val="none" w:sz="0" w:space="0" w:color="auto"/>
                                    <w:right w:val="none" w:sz="0" w:space="0" w:color="auto"/>
                                  </w:divBdr>
                                </w:div>
                                <w:div w:id="299073711">
                                  <w:marLeft w:val="0"/>
                                  <w:marRight w:val="0"/>
                                  <w:marTop w:val="0"/>
                                  <w:marBottom w:val="0"/>
                                  <w:divBdr>
                                    <w:top w:val="none" w:sz="0" w:space="0" w:color="auto"/>
                                    <w:left w:val="none" w:sz="0" w:space="0" w:color="auto"/>
                                    <w:bottom w:val="none" w:sz="0" w:space="0" w:color="auto"/>
                                    <w:right w:val="none" w:sz="0" w:space="0" w:color="auto"/>
                                  </w:divBdr>
                                </w:div>
                              </w:divsChild>
                            </w:div>
                            <w:div w:id="299073698">
                              <w:marLeft w:val="0"/>
                              <w:marRight w:val="0"/>
                              <w:marTop w:val="0"/>
                              <w:marBottom w:val="0"/>
                              <w:divBdr>
                                <w:top w:val="none" w:sz="0" w:space="0" w:color="auto"/>
                                <w:left w:val="single" w:sz="2" w:space="0" w:color="A1B0D3"/>
                                <w:bottom w:val="single" w:sz="2" w:space="0" w:color="A1B0D3"/>
                                <w:right w:val="single" w:sz="2" w:space="0" w:color="A1B0D3"/>
                              </w:divBdr>
                              <w:divsChild>
                                <w:div w:id="299073632">
                                  <w:marLeft w:val="0"/>
                                  <w:marRight w:val="0"/>
                                  <w:marTop w:val="0"/>
                                  <w:marBottom w:val="0"/>
                                  <w:divBdr>
                                    <w:top w:val="none" w:sz="0" w:space="0" w:color="auto"/>
                                    <w:left w:val="none" w:sz="0" w:space="0" w:color="auto"/>
                                    <w:bottom w:val="none" w:sz="0" w:space="0" w:color="auto"/>
                                    <w:right w:val="none" w:sz="0" w:space="0" w:color="auto"/>
                                  </w:divBdr>
                                  <w:divsChild>
                                    <w:div w:id="299073645">
                                      <w:marLeft w:val="0"/>
                                      <w:marRight w:val="0"/>
                                      <w:marTop w:val="0"/>
                                      <w:marBottom w:val="0"/>
                                      <w:divBdr>
                                        <w:top w:val="none" w:sz="0" w:space="0" w:color="auto"/>
                                        <w:left w:val="none" w:sz="0" w:space="0" w:color="auto"/>
                                        <w:bottom w:val="none" w:sz="0" w:space="0" w:color="auto"/>
                                        <w:right w:val="none" w:sz="0" w:space="0" w:color="auto"/>
                                      </w:divBdr>
                                    </w:div>
                                  </w:divsChild>
                                </w:div>
                                <w:div w:id="299073647">
                                  <w:marLeft w:val="0"/>
                                  <w:marRight w:val="0"/>
                                  <w:marTop w:val="0"/>
                                  <w:marBottom w:val="0"/>
                                  <w:divBdr>
                                    <w:top w:val="none" w:sz="0" w:space="0" w:color="auto"/>
                                    <w:left w:val="none" w:sz="0" w:space="0" w:color="auto"/>
                                    <w:bottom w:val="none" w:sz="0" w:space="0" w:color="auto"/>
                                    <w:right w:val="none" w:sz="0" w:space="0" w:color="auto"/>
                                  </w:divBdr>
                                </w:div>
                                <w:div w:id="299073648">
                                  <w:marLeft w:val="0"/>
                                  <w:marRight w:val="0"/>
                                  <w:marTop w:val="0"/>
                                  <w:marBottom w:val="0"/>
                                  <w:divBdr>
                                    <w:top w:val="none" w:sz="0" w:space="0" w:color="auto"/>
                                    <w:left w:val="none" w:sz="0" w:space="0" w:color="auto"/>
                                    <w:bottom w:val="none" w:sz="0" w:space="0" w:color="auto"/>
                                    <w:right w:val="none" w:sz="0" w:space="0" w:color="auto"/>
                                  </w:divBdr>
                                </w:div>
                                <w:div w:id="299073692">
                                  <w:marLeft w:val="0"/>
                                  <w:marRight w:val="0"/>
                                  <w:marTop w:val="0"/>
                                  <w:marBottom w:val="0"/>
                                  <w:divBdr>
                                    <w:top w:val="none" w:sz="0" w:space="0" w:color="auto"/>
                                    <w:left w:val="none" w:sz="0" w:space="0" w:color="auto"/>
                                    <w:bottom w:val="none" w:sz="0" w:space="0" w:color="auto"/>
                                    <w:right w:val="none" w:sz="0" w:space="0" w:color="auto"/>
                                  </w:divBdr>
                                </w:div>
                                <w:div w:id="29907369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9073717">
      <w:marLeft w:val="0"/>
      <w:marRight w:val="0"/>
      <w:marTop w:val="0"/>
      <w:marBottom w:val="0"/>
      <w:divBdr>
        <w:top w:val="none" w:sz="0" w:space="0" w:color="auto"/>
        <w:left w:val="none" w:sz="0" w:space="0" w:color="auto"/>
        <w:bottom w:val="none" w:sz="0" w:space="0" w:color="auto"/>
        <w:right w:val="none" w:sz="0" w:space="0" w:color="auto"/>
      </w:divBdr>
      <w:divsChild>
        <w:div w:id="299073719">
          <w:marLeft w:val="0"/>
          <w:marRight w:val="0"/>
          <w:marTop w:val="0"/>
          <w:marBottom w:val="0"/>
          <w:divBdr>
            <w:top w:val="none" w:sz="0" w:space="0" w:color="auto"/>
            <w:left w:val="none" w:sz="0" w:space="0" w:color="auto"/>
            <w:bottom w:val="none" w:sz="0" w:space="0" w:color="auto"/>
            <w:right w:val="none" w:sz="0" w:space="0" w:color="auto"/>
          </w:divBdr>
          <w:divsChild>
            <w:div w:id="29907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073720">
      <w:marLeft w:val="0"/>
      <w:marRight w:val="0"/>
      <w:marTop w:val="0"/>
      <w:marBottom w:val="0"/>
      <w:divBdr>
        <w:top w:val="none" w:sz="0" w:space="0" w:color="auto"/>
        <w:left w:val="none" w:sz="0" w:space="0" w:color="auto"/>
        <w:bottom w:val="none" w:sz="0" w:space="0" w:color="auto"/>
        <w:right w:val="none" w:sz="0" w:space="0" w:color="auto"/>
      </w:divBdr>
      <w:divsChild>
        <w:div w:id="299073715">
          <w:marLeft w:val="0"/>
          <w:marRight w:val="0"/>
          <w:marTop w:val="0"/>
          <w:marBottom w:val="0"/>
          <w:divBdr>
            <w:top w:val="none" w:sz="0" w:space="0" w:color="auto"/>
            <w:left w:val="none" w:sz="0" w:space="0" w:color="auto"/>
            <w:bottom w:val="none" w:sz="0" w:space="0" w:color="auto"/>
            <w:right w:val="none" w:sz="0" w:space="0" w:color="auto"/>
          </w:divBdr>
          <w:divsChild>
            <w:div w:id="29907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584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jstor.org/action/showPublication?journalCode=jaccorese" TargetMode="External"/><Relationship Id="rId18" Type="http://schemas.openxmlformats.org/officeDocument/2006/relationships/hyperlink" Target="http://www.france24.com" TargetMode="External"/><Relationship Id="rId26" Type="http://schemas.openxmlformats.org/officeDocument/2006/relationships/hyperlink" Target="http://www.la-moncloa.es/NR/rdonlyres/2E85E75E-E2D9-4148-B1DF-950B06696A6C/74823/Chapter_2.PDF" TargetMode="External"/><Relationship Id="rId3" Type="http://schemas.openxmlformats.org/officeDocument/2006/relationships/settings" Target="settings.xml"/><Relationship Id="rId21" Type="http://schemas.openxmlformats.org/officeDocument/2006/relationships/hyperlink" Target="http://www.stats.oecd.org" TargetMode="Externa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hyperlink" Target="http://www.cia.gov" TargetMode="External"/><Relationship Id="rId25" Type="http://schemas.openxmlformats.org/officeDocument/2006/relationships/hyperlink" Target="http://www.iht.com/articles/2008/07/13/business/fortis.php" TargetMode="External"/><Relationship Id="rId2" Type="http://schemas.openxmlformats.org/officeDocument/2006/relationships/styles" Target="styles.xml"/><Relationship Id="rId16" Type="http://schemas.openxmlformats.org/officeDocument/2006/relationships/hyperlink" Target="http://www.bloomberg.com" TargetMode="External"/><Relationship Id="rId20" Type="http://schemas.openxmlformats.org/officeDocument/2006/relationships/hyperlink" Target="http://www.stat.gov"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www.telegraph.co.uk/money/main.jhtml?xml=/money/2008/03/11/cnirish111.xml" TargetMode="External"/><Relationship Id="rId5" Type="http://schemas.openxmlformats.org/officeDocument/2006/relationships/footnotes" Target="footnotes.xml"/><Relationship Id="rId15" Type="http://schemas.openxmlformats.org/officeDocument/2006/relationships/hyperlink" Target="http://www.jstor.org/action/showPublisher?publisherCode=grad-uchicago" TargetMode="External"/><Relationship Id="rId23" Type="http://schemas.openxmlformats.org/officeDocument/2006/relationships/hyperlink" Target="http://en.wikipedia.org/wiki/Charles_Emrys_Smith" TargetMode="External"/><Relationship Id="rId28" Type="http://schemas.openxmlformats.org/officeDocument/2006/relationships/hyperlink" Target="http://www.guardian.co.uk/world/2006/jul/26/spain.gilestremlett" TargetMode="External"/><Relationship Id="rId10" Type="http://schemas.openxmlformats.org/officeDocument/2006/relationships/footer" Target="footer2.xml"/><Relationship Id="rId19" Type="http://schemas.openxmlformats.org/officeDocument/2006/relationships/hyperlink" Target="http://www.hdr.undp.org"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jstor.org/action/showPublisher?publisherCode=black" TargetMode="External"/><Relationship Id="rId22" Type="http://schemas.openxmlformats.org/officeDocument/2006/relationships/hyperlink" Target="http://www.destorn.nl" TargetMode="External"/><Relationship Id="rId27" Type="http://schemas.openxmlformats.org/officeDocument/2006/relationships/hyperlink" Target="http://www.forbes.com/2009/05/27/recession-depression-global-economy-growth-opinions-columnists-nouriel-roubini.html"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93</Pages>
  <Words>25268</Words>
  <Characters>138976</Characters>
  <Application>Microsoft Office Word</Application>
  <DocSecurity>0</DocSecurity>
  <Lines>1158</Lines>
  <Paragraphs>327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realtionship between accounting conservatism and west-European bank performance during the recent financial crisis.</vt:lpstr>
      <vt:lpstr>The realtionship between accounting conservatism and west-European bank performance during the recent financial crisis.</vt:lpstr>
    </vt:vector>
  </TitlesOfParts>
  <Company>Erasmus University Rotterdam</Company>
  <LinksUpToDate>false</LinksUpToDate>
  <CharactersWithSpaces>163917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realtionship between accounting conservatism and west-European bank performance during the recent financial crisis.</dc:title>
  <dc:subject>An empirical study of conservatism in the West-European banking sector</dc:subject>
  <dc:creator>Universiteitsbibliotheek</dc:creator>
  <cp:lastModifiedBy>Tarik</cp:lastModifiedBy>
  <cp:revision>2</cp:revision>
  <cp:lastPrinted>2010-07-29T15:15:00Z</cp:lastPrinted>
  <dcterms:created xsi:type="dcterms:W3CDTF">2010-07-29T15:22:00Z</dcterms:created>
  <dcterms:modified xsi:type="dcterms:W3CDTF">2010-07-29T15:22:00Z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y fmtid="{D5CDD505-2E9C-101B-9397-08002B2CF9AE}" pid="3" name="KISLanguage">
    <vt:lpwstr>\ID2004 Engels</vt:lpwstr>
  </property>
  <property fmtid="{D5CDD505-2E9C-101B-9397-08002B2CF9AE}" pid="4" name="KISTemplate">
    <vt:lpwstr>What is the reason that the accounting conservatism principle didn’t succeed in the Dutch banking sector</vt:lpwstr>
  </property>
</Properties>
</file>