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3CA" w:rsidRPr="00316DA4" w:rsidRDefault="009623CA" w:rsidP="00316DA4">
      <w:pPr>
        <w:jc w:val="center"/>
        <w:rPr>
          <w:b/>
          <w:sz w:val="40"/>
          <w:szCs w:val="40"/>
        </w:rPr>
      </w:pPr>
      <w:r w:rsidRPr="00316DA4">
        <w:rPr>
          <w:b/>
          <w:sz w:val="40"/>
          <w:szCs w:val="40"/>
        </w:rPr>
        <w:t>Nationale preferentievorming in de EU</w:t>
      </w:r>
    </w:p>
    <w:p w:rsidR="009623CA" w:rsidRDefault="009623CA" w:rsidP="00316DA4">
      <w:pPr>
        <w:jc w:val="center"/>
        <w:rPr>
          <w:b/>
          <w:sz w:val="36"/>
          <w:szCs w:val="36"/>
        </w:rPr>
      </w:pPr>
    </w:p>
    <w:p w:rsidR="009623CA" w:rsidRDefault="009623CA" w:rsidP="00316DA4">
      <w:pPr>
        <w:jc w:val="center"/>
        <w:rPr>
          <w:b/>
          <w:sz w:val="36"/>
          <w:szCs w:val="36"/>
        </w:rPr>
      </w:pPr>
    </w:p>
    <w:p w:rsidR="009623CA" w:rsidRDefault="009623CA" w:rsidP="00316DA4">
      <w:pPr>
        <w:jc w:val="center"/>
        <w:rPr>
          <w:b/>
          <w:sz w:val="36"/>
          <w:szCs w:val="36"/>
        </w:rPr>
      </w:pPr>
      <w:r>
        <w:rPr>
          <w:b/>
          <w:sz w:val="36"/>
          <w:szCs w:val="36"/>
        </w:rPr>
        <w:t>De nationale preferentie: hoe komt deze tot stand en wat is de invloed van religie?</w:t>
      </w:r>
    </w:p>
    <w:p w:rsidR="009623CA" w:rsidRDefault="009623CA">
      <w:pPr>
        <w:rPr>
          <w:b/>
          <w:sz w:val="36"/>
          <w:szCs w:val="36"/>
        </w:rPr>
      </w:pPr>
    </w:p>
    <w:p w:rsidR="009623CA" w:rsidRPr="00316DA4" w:rsidRDefault="009623CA" w:rsidP="00316DA4">
      <w:pPr>
        <w:jc w:val="center"/>
        <w:rPr>
          <w:b/>
          <w:sz w:val="28"/>
          <w:szCs w:val="28"/>
        </w:rPr>
      </w:pPr>
      <w:r w:rsidRPr="00316DA4">
        <w:rPr>
          <w:b/>
          <w:sz w:val="28"/>
          <w:szCs w:val="28"/>
        </w:rPr>
        <w:t>Roderik van Zijderveld</w:t>
      </w:r>
    </w:p>
    <w:p w:rsidR="009623CA" w:rsidRPr="00316DA4" w:rsidRDefault="009623CA" w:rsidP="00316DA4">
      <w:pPr>
        <w:jc w:val="center"/>
        <w:rPr>
          <w:b/>
          <w:sz w:val="40"/>
          <w:szCs w:val="40"/>
        </w:rPr>
      </w:pPr>
      <w:r>
        <w:rPr>
          <w:b/>
          <w:sz w:val="36"/>
          <w:szCs w:val="36"/>
        </w:rPr>
        <w:br w:type="page"/>
      </w:r>
      <w:r w:rsidRPr="00316DA4">
        <w:rPr>
          <w:b/>
          <w:sz w:val="40"/>
          <w:szCs w:val="40"/>
        </w:rPr>
        <w:t>Nationale preferentievorming in de EU</w:t>
      </w:r>
    </w:p>
    <w:p w:rsidR="009623CA" w:rsidRDefault="009623CA" w:rsidP="00316DA4">
      <w:pPr>
        <w:jc w:val="center"/>
        <w:rPr>
          <w:b/>
          <w:sz w:val="36"/>
          <w:szCs w:val="36"/>
        </w:rPr>
      </w:pPr>
      <w:r>
        <w:rPr>
          <w:b/>
          <w:sz w:val="36"/>
          <w:szCs w:val="36"/>
        </w:rPr>
        <w:t>De nationale preferentie: hoe komt deze tot stand en wat is de invloed van religie?</w:t>
      </w:r>
    </w:p>
    <w:p w:rsidR="009623CA" w:rsidRDefault="009623CA" w:rsidP="00316DA4">
      <w:pPr>
        <w:rPr>
          <w:b/>
          <w:sz w:val="36"/>
          <w:szCs w:val="36"/>
        </w:rPr>
      </w:pPr>
    </w:p>
    <w:p w:rsidR="009623CA" w:rsidRDefault="009623CA" w:rsidP="00316DA4">
      <w:pPr>
        <w:rPr>
          <w:b/>
          <w:sz w:val="28"/>
          <w:szCs w:val="28"/>
        </w:rPr>
      </w:pPr>
    </w:p>
    <w:p w:rsidR="009623CA" w:rsidRDefault="009623CA" w:rsidP="00316DA4">
      <w:pPr>
        <w:rPr>
          <w:b/>
          <w:sz w:val="28"/>
          <w:szCs w:val="28"/>
        </w:rPr>
      </w:pPr>
    </w:p>
    <w:p w:rsidR="009623CA" w:rsidRDefault="009623CA" w:rsidP="00316DA4">
      <w:pPr>
        <w:rPr>
          <w:b/>
          <w:sz w:val="28"/>
          <w:szCs w:val="28"/>
        </w:rPr>
      </w:pPr>
    </w:p>
    <w:p w:rsidR="009623CA" w:rsidRDefault="009623CA" w:rsidP="00316DA4">
      <w:pPr>
        <w:rPr>
          <w:b/>
          <w:sz w:val="28"/>
          <w:szCs w:val="28"/>
        </w:rPr>
      </w:pPr>
    </w:p>
    <w:p w:rsidR="009623CA" w:rsidRDefault="009623CA" w:rsidP="00316DA4">
      <w:pPr>
        <w:rPr>
          <w:b/>
          <w:sz w:val="28"/>
          <w:szCs w:val="28"/>
        </w:rPr>
      </w:pPr>
    </w:p>
    <w:p w:rsidR="009623CA" w:rsidRDefault="009623CA" w:rsidP="00316DA4">
      <w:pPr>
        <w:rPr>
          <w:b/>
          <w:sz w:val="28"/>
          <w:szCs w:val="28"/>
        </w:rPr>
      </w:pPr>
    </w:p>
    <w:p w:rsidR="009623CA" w:rsidRDefault="009623CA" w:rsidP="00316DA4">
      <w:pPr>
        <w:rPr>
          <w:b/>
          <w:sz w:val="28"/>
          <w:szCs w:val="28"/>
        </w:rPr>
      </w:pPr>
    </w:p>
    <w:p w:rsidR="009623CA" w:rsidRDefault="009623CA" w:rsidP="00316DA4">
      <w:pPr>
        <w:jc w:val="center"/>
        <w:rPr>
          <w:b/>
          <w:sz w:val="28"/>
          <w:szCs w:val="28"/>
        </w:rPr>
      </w:pPr>
      <w:r w:rsidRPr="00316DA4">
        <w:rPr>
          <w:b/>
          <w:sz w:val="28"/>
          <w:szCs w:val="28"/>
        </w:rPr>
        <w:t>Roderik van Zijderveld</w:t>
      </w:r>
    </w:p>
    <w:p w:rsidR="009623CA" w:rsidRPr="00316DA4" w:rsidRDefault="009623CA" w:rsidP="00316DA4">
      <w:pPr>
        <w:jc w:val="center"/>
        <w:rPr>
          <w:b/>
          <w:sz w:val="28"/>
          <w:szCs w:val="28"/>
        </w:rPr>
      </w:pPr>
      <w:r>
        <w:rPr>
          <w:b/>
          <w:sz w:val="28"/>
          <w:szCs w:val="28"/>
        </w:rPr>
        <w:t>288356</w:t>
      </w:r>
    </w:p>
    <w:p w:rsidR="009623CA" w:rsidRDefault="009623CA">
      <w:pPr>
        <w:rPr>
          <w:b/>
          <w:sz w:val="36"/>
          <w:szCs w:val="36"/>
        </w:rPr>
      </w:pPr>
    </w:p>
    <w:p w:rsidR="009623CA" w:rsidRDefault="009623CA">
      <w:pPr>
        <w:rPr>
          <w:b/>
          <w:sz w:val="36"/>
          <w:szCs w:val="36"/>
        </w:rPr>
      </w:pPr>
    </w:p>
    <w:p w:rsidR="009623CA" w:rsidRPr="00316DA4" w:rsidRDefault="009623CA" w:rsidP="00E650D2">
      <w:pPr>
        <w:spacing w:line="360" w:lineRule="auto"/>
      </w:pPr>
    </w:p>
    <w:p w:rsidR="009623CA" w:rsidRDefault="009623CA" w:rsidP="00316DA4">
      <w:pPr>
        <w:spacing w:line="360" w:lineRule="auto"/>
        <w:jc w:val="right"/>
      </w:pPr>
      <w:r>
        <w:t>Masterthesis Bestuurskunde Beleid &amp; Politiek</w:t>
      </w:r>
    </w:p>
    <w:p w:rsidR="009623CA" w:rsidRDefault="009623CA" w:rsidP="00316DA4">
      <w:pPr>
        <w:spacing w:line="360" w:lineRule="auto"/>
        <w:jc w:val="right"/>
      </w:pPr>
      <w:r>
        <w:t xml:space="preserve">Erasmus Universiteit Rotterdam </w:t>
      </w:r>
    </w:p>
    <w:p w:rsidR="009623CA" w:rsidRDefault="009623CA" w:rsidP="00316DA4">
      <w:pPr>
        <w:spacing w:line="360" w:lineRule="auto"/>
        <w:jc w:val="right"/>
      </w:pPr>
      <w:r>
        <w:t>Begeleider: Dr. M. Haverland</w:t>
      </w:r>
    </w:p>
    <w:p w:rsidR="009623CA" w:rsidRDefault="009623CA" w:rsidP="00316DA4">
      <w:pPr>
        <w:spacing w:line="360" w:lineRule="auto"/>
        <w:jc w:val="right"/>
      </w:pPr>
      <w:r>
        <w:t>Tweede lezer: Dr. P.W. A. Scholten</w:t>
      </w:r>
    </w:p>
    <w:p w:rsidR="009623CA" w:rsidRPr="00316DA4" w:rsidRDefault="009623CA" w:rsidP="00316DA4">
      <w:pPr>
        <w:spacing w:line="360" w:lineRule="auto"/>
        <w:jc w:val="right"/>
      </w:pPr>
      <w:r>
        <w:t>Juni 2010</w:t>
      </w:r>
    </w:p>
    <w:p w:rsidR="009623CA" w:rsidRPr="00316DA4" w:rsidRDefault="009623CA" w:rsidP="00E650D2">
      <w:pPr>
        <w:spacing w:line="360" w:lineRule="auto"/>
      </w:pPr>
    </w:p>
    <w:p w:rsidR="009623CA" w:rsidRPr="00316DA4" w:rsidRDefault="009623CA" w:rsidP="00EF2A30">
      <w:pPr>
        <w:pStyle w:val="Heading1"/>
        <w:spacing w:line="360" w:lineRule="auto"/>
      </w:pPr>
      <w:bookmarkStart w:id="0" w:name="_Toc261538634"/>
      <w:r>
        <w:br w:type="page"/>
      </w:r>
      <w:r w:rsidRPr="00316DA4">
        <w:t>Voorwoord</w:t>
      </w:r>
      <w:bookmarkEnd w:id="0"/>
    </w:p>
    <w:p w:rsidR="009623CA" w:rsidRPr="00316DA4" w:rsidRDefault="009623CA" w:rsidP="00E8370E">
      <w:pPr>
        <w:spacing w:line="360" w:lineRule="auto"/>
        <w:jc w:val="both"/>
      </w:pPr>
      <w:r w:rsidRPr="00316DA4">
        <w:t xml:space="preserve">Je begint ergens aan en dan moet je het ook afmaken. Dat is iets wat zeker voor deze scriptie geldt. Meer dan 18 maanden geleden heb ik de eerste stappen gezet die uiteindelijk hebben geleid tot deze scriptie. </w:t>
      </w:r>
    </w:p>
    <w:p w:rsidR="009623CA" w:rsidRPr="00316DA4" w:rsidRDefault="009623CA" w:rsidP="00E8370E">
      <w:pPr>
        <w:spacing w:line="360" w:lineRule="auto"/>
        <w:jc w:val="both"/>
      </w:pPr>
      <w:r w:rsidRPr="00316DA4">
        <w:t>Wat begon als een idee om mijn onderzoek te richten op het land waar ik mijn stage zou gaan volbrengen, is geëindigd in een vergelijkend onderzoek tussen vier landen, waar Malta slechts een klein deel van uitmaakt. Aan het begin van mijn stageperiode was Malta juist het hoofddoel. Proberen te doorgronden hoe het Maltese bestuur in elkaar zit en hoe machtig die Katholieke Kerk daar nou echt is. Helaas is het nooit zover gekomen. De Nederlandse Ambassade in Valletta was desalniettemin  een mooie plaats om stage te lopen. Ik wil de medewerkers van de ambassade dan ook hartelijk danken voor hun steun tijdens mijn periode op Malta.</w:t>
      </w:r>
    </w:p>
    <w:p w:rsidR="009623CA" w:rsidRPr="00316DA4" w:rsidRDefault="009623CA" w:rsidP="00E8370E">
      <w:pPr>
        <w:spacing w:line="360" w:lineRule="auto"/>
        <w:jc w:val="both"/>
      </w:pPr>
      <w:r w:rsidRPr="00316DA4">
        <w:t>Na  Malta in allerijl te hebben verlaten terwijl ik nog midden in mijn stage en onderzoek zat, moesten de prioriteiten nodig even verlegd worden. In plaats van lekker in de zon mijn scriptie schrijven werd het een lange zomer aan de chemo. Die lange zomer was uiteindelijk niet voor niks. Half gesloopt, maar weer helemaal beter, kwam ik er uit. Het duurde dan ook wel weer even voordat ik het weer kon opbrengen om serieus verder te gaan met mijn scriptie. En waar moest ik dan beginnen? Mijn eerste onderzoeksplan was volledig in duigen gevallen en er moest een nieuw lijn uitgezet worden. Na beter worden was afstuderen wederom het doel geworden.</w:t>
      </w:r>
    </w:p>
    <w:p w:rsidR="009623CA" w:rsidRPr="00316DA4" w:rsidRDefault="009623CA" w:rsidP="00E8370E">
      <w:pPr>
        <w:spacing w:line="360" w:lineRule="auto"/>
        <w:jc w:val="both"/>
      </w:pPr>
      <w:r w:rsidRPr="00316DA4">
        <w:t xml:space="preserve">Na het onderzoeksplan met behulp van mijn begeleider Markus Haverland grondig herzien te hebben, kon ik verder. Ik wil hem dan ook bedanken voor zijn ondersteuning gedurende de gehele periode. De motivatie was soms ver te zoeken, maar naar mate de tijd vorderde, kwam deze wel weer terug. Dit was mede te danken aan de vele aansporingen uit mijn naaste omgeving, waarvoor ik Miriam, mijn familie en vrienden dan ook graag voor wil bedanken. </w:t>
      </w:r>
    </w:p>
    <w:p w:rsidR="009623CA" w:rsidRPr="00316DA4" w:rsidRDefault="009623CA" w:rsidP="00E8370E">
      <w:pPr>
        <w:spacing w:line="360" w:lineRule="auto"/>
        <w:jc w:val="both"/>
      </w:pPr>
      <w:r w:rsidRPr="00316DA4">
        <w:t>Uiteindelijk is het dus een scriptie geworden die totaal anders is geworden dan waar ik lang geleden aan begon. Gezien de omstandigheden heb ik daar echter vrede mee. Het is een breed onderzoek geworden, waar in ieder geval nog een klein stukje Malta in is teruggekomen. En hoewel het lang geduurd heeft en het proces totaal niet naar wens is verlopen, ben ik gewoon heel gelukkig met het feit dat ik mijn scriptie en mijn studie überhaupt heb kunnen voltooien.</w:t>
      </w:r>
    </w:p>
    <w:p w:rsidR="009623CA" w:rsidRPr="00316DA4" w:rsidRDefault="009623CA" w:rsidP="00EF2A30"/>
    <w:p w:rsidR="009623CA" w:rsidRPr="00316DA4" w:rsidRDefault="009623CA" w:rsidP="00EE4710"/>
    <w:p w:rsidR="009623CA" w:rsidRPr="00316DA4" w:rsidRDefault="009623CA" w:rsidP="00EE4710">
      <w:pPr>
        <w:pStyle w:val="Heading1"/>
      </w:pPr>
      <w:bookmarkStart w:id="1" w:name="_Toc261538635"/>
      <w:r w:rsidRPr="00316DA4">
        <w:t>Inhoud</w:t>
      </w:r>
      <w:bookmarkEnd w:id="1"/>
    </w:p>
    <w:p w:rsidR="009623CA" w:rsidRPr="00316DA4" w:rsidRDefault="009623CA">
      <w:pPr>
        <w:pStyle w:val="TOC1"/>
        <w:tabs>
          <w:tab w:val="right" w:leader="dot" w:pos="9062"/>
        </w:tabs>
        <w:rPr>
          <w:sz w:val="24"/>
          <w:szCs w:val="24"/>
        </w:rPr>
      </w:pPr>
    </w:p>
    <w:p w:rsidR="009623CA" w:rsidRPr="00316DA4" w:rsidRDefault="009623CA">
      <w:pPr>
        <w:pStyle w:val="TOC1"/>
        <w:tabs>
          <w:tab w:val="right" w:leader="dot" w:pos="9062"/>
        </w:tabs>
        <w:rPr>
          <w:noProof/>
          <w:lang w:eastAsia="nl-NL"/>
        </w:rPr>
      </w:pPr>
      <w:r w:rsidRPr="00316DA4">
        <w:rPr>
          <w:sz w:val="24"/>
          <w:szCs w:val="24"/>
        </w:rPr>
        <w:fldChar w:fldCharType="begin"/>
      </w:r>
      <w:r w:rsidRPr="00316DA4">
        <w:rPr>
          <w:sz w:val="24"/>
          <w:szCs w:val="24"/>
        </w:rPr>
        <w:instrText xml:space="preserve"> TOC \o "1-3" \h \z \u </w:instrText>
      </w:r>
      <w:r w:rsidRPr="00316DA4">
        <w:rPr>
          <w:sz w:val="24"/>
          <w:szCs w:val="24"/>
        </w:rPr>
        <w:fldChar w:fldCharType="separate"/>
      </w:r>
      <w:hyperlink w:anchor="_Toc261538634" w:history="1">
        <w:r w:rsidRPr="00316DA4">
          <w:rPr>
            <w:rStyle w:val="Hyperlink"/>
            <w:noProof/>
          </w:rPr>
          <w:t>Voorwoord</w:t>
        </w:r>
        <w:r w:rsidRPr="00316DA4">
          <w:rPr>
            <w:noProof/>
            <w:webHidden/>
          </w:rPr>
          <w:tab/>
        </w:r>
        <w:r w:rsidRPr="00316DA4">
          <w:rPr>
            <w:noProof/>
            <w:webHidden/>
          </w:rPr>
          <w:fldChar w:fldCharType="begin"/>
        </w:r>
        <w:r w:rsidRPr="00316DA4">
          <w:rPr>
            <w:noProof/>
            <w:webHidden/>
          </w:rPr>
          <w:instrText xml:space="preserve"> PAGEREF _Toc261538634 \h </w:instrText>
        </w:r>
        <w:r>
          <w:rPr>
            <w:noProof/>
          </w:rPr>
        </w:r>
        <w:r w:rsidRPr="00316DA4">
          <w:rPr>
            <w:noProof/>
            <w:webHidden/>
          </w:rPr>
          <w:fldChar w:fldCharType="separate"/>
        </w:r>
        <w:r>
          <w:rPr>
            <w:noProof/>
            <w:webHidden/>
          </w:rPr>
          <w:t>3</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635" w:history="1">
        <w:r w:rsidRPr="00316DA4">
          <w:rPr>
            <w:rStyle w:val="Hyperlink"/>
            <w:noProof/>
          </w:rPr>
          <w:t>Inhoud</w:t>
        </w:r>
        <w:r w:rsidRPr="00316DA4">
          <w:rPr>
            <w:noProof/>
            <w:webHidden/>
          </w:rPr>
          <w:tab/>
        </w:r>
        <w:r w:rsidRPr="00316DA4">
          <w:rPr>
            <w:noProof/>
            <w:webHidden/>
          </w:rPr>
          <w:fldChar w:fldCharType="begin"/>
        </w:r>
        <w:r w:rsidRPr="00316DA4">
          <w:rPr>
            <w:noProof/>
            <w:webHidden/>
          </w:rPr>
          <w:instrText xml:space="preserve"> PAGEREF _Toc261538635 \h </w:instrText>
        </w:r>
        <w:r>
          <w:rPr>
            <w:noProof/>
          </w:rPr>
        </w:r>
        <w:r w:rsidRPr="00316DA4">
          <w:rPr>
            <w:noProof/>
            <w:webHidden/>
          </w:rPr>
          <w:fldChar w:fldCharType="separate"/>
        </w:r>
        <w:r>
          <w:rPr>
            <w:noProof/>
            <w:webHidden/>
          </w:rPr>
          <w:t>4</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636" w:history="1">
        <w:r w:rsidRPr="00316DA4">
          <w:rPr>
            <w:rStyle w:val="Hyperlink"/>
            <w:noProof/>
          </w:rPr>
          <w:t>1: Introductie</w:t>
        </w:r>
        <w:r w:rsidRPr="00316DA4">
          <w:rPr>
            <w:noProof/>
            <w:webHidden/>
          </w:rPr>
          <w:tab/>
        </w:r>
        <w:r w:rsidRPr="00316DA4">
          <w:rPr>
            <w:noProof/>
            <w:webHidden/>
          </w:rPr>
          <w:fldChar w:fldCharType="begin"/>
        </w:r>
        <w:r w:rsidRPr="00316DA4">
          <w:rPr>
            <w:noProof/>
            <w:webHidden/>
          </w:rPr>
          <w:instrText xml:space="preserve"> PAGEREF _Toc261538636 \h </w:instrText>
        </w:r>
        <w:r>
          <w:rPr>
            <w:noProof/>
          </w:rPr>
        </w:r>
        <w:r w:rsidRPr="00316DA4">
          <w:rPr>
            <w:noProof/>
            <w:webHidden/>
          </w:rPr>
          <w:fldChar w:fldCharType="separate"/>
        </w:r>
        <w:r>
          <w:rPr>
            <w:noProof/>
            <w:webHidden/>
          </w:rPr>
          <w:t>7</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37" w:history="1">
        <w:r w:rsidRPr="00316DA4">
          <w:rPr>
            <w:rStyle w:val="Hyperlink"/>
            <w:noProof/>
          </w:rPr>
          <w:t>1.1: Probleemdefiniëring</w:t>
        </w:r>
        <w:r w:rsidRPr="00316DA4">
          <w:rPr>
            <w:noProof/>
            <w:webHidden/>
          </w:rPr>
          <w:tab/>
        </w:r>
        <w:r w:rsidRPr="00316DA4">
          <w:rPr>
            <w:noProof/>
            <w:webHidden/>
          </w:rPr>
          <w:fldChar w:fldCharType="begin"/>
        </w:r>
        <w:r w:rsidRPr="00316DA4">
          <w:rPr>
            <w:noProof/>
            <w:webHidden/>
          </w:rPr>
          <w:instrText xml:space="preserve"> PAGEREF _Toc261538637 \h </w:instrText>
        </w:r>
        <w:r>
          <w:rPr>
            <w:noProof/>
          </w:rPr>
        </w:r>
        <w:r w:rsidRPr="00316DA4">
          <w:rPr>
            <w:noProof/>
            <w:webHidden/>
          </w:rPr>
          <w:fldChar w:fldCharType="separate"/>
        </w:r>
        <w:r>
          <w:rPr>
            <w:noProof/>
            <w:webHidden/>
          </w:rPr>
          <w:t>7</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38" w:history="1">
        <w:r w:rsidRPr="00316DA4">
          <w:rPr>
            <w:rStyle w:val="Hyperlink"/>
            <w:noProof/>
          </w:rPr>
          <w:t>1.2: Wetenschappelijke relevantie</w:t>
        </w:r>
        <w:r w:rsidRPr="00316DA4">
          <w:rPr>
            <w:noProof/>
            <w:webHidden/>
          </w:rPr>
          <w:tab/>
        </w:r>
        <w:r w:rsidRPr="00316DA4">
          <w:rPr>
            <w:noProof/>
            <w:webHidden/>
          </w:rPr>
          <w:fldChar w:fldCharType="begin"/>
        </w:r>
        <w:r w:rsidRPr="00316DA4">
          <w:rPr>
            <w:noProof/>
            <w:webHidden/>
          </w:rPr>
          <w:instrText xml:space="preserve"> PAGEREF _Toc261538638 \h </w:instrText>
        </w:r>
        <w:r>
          <w:rPr>
            <w:noProof/>
          </w:rPr>
        </w:r>
        <w:r w:rsidRPr="00316DA4">
          <w:rPr>
            <w:noProof/>
            <w:webHidden/>
          </w:rPr>
          <w:fldChar w:fldCharType="separate"/>
        </w:r>
        <w:r>
          <w:rPr>
            <w:noProof/>
            <w:webHidden/>
          </w:rPr>
          <w:t>8</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39" w:history="1">
        <w:r w:rsidRPr="00316DA4">
          <w:rPr>
            <w:rStyle w:val="Hyperlink"/>
            <w:noProof/>
          </w:rPr>
          <w:t>1.3: Maatschappelijke relevantie</w:t>
        </w:r>
        <w:r w:rsidRPr="00316DA4">
          <w:rPr>
            <w:noProof/>
            <w:webHidden/>
          </w:rPr>
          <w:tab/>
        </w:r>
        <w:r w:rsidRPr="00316DA4">
          <w:rPr>
            <w:noProof/>
            <w:webHidden/>
          </w:rPr>
          <w:fldChar w:fldCharType="begin"/>
        </w:r>
        <w:r w:rsidRPr="00316DA4">
          <w:rPr>
            <w:noProof/>
            <w:webHidden/>
          </w:rPr>
          <w:instrText xml:space="preserve"> PAGEREF _Toc261538639 \h </w:instrText>
        </w:r>
        <w:r>
          <w:rPr>
            <w:noProof/>
          </w:rPr>
        </w:r>
        <w:r w:rsidRPr="00316DA4">
          <w:rPr>
            <w:noProof/>
            <w:webHidden/>
          </w:rPr>
          <w:fldChar w:fldCharType="separate"/>
        </w:r>
        <w:r>
          <w:rPr>
            <w:noProof/>
            <w:webHidden/>
          </w:rPr>
          <w:t>9</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40" w:history="1">
        <w:r w:rsidRPr="00316DA4">
          <w:rPr>
            <w:rStyle w:val="Hyperlink"/>
            <w:noProof/>
          </w:rPr>
          <w:t>1.4: Probleemstelling</w:t>
        </w:r>
        <w:r w:rsidRPr="00316DA4">
          <w:rPr>
            <w:noProof/>
            <w:webHidden/>
          </w:rPr>
          <w:tab/>
        </w:r>
        <w:r w:rsidRPr="00316DA4">
          <w:rPr>
            <w:noProof/>
            <w:webHidden/>
          </w:rPr>
          <w:fldChar w:fldCharType="begin"/>
        </w:r>
        <w:r w:rsidRPr="00316DA4">
          <w:rPr>
            <w:noProof/>
            <w:webHidden/>
          </w:rPr>
          <w:instrText xml:space="preserve"> PAGEREF _Toc261538640 \h </w:instrText>
        </w:r>
        <w:r>
          <w:rPr>
            <w:noProof/>
          </w:rPr>
        </w:r>
        <w:r w:rsidRPr="00316DA4">
          <w:rPr>
            <w:noProof/>
            <w:webHidden/>
          </w:rPr>
          <w:fldChar w:fldCharType="separate"/>
        </w:r>
        <w:r>
          <w:rPr>
            <w:noProof/>
            <w:webHidden/>
          </w:rPr>
          <w:t>10</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41" w:history="1">
        <w:r w:rsidRPr="00316DA4">
          <w:rPr>
            <w:rStyle w:val="Hyperlink"/>
            <w:noProof/>
          </w:rPr>
          <w:t>1.5: Leeswijzer</w:t>
        </w:r>
        <w:r w:rsidRPr="00316DA4">
          <w:rPr>
            <w:noProof/>
            <w:webHidden/>
          </w:rPr>
          <w:tab/>
        </w:r>
        <w:r w:rsidRPr="00316DA4">
          <w:rPr>
            <w:noProof/>
            <w:webHidden/>
          </w:rPr>
          <w:fldChar w:fldCharType="begin"/>
        </w:r>
        <w:r w:rsidRPr="00316DA4">
          <w:rPr>
            <w:noProof/>
            <w:webHidden/>
          </w:rPr>
          <w:instrText xml:space="preserve"> PAGEREF _Toc261538641 \h </w:instrText>
        </w:r>
        <w:r>
          <w:rPr>
            <w:noProof/>
          </w:rPr>
        </w:r>
        <w:r w:rsidRPr="00316DA4">
          <w:rPr>
            <w:noProof/>
            <w:webHidden/>
          </w:rPr>
          <w:fldChar w:fldCharType="separate"/>
        </w:r>
        <w:r>
          <w:rPr>
            <w:noProof/>
            <w:webHidden/>
          </w:rPr>
          <w:t>11</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642" w:history="1">
        <w:r w:rsidRPr="00316DA4">
          <w:rPr>
            <w:rStyle w:val="Hyperlink"/>
            <w:noProof/>
          </w:rPr>
          <w:t>2: Theoretisch kader</w:t>
        </w:r>
        <w:r w:rsidRPr="00316DA4">
          <w:rPr>
            <w:noProof/>
            <w:webHidden/>
          </w:rPr>
          <w:tab/>
        </w:r>
        <w:r w:rsidRPr="00316DA4">
          <w:rPr>
            <w:noProof/>
            <w:webHidden/>
          </w:rPr>
          <w:fldChar w:fldCharType="begin"/>
        </w:r>
        <w:r w:rsidRPr="00316DA4">
          <w:rPr>
            <w:noProof/>
            <w:webHidden/>
          </w:rPr>
          <w:instrText xml:space="preserve"> PAGEREF _Toc261538642 \h </w:instrText>
        </w:r>
        <w:r>
          <w:rPr>
            <w:noProof/>
          </w:rPr>
        </w:r>
        <w:r w:rsidRPr="00316DA4">
          <w:rPr>
            <w:noProof/>
            <w:webHidden/>
          </w:rPr>
          <w:fldChar w:fldCharType="separate"/>
        </w:r>
        <w:r>
          <w:rPr>
            <w:noProof/>
            <w:webHidden/>
          </w:rPr>
          <w:t>13</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43" w:history="1">
        <w:r w:rsidRPr="00316DA4">
          <w:rPr>
            <w:rStyle w:val="Hyperlink"/>
            <w:noProof/>
          </w:rPr>
          <w:t>2.1: Introductie</w:t>
        </w:r>
        <w:r w:rsidRPr="00316DA4">
          <w:rPr>
            <w:noProof/>
            <w:webHidden/>
          </w:rPr>
          <w:tab/>
        </w:r>
        <w:r w:rsidRPr="00316DA4">
          <w:rPr>
            <w:noProof/>
            <w:webHidden/>
          </w:rPr>
          <w:fldChar w:fldCharType="begin"/>
        </w:r>
        <w:r w:rsidRPr="00316DA4">
          <w:rPr>
            <w:noProof/>
            <w:webHidden/>
          </w:rPr>
          <w:instrText xml:space="preserve"> PAGEREF _Toc261538643 \h </w:instrText>
        </w:r>
        <w:r>
          <w:rPr>
            <w:noProof/>
          </w:rPr>
        </w:r>
        <w:r w:rsidRPr="00316DA4">
          <w:rPr>
            <w:noProof/>
            <w:webHidden/>
          </w:rPr>
          <w:fldChar w:fldCharType="separate"/>
        </w:r>
        <w:r>
          <w:rPr>
            <w:noProof/>
            <w:webHidden/>
          </w:rPr>
          <w:t>13</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44" w:history="1">
        <w:r w:rsidRPr="00316DA4">
          <w:rPr>
            <w:rStyle w:val="Hyperlink"/>
            <w:noProof/>
          </w:rPr>
          <w:t>2.2:De liberaal intergouvernalistische benadering</w:t>
        </w:r>
        <w:r w:rsidRPr="00316DA4">
          <w:rPr>
            <w:noProof/>
            <w:webHidden/>
          </w:rPr>
          <w:tab/>
        </w:r>
        <w:r w:rsidRPr="00316DA4">
          <w:rPr>
            <w:noProof/>
            <w:webHidden/>
          </w:rPr>
          <w:fldChar w:fldCharType="begin"/>
        </w:r>
        <w:r w:rsidRPr="00316DA4">
          <w:rPr>
            <w:noProof/>
            <w:webHidden/>
          </w:rPr>
          <w:instrText xml:space="preserve"> PAGEREF _Toc261538644 \h </w:instrText>
        </w:r>
        <w:r>
          <w:rPr>
            <w:noProof/>
          </w:rPr>
        </w:r>
        <w:r w:rsidRPr="00316DA4">
          <w:rPr>
            <w:noProof/>
            <w:webHidden/>
          </w:rPr>
          <w:fldChar w:fldCharType="separate"/>
        </w:r>
        <w:r>
          <w:rPr>
            <w:noProof/>
            <w:webHidden/>
          </w:rPr>
          <w:t>13</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45" w:history="1">
        <w:r w:rsidRPr="00316DA4">
          <w:rPr>
            <w:rStyle w:val="Hyperlink"/>
            <w:noProof/>
          </w:rPr>
          <w:t>2.2.1: Hypothese</w:t>
        </w:r>
        <w:r w:rsidRPr="00316DA4">
          <w:rPr>
            <w:noProof/>
            <w:webHidden/>
          </w:rPr>
          <w:tab/>
        </w:r>
        <w:r w:rsidRPr="00316DA4">
          <w:rPr>
            <w:noProof/>
            <w:webHidden/>
          </w:rPr>
          <w:fldChar w:fldCharType="begin"/>
        </w:r>
        <w:r w:rsidRPr="00316DA4">
          <w:rPr>
            <w:noProof/>
            <w:webHidden/>
          </w:rPr>
          <w:instrText xml:space="preserve"> PAGEREF _Toc261538645 \h </w:instrText>
        </w:r>
        <w:r>
          <w:rPr>
            <w:noProof/>
          </w:rPr>
        </w:r>
        <w:r w:rsidRPr="00316DA4">
          <w:rPr>
            <w:noProof/>
            <w:webHidden/>
          </w:rPr>
          <w:fldChar w:fldCharType="separate"/>
        </w:r>
        <w:r>
          <w:rPr>
            <w:noProof/>
            <w:webHidden/>
          </w:rPr>
          <w:t>15</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46" w:history="1">
        <w:r w:rsidRPr="00316DA4">
          <w:rPr>
            <w:rStyle w:val="Hyperlink"/>
            <w:noProof/>
          </w:rPr>
          <w:t>2.2.2: Conceptualisering</w:t>
        </w:r>
        <w:r w:rsidRPr="00316DA4">
          <w:rPr>
            <w:noProof/>
            <w:webHidden/>
          </w:rPr>
          <w:tab/>
        </w:r>
        <w:r w:rsidRPr="00316DA4">
          <w:rPr>
            <w:noProof/>
            <w:webHidden/>
          </w:rPr>
          <w:fldChar w:fldCharType="begin"/>
        </w:r>
        <w:r w:rsidRPr="00316DA4">
          <w:rPr>
            <w:noProof/>
            <w:webHidden/>
          </w:rPr>
          <w:instrText xml:space="preserve"> PAGEREF _Toc261538646 \h </w:instrText>
        </w:r>
        <w:r>
          <w:rPr>
            <w:noProof/>
          </w:rPr>
        </w:r>
        <w:r w:rsidRPr="00316DA4">
          <w:rPr>
            <w:noProof/>
            <w:webHidden/>
          </w:rPr>
          <w:fldChar w:fldCharType="separate"/>
        </w:r>
        <w:r>
          <w:rPr>
            <w:noProof/>
            <w:webHidden/>
          </w:rPr>
          <w:t>16</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47" w:history="1">
        <w:r w:rsidRPr="00316DA4">
          <w:rPr>
            <w:rStyle w:val="Hyperlink"/>
            <w:noProof/>
          </w:rPr>
          <w:t>2.2.3: Operationalisering</w:t>
        </w:r>
        <w:r w:rsidRPr="00316DA4">
          <w:rPr>
            <w:noProof/>
            <w:webHidden/>
          </w:rPr>
          <w:tab/>
        </w:r>
        <w:r w:rsidRPr="00316DA4">
          <w:rPr>
            <w:noProof/>
            <w:webHidden/>
          </w:rPr>
          <w:fldChar w:fldCharType="begin"/>
        </w:r>
        <w:r w:rsidRPr="00316DA4">
          <w:rPr>
            <w:noProof/>
            <w:webHidden/>
          </w:rPr>
          <w:instrText xml:space="preserve"> PAGEREF _Toc261538647 \h </w:instrText>
        </w:r>
        <w:r>
          <w:rPr>
            <w:noProof/>
          </w:rPr>
        </w:r>
        <w:r w:rsidRPr="00316DA4">
          <w:rPr>
            <w:noProof/>
            <w:webHidden/>
          </w:rPr>
          <w:fldChar w:fldCharType="separate"/>
        </w:r>
        <w:r>
          <w:rPr>
            <w:noProof/>
            <w:webHidden/>
          </w:rPr>
          <w:t>16</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48" w:history="1">
        <w:r w:rsidRPr="00316DA4">
          <w:rPr>
            <w:rStyle w:val="Hyperlink"/>
            <w:noProof/>
          </w:rPr>
          <w:t>2.3: De partijideologische benadering</w:t>
        </w:r>
        <w:r w:rsidRPr="00316DA4">
          <w:rPr>
            <w:noProof/>
            <w:webHidden/>
          </w:rPr>
          <w:tab/>
        </w:r>
        <w:r w:rsidRPr="00316DA4">
          <w:rPr>
            <w:noProof/>
            <w:webHidden/>
          </w:rPr>
          <w:fldChar w:fldCharType="begin"/>
        </w:r>
        <w:r w:rsidRPr="00316DA4">
          <w:rPr>
            <w:noProof/>
            <w:webHidden/>
          </w:rPr>
          <w:instrText xml:space="preserve"> PAGEREF _Toc261538648 \h </w:instrText>
        </w:r>
        <w:r>
          <w:rPr>
            <w:noProof/>
          </w:rPr>
        </w:r>
        <w:r w:rsidRPr="00316DA4">
          <w:rPr>
            <w:noProof/>
            <w:webHidden/>
          </w:rPr>
          <w:fldChar w:fldCharType="separate"/>
        </w:r>
        <w:r>
          <w:rPr>
            <w:noProof/>
            <w:webHidden/>
          </w:rPr>
          <w:t>17</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49" w:history="1">
        <w:r w:rsidRPr="00316DA4">
          <w:rPr>
            <w:rStyle w:val="Hyperlink"/>
            <w:noProof/>
          </w:rPr>
          <w:t>2.3.1: Hypothese</w:t>
        </w:r>
        <w:r w:rsidRPr="00316DA4">
          <w:rPr>
            <w:noProof/>
            <w:webHidden/>
          </w:rPr>
          <w:tab/>
        </w:r>
        <w:r w:rsidRPr="00316DA4">
          <w:rPr>
            <w:noProof/>
            <w:webHidden/>
          </w:rPr>
          <w:fldChar w:fldCharType="begin"/>
        </w:r>
        <w:r w:rsidRPr="00316DA4">
          <w:rPr>
            <w:noProof/>
            <w:webHidden/>
          </w:rPr>
          <w:instrText xml:space="preserve"> PAGEREF _Toc261538649 \h </w:instrText>
        </w:r>
        <w:r>
          <w:rPr>
            <w:noProof/>
          </w:rPr>
        </w:r>
        <w:r w:rsidRPr="00316DA4">
          <w:rPr>
            <w:noProof/>
            <w:webHidden/>
          </w:rPr>
          <w:fldChar w:fldCharType="separate"/>
        </w:r>
        <w:r>
          <w:rPr>
            <w:noProof/>
            <w:webHidden/>
          </w:rPr>
          <w:t>18</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50" w:history="1">
        <w:r w:rsidRPr="00316DA4">
          <w:rPr>
            <w:rStyle w:val="Hyperlink"/>
            <w:noProof/>
          </w:rPr>
          <w:t>2.3.2: Conceptualisering</w:t>
        </w:r>
        <w:r w:rsidRPr="00316DA4">
          <w:rPr>
            <w:noProof/>
            <w:webHidden/>
          </w:rPr>
          <w:tab/>
        </w:r>
        <w:r w:rsidRPr="00316DA4">
          <w:rPr>
            <w:noProof/>
            <w:webHidden/>
          </w:rPr>
          <w:fldChar w:fldCharType="begin"/>
        </w:r>
        <w:r w:rsidRPr="00316DA4">
          <w:rPr>
            <w:noProof/>
            <w:webHidden/>
          </w:rPr>
          <w:instrText xml:space="preserve"> PAGEREF _Toc261538650 \h </w:instrText>
        </w:r>
        <w:r>
          <w:rPr>
            <w:noProof/>
          </w:rPr>
        </w:r>
        <w:r w:rsidRPr="00316DA4">
          <w:rPr>
            <w:noProof/>
            <w:webHidden/>
          </w:rPr>
          <w:fldChar w:fldCharType="separate"/>
        </w:r>
        <w:r>
          <w:rPr>
            <w:noProof/>
            <w:webHidden/>
          </w:rPr>
          <w:t>19</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51" w:history="1">
        <w:r w:rsidRPr="00316DA4">
          <w:rPr>
            <w:rStyle w:val="Hyperlink"/>
            <w:noProof/>
          </w:rPr>
          <w:t>2.3.3: Operationalisering</w:t>
        </w:r>
        <w:r w:rsidRPr="00316DA4">
          <w:rPr>
            <w:noProof/>
            <w:webHidden/>
          </w:rPr>
          <w:tab/>
        </w:r>
        <w:r w:rsidRPr="00316DA4">
          <w:rPr>
            <w:noProof/>
            <w:webHidden/>
          </w:rPr>
          <w:fldChar w:fldCharType="begin"/>
        </w:r>
        <w:r w:rsidRPr="00316DA4">
          <w:rPr>
            <w:noProof/>
            <w:webHidden/>
          </w:rPr>
          <w:instrText xml:space="preserve"> PAGEREF _Toc261538651 \h </w:instrText>
        </w:r>
        <w:r>
          <w:rPr>
            <w:noProof/>
          </w:rPr>
        </w:r>
        <w:r w:rsidRPr="00316DA4">
          <w:rPr>
            <w:noProof/>
            <w:webHidden/>
          </w:rPr>
          <w:fldChar w:fldCharType="separate"/>
        </w:r>
        <w:r>
          <w:rPr>
            <w:noProof/>
            <w:webHidden/>
          </w:rPr>
          <w:t>19</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52" w:history="1">
        <w:r w:rsidRPr="00316DA4">
          <w:rPr>
            <w:rStyle w:val="Hyperlink"/>
            <w:noProof/>
          </w:rPr>
          <w:t>2.4: Het conceptuele model</w:t>
        </w:r>
        <w:r w:rsidRPr="00316DA4">
          <w:rPr>
            <w:noProof/>
            <w:webHidden/>
          </w:rPr>
          <w:tab/>
        </w:r>
        <w:r w:rsidRPr="00316DA4">
          <w:rPr>
            <w:noProof/>
            <w:webHidden/>
          </w:rPr>
          <w:fldChar w:fldCharType="begin"/>
        </w:r>
        <w:r w:rsidRPr="00316DA4">
          <w:rPr>
            <w:noProof/>
            <w:webHidden/>
          </w:rPr>
          <w:instrText xml:space="preserve"> PAGEREF _Toc261538652 \h </w:instrText>
        </w:r>
        <w:r>
          <w:rPr>
            <w:noProof/>
          </w:rPr>
        </w:r>
        <w:r w:rsidRPr="00316DA4">
          <w:rPr>
            <w:noProof/>
            <w:webHidden/>
          </w:rPr>
          <w:fldChar w:fldCharType="separate"/>
        </w:r>
        <w:r>
          <w:rPr>
            <w:noProof/>
            <w:webHidden/>
          </w:rPr>
          <w:t>20</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53" w:history="1">
        <w:r w:rsidRPr="00316DA4">
          <w:rPr>
            <w:rStyle w:val="Hyperlink"/>
            <w:noProof/>
          </w:rPr>
          <w:t>2.5: Standpunt Katholieke Kerk</w:t>
        </w:r>
        <w:r w:rsidRPr="00316DA4">
          <w:rPr>
            <w:noProof/>
            <w:webHidden/>
          </w:rPr>
          <w:tab/>
        </w:r>
        <w:r w:rsidRPr="00316DA4">
          <w:rPr>
            <w:noProof/>
            <w:webHidden/>
          </w:rPr>
          <w:fldChar w:fldCharType="begin"/>
        </w:r>
        <w:r w:rsidRPr="00316DA4">
          <w:rPr>
            <w:noProof/>
            <w:webHidden/>
          </w:rPr>
          <w:instrText xml:space="preserve"> PAGEREF _Toc261538653 \h </w:instrText>
        </w:r>
        <w:r>
          <w:rPr>
            <w:noProof/>
          </w:rPr>
        </w:r>
        <w:r w:rsidRPr="00316DA4">
          <w:rPr>
            <w:noProof/>
            <w:webHidden/>
          </w:rPr>
          <w:fldChar w:fldCharType="separate"/>
        </w:r>
        <w:r>
          <w:rPr>
            <w:noProof/>
            <w:webHidden/>
          </w:rPr>
          <w:t>20</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654" w:history="1">
        <w:r w:rsidRPr="00316DA4">
          <w:rPr>
            <w:rStyle w:val="Hyperlink"/>
            <w:noProof/>
          </w:rPr>
          <w:t>3: Onderzoeksdesign</w:t>
        </w:r>
        <w:r w:rsidRPr="00316DA4">
          <w:rPr>
            <w:noProof/>
            <w:webHidden/>
          </w:rPr>
          <w:tab/>
        </w:r>
        <w:r w:rsidRPr="00316DA4">
          <w:rPr>
            <w:noProof/>
            <w:webHidden/>
          </w:rPr>
          <w:fldChar w:fldCharType="begin"/>
        </w:r>
        <w:r w:rsidRPr="00316DA4">
          <w:rPr>
            <w:noProof/>
            <w:webHidden/>
          </w:rPr>
          <w:instrText xml:space="preserve"> PAGEREF _Toc261538654 \h </w:instrText>
        </w:r>
        <w:r>
          <w:rPr>
            <w:noProof/>
          </w:rPr>
        </w:r>
        <w:r w:rsidRPr="00316DA4">
          <w:rPr>
            <w:noProof/>
            <w:webHidden/>
          </w:rPr>
          <w:fldChar w:fldCharType="separate"/>
        </w:r>
        <w:r>
          <w:rPr>
            <w:noProof/>
            <w:webHidden/>
          </w:rPr>
          <w:t>22</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55" w:history="1">
        <w:r w:rsidRPr="00316DA4">
          <w:rPr>
            <w:rStyle w:val="Hyperlink"/>
            <w:noProof/>
          </w:rPr>
          <w:t>3.1: Methoden &amp; technieken</w:t>
        </w:r>
        <w:r w:rsidRPr="00316DA4">
          <w:rPr>
            <w:noProof/>
            <w:webHidden/>
          </w:rPr>
          <w:tab/>
        </w:r>
        <w:r w:rsidRPr="00316DA4">
          <w:rPr>
            <w:noProof/>
            <w:webHidden/>
          </w:rPr>
          <w:fldChar w:fldCharType="begin"/>
        </w:r>
        <w:r w:rsidRPr="00316DA4">
          <w:rPr>
            <w:noProof/>
            <w:webHidden/>
          </w:rPr>
          <w:instrText xml:space="preserve"> PAGEREF _Toc261538655 \h </w:instrText>
        </w:r>
        <w:r>
          <w:rPr>
            <w:noProof/>
          </w:rPr>
        </w:r>
        <w:r w:rsidRPr="00316DA4">
          <w:rPr>
            <w:noProof/>
            <w:webHidden/>
          </w:rPr>
          <w:fldChar w:fldCharType="separate"/>
        </w:r>
        <w:r>
          <w:rPr>
            <w:noProof/>
            <w:webHidden/>
          </w:rPr>
          <w:t>22</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56" w:history="1">
        <w:r w:rsidRPr="00316DA4">
          <w:rPr>
            <w:rStyle w:val="Hyperlink"/>
            <w:noProof/>
          </w:rPr>
          <w:t>3.2: Validiteit</w:t>
        </w:r>
        <w:r w:rsidRPr="00316DA4">
          <w:rPr>
            <w:noProof/>
            <w:webHidden/>
          </w:rPr>
          <w:tab/>
        </w:r>
        <w:r w:rsidRPr="00316DA4">
          <w:rPr>
            <w:noProof/>
            <w:webHidden/>
          </w:rPr>
          <w:fldChar w:fldCharType="begin"/>
        </w:r>
        <w:r w:rsidRPr="00316DA4">
          <w:rPr>
            <w:noProof/>
            <w:webHidden/>
          </w:rPr>
          <w:instrText xml:space="preserve"> PAGEREF _Toc261538656 \h </w:instrText>
        </w:r>
        <w:r>
          <w:rPr>
            <w:noProof/>
          </w:rPr>
        </w:r>
        <w:r w:rsidRPr="00316DA4">
          <w:rPr>
            <w:noProof/>
            <w:webHidden/>
          </w:rPr>
          <w:fldChar w:fldCharType="separate"/>
        </w:r>
        <w:r>
          <w:rPr>
            <w:noProof/>
            <w:webHidden/>
          </w:rPr>
          <w:t>27</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657" w:history="1">
        <w:r w:rsidRPr="00316DA4">
          <w:rPr>
            <w:rStyle w:val="Hyperlink"/>
            <w:noProof/>
          </w:rPr>
          <w:t>4: Casus</w:t>
        </w:r>
        <w:r w:rsidRPr="00316DA4">
          <w:rPr>
            <w:noProof/>
            <w:webHidden/>
          </w:rPr>
          <w:tab/>
        </w:r>
        <w:r w:rsidRPr="00316DA4">
          <w:rPr>
            <w:noProof/>
            <w:webHidden/>
          </w:rPr>
          <w:fldChar w:fldCharType="begin"/>
        </w:r>
        <w:r w:rsidRPr="00316DA4">
          <w:rPr>
            <w:noProof/>
            <w:webHidden/>
          </w:rPr>
          <w:instrText xml:space="preserve"> PAGEREF _Toc261538657 \h </w:instrText>
        </w:r>
        <w:r>
          <w:rPr>
            <w:noProof/>
          </w:rPr>
        </w:r>
        <w:r w:rsidRPr="00316DA4">
          <w:rPr>
            <w:noProof/>
            <w:webHidden/>
          </w:rPr>
          <w:fldChar w:fldCharType="separate"/>
        </w:r>
        <w:r>
          <w:rPr>
            <w:noProof/>
            <w:webHidden/>
          </w:rPr>
          <w:t>29</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58" w:history="1">
        <w:r w:rsidRPr="00316DA4">
          <w:rPr>
            <w:rStyle w:val="Hyperlink"/>
            <w:noProof/>
          </w:rPr>
          <w:t>4.1: Beschrijving</w:t>
        </w:r>
        <w:r w:rsidRPr="00316DA4">
          <w:rPr>
            <w:noProof/>
            <w:webHidden/>
          </w:rPr>
          <w:tab/>
        </w:r>
        <w:r w:rsidRPr="00316DA4">
          <w:rPr>
            <w:noProof/>
            <w:webHidden/>
          </w:rPr>
          <w:fldChar w:fldCharType="begin"/>
        </w:r>
        <w:r w:rsidRPr="00316DA4">
          <w:rPr>
            <w:noProof/>
            <w:webHidden/>
          </w:rPr>
          <w:instrText xml:space="preserve"> PAGEREF _Toc261538658 \h </w:instrText>
        </w:r>
        <w:r>
          <w:rPr>
            <w:noProof/>
          </w:rPr>
        </w:r>
        <w:r w:rsidRPr="00316DA4">
          <w:rPr>
            <w:noProof/>
            <w:webHidden/>
          </w:rPr>
          <w:fldChar w:fldCharType="separate"/>
        </w:r>
        <w:r>
          <w:rPr>
            <w:noProof/>
            <w:webHidden/>
          </w:rPr>
          <w:t>29</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59" w:history="1">
        <w:r w:rsidRPr="00316DA4">
          <w:rPr>
            <w:rStyle w:val="Hyperlink"/>
            <w:noProof/>
          </w:rPr>
          <w:t>4.2: Gevolgen</w:t>
        </w:r>
        <w:r w:rsidRPr="00316DA4">
          <w:rPr>
            <w:noProof/>
            <w:webHidden/>
          </w:rPr>
          <w:tab/>
        </w:r>
        <w:r w:rsidRPr="00316DA4">
          <w:rPr>
            <w:noProof/>
            <w:webHidden/>
          </w:rPr>
          <w:fldChar w:fldCharType="begin"/>
        </w:r>
        <w:r w:rsidRPr="00316DA4">
          <w:rPr>
            <w:noProof/>
            <w:webHidden/>
          </w:rPr>
          <w:instrText xml:space="preserve"> PAGEREF _Toc261538659 \h </w:instrText>
        </w:r>
        <w:r>
          <w:rPr>
            <w:noProof/>
          </w:rPr>
        </w:r>
        <w:r w:rsidRPr="00316DA4">
          <w:rPr>
            <w:noProof/>
            <w:webHidden/>
          </w:rPr>
          <w:fldChar w:fldCharType="separate"/>
        </w:r>
        <w:r>
          <w:rPr>
            <w:noProof/>
            <w:webHidden/>
          </w:rPr>
          <w:t>29</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660" w:history="1">
        <w:r w:rsidRPr="00316DA4">
          <w:rPr>
            <w:rStyle w:val="Hyperlink"/>
            <w:noProof/>
          </w:rPr>
          <w:t>5: Malta</w:t>
        </w:r>
        <w:r w:rsidRPr="00316DA4">
          <w:rPr>
            <w:noProof/>
            <w:webHidden/>
          </w:rPr>
          <w:tab/>
        </w:r>
        <w:r w:rsidRPr="00316DA4">
          <w:rPr>
            <w:noProof/>
            <w:webHidden/>
          </w:rPr>
          <w:fldChar w:fldCharType="begin"/>
        </w:r>
        <w:r w:rsidRPr="00316DA4">
          <w:rPr>
            <w:noProof/>
            <w:webHidden/>
          </w:rPr>
          <w:instrText xml:space="preserve"> PAGEREF _Toc261538660 \h </w:instrText>
        </w:r>
        <w:r>
          <w:rPr>
            <w:noProof/>
          </w:rPr>
        </w:r>
        <w:r w:rsidRPr="00316DA4">
          <w:rPr>
            <w:noProof/>
            <w:webHidden/>
          </w:rPr>
          <w:fldChar w:fldCharType="separate"/>
        </w:r>
        <w:r>
          <w:rPr>
            <w:noProof/>
            <w:webHidden/>
          </w:rPr>
          <w:t>31</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61" w:history="1">
        <w:r w:rsidRPr="00316DA4">
          <w:rPr>
            <w:rStyle w:val="Hyperlink"/>
            <w:noProof/>
          </w:rPr>
          <w:t>5.1: Introductie</w:t>
        </w:r>
        <w:r w:rsidRPr="00316DA4">
          <w:rPr>
            <w:noProof/>
            <w:webHidden/>
          </w:rPr>
          <w:tab/>
        </w:r>
        <w:r w:rsidRPr="00316DA4">
          <w:rPr>
            <w:noProof/>
            <w:webHidden/>
          </w:rPr>
          <w:fldChar w:fldCharType="begin"/>
        </w:r>
        <w:r w:rsidRPr="00316DA4">
          <w:rPr>
            <w:noProof/>
            <w:webHidden/>
          </w:rPr>
          <w:instrText xml:space="preserve"> PAGEREF _Toc261538661 \h </w:instrText>
        </w:r>
        <w:r>
          <w:rPr>
            <w:noProof/>
          </w:rPr>
        </w:r>
        <w:r w:rsidRPr="00316DA4">
          <w:rPr>
            <w:noProof/>
            <w:webHidden/>
          </w:rPr>
          <w:fldChar w:fldCharType="separate"/>
        </w:r>
        <w:r>
          <w:rPr>
            <w:noProof/>
            <w:webHidden/>
          </w:rPr>
          <w:t>31</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62" w:history="1">
        <w:r w:rsidRPr="00316DA4">
          <w:rPr>
            <w:rStyle w:val="Hyperlink"/>
            <w:noProof/>
          </w:rPr>
          <w:t>5.2: LI-benadering</w:t>
        </w:r>
        <w:r w:rsidRPr="00316DA4">
          <w:rPr>
            <w:noProof/>
            <w:webHidden/>
          </w:rPr>
          <w:tab/>
        </w:r>
        <w:r w:rsidRPr="00316DA4">
          <w:rPr>
            <w:noProof/>
            <w:webHidden/>
          </w:rPr>
          <w:fldChar w:fldCharType="begin"/>
        </w:r>
        <w:r w:rsidRPr="00316DA4">
          <w:rPr>
            <w:noProof/>
            <w:webHidden/>
          </w:rPr>
          <w:instrText xml:space="preserve"> PAGEREF _Toc261538662 \h </w:instrText>
        </w:r>
        <w:r>
          <w:rPr>
            <w:noProof/>
          </w:rPr>
        </w:r>
        <w:r w:rsidRPr="00316DA4">
          <w:rPr>
            <w:noProof/>
            <w:webHidden/>
          </w:rPr>
          <w:fldChar w:fldCharType="separate"/>
        </w:r>
        <w:r>
          <w:rPr>
            <w:noProof/>
            <w:webHidden/>
          </w:rPr>
          <w:t>31</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63" w:history="1">
        <w:r w:rsidRPr="00316DA4">
          <w:rPr>
            <w:rStyle w:val="Hyperlink"/>
            <w:noProof/>
          </w:rPr>
          <w:t>5.2.1: Hypothese</w:t>
        </w:r>
        <w:r w:rsidRPr="00316DA4">
          <w:rPr>
            <w:noProof/>
            <w:webHidden/>
          </w:rPr>
          <w:tab/>
        </w:r>
        <w:r w:rsidRPr="00316DA4">
          <w:rPr>
            <w:noProof/>
            <w:webHidden/>
          </w:rPr>
          <w:fldChar w:fldCharType="begin"/>
        </w:r>
        <w:r w:rsidRPr="00316DA4">
          <w:rPr>
            <w:noProof/>
            <w:webHidden/>
          </w:rPr>
          <w:instrText xml:space="preserve"> PAGEREF _Toc261538663 \h </w:instrText>
        </w:r>
        <w:r>
          <w:rPr>
            <w:noProof/>
          </w:rPr>
        </w:r>
        <w:r w:rsidRPr="00316DA4">
          <w:rPr>
            <w:noProof/>
            <w:webHidden/>
          </w:rPr>
          <w:fldChar w:fldCharType="separate"/>
        </w:r>
        <w:r>
          <w:rPr>
            <w:noProof/>
            <w:webHidden/>
          </w:rPr>
          <w:t>31</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64" w:history="1">
        <w:r w:rsidRPr="00316DA4">
          <w:rPr>
            <w:rStyle w:val="Hyperlink"/>
            <w:noProof/>
          </w:rPr>
          <w:t>5.2.2: Patroon</w:t>
        </w:r>
        <w:r w:rsidRPr="00316DA4">
          <w:rPr>
            <w:noProof/>
            <w:webHidden/>
          </w:rPr>
          <w:tab/>
        </w:r>
        <w:r w:rsidRPr="00316DA4">
          <w:rPr>
            <w:noProof/>
            <w:webHidden/>
          </w:rPr>
          <w:fldChar w:fldCharType="begin"/>
        </w:r>
        <w:r w:rsidRPr="00316DA4">
          <w:rPr>
            <w:noProof/>
            <w:webHidden/>
          </w:rPr>
          <w:instrText xml:space="preserve"> PAGEREF _Toc261538664 \h </w:instrText>
        </w:r>
        <w:r>
          <w:rPr>
            <w:noProof/>
          </w:rPr>
        </w:r>
        <w:r w:rsidRPr="00316DA4">
          <w:rPr>
            <w:noProof/>
            <w:webHidden/>
          </w:rPr>
          <w:fldChar w:fldCharType="separate"/>
        </w:r>
        <w:r>
          <w:rPr>
            <w:noProof/>
            <w:webHidden/>
          </w:rPr>
          <w:t>31</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65" w:history="1">
        <w:r w:rsidRPr="00316DA4">
          <w:rPr>
            <w:rStyle w:val="Hyperlink"/>
            <w:noProof/>
          </w:rPr>
          <w:t>5.3: Partijideologische benadering</w:t>
        </w:r>
        <w:r w:rsidRPr="00316DA4">
          <w:rPr>
            <w:noProof/>
            <w:webHidden/>
          </w:rPr>
          <w:tab/>
        </w:r>
        <w:r w:rsidRPr="00316DA4">
          <w:rPr>
            <w:noProof/>
            <w:webHidden/>
          </w:rPr>
          <w:fldChar w:fldCharType="begin"/>
        </w:r>
        <w:r w:rsidRPr="00316DA4">
          <w:rPr>
            <w:noProof/>
            <w:webHidden/>
          </w:rPr>
          <w:instrText xml:space="preserve"> PAGEREF _Toc261538665 \h </w:instrText>
        </w:r>
        <w:r>
          <w:rPr>
            <w:noProof/>
          </w:rPr>
        </w:r>
        <w:r w:rsidRPr="00316DA4">
          <w:rPr>
            <w:noProof/>
            <w:webHidden/>
          </w:rPr>
          <w:fldChar w:fldCharType="separate"/>
        </w:r>
        <w:r>
          <w:rPr>
            <w:noProof/>
            <w:webHidden/>
          </w:rPr>
          <w:t>32</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66" w:history="1">
        <w:r w:rsidRPr="00316DA4">
          <w:rPr>
            <w:rStyle w:val="Hyperlink"/>
            <w:noProof/>
          </w:rPr>
          <w:t>5.3.1: Hypothese</w:t>
        </w:r>
        <w:r w:rsidRPr="00316DA4">
          <w:rPr>
            <w:noProof/>
            <w:webHidden/>
          </w:rPr>
          <w:tab/>
        </w:r>
        <w:r w:rsidRPr="00316DA4">
          <w:rPr>
            <w:noProof/>
            <w:webHidden/>
          </w:rPr>
          <w:fldChar w:fldCharType="begin"/>
        </w:r>
        <w:r w:rsidRPr="00316DA4">
          <w:rPr>
            <w:noProof/>
            <w:webHidden/>
          </w:rPr>
          <w:instrText xml:space="preserve"> PAGEREF _Toc261538666 \h </w:instrText>
        </w:r>
        <w:r>
          <w:rPr>
            <w:noProof/>
          </w:rPr>
        </w:r>
        <w:r w:rsidRPr="00316DA4">
          <w:rPr>
            <w:noProof/>
            <w:webHidden/>
          </w:rPr>
          <w:fldChar w:fldCharType="separate"/>
        </w:r>
        <w:r>
          <w:rPr>
            <w:noProof/>
            <w:webHidden/>
          </w:rPr>
          <w:t>32</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67" w:history="1">
        <w:r w:rsidRPr="00316DA4">
          <w:rPr>
            <w:rStyle w:val="Hyperlink"/>
            <w:noProof/>
          </w:rPr>
          <w:t>5.3.2: Patroon</w:t>
        </w:r>
        <w:r w:rsidRPr="00316DA4">
          <w:rPr>
            <w:noProof/>
            <w:webHidden/>
          </w:rPr>
          <w:tab/>
        </w:r>
        <w:r w:rsidRPr="00316DA4">
          <w:rPr>
            <w:noProof/>
            <w:webHidden/>
          </w:rPr>
          <w:fldChar w:fldCharType="begin"/>
        </w:r>
        <w:r w:rsidRPr="00316DA4">
          <w:rPr>
            <w:noProof/>
            <w:webHidden/>
          </w:rPr>
          <w:instrText xml:space="preserve"> PAGEREF _Toc261538667 \h </w:instrText>
        </w:r>
        <w:r>
          <w:rPr>
            <w:noProof/>
          </w:rPr>
        </w:r>
        <w:r w:rsidRPr="00316DA4">
          <w:rPr>
            <w:noProof/>
            <w:webHidden/>
          </w:rPr>
          <w:fldChar w:fldCharType="separate"/>
        </w:r>
        <w:r>
          <w:rPr>
            <w:noProof/>
            <w:webHidden/>
          </w:rPr>
          <w:t>33</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68" w:history="1">
        <w:r w:rsidRPr="00316DA4">
          <w:rPr>
            <w:rStyle w:val="Hyperlink"/>
            <w:noProof/>
          </w:rPr>
          <w:t>5.4: Nationale preferentie</w:t>
        </w:r>
        <w:r w:rsidRPr="00316DA4">
          <w:rPr>
            <w:noProof/>
            <w:webHidden/>
          </w:rPr>
          <w:tab/>
        </w:r>
        <w:r w:rsidRPr="00316DA4">
          <w:rPr>
            <w:noProof/>
            <w:webHidden/>
          </w:rPr>
          <w:fldChar w:fldCharType="begin"/>
        </w:r>
        <w:r w:rsidRPr="00316DA4">
          <w:rPr>
            <w:noProof/>
            <w:webHidden/>
          </w:rPr>
          <w:instrText xml:space="preserve"> PAGEREF _Toc261538668 \h </w:instrText>
        </w:r>
        <w:r>
          <w:rPr>
            <w:noProof/>
          </w:rPr>
        </w:r>
        <w:r w:rsidRPr="00316DA4">
          <w:rPr>
            <w:noProof/>
            <w:webHidden/>
          </w:rPr>
          <w:fldChar w:fldCharType="separate"/>
        </w:r>
        <w:r>
          <w:rPr>
            <w:noProof/>
            <w:webHidden/>
          </w:rPr>
          <w:t>33</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69" w:history="1">
        <w:r w:rsidRPr="00316DA4">
          <w:rPr>
            <w:rStyle w:val="Hyperlink"/>
            <w:noProof/>
          </w:rPr>
          <w:t>5.5: Analyse</w:t>
        </w:r>
        <w:r w:rsidRPr="00316DA4">
          <w:rPr>
            <w:noProof/>
            <w:webHidden/>
          </w:rPr>
          <w:tab/>
        </w:r>
        <w:r w:rsidRPr="00316DA4">
          <w:rPr>
            <w:noProof/>
            <w:webHidden/>
          </w:rPr>
          <w:fldChar w:fldCharType="begin"/>
        </w:r>
        <w:r w:rsidRPr="00316DA4">
          <w:rPr>
            <w:noProof/>
            <w:webHidden/>
          </w:rPr>
          <w:instrText xml:space="preserve"> PAGEREF _Toc261538669 \h </w:instrText>
        </w:r>
        <w:r>
          <w:rPr>
            <w:noProof/>
          </w:rPr>
        </w:r>
        <w:r w:rsidRPr="00316DA4">
          <w:rPr>
            <w:noProof/>
            <w:webHidden/>
          </w:rPr>
          <w:fldChar w:fldCharType="separate"/>
        </w:r>
        <w:r>
          <w:rPr>
            <w:noProof/>
            <w:webHidden/>
          </w:rPr>
          <w:t>34</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70" w:history="1">
        <w:r w:rsidRPr="00316DA4">
          <w:rPr>
            <w:rStyle w:val="Hyperlink"/>
            <w:noProof/>
          </w:rPr>
          <w:t>5.6: Conclusie</w:t>
        </w:r>
        <w:r w:rsidRPr="00316DA4">
          <w:rPr>
            <w:noProof/>
            <w:webHidden/>
          </w:rPr>
          <w:tab/>
        </w:r>
        <w:r w:rsidRPr="00316DA4">
          <w:rPr>
            <w:noProof/>
            <w:webHidden/>
          </w:rPr>
          <w:fldChar w:fldCharType="begin"/>
        </w:r>
        <w:r w:rsidRPr="00316DA4">
          <w:rPr>
            <w:noProof/>
            <w:webHidden/>
          </w:rPr>
          <w:instrText xml:space="preserve"> PAGEREF _Toc261538670 \h </w:instrText>
        </w:r>
        <w:r>
          <w:rPr>
            <w:noProof/>
          </w:rPr>
        </w:r>
        <w:r w:rsidRPr="00316DA4">
          <w:rPr>
            <w:noProof/>
            <w:webHidden/>
          </w:rPr>
          <w:fldChar w:fldCharType="separate"/>
        </w:r>
        <w:r>
          <w:rPr>
            <w:noProof/>
            <w:webHidden/>
          </w:rPr>
          <w:t>34</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671" w:history="1">
        <w:r w:rsidRPr="00316DA4">
          <w:rPr>
            <w:rStyle w:val="Hyperlink"/>
            <w:noProof/>
          </w:rPr>
          <w:t>6: Nederland</w:t>
        </w:r>
        <w:r w:rsidRPr="00316DA4">
          <w:rPr>
            <w:noProof/>
            <w:webHidden/>
          </w:rPr>
          <w:tab/>
        </w:r>
        <w:r w:rsidRPr="00316DA4">
          <w:rPr>
            <w:noProof/>
            <w:webHidden/>
          </w:rPr>
          <w:fldChar w:fldCharType="begin"/>
        </w:r>
        <w:r w:rsidRPr="00316DA4">
          <w:rPr>
            <w:noProof/>
            <w:webHidden/>
          </w:rPr>
          <w:instrText xml:space="preserve"> PAGEREF _Toc261538671 \h </w:instrText>
        </w:r>
        <w:r>
          <w:rPr>
            <w:noProof/>
          </w:rPr>
        </w:r>
        <w:r w:rsidRPr="00316DA4">
          <w:rPr>
            <w:noProof/>
            <w:webHidden/>
          </w:rPr>
          <w:fldChar w:fldCharType="separate"/>
        </w:r>
        <w:r>
          <w:rPr>
            <w:noProof/>
            <w:webHidden/>
          </w:rPr>
          <w:t>36</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72" w:history="1">
        <w:r w:rsidRPr="00316DA4">
          <w:rPr>
            <w:rStyle w:val="Hyperlink"/>
            <w:noProof/>
          </w:rPr>
          <w:t>6.1: Introductie</w:t>
        </w:r>
        <w:r w:rsidRPr="00316DA4">
          <w:rPr>
            <w:noProof/>
            <w:webHidden/>
          </w:rPr>
          <w:tab/>
        </w:r>
        <w:r w:rsidRPr="00316DA4">
          <w:rPr>
            <w:noProof/>
            <w:webHidden/>
          </w:rPr>
          <w:fldChar w:fldCharType="begin"/>
        </w:r>
        <w:r w:rsidRPr="00316DA4">
          <w:rPr>
            <w:noProof/>
            <w:webHidden/>
          </w:rPr>
          <w:instrText xml:space="preserve"> PAGEREF _Toc261538672 \h </w:instrText>
        </w:r>
        <w:r>
          <w:rPr>
            <w:noProof/>
          </w:rPr>
        </w:r>
        <w:r w:rsidRPr="00316DA4">
          <w:rPr>
            <w:noProof/>
            <w:webHidden/>
          </w:rPr>
          <w:fldChar w:fldCharType="separate"/>
        </w:r>
        <w:r>
          <w:rPr>
            <w:noProof/>
            <w:webHidden/>
          </w:rPr>
          <w:t>36</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73" w:history="1">
        <w:r w:rsidRPr="00316DA4">
          <w:rPr>
            <w:rStyle w:val="Hyperlink"/>
            <w:noProof/>
          </w:rPr>
          <w:t>6.2: LI-benadering</w:t>
        </w:r>
        <w:r w:rsidRPr="00316DA4">
          <w:rPr>
            <w:noProof/>
            <w:webHidden/>
          </w:rPr>
          <w:tab/>
        </w:r>
        <w:r w:rsidRPr="00316DA4">
          <w:rPr>
            <w:noProof/>
            <w:webHidden/>
          </w:rPr>
          <w:fldChar w:fldCharType="begin"/>
        </w:r>
        <w:r w:rsidRPr="00316DA4">
          <w:rPr>
            <w:noProof/>
            <w:webHidden/>
          </w:rPr>
          <w:instrText xml:space="preserve"> PAGEREF _Toc261538673 \h </w:instrText>
        </w:r>
        <w:r>
          <w:rPr>
            <w:noProof/>
          </w:rPr>
        </w:r>
        <w:r w:rsidRPr="00316DA4">
          <w:rPr>
            <w:noProof/>
            <w:webHidden/>
          </w:rPr>
          <w:fldChar w:fldCharType="separate"/>
        </w:r>
        <w:r>
          <w:rPr>
            <w:noProof/>
            <w:webHidden/>
          </w:rPr>
          <w:t>36</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74" w:history="1">
        <w:r w:rsidRPr="00316DA4">
          <w:rPr>
            <w:rStyle w:val="Hyperlink"/>
            <w:noProof/>
          </w:rPr>
          <w:t>6.2.1: Hypothese</w:t>
        </w:r>
        <w:r w:rsidRPr="00316DA4">
          <w:rPr>
            <w:noProof/>
            <w:webHidden/>
          </w:rPr>
          <w:tab/>
        </w:r>
        <w:r w:rsidRPr="00316DA4">
          <w:rPr>
            <w:noProof/>
            <w:webHidden/>
          </w:rPr>
          <w:fldChar w:fldCharType="begin"/>
        </w:r>
        <w:r w:rsidRPr="00316DA4">
          <w:rPr>
            <w:noProof/>
            <w:webHidden/>
          </w:rPr>
          <w:instrText xml:space="preserve"> PAGEREF _Toc261538674 \h </w:instrText>
        </w:r>
        <w:r>
          <w:rPr>
            <w:noProof/>
          </w:rPr>
        </w:r>
        <w:r w:rsidRPr="00316DA4">
          <w:rPr>
            <w:noProof/>
            <w:webHidden/>
          </w:rPr>
          <w:fldChar w:fldCharType="separate"/>
        </w:r>
        <w:r>
          <w:rPr>
            <w:noProof/>
            <w:webHidden/>
          </w:rPr>
          <w:t>36</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75" w:history="1">
        <w:r w:rsidRPr="00316DA4">
          <w:rPr>
            <w:rStyle w:val="Hyperlink"/>
            <w:noProof/>
          </w:rPr>
          <w:t>6.2.2: Patroon</w:t>
        </w:r>
        <w:r w:rsidRPr="00316DA4">
          <w:rPr>
            <w:noProof/>
            <w:webHidden/>
          </w:rPr>
          <w:tab/>
        </w:r>
        <w:r w:rsidRPr="00316DA4">
          <w:rPr>
            <w:noProof/>
            <w:webHidden/>
          </w:rPr>
          <w:fldChar w:fldCharType="begin"/>
        </w:r>
        <w:r w:rsidRPr="00316DA4">
          <w:rPr>
            <w:noProof/>
            <w:webHidden/>
          </w:rPr>
          <w:instrText xml:space="preserve"> PAGEREF _Toc261538675 \h </w:instrText>
        </w:r>
        <w:r>
          <w:rPr>
            <w:noProof/>
          </w:rPr>
        </w:r>
        <w:r w:rsidRPr="00316DA4">
          <w:rPr>
            <w:noProof/>
            <w:webHidden/>
          </w:rPr>
          <w:fldChar w:fldCharType="separate"/>
        </w:r>
        <w:r>
          <w:rPr>
            <w:noProof/>
            <w:webHidden/>
          </w:rPr>
          <w:t>36</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76" w:history="1">
        <w:r w:rsidRPr="00316DA4">
          <w:rPr>
            <w:rStyle w:val="Hyperlink"/>
            <w:noProof/>
          </w:rPr>
          <w:t>6.3: Partijideologische benadering</w:t>
        </w:r>
        <w:r w:rsidRPr="00316DA4">
          <w:rPr>
            <w:noProof/>
            <w:webHidden/>
          </w:rPr>
          <w:tab/>
        </w:r>
        <w:r w:rsidRPr="00316DA4">
          <w:rPr>
            <w:noProof/>
            <w:webHidden/>
          </w:rPr>
          <w:fldChar w:fldCharType="begin"/>
        </w:r>
        <w:r w:rsidRPr="00316DA4">
          <w:rPr>
            <w:noProof/>
            <w:webHidden/>
          </w:rPr>
          <w:instrText xml:space="preserve"> PAGEREF _Toc261538676 \h </w:instrText>
        </w:r>
        <w:r>
          <w:rPr>
            <w:noProof/>
          </w:rPr>
        </w:r>
        <w:r w:rsidRPr="00316DA4">
          <w:rPr>
            <w:noProof/>
            <w:webHidden/>
          </w:rPr>
          <w:fldChar w:fldCharType="separate"/>
        </w:r>
        <w:r>
          <w:rPr>
            <w:noProof/>
            <w:webHidden/>
          </w:rPr>
          <w:t>37</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77" w:history="1">
        <w:r w:rsidRPr="00316DA4">
          <w:rPr>
            <w:rStyle w:val="Hyperlink"/>
            <w:noProof/>
          </w:rPr>
          <w:t>6.3.1: Hypothese</w:t>
        </w:r>
        <w:r w:rsidRPr="00316DA4">
          <w:rPr>
            <w:noProof/>
            <w:webHidden/>
          </w:rPr>
          <w:tab/>
        </w:r>
        <w:r w:rsidRPr="00316DA4">
          <w:rPr>
            <w:noProof/>
            <w:webHidden/>
          </w:rPr>
          <w:fldChar w:fldCharType="begin"/>
        </w:r>
        <w:r w:rsidRPr="00316DA4">
          <w:rPr>
            <w:noProof/>
            <w:webHidden/>
          </w:rPr>
          <w:instrText xml:space="preserve"> PAGEREF _Toc261538677 \h </w:instrText>
        </w:r>
        <w:r>
          <w:rPr>
            <w:noProof/>
          </w:rPr>
        </w:r>
        <w:r w:rsidRPr="00316DA4">
          <w:rPr>
            <w:noProof/>
            <w:webHidden/>
          </w:rPr>
          <w:fldChar w:fldCharType="separate"/>
        </w:r>
        <w:r>
          <w:rPr>
            <w:noProof/>
            <w:webHidden/>
          </w:rPr>
          <w:t>37</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78" w:history="1">
        <w:r w:rsidRPr="00316DA4">
          <w:rPr>
            <w:rStyle w:val="Hyperlink"/>
            <w:noProof/>
          </w:rPr>
          <w:t>6.3.2: Patroon</w:t>
        </w:r>
        <w:r w:rsidRPr="00316DA4">
          <w:rPr>
            <w:noProof/>
            <w:webHidden/>
          </w:rPr>
          <w:tab/>
        </w:r>
        <w:r w:rsidRPr="00316DA4">
          <w:rPr>
            <w:noProof/>
            <w:webHidden/>
          </w:rPr>
          <w:fldChar w:fldCharType="begin"/>
        </w:r>
        <w:r w:rsidRPr="00316DA4">
          <w:rPr>
            <w:noProof/>
            <w:webHidden/>
          </w:rPr>
          <w:instrText xml:space="preserve"> PAGEREF _Toc261538678 \h </w:instrText>
        </w:r>
        <w:r>
          <w:rPr>
            <w:noProof/>
          </w:rPr>
        </w:r>
        <w:r w:rsidRPr="00316DA4">
          <w:rPr>
            <w:noProof/>
            <w:webHidden/>
          </w:rPr>
          <w:fldChar w:fldCharType="separate"/>
        </w:r>
        <w:r>
          <w:rPr>
            <w:noProof/>
            <w:webHidden/>
          </w:rPr>
          <w:t>38</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79" w:history="1">
        <w:r w:rsidRPr="00316DA4">
          <w:rPr>
            <w:rStyle w:val="Hyperlink"/>
            <w:noProof/>
          </w:rPr>
          <w:t>6.4: Nationale preferentie</w:t>
        </w:r>
        <w:r w:rsidRPr="00316DA4">
          <w:rPr>
            <w:noProof/>
            <w:webHidden/>
          </w:rPr>
          <w:tab/>
        </w:r>
        <w:r w:rsidRPr="00316DA4">
          <w:rPr>
            <w:noProof/>
            <w:webHidden/>
          </w:rPr>
          <w:fldChar w:fldCharType="begin"/>
        </w:r>
        <w:r w:rsidRPr="00316DA4">
          <w:rPr>
            <w:noProof/>
            <w:webHidden/>
          </w:rPr>
          <w:instrText xml:space="preserve"> PAGEREF _Toc261538679 \h </w:instrText>
        </w:r>
        <w:r>
          <w:rPr>
            <w:noProof/>
          </w:rPr>
        </w:r>
        <w:r w:rsidRPr="00316DA4">
          <w:rPr>
            <w:noProof/>
            <w:webHidden/>
          </w:rPr>
          <w:fldChar w:fldCharType="separate"/>
        </w:r>
        <w:r>
          <w:rPr>
            <w:noProof/>
            <w:webHidden/>
          </w:rPr>
          <w:t>39</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80" w:history="1">
        <w:r w:rsidRPr="00316DA4">
          <w:rPr>
            <w:rStyle w:val="Hyperlink"/>
            <w:noProof/>
          </w:rPr>
          <w:t>6.5: Analyse</w:t>
        </w:r>
        <w:r w:rsidRPr="00316DA4">
          <w:rPr>
            <w:noProof/>
            <w:webHidden/>
          </w:rPr>
          <w:tab/>
        </w:r>
        <w:r w:rsidRPr="00316DA4">
          <w:rPr>
            <w:noProof/>
            <w:webHidden/>
          </w:rPr>
          <w:fldChar w:fldCharType="begin"/>
        </w:r>
        <w:r w:rsidRPr="00316DA4">
          <w:rPr>
            <w:noProof/>
            <w:webHidden/>
          </w:rPr>
          <w:instrText xml:space="preserve"> PAGEREF _Toc261538680 \h </w:instrText>
        </w:r>
        <w:r>
          <w:rPr>
            <w:noProof/>
          </w:rPr>
        </w:r>
        <w:r w:rsidRPr="00316DA4">
          <w:rPr>
            <w:noProof/>
            <w:webHidden/>
          </w:rPr>
          <w:fldChar w:fldCharType="separate"/>
        </w:r>
        <w:r>
          <w:rPr>
            <w:noProof/>
            <w:webHidden/>
          </w:rPr>
          <w:t>39</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81" w:history="1">
        <w:r w:rsidRPr="00316DA4">
          <w:rPr>
            <w:rStyle w:val="Hyperlink"/>
            <w:noProof/>
          </w:rPr>
          <w:t>6.6: Conclusie</w:t>
        </w:r>
        <w:r w:rsidRPr="00316DA4">
          <w:rPr>
            <w:noProof/>
            <w:webHidden/>
          </w:rPr>
          <w:tab/>
        </w:r>
        <w:r w:rsidRPr="00316DA4">
          <w:rPr>
            <w:noProof/>
            <w:webHidden/>
          </w:rPr>
          <w:fldChar w:fldCharType="begin"/>
        </w:r>
        <w:r w:rsidRPr="00316DA4">
          <w:rPr>
            <w:noProof/>
            <w:webHidden/>
          </w:rPr>
          <w:instrText xml:space="preserve"> PAGEREF _Toc261538681 \h </w:instrText>
        </w:r>
        <w:r>
          <w:rPr>
            <w:noProof/>
          </w:rPr>
        </w:r>
        <w:r w:rsidRPr="00316DA4">
          <w:rPr>
            <w:noProof/>
            <w:webHidden/>
          </w:rPr>
          <w:fldChar w:fldCharType="separate"/>
        </w:r>
        <w:r>
          <w:rPr>
            <w:noProof/>
            <w:webHidden/>
          </w:rPr>
          <w:t>40</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682" w:history="1">
        <w:r w:rsidRPr="00316DA4">
          <w:rPr>
            <w:rStyle w:val="Hyperlink"/>
            <w:noProof/>
          </w:rPr>
          <w:t>7: Zweden</w:t>
        </w:r>
        <w:r w:rsidRPr="00316DA4">
          <w:rPr>
            <w:noProof/>
            <w:webHidden/>
          </w:rPr>
          <w:tab/>
        </w:r>
        <w:r w:rsidRPr="00316DA4">
          <w:rPr>
            <w:noProof/>
            <w:webHidden/>
          </w:rPr>
          <w:fldChar w:fldCharType="begin"/>
        </w:r>
        <w:r w:rsidRPr="00316DA4">
          <w:rPr>
            <w:noProof/>
            <w:webHidden/>
          </w:rPr>
          <w:instrText xml:space="preserve"> PAGEREF _Toc261538682 \h </w:instrText>
        </w:r>
        <w:r>
          <w:rPr>
            <w:noProof/>
          </w:rPr>
        </w:r>
        <w:r w:rsidRPr="00316DA4">
          <w:rPr>
            <w:noProof/>
            <w:webHidden/>
          </w:rPr>
          <w:fldChar w:fldCharType="separate"/>
        </w:r>
        <w:r>
          <w:rPr>
            <w:noProof/>
            <w:webHidden/>
          </w:rPr>
          <w:t>41</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83" w:history="1">
        <w:r w:rsidRPr="00316DA4">
          <w:rPr>
            <w:rStyle w:val="Hyperlink"/>
            <w:noProof/>
          </w:rPr>
          <w:t>7.1: Introductie</w:t>
        </w:r>
        <w:r w:rsidRPr="00316DA4">
          <w:rPr>
            <w:noProof/>
            <w:webHidden/>
          </w:rPr>
          <w:tab/>
        </w:r>
        <w:r w:rsidRPr="00316DA4">
          <w:rPr>
            <w:noProof/>
            <w:webHidden/>
          </w:rPr>
          <w:fldChar w:fldCharType="begin"/>
        </w:r>
        <w:r w:rsidRPr="00316DA4">
          <w:rPr>
            <w:noProof/>
            <w:webHidden/>
          </w:rPr>
          <w:instrText xml:space="preserve"> PAGEREF _Toc261538683 \h </w:instrText>
        </w:r>
        <w:r>
          <w:rPr>
            <w:noProof/>
          </w:rPr>
        </w:r>
        <w:r w:rsidRPr="00316DA4">
          <w:rPr>
            <w:noProof/>
            <w:webHidden/>
          </w:rPr>
          <w:fldChar w:fldCharType="separate"/>
        </w:r>
        <w:r>
          <w:rPr>
            <w:noProof/>
            <w:webHidden/>
          </w:rPr>
          <w:t>41</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84" w:history="1">
        <w:r w:rsidRPr="00316DA4">
          <w:rPr>
            <w:rStyle w:val="Hyperlink"/>
            <w:noProof/>
          </w:rPr>
          <w:t>7.2: LI-benadering</w:t>
        </w:r>
        <w:r w:rsidRPr="00316DA4">
          <w:rPr>
            <w:noProof/>
            <w:webHidden/>
          </w:rPr>
          <w:tab/>
        </w:r>
        <w:r w:rsidRPr="00316DA4">
          <w:rPr>
            <w:noProof/>
            <w:webHidden/>
          </w:rPr>
          <w:fldChar w:fldCharType="begin"/>
        </w:r>
        <w:r w:rsidRPr="00316DA4">
          <w:rPr>
            <w:noProof/>
            <w:webHidden/>
          </w:rPr>
          <w:instrText xml:space="preserve"> PAGEREF _Toc261538684 \h </w:instrText>
        </w:r>
        <w:r>
          <w:rPr>
            <w:noProof/>
          </w:rPr>
        </w:r>
        <w:r w:rsidRPr="00316DA4">
          <w:rPr>
            <w:noProof/>
            <w:webHidden/>
          </w:rPr>
          <w:fldChar w:fldCharType="separate"/>
        </w:r>
        <w:r>
          <w:rPr>
            <w:noProof/>
            <w:webHidden/>
          </w:rPr>
          <w:t>41</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85" w:history="1">
        <w:r w:rsidRPr="00316DA4">
          <w:rPr>
            <w:rStyle w:val="Hyperlink"/>
            <w:noProof/>
          </w:rPr>
          <w:t>7.2.1: Hypothese</w:t>
        </w:r>
        <w:r w:rsidRPr="00316DA4">
          <w:rPr>
            <w:noProof/>
            <w:webHidden/>
          </w:rPr>
          <w:tab/>
        </w:r>
        <w:r w:rsidRPr="00316DA4">
          <w:rPr>
            <w:noProof/>
            <w:webHidden/>
          </w:rPr>
          <w:fldChar w:fldCharType="begin"/>
        </w:r>
        <w:r w:rsidRPr="00316DA4">
          <w:rPr>
            <w:noProof/>
            <w:webHidden/>
          </w:rPr>
          <w:instrText xml:space="preserve"> PAGEREF _Toc261538685 \h </w:instrText>
        </w:r>
        <w:r>
          <w:rPr>
            <w:noProof/>
          </w:rPr>
        </w:r>
        <w:r w:rsidRPr="00316DA4">
          <w:rPr>
            <w:noProof/>
            <w:webHidden/>
          </w:rPr>
          <w:fldChar w:fldCharType="separate"/>
        </w:r>
        <w:r>
          <w:rPr>
            <w:noProof/>
            <w:webHidden/>
          </w:rPr>
          <w:t>41</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86" w:history="1">
        <w:r w:rsidRPr="00316DA4">
          <w:rPr>
            <w:rStyle w:val="Hyperlink"/>
            <w:noProof/>
          </w:rPr>
          <w:t>7.2.2: Patroon</w:t>
        </w:r>
        <w:r w:rsidRPr="00316DA4">
          <w:rPr>
            <w:noProof/>
            <w:webHidden/>
          </w:rPr>
          <w:tab/>
        </w:r>
        <w:r w:rsidRPr="00316DA4">
          <w:rPr>
            <w:noProof/>
            <w:webHidden/>
          </w:rPr>
          <w:fldChar w:fldCharType="begin"/>
        </w:r>
        <w:r w:rsidRPr="00316DA4">
          <w:rPr>
            <w:noProof/>
            <w:webHidden/>
          </w:rPr>
          <w:instrText xml:space="preserve"> PAGEREF _Toc261538686 \h </w:instrText>
        </w:r>
        <w:r>
          <w:rPr>
            <w:noProof/>
          </w:rPr>
        </w:r>
        <w:r w:rsidRPr="00316DA4">
          <w:rPr>
            <w:noProof/>
            <w:webHidden/>
          </w:rPr>
          <w:fldChar w:fldCharType="separate"/>
        </w:r>
        <w:r>
          <w:rPr>
            <w:noProof/>
            <w:webHidden/>
          </w:rPr>
          <w:t>41</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87" w:history="1">
        <w:r w:rsidRPr="00316DA4">
          <w:rPr>
            <w:rStyle w:val="Hyperlink"/>
            <w:noProof/>
          </w:rPr>
          <w:t>7.3: Partijideologische benadering</w:t>
        </w:r>
        <w:r w:rsidRPr="00316DA4">
          <w:rPr>
            <w:noProof/>
            <w:webHidden/>
          </w:rPr>
          <w:tab/>
        </w:r>
        <w:r w:rsidRPr="00316DA4">
          <w:rPr>
            <w:noProof/>
            <w:webHidden/>
          </w:rPr>
          <w:fldChar w:fldCharType="begin"/>
        </w:r>
        <w:r w:rsidRPr="00316DA4">
          <w:rPr>
            <w:noProof/>
            <w:webHidden/>
          </w:rPr>
          <w:instrText xml:space="preserve"> PAGEREF _Toc261538687 \h </w:instrText>
        </w:r>
        <w:r>
          <w:rPr>
            <w:noProof/>
          </w:rPr>
        </w:r>
        <w:r w:rsidRPr="00316DA4">
          <w:rPr>
            <w:noProof/>
            <w:webHidden/>
          </w:rPr>
          <w:fldChar w:fldCharType="separate"/>
        </w:r>
        <w:r>
          <w:rPr>
            <w:noProof/>
            <w:webHidden/>
          </w:rPr>
          <w:t>43</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88" w:history="1">
        <w:r w:rsidRPr="00316DA4">
          <w:rPr>
            <w:rStyle w:val="Hyperlink"/>
            <w:noProof/>
          </w:rPr>
          <w:t>7.3.1: Hypothese</w:t>
        </w:r>
        <w:r w:rsidRPr="00316DA4">
          <w:rPr>
            <w:noProof/>
            <w:webHidden/>
          </w:rPr>
          <w:tab/>
        </w:r>
        <w:r w:rsidRPr="00316DA4">
          <w:rPr>
            <w:noProof/>
            <w:webHidden/>
          </w:rPr>
          <w:fldChar w:fldCharType="begin"/>
        </w:r>
        <w:r w:rsidRPr="00316DA4">
          <w:rPr>
            <w:noProof/>
            <w:webHidden/>
          </w:rPr>
          <w:instrText xml:space="preserve"> PAGEREF _Toc261538688 \h </w:instrText>
        </w:r>
        <w:r>
          <w:rPr>
            <w:noProof/>
          </w:rPr>
        </w:r>
        <w:r w:rsidRPr="00316DA4">
          <w:rPr>
            <w:noProof/>
            <w:webHidden/>
          </w:rPr>
          <w:fldChar w:fldCharType="separate"/>
        </w:r>
        <w:r>
          <w:rPr>
            <w:noProof/>
            <w:webHidden/>
          </w:rPr>
          <w:t>43</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89" w:history="1">
        <w:r w:rsidRPr="00316DA4">
          <w:rPr>
            <w:rStyle w:val="Hyperlink"/>
            <w:noProof/>
          </w:rPr>
          <w:t>7.3.2: Patroon</w:t>
        </w:r>
        <w:r w:rsidRPr="00316DA4">
          <w:rPr>
            <w:noProof/>
            <w:webHidden/>
          </w:rPr>
          <w:tab/>
        </w:r>
        <w:r w:rsidRPr="00316DA4">
          <w:rPr>
            <w:noProof/>
            <w:webHidden/>
          </w:rPr>
          <w:fldChar w:fldCharType="begin"/>
        </w:r>
        <w:r w:rsidRPr="00316DA4">
          <w:rPr>
            <w:noProof/>
            <w:webHidden/>
          </w:rPr>
          <w:instrText xml:space="preserve"> PAGEREF _Toc261538689 \h </w:instrText>
        </w:r>
        <w:r>
          <w:rPr>
            <w:noProof/>
          </w:rPr>
        </w:r>
        <w:r w:rsidRPr="00316DA4">
          <w:rPr>
            <w:noProof/>
            <w:webHidden/>
          </w:rPr>
          <w:fldChar w:fldCharType="separate"/>
        </w:r>
        <w:r>
          <w:rPr>
            <w:noProof/>
            <w:webHidden/>
          </w:rPr>
          <w:t>43</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90" w:history="1">
        <w:r w:rsidRPr="00316DA4">
          <w:rPr>
            <w:rStyle w:val="Hyperlink"/>
            <w:noProof/>
          </w:rPr>
          <w:t>7.4: Nationale preferentie</w:t>
        </w:r>
        <w:r w:rsidRPr="00316DA4">
          <w:rPr>
            <w:noProof/>
            <w:webHidden/>
          </w:rPr>
          <w:tab/>
        </w:r>
        <w:r w:rsidRPr="00316DA4">
          <w:rPr>
            <w:noProof/>
            <w:webHidden/>
          </w:rPr>
          <w:fldChar w:fldCharType="begin"/>
        </w:r>
        <w:r w:rsidRPr="00316DA4">
          <w:rPr>
            <w:noProof/>
            <w:webHidden/>
          </w:rPr>
          <w:instrText xml:space="preserve"> PAGEREF _Toc261538690 \h </w:instrText>
        </w:r>
        <w:r>
          <w:rPr>
            <w:noProof/>
          </w:rPr>
        </w:r>
        <w:r w:rsidRPr="00316DA4">
          <w:rPr>
            <w:noProof/>
            <w:webHidden/>
          </w:rPr>
          <w:fldChar w:fldCharType="separate"/>
        </w:r>
        <w:r>
          <w:rPr>
            <w:noProof/>
            <w:webHidden/>
          </w:rPr>
          <w:t>43</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91" w:history="1">
        <w:r w:rsidRPr="00316DA4">
          <w:rPr>
            <w:rStyle w:val="Hyperlink"/>
            <w:noProof/>
          </w:rPr>
          <w:t>7.5: Analyse</w:t>
        </w:r>
        <w:r w:rsidRPr="00316DA4">
          <w:rPr>
            <w:noProof/>
            <w:webHidden/>
          </w:rPr>
          <w:tab/>
        </w:r>
        <w:r w:rsidRPr="00316DA4">
          <w:rPr>
            <w:noProof/>
            <w:webHidden/>
          </w:rPr>
          <w:fldChar w:fldCharType="begin"/>
        </w:r>
        <w:r w:rsidRPr="00316DA4">
          <w:rPr>
            <w:noProof/>
            <w:webHidden/>
          </w:rPr>
          <w:instrText xml:space="preserve"> PAGEREF _Toc261538691 \h </w:instrText>
        </w:r>
        <w:r>
          <w:rPr>
            <w:noProof/>
          </w:rPr>
        </w:r>
        <w:r w:rsidRPr="00316DA4">
          <w:rPr>
            <w:noProof/>
            <w:webHidden/>
          </w:rPr>
          <w:fldChar w:fldCharType="separate"/>
        </w:r>
        <w:r>
          <w:rPr>
            <w:noProof/>
            <w:webHidden/>
          </w:rPr>
          <w:t>44</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92" w:history="1">
        <w:r w:rsidRPr="00316DA4">
          <w:rPr>
            <w:rStyle w:val="Hyperlink"/>
            <w:noProof/>
          </w:rPr>
          <w:t>7.6: Conclusie</w:t>
        </w:r>
        <w:r w:rsidRPr="00316DA4">
          <w:rPr>
            <w:noProof/>
            <w:webHidden/>
          </w:rPr>
          <w:tab/>
        </w:r>
        <w:r w:rsidRPr="00316DA4">
          <w:rPr>
            <w:noProof/>
            <w:webHidden/>
          </w:rPr>
          <w:fldChar w:fldCharType="begin"/>
        </w:r>
        <w:r w:rsidRPr="00316DA4">
          <w:rPr>
            <w:noProof/>
            <w:webHidden/>
          </w:rPr>
          <w:instrText xml:space="preserve"> PAGEREF _Toc261538692 \h </w:instrText>
        </w:r>
        <w:r>
          <w:rPr>
            <w:noProof/>
          </w:rPr>
        </w:r>
        <w:r w:rsidRPr="00316DA4">
          <w:rPr>
            <w:noProof/>
            <w:webHidden/>
          </w:rPr>
          <w:fldChar w:fldCharType="separate"/>
        </w:r>
        <w:r>
          <w:rPr>
            <w:noProof/>
            <w:webHidden/>
          </w:rPr>
          <w:t>45</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693" w:history="1">
        <w:r w:rsidRPr="00316DA4">
          <w:rPr>
            <w:rStyle w:val="Hyperlink"/>
            <w:noProof/>
          </w:rPr>
          <w:t>8: Ierland</w:t>
        </w:r>
        <w:r w:rsidRPr="00316DA4">
          <w:rPr>
            <w:noProof/>
            <w:webHidden/>
          </w:rPr>
          <w:tab/>
        </w:r>
        <w:r w:rsidRPr="00316DA4">
          <w:rPr>
            <w:noProof/>
            <w:webHidden/>
          </w:rPr>
          <w:fldChar w:fldCharType="begin"/>
        </w:r>
        <w:r w:rsidRPr="00316DA4">
          <w:rPr>
            <w:noProof/>
            <w:webHidden/>
          </w:rPr>
          <w:instrText xml:space="preserve"> PAGEREF _Toc261538693 \h </w:instrText>
        </w:r>
        <w:r>
          <w:rPr>
            <w:noProof/>
          </w:rPr>
        </w:r>
        <w:r w:rsidRPr="00316DA4">
          <w:rPr>
            <w:noProof/>
            <w:webHidden/>
          </w:rPr>
          <w:fldChar w:fldCharType="separate"/>
        </w:r>
        <w:r>
          <w:rPr>
            <w:noProof/>
            <w:webHidden/>
          </w:rPr>
          <w:t>46</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94" w:history="1">
        <w:r w:rsidRPr="00316DA4">
          <w:rPr>
            <w:rStyle w:val="Hyperlink"/>
            <w:noProof/>
          </w:rPr>
          <w:t>8.1: Introductie</w:t>
        </w:r>
        <w:r w:rsidRPr="00316DA4">
          <w:rPr>
            <w:noProof/>
            <w:webHidden/>
          </w:rPr>
          <w:tab/>
        </w:r>
        <w:r w:rsidRPr="00316DA4">
          <w:rPr>
            <w:noProof/>
            <w:webHidden/>
          </w:rPr>
          <w:fldChar w:fldCharType="begin"/>
        </w:r>
        <w:r w:rsidRPr="00316DA4">
          <w:rPr>
            <w:noProof/>
            <w:webHidden/>
          </w:rPr>
          <w:instrText xml:space="preserve"> PAGEREF _Toc261538694 \h </w:instrText>
        </w:r>
        <w:r>
          <w:rPr>
            <w:noProof/>
          </w:rPr>
        </w:r>
        <w:r w:rsidRPr="00316DA4">
          <w:rPr>
            <w:noProof/>
            <w:webHidden/>
          </w:rPr>
          <w:fldChar w:fldCharType="separate"/>
        </w:r>
        <w:r>
          <w:rPr>
            <w:noProof/>
            <w:webHidden/>
          </w:rPr>
          <w:t>46</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95" w:history="1">
        <w:r w:rsidRPr="00316DA4">
          <w:rPr>
            <w:rStyle w:val="Hyperlink"/>
            <w:noProof/>
          </w:rPr>
          <w:t>8.2: LI-benadering</w:t>
        </w:r>
        <w:r w:rsidRPr="00316DA4">
          <w:rPr>
            <w:noProof/>
            <w:webHidden/>
          </w:rPr>
          <w:tab/>
        </w:r>
        <w:r w:rsidRPr="00316DA4">
          <w:rPr>
            <w:noProof/>
            <w:webHidden/>
          </w:rPr>
          <w:fldChar w:fldCharType="begin"/>
        </w:r>
        <w:r w:rsidRPr="00316DA4">
          <w:rPr>
            <w:noProof/>
            <w:webHidden/>
          </w:rPr>
          <w:instrText xml:space="preserve"> PAGEREF _Toc261538695 \h </w:instrText>
        </w:r>
        <w:r>
          <w:rPr>
            <w:noProof/>
          </w:rPr>
        </w:r>
        <w:r w:rsidRPr="00316DA4">
          <w:rPr>
            <w:noProof/>
            <w:webHidden/>
          </w:rPr>
          <w:fldChar w:fldCharType="separate"/>
        </w:r>
        <w:r>
          <w:rPr>
            <w:noProof/>
            <w:webHidden/>
          </w:rPr>
          <w:t>46</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96" w:history="1">
        <w:r w:rsidRPr="00316DA4">
          <w:rPr>
            <w:rStyle w:val="Hyperlink"/>
            <w:noProof/>
          </w:rPr>
          <w:t>8.2.1: Hypothese</w:t>
        </w:r>
        <w:r w:rsidRPr="00316DA4">
          <w:rPr>
            <w:noProof/>
            <w:webHidden/>
          </w:rPr>
          <w:tab/>
        </w:r>
        <w:r w:rsidRPr="00316DA4">
          <w:rPr>
            <w:noProof/>
            <w:webHidden/>
          </w:rPr>
          <w:fldChar w:fldCharType="begin"/>
        </w:r>
        <w:r w:rsidRPr="00316DA4">
          <w:rPr>
            <w:noProof/>
            <w:webHidden/>
          </w:rPr>
          <w:instrText xml:space="preserve"> PAGEREF _Toc261538696 \h </w:instrText>
        </w:r>
        <w:r>
          <w:rPr>
            <w:noProof/>
          </w:rPr>
        </w:r>
        <w:r w:rsidRPr="00316DA4">
          <w:rPr>
            <w:noProof/>
            <w:webHidden/>
          </w:rPr>
          <w:fldChar w:fldCharType="separate"/>
        </w:r>
        <w:r>
          <w:rPr>
            <w:noProof/>
            <w:webHidden/>
          </w:rPr>
          <w:t>46</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97" w:history="1">
        <w:r w:rsidRPr="00316DA4">
          <w:rPr>
            <w:rStyle w:val="Hyperlink"/>
            <w:noProof/>
          </w:rPr>
          <w:t>8.2.2: Patroon</w:t>
        </w:r>
        <w:r w:rsidRPr="00316DA4">
          <w:rPr>
            <w:noProof/>
            <w:webHidden/>
          </w:rPr>
          <w:tab/>
        </w:r>
        <w:r w:rsidRPr="00316DA4">
          <w:rPr>
            <w:noProof/>
            <w:webHidden/>
          </w:rPr>
          <w:fldChar w:fldCharType="begin"/>
        </w:r>
        <w:r w:rsidRPr="00316DA4">
          <w:rPr>
            <w:noProof/>
            <w:webHidden/>
          </w:rPr>
          <w:instrText xml:space="preserve"> PAGEREF _Toc261538697 \h </w:instrText>
        </w:r>
        <w:r>
          <w:rPr>
            <w:noProof/>
          </w:rPr>
        </w:r>
        <w:r w:rsidRPr="00316DA4">
          <w:rPr>
            <w:noProof/>
            <w:webHidden/>
          </w:rPr>
          <w:fldChar w:fldCharType="separate"/>
        </w:r>
        <w:r>
          <w:rPr>
            <w:noProof/>
            <w:webHidden/>
          </w:rPr>
          <w:t>46</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698" w:history="1">
        <w:r w:rsidRPr="00316DA4">
          <w:rPr>
            <w:rStyle w:val="Hyperlink"/>
            <w:noProof/>
          </w:rPr>
          <w:t>8.3: Partijideologische benadering</w:t>
        </w:r>
        <w:r w:rsidRPr="00316DA4">
          <w:rPr>
            <w:noProof/>
            <w:webHidden/>
          </w:rPr>
          <w:tab/>
        </w:r>
        <w:r w:rsidRPr="00316DA4">
          <w:rPr>
            <w:noProof/>
            <w:webHidden/>
          </w:rPr>
          <w:fldChar w:fldCharType="begin"/>
        </w:r>
        <w:r w:rsidRPr="00316DA4">
          <w:rPr>
            <w:noProof/>
            <w:webHidden/>
          </w:rPr>
          <w:instrText xml:space="preserve"> PAGEREF _Toc261538698 \h </w:instrText>
        </w:r>
        <w:r>
          <w:rPr>
            <w:noProof/>
          </w:rPr>
        </w:r>
        <w:r w:rsidRPr="00316DA4">
          <w:rPr>
            <w:noProof/>
            <w:webHidden/>
          </w:rPr>
          <w:fldChar w:fldCharType="separate"/>
        </w:r>
        <w:r>
          <w:rPr>
            <w:noProof/>
            <w:webHidden/>
          </w:rPr>
          <w:t>48</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699" w:history="1">
        <w:r w:rsidRPr="00316DA4">
          <w:rPr>
            <w:rStyle w:val="Hyperlink"/>
            <w:noProof/>
          </w:rPr>
          <w:t>8.3.1: Hypothese</w:t>
        </w:r>
        <w:r w:rsidRPr="00316DA4">
          <w:rPr>
            <w:noProof/>
            <w:webHidden/>
          </w:rPr>
          <w:tab/>
        </w:r>
        <w:r w:rsidRPr="00316DA4">
          <w:rPr>
            <w:noProof/>
            <w:webHidden/>
          </w:rPr>
          <w:fldChar w:fldCharType="begin"/>
        </w:r>
        <w:r w:rsidRPr="00316DA4">
          <w:rPr>
            <w:noProof/>
            <w:webHidden/>
          </w:rPr>
          <w:instrText xml:space="preserve"> PAGEREF _Toc261538699 \h </w:instrText>
        </w:r>
        <w:r>
          <w:rPr>
            <w:noProof/>
          </w:rPr>
        </w:r>
        <w:r w:rsidRPr="00316DA4">
          <w:rPr>
            <w:noProof/>
            <w:webHidden/>
          </w:rPr>
          <w:fldChar w:fldCharType="separate"/>
        </w:r>
        <w:r>
          <w:rPr>
            <w:noProof/>
            <w:webHidden/>
          </w:rPr>
          <w:t>48</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700" w:history="1">
        <w:r w:rsidRPr="00316DA4">
          <w:rPr>
            <w:rStyle w:val="Hyperlink"/>
            <w:noProof/>
          </w:rPr>
          <w:t>8.3.2: Patroon</w:t>
        </w:r>
        <w:r w:rsidRPr="00316DA4">
          <w:rPr>
            <w:noProof/>
            <w:webHidden/>
          </w:rPr>
          <w:tab/>
        </w:r>
        <w:r w:rsidRPr="00316DA4">
          <w:rPr>
            <w:noProof/>
            <w:webHidden/>
          </w:rPr>
          <w:fldChar w:fldCharType="begin"/>
        </w:r>
        <w:r w:rsidRPr="00316DA4">
          <w:rPr>
            <w:noProof/>
            <w:webHidden/>
          </w:rPr>
          <w:instrText xml:space="preserve"> PAGEREF _Toc261538700 \h </w:instrText>
        </w:r>
        <w:r>
          <w:rPr>
            <w:noProof/>
          </w:rPr>
        </w:r>
        <w:r w:rsidRPr="00316DA4">
          <w:rPr>
            <w:noProof/>
            <w:webHidden/>
          </w:rPr>
          <w:fldChar w:fldCharType="separate"/>
        </w:r>
        <w:r>
          <w:rPr>
            <w:noProof/>
            <w:webHidden/>
          </w:rPr>
          <w:t>49</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701" w:history="1">
        <w:r w:rsidRPr="00316DA4">
          <w:rPr>
            <w:rStyle w:val="Hyperlink"/>
            <w:noProof/>
          </w:rPr>
          <w:t>8.4: Nationale preferentie</w:t>
        </w:r>
        <w:r w:rsidRPr="00316DA4">
          <w:rPr>
            <w:noProof/>
            <w:webHidden/>
          </w:rPr>
          <w:tab/>
        </w:r>
        <w:r w:rsidRPr="00316DA4">
          <w:rPr>
            <w:noProof/>
            <w:webHidden/>
          </w:rPr>
          <w:fldChar w:fldCharType="begin"/>
        </w:r>
        <w:r w:rsidRPr="00316DA4">
          <w:rPr>
            <w:noProof/>
            <w:webHidden/>
          </w:rPr>
          <w:instrText xml:space="preserve"> PAGEREF _Toc261538701 \h </w:instrText>
        </w:r>
        <w:r>
          <w:rPr>
            <w:noProof/>
          </w:rPr>
        </w:r>
        <w:r w:rsidRPr="00316DA4">
          <w:rPr>
            <w:noProof/>
            <w:webHidden/>
          </w:rPr>
          <w:fldChar w:fldCharType="separate"/>
        </w:r>
        <w:r>
          <w:rPr>
            <w:noProof/>
            <w:webHidden/>
          </w:rPr>
          <w:t>51</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702" w:history="1">
        <w:r w:rsidRPr="00316DA4">
          <w:rPr>
            <w:rStyle w:val="Hyperlink"/>
            <w:noProof/>
          </w:rPr>
          <w:t>8.5: Analyse</w:t>
        </w:r>
        <w:r w:rsidRPr="00316DA4">
          <w:rPr>
            <w:noProof/>
            <w:webHidden/>
          </w:rPr>
          <w:tab/>
        </w:r>
        <w:r w:rsidRPr="00316DA4">
          <w:rPr>
            <w:noProof/>
            <w:webHidden/>
          </w:rPr>
          <w:fldChar w:fldCharType="begin"/>
        </w:r>
        <w:r w:rsidRPr="00316DA4">
          <w:rPr>
            <w:noProof/>
            <w:webHidden/>
          </w:rPr>
          <w:instrText xml:space="preserve"> PAGEREF _Toc261538702 \h </w:instrText>
        </w:r>
        <w:r>
          <w:rPr>
            <w:noProof/>
          </w:rPr>
        </w:r>
        <w:r w:rsidRPr="00316DA4">
          <w:rPr>
            <w:noProof/>
            <w:webHidden/>
          </w:rPr>
          <w:fldChar w:fldCharType="separate"/>
        </w:r>
        <w:r>
          <w:rPr>
            <w:noProof/>
            <w:webHidden/>
          </w:rPr>
          <w:t>52</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703" w:history="1">
        <w:r w:rsidRPr="00316DA4">
          <w:rPr>
            <w:rStyle w:val="Hyperlink"/>
            <w:noProof/>
          </w:rPr>
          <w:t>8.6: Conclusie</w:t>
        </w:r>
        <w:r w:rsidRPr="00316DA4">
          <w:rPr>
            <w:noProof/>
            <w:webHidden/>
          </w:rPr>
          <w:tab/>
        </w:r>
        <w:r w:rsidRPr="00316DA4">
          <w:rPr>
            <w:noProof/>
            <w:webHidden/>
          </w:rPr>
          <w:fldChar w:fldCharType="begin"/>
        </w:r>
        <w:r w:rsidRPr="00316DA4">
          <w:rPr>
            <w:noProof/>
            <w:webHidden/>
          </w:rPr>
          <w:instrText xml:space="preserve"> PAGEREF _Toc261538703 \h </w:instrText>
        </w:r>
        <w:r>
          <w:rPr>
            <w:noProof/>
          </w:rPr>
        </w:r>
        <w:r w:rsidRPr="00316DA4">
          <w:rPr>
            <w:noProof/>
            <w:webHidden/>
          </w:rPr>
          <w:fldChar w:fldCharType="separate"/>
        </w:r>
        <w:r>
          <w:rPr>
            <w:noProof/>
            <w:webHidden/>
          </w:rPr>
          <w:t>53</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704" w:history="1">
        <w:r w:rsidRPr="00316DA4">
          <w:rPr>
            <w:rStyle w:val="Hyperlink"/>
            <w:noProof/>
          </w:rPr>
          <w:t>9: Analyse</w:t>
        </w:r>
        <w:r w:rsidRPr="00316DA4">
          <w:rPr>
            <w:noProof/>
            <w:webHidden/>
          </w:rPr>
          <w:tab/>
        </w:r>
        <w:r w:rsidRPr="00316DA4">
          <w:rPr>
            <w:noProof/>
            <w:webHidden/>
          </w:rPr>
          <w:fldChar w:fldCharType="begin"/>
        </w:r>
        <w:r w:rsidRPr="00316DA4">
          <w:rPr>
            <w:noProof/>
            <w:webHidden/>
          </w:rPr>
          <w:instrText xml:space="preserve"> PAGEREF _Toc261538704 \h </w:instrText>
        </w:r>
        <w:r>
          <w:rPr>
            <w:noProof/>
          </w:rPr>
        </w:r>
        <w:r w:rsidRPr="00316DA4">
          <w:rPr>
            <w:noProof/>
            <w:webHidden/>
          </w:rPr>
          <w:fldChar w:fldCharType="separate"/>
        </w:r>
        <w:r>
          <w:rPr>
            <w:noProof/>
            <w:webHidden/>
          </w:rPr>
          <w:t>55</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705" w:history="1">
        <w:r w:rsidRPr="00316DA4">
          <w:rPr>
            <w:rStyle w:val="Hyperlink"/>
            <w:noProof/>
          </w:rPr>
          <w:t>9.1: Introductie</w:t>
        </w:r>
        <w:r w:rsidRPr="00316DA4">
          <w:rPr>
            <w:noProof/>
            <w:webHidden/>
          </w:rPr>
          <w:tab/>
        </w:r>
        <w:r w:rsidRPr="00316DA4">
          <w:rPr>
            <w:noProof/>
            <w:webHidden/>
          </w:rPr>
          <w:fldChar w:fldCharType="begin"/>
        </w:r>
        <w:r w:rsidRPr="00316DA4">
          <w:rPr>
            <w:noProof/>
            <w:webHidden/>
          </w:rPr>
          <w:instrText xml:space="preserve"> PAGEREF _Toc261538705 \h </w:instrText>
        </w:r>
        <w:r>
          <w:rPr>
            <w:noProof/>
          </w:rPr>
        </w:r>
        <w:r w:rsidRPr="00316DA4">
          <w:rPr>
            <w:noProof/>
            <w:webHidden/>
          </w:rPr>
          <w:fldChar w:fldCharType="separate"/>
        </w:r>
        <w:r>
          <w:rPr>
            <w:noProof/>
            <w:webHidden/>
          </w:rPr>
          <w:t>55</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706" w:history="1">
        <w:r w:rsidRPr="00316DA4">
          <w:rPr>
            <w:rStyle w:val="Hyperlink"/>
            <w:noProof/>
          </w:rPr>
          <w:t>9.2: Malta</w:t>
        </w:r>
        <w:r w:rsidRPr="00316DA4">
          <w:rPr>
            <w:noProof/>
            <w:webHidden/>
          </w:rPr>
          <w:tab/>
        </w:r>
        <w:r w:rsidRPr="00316DA4">
          <w:rPr>
            <w:noProof/>
            <w:webHidden/>
          </w:rPr>
          <w:fldChar w:fldCharType="begin"/>
        </w:r>
        <w:r w:rsidRPr="00316DA4">
          <w:rPr>
            <w:noProof/>
            <w:webHidden/>
          </w:rPr>
          <w:instrText xml:space="preserve"> PAGEREF _Toc261538706 \h </w:instrText>
        </w:r>
        <w:r>
          <w:rPr>
            <w:noProof/>
          </w:rPr>
        </w:r>
        <w:r w:rsidRPr="00316DA4">
          <w:rPr>
            <w:noProof/>
            <w:webHidden/>
          </w:rPr>
          <w:fldChar w:fldCharType="separate"/>
        </w:r>
        <w:r>
          <w:rPr>
            <w:noProof/>
            <w:webHidden/>
          </w:rPr>
          <w:t>55</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707" w:history="1">
        <w:r w:rsidRPr="00316DA4">
          <w:rPr>
            <w:rStyle w:val="Hyperlink"/>
            <w:noProof/>
          </w:rPr>
          <w:t>9.3: Nederland</w:t>
        </w:r>
        <w:r w:rsidRPr="00316DA4">
          <w:rPr>
            <w:noProof/>
            <w:webHidden/>
          </w:rPr>
          <w:tab/>
        </w:r>
        <w:r w:rsidRPr="00316DA4">
          <w:rPr>
            <w:noProof/>
            <w:webHidden/>
          </w:rPr>
          <w:fldChar w:fldCharType="begin"/>
        </w:r>
        <w:r w:rsidRPr="00316DA4">
          <w:rPr>
            <w:noProof/>
            <w:webHidden/>
          </w:rPr>
          <w:instrText xml:space="preserve"> PAGEREF _Toc261538707 \h </w:instrText>
        </w:r>
        <w:r>
          <w:rPr>
            <w:noProof/>
          </w:rPr>
        </w:r>
        <w:r w:rsidRPr="00316DA4">
          <w:rPr>
            <w:noProof/>
            <w:webHidden/>
          </w:rPr>
          <w:fldChar w:fldCharType="separate"/>
        </w:r>
        <w:r>
          <w:rPr>
            <w:noProof/>
            <w:webHidden/>
          </w:rPr>
          <w:t>56</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708" w:history="1">
        <w:r w:rsidRPr="00316DA4">
          <w:rPr>
            <w:rStyle w:val="Hyperlink"/>
            <w:noProof/>
          </w:rPr>
          <w:t>9.4: Zweden</w:t>
        </w:r>
        <w:r w:rsidRPr="00316DA4">
          <w:rPr>
            <w:noProof/>
            <w:webHidden/>
          </w:rPr>
          <w:tab/>
        </w:r>
        <w:r w:rsidRPr="00316DA4">
          <w:rPr>
            <w:noProof/>
            <w:webHidden/>
          </w:rPr>
          <w:fldChar w:fldCharType="begin"/>
        </w:r>
        <w:r w:rsidRPr="00316DA4">
          <w:rPr>
            <w:noProof/>
            <w:webHidden/>
          </w:rPr>
          <w:instrText xml:space="preserve"> PAGEREF _Toc261538708 \h </w:instrText>
        </w:r>
        <w:r>
          <w:rPr>
            <w:noProof/>
          </w:rPr>
        </w:r>
        <w:r w:rsidRPr="00316DA4">
          <w:rPr>
            <w:noProof/>
            <w:webHidden/>
          </w:rPr>
          <w:fldChar w:fldCharType="separate"/>
        </w:r>
        <w:r>
          <w:rPr>
            <w:noProof/>
            <w:webHidden/>
          </w:rPr>
          <w:t>57</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709" w:history="1">
        <w:r w:rsidRPr="00316DA4">
          <w:rPr>
            <w:rStyle w:val="Hyperlink"/>
            <w:noProof/>
          </w:rPr>
          <w:t>9.5: Ierland</w:t>
        </w:r>
        <w:r w:rsidRPr="00316DA4">
          <w:rPr>
            <w:noProof/>
            <w:webHidden/>
          </w:rPr>
          <w:tab/>
        </w:r>
        <w:r w:rsidRPr="00316DA4">
          <w:rPr>
            <w:noProof/>
            <w:webHidden/>
          </w:rPr>
          <w:fldChar w:fldCharType="begin"/>
        </w:r>
        <w:r w:rsidRPr="00316DA4">
          <w:rPr>
            <w:noProof/>
            <w:webHidden/>
          </w:rPr>
          <w:instrText xml:space="preserve"> PAGEREF _Toc261538709 \h </w:instrText>
        </w:r>
        <w:r>
          <w:rPr>
            <w:noProof/>
          </w:rPr>
        </w:r>
        <w:r w:rsidRPr="00316DA4">
          <w:rPr>
            <w:noProof/>
            <w:webHidden/>
          </w:rPr>
          <w:fldChar w:fldCharType="separate"/>
        </w:r>
        <w:r>
          <w:rPr>
            <w:noProof/>
            <w:webHidden/>
          </w:rPr>
          <w:t>58</w:t>
        </w:r>
        <w:r w:rsidRPr="00316DA4">
          <w:rPr>
            <w:noProof/>
            <w:webHidden/>
          </w:rPr>
          <w:fldChar w:fldCharType="end"/>
        </w:r>
      </w:hyperlink>
    </w:p>
    <w:p w:rsidR="009623CA" w:rsidRPr="00316DA4" w:rsidRDefault="009623CA">
      <w:pPr>
        <w:pStyle w:val="TOC2"/>
        <w:tabs>
          <w:tab w:val="right" w:leader="dot" w:pos="9062"/>
        </w:tabs>
        <w:rPr>
          <w:noProof/>
          <w:lang w:eastAsia="nl-NL"/>
        </w:rPr>
      </w:pPr>
      <w:hyperlink w:anchor="_Toc261538710" w:history="1">
        <w:r w:rsidRPr="00316DA4">
          <w:rPr>
            <w:rStyle w:val="Hyperlink"/>
            <w:noProof/>
          </w:rPr>
          <w:t>9.6: Vergelijking</w:t>
        </w:r>
        <w:r w:rsidRPr="00316DA4">
          <w:rPr>
            <w:noProof/>
            <w:webHidden/>
          </w:rPr>
          <w:tab/>
        </w:r>
        <w:r w:rsidRPr="00316DA4">
          <w:rPr>
            <w:noProof/>
            <w:webHidden/>
          </w:rPr>
          <w:fldChar w:fldCharType="begin"/>
        </w:r>
        <w:r w:rsidRPr="00316DA4">
          <w:rPr>
            <w:noProof/>
            <w:webHidden/>
          </w:rPr>
          <w:instrText xml:space="preserve"> PAGEREF _Toc261538710 \h </w:instrText>
        </w:r>
        <w:r>
          <w:rPr>
            <w:noProof/>
          </w:rPr>
        </w:r>
        <w:r w:rsidRPr="00316DA4">
          <w:rPr>
            <w:noProof/>
            <w:webHidden/>
          </w:rPr>
          <w:fldChar w:fldCharType="separate"/>
        </w:r>
        <w:r>
          <w:rPr>
            <w:noProof/>
            <w:webHidden/>
          </w:rPr>
          <w:t>59</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711" w:history="1">
        <w:r w:rsidRPr="00316DA4">
          <w:rPr>
            <w:rStyle w:val="Hyperlink"/>
            <w:noProof/>
          </w:rPr>
          <w:t>9.6.1: Deelvraag één</w:t>
        </w:r>
        <w:r w:rsidRPr="00316DA4">
          <w:rPr>
            <w:noProof/>
            <w:webHidden/>
          </w:rPr>
          <w:tab/>
        </w:r>
        <w:r w:rsidRPr="00316DA4">
          <w:rPr>
            <w:noProof/>
            <w:webHidden/>
          </w:rPr>
          <w:fldChar w:fldCharType="begin"/>
        </w:r>
        <w:r w:rsidRPr="00316DA4">
          <w:rPr>
            <w:noProof/>
            <w:webHidden/>
          </w:rPr>
          <w:instrText xml:space="preserve"> PAGEREF _Toc261538711 \h </w:instrText>
        </w:r>
        <w:r>
          <w:rPr>
            <w:noProof/>
          </w:rPr>
        </w:r>
        <w:r w:rsidRPr="00316DA4">
          <w:rPr>
            <w:noProof/>
            <w:webHidden/>
          </w:rPr>
          <w:fldChar w:fldCharType="separate"/>
        </w:r>
        <w:r>
          <w:rPr>
            <w:noProof/>
            <w:webHidden/>
          </w:rPr>
          <w:t>60</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712" w:history="1">
        <w:r w:rsidRPr="00316DA4">
          <w:rPr>
            <w:rStyle w:val="Hyperlink"/>
            <w:noProof/>
          </w:rPr>
          <w:t>9.6.2: Deelvraag twee</w:t>
        </w:r>
        <w:r w:rsidRPr="00316DA4">
          <w:rPr>
            <w:noProof/>
            <w:webHidden/>
          </w:rPr>
          <w:tab/>
        </w:r>
        <w:r w:rsidRPr="00316DA4">
          <w:rPr>
            <w:noProof/>
            <w:webHidden/>
          </w:rPr>
          <w:fldChar w:fldCharType="begin"/>
        </w:r>
        <w:r w:rsidRPr="00316DA4">
          <w:rPr>
            <w:noProof/>
            <w:webHidden/>
          </w:rPr>
          <w:instrText xml:space="preserve"> PAGEREF _Toc261538712 \h </w:instrText>
        </w:r>
        <w:r>
          <w:rPr>
            <w:noProof/>
          </w:rPr>
        </w:r>
        <w:r w:rsidRPr="00316DA4">
          <w:rPr>
            <w:noProof/>
            <w:webHidden/>
          </w:rPr>
          <w:fldChar w:fldCharType="separate"/>
        </w:r>
        <w:r>
          <w:rPr>
            <w:noProof/>
            <w:webHidden/>
          </w:rPr>
          <w:t>60</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713" w:history="1">
        <w:r w:rsidRPr="00316DA4">
          <w:rPr>
            <w:rStyle w:val="Hyperlink"/>
            <w:noProof/>
          </w:rPr>
          <w:t>9.6.3: Deelvraag drie</w:t>
        </w:r>
        <w:r w:rsidRPr="00316DA4">
          <w:rPr>
            <w:noProof/>
            <w:webHidden/>
          </w:rPr>
          <w:tab/>
        </w:r>
        <w:r w:rsidRPr="00316DA4">
          <w:rPr>
            <w:noProof/>
            <w:webHidden/>
          </w:rPr>
          <w:fldChar w:fldCharType="begin"/>
        </w:r>
        <w:r w:rsidRPr="00316DA4">
          <w:rPr>
            <w:noProof/>
            <w:webHidden/>
          </w:rPr>
          <w:instrText xml:space="preserve"> PAGEREF _Toc261538713 \h </w:instrText>
        </w:r>
        <w:r>
          <w:rPr>
            <w:noProof/>
          </w:rPr>
        </w:r>
        <w:r w:rsidRPr="00316DA4">
          <w:rPr>
            <w:noProof/>
            <w:webHidden/>
          </w:rPr>
          <w:fldChar w:fldCharType="separate"/>
        </w:r>
        <w:r>
          <w:rPr>
            <w:noProof/>
            <w:webHidden/>
          </w:rPr>
          <w:t>60</w:t>
        </w:r>
        <w:r w:rsidRPr="00316DA4">
          <w:rPr>
            <w:noProof/>
            <w:webHidden/>
          </w:rPr>
          <w:fldChar w:fldCharType="end"/>
        </w:r>
      </w:hyperlink>
    </w:p>
    <w:p w:rsidR="009623CA" w:rsidRPr="00316DA4" w:rsidRDefault="009623CA">
      <w:pPr>
        <w:pStyle w:val="TOC3"/>
        <w:tabs>
          <w:tab w:val="right" w:leader="dot" w:pos="9062"/>
        </w:tabs>
        <w:rPr>
          <w:noProof/>
          <w:lang w:eastAsia="nl-NL"/>
        </w:rPr>
      </w:pPr>
      <w:hyperlink w:anchor="_Toc261538714" w:history="1">
        <w:r w:rsidRPr="00316DA4">
          <w:rPr>
            <w:rStyle w:val="Hyperlink"/>
            <w:noProof/>
          </w:rPr>
          <w:t>9.6.4: Deelvraag vier</w:t>
        </w:r>
        <w:r w:rsidRPr="00316DA4">
          <w:rPr>
            <w:noProof/>
            <w:webHidden/>
          </w:rPr>
          <w:tab/>
        </w:r>
        <w:r w:rsidRPr="00316DA4">
          <w:rPr>
            <w:noProof/>
            <w:webHidden/>
          </w:rPr>
          <w:fldChar w:fldCharType="begin"/>
        </w:r>
        <w:r w:rsidRPr="00316DA4">
          <w:rPr>
            <w:noProof/>
            <w:webHidden/>
          </w:rPr>
          <w:instrText xml:space="preserve"> PAGEREF _Toc261538714 \h </w:instrText>
        </w:r>
        <w:r>
          <w:rPr>
            <w:noProof/>
          </w:rPr>
        </w:r>
        <w:r w:rsidRPr="00316DA4">
          <w:rPr>
            <w:noProof/>
            <w:webHidden/>
          </w:rPr>
          <w:fldChar w:fldCharType="separate"/>
        </w:r>
        <w:r>
          <w:rPr>
            <w:noProof/>
            <w:webHidden/>
          </w:rPr>
          <w:t>61</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715" w:history="1">
        <w:r w:rsidRPr="00316DA4">
          <w:rPr>
            <w:rStyle w:val="Hyperlink"/>
            <w:noProof/>
          </w:rPr>
          <w:t>10: Conclusie</w:t>
        </w:r>
        <w:r w:rsidRPr="00316DA4">
          <w:rPr>
            <w:noProof/>
            <w:webHidden/>
          </w:rPr>
          <w:tab/>
        </w:r>
        <w:r w:rsidRPr="00316DA4">
          <w:rPr>
            <w:noProof/>
            <w:webHidden/>
          </w:rPr>
          <w:fldChar w:fldCharType="begin"/>
        </w:r>
        <w:r w:rsidRPr="00316DA4">
          <w:rPr>
            <w:noProof/>
            <w:webHidden/>
          </w:rPr>
          <w:instrText xml:space="preserve"> PAGEREF _Toc261538715 \h </w:instrText>
        </w:r>
        <w:r>
          <w:rPr>
            <w:noProof/>
          </w:rPr>
        </w:r>
        <w:r w:rsidRPr="00316DA4">
          <w:rPr>
            <w:noProof/>
            <w:webHidden/>
          </w:rPr>
          <w:fldChar w:fldCharType="separate"/>
        </w:r>
        <w:r>
          <w:rPr>
            <w:noProof/>
            <w:webHidden/>
          </w:rPr>
          <w:t>64</w:t>
        </w:r>
        <w:r w:rsidRPr="00316DA4">
          <w:rPr>
            <w:noProof/>
            <w:webHidden/>
          </w:rPr>
          <w:fldChar w:fldCharType="end"/>
        </w:r>
      </w:hyperlink>
    </w:p>
    <w:p w:rsidR="009623CA" w:rsidRPr="00316DA4" w:rsidRDefault="009623CA">
      <w:pPr>
        <w:pStyle w:val="TOC1"/>
        <w:tabs>
          <w:tab w:val="right" w:leader="dot" w:pos="9062"/>
        </w:tabs>
        <w:rPr>
          <w:noProof/>
          <w:lang w:eastAsia="nl-NL"/>
        </w:rPr>
      </w:pPr>
      <w:hyperlink w:anchor="_Toc261538716" w:history="1">
        <w:r w:rsidRPr="00316DA4">
          <w:rPr>
            <w:rStyle w:val="Hyperlink"/>
            <w:noProof/>
          </w:rPr>
          <w:t>Literatuuroverzicht</w:t>
        </w:r>
        <w:r w:rsidRPr="00316DA4">
          <w:rPr>
            <w:noProof/>
            <w:webHidden/>
          </w:rPr>
          <w:tab/>
        </w:r>
        <w:r w:rsidRPr="00316DA4">
          <w:rPr>
            <w:noProof/>
            <w:webHidden/>
          </w:rPr>
          <w:fldChar w:fldCharType="begin"/>
        </w:r>
        <w:r w:rsidRPr="00316DA4">
          <w:rPr>
            <w:noProof/>
            <w:webHidden/>
          </w:rPr>
          <w:instrText xml:space="preserve"> PAGEREF _Toc261538716 \h </w:instrText>
        </w:r>
        <w:r>
          <w:rPr>
            <w:noProof/>
          </w:rPr>
        </w:r>
        <w:r w:rsidRPr="00316DA4">
          <w:rPr>
            <w:noProof/>
            <w:webHidden/>
          </w:rPr>
          <w:fldChar w:fldCharType="separate"/>
        </w:r>
        <w:r>
          <w:rPr>
            <w:noProof/>
            <w:webHidden/>
          </w:rPr>
          <w:t>68</w:t>
        </w:r>
        <w:r w:rsidRPr="00316DA4">
          <w:rPr>
            <w:noProof/>
            <w:webHidden/>
          </w:rPr>
          <w:fldChar w:fldCharType="end"/>
        </w:r>
      </w:hyperlink>
    </w:p>
    <w:p w:rsidR="009623CA" w:rsidRPr="00316DA4" w:rsidRDefault="009623CA" w:rsidP="008A0A23">
      <w:pPr>
        <w:pStyle w:val="Heading1"/>
        <w:rPr>
          <w:color w:val="auto"/>
          <w:sz w:val="24"/>
          <w:szCs w:val="24"/>
        </w:rPr>
      </w:pPr>
      <w:r w:rsidRPr="00316DA4">
        <w:rPr>
          <w:sz w:val="24"/>
          <w:szCs w:val="24"/>
        </w:rPr>
        <w:fldChar w:fldCharType="end"/>
      </w:r>
    </w:p>
    <w:p w:rsidR="009623CA" w:rsidRPr="00316DA4" w:rsidRDefault="009623CA" w:rsidP="008A0A23">
      <w:pPr>
        <w:pStyle w:val="Heading1"/>
      </w:pPr>
    </w:p>
    <w:p w:rsidR="009623CA" w:rsidRPr="00316DA4" w:rsidRDefault="009623CA" w:rsidP="008A0A23">
      <w:pPr>
        <w:pStyle w:val="Heading1"/>
      </w:pPr>
    </w:p>
    <w:p w:rsidR="009623CA" w:rsidRPr="00316DA4" w:rsidRDefault="009623CA" w:rsidP="008A0A23">
      <w:pPr>
        <w:pStyle w:val="Heading1"/>
      </w:pPr>
    </w:p>
    <w:p w:rsidR="009623CA" w:rsidRPr="00316DA4" w:rsidRDefault="009623CA" w:rsidP="0071187A">
      <w:pPr>
        <w:rPr>
          <w:b/>
          <w:bCs/>
          <w:color w:val="000000"/>
          <w:sz w:val="32"/>
          <w:szCs w:val="28"/>
        </w:rPr>
      </w:pPr>
    </w:p>
    <w:p w:rsidR="009623CA" w:rsidRPr="00316DA4" w:rsidRDefault="009623CA" w:rsidP="00DE22D5">
      <w:pPr>
        <w:rPr>
          <w:b/>
          <w:bCs/>
          <w:color w:val="000000"/>
          <w:sz w:val="32"/>
          <w:szCs w:val="28"/>
        </w:rPr>
      </w:pPr>
    </w:p>
    <w:p w:rsidR="009623CA" w:rsidRPr="00316DA4" w:rsidRDefault="009623CA" w:rsidP="00DE22D5">
      <w:pPr>
        <w:rPr>
          <w:b/>
          <w:bCs/>
          <w:color w:val="000000"/>
          <w:sz w:val="32"/>
          <w:szCs w:val="28"/>
        </w:rPr>
      </w:pPr>
    </w:p>
    <w:p w:rsidR="009623CA" w:rsidRPr="00316DA4" w:rsidRDefault="009623CA" w:rsidP="00DE22D5">
      <w:pPr>
        <w:rPr>
          <w:b/>
          <w:bCs/>
          <w:color w:val="000000"/>
          <w:sz w:val="32"/>
          <w:szCs w:val="28"/>
        </w:rPr>
      </w:pPr>
    </w:p>
    <w:p w:rsidR="009623CA" w:rsidRPr="00316DA4" w:rsidRDefault="009623CA" w:rsidP="00DE22D5">
      <w:pPr>
        <w:rPr>
          <w:b/>
          <w:bCs/>
          <w:color w:val="000000"/>
          <w:sz w:val="32"/>
          <w:szCs w:val="28"/>
        </w:rPr>
      </w:pPr>
    </w:p>
    <w:p w:rsidR="009623CA" w:rsidRPr="00316DA4" w:rsidRDefault="009623CA" w:rsidP="00DE22D5">
      <w:pPr>
        <w:pStyle w:val="Heading1"/>
        <w:rPr>
          <w:szCs w:val="24"/>
        </w:rPr>
      </w:pPr>
      <w:bookmarkStart w:id="2" w:name="_Toc261538636"/>
      <w:r w:rsidRPr="00316DA4">
        <w:t>1: Introductie</w:t>
      </w:r>
      <w:bookmarkEnd w:id="2"/>
    </w:p>
    <w:p w:rsidR="009623CA" w:rsidRPr="00316DA4" w:rsidRDefault="009623CA" w:rsidP="003068B8">
      <w:pPr>
        <w:pStyle w:val="Heading2"/>
        <w:rPr>
          <w:color w:val="auto"/>
          <w:szCs w:val="24"/>
        </w:rPr>
      </w:pPr>
      <w:bookmarkStart w:id="3" w:name="_Toc261538637"/>
      <w:r w:rsidRPr="00316DA4">
        <w:rPr>
          <w:color w:val="auto"/>
          <w:szCs w:val="24"/>
        </w:rPr>
        <w:t>1.1: Probleemdefiniëring</w:t>
      </w:r>
      <w:bookmarkEnd w:id="3"/>
      <w:r w:rsidRPr="00316DA4">
        <w:rPr>
          <w:color w:val="auto"/>
          <w:szCs w:val="24"/>
        </w:rPr>
        <w:t xml:space="preserve"> </w:t>
      </w:r>
    </w:p>
    <w:p w:rsidR="009623CA" w:rsidRPr="00316DA4" w:rsidRDefault="009623CA" w:rsidP="00E119CB">
      <w:pPr>
        <w:spacing w:line="360" w:lineRule="auto"/>
        <w:jc w:val="both"/>
      </w:pPr>
      <w:r w:rsidRPr="00316DA4">
        <w:t>Waar beleid gemaakt wordt, zijn er altijd partijen die van buiten het politieke systeem proberen de beleidscyclus te beïnvloeden. Het maakt niet uit op welk niveau het beleid gevormd wordt. Op lokaal niveau kunnen het de bewoners van een  straat zijn die streven naar een 30-kilometer zone, op nationaal niveau kan het de luchtvaartsector zijn die strijdt tegen extra belastingen en op Europees niveau kunnen het grote autofabrikanten zijn die vechten voor het veiligstellen van de eventueel verkregen staatssteun in de huidige financiële barre tijden.</w:t>
      </w:r>
    </w:p>
    <w:p w:rsidR="009623CA" w:rsidRPr="00316DA4" w:rsidRDefault="009623CA" w:rsidP="00E119CB">
      <w:pPr>
        <w:spacing w:line="360" w:lineRule="auto"/>
        <w:jc w:val="both"/>
      </w:pPr>
      <w:r w:rsidRPr="00316DA4">
        <w:t xml:space="preserve">De mogelijkheden die de Europese Unie (EU) heeft om in één keer veranderingen van beleid door te kunnen voeren voor de gehele Unie, heeft in de loop der jaren grote aantallen belangenvertegenwoordigers naar Brussel en Straatsburg gelokt. Sinds eind jaren ’80 is er zelfs sprake geweest van grote groei van het aantal belangengroepen op het Europese niveau, nationale belangenorganisaties met kantoren in Brussel en directe representaties van grote bedrijven, wat verklaart kan worden door de vorming van één Europese markt, het verlies van het nationale veto in de Raad van Ministers en het overhevelen van competenties op het gebied van regulatie aan de Europese instituties (Coen, Dannreuther, 2003:264). Daarbij komt ook nog eens dat het Europese institutionele systeem erop ingericht is om belangengroepen toegang te verschaffen tot de initiator van nieuw Europees beleid, de Europese Commissie (Kirchner &amp; Schwaiger, 1981:1). Voorbeelden van deze geformaliseerde manier van interactie tussen belangengroepen en de Europese instituties zijn het </w:t>
      </w:r>
      <w:r w:rsidRPr="00316DA4">
        <w:rPr>
          <w:i/>
        </w:rPr>
        <w:t>Economic and Social Committee</w:t>
      </w:r>
      <w:r w:rsidRPr="00316DA4">
        <w:t xml:space="preserve">, dat al in 1958 opgericht werd en bedoeld is voor werkgevers, werknemers  en andere belanghebbende uit diverse sectoren. Daarnaast is er ook nog het </w:t>
      </w:r>
      <w:r w:rsidRPr="00316DA4">
        <w:rPr>
          <w:i/>
        </w:rPr>
        <w:t>Committee of the Regions</w:t>
      </w:r>
      <w:r w:rsidRPr="00316DA4">
        <w:t>, dat meer recentelijk in 1994 werd opgericht en, zoals de naam al zegt, bedoeld is voor de vertegenwoordigers van lokale overheden vanuit de hele EU (McCormick, 2002:97). Naast deze formele manier van invloed op het beleidsproces is  er ook sprake van een informele manier van invloed uitoefenen. Deze bestaat voornamelijk uit het informeel contact houden met de vertegenwoordigers van de Commissie (Kirchner, Schwaiger, 1981:9).</w:t>
      </w:r>
    </w:p>
    <w:p w:rsidR="009623CA" w:rsidRPr="00316DA4" w:rsidRDefault="009623CA" w:rsidP="00E119CB">
      <w:pPr>
        <w:spacing w:line="360" w:lineRule="auto"/>
        <w:jc w:val="both"/>
      </w:pPr>
      <w:r w:rsidRPr="00316DA4">
        <w:t>Veel van de in Europa actieve belangengroepen zijn voortgekomen uit bestaande nationale belangengroepen, die naar Brussel zijn gekomen om goed te kunnen reageren op Europese zaken en daarom graag aanwezig zijn in de buurt van Commissie en de Raad van Ministers (McCormick, 2002:133). Voorheen werkten dit soort groepen op nationaal niveau, omdat daar het beleid bepaald werd. Kirchner en Schwaiger (1981) merken echter terecht op dat de verplaatsing van bepaalde beleidskwesties naar Brussel niet betekent dat er totaal geen invloed meer valt te behalen op het nationale niveau. De Raad van Ministers heeft op veel zaken nog steeds veel invloed en vaak ook nog de laatste stem (McCormick, 2002:95). Het kan dus zo zijn dat het meer nut heeft om op nationaal niveau te lobbyen en de betreffende minister met het in de ogen van de belangengroep juiste standpunt naar Brussel te sturen, in plaats van proberen de Commissie te beïnvloeden, die misschien helemaal niet gevoelig is voor standpunten die voortkomen uit bijvoorbeeld nationale sentimenten.</w:t>
      </w:r>
    </w:p>
    <w:p w:rsidR="009623CA" w:rsidRPr="00316DA4" w:rsidRDefault="009623CA" w:rsidP="00E119CB">
      <w:pPr>
        <w:spacing w:line="360" w:lineRule="auto"/>
        <w:jc w:val="both"/>
      </w:pPr>
      <w:r w:rsidRPr="00316DA4">
        <w:t>Zoals Kirchner en Schwaiger al in 1981 stelden, is voor een goede analyse van  de rol van belangengroepen in Europa dan ook onderzoek nodig op twee niveaus: het nationale niveau en het Europese niveau. Veel onderzoek heeft zich sindsdien gericht op het Europese niveau, een stuk minder onderzoek op de rol van belangengroepen op nationaal niveau en hoe die misschien het gedrag van lidstaten in de Raad van Ministers heeft kunnen beïnvloeden. In dit onderzoek zal er juist wel worden ingegaan op hoe deze zogenaamde nationale preferentie in lidstaten tot stand is gekomen. Daarbij wordt dan vooral ingegaan op hoe deze mogelijk beïnvloed kan zijn door het werk van belangengroepen op nationaal niveau.</w:t>
      </w:r>
    </w:p>
    <w:p w:rsidR="009623CA" w:rsidRPr="00316DA4" w:rsidRDefault="009623CA" w:rsidP="00E119CB">
      <w:pPr>
        <w:spacing w:line="360" w:lineRule="auto"/>
        <w:jc w:val="both"/>
      </w:pPr>
      <w:r w:rsidRPr="00316DA4">
        <w:t>In dit onderzoek zal er bij het onderzoeken van de nationale preferentie speciaal gelet worden op de rol van de Katholieke Kerk. De Katholieke Kerk is al eeuwenlang betrokken bij de politiek in diverse Europese landen en streeft haar belangen naar zoals andere belangengroepen dat ook doen(Warner, 2000:7). Hoewel deze organisatie in Europa waarschijnlijk niet meer zo machtig is als voorheen, zijn er EU-lidstaten waar de Katholieke Kerk nog een belangrijke rol speelt in het dagelijkse leven. Daarom is het interessant om te onderzoeken of de mening van de Katholieke Kerk er nog toe doet bij het tot stand komen van de nationale preferentie en of en op welke manier geprobeerd wordt om invloed uit te oefenen op die nationale prefentie.</w:t>
      </w:r>
    </w:p>
    <w:p w:rsidR="009623CA" w:rsidRPr="00316DA4" w:rsidRDefault="009623CA" w:rsidP="0010637B">
      <w:pPr>
        <w:pStyle w:val="Heading2"/>
        <w:rPr>
          <w:color w:val="auto"/>
          <w:szCs w:val="24"/>
        </w:rPr>
      </w:pPr>
      <w:bookmarkStart w:id="4" w:name="_Toc261538638"/>
      <w:r w:rsidRPr="00316DA4">
        <w:rPr>
          <w:color w:val="auto"/>
          <w:szCs w:val="24"/>
        </w:rPr>
        <w:t>1.2: Wetenschappelijke relevantie</w:t>
      </w:r>
      <w:bookmarkEnd w:id="4"/>
    </w:p>
    <w:p w:rsidR="009623CA" w:rsidRPr="00316DA4" w:rsidRDefault="009623CA" w:rsidP="003068B8">
      <w:pPr>
        <w:spacing w:line="360" w:lineRule="auto"/>
        <w:jc w:val="both"/>
      </w:pPr>
      <w:r w:rsidRPr="00316DA4">
        <w:t>Er bestaan diverse theorieën over nationale preferentievorming. De leidende theorie op het gebied van deze nationale preferentievorming is het liberaal intergouvernalisme (LI), zoals Andrew Moravcsik (1993) dit beschreven heeft. “</w:t>
      </w:r>
      <w:r w:rsidRPr="00316DA4">
        <w:rPr>
          <w:i/>
        </w:rPr>
        <w:t xml:space="preserve">Groups articulate preferences; governments aggregate them” </w:t>
      </w:r>
      <w:r w:rsidRPr="00316DA4">
        <w:t>is de kern van zijn visie op het vormen van nationale preferenties. In een samenleving zijn er diverse groepen, waarvan de zittende regering de steun nodig heeft om te kunnen blijven regeren. Onder deze groepen vallen de kiezers, politieke partijen, belangengroepen. Wat de preferenties van deze groepen zijn, wordt, direct of indirect, via nationale instituties en door middel van representatieve politiek bepaald (Moravcsik, 1993:483).</w:t>
      </w:r>
    </w:p>
    <w:p w:rsidR="009623CA" w:rsidRPr="00316DA4" w:rsidRDefault="009623CA" w:rsidP="003068B8">
      <w:pPr>
        <w:spacing w:line="360" w:lineRule="auto"/>
        <w:jc w:val="both"/>
      </w:pPr>
      <w:r w:rsidRPr="00316DA4">
        <w:t>Veel andere theorieën over nationale preferentievorming zijn voortgekomen als reactie op de gedachtegang van Moravcsik. Deze auteurs hebben zo hun twijfels over hoe Moravcsik zegt dat de nationale preferentie tot stand komt. Dimitrakopoulis en Kassim (2004) stellen dat er verschillende factoren zijn, naast de invloed van de pluralistische samenleving op het proces, die bijdragen aan de uitkomst van het proces van nationale preferentievorming. De nationale institutionele arrangementen spelen bij hun theorie een belangrijke rol. Aspinwall (2002) daarentegen bedeelt een belangrijke rol in het proces toe aan partijideologie. De nationale preferentie zou in dit geval met name voortkomen uit de ideologie die de op dat moment regerende partij nastreeft.</w:t>
      </w:r>
    </w:p>
    <w:p w:rsidR="009623CA" w:rsidRPr="00316DA4" w:rsidRDefault="009623CA" w:rsidP="003068B8">
      <w:pPr>
        <w:spacing w:line="360" w:lineRule="auto"/>
        <w:jc w:val="both"/>
      </w:pPr>
      <w:r w:rsidRPr="00316DA4">
        <w:t xml:space="preserve"> Al met al zijn er dus verschillende visies over de totstandkoming van nationale preferenties. Wat echter ontbreekt in de bestaande literatuur is de invloed van specifieke actoren op het proces, en dan vooral de mogelijke invloed die kerkelijke organisaties kunnen uitoefenen, vanuit hun maatschappelijke positie. In Europa zijn er diverse landen waar de kerk nog steeds een belangrijke rol inneemt in het dagelijks leven. Dit geldt met name voor landen waar de Katholieke Kerk van oudsher de voornaamste religie is. Daarnaast zijn er ook landen binnen de EU waar de rol van religie in de afgelopen decennia juist erg is afgenomen.</w:t>
      </w:r>
    </w:p>
    <w:p w:rsidR="009623CA" w:rsidRPr="00316DA4" w:rsidRDefault="009623CA" w:rsidP="00FA1046">
      <w:pPr>
        <w:spacing w:line="360" w:lineRule="auto"/>
        <w:jc w:val="both"/>
      </w:pPr>
      <w:r w:rsidRPr="00316DA4">
        <w:t xml:space="preserve"> In dit onderzoek zal worden ingegaan op hoe religie invloed uit kan oefenen op hoe een lidstaat zich opstelt in het Europese debat en dan met name de invloed op  ‘gevoelige’, ethische onderwerpen. Dit zal gebeuren aan de hand van de twee eerder genoemde theorieën van Moravcsik en Aspinwall. Door te reconstrueren hoe enkele lidstaten tot een bepaalde reactie zijn gekomen op bepaalde onderwerpen in het Europese debat, zal gepoogd worden te testen welke van de twee theorieën het best in staat is het proces van nationale preferentievorming te verklaren. </w:t>
      </w:r>
    </w:p>
    <w:p w:rsidR="009623CA" w:rsidRPr="00316DA4" w:rsidRDefault="009623CA" w:rsidP="003068B8">
      <w:pPr>
        <w:pStyle w:val="Heading2"/>
        <w:rPr>
          <w:color w:val="auto"/>
          <w:szCs w:val="24"/>
        </w:rPr>
      </w:pPr>
      <w:bookmarkStart w:id="5" w:name="_Toc261538639"/>
      <w:r w:rsidRPr="00316DA4">
        <w:rPr>
          <w:color w:val="auto"/>
          <w:szCs w:val="24"/>
        </w:rPr>
        <w:t>1.3: Maatschappelijke relevantie</w:t>
      </w:r>
      <w:bookmarkEnd w:id="5"/>
    </w:p>
    <w:p w:rsidR="009623CA" w:rsidRPr="00316DA4" w:rsidRDefault="009623CA" w:rsidP="00D82819">
      <w:pPr>
        <w:spacing w:line="360" w:lineRule="auto"/>
        <w:jc w:val="both"/>
      </w:pPr>
      <w:r w:rsidRPr="00316DA4">
        <w:t>Het proces van nationale preferentievorming met betrekking tot EU-beleid gaat in de meeste gevallen waarschijnlijk voor een groot deel voorbij aan een aanzienlijk deel van de  bevolking. Dit kan bijvoorbeeld veroorzaakt worden door het type beleid dat behandeld wordt, doordat de gevolgen voor de meeste mensen nog niet direct zichtbaar zijn, maar ook omdat er vaak pas media-aandacht is op het moment dat het beleidsproces al verder gevorderd is en de nationale preferentievorming al een gepasseerd station is. Toch zijn het alle burgers die mogelijkerwijs te maken kunnen krijgen met nieuw EU-beleid en daarom verdient het proces van nationale preferentievorming meer aandacht. Met de uitkomst van dat proces gaan de vertegenwoordigers van lidstaten richting de EU, om hun wensen kenbaar te maken. Deze wensen zullen uiteindelijk hun invloed moeten hebben op Europese wetgeving, waar de inwoners van de EU mee te maken zullen krijgen. Om ervoor te zorgen dat dit beleid in lijn is met de wensen van de nationale bevolking, is het dus zaak dat zij goed gehoord worden in dit proces en dat, bijvoorbeeld, niet één invloedrijke actor een onevenredig grote stempel drukt op de uitkomst. Het feit dat grote delen van de bevolking van bepaalde lidstaten het Katholieke geloof aanhangt, kan spreken voor het idee dat de kerk zo’n grote invloed heeft op politieke processen. Dat de bevolking een bepaalde religie aanhangt, wil echter niet zeggen dat zij automatisch instemmen met de gedachtegang van de leiding van kerk. Wanneer lidstaten zich willen profileren als moderne seculiere democratieën, moet er ruimte zijn voor de bevolking om haar eigen stem te laten horen. Wanneer blijkt dat een institutie een onevenredig grote invloed heeft op de politiek van een staat, kan dit leiden tot een noodzakelijk wijziging, waarbij deze invloed tot evenredige proporties wordt teruggebracht.</w:t>
      </w:r>
    </w:p>
    <w:p w:rsidR="009623CA" w:rsidRPr="00316DA4" w:rsidRDefault="009623CA" w:rsidP="003068B8">
      <w:pPr>
        <w:pStyle w:val="Heading2"/>
        <w:rPr>
          <w:color w:val="auto"/>
          <w:szCs w:val="24"/>
        </w:rPr>
      </w:pPr>
      <w:bookmarkStart w:id="6" w:name="_Toc261538640"/>
      <w:r w:rsidRPr="00316DA4">
        <w:rPr>
          <w:color w:val="auto"/>
          <w:szCs w:val="24"/>
        </w:rPr>
        <w:t>1.4: Probleemstelling</w:t>
      </w:r>
      <w:bookmarkEnd w:id="6"/>
    </w:p>
    <w:p w:rsidR="009623CA" w:rsidRPr="00316DA4" w:rsidRDefault="009623CA" w:rsidP="00D82819">
      <w:pPr>
        <w:spacing w:line="360" w:lineRule="auto"/>
        <w:jc w:val="both"/>
      </w:pPr>
      <w:r w:rsidRPr="00316DA4">
        <w:t>Op veel momenten in het Europese beleidsproces is het noodzakelijk dat de lidstaten hun mening laten horen over dat onderwerp. Op deze manier kunnen ze ervoor zorgen dat de nieuwe wetgeving beter past bij de nationale behoefte van de betreffende lidstaat. Hoe de mening van een lidstaat tot stand komt verschilt per land. Het is afhankelijk van de lokale situatie hoe het proces is vormgegeven. Welke actoren er deelnemen aan het proces kan per beleidsterrein ook weer verschillen. Afhankelijk van het onderwerp zullen er waarschijnlijk weer andere belanghebbenden proberen invloed uit te oefenen op het proces, om zodoende zoveel mogelijk hun voorkeur door te laten klinken in de nationale preferentie.</w:t>
      </w:r>
    </w:p>
    <w:p w:rsidR="009623CA" w:rsidRPr="00316DA4" w:rsidRDefault="009623CA" w:rsidP="00D82819">
      <w:pPr>
        <w:spacing w:line="360" w:lineRule="auto"/>
        <w:jc w:val="both"/>
      </w:pPr>
      <w:r w:rsidRPr="00316DA4">
        <w:t xml:space="preserve">Gezien de literatuur die over dit onderwerp geschreven is, zijn er diverse verklaringen voor hoe dit proces tot stand zou kunnen komen. Gezien de vaak grote verschillen tussen de diverse lidstaten, kunnen deze theorieën niet één op één overgenomen worden van de ene op de andere lidstaat. </w:t>
      </w:r>
    </w:p>
    <w:p w:rsidR="009623CA" w:rsidRPr="00316DA4" w:rsidRDefault="009623CA" w:rsidP="00D82819">
      <w:pPr>
        <w:spacing w:line="360" w:lineRule="auto"/>
        <w:jc w:val="both"/>
      </w:pPr>
      <w:r w:rsidRPr="00316DA4">
        <w:t xml:space="preserve">Zo kan het zijn dat het proces beïnvloed wordt door het feit dat een land nog niet zo lang lid is van de EU, maar ook door bijvoorbeeld de manier waarop de coördinatie van Europees beleid op nationaal niveau plaatsvindt en het aantal </w:t>
      </w:r>
      <w:r w:rsidRPr="00316DA4">
        <w:rPr>
          <w:i/>
        </w:rPr>
        <w:t>veto-players</w:t>
      </w:r>
      <w:r w:rsidRPr="00316DA4">
        <w:t xml:space="preserve"> in dat proces (Giuliani, 2003:187).</w:t>
      </w:r>
    </w:p>
    <w:p w:rsidR="009623CA" w:rsidRPr="00316DA4" w:rsidRDefault="009623CA" w:rsidP="00D82819">
      <w:pPr>
        <w:spacing w:line="360" w:lineRule="auto"/>
        <w:jc w:val="both"/>
      </w:pPr>
      <w:r w:rsidRPr="00316DA4">
        <w:t xml:space="preserve">Voor dit onderzoek is er gekozen voor twee theorieën, die ieder een eigen verklaring hebben voor hoe de nationale preferentie tot stand kan zijn gekomen. De ene theorie gaat er vanuit dat de nationale preferentie wordt beïnvloed door de mening van georganiseerde groepen in de samenleving, terwijl de ander er vanuit gaat dat het juist de ideologie van de regering is die bepaald welke preferentie een land nastreeft. Doel van dit onderzoek is om te achterhalen welke van deze twee theorieën het beste in staat is om de totstandkoming van een bepaalde nationale preferentie te verklaren. Daarnaast is het ook de bedoeling te achterhalen welke rol religie speelt in de nationale preferentie. Religie speelt in sommige samenlevingen een belangrijke rol. Het is daarom niet onwaarschijnlijk dat het geloof van een samenleving  invloed heeft op de nationale preferentie. Voor de twee gekozen theorieën  betekent dit dat dit tot uiting kan komen door religieuze groeperingen die proberen hun invloed uit te oefenen op het proces of dat religie een belangrijk deel uitmaakt van de ideologie van de regering en op die manier de nationale preferentie beïnvloedt. </w:t>
      </w:r>
    </w:p>
    <w:p w:rsidR="009623CA" w:rsidRPr="00316DA4" w:rsidRDefault="009623CA" w:rsidP="00D82819">
      <w:pPr>
        <w:spacing w:line="360" w:lineRule="auto"/>
        <w:jc w:val="both"/>
      </w:pPr>
      <w:r w:rsidRPr="00316DA4">
        <w:t>Dit alles heeft geleid tot de volgende centrale vraagstelling voor dit onderzoek:</w:t>
      </w:r>
    </w:p>
    <w:p w:rsidR="009623CA" w:rsidRPr="00316DA4" w:rsidRDefault="009623CA" w:rsidP="00D82819">
      <w:pPr>
        <w:spacing w:line="360" w:lineRule="auto"/>
        <w:jc w:val="both"/>
        <w:rPr>
          <w:i/>
        </w:rPr>
      </w:pPr>
      <w:r w:rsidRPr="00316DA4">
        <w:rPr>
          <w:i/>
        </w:rPr>
        <w:t>Welke theorie is het best in staat de totstandkoming van de nationale preferentie met betrekking tot Europees beleid te verklaren en welke rol speelt religie daarbij?</w:t>
      </w:r>
    </w:p>
    <w:p w:rsidR="009623CA" w:rsidRPr="00316DA4" w:rsidRDefault="009623CA" w:rsidP="00D82819">
      <w:pPr>
        <w:spacing w:line="360" w:lineRule="auto"/>
        <w:jc w:val="both"/>
      </w:pPr>
      <w:r w:rsidRPr="00316DA4">
        <w:t>Om deze vraag te kunnen beantwoorden zal een EU-wetgevingsdocument geselecteerd worden, dat met behulp van de volgende deelvragen voor meerdere lidstaten geanalyseerd zal worden. Het antwoord op deze deelvragen moet uiteindelijk leiden tot het antwoord op de hoofdvraag.</w:t>
      </w:r>
    </w:p>
    <w:p w:rsidR="009623CA" w:rsidRPr="00316DA4" w:rsidRDefault="009623CA" w:rsidP="00D82819">
      <w:pPr>
        <w:numPr>
          <w:ilvl w:val="0"/>
          <w:numId w:val="1"/>
        </w:numPr>
        <w:spacing w:line="360" w:lineRule="auto"/>
        <w:jc w:val="both"/>
      </w:pPr>
      <w:r w:rsidRPr="00316DA4">
        <w:t>Hoe groot was de  invloed van  de ideologie van de regeringspartij op de nationale preferentie?</w:t>
      </w:r>
    </w:p>
    <w:p w:rsidR="009623CA" w:rsidRPr="00316DA4" w:rsidRDefault="009623CA" w:rsidP="00D82819">
      <w:pPr>
        <w:numPr>
          <w:ilvl w:val="0"/>
          <w:numId w:val="1"/>
        </w:numPr>
        <w:spacing w:line="360" w:lineRule="auto"/>
        <w:jc w:val="both"/>
      </w:pPr>
      <w:r w:rsidRPr="00316DA4">
        <w:t xml:space="preserve">Hoe groot was de invloed van georganiseerde groepen op de nationale preferentie? </w:t>
      </w:r>
    </w:p>
    <w:p w:rsidR="009623CA" w:rsidRPr="00316DA4" w:rsidRDefault="009623CA" w:rsidP="00D82819">
      <w:pPr>
        <w:numPr>
          <w:ilvl w:val="0"/>
          <w:numId w:val="1"/>
        </w:numPr>
        <w:spacing w:line="360" w:lineRule="auto"/>
        <w:jc w:val="both"/>
      </w:pPr>
      <w:r w:rsidRPr="00316DA4">
        <w:t>Waren er religieuze invloeden die een rol speelde bij de totstandkoming van de nationale preferentie</w:t>
      </w:r>
      <w:r w:rsidRPr="00316DA4">
        <w:rPr>
          <w:i/>
        </w:rPr>
        <w:t>?</w:t>
      </w:r>
      <w:r w:rsidRPr="00316DA4">
        <w:t xml:space="preserve"> </w:t>
      </w:r>
    </w:p>
    <w:p w:rsidR="009623CA" w:rsidRPr="00316DA4" w:rsidRDefault="009623CA" w:rsidP="00D82819">
      <w:pPr>
        <w:numPr>
          <w:ilvl w:val="0"/>
          <w:numId w:val="1"/>
        </w:numPr>
        <w:spacing w:line="360" w:lineRule="auto"/>
        <w:jc w:val="both"/>
      </w:pPr>
      <w:r w:rsidRPr="00316DA4">
        <w:t>Welk theoretisch perspectief is het best in staat geweest te verklaren hoe het proces is verlopen, ofwel, welke theorie komt het best overeen met het waargenomen patroon?</w:t>
      </w:r>
    </w:p>
    <w:p w:rsidR="009623CA" w:rsidRPr="00316DA4" w:rsidRDefault="009623CA" w:rsidP="00D82819"/>
    <w:p w:rsidR="009623CA" w:rsidRPr="00316DA4" w:rsidRDefault="009623CA" w:rsidP="003068B8">
      <w:pPr>
        <w:pStyle w:val="Heading2"/>
        <w:rPr>
          <w:color w:val="auto"/>
          <w:szCs w:val="24"/>
        </w:rPr>
      </w:pPr>
      <w:bookmarkStart w:id="7" w:name="_Toc261538641"/>
      <w:r w:rsidRPr="00316DA4">
        <w:rPr>
          <w:color w:val="auto"/>
          <w:szCs w:val="24"/>
        </w:rPr>
        <w:t>1.5: Leeswijzer</w:t>
      </w:r>
      <w:bookmarkEnd w:id="7"/>
    </w:p>
    <w:p w:rsidR="009623CA" w:rsidRPr="00316DA4" w:rsidRDefault="009623CA" w:rsidP="00A23BA5">
      <w:pPr>
        <w:spacing w:line="360" w:lineRule="auto"/>
        <w:jc w:val="both"/>
      </w:pPr>
      <w:r w:rsidRPr="00316DA4">
        <w:t>In dit onderzoek zal verder als volgt te werk worden gegaan: Eerst zal worden overgegaan tot het schetsen van het theoretisch kader. Hierin zullen verschillende visies op nationale preferentievorming beschreven worden. Ook zal per theorie een hypothese gegeven worden. Deze hypothese zal aangeven hoe vanuit de betreffende theorie verklaard kan worden hoe de nationale preferentie van de gekozen lidstaten tot stand kan zijn gekomen. Vervolgens zullen de twee theorieën geconceptualiseerd en geoperationaliseerd worden, om zodoende in de uiteindelijk analyse te kunnen meten in hoeverre de elementen van de diverse theorieën aanwezig zijn geweest in het proces van nationale preferentievorming. In het theoretisch kader zal ook aandacht worden besteed aan het gedachtegoed van de Katholieke Kerk met betrekking tot het onderwerp van het geselecteerde beleidsonderwerp.</w:t>
      </w:r>
    </w:p>
    <w:p w:rsidR="009623CA" w:rsidRPr="00316DA4" w:rsidRDefault="009623CA" w:rsidP="00A23BA5">
      <w:pPr>
        <w:spacing w:line="360" w:lineRule="auto"/>
        <w:jc w:val="both"/>
      </w:pPr>
      <w:r w:rsidRPr="00316DA4">
        <w:t>In het onderzoeksdesign komt vervolgens de opzet van het verdere onderzoek aan bod. Hier wordt ingegaan op de gekozen methoden en technieken en worden bepaalde keuzes in die gemaakt zijn in dit onderzoek verantwoord.</w:t>
      </w:r>
    </w:p>
    <w:p w:rsidR="009623CA" w:rsidRPr="00316DA4" w:rsidRDefault="009623CA" w:rsidP="00A23BA5">
      <w:pPr>
        <w:spacing w:line="360" w:lineRule="auto"/>
        <w:jc w:val="both"/>
      </w:pPr>
      <w:r w:rsidRPr="00316DA4">
        <w:t xml:space="preserve">Daarna wordt overgegaan tot het behandelen van de geselecteerde casus. Dit zal gedaan worden door eerst te beschrijven wat de wetgeving inhoudt en wat de gevolgen ervan zijn.  </w:t>
      </w:r>
    </w:p>
    <w:p w:rsidR="009623CA" w:rsidRPr="00316DA4" w:rsidRDefault="009623CA" w:rsidP="00A23BA5">
      <w:pPr>
        <w:spacing w:line="360" w:lineRule="auto"/>
        <w:jc w:val="both"/>
      </w:pPr>
      <w:r w:rsidRPr="00316DA4">
        <w:t>In de hierop volgende hoofdstukken zullen de gekozen lidstaten behandeld worden. Deze hoofdstukken zullen volgens eenzelfde structuur opgebouwd worden. Er wordt begonnen met een korte introductie van de betreffende lidstaat. Aan de hand van de twee gekozen benaderingen zullen daarna hypotheses opgesteld worden. Vervolgens zullen de standpunten van de voor elke benadering belangrijke actoren beschreven worden. Uit de daaropvolgende analyse moet vervolgens blijken welke hypothese het meest overeenkomt met de werkelijkheid en of de religie wel of geen belangrijke rol heeft gespeeld bij de vorming van de nationale preferentie.</w:t>
      </w:r>
    </w:p>
    <w:p w:rsidR="009623CA" w:rsidRPr="00316DA4" w:rsidRDefault="009623CA" w:rsidP="00A23BA5">
      <w:pPr>
        <w:spacing w:line="360" w:lineRule="auto"/>
        <w:jc w:val="both"/>
      </w:pPr>
      <w:r w:rsidRPr="00316DA4">
        <w:t>Als alle gekozen lidstaten behandeld zijn, zal er een vergelijkende analyse plaatsvinden. Hieruit moet naar voren komen in hoeverre het proces in de verschillende lidstaten te vergelijken is.</w:t>
      </w:r>
    </w:p>
    <w:p w:rsidR="009623CA" w:rsidRPr="00316DA4" w:rsidRDefault="009623CA" w:rsidP="00DE22D5">
      <w:pPr>
        <w:spacing w:line="360" w:lineRule="auto"/>
        <w:jc w:val="both"/>
      </w:pPr>
      <w:r w:rsidRPr="00316DA4">
        <w:t>Tenslotte wordt het onderz</w:t>
      </w:r>
      <w:bookmarkStart w:id="8" w:name="_Toc226876237"/>
      <w:r w:rsidRPr="00316DA4">
        <w:t>oek afgesloten met de conclusie, waarin de centrale vraagstelling wordt beantwoord en ook wordt ingegaan op de implicaties van dit onderzoek.</w:t>
      </w:r>
    </w:p>
    <w:p w:rsidR="009623CA" w:rsidRPr="00316DA4" w:rsidRDefault="009623CA" w:rsidP="00DE22D5">
      <w:pPr>
        <w:pStyle w:val="Heading1"/>
      </w:pPr>
    </w:p>
    <w:p w:rsidR="009623CA" w:rsidRPr="00316DA4" w:rsidRDefault="009623CA" w:rsidP="00DE22D5">
      <w:pPr>
        <w:pStyle w:val="Heading1"/>
      </w:pPr>
    </w:p>
    <w:p w:rsidR="009623CA" w:rsidRPr="00316DA4" w:rsidRDefault="009623CA" w:rsidP="00DE22D5">
      <w:pPr>
        <w:pStyle w:val="Heading1"/>
      </w:pPr>
    </w:p>
    <w:p w:rsidR="009623CA" w:rsidRPr="00316DA4" w:rsidRDefault="009623CA" w:rsidP="00DE22D5">
      <w:pPr>
        <w:pStyle w:val="Heading1"/>
      </w:pPr>
    </w:p>
    <w:p w:rsidR="009623CA" w:rsidRPr="00316DA4" w:rsidRDefault="009623CA" w:rsidP="00DE22D5">
      <w:pPr>
        <w:pStyle w:val="Heading1"/>
      </w:pPr>
    </w:p>
    <w:p w:rsidR="009623CA" w:rsidRPr="00316DA4" w:rsidRDefault="009623CA" w:rsidP="00DE22D5">
      <w:pPr>
        <w:pStyle w:val="Heading1"/>
      </w:pPr>
    </w:p>
    <w:p w:rsidR="009623CA" w:rsidRPr="00316DA4" w:rsidRDefault="009623CA" w:rsidP="00DE22D5">
      <w:pPr>
        <w:pStyle w:val="Heading1"/>
      </w:pPr>
    </w:p>
    <w:p w:rsidR="009623CA" w:rsidRPr="00316DA4" w:rsidRDefault="009623CA" w:rsidP="00DE22D5">
      <w:pPr>
        <w:pStyle w:val="Heading1"/>
      </w:pPr>
    </w:p>
    <w:p w:rsidR="009623CA" w:rsidRPr="00316DA4" w:rsidRDefault="009623CA" w:rsidP="00DF559C">
      <w:pPr>
        <w:pStyle w:val="NoSpacing"/>
      </w:pPr>
    </w:p>
    <w:p w:rsidR="009623CA" w:rsidRPr="00316DA4" w:rsidRDefault="009623CA" w:rsidP="00DF559C">
      <w:pPr>
        <w:pStyle w:val="NoSpacing"/>
      </w:pPr>
    </w:p>
    <w:p w:rsidR="009623CA" w:rsidRPr="00316DA4" w:rsidRDefault="009623CA" w:rsidP="00DF559C">
      <w:pPr>
        <w:pStyle w:val="NoSpacing"/>
      </w:pPr>
    </w:p>
    <w:p w:rsidR="009623CA" w:rsidRPr="00316DA4" w:rsidRDefault="009623CA" w:rsidP="00DF559C">
      <w:pPr>
        <w:pStyle w:val="NoSpacing"/>
      </w:pPr>
    </w:p>
    <w:p w:rsidR="009623CA" w:rsidRPr="00316DA4" w:rsidRDefault="009623CA" w:rsidP="00DF559C">
      <w:pPr>
        <w:pStyle w:val="NoSpacing"/>
      </w:pPr>
    </w:p>
    <w:p w:rsidR="009623CA" w:rsidRPr="00316DA4" w:rsidRDefault="009623CA" w:rsidP="00DF559C">
      <w:pPr>
        <w:pStyle w:val="Heading1"/>
      </w:pPr>
      <w:bookmarkStart w:id="9" w:name="_Toc261538642"/>
      <w:r w:rsidRPr="00316DA4">
        <w:t>2: Theoretisch kader</w:t>
      </w:r>
      <w:bookmarkEnd w:id="8"/>
      <w:bookmarkEnd w:id="9"/>
    </w:p>
    <w:p w:rsidR="009623CA" w:rsidRPr="00316DA4" w:rsidRDefault="009623CA" w:rsidP="00596E29">
      <w:pPr>
        <w:pStyle w:val="Heading2"/>
      </w:pPr>
      <w:bookmarkStart w:id="10" w:name="_Toc261538643"/>
      <w:r w:rsidRPr="00316DA4">
        <w:t>2.1: Introductie</w:t>
      </w:r>
      <w:bookmarkEnd w:id="10"/>
    </w:p>
    <w:p w:rsidR="009623CA" w:rsidRPr="00316DA4" w:rsidRDefault="009623CA" w:rsidP="00596E29">
      <w:pPr>
        <w:spacing w:line="360" w:lineRule="auto"/>
        <w:jc w:val="both"/>
      </w:pPr>
      <w:r w:rsidRPr="00316DA4">
        <w:t xml:space="preserve">In het theoretisch kader zullen de theoretische invalshoeken van dit onderzoek omschreven worden, die als leidraad voor dit onderzoek zullen dienen. Zoals eerder aangegeven, zijn er diverse theorieën die het proces van nationale preferentievorming proberen te verklaren. In dit onderzoek zal het proces vanuit twee invalshoeken bekeken worden. Per invalshoek betreft dit één theorie. Dit zijn de LI benadering van Moravcsik en de partijideologische benadering van Aspinwall. </w:t>
      </w:r>
    </w:p>
    <w:p w:rsidR="009623CA" w:rsidRPr="00316DA4" w:rsidRDefault="009623CA" w:rsidP="00596E29">
      <w:pPr>
        <w:spacing w:line="360" w:lineRule="auto"/>
        <w:jc w:val="both"/>
      </w:pPr>
      <w:r w:rsidRPr="00316DA4">
        <w:t xml:space="preserve">In dit hoofdstuk zullen eerst de twee invalshoeken beschreven worden. Per invalshoek zal een overzicht van de betreffende theorie gegeven worden, waarna er een algemene hypothese opgesteld zal worden, waaruit moet blijken hoe vanuit die theorie te verwachten valt wat de factoren zijn die de uitkomst van het proces van nationale preferentievorming verklaren. </w:t>
      </w:r>
    </w:p>
    <w:p w:rsidR="009623CA" w:rsidRPr="00316DA4" w:rsidRDefault="009623CA" w:rsidP="00596E29">
      <w:pPr>
        <w:spacing w:line="360" w:lineRule="auto"/>
        <w:jc w:val="both"/>
      </w:pPr>
      <w:r w:rsidRPr="00316DA4">
        <w:t>Na de beschrijving van de theorie en de hypothese, zal worden ingegaan op de factoren die voor de betreffende theorie van belang zijn. Deze factoren verklaren volgens die theorie de uitkomst van het proces. Het is belangrijk om helder te maken wat er in dit onderzoek precies verstaan wordt onder deze factoren en ze om te zetten in concepten, het zogenaamde conceptualiseren.</w:t>
      </w:r>
    </w:p>
    <w:p w:rsidR="009623CA" w:rsidRPr="00316DA4" w:rsidRDefault="009623CA" w:rsidP="00596E29">
      <w:pPr>
        <w:spacing w:line="360" w:lineRule="auto"/>
        <w:jc w:val="both"/>
      </w:pPr>
      <w:r w:rsidRPr="00316DA4">
        <w:t xml:space="preserve"> Om in de uiteindelijke analyse te kunnen bepalen of die concepten ook daadwerkelijk van invloed zijn geweest op de uitkomst, is het belangrijk om ze daarna ook te operationaliseren. Dat wil zeggen, het specificeren van de exacte handelingen die uitgevoerd moet worden om de variabele behorende bij het concept, ook daadwerkelijk te kunnen meten (Babbie, 2004:G7).</w:t>
      </w:r>
    </w:p>
    <w:p w:rsidR="009623CA" w:rsidRPr="00316DA4" w:rsidRDefault="009623CA" w:rsidP="008A0A23">
      <w:pPr>
        <w:pStyle w:val="Heading2"/>
      </w:pPr>
      <w:bookmarkStart w:id="11" w:name="_Toc226876238"/>
      <w:bookmarkStart w:id="12" w:name="_Toc261538644"/>
      <w:r w:rsidRPr="00316DA4">
        <w:t>2.2:De liberaal intergouvernalistische benadering</w:t>
      </w:r>
      <w:bookmarkEnd w:id="11"/>
      <w:bookmarkEnd w:id="12"/>
    </w:p>
    <w:p w:rsidR="009623CA" w:rsidRPr="00316DA4" w:rsidRDefault="009623CA" w:rsidP="0071187A">
      <w:pPr>
        <w:spacing w:line="360" w:lineRule="auto"/>
        <w:jc w:val="both"/>
        <w:rPr>
          <w:b/>
          <w:u w:val="single"/>
        </w:rPr>
      </w:pPr>
      <w:r w:rsidRPr="00316DA4">
        <w:t>“Elke discussie over preferentievorming moet beginnen met de LI-benadering, als de meest ambitieuze en meest complete poging om de dynamiek van het proces uit te leggen, die beschikbaar is in de literatuur”, stellen Dimitrakopoulis en Kassim (2004). Deze stelling geeft aan hoe belangrijk de LI-benadering, zoals beschreven door Moravcsik (1993, 1998), is voor elke poging om processen met betrekking tot preferentievorming te verklaren.</w:t>
      </w:r>
    </w:p>
    <w:p w:rsidR="009623CA" w:rsidRPr="00316DA4" w:rsidRDefault="009623CA" w:rsidP="00596E29">
      <w:pPr>
        <w:spacing w:line="360" w:lineRule="auto"/>
        <w:jc w:val="both"/>
      </w:pPr>
      <w:r w:rsidRPr="00316DA4">
        <w:t>De LI-benadering is een theorie die uitgaat van een liberale grondslag in de internationale betrekkingen. Dit betekent dat de focus bij het tot stand komen van nationale preferenties zal liggen in het effect van de relatie tussen staat en samenleving. Hierbij wordt er vanuit gegaan dat individuen en organisaties met autonome belangen de belangrijkste actoren zijn in de politiek (Moravcsik, 1993:483, 1997:516). Bij het proces van nationale preferentievorming zijn het dan ook voornamelijk hun belangen en hun invloed op de politiek die van belang zijn bij het tot stand komen van de nationale preferentie.</w:t>
      </w:r>
    </w:p>
    <w:p w:rsidR="009623CA" w:rsidRPr="00316DA4" w:rsidRDefault="009623CA" w:rsidP="00596E29">
      <w:pPr>
        <w:spacing w:line="360" w:lineRule="auto"/>
        <w:jc w:val="both"/>
      </w:pPr>
      <w:r w:rsidRPr="00316DA4">
        <w:t>Dit werkt volgens Moravcsik als volgt: de verschillende deelnemers aan de (pluralistische) samenleving hebben zo hun voorkeuren en maken deze kenbaar. Het is vervolgens aan de overheid om hieruit een nationale preferentie te laten voortkomen. Hierbij wordt uitgegaan van een relatie tussen overheid en samenleving die gebaseerd is op een principal-agent relatie. De vertegenwoordigers van groepen uit de samenleving delegeren hun macht aan de overheid. Het belang van de zittende overheid is om zo lang mogelijk aan de macht te blijven. Dit is alleen te bereiken door de steun vanuit de samenleving te behouden. Daarom is het noodzakelijk om de belangen van alle groepen uit de samenleving zo goed mogelijk te vertegenwoordigen. Onder deze groepen worden onder andere kiezers, partijen, belangengroepen, maar ook bureaucratieën verstaan. De meningen en belangen van deze groepen worden via instituties en politieke representatie naar voren gebracht (Moravcsik, 1993).</w:t>
      </w:r>
    </w:p>
    <w:p w:rsidR="009623CA" w:rsidRPr="00316DA4" w:rsidRDefault="009623CA" w:rsidP="00596E29">
      <w:pPr>
        <w:spacing w:line="360" w:lineRule="auto"/>
        <w:jc w:val="both"/>
      </w:pPr>
      <w:r w:rsidRPr="00316DA4">
        <w:t>Bij de totstandkoming van buitenlands beleid is het dus altijd zaak voor de overheid om rekening te houden met de belangen die aanwezig zijn in de samenleving. Het is echter niet zo dat het altijd eenvoudig is om deze belangen te herkennen. Het kan zo zijn dat de belangen ambigue of verdeeld zijn, waardoor het niet precies duidelijk is wat nu precies de voorkeur is. Op dit soort momenten kan er sprake zijn van bestuurlijke discretie. Er bestaat ruimte voor de overheid om zelf meer invloed op de preferentie uit te oefenen.</w:t>
      </w:r>
    </w:p>
    <w:p w:rsidR="009623CA" w:rsidRPr="00316DA4" w:rsidRDefault="009623CA" w:rsidP="00596E29">
      <w:pPr>
        <w:spacing w:line="360" w:lineRule="auto"/>
        <w:jc w:val="both"/>
      </w:pPr>
      <w:r w:rsidRPr="00316DA4">
        <w:t>Bij het tot stand komen van de nationale preferentie worden overheden volgens Moravcsik (1993) versterkt, maar ook beperkt door de belangrijke groepen in de samenleving. De overwegingen van deze groepen zijn afhankelijk van wat hun belangen zijn op een bepaald beleidsterrein, waarbij het erom draait wat voor resultaat zij als groep zullen hebben bij de voorgestelde beleidsmaatregel. Dit betekent voor invloedrijke groeperingen dat zij beleid tegen zullen werken als zij hier door geraakt worden, zelfs als de samenleving als geheel wel baat zou hebben bij de beleidsmaatregelen.</w:t>
      </w:r>
    </w:p>
    <w:p w:rsidR="009623CA" w:rsidRPr="00316DA4" w:rsidRDefault="009623CA" w:rsidP="00596E29">
      <w:pPr>
        <w:spacing w:line="360" w:lineRule="auto"/>
        <w:jc w:val="both"/>
      </w:pPr>
      <w:r w:rsidRPr="00316DA4">
        <w:t xml:space="preserve">Moravcsik (1993) stelt verder dat het afhankelijk is van het soort beleidsveld wat de belangen zijn van de verschillende groepen in de samenleving en hoe deze groepen en de overheid zich in dat specifieke proces zullen gedragen. Hij onderkent daarin drie soorten beleidsvelden op EU-niveau. Dit is ten eerste beleid ten opzichte van het </w:t>
      </w:r>
      <w:r w:rsidRPr="00316DA4">
        <w:rPr>
          <w:i/>
        </w:rPr>
        <w:t>creëren van een vrije markt</w:t>
      </w:r>
      <w:r w:rsidRPr="00316DA4">
        <w:t xml:space="preserve">, ten tweede het </w:t>
      </w:r>
      <w:r w:rsidRPr="00316DA4">
        <w:rPr>
          <w:i/>
        </w:rPr>
        <w:t>voorzien in socio-economische publieke goederen</w:t>
      </w:r>
      <w:r w:rsidRPr="00316DA4">
        <w:t xml:space="preserve"> en ten derde </w:t>
      </w:r>
      <w:r w:rsidRPr="00316DA4">
        <w:rPr>
          <w:i/>
        </w:rPr>
        <w:t>politieke samenwerking, EU-instituties herverdeling van inkomen</w:t>
      </w:r>
      <w:r w:rsidRPr="00316DA4">
        <w:t>. Hieronder zal worden ingegaan op de specifieke kenmerken en voorspellingen die gelden volgens Moravcsik (1993) voor deze beleidsterrein ten opzichte van het proces van nationale preferentievorming.</w:t>
      </w:r>
    </w:p>
    <w:p w:rsidR="009623CA" w:rsidRPr="00316DA4" w:rsidRDefault="009623CA" w:rsidP="00596E29">
      <w:pPr>
        <w:spacing w:line="360" w:lineRule="auto"/>
        <w:jc w:val="both"/>
        <w:rPr>
          <w:i/>
        </w:rPr>
      </w:pPr>
    </w:p>
    <w:p w:rsidR="009623CA" w:rsidRPr="00316DA4" w:rsidRDefault="009623CA" w:rsidP="00596E29">
      <w:pPr>
        <w:spacing w:line="360" w:lineRule="auto"/>
        <w:jc w:val="both"/>
        <w:rPr>
          <w:i/>
        </w:rPr>
      </w:pPr>
      <w:r w:rsidRPr="00316DA4">
        <w:rPr>
          <w:i/>
        </w:rPr>
        <w:t>Creëren van een vrije markt</w:t>
      </w:r>
    </w:p>
    <w:p w:rsidR="009623CA" w:rsidRPr="00316DA4" w:rsidRDefault="009623CA" w:rsidP="00596E29">
      <w:pPr>
        <w:spacing w:line="360" w:lineRule="auto"/>
        <w:jc w:val="both"/>
      </w:pPr>
      <w:r w:rsidRPr="00316DA4">
        <w:t>Op dit beleidsterrein zijn de belanghebbende met name de actoren uit de commerciële sector, die te maken zullen krijgen met nieuwe marktomstandigheden, waardoor hun positie onder druk kan komen te staan. Hoe de overheid zal reageren op de mening vanuit de sector hangt af van hoe deze belangen eruit zien. Zijn deze belangen groot, sectorbreed en zeker, dan is het waarschijnlijk dat de overheid zich hieraan zoveel mogelijk zal conformeren. Wanneer dit niet zo is dan zullen ze voorkeur hebben voor marktliberalisatie, wanneer het huidige beleid geen succes is, wat moet blijken uit onder andere lage investeringen en groei.</w:t>
      </w:r>
    </w:p>
    <w:p w:rsidR="009623CA" w:rsidRPr="00316DA4" w:rsidRDefault="009623CA" w:rsidP="00596E29">
      <w:pPr>
        <w:spacing w:line="360" w:lineRule="auto"/>
        <w:jc w:val="both"/>
        <w:rPr>
          <w:i/>
        </w:rPr>
      </w:pPr>
      <w:r w:rsidRPr="00316DA4">
        <w:rPr>
          <w:i/>
        </w:rPr>
        <w:t>Voorzien in socio-economische publieke goederen</w:t>
      </w:r>
    </w:p>
    <w:p w:rsidR="009623CA" w:rsidRPr="00316DA4" w:rsidRDefault="009623CA" w:rsidP="00596E29">
      <w:pPr>
        <w:spacing w:line="360" w:lineRule="auto"/>
        <w:jc w:val="both"/>
      </w:pPr>
      <w:r w:rsidRPr="00316DA4">
        <w:t>Bij dit beleidsveld gelden dezelfde criteria voor de commerciële sector als hierboven. In dit geval is het echter zo dat de druk van twee kanten komt, aangezien ook de bevolking grote belangen heeft op dit gebied. Ook voor de bevolking geldt dat wanneer er een eensgezinde opinie over het onderwerp heerst, de overheid weinig meer kan doen dan zich zoveel mogelijk te conformeren naar de eisen van het publiek. Wanneer dit echter niet zo is moet er gezocht worden naar een balans, waarin de wensen van beide groepen gehoord worden.</w:t>
      </w:r>
    </w:p>
    <w:p w:rsidR="009623CA" w:rsidRPr="00316DA4" w:rsidRDefault="009623CA" w:rsidP="00596E29">
      <w:pPr>
        <w:spacing w:line="360" w:lineRule="auto"/>
        <w:jc w:val="both"/>
        <w:rPr>
          <w:i/>
        </w:rPr>
      </w:pPr>
      <w:r w:rsidRPr="00316DA4">
        <w:rPr>
          <w:i/>
        </w:rPr>
        <w:t>Politieke samenwerking, EU-instituties en herverdeling van inkomen</w:t>
      </w:r>
    </w:p>
    <w:p w:rsidR="009623CA" w:rsidRPr="00316DA4" w:rsidRDefault="009623CA" w:rsidP="00596E29">
      <w:pPr>
        <w:spacing w:line="360" w:lineRule="auto"/>
        <w:jc w:val="both"/>
        <w:rPr>
          <w:rFonts w:ascii="Times New Roman" w:hAnsi="Times New Roman"/>
          <w:sz w:val="24"/>
          <w:szCs w:val="24"/>
        </w:rPr>
      </w:pPr>
      <w:r w:rsidRPr="00316DA4">
        <w:t>Op dit gebied gelden volgens Moravcsik duidelijk andere regels dan in de andere twee gevallen. Doordat vaak moeilijk te voorzien is wat de gevolgen zijn van dit soort beleidsmaatregelen, is er weinig reactie uit de samenleving. En wanneer het wel enigszins te voorzien is, blijft de reactie beperkt tot een onsamenhangende publieke opinie. Als gevolg hiervan heeft een overheid op dit gebied relatief grote autonomie in het komen tot een nationale preferentie.</w:t>
      </w:r>
    </w:p>
    <w:p w:rsidR="009623CA" w:rsidRPr="00316DA4" w:rsidRDefault="009623CA" w:rsidP="008A0A23">
      <w:pPr>
        <w:pStyle w:val="Heading3"/>
      </w:pPr>
      <w:bookmarkStart w:id="13" w:name="_Toc226876239"/>
      <w:bookmarkStart w:id="14" w:name="_Toc261538645"/>
      <w:r w:rsidRPr="00316DA4">
        <w:t>2.2.1: Hypothese</w:t>
      </w:r>
      <w:bookmarkEnd w:id="13"/>
      <w:bookmarkEnd w:id="14"/>
    </w:p>
    <w:p w:rsidR="009623CA" w:rsidRPr="00316DA4" w:rsidRDefault="009623CA" w:rsidP="00596E29">
      <w:pPr>
        <w:spacing w:line="360" w:lineRule="auto"/>
        <w:jc w:val="both"/>
      </w:pPr>
      <w:r w:rsidRPr="00316DA4">
        <w:t>De volgende hypothese, met betrekking tot welke factoren een rol spelen in het proces van nationale preferentievorming, kan afgeleid worden van het LI:</w:t>
      </w:r>
    </w:p>
    <w:p w:rsidR="009623CA" w:rsidRPr="00316DA4" w:rsidRDefault="009623CA" w:rsidP="00596E29">
      <w:pPr>
        <w:spacing w:line="360" w:lineRule="auto"/>
        <w:jc w:val="both"/>
      </w:pPr>
      <w:r w:rsidRPr="00316DA4">
        <w:t xml:space="preserve">De meest invloedrijke factor in het proces van nationale preferentievorming is die actor die de grootste groep uit de samenleving vertegenwoordigd. De nationale preferentie is de geaggregeerde mening van alle groepen in de samenleving. In de definitieve nationale preferentie is het meest waarschijnlijk dat de voorkeur van de meest invloedrijke en meest belanghebbende actor het meest zal doorklinken. Deze voorkeur is de onafhankelijke variabele in het proces van nationale preferentievorming. In landen waar de Katholieke Kerk bijvoorbeeld een sterke maatschappelijk positie heeft, is het waarschijnlijk dat hun mening in sterkere mate terug te vinden is in de nationale preferentie dan in landen waar de Katholieke Kerk </w:t>
      </w:r>
      <w:bookmarkStart w:id="15" w:name="_Toc226876240"/>
      <w:r w:rsidRPr="00316DA4">
        <w:t>een minder sterke positie heeft. Daarbij is het afhankelijk van het beleidsveld of de Kerk zich geroepen voelt om zich te gaan mengen in het nationale debat over te nemen maatregelen op Europees niveau.</w:t>
      </w:r>
    </w:p>
    <w:p w:rsidR="009623CA" w:rsidRPr="00316DA4" w:rsidRDefault="009623CA" w:rsidP="008A0A23">
      <w:pPr>
        <w:pStyle w:val="Heading3"/>
      </w:pPr>
      <w:bookmarkStart w:id="16" w:name="_Toc261538646"/>
      <w:r w:rsidRPr="00316DA4">
        <w:t>2.2.2: Conceptualisering</w:t>
      </w:r>
      <w:bookmarkEnd w:id="15"/>
      <w:bookmarkEnd w:id="16"/>
    </w:p>
    <w:p w:rsidR="009623CA" w:rsidRPr="00316DA4" w:rsidRDefault="009623CA" w:rsidP="00596E29">
      <w:pPr>
        <w:spacing w:after="0" w:line="360" w:lineRule="auto"/>
        <w:jc w:val="both"/>
        <w:rPr>
          <w:i/>
        </w:rPr>
      </w:pPr>
    </w:p>
    <w:p w:rsidR="009623CA" w:rsidRPr="00316DA4" w:rsidRDefault="009623CA" w:rsidP="00596E29">
      <w:pPr>
        <w:spacing w:after="0" w:line="360" w:lineRule="auto"/>
        <w:jc w:val="both"/>
        <w:rPr>
          <w:i/>
        </w:rPr>
      </w:pPr>
      <w:r w:rsidRPr="00316DA4">
        <w:rPr>
          <w:i/>
        </w:rPr>
        <w:t>Nationale preferentie</w:t>
      </w:r>
    </w:p>
    <w:p w:rsidR="009623CA" w:rsidRPr="00316DA4" w:rsidRDefault="009623CA" w:rsidP="00596E29">
      <w:pPr>
        <w:spacing w:after="0" w:line="360" w:lineRule="auto"/>
        <w:jc w:val="both"/>
      </w:pPr>
      <w:r w:rsidRPr="00316DA4">
        <w:t>De nationale preferentie is de voorkeur die een land uiteindelijk uit zal spreken over een bepaalde wetsvoorstel, samenwerkingsverband et cetera, dat besloten wordt op een internationaal podium, zoals bijvoorbeeld de EU. Zoals gezegd stelt Moravcsik dat de nationale preferentie bestaat uit de geaggregeerde mening van de diverse groepen in de samenleving. De mening van deze groepen komt voort uit de belangen die zij nastreven. Hieruit kan opgemaakt worden dat de nationale preferentie het nationale belang is. Velen auteurs hebben al eerder vastgesteld dat preferenties gelijk gesteld kunnen worden aan belangen (Wildavsky, 1987:4).</w:t>
      </w:r>
    </w:p>
    <w:p w:rsidR="009623CA" w:rsidRPr="00316DA4" w:rsidRDefault="009623CA" w:rsidP="00596E29">
      <w:pPr>
        <w:spacing w:after="0" w:line="360" w:lineRule="auto"/>
        <w:jc w:val="both"/>
      </w:pPr>
    </w:p>
    <w:p w:rsidR="009623CA" w:rsidRPr="00316DA4" w:rsidRDefault="009623CA" w:rsidP="00596E29">
      <w:pPr>
        <w:spacing w:after="0" w:line="360" w:lineRule="auto"/>
        <w:jc w:val="both"/>
        <w:rPr>
          <w:i/>
        </w:rPr>
      </w:pPr>
      <w:r w:rsidRPr="00316DA4">
        <w:rPr>
          <w:i/>
        </w:rPr>
        <w:t>Groepen in de samenleving</w:t>
      </w:r>
    </w:p>
    <w:p w:rsidR="009623CA" w:rsidRPr="00316DA4" w:rsidRDefault="009623CA" w:rsidP="00596E29">
      <w:pPr>
        <w:spacing w:after="0" w:line="360" w:lineRule="auto"/>
        <w:jc w:val="both"/>
      </w:pPr>
      <w:r w:rsidRPr="00316DA4">
        <w:t>Een belangrijk concept in de LI-benadering zijn de groepen in de samenleving. Hieronder worden alle deelnemers in de samenleving verstaan die zichzelf georganiseerd hebben. Deze hebben allemaal hun autonome belang, dat zij ook na zullen streven (Moravcsik, 1993)</w:t>
      </w:r>
    </w:p>
    <w:p w:rsidR="009623CA" w:rsidRPr="00316DA4" w:rsidRDefault="009623CA" w:rsidP="00596E29">
      <w:pPr>
        <w:spacing w:after="0" w:line="360" w:lineRule="auto"/>
        <w:jc w:val="both"/>
        <w:rPr>
          <w:i/>
        </w:rPr>
      </w:pPr>
    </w:p>
    <w:p w:rsidR="009623CA" w:rsidRPr="00316DA4" w:rsidRDefault="009623CA" w:rsidP="00596E29">
      <w:pPr>
        <w:spacing w:after="0" w:line="360" w:lineRule="auto"/>
        <w:jc w:val="both"/>
        <w:rPr>
          <w:i/>
        </w:rPr>
      </w:pPr>
      <w:r w:rsidRPr="00316DA4">
        <w:rPr>
          <w:i/>
        </w:rPr>
        <w:t>Geaggregeerde mening</w:t>
      </w:r>
    </w:p>
    <w:p w:rsidR="009623CA" w:rsidRPr="00316DA4" w:rsidRDefault="009623CA" w:rsidP="00596E29">
      <w:pPr>
        <w:spacing w:after="0" w:line="360" w:lineRule="auto"/>
        <w:jc w:val="both"/>
      </w:pPr>
      <w:r w:rsidRPr="00316DA4">
        <w:t>Volgens het LI zijn alle meningen van de groepen in de samenleving tezamen de geaggregeerde mening. Deze wordt samengesteld door de overheid, die de afzonderlijke voorkeuren samenvoegd tot één nationale voorkeur (Moravcsik, 1993).</w:t>
      </w:r>
    </w:p>
    <w:p w:rsidR="009623CA" w:rsidRPr="00316DA4" w:rsidRDefault="009623CA" w:rsidP="00596E29">
      <w:pPr>
        <w:spacing w:after="0" w:line="360" w:lineRule="auto"/>
        <w:jc w:val="both"/>
      </w:pPr>
    </w:p>
    <w:p w:rsidR="009623CA" w:rsidRPr="00316DA4" w:rsidRDefault="009623CA" w:rsidP="00596E29">
      <w:pPr>
        <w:spacing w:after="0" w:line="360" w:lineRule="auto"/>
        <w:jc w:val="both"/>
        <w:rPr>
          <w:i/>
        </w:rPr>
      </w:pPr>
      <w:r w:rsidRPr="00316DA4">
        <w:rPr>
          <w:i/>
        </w:rPr>
        <w:t>Bestuurlijke discretie</w:t>
      </w:r>
    </w:p>
    <w:p w:rsidR="009623CA" w:rsidRPr="00316DA4" w:rsidRDefault="009623CA" w:rsidP="00596E29">
      <w:pPr>
        <w:spacing w:after="0" w:line="360" w:lineRule="auto"/>
        <w:jc w:val="both"/>
      </w:pPr>
      <w:r w:rsidRPr="00316DA4">
        <w:t>De ruimte die een overheid heeft bij het bepalen van de nationale preferentie om haar eigen mening erin door te laten klinken, wordt de bestuurlijke discretie genoemd. Hoeveel ruimte een overheid heeft is afhankelijk van hoe groot de belangen van andere partijen zijn. Hoe kleiner de belangen, hoe meer bestuurlijke discretie voor de overheid (Moravcsik, 1993).</w:t>
      </w:r>
    </w:p>
    <w:p w:rsidR="009623CA" w:rsidRPr="00316DA4" w:rsidRDefault="009623CA" w:rsidP="008A0A23">
      <w:pPr>
        <w:pStyle w:val="Heading3"/>
      </w:pPr>
      <w:bookmarkStart w:id="17" w:name="_Toc226876241"/>
      <w:bookmarkStart w:id="18" w:name="_Toc261538647"/>
      <w:r w:rsidRPr="00316DA4">
        <w:t>2.2.3: Operationalisering</w:t>
      </w:r>
      <w:bookmarkEnd w:id="17"/>
      <w:bookmarkEnd w:id="18"/>
    </w:p>
    <w:p w:rsidR="009623CA" w:rsidRPr="00316DA4" w:rsidRDefault="009623CA" w:rsidP="00596E29">
      <w:pPr>
        <w:spacing w:line="360" w:lineRule="auto"/>
        <w:jc w:val="both"/>
      </w:pPr>
      <w:r w:rsidRPr="00316DA4">
        <w:t>Om in de analyse van het proces omtrent de twee richtlijnen te bepalen of er daadwerkelijk sprake is geweest van de invloed van de genoemde concepten op de uitkomst, de nationale preferentie, zal er gezocht moeten worden naar een manier waarop deze concepten zichtbaar gemaakt kunnen worden. Met andere woorden: Hoe kan bij de analyse van het proces aangetoond worden dat deze concepten aanwezig zijn geweest en de doorslaggevend factor gevormd hebben?</w:t>
      </w:r>
    </w:p>
    <w:p w:rsidR="009623CA" w:rsidRPr="00316DA4" w:rsidRDefault="009623CA" w:rsidP="00596E29">
      <w:pPr>
        <w:spacing w:line="360" w:lineRule="auto"/>
        <w:jc w:val="both"/>
      </w:pPr>
      <w:r w:rsidRPr="00316DA4">
        <w:t xml:space="preserve">Voor de concepten die het LI aandraagt kan dit als volgt:  De uiteindelijke officiële nationale preferentie blijkt uit de verklaring die de gekozen landen hebben uitgesproken over de betreffende richtlijn tijdens een vergadering van de Europese Raad. Deze informatie is te verkrijgen uit de notulen van de Europese Raad. Vervolgens moet vastgesteld worden of deze nationale preferentie voort is gekomen uit de geaggregeerde mening, of dat er andere oorzaken aan ten grondslag hebben gelegen. De geaggregeerde mening is  te achterhalen door te analyseren wat de mening over het onderwerp is geweest van de groepen in de samenleving die belangen hebben op het gebied waarop de betreffende richtlijn gericht is. Wat de mening van de belanghebbenden geweest is kan worden achterhaald aan de hand van beleidsdocumenten, uitspraken in de media en interviews met betrokkenen. Door deze mening te vergelijken met de uiteindelijke nationale preferentie, kan worden vastgesteld in welke mate ze met elkaar overeenkomen. Uit deze informatie kan dan ook opgemaakt worden hoe groot (of klein) de belangen geweest zijn en wat de kans op de invloed van bestuurlijke discretie geweest is. </w:t>
      </w:r>
    </w:p>
    <w:p w:rsidR="009623CA" w:rsidRPr="00316DA4" w:rsidRDefault="009623CA" w:rsidP="008A0A23">
      <w:pPr>
        <w:pStyle w:val="Heading2"/>
      </w:pPr>
      <w:bookmarkStart w:id="19" w:name="_Toc226876242"/>
      <w:bookmarkStart w:id="20" w:name="_Toc261538648"/>
      <w:r w:rsidRPr="00316DA4">
        <w:t>2.3: De partijideologische benadering</w:t>
      </w:r>
      <w:bookmarkEnd w:id="19"/>
      <w:bookmarkEnd w:id="20"/>
    </w:p>
    <w:p w:rsidR="009623CA" w:rsidRPr="00316DA4" w:rsidRDefault="009623CA" w:rsidP="00596E29">
      <w:pPr>
        <w:spacing w:line="360" w:lineRule="auto"/>
        <w:jc w:val="both"/>
      </w:pPr>
      <w:r w:rsidRPr="00316DA4">
        <w:t>Daarnaast is er de partijideologische benadering van Aspinwall (2002). Hij vindt dat er in de bestaande theorieën weinig ruimte wordt gelaten aan de invloed van ideologie op de nationale preferentie. Competitie tussen politieke partijen op het nationale vlak lijkt niet te bestaan, waardoor een mogelijke verklaring voor het proces verloren lijkt te gaan (Aspinwall, 2002:83).</w:t>
      </w:r>
    </w:p>
    <w:p w:rsidR="009623CA" w:rsidRPr="00316DA4" w:rsidRDefault="009623CA" w:rsidP="00596E29">
      <w:pPr>
        <w:spacing w:line="360" w:lineRule="auto"/>
        <w:jc w:val="both"/>
      </w:pPr>
      <w:r w:rsidRPr="00316DA4">
        <w:t>Aspinwall herkent twee dimensie van conflict: de nationaal – internationaal dimensie en de links – recht dimensie. Wanneer hij deze dimensies hypothetisch tegenover elkaar zet in een grafiek komt er een normaal verdeelde figuur uit, met in het midden de piek, met de centrumpartijen die voorstander zijn van Europese integratie en vanuit het midden, zowel naar links als naar rechts aflopend, wat betekent dat hoe verder men naar de uiteindes van de schaal gaat, hoe minder groot de voorkeur voor Europese integratie is.</w:t>
      </w:r>
    </w:p>
    <w:p w:rsidR="009623CA" w:rsidRPr="00316DA4" w:rsidRDefault="009623CA" w:rsidP="00596E29">
      <w:pPr>
        <w:spacing w:line="360" w:lineRule="auto"/>
        <w:jc w:val="center"/>
      </w:pPr>
      <w:r w:rsidRPr="00316DA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 o:spid="_x0000_i1025" type="#_x0000_t75" style="width:159.75pt;height:97.5pt;visibility:visible">
            <v:imagedata r:id="rId7" o:title=""/>
          </v:shape>
        </w:pict>
      </w:r>
    </w:p>
    <w:p w:rsidR="009623CA" w:rsidRPr="00316DA4" w:rsidRDefault="009623CA" w:rsidP="00596E29">
      <w:pPr>
        <w:spacing w:line="360" w:lineRule="auto"/>
        <w:jc w:val="center"/>
        <w:rPr>
          <w:sz w:val="20"/>
          <w:szCs w:val="20"/>
        </w:rPr>
      </w:pPr>
      <w:r w:rsidRPr="00316DA4">
        <w:rPr>
          <w:sz w:val="20"/>
          <w:szCs w:val="20"/>
        </w:rPr>
        <w:t>Figuur 1: Ideologie en voorkeur voor internationaal beleid (Aspinwall 2002:85)</w:t>
      </w:r>
    </w:p>
    <w:p w:rsidR="009623CA" w:rsidRPr="00316DA4" w:rsidRDefault="009623CA" w:rsidP="00596E29">
      <w:pPr>
        <w:spacing w:line="360" w:lineRule="auto"/>
        <w:jc w:val="both"/>
      </w:pPr>
      <w:r w:rsidRPr="00316DA4">
        <w:t>Volgens Aspinwall is de keuze van centrumpartijen voor Europese integratie te verklaren vanuit hun idee dat interdependentie een positieve ontwikkeling is, waarin staten op een verantwoorde en coöperatieve manier met elkaar omgaan. Centrumpartijen zien interdependentie als een bijproduct van de steeds opener wordende ontwikkelde wereld (Aspinwall, 2002:86). Ze zien het als een belangrijke stap naar het veiligstellen van economische voorspoed en vrede.</w:t>
      </w:r>
    </w:p>
    <w:p w:rsidR="009623CA" w:rsidRPr="00316DA4" w:rsidRDefault="009623CA" w:rsidP="00596E29">
      <w:pPr>
        <w:spacing w:line="360" w:lineRule="auto"/>
        <w:jc w:val="both"/>
      </w:pPr>
      <w:r w:rsidRPr="00316DA4">
        <w:t>De linkse ideologie ziet dit allemaal anders. Zij zien in Europese integratie juist een bedreiging. Dit komt voort uit het oude anti-markt socialisme en uit het nieuwere anti-centralistische activisme. Over het algemeen zijn ze voorstander van staatsingrijpen op de markt, herverdeling van inkomen, staatsbedrijven etcetera.</w:t>
      </w:r>
    </w:p>
    <w:p w:rsidR="009623CA" w:rsidRPr="00316DA4" w:rsidRDefault="009623CA" w:rsidP="00596E29">
      <w:pPr>
        <w:spacing w:line="360" w:lineRule="auto"/>
        <w:jc w:val="both"/>
      </w:pPr>
      <w:r w:rsidRPr="00316DA4">
        <w:t>Rechtse ideologieën zien het ook niet zo zitten in Europese integratie, maar om andere redenen. Zij zijn vaak gebaseerd op een nationaal sentiment en daarom voorstander van autonomie, in het belang van de nationale identiteit en economische redenen (Aspinwall 2002:87). Europese integratie zorgt eeder voor een afname van de soevereiniteit en voor een bedreiging van de nationale identieit.</w:t>
      </w:r>
    </w:p>
    <w:p w:rsidR="009623CA" w:rsidRPr="00316DA4" w:rsidRDefault="009623CA" w:rsidP="00596E29">
      <w:pPr>
        <w:spacing w:line="360" w:lineRule="auto"/>
        <w:jc w:val="both"/>
      </w:pPr>
      <w:r w:rsidRPr="00316DA4">
        <w:t>De nationale preferentie is volgens Aspinwall voor een groot deel afhankelijk van de ideologie van de op dat moment regerende partij. Wanneer het een centrumregering is, zal men positief staan tegenover integratie, wanneer de regering zich meer naar de vleugels beweegt, zal men eerder negatief staan tegenover verdere integratie en dit zal weerslag hebben op de nationale preferentie. Uit zijn onderzoek komt naar voren dat er sprake is van een sterke correlatie tussen de ideologie van een regering en de keuzes die gemaakt worden met betrekking tot Europese integratie. Hierbij wordt wel vermeld dat deze correlatie een stuk minder sterk is op het gebied van buitenlandse politiek en defensie (Aspinwall, 2002:105)</w:t>
      </w:r>
    </w:p>
    <w:p w:rsidR="009623CA" w:rsidRPr="00316DA4" w:rsidRDefault="009623CA" w:rsidP="008A0A23">
      <w:pPr>
        <w:pStyle w:val="Heading3"/>
      </w:pPr>
      <w:bookmarkStart w:id="21" w:name="_Toc226876243"/>
      <w:bookmarkStart w:id="22" w:name="_Toc261538649"/>
      <w:r w:rsidRPr="00316DA4">
        <w:t>2.3.1: Hypothese</w:t>
      </w:r>
      <w:bookmarkEnd w:id="21"/>
      <w:bookmarkEnd w:id="22"/>
    </w:p>
    <w:p w:rsidR="009623CA" w:rsidRPr="00316DA4" w:rsidRDefault="009623CA" w:rsidP="00596E29">
      <w:pPr>
        <w:spacing w:line="360" w:lineRule="auto"/>
        <w:jc w:val="both"/>
      </w:pPr>
      <w:r w:rsidRPr="00316DA4">
        <w:t>De volgende hypothese, met betrekking tot welke factoren een rol spelen in het proces van nationale preferentievorming, kan afgeleid worden van de partijideologische benadering:</w:t>
      </w:r>
    </w:p>
    <w:p w:rsidR="009623CA" w:rsidRPr="00316DA4" w:rsidRDefault="009623CA" w:rsidP="00596E29">
      <w:pPr>
        <w:spacing w:line="360" w:lineRule="auto"/>
        <w:jc w:val="both"/>
      </w:pPr>
      <w:r w:rsidRPr="00316DA4">
        <w:t>De nationele preferentie wordt bepaald door de ideologie van de op dat moment regerende partij. De positie van de regerende partij op de ideologische links-recht schaal bepaald de nationale preferentie. Hoe meer een partij zich op de uiteinden van deze schaal bevindt, des te groter is de kans dat er een negatieve nationale preferentie ten opzichte van Europese wetgeving uitkomt.</w:t>
      </w:r>
    </w:p>
    <w:p w:rsidR="009623CA" w:rsidRPr="00316DA4" w:rsidRDefault="009623CA" w:rsidP="00DF559C">
      <w:pPr>
        <w:spacing w:line="360" w:lineRule="auto"/>
        <w:jc w:val="both"/>
      </w:pPr>
      <w:r w:rsidRPr="00316DA4">
        <w:t>In de voorkeur die de gekozen landen uitspreken voor Europese richtlijnen betekent dit dat het belangrijkste deel van de nationale preferentie overeen moet komen met de ideologie die de regerende partij op dat beleidsterrein nastreeft. De ideologie van de regerende partij vormt de onafhankelijke variabele in het proces van preferentievorming.</w:t>
      </w:r>
      <w:bookmarkStart w:id="23" w:name="_Toc226876244"/>
    </w:p>
    <w:p w:rsidR="009623CA" w:rsidRPr="00316DA4" w:rsidRDefault="009623CA" w:rsidP="00DF559C">
      <w:pPr>
        <w:pStyle w:val="Heading3"/>
      </w:pPr>
      <w:bookmarkStart w:id="24" w:name="_Toc261538650"/>
      <w:r w:rsidRPr="00316DA4">
        <w:t>2.3.2: Conceptualisering</w:t>
      </w:r>
      <w:bookmarkEnd w:id="23"/>
      <w:bookmarkEnd w:id="24"/>
      <w:r w:rsidRPr="00316DA4">
        <w:t xml:space="preserve"> </w:t>
      </w:r>
    </w:p>
    <w:p w:rsidR="009623CA" w:rsidRPr="00316DA4" w:rsidRDefault="009623CA" w:rsidP="00DF559C"/>
    <w:p w:rsidR="009623CA" w:rsidRPr="00316DA4" w:rsidRDefault="009623CA" w:rsidP="00596E29">
      <w:pPr>
        <w:spacing w:after="0"/>
        <w:jc w:val="both"/>
        <w:rPr>
          <w:i/>
        </w:rPr>
      </w:pPr>
      <w:r w:rsidRPr="00316DA4">
        <w:rPr>
          <w:i/>
        </w:rPr>
        <w:t>Partijideologie</w:t>
      </w:r>
    </w:p>
    <w:p w:rsidR="009623CA" w:rsidRPr="00316DA4" w:rsidRDefault="009623CA" w:rsidP="00596E29">
      <w:pPr>
        <w:spacing w:after="0" w:line="360" w:lineRule="auto"/>
        <w:jc w:val="both"/>
      </w:pPr>
      <w:r w:rsidRPr="00316DA4">
        <w:t xml:space="preserve">Hieronder wordt de ideologie verstaan die een politieke partij nastreeft ten opzichte van Europese integratie. Wanneer de op dat moment regerende partij autonomie in een hoger vaandel heeft staan dan Europese samenwerking, dan zal dit de voornaamste factor zijn die de nationale preferentie beinvloedt. Wanneer de partijideologie positief staat tegenover integratie, dan zal de nationale preferentie dit ook zijn (Aspinwall , 2002). Gezien het diverse gebruik van het concept ‘ideologie’ door velen auteurs, zoals geconstateerd door Mullins (1972:498), is het belangrijk om het concept nader te duiden. Aspinwall weidt in zijn theorie niet verder uit over hoe hij het concept gebruikt, maar voor dit onderzoek is het toch belangrijk om vast te stellen welke lading er nu precies door dit concept gedekt wordt. Mullins komt met een algemene definitie voor ideologie. Hij beschrijft ideologie “als een vanzelfsprekend samenhangend systeem van symbolen, die, binnen een min of meer verfijnd beeld van de geschiedenis, de cognitieve en evaluatieve perceptie van iemand’s sociale conditie verbindt met een programma van collectieve actie for het onderhouden, veranderen of transformeren van de samenleving (Mullins (1972:510).” Dit is een meer algemene definitie van het concept, maar het is wel een goed startpunt om vast te stellen wat er binnen dit onderzoek onder partijideologie verstaan moet worden. Dit kan omschreven worden als het systeem van symbolen die de sociale conditie van een </w:t>
      </w:r>
      <w:r w:rsidRPr="00316DA4">
        <w:rPr>
          <w:i/>
        </w:rPr>
        <w:t>groep</w:t>
      </w:r>
      <w:r w:rsidRPr="00316DA4">
        <w:t xml:space="preserve"> personen verbindt met een programma van collectieve actie. Hierin is de groep personen het electoraat dat door de betreffende partij vertegenwoordigd wordt en het programma er niet zozeer een van collectieve actie, maar meer het programma dat de partij voor ogen heeft en waarvan het veronderstelt dat het de positie van de achterban verbetert. Aangezien dit onderzoek betrekking heeft op de nationale preferentievorming ten opzichte van Europees beleid, zal er voornamelijk ingegaan worden op hoe de partijideologie staat tegenover Europese samenwerking.</w:t>
      </w:r>
    </w:p>
    <w:p w:rsidR="009623CA" w:rsidRPr="00316DA4" w:rsidRDefault="009623CA" w:rsidP="008A0A23">
      <w:pPr>
        <w:pStyle w:val="Heading3"/>
      </w:pPr>
      <w:bookmarkStart w:id="25" w:name="_Toc226876245"/>
      <w:bookmarkStart w:id="26" w:name="_Toc261538651"/>
      <w:r w:rsidRPr="00316DA4">
        <w:t>2.3.3: Operationalisering</w:t>
      </w:r>
      <w:bookmarkEnd w:id="25"/>
      <w:bookmarkEnd w:id="26"/>
    </w:p>
    <w:p w:rsidR="009623CA" w:rsidRPr="00316DA4" w:rsidRDefault="009623CA" w:rsidP="008A0A23">
      <w:pPr>
        <w:spacing w:line="360" w:lineRule="auto"/>
        <w:jc w:val="both"/>
      </w:pPr>
      <w:r w:rsidRPr="00316DA4">
        <w:t>Om partijideologie vervolgens te operationaliseren is het van belang om vast te stellen hoe de regerende partij staat tegenover Europese integratie. Dit is vast te stellen door de positie van de partij op dit gebied in het verleden vast te stellen door het analyseren van documenten. Om ook vast te kunnen stellen of deze partijideologie van invloed is geweest op de nationale preferentie ten opzichte van de twee te behandelen Europese wetgevingsdocumenten, zal er vastgesteld moeten worden wat het standpunt van de partij is op het betreffende beleidsterrein. Dit kan ook, zover mogelijk, door documentanalyse en voor meer specifieke informatie door middel van interviews. Wanneer de uiteindelijk uitgesproken nationale preferentie in de Europese Raad strookt met de partijideologie, duidt dit op invloed van de ideologie. Zeker wanneer blijkt dat groepen in de samenleving er een hele andere mening op na houden.</w:t>
      </w:r>
    </w:p>
    <w:p w:rsidR="009623CA" w:rsidRPr="00316DA4" w:rsidRDefault="009623CA" w:rsidP="008A0A23">
      <w:pPr>
        <w:pStyle w:val="Heading2"/>
      </w:pPr>
      <w:bookmarkStart w:id="27" w:name="_Toc226876246"/>
      <w:bookmarkStart w:id="28" w:name="_Toc261538652"/>
      <w:r w:rsidRPr="00316DA4">
        <w:t>2.4: Het conceptuele model</w:t>
      </w:r>
      <w:bookmarkEnd w:id="27"/>
      <w:bookmarkEnd w:id="28"/>
    </w:p>
    <w:p w:rsidR="009623CA" w:rsidRPr="00316DA4" w:rsidRDefault="009623CA" w:rsidP="00596E29">
      <w:pPr>
        <w:jc w:val="both"/>
      </w:pPr>
      <w:r w:rsidRPr="00316DA4">
        <w:t>Het conceptuele model van dit onderzoek ziet er als volgt uit:</w:t>
      </w:r>
    </w:p>
    <w:p w:rsidR="009623CA" w:rsidRPr="00316DA4" w:rsidRDefault="009623CA" w:rsidP="00596E29">
      <w:pPr>
        <w:rPr>
          <w:lang w:eastAsia="nl-NL"/>
        </w:rPr>
      </w:pPr>
      <w:r>
        <w:rPr>
          <w:noProof/>
          <w:lang w:val="en-US"/>
        </w:rPr>
        <w:pict>
          <v:rect id="_x0000_s1026" style="position:absolute;margin-left:242.65pt;margin-top:10.1pt;width:125.25pt;height:80.6pt;z-index:251658240">
            <v:textbox style="mso-next-textbox:#_x0000_s1026">
              <w:txbxContent>
                <w:p w:rsidR="009623CA" w:rsidRDefault="009623CA" w:rsidP="00596E29">
                  <w:pPr>
                    <w:jc w:val="center"/>
                  </w:pPr>
                  <w:r>
                    <w:t>Uitkomst proces van nationale preferentievorming in de gekozen lidstaten</w:t>
                  </w:r>
                </w:p>
                <w:p w:rsidR="009623CA" w:rsidRDefault="009623CA" w:rsidP="00596E29">
                  <w:pPr>
                    <w:jc w:val="center"/>
                  </w:pPr>
                </w:p>
                <w:p w:rsidR="009623CA" w:rsidRDefault="009623CA" w:rsidP="00596E29"/>
              </w:txbxContent>
            </v:textbox>
          </v:rect>
        </w:pict>
      </w:r>
      <w:r>
        <w:rPr>
          <w:noProof/>
          <w:lang w:val="en-US"/>
        </w:rPr>
        <w:pict>
          <v:shapetype id="_x0000_t32" coordsize="21600,21600" o:spt="32" o:oned="t" path="m,l21600,21600e" filled="f">
            <v:path arrowok="t" fillok="f" o:connecttype="none"/>
            <o:lock v:ext="edit" shapetype="t"/>
          </v:shapetype>
          <v:shape id="_x0000_s1027" type="#_x0000_t32" style="position:absolute;margin-left:151.9pt;margin-top:22.1pt;width:90.75pt;height:0;z-index:251659264" o:connectortype="straight">
            <v:stroke endarrow="block"/>
          </v:shape>
        </w:pict>
      </w:r>
    </w:p>
    <w:p w:rsidR="009623CA" w:rsidRPr="00316DA4" w:rsidRDefault="009623CA" w:rsidP="00596E29">
      <w:pPr>
        <w:rPr>
          <w:color w:val="000000"/>
          <w:lang w:eastAsia="nl-NL"/>
        </w:rPr>
      </w:pPr>
      <w:r>
        <w:rPr>
          <w:noProof/>
          <w:lang w:val="en-US"/>
        </w:rPr>
        <w:pict>
          <v:rect id="_x0000_s1028" style="position:absolute;margin-left:-1.1pt;margin-top:-15.35pt;width:153pt;height:24.75pt;z-index:251660288">
            <v:textbox style="mso-next-textbox:#_x0000_s1028">
              <w:txbxContent>
                <w:p w:rsidR="009623CA" w:rsidRPr="00334888" w:rsidRDefault="009623CA" w:rsidP="00596E29">
                  <w:pPr>
                    <w:jc w:val="center"/>
                  </w:pPr>
                  <w:r>
                    <w:t>LI - benadering</w:t>
                  </w:r>
                </w:p>
              </w:txbxContent>
            </v:textbox>
          </v:rect>
        </w:pict>
      </w:r>
      <w:r w:rsidRPr="00316DA4">
        <w:rPr>
          <w:lang w:eastAsia="nl-NL"/>
        </w:rPr>
        <w:t xml:space="preserve"> </w:t>
      </w:r>
    </w:p>
    <w:p w:rsidR="009623CA" w:rsidRPr="00316DA4" w:rsidRDefault="009623CA" w:rsidP="00596E29">
      <w:pPr>
        <w:rPr>
          <w:lang w:eastAsia="nl-NL"/>
        </w:rPr>
      </w:pPr>
      <w:r>
        <w:rPr>
          <w:noProof/>
          <w:lang w:val="en-US"/>
        </w:rPr>
        <w:pict>
          <v:shape id="_x0000_s1029" type="#_x0000_t32" style="position:absolute;margin-left:153pt;margin-top:21.8pt;width:90.75pt;height:0;z-index:251661312" o:connectortype="straight">
            <v:stroke endarrow="block"/>
          </v:shape>
        </w:pict>
      </w:r>
      <w:r>
        <w:rPr>
          <w:noProof/>
          <w:lang w:val="en-US"/>
        </w:rPr>
        <w:pict>
          <v:rect id="_x0000_s1030" style="position:absolute;margin-left:0;margin-top:12.8pt;width:153pt;height:26.4pt;z-index:251662336">
            <v:textbox style="mso-next-textbox:#_x0000_s1030">
              <w:txbxContent>
                <w:p w:rsidR="009623CA" w:rsidRDefault="009623CA" w:rsidP="00596E29">
                  <w:pPr>
                    <w:jc w:val="center"/>
                  </w:pPr>
                  <w:r>
                    <w:t>Partijideologische benadering</w:t>
                  </w:r>
                </w:p>
              </w:txbxContent>
            </v:textbox>
          </v:rect>
        </w:pict>
      </w:r>
    </w:p>
    <w:p w:rsidR="009623CA" w:rsidRPr="00316DA4" w:rsidRDefault="009623CA" w:rsidP="00596E29">
      <w:pPr>
        <w:rPr>
          <w:lang w:eastAsia="nl-NL"/>
        </w:rPr>
      </w:pPr>
    </w:p>
    <w:p w:rsidR="009623CA" w:rsidRPr="00316DA4" w:rsidRDefault="009623CA" w:rsidP="00596E29">
      <w:pPr>
        <w:spacing w:line="360" w:lineRule="auto"/>
        <w:jc w:val="center"/>
        <w:rPr>
          <w:sz w:val="20"/>
          <w:szCs w:val="20"/>
          <w:lang w:eastAsia="nl-NL"/>
        </w:rPr>
      </w:pPr>
      <w:r w:rsidRPr="00316DA4">
        <w:rPr>
          <w:sz w:val="20"/>
          <w:szCs w:val="20"/>
          <w:lang w:eastAsia="nl-NL"/>
        </w:rPr>
        <w:t>Figuur 2: Conceptueel model</w:t>
      </w:r>
    </w:p>
    <w:p w:rsidR="009623CA" w:rsidRPr="00316DA4" w:rsidRDefault="009623CA" w:rsidP="00596E29">
      <w:pPr>
        <w:spacing w:line="360" w:lineRule="auto"/>
        <w:rPr>
          <w:lang w:eastAsia="nl-NL"/>
        </w:rPr>
      </w:pPr>
      <w:r w:rsidRPr="00316DA4">
        <w:rPr>
          <w:lang w:eastAsia="nl-NL"/>
        </w:rPr>
        <w:t>Hierin zijn de twee beschreven theorieën opgesteld als mogelijke verklaringen voor de uitkomsten van het proces van nationale preferentievorming in de gekozen landen. De uitkomst van het model zal zijn met welke benadering de uitkomst van het proces het best te verklaren is.</w:t>
      </w:r>
    </w:p>
    <w:p w:rsidR="009623CA" w:rsidRPr="00316DA4" w:rsidRDefault="009623CA" w:rsidP="00A45515">
      <w:pPr>
        <w:pStyle w:val="Heading2"/>
      </w:pPr>
      <w:bookmarkStart w:id="29" w:name="_Toc261538653"/>
      <w:r w:rsidRPr="00316DA4">
        <w:t>2.5: Standpunt Katholieke Kerk</w:t>
      </w:r>
      <w:bookmarkEnd w:id="29"/>
    </w:p>
    <w:p w:rsidR="009623CA" w:rsidRPr="00316DA4" w:rsidRDefault="009623CA" w:rsidP="00A45515">
      <w:pPr>
        <w:spacing w:line="360" w:lineRule="auto"/>
        <w:jc w:val="both"/>
      </w:pPr>
      <w:r w:rsidRPr="00316DA4">
        <w:t>In dit onderzoek wordt gekeken welke theorie het best in staat is te verklaren hoe een nationale preferentie tot stand is gekomen. Daarnaast wordt ook onderzocht wat de invloed van het Katholieke geloof is op de nationale preferentie. Het Katholieke geloof bestaat uit diverse nationale kerken, elk met hun eigen geschiedenis, structuur, leiders en politieke belangen (Warner, 2000:8). Dit ondanks dat gepoogd wordt om het Katholieke geloof centraal aan te sturen vanuit het Vaticaan. Nationale Katholieke Kerken kunnen dus van elkaar afwijken. Door middel van pauselijke standpunten wordt echter wel  aangegeven welke lijn er gevolgd zou moeten worden door de nationale Katholieke Kerken. In het kader van dit onderzoek is het belangrijk om helder te hebben wat het centrale standpunt van  het Katholieke geloof over de casus is. In de hoofdstukken over de afzonderlijke lidstaten wordt ingegaan op hoe de nationale Katholieke Kerk van de betreffende lidstaat mogelijk afwijkt van dit centrale standpunt.</w:t>
      </w:r>
    </w:p>
    <w:p w:rsidR="009623CA" w:rsidRPr="00316DA4" w:rsidRDefault="009623CA" w:rsidP="00A45515">
      <w:pPr>
        <w:spacing w:line="360" w:lineRule="auto"/>
        <w:jc w:val="both"/>
        <w:rPr>
          <w:rFonts w:cs="Times"/>
        </w:rPr>
      </w:pPr>
      <w:r w:rsidRPr="00316DA4">
        <w:t xml:space="preserve">De basis voor de mening van de Katholieke Kerk over het gebruik van embryonale stamcellen voor onderzoek is te vinden in een document van de Pauselijke Academie voor het Leven. Deze Pauselijke Academie is in 1994 opgericht door paus Johannes Paulus II. </w:t>
      </w:r>
      <w:r w:rsidRPr="00316DA4">
        <w:rPr>
          <w:lang w:val="en-US"/>
        </w:rPr>
        <w:t xml:space="preserve">De taak van de academie is als volgt omschreven door het Vaticaan: </w:t>
      </w:r>
      <w:r w:rsidRPr="00316DA4">
        <w:rPr>
          <w:i/>
          <w:lang w:val="en-US"/>
        </w:rPr>
        <w:t>“</w:t>
      </w:r>
      <w:r w:rsidRPr="00316DA4">
        <w:rPr>
          <w:rFonts w:cs="Times"/>
          <w:i/>
          <w:lang w:val="en-US"/>
        </w:rPr>
        <w:t>Its objectives are the study, information and formation on the principal problems of biomedicine and of law, relative to the promotion and defense of life, above all in the direct relation that they have with Christian morality and the directives of the Church's Magisterium”.</w:t>
      </w:r>
      <w:r w:rsidRPr="00316DA4">
        <w:rPr>
          <w:rFonts w:cs="Times"/>
          <w:lang w:val="en-US"/>
        </w:rPr>
        <w:t xml:space="preserve"> </w:t>
      </w:r>
      <w:r w:rsidRPr="00316DA4">
        <w:rPr>
          <w:rFonts w:cs="Times"/>
        </w:rPr>
        <w:t>Op 25 augustus 2008 verscheen het document ‘</w:t>
      </w:r>
      <w:r w:rsidRPr="00316DA4">
        <w:rPr>
          <w:rFonts w:cs="Times"/>
          <w:i/>
        </w:rPr>
        <w:t>verklaring betreffende de productie en het wetenschappelijke en therapeutische gebruik van menselijke en embryonale stamcellen’</w:t>
      </w:r>
      <w:r w:rsidRPr="00316DA4">
        <w:rPr>
          <w:rFonts w:cs="Times"/>
        </w:rPr>
        <w:t>. Hierin wordt het standpunt van de Katholieke Kerk over deze materie verkondigd. Op de vraag “is het moreel aanvaardbaar is om levende menselijke embryo’s te produceren en of te gebruiken om embryonale stamcellen te produceren?” wordt negatief geantwoord. De zaken die aan dit negatieve antwoord ten grondslag liggen zijn dat een embryo volgens de academie al een menselijk identiteit heeft (1) en daarmee een menselijk individu met bijbehorende rechten is (2), de beschadiging van een cel immoreel is (3), de goede daad die het onderzoek met zich mee moet brengen de verkeerde daad die het vernietigen van een embryo volgens de kerk is niet opheft (4) en tenslotte dat het onschendbare recht van ieder onschuldig menselijk wezen op leven geschonden wordt (5)(PAL, 2000:11). In het document wordt verder aangegeven dat “</w:t>
      </w:r>
      <w:r w:rsidRPr="00316DA4">
        <w:rPr>
          <w:rFonts w:cs="Times"/>
          <w:i/>
        </w:rPr>
        <w:t xml:space="preserve">het gebruik van volwassen stamcellen de redelijkste en de meest humane methode is voor acceptabele en toelaatbare vooruitgang op dit nieuwe onderzoeksterrein en in de veelbelovende therapeutische toepassingen” </w:t>
      </w:r>
      <w:r w:rsidRPr="00316DA4">
        <w:rPr>
          <w:rFonts w:cs="Times"/>
        </w:rPr>
        <w:t>(PAL, 2000:20).</w:t>
      </w:r>
    </w:p>
    <w:p w:rsidR="009623CA" w:rsidRPr="00316DA4" w:rsidRDefault="009623CA" w:rsidP="00A45515">
      <w:pPr>
        <w:spacing w:line="360" w:lineRule="auto"/>
        <w:jc w:val="both"/>
        <w:rPr>
          <w:rFonts w:cs="Times"/>
        </w:rPr>
      </w:pPr>
      <w:r w:rsidRPr="00316DA4">
        <w:rPr>
          <w:rFonts w:cs="Times"/>
        </w:rPr>
        <w:t>In het vervolg van dit onderzoek zal onderzocht worden of deze opvatting terug te vinden is in de nationale preferentie van de te onderzoeken lidstaten, om zo te kunnen achterhalen of religie een rol heeft gespeeld in het bepalen van de nationale preferentie.</w:t>
      </w:r>
    </w:p>
    <w:p w:rsidR="009623CA" w:rsidRPr="00316DA4" w:rsidRDefault="009623CA" w:rsidP="00596E29"/>
    <w:p w:rsidR="009623CA" w:rsidRPr="00316DA4" w:rsidRDefault="009623CA" w:rsidP="00596E29"/>
    <w:p w:rsidR="009623CA" w:rsidRPr="00316DA4" w:rsidRDefault="009623CA" w:rsidP="00596E29"/>
    <w:p w:rsidR="009623CA" w:rsidRPr="00316DA4" w:rsidRDefault="009623CA" w:rsidP="00596E29"/>
    <w:p w:rsidR="009623CA" w:rsidRPr="00316DA4" w:rsidRDefault="009623CA" w:rsidP="00596E29"/>
    <w:p w:rsidR="009623CA" w:rsidRPr="00316DA4" w:rsidRDefault="009623CA" w:rsidP="00596E29"/>
    <w:p w:rsidR="009623CA" w:rsidRPr="00316DA4" w:rsidRDefault="009623CA" w:rsidP="00DE22D5">
      <w:pPr>
        <w:rPr>
          <w:b/>
          <w:bCs/>
          <w:color w:val="000000"/>
          <w:sz w:val="32"/>
          <w:szCs w:val="28"/>
        </w:rPr>
      </w:pPr>
      <w:bookmarkStart w:id="30" w:name="_Toc226876247"/>
    </w:p>
    <w:p w:rsidR="009623CA" w:rsidRPr="00316DA4" w:rsidRDefault="009623CA" w:rsidP="00DE22D5">
      <w:pPr>
        <w:pStyle w:val="Heading1"/>
      </w:pPr>
    </w:p>
    <w:p w:rsidR="009623CA" w:rsidRPr="00316DA4" w:rsidRDefault="009623CA" w:rsidP="00DE22D5">
      <w:pPr>
        <w:pStyle w:val="Heading1"/>
      </w:pPr>
    </w:p>
    <w:p w:rsidR="009623CA" w:rsidRPr="00316DA4" w:rsidRDefault="009623CA" w:rsidP="00DE22D5">
      <w:pPr>
        <w:pStyle w:val="Heading1"/>
      </w:pPr>
    </w:p>
    <w:p w:rsidR="009623CA" w:rsidRPr="00316DA4" w:rsidRDefault="009623CA" w:rsidP="00DE22D5">
      <w:pPr>
        <w:pStyle w:val="Heading1"/>
      </w:pPr>
    </w:p>
    <w:p w:rsidR="009623CA" w:rsidRPr="00316DA4" w:rsidRDefault="009623CA" w:rsidP="00DF559C"/>
    <w:p w:rsidR="009623CA" w:rsidRPr="00316DA4" w:rsidRDefault="009623CA" w:rsidP="00DF559C">
      <w:pPr>
        <w:pStyle w:val="Heading1"/>
      </w:pPr>
      <w:bookmarkStart w:id="31" w:name="_Toc261538654"/>
      <w:r w:rsidRPr="00316DA4">
        <w:t>3: Onderzoeksdesign</w:t>
      </w:r>
      <w:bookmarkEnd w:id="30"/>
      <w:bookmarkEnd w:id="31"/>
    </w:p>
    <w:p w:rsidR="009623CA" w:rsidRPr="00316DA4" w:rsidRDefault="009623CA" w:rsidP="00D24138">
      <w:pPr>
        <w:pStyle w:val="Heading2"/>
      </w:pPr>
      <w:bookmarkStart w:id="32" w:name="_Toc226876248"/>
      <w:bookmarkStart w:id="33" w:name="_Toc261538655"/>
      <w:r w:rsidRPr="00316DA4">
        <w:t>3.1: Methoden &amp; technieken</w:t>
      </w:r>
      <w:bookmarkEnd w:id="32"/>
      <w:bookmarkEnd w:id="33"/>
    </w:p>
    <w:p w:rsidR="009623CA" w:rsidRPr="00316DA4" w:rsidRDefault="009623CA" w:rsidP="00D24138">
      <w:pPr>
        <w:spacing w:line="360" w:lineRule="auto"/>
        <w:jc w:val="both"/>
      </w:pPr>
      <w:r w:rsidRPr="00316DA4">
        <w:t xml:space="preserve">Om in dit onderzoek te bepalen hoe de uitkomsten van het proces van nationale preferentievorming tot stand zijn gekomen en wat de invloed van de Kerk hierop geweest is, zal er volgens de </w:t>
      </w:r>
      <w:r w:rsidRPr="00316DA4">
        <w:rPr>
          <w:i/>
        </w:rPr>
        <w:t>multiple case study</w:t>
      </w:r>
      <w:r w:rsidRPr="00316DA4">
        <w:t xml:space="preserve"> strategie te werk worden gegaan. Dit houdt in dat er voor verschillende specifieke </w:t>
      </w:r>
      <w:r w:rsidRPr="00316DA4">
        <w:rPr>
          <w:i/>
        </w:rPr>
        <w:t>cases</w:t>
      </w:r>
      <w:r w:rsidRPr="00316DA4">
        <w:t xml:space="preserve"> een diepteonderzoek  gedaan zal worden (Babbi, 2004:293), waarbij “gefocust wordt op antecedenten, contextuele factoren, percepties en houdingen voorafgaand aan een bekende uitkomst (Robson, 2002:181)”.  Bij een case study is het veelal gebruikelijk dat er verschillende methoden van data collectie worden gebruikt, waarbij zowel kwantitatieve als kwalitatieve data gebruikt kan worden (Robson, 2002:178).  De keuze voor de case study strategie is gemaakt omdat deze strategie goed geschikt is empirisch onderzoek naar een actueel fenomeen in de hedendaagse context, waarbij diverse bronnen van bewijs gebruikt zullen worden (Yin (1981; 1994) in Robson 2002:178). In dit onderzoek is het actuele fenomeen de vaststelling van de nationale preferentie en de hedendaagse context de diverse voorkeuren die verschillende groepen in de samenleving hebben voor dit fenomeen.</w:t>
      </w:r>
    </w:p>
    <w:p w:rsidR="009623CA" w:rsidRPr="00316DA4" w:rsidRDefault="009623CA" w:rsidP="00DB426F">
      <w:pPr>
        <w:autoSpaceDE w:val="0"/>
        <w:autoSpaceDN w:val="0"/>
        <w:adjustRightInd w:val="0"/>
        <w:spacing w:after="0" w:line="360" w:lineRule="auto"/>
        <w:jc w:val="both"/>
      </w:pPr>
      <w:r w:rsidRPr="00316DA4">
        <w:t xml:space="preserve">Voor het onderzoek zal een beleidsveld geselecteerd worden waarvan te verwachten valt dat áls de Kerk probeert invloed uit te oefenen op het proces van nationale preferentievorming, het op dat beleidsveld zal zijn.  Met andere woorden: er wordt gekozen voor een </w:t>
      </w:r>
      <w:r w:rsidRPr="00316DA4">
        <w:rPr>
          <w:i/>
        </w:rPr>
        <w:t>most-likely case</w:t>
      </w:r>
      <w:r w:rsidRPr="00316DA4">
        <w:t xml:space="preserve">. Een most-likely case wil zeggen dat alles er op duidt dat er een bepaalde uitkomst zal komen, maar dat de gekozen theorie kan aantonen dat dit niet zo is (Gerring, 2007:232). Voor dit onderzoek betekent dit dat er een case gekozen wordt waarin de sterke verwachting kan worden uitgesproken dat de Katholieke Kerk zich er mee bezig gehouden heeft. De gekozen theorieën echter hebben daar andere verklaringen voor en zouden kunnen ontkennen dat het de Katholieke Kerk geweest is die zich met name met de case bemoeit heeft. Bij het selecteren van een beleidsveld zal daarom gekozen worden voor een onderwerp waarbij ethiek een belangrijke rol speelt, aangezien dit traditiegetrouw de politieke vraagstukken zijn waarover de Katholieke Kerk zich uitlaat. </w:t>
      </w:r>
    </w:p>
    <w:p w:rsidR="009623CA" w:rsidRPr="00316DA4" w:rsidRDefault="009623CA" w:rsidP="00DB426F">
      <w:pPr>
        <w:autoSpaceDE w:val="0"/>
        <w:autoSpaceDN w:val="0"/>
        <w:adjustRightInd w:val="0"/>
        <w:spacing w:after="0" w:line="360" w:lineRule="auto"/>
        <w:jc w:val="both"/>
        <w:rPr>
          <w:rFonts w:cs="Times-Roman"/>
        </w:rPr>
      </w:pPr>
    </w:p>
    <w:p w:rsidR="009623CA" w:rsidRPr="00316DA4" w:rsidRDefault="009623CA" w:rsidP="00D24138">
      <w:pPr>
        <w:spacing w:line="360" w:lineRule="auto"/>
        <w:jc w:val="both"/>
      </w:pPr>
      <w:r w:rsidRPr="00316DA4">
        <w:t xml:space="preserve">De gekozen case zal in dit onderzoek voor meerdere lidstaten behandeld worden. Dit zijn Malta, Nederland, Zweden en Ierland. Voor elke lidstaat zal onderzocht worden hoe de nationale preferentie met betrekking tot de gekozen case tot stand is gekomen. Daarna wordt voor elk land vergeleken of de uitkomst van het onderzoek overeenkomt met de hypotheses die zijn opgesteld aan de hand van de twee gekozen theorieën over nationale preferentievorming. De selectie van de te onderzoeken landen heeft niet </w:t>
      </w:r>
      <w:r w:rsidRPr="00316DA4">
        <w:rPr>
          <w:i/>
        </w:rPr>
        <w:t>at random</w:t>
      </w:r>
      <w:r w:rsidRPr="00316DA4">
        <w:t xml:space="preserve"> plaatsgevonden. Er is bewust gekozen voor landen met een sterke en landen met een minder sterke Katholieke traditie, zodat er eventuele verschillen in patronen tussen Katholieke en minder Katholieke landen opgemerkt kunnen worden.</w:t>
      </w:r>
    </w:p>
    <w:p w:rsidR="009623CA" w:rsidRPr="00316DA4" w:rsidRDefault="009623CA" w:rsidP="00D24138">
      <w:pPr>
        <w:spacing w:line="360" w:lineRule="auto"/>
        <w:jc w:val="both"/>
      </w:pPr>
      <w:r w:rsidRPr="00316DA4">
        <w:t xml:space="preserve">De case zal vervolgens geanalyseerd worden aan de hand van zogenaamd </w:t>
      </w:r>
      <w:r w:rsidRPr="00316DA4">
        <w:rPr>
          <w:i/>
        </w:rPr>
        <w:t>pattern matching</w:t>
      </w:r>
      <w:r w:rsidRPr="00316DA4">
        <w:t xml:space="preserve">. Op deze manier wordt een op empirische basis verkregen patroon vergeleken met een voorspeld patroon. Wanneer deze patronen overeenkomen, zal dit de interne validiteit van het onderzoek vergroten (Yin, 2003:116). Gezien de twee theorieën die de uitkomst van het proces van nationale preferentievorming kunnen verklaren, zal er sprake zijn van </w:t>
      </w:r>
      <w:r w:rsidRPr="00316DA4">
        <w:rPr>
          <w:i/>
        </w:rPr>
        <w:t>rival explanations as patterns</w:t>
      </w:r>
      <w:r w:rsidRPr="00316DA4">
        <w:t>. Met deze techniek kan door middel van het bepalen van de onafhankelijke variabelen in het patroon, bepaald worden of een theorie inderdaad een uitkomst verklaard. Wanneer dit het geval is, betekent dit gelijk dat de rivaliserende theorieën uitgesloten kunnen worden, doordat de onafhankelijke variabelen exclusief bij die bepaalde theorie horen (Yin, 2003:118).</w:t>
      </w:r>
    </w:p>
    <w:p w:rsidR="009623CA" w:rsidRPr="00316DA4" w:rsidRDefault="009623CA" w:rsidP="00D24138">
      <w:pPr>
        <w:spacing w:line="360" w:lineRule="auto"/>
        <w:jc w:val="both"/>
      </w:pPr>
      <w:r w:rsidRPr="00316DA4">
        <w:t xml:space="preserve">Zoals gezegd zal het op empirische basis verkregen patroon vergeleken worden met voorspelde patronen. Deze voorspelde patronen worden afgeleid van bestaande theorieën op het gebied van nationale preferentievorming. Voor dit onderzoek is gekozen om de voorspellingen te doen op basis van de LI-benadering van Moravcsik en de partijideologische benadering van Aspinwall. Er is bewust voor gekozen de genoemde institutionele benadering van Dimitrakopoulis &amp; Kassim buiten beschouwing te laten, gezien de overeenkomsten tussen deze benadering en die van Aspinwall. Hierdoor kan het in de analyse moeilijk worden om te bepalen welke theorie het best in staat is geweest het proces te verklaren. Er is gekozen voor de ideologische benadering, omdat deze ook de lading van de institutionele benadering dekt. Wanneer een institutie de macht heeft om de eigen mening in de nationale preferentievorming door te drukken, is de kans groot dat dit voorkomt uit de ideologie die de partij waaraan de betreffende institutie verbonden is nastreeft. </w:t>
      </w:r>
    </w:p>
    <w:p w:rsidR="009623CA" w:rsidRPr="00316DA4" w:rsidRDefault="009623CA" w:rsidP="00D24138">
      <w:pPr>
        <w:spacing w:line="360" w:lineRule="auto"/>
        <w:jc w:val="both"/>
      </w:pPr>
      <w:r w:rsidRPr="00316DA4">
        <w:t xml:space="preserve">Om het patroon in de case te kunnen bepalen, zal er gebruikt gemaakt worden van zoveel mogelijk informatiebronnen, om zodoende een zo volledig mogelijk beeld te kunnen vormen van het proces dat heeft plaatsgevonden. Bewijs kan in het geval van een </w:t>
      </w:r>
      <w:r w:rsidRPr="00316DA4">
        <w:rPr>
          <w:i/>
        </w:rPr>
        <w:t>case study</w:t>
      </w:r>
      <w:r w:rsidRPr="00316DA4">
        <w:t>, zoals dit onderzoek, afkomstig zijn vanuit zes bronnen. Dit zijn documenten, archieven, interviews, directe observatie, observatie door middel van participatie en fysieke artefacten (Yin, 2003:83).</w:t>
      </w:r>
    </w:p>
    <w:p w:rsidR="009623CA" w:rsidRPr="00316DA4" w:rsidRDefault="009623CA" w:rsidP="00D24138">
      <w:pPr>
        <w:spacing w:line="360" w:lineRule="auto"/>
        <w:jc w:val="both"/>
      </w:pPr>
      <w:r w:rsidRPr="00316DA4">
        <w:t xml:space="preserve"> Voor dit onderzoek is er voornamelijk gebruik gemaakt van documenten en archieven. Bij documenten moet gedacht worden aan verslagen van vergaderingen van de Raad van Ministers, standpuntbepalingen en beleidsdocumenten van overheidsinstellingen en bedrijven en onderzoeksrapporten van organisaties als Eurobarometer. De archieven die voor dit onderzoek zijn geraadpleegd betreffen voornamelijk krantenarchieven, aangezien gebleken is dat het de kranten zijn die het best verslag uitgebracht hebben van de gang van zaken rondom de totstandkoming van KP7.</w:t>
      </w:r>
    </w:p>
    <w:p w:rsidR="009623CA" w:rsidRPr="00316DA4" w:rsidRDefault="009623CA" w:rsidP="00D24138">
      <w:pPr>
        <w:spacing w:line="360" w:lineRule="auto"/>
        <w:jc w:val="both"/>
      </w:pPr>
      <w:r w:rsidRPr="00316DA4">
        <w:t>In mindere mate is er in dit onderzoek gebruik gemaakt van interviews en observatie door middel van participatie. Het was gewenst om meer gebruik te kunnen maken van interviews, maar door enkele problemen van praktische aard en de moeizame medewerking van respondenten, is het aantal interviews beperkt gebleven. Observatie door middel van participatie heeft plaatsgevonden tijdens een stage gedurende  vijf maanden in 2009 van de onderzoeker bij de Nederlandse ambassade in Malta. Directe observatie en fysieke artefacten maken geen deel uit van dit onderzoek.</w:t>
      </w:r>
    </w:p>
    <w:p w:rsidR="009623CA" w:rsidRPr="00316DA4" w:rsidRDefault="009623CA" w:rsidP="00D24138">
      <w:pPr>
        <w:spacing w:line="360" w:lineRule="auto"/>
        <w:jc w:val="both"/>
      </w:pPr>
      <w:r w:rsidRPr="00316DA4">
        <w:t xml:space="preserve">Het voordeel van het gebruik van meerdere methoden om data te verzamelen is dat er gebruik gemaakt kan worden van datatriangulatie. Dat wil zeggen dat er meer dan één vorm van datacollectie wordt gebruikt om dezelfde uitkomst bevestigd te krijgen (Robson, 2002:174, Babbi, 2004:113, Yin, 2003:98). Dit komt de betrouwbaarheid van het onderzoek ten goede. Hoewel er in dit onderzoek altijd geprobeerd is om datatriangulatie toe te passen, is dit in de meeste gevallen niet gelukt. Dit probleem werd veroorzaakt door het feit dat er vaak weinig geschreven werd over de betreffende casus, waardoor het moeilijk was om de data uit de ene bron vanuit een andere bron bevestigd te krijgen. </w:t>
      </w:r>
    </w:p>
    <w:p w:rsidR="009623CA" w:rsidRPr="00316DA4" w:rsidRDefault="009623CA" w:rsidP="00D24138">
      <w:pPr>
        <w:spacing w:line="360" w:lineRule="auto"/>
        <w:jc w:val="both"/>
      </w:pPr>
      <w:r w:rsidRPr="00316DA4">
        <w:t xml:space="preserve"> Naast datatriangulatie is er in dit onderzoek ook sprake van theoretische triangulatie. Dit wil zeggen dat er meerdere theorieën of perspectieven gebruikt worden om naar een casus te kijken (Robson, 2002:174).</w:t>
      </w:r>
    </w:p>
    <w:p w:rsidR="009623CA" w:rsidRPr="00316DA4" w:rsidRDefault="009623CA" w:rsidP="00571A6B">
      <w:pPr>
        <w:spacing w:line="360" w:lineRule="auto"/>
        <w:jc w:val="both"/>
      </w:pPr>
      <w:r w:rsidRPr="00316DA4">
        <w:t>De bronnen zijn op verschillende manieren ingezet. Voor het onderzoek zijn meerdere soorten informatie nodig en om dezen te vinden is er bij elke informatiesoort anders te werk gegaan en is er gebruik gemaakt van andere bronnen. Hieronder volgt een overzicht.</w:t>
      </w:r>
    </w:p>
    <w:p w:rsidR="009623CA" w:rsidRPr="00316DA4" w:rsidRDefault="009623CA" w:rsidP="00571A6B">
      <w:pPr>
        <w:spacing w:line="360" w:lineRule="auto"/>
        <w:jc w:val="both"/>
      </w:pPr>
      <w:r w:rsidRPr="00316DA4">
        <w:t xml:space="preserve">Gezien de gekozen onderzoeksmethode, het zogenaamde </w:t>
      </w:r>
      <w:r w:rsidRPr="00316DA4">
        <w:rPr>
          <w:i/>
        </w:rPr>
        <w:t>pattern matching</w:t>
      </w:r>
      <w:r w:rsidRPr="00316DA4">
        <w:t xml:space="preserve">, is het van groot belang om te kunnen bepalen welk patroon er precies heeft plaatsgevonden. Wanneer dit patroon bekend is, kan het vergeleken worden met de hypotheses die verkregen zijn op basis van de twee gekozen theorieën. Om het patroon te kunnen bepalen is het nodig om de uitkomst van het daadwerkelijk proces te achterhalen. Deze uitkomst is gelijk aan de nationale preferentie die elke lidstaat is overeengekomen en naar voren heeft gebracht in de vergaderingen van de Europese Raad van 18 december 2006. Van de vergaderingen van de Europese Raad zijn echter geen letterlijke notulen beschikbaar, waardoor het niet mogelijk is exact te achterhalen wat er precies is uitgesproken door de lidstaten over dit onderwerp. In de notulen is echter wel te vinden welke lidstaten verklaringen hebben uitgebracht na de stemming. Uit deze verklaringen valt vaak goed te achterhalen wat de preferentie van de betreffende lidstaat is, al moet daarbij opgemerkt worden dat deze verklaring na de stemming heeft plaatsgevonden. Hierdoor bestaat de mogelijkheid dat deze verklaring niet helemaal overeenkomt met de daadwerkelijke opstelling van een lidstaat tijdens de vergadering vóór de stemming. Daarnaast is het ook zo dat niet elke lidstaat het nodig vindt om een verklaring te geven, waardoor het niet mogelijk is om voor elke lidstaat op deze manier de nationale preferentie te bepalen. </w:t>
      </w:r>
    </w:p>
    <w:p w:rsidR="009623CA" w:rsidRPr="00316DA4" w:rsidRDefault="009623CA" w:rsidP="00571A6B">
      <w:pPr>
        <w:spacing w:line="360" w:lineRule="auto"/>
        <w:jc w:val="both"/>
      </w:pPr>
      <w:r w:rsidRPr="00316DA4">
        <w:t>Andere manieren om de nationale preferentie van een lidstaat te achterhalen, dan wel te vergelijken met de verklaring die na afloop van de Europese Raad gegeven is, zijn het analyseren van officiële overheidsdocumenten en media. Bij de overheidsdocumenten betreft het hier voornamelijk standpuntbepalingen die in de aanloop naar de stemming over KP7 gedaan zijn. Gezien de taalbarrières binnen Europa is het niet altijd even makkelijk om deze documenten te achterhalen. Daarom is er gebruik gemaakt van de website euractive.com. Deze website volgt het nieuws van de EU op de voet en heeft over diverse onderwerpen dan ook ‘dossiers’ aangelegd, waarin veel officiële documenten te vinden zijn. Ook over KP7 bestaat zo’n dossier en daar is dan ook veelvuldig gebruik van gemaakt. Het euractive dossier bood voor verschillende lidstaten Engelstalige beleidsdocumenten aan, wat het achterhalen van de nationale preferentie aanzienlijk vereenvoudigde.</w:t>
      </w:r>
    </w:p>
    <w:p w:rsidR="009623CA" w:rsidRPr="00316DA4" w:rsidRDefault="009623CA" w:rsidP="00571A6B">
      <w:pPr>
        <w:spacing w:line="360" w:lineRule="auto"/>
        <w:jc w:val="both"/>
      </w:pPr>
      <w:r w:rsidRPr="00316DA4">
        <w:t>Het analyseren van de media is ook een mogelijkheid die benut is om de nationale preferentie te achterhalen. In het geval van ‘media’ betreft het hier met name krantenarchieven die online te raadplegen waren. Vooral in de lidstaten waarin een duidelijke ethische discussie plaatsvond, was er ook media-aandacht voor KP7. Hoewel dit soort bronnen aangemerkt kunnen worden als secundaire bronnen, blijken ze vaak behoorlijk goed van pas te komen. Artikelen zijn vaak goed bruikbaar gebleken, wanneer er citaten van overheidsinstanties in naar voren komen. Dit soort artikelen geven dan een goed beeld van de opstelling van de betreffende lidstaat in het Europese debat. Een groot nadeel van het gebruik van de media is de taalbarrière. Niet in alle lidstaten is er Engelstalige media beschikbaar en wanneer deze wel beschikbaar is, blijft het altijd de vraag of deze net zo goed is als de media die in de taal van de lidstaat publiceren.</w:t>
      </w:r>
    </w:p>
    <w:p w:rsidR="009623CA" w:rsidRPr="00316DA4" w:rsidRDefault="009623CA" w:rsidP="00571A6B">
      <w:pPr>
        <w:spacing w:line="360" w:lineRule="auto"/>
        <w:jc w:val="both"/>
      </w:pPr>
      <w:r w:rsidRPr="00316DA4">
        <w:t xml:space="preserve">Om het patroon vervolgens te kunnen </w:t>
      </w:r>
      <w:r w:rsidRPr="00316DA4">
        <w:rPr>
          <w:i/>
        </w:rPr>
        <w:t>matchen</w:t>
      </w:r>
      <w:r w:rsidRPr="00316DA4">
        <w:t xml:space="preserve"> is het voor elke theorie noodzakelijk om enkele zaken te achterhalen. Voor de LI-benadering gaat het hierbij voornamelijk om het achterhalen van de preferenties van de diversen groepen in de samenleving die belang hebben bij KP7. Hierbij moet gedacht worden aan wetenschappelijke organisaties, werkgeversorganisaties en groeperingen die zich zorgen maken om de ethische aspecten die spelen rondom KP7. Om het standpunt van deze organisaties te achterhalen kan van dezelfde bronnen gebruikt gemaakt worden als bij het achterhalen van de uiteindelijke nationale preferentie. Dit zijn officiële documenten en publicaties in de media. Gezien de taalbarrière is ook voor het verkrijgen van de officiële documenten gebruik gemaakt van euractive.com. Nadat uit deze bronnen gepoogd is om het standpunt van een organisatie te bepalen, is er ook zoveel mogelijk triangulatie toegepast. Dat wil zeggen dat er geprobeerd is om vanuit andere bronnen beoordeeld te krijgen of de standpuntbepaling vanuit de andere bronnen juist is geweest. Bij deze andere bronnen moet dan voornamelijk gedacht worden aan schriftelijke interviewvragen aan direct betrokkenen. Deze triangulatie is van belang omdat bij het gebruik van de schriftelijke bronnen moeilijk is te bepalen of er achterliggende belangen spelen. Er wordt veelal naar officiële standpunten verwezen, waardoor het niet makkelijk is geweest om te bepalen of en hoe organisaties hebben geprobeerd de nationale preferentie te beïnvloeden.</w:t>
      </w:r>
    </w:p>
    <w:p w:rsidR="009623CA" w:rsidRPr="00316DA4" w:rsidRDefault="009623CA" w:rsidP="00571A6B">
      <w:pPr>
        <w:spacing w:line="360" w:lineRule="auto"/>
        <w:jc w:val="both"/>
      </w:pPr>
      <w:r w:rsidRPr="00316DA4">
        <w:t xml:space="preserve">Gezien de speciale aandacht tijdens dit onderzoek voor de invloed van de Katholieke Kerk op de nationale preferentie, is er bij elke onderzochte lidstaat ook bepaald wat de positie van deze kerk precies is in dat betreffende land. Hiervoor is gebruik gemaakt van het CIA World Factbook, wat voor elk land statistieken geeft over de aanwezigheid van religie in de samenleving. Aangezien deze statistieken officiële gegevens betreffen, is hieruit niet op te maken of het gegeven percentage gelovigen ook het aantal daadwerkelijk bij de kerk betrokken aantal mensen is. Daarom is er ook gebruikt gemaakt van een eurobarometer/gallup onderzoek. Dit onderzoek heeft het vertrouwen van een bevolking in religieuze instituties gemeten. Deze onderzoeksresultaten geven een goed beeld van in hoeverre een bevolking geneigd is om het advies van een kerkorganisatie op te volgen. </w:t>
      </w:r>
    </w:p>
    <w:p w:rsidR="009623CA" w:rsidRPr="00316DA4" w:rsidRDefault="009623CA" w:rsidP="00D24138">
      <w:pPr>
        <w:spacing w:line="360" w:lineRule="auto"/>
        <w:jc w:val="both"/>
      </w:pPr>
      <w:r w:rsidRPr="00316DA4">
        <w:t xml:space="preserve">Voor de partijideologische benadering is het voor dit onderzoek noodzakelijk om te achterhalen wat de ideologie van de regeringspartij is. De theorie geeft aan dat het mogelijk is dat deze ideologie van invloed is op de nationale preferentie. Om dit patroon te kunnen matchen is het dus nodig de ideologie van een partij te bepalen. Om de positie van de betreffende partij op de links-rechtsschaal te achterhalen is er gebruik gemaakt van een uitgebreid onderzoek van Huber &amp; Inglehart (1995). Dit duo heeft voor een groot aantal landen de verschillende partijen op een rijtje gezet en aan de hand van vragenlijsten geprobeerd ze allemaal te </w:t>
      </w:r>
      <w:r w:rsidRPr="00316DA4">
        <w:rPr>
          <w:i/>
        </w:rPr>
        <w:t>scoren</w:t>
      </w:r>
      <w:r w:rsidRPr="00316DA4">
        <w:t>. Om meer details van de positie van de betreffende partijen over Europese integratie, dan wel stamcelonderzoek te vinden, is er gebruik gemaakt van partijprogramma’s. Ook voor dit soort documenten geldt dat deze door de taalbarrière niet altijd even goed toegankelijk zijn. Hierdoor is er ook gebruikt gemaakt van secundaire bronnen, waar het voornamelijk krantenarchieven betroffen. Een specifiek probleem wat opdook tijdens het onderzoek is het feit dat één van de twee Ierse coalitiepartijen in de tussentijd is opgehouden te bestaan, waardoor is gebleken dat het zeer moeilijk was om specifieke standpunten van deze partij te achterhalen.</w:t>
      </w:r>
    </w:p>
    <w:p w:rsidR="009623CA" w:rsidRPr="00316DA4" w:rsidRDefault="009623CA" w:rsidP="00D24138">
      <w:pPr>
        <w:spacing w:line="360" w:lineRule="auto"/>
        <w:jc w:val="both"/>
      </w:pPr>
      <w:r w:rsidRPr="00316DA4">
        <w:t>Om het onderzoek zo overzichtelijk mogelijk te houden worden de lidstaten afzonderlijk en volgens dezelfde hoofdstukopbouw behandeld. Dit houdt in dat er na een korte introductie van de lidstaat wordt overgegaan tot het behandelen van de hypothese voor de LI-benadering, waarna het patroon beschreven zal worden. Dat wil zeggen dat bekeken zal worden wat de belangrijkste ‘groepen in de samenleving’ te melden hebben gehad over KP7 en in het bijzonder wat de Katholieke Kerk in de betreffende lidstaat ervan vond. Daarnaast zal ook omschreven worden wat de positie van de Katholieke Kerk in die lidstaat is, zodat er een goed beeld ontstaat van hoeveel invloed de Katholieke Kerk mogelijkerwijs heeft gehad op de nationale preferentie. Na de LI-benadering zal de hypothese van de partijideologische benadering behandeld worden. Ook voor deze benadering zal het patroon omschreven worden. Daarvoor zal ingegaan worden op de op dat moment regerende partij, hun ideologie en wat dat voor gevolgen kan hebben gehad voor de nationale preferentievorming met betrekking tot KP7.</w:t>
      </w:r>
    </w:p>
    <w:p w:rsidR="009623CA" w:rsidRPr="00316DA4" w:rsidRDefault="009623CA" w:rsidP="00E907CD">
      <w:pPr>
        <w:pStyle w:val="Heading2"/>
      </w:pPr>
      <w:bookmarkStart w:id="34" w:name="_Toc226876249"/>
      <w:bookmarkStart w:id="35" w:name="_Toc261538656"/>
      <w:r w:rsidRPr="00316DA4">
        <w:t>3.2: Validiteit</w:t>
      </w:r>
      <w:bookmarkEnd w:id="34"/>
      <w:bookmarkEnd w:id="35"/>
      <w:r w:rsidRPr="00316DA4">
        <w:t xml:space="preserve"> </w:t>
      </w:r>
    </w:p>
    <w:p w:rsidR="009623CA" w:rsidRPr="00316DA4" w:rsidRDefault="009623CA" w:rsidP="004A5FEB">
      <w:pPr>
        <w:spacing w:line="360" w:lineRule="auto"/>
        <w:jc w:val="both"/>
      </w:pPr>
      <w:r w:rsidRPr="00316DA4">
        <w:t>Om de validiteit en betrouwbaarheid van dit onderzoek te waarborgen, zijn er enkele keuzes gemaakt.</w:t>
      </w:r>
    </w:p>
    <w:p w:rsidR="009623CA" w:rsidRPr="00316DA4" w:rsidRDefault="009623CA" w:rsidP="00D24138">
      <w:pPr>
        <w:spacing w:line="360" w:lineRule="auto"/>
        <w:jc w:val="both"/>
      </w:pPr>
      <w:r w:rsidRPr="00316DA4">
        <w:t xml:space="preserve">Het eerste belangrijke punt met betrekking tot validiteit is de interne validiteit. Interne validiteit kan bereikt worden door aan te tonen dat er een relatie is tussen behandeling en uitkomst (Robson, 2002:103). </w:t>
      </w:r>
    </w:p>
    <w:p w:rsidR="009623CA" w:rsidRPr="00316DA4" w:rsidRDefault="009623CA" w:rsidP="00D24138">
      <w:pPr>
        <w:spacing w:line="360" w:lineRule="auto"/>
        <w:jc w:val="both"/>
      </w:pPr>
      <w:r w:rsidRPr="00316DA4">
        <w:t xml:space="preserve">Om de interne validiteit bij dit onderzoek te waarborgen, is er gekozen voor de onderzoekstechniek, </w:t>
      </w:r>
      <w:r w:rsidRPr="00316DA4">
        <w:rPr>
          <w:i/>
        </w:rPr>
        <w:t>pattern matching</w:t>
      </w:r>
      <w:r w:rsidRPr="00316DA4">
        <w:t>. De twee gebruikte theorieën in dit onderzoeken hebben beiden hun eigen verklaringen, oftewel variabelen, die bepalend zullen zijn voor de uitkomst van de nationale preferentie. Door de twee theorieën in dit onderzoek tegenover elkaar te zetten, wordt interne validiteit bereikt doordat het patroon zal uitwijzen dat er één theorie het meest geschikt is om de uitkomst te verklaren, waardoor de overige theorieën dit automatisch niet zijn. Met andere woorden: wanneer blijkt dat het de variabelen van de ene theorie zijn die bepalend zijn voor de uitkomst van de nationale preferentie, betekent dit dat het in geen geval zo kan zijn dat de andere theorie een betere verklaring heeft voor de uitkomst van de nationale preferentie. Dit betekent dan dus dat de andere theorie uitgesloten kan worden en de eerste theorie het dichtst de waarheid benaderd.</w:t>
      </w:r>
    </w:p>
    <w:p w:rsidR="009623CA" w:rsidRPr="00316DA4" w:rsidRDefault="009623CA" w:rsidP="00D24138">
      <w:pPr>
        <w:spacing w:line="360" w:lineRule="auto"/>
        <w:jc w:val="both"/>
      </w:pPr>
      <w:r w:rsidRPr="00316DA4">
        <w:t xml:space="preserve">Het tweede punt is de externe validiteit. Externe validiteit kan bereikt worden door ervoor te zorgen dat de conclusies van een onderzoek zoveel mogelijk gegeneraliseerd kunnen worden naar vergelijkbare situaties (Babbi, 2004:G4). Voor dit onderzoek betekent dit dat de conclusies van dit onderzoek gebruikt kunnen worden voor het analyseren van de nationale preferentievorming in andere lidstaten en in het geval van andere beleidsonderwerpen. </w:t>
      </w:r>
    </w:p>
    <w:p w:rsidR="009623CA" w:rsidRPr="00316DA4" w:rsidRDefault="009623CA" w:rsidP="00D24138">
      <w:pPr>
        <w:spacing w:line="360" w:lineRule="auto"/>
        <w:jc w:val="both"/>
      </w:pPr>
      <w:r w:rsidRPr="00316DA4">
        <w:t>De externe validiteit van dit onderzoek ligt in de keuze om de analyse uit te voeren voor meerdere landen, waarbij landen met een sterke en landen met een minder sterke Katholieke traditie behandeld zullen worden. Op deze manier kan worden uitgesloten dat de uitkomst puur en alleen geldt voor één bepaald land. Wanneer blijkt dat de invloed van de Kerk wel merkbaar is in verschillende landen met een sterke Katholieke traditie, maar niet in verschillende landen met een minder sterke of afwezige Katholieke traditie, kan de uitkomst toch gedeeltelijk gegeneraliseerd worden naar andere landen met een sterke Katholieke traditie. Daarnaast kan, door de keuze om ook landen met nagenoeg geen Katholieke traditie te analyseren, eventueel verklaard worden dat de uitkomst van het proces van nationale preferentievorming inderdaad het gevolg is van invloed van de Katholieke Kerk, aangezien de landen zonder sterke Katholieke traditie duidelijk een andere keuze hebben gemaakt.</w:t>
      </w:r>
    </w:p>
    <w:p w:rsidR="009623CA" w:rsidRPr="00316DA4" w:rsidRDefault="009623CA" w:rsidP="00D24138">
      <w:pPr>
        <w:spacing w:line="360" w:lineRule="auto"/>
        <w:jc w:val="both"/>
      </w:pPr>
      <w:r w:rsidRPr="00316DA4">
        <w:t xml:space="preserve">Door de keuze voor een beleidsveld en een discussie waarin ethiek een belangrijke rol speelt, kan worden gezegd dat er voorzichtig moeten worden omgegaan met de generaliseerbaarheid naar andere beleidsonderwerpen wat betreft de rol van de Katholieke Kerk. Doordat er een </w:t>
      </w:r>
      <w:r w:rsidRPr="00316DA4">
        <w:rPr>
          <w:i/>
        </w:rPr>
        <w:t xml:space="preserve">case </w:t>
      </w:r>
      <w:r w:rsidRPr="00316DA4">
        <w:t>behandeld wordt waarin de betrokkenheid van de Katholieke Kerk aannemelijk is, kunnen er na dit onderzoek voornamelijk uitspraken gedaan worden over het optreden van de Kerk in het geval van ethische beleidsonderwerpen. Over het optreden van de Kerk in minder voor de hand liggende beleidsvelden kunnen aan de hand van dit onderzoek minder makkelijk uitspraken gedaan worden.</w:t>
      </w:r>
    </w:p>
    <w:p w:rsidR="009623CA" w:rsidRPr="00316DA4" w:rsidRDefault="009623CA" w:rsidP="00D24138">
      <w:pPr>
        <w:spacing w:line="360" w:lineRule="auto"/>
        <w:jc w:val="both"/>
      </w:pPr>
      <w:r w:rsidRPr="00316DA4">
        <w:t xml:space="preserve">Over de externe validiteit moet wel opgemerkt worden dat het in het geval van een </w:t>
      </w:r>
      <w:r w:rsidRPr="00316DA4">
        <w:rPr>
          <w:i/>
        </w:rPr>
        <w:t>case study</w:t>
      </w:r>
      <w:r w:rsidRPr="00316DA4">
        <w:t xml:space="preserve"> als deze vaak moeilijk is om te generaliseren, omdat het om een specifieke situatie gaat. Bij het generaliseren naar andere lidstaten moet altijd worden beseft dat elk land weer andere kenmerken heeft die ervoor kunnen zorgen dat er een andere uitkomst is dan er in dit onderzoek gevonden is. Ondanks dat is er sowieso altijd de mogelijkheid voor analytische of theoretische generalisatie. Dat wil zeggen dat de data die in dit onderzoek gevonden is, theoretische perspectieven kan opleveren die gebruikt kunnen worden om andere situaties of contexten te bekijken (Sim, 1998:350 in: Robson, 2004:177).</w:t>
      </w:r>
    </w:p>
    <w:p w:rsidR="009623CA" w:rsidRPr="00316DA4" w:rsidRDefault="009623CA" w:rsidP="00D24138">
      <w:pPr>
        <w:spacing w:line="360" w:lineRule="auto"/>
        <w:jc w:val="both"/>
      </w:pPr>
    </w:p>
    <w:p w:rsidR="009623CA" w:rsidRPr="00316DA4" w:rsidRDefault="009623CA" w:rsidP="00D24138">
      <w:pPr>
        <w:spacing w:line="360" w:lineRule="auto"/>
        <w:jc w:val="both"/>
      </w:pPr>
    </w:p>
    <w:p w:rsidR="009623CA" w:rsidRPr="00316DA4" w:rsidRDefault="009623CA" w:rsidP="00DF559C">
      <w:pPr>
        <w:pStyle w:val="NoSpacing"/>
      </w:pPr>
    </w:p>
    <w:p w:rsidR="009623CA" w:rsidRPr="00316DA4" w:rsidRDefault="009623CA" w:rsidP="00DF559C">
      <w:pPr>
        <w:pStyle w:val="NoSpacing"/>
      </w:pPr>
    </w:p>
    <w:p w:rsidR="009623CA" w:rsidRPr="00316DA4" w:rsidRDefault="009623CA" w:rsidP="00DF559C">
      <w:pPr>
        <w:pStyle w:val="Heading1"/>
      </w:pPr>
      <w:bookmarkStart w:id="36" w:name="_Toc261538657"/>
      <w:r w:rsidRPr="00316DA4">
        <w:t>4: Casus</w:t>
      </w:r>
      <w:bookmarkEnd w:id="36"/>
    </w:p>
    <w:p w:rsidR="009623CA" w:rsidRPr="00316DA4" w:rsidRDefault="009623CA" w:rsidP="0057027E">
      <w:pPr>
        <w:pStyle w:val="Heading2"/>
      </w:pPr>
      <w:bookmarkStart w:id="37" w:name="_Toc261538658"/>
      <w:r w:rsidRPr="00316DA4">
        <w:t>4.1: Beschrijving</w:t>
      </w:r>
      <w:bookmarkEnd w:id="37"/>
    </w:p>
    <w:p w:rsidR="009623CA" w:rsidRPr="00316DA4" w:rsidRDefault="009623CA" w:rsidP="0057027E">
      <w:pPr>
        <w:spacing w:line="360" w:lineRule="auto"/>
        <w:jc w:val="both"/>
      </w:pPr>
      <w:r w:rsidRPr="00316DA4">
        <w:t xml:space="preserve">Voor dit onderzoek is gekozen voor een wetgevingsdocument dat betrekking heeft op de vaststelling van het ‘ Zevende Kaderprogramma van de Europese Gemeenschap voor activiteiten op het gebied van onderzoek, technologische ontwikkeling en demonstratie (2007 -2013)’.  Het gaat hierbij om een zogenaamd </w:t>
      </w:r>
      <w:r w:rsidRPr="00316DA4">
        <w:rPr>
          <w:i/>
        </w:rPr>
        <w:t>besluit</w:t>
      </w:r>
      <w:r w:rsidRPr="00316DA4">
        <w:t xml:space="preserve"> van het Europees Parlement en de Raad. Op 18 december 2006 is het zevende kaderprogramma officieel aangenomen.  Het wetgevingsdocument is tot stand gekomen aan de hand van de zogenaamde </w:t>
      </w:r>
      <w:r w:rsidRPr="00316DA4">
        <w:rPr>
          <w:i/>
        </w:rPr>
        <w:t>consultation procedure</w:t>
      </w:r>
      <w:r w:rsidRPr="00316DA4">
        <w:t>. Dit houdt in dat de Raad beslist over de voorstellen van de Commissie, maar hiervoor wel in overleg treedt met het Parlement. Het Parlement kan vervolgens advies geven over het voorstel. De Raad moet rekening houden met dit advies, maar is niet verplicht het ook echt te volgen (McCormick, 2002:108).</w:t>
      </w:r>
    </w:p>
    <w:p w:rsidR="009623CA" w:rsidRPr="00316DA4" w:rsidRDefault="009623CA" w:rsidP="0057027E">
      <w:pPr>
        <w:spacing w:line="360" w:lineRule="auto"/>
        <w:jc w:val="both"/>
      </w:pPr>
      <w:r w:rsidRPr="00316DA4">
        <w:t>De doelstelling van het zevende kaderprogramma is om de Europese onderzoeksruimte te versterken en de EU zo de gelegenheid te geven om haar onderzoeksbeleid af te stemmen op haar economische en sociale ambities (Europese Commissie, 2007). Om dit te verwezenlijken wil de Europese Commissie het budget van de EU op het gebied van onderzoek verhogen, om zodoende meer investeringen te genereren. Het zevende kaderprogramma moet voldoen aan de behoeften aan onderzoek en kennis, van de industrie en het Europese beleid (Europese Commissie, 2007).</w:t>
      </w:r>
    </w:p>
    <w:p w:rsidR="009623CA" w:rsidRPr="00316DA4" w:rsidRDefault="009623CA" w:rsidP="0057027E">
      <w:pPr>
        <w:pStyle w:val="Heading2"/>
        <w:spacing w:line="360" w:lineRule="auto"/>
      </w:pPr>
      <w:bookmarkStart w:id="38" w:name="_Toc261538659"/>
      <w:r w:rsidRPr="00316DA4">
        <w:t>4.2: Gevolgen</w:t>
      </w:r>
      <w:bookmarkEnd w:id="38"/>
    </w:p>
    <w:p w:rsidR="009623CA" w:rsidRPr="00316DA4" w:rsidRDefault="009623CA" w:rsidP="0057027E">
      <w:pPr>
        <w:spacing w:line="360" w:lineRule="auto"/>
        <w:jc w:val="both"/>
      </w:pPr>
      <w:r w:rsidRPr="00316DA4">
        <w:t xml:space="preserve">Het zevende kaderprogramma (KP7) is een enorm groot programma. Zo spreidt het zich uit over vier specifieke programma’s – samenwerking, ideeën, mensen, capaciteiten. Zoals eerder aangegeven is voor dit onderzoek gekozen voor een </w:t>
      </w:r>
      <w:r w:rsidRPr="00316DA4">
        <w:rPr>
          <w:i/>
        </w:rPr>
        <w:t>most likely case</w:t>
      </w:r>
      <w:r w:rsidRPr="00316DA4">
        <w:t>. Daarom zal voornamelijk ingegaan worden op de ethische discussie die gevoerd is rondom de behandeling van het zevende kaderprogramma en de veranderingen die het programma op dit gebied met zich meebrengt.</w:t>
      </w:r>
    </w:p>
    <w:p w:rsidR="009623CA" w:rsidRPr="00316DA4" w:rsidRDefault="009623CA" w:rsidP="0057027E">
      <w:pPr>
        <w:spacing w:line="360" w:lineRule="auto"/>
        <w:jc w:val="both"/>
      </w:pPr>
      <w:r w:rsidRPr="00316DA4">
        <w:t>De ethische discussie concentreert zich rondom de vraag of onderzoek moet worden gesteund waarin gebruik gemaakt wordt van menselijke embryonale cellen. In de aanloop naar de vaststelling van KP7 waren er diverse lidstaten die de mening was toegedaan dat dit niet het geval zou moeten zijn. De discussie ligt in het verlengde van de discussie die voorafgaand aan de voorganger van KP7, KP6, ook al gevoerd werd, zo stelt het eerste Beoordeling Nieuwe Commissievoorstellen (BNC)-fiche van de Nederlandse regering (MinBuza, 2005).</w:t>
      </w:r>
    </w:p>
    <w:p w:rsidR="009623CA" w:rsidRPr="00316DA4" w:rsidRDefault="009623CA" w:rsidP="0057027E">
      <w:pPr>
        <w:autoSpaceDE w:val="0"/>
        <w:autoSpaceDN w:val="0"/>
        <w:adjustRightInd w:val="0"/>
        <w:spacing w:after="0" w:line="360" w:lineRule="auto"/>
        <w:jc w:val="both"/>
        <w:rPr>
          <w:rFonts w:cs="TTA2036468t00"/>
          <w:i/>
        </w:rPr>
      </w:pPr>
      <w:r w:rsidRPr="00316DA4">
        <w:t xml:space="preserve">In artikel 6 van KP7 worden de ethische beginselen behandeld. Waar in KP6 de ethische beginselen nog vrij algemeen worden gehouden, gaat men in KP7 dieper in op wat er precies wordt verstaan onder de ethische beginselen. Artikel 3 van KP6 stelt slechts dat </w:t>
      </w:r>
      <w:r w:rsidRPr="00316DA4">
        <w:rPr>
          <w:i/>
        </w:rPr>
        <w:t>‘</w:t>
      </w:r>
      <w:r w:rsidRPr="00316DA4">
        <w:rPr>
          <w:rFonts w:cs="Adve06613w"/>
          <w:i/>
        </w:rPr>
        <w:t>Alle onderzoeksactiviteiten uit hoofde van het zesde kaderprogramma moeten worden uitgevoerd met inachtneming van de fundamentele ethische beginselen’</w:t>
      </w:r>
      <w:r w:rsidRPr="00316DA4">
        <w:rPr>
          <w:rFonts w:cs="Adve06613w"/>
        </w:rPr>
        <w:t>. In artikel 6 van KP7 wordt specifiek aangegeven welke soorten onderzoek niet gefinancierd mogen worden. Dit zijn activiteiten die gericht zijn ‘</w:t>
      </w:r>
      <w:r w:rsidRPr="00316DA4">
        <w:rPr>
          <w:rFonts w:cs="Adve06613w"/>
          <w:i/>
        </w:rPr>
        <w:t xml:space="preserve">op </w:t>
      </w:r>
      <w:r w:rsidRPr="00316DA4">
        <w:rPr>
          <w:rFonts w:cs="TTA2036468t00"/>
          <w:i/>
        </w:rPr>
        <w:t xml:space="preserve">het klonen van mensen voor voortplantingsdoeleinden, op het veranderen van het genetisch erfgoed van mensen, dat ertoe kan leiden dat die veranderingen erfelijk worden, </w:t>
      </w:r>
      <w:r w:rsidRPr="00316DA4">
        <w:rPr>
          <w:rFonts w:cs="TTA2036468t00"/>
        </w:rPr>
        <w:t>en</w:t>
      </w:r>
      <w:r w:rsidRPr="00316DA4">
        <w:rPr>
          <w:rFonts w:cs="TTA2036468t00"/>
          <w:i/>
        </w:rPr>
        <w:t xml:space="preserve"> op het produceren van menselijke embryo's uitsluitend ten behoeve van onderzoek of het verkrijgen van stamcellen’</w:t>
      </w:r>
      <w:r w:rsidRPr="00316DA4">
        <w:rPr>
          <w:rFonts w:cs="TTA2036468t00"/>
        </w:rPr>
        <w:t>(KP7, 2006:17).</w:t>
      </w:r>
    </w:p>
    <w:p w:rsidR="009623CA" w:rsidRPr="00316DA4" w:rsidRDefault="009623CA" w:rsidP="0057027E">
      <w:pPr>
        <w:autoSpaceDE w:val="0"/>
        <w:autoSpaceDN w:val="0"/>
        <w:adjustRightInd w:val="0"/>
        <w:spacing w:after="0" w:line="360" w:lineRule="auto"/>
        <w:jc w:val="both"/>
        <w:rPr>
          <w:rFonts w:cs="TTA2036468t00"/>
          <w:i/>
        </w:rPr>
      </w:pPr>
    </w:p>
    <w:p w:rsidR="009623CA" w:rsidRPr="00316DA4" w:rsidRDefault="009623CA" w:rsidP="0057027E">
      <w:pPr>
        <w:autoSpaceDE w:val="0"/>
        <w:autoSpaceDN w:val="0"/>
        <w:adjustRightInd w:val="0"/>
        <w:spacing w:after="0" w:line="360" w:lineRule="auto"/>
        <w:jc w:val="both"/>
        <w:rPr>
          <w:rFonts w:cs="TTA2036468t00"/>
          <w:i/>
        </w:rPr>
      </w:pPr>
      <w:r w:rsidRPr="00316DA4">
        <w:rPr>
          <w:rFonts w:cs="TTA2036468t00"/>
        </w:rPr>
        <w:t>Naast dat specifiek aangegeven wordt wat niet mag, wordt echter ook aangegeven wanneer een onderzoek wel mag worden ondersteund. De werkwijze die hiervoor omschreven wordt is een continuering van de praktijk van het KP6 (Ministerie van Buitenlandse Zaken, 2006). Onderzoeken die onder voorwaarden wel gefinancierd mogen worden uit KP7 zijn onderzoeken waarbij gebruikt gemaakt wordt van menselijke volwassen of embryonale stamcellen. Hierbij wordt per aanvraag bekeken of het onderzoek aan de ethische voorwaarden voldoet. KP7 stelt dat</w:t>
      </w:r>
      <w:r w:rsidRPr="00316DA4">
        <w:rPr>
          <w:rFonts w:cs="TTA2036468t00"/>
          <w:i/>
        </w:rPr>
        <w:t xml:space="preserve"> ‘de instellingen, organisaties en onderzoekers die onderzoek wensen te doen op het gebied van embryonale stamcellen zijn onderworpen aan strenge regels van toestemming en toezicht in overeenstemming met het regelgevingskader van de betrokken lidstaat of lidstaten’ (KP7, 2006:18). </w:t>
      </w:r>
    </w:p>
    <w:p w:rsidR="009623CA" w:rsidRPr="00316DA4" w:rsidRDefault="009623CA" w:rsidP="0057027E">
      <w:pPr>
        <w:autoSpaceDE w:val="0"/>
        <w:autoSpaceDN w:val="0"/>
        <w:adjustRightInd w:val="0"/>
        <w:spacing w:after="0" w:line="360" w:lineRule="auto"/>
        <w:jc w:val="both"/>
        <w:rPr>
          <w:rFonts w:cs="TTA2036468t00"/>
          <w:i/>
        </w:rPr>
      </w:pPr>
    </w:p>
    <w:p w:rsidR="009623CA" w:rsidRPr="00316DA4" w:rsidRDefault="009623CA" w:rsidP="0057027E">
      <w:pPr>
        <w:autoSpaceDE w:val="0"/>
        <w:autoSpaceDN w:val="0"/>
        <w:adjustRightInd w:val="0"/>
        <w:spacing w:after="0" w:line="360" w:lineRule="auto"/>
        <w:jc w:val="both"/>
        <w:rPr>
          <w:rFonts w:cs="TTA2036468t00"/>
        </w:rPr>
      </w:pPr>
      <w:r w:rsidRPr="00316DA4">
        <w:rPr>
          <w:rFonts w:cs="TTA2036468t00"/>
        </w:rPr>
        <w:t>Bij de goedkeuring van het programma door de Raad is het met name het onderdeel over het gebruik van menselijke stamcellen dat tot ethische bezwaren van diverse lidstaten leidt. Het gevolg hiervan is dat uiteindelijk vijf lidstaten tegen hebben gestemd en andere lidstaten een verklaring hebben afgelegd over het onderwerp. Oostenrijk, Litouwen, Malta, Polen en Slowakije zagen zich genoodzaakt tegen te stemmen. Duitsland, Portugal en Italië stemden voor, maar legden allen een verklaring af waarin zij opmerkingen plaatsten bij het eerder genoemde artikel 6.</w:t>
      </w:r>
    </w:p>
    <w:p w:rsidR="009623CA" w:rsidRPr="00316DA4" w:rsidRDefault="009623CA" w:rsidP="00D24138">
      <w:pPr>
        <w:spacing w:line="360" w:lineRule="auto"/>
        <w:jc w:val="both"/>
      </w:pPr>
    </w:p>
    <w:p w:rsidR="009623CA" w:rsidRPr="00316DA4" w:rsidRDefault="009623CA" w:rsidP="00596E29"/>
    <w:p w:rsidR="009623CA" w:rsidRPr="00316DA4" w:rsidRDefault="009623CA" w:rsidP="00A23BA5"/>
    <w:p w:rsidR="009623CA" w:rsidRPr="00316DA4" w:rsidRDefault="009623CA" w:rsidP="00A23BA5"/>
    <w:p w:rsidR="009623CA" w:rsidRPr="00316DA4" w:rsidRDefault="009623CA" w:rsidP="00A23BA5"/>
    <w:p w:rsidR="009623CA" w:rsidRPr="00316DA4" w:rsidRDefault="009623CA" w:rsidP="00A23BA5"/>
    <w:p w:rsidR="009623CA" w:rsidRPr="00316DA4" w:rsidRDefault="009623CA" w:rsidP="00A23BA5"/>
    <w:p w:rsidR="009623CA" w:rsidRPr="00316DA4" w:rsidRDefault="009623CA" w:rsidP="00A23BA5"/>
    <w:p w:rsidR="009623CA" w:rsidRPr="00316DA4" w:rsidRDefault="009623CA" w:rsidP="00642C0F">
      <w:pPr>
        <w:pStyle w:val="Heading1"/>
      </w:pPr>
      <w:bookmarkStart w:id="39" w:name="_Toc261538660"/>
      <w:r w:rsidRPr="00316DA4">
        <w:t>5: Malta</w:t>
      </w:r>
      <w:bookmarkEnd w:id="39"/>
    </w:p>
    <w:p w:rsidR="009623CA" w:rsidRPr="00316DA4" w:rsidRDefault="009623CA" w:rsidP="00642C0F">
      <w:pPr>
        <w:pStyle w:val="Heading2"/>
      </w:pPr>
      <w:bookmarkStart w:id="40" w:name="_Toc261538661"/>
      <w:r w:rsidRPr="00316DA4">
        <w:t>5.1: Introductie</w:t>
      </w:r>
      <w:bookmarkEnd w:id="40"/>
    </w:p>
    <w:p w:rsidR="009623CA" w:rsidRPr="00316DA4" w:rsidRDefault="009623CA" w:rsidP="00642C0F">
      <w:pPr>
        <w:spacing w:line="360" w:lineRule="auto"/>
        <w:jc w:val="both"/>
      </w:pPr>
      <w:r w:rsidRPr="00316DA4">
        <w:t>De eerste lidstaat die behandeld zal worden in dit onderzoek is Malta. Dit land trad in 2004 toe tot de EU. Malta geldt als één van de meest katholieke landen ter wereld, 98% van de bevolking is katholiek (CIA World Factbook 2009) en de kerk heeft, van oudsher, het grondwettelijk recht en de plicht</w:t>
      </w:r>
      <w:r w:rsidRPr="00316DA4">
        <w:rPr>
          <w:rFonts w:ascii="Verdana" w:hAnsi="Verdana"/>
          <w:sz w:val="20"/>
          <w:szCs w:val="20"/>
        </w:rPr>
        <w:t xml:space="preserve"> “</w:t>
      </w:r>
      <w:r w:rsidRPr="00316DA4">
        <w:rPr>
          <w:rFonts w:ascii="Verdana" w:hAnsi="Verdana"/>
          <w:i/>
          <w:sz w:val="20"/>
          <w:szCs w:val="20"/>
        </w:rPr>
        <w:t>(</w:t>
      </w:r>
      <w:r w:rsidRPr="00316DA4">
        <w:rPr>
          <w:i/>
        </w:rPr>
        <w:t xml:space="preserve">…) to teach which principles are right and which are wrong (…)” </w:t>
      </w:r>
      <w:r w:rsidRPr="00316DA4">
        <w:t xml:space="preserve">(Grondwet Malta, 1964:7). De sterke positie van de kerk maakt Malta tot een interessant land om na te gaan hoe de nationale preferentie tot stand komt en wat de invloed van de kerk daarop is. Gezien de sterke maatschappelijke en politieke positie van de kerk in Malta, waarvan de kracht niet onderschat moet worden (Baldacchino, 2002:196), valt te verwachten dat er ook een zekere mate van invloed uitgeoefend wordt op de nationale preferentievorming. De sterke positie van de Katholieke Kerk blijkt ook uit een onderzoek van Eurobarometer. . Dit onderzoeksinstituut van de Europese Commissie heeft in 2004 onderzoek gedaan naar het vertrouwen van de bevolking van de verschillende lidstaten in ‘religieuze instituties’. Malta scoort in dit onderzoek bijzonder hoog. Van alle lidstaten scoort Malta het hoogst. 74% van de bevolking geeft aan vertrouwen te hebben in religieuze instituties (Eurobarometer, 2004:X16). Dit betekent dat in Malta de bevolking niet alleen van oudsher Katholiek is, maar ook daadwerkelijk betrokken is bij de religie en waarschijnlijk ook navolging zal geven aan oproepen van de Kerk om zich op een bepaalde manier te gedragen. </w:t>
      </w:r>
    </w:p>
    <w:p w:rsidR="009623CA" w:rsidRPr="00316DA4" w:rsidRDefault="009623CA" w:rsidP="00642C0F">
      <w:pPr>
        <w:pStyle w:val="Heading2"/>
      </w:pPr>
      <w:bookmarkStart w:id="41" w:name="_Toc261538662"/>
      <w:r w:rsidRPr="00316DA4">
        <w:t>5.2: LI-benadering</w:t>
      </w:r>
      <w:bookmarkEnd w:id="41"/>
    </w:p>
    <w:p w:rsidR="009623CA" w:rsidRPr="00316DA4" w:rsidRDefault="009623CA" w:rsidP="00642C0F">
      <w:pPr>
        <w:pStyle w:val="Heading3"/>
      </w:pPr>
      <w:bookmarkStart w:id="42" w:name="_Toc261538663"/>
      <w:r w:rsidRPr="00316DA4">
        <w:t>5.2.1: Hypothese</w:t>
      </w:r>
      <w:bookmarkEnd w:id="42"/>
    </w:p>
    <w:p w:rsidR="009623CA" w:rsidRPr="00316DA4" w:rsidRDefault="009623CA" w:rsidP="00642C0F">
      <w:pPr>
        <w:spacing w:line="360" w:lineRule="auto"/>
        <w:jc w:val="both"/>
      </w:pPr>
      <w:r w:rsidRPr="00316DA4">
        <w:t>Wanneer, zoals het LI zegt, de groepen in de samenleving de uiteindelijke nationale preferentie bepalen, is het in Malta waarschijnlijk dat de Katholieke Kerk grote invloed gehad heeft op de nationale preferentie ten opzichte van KP7. Van alle groepen in de Maltese samenleving is de Kerk verreweg de grootste en daarmee de meest invloedrijke actor. Daarbij komt ook nog eens dat het een beleidsveld betreft dat op gespannen voet leeft met de normen en waarden zoals de Kerk deze voorschrijft. Gezien de ideeën van de Katholieke Kerk over het gebruik van menselijke stamcellen en embryo’s voor onderzoeksdoeleinden, valt te verwachten dat Malta daaruit voortkomend tegen KP7 heeft gestemd.</w:t>
      </w:r>
    </w:p>
    <w:p w:rsidR="009623CA" w:rsidRPr="00316DA4" w:rsidRDefault="009623CA" w:rsidP="00642C0F">
      <w:pPr>
        <w:pStyle w:val="Heading3"/>
      </w:pPr>
      <w:bookmarkStart w:id="43" w:name="_Toc261538664"/>
      <w:r w:rsidRPr="00316DA4">
        <w:t>5.2.2: Patroon</w:t>
      </w:r>
      <w:bookmarkEnd w:id="43"/>
    </w:p>
    <w:p w:rsidR="009623CA" w:rsidRPr="00316DA4" w:rsidRDefault="009623CA" w:rsidP="00642C0F">
      <w:pPr>
        <w:rPr>
          <w:i/>
        </w:rPr>
      </w:pPr>
      <w:r w:rsidRPr="00316DA4">
        <w:rPr>
          <w:i/>
        </w:rPr>
        <w:t>Groepen in de samenleving</w:t>
      </w:r>
    </w:p>
    <w:p w:rsidR="009623CA" w:rsidRPr="00316DA4" w:rsidRDefault="009623CA" w:rsidP="00642C0F">
      <w:pPr>
        <w:spacing w:line="360" w:lineRule="auto"/>
        <w:jc w:val="both"/>
      </w:pPr>
      <w:r w:rsidRPr="00316DA4">
        <w:t>Er zijn geen bronnen die aangeven dat er veel ‘groepen in de samenleving’ zijn die zich met KP7 bezig hebben gehouden. Ondanks dat er wel degelijk veel aandacht was voor het onderwerp in de media, en dan met name voor de ethische kwestie met betrekking tot het gebruik van embryonale stamcellen voor onderzoek, zijn er weinig geluiden uit de samenleving te horen. Het blijft beperkt tot reacties uit de politiek en reacties van deskundigen. Deskundigen die aan het woord komen in een artikel in de Malta Independent (Malta Independent, 6 augustus 2006) zijn professor Pierre Mallia, biomedisch ethicus, en professor Emmanuel Agius, moreel theoloog. Mallia zegt het volledig eens te zijn met de positie van Malta zoals deze gekozen is door de overheid. Hij stelt echter wel embryonaal stamcelonderzoek opzich niet fout is, maar wel het doden van de embryo’s bij het verkrijgen van deze stamcellen. Agius zegt dat hij zich kan vinden in het gebruik van stamcellen afkomstig uit de navelstreng en volwassen stamcellen. Hij is tegen het gebruik van embryonale stamcellen. Het is de vernietiging van het menselijke leven en een leven mag niet gebruikt worden, zelfs niet in een vroeg stadium, om een ander leven te verbeteren.</w:t>
      </w:r>
    </w:p>
    <w:p w:rsidR="009623CA" w:rsidRPr="00316DA4" w:rsidRDefault="009623CA" w:rsidP="00642C0F">
      <w:pPr>
        <w:spacing w:line="360" w:lineRule="auto"/>
        <w:jc w:val="both"/>
        <w:rPr>
          <w:i/>
        </w:rPr>
      </w:pPr>
      <w:r w:rsidRPr="00316DA4">
        <w:rPr>
          <w:i/>
        </w:rPr>
        <w:t>De Katholieke Kerk</w:t>
      </w:r>
    </w:p>
    <w:p w:rsidR="009623CA" w:rsidRPr="00316DA4" w:rsidRDefault="009623CA" w:rsidP="00642C0F">
      <w:pPr>
        <w:spacing w:line="360" w:lineRule="auto"/>
        <w:jc w:val="both"/>
      </w:pPr>
      <w:r w:rsidRPr="00316DA4">
        <w:t>De Maltese Katholieke Kerk is fel tegenstander van embryonaal stamcelonderzoek. Zij laat dit blijken in de Malta Independent nadat het Europees Parlement heeft ingestemd met KP7. Hierin uit de kerk haar onvrede over de beslissing, welke volgens de kerk de instrumentalisatie en vernietiging van menselijke embryo’s promoot. Soortgelijk onderzoek is niet acceptabel om ethische en morele redenen die botsen met de bescherming van leven en menselijke waardigheid, aldus de Maltese kerk. Daarom stelt deze ook dat het financieren ervan niet alleen verboden, maar totaal uitgesloten moet worden (Malta Indepent, 2006).</w:t>
      </w:r>
    </w:p>
    <w:p w:rsidR="009623CA" w:rsidRPr="00316DA4" w:rsidRDefault="009623CA" w:rsidP="00642C0F">
      <w:pPr>
        <w:pStyle w:val="Heading2"/>
      </w:pPr>
      <w:bookmarkStart w:id="44" w:name="_Toc261538665"/>
      <w:r w:rsidRPr="00316DA4">
        <w:t>5.3: Partijideologische benadering</w:t>
      </w:r>
      <w:bookmarkEnd w:id="44"/>
    </w:p>
    <w:p w:rsidR="009623CA" w:rsidRPr="00316DA4" w:rsidRDefault="009623CA" w:rsidP="00642C0F">
      <w:pPr>
        <w:pStyle w:val="Heading3"/>
      </w:pPr>
      <w:bookmarkStart w:id="45" w:name="_Toc261538666"/>
      <w:r w:rsidRPr="00316DA4">
        <w:t>5.3.1: Hypothese</w:t>
      </w:r>
      <w:bookmarkEnd w:id="45"/>
    </w:p>
    <w:p w:rsidR="009623CA" w:rsidRPr="00316DA4" w:rsidRDefault="009623CA" w:rsidP="00642C0F">
      <w:pPr>
        <w:spacing w:after="0" w:line="360" w:lineRule="auto"/>
        <w:jc w:val="both"/>
      </w:pPr>
      <w:r w:rsidRPr="00316DA4">
        <w:t>Volgens deze benadering is de doorslaggevende factor in het proces van nationale preferentievorming de politieke kleur van de op dat moment regerende politieke partij. Voor Malta betekent dit dat de nationale preferentie ten opzichte van KP7 in lijn zal liggen met de ideologie van de Partit Nazzjonalista. Dit is de partij die op het moment van de behandeling van KP7 de regering van Malta vormde. Deze partij is altijd erg pro Europa geweest en kenmerkt zich als een partij die  rechts van het politieke centrum opereert. Volgens Aspinwall, de grondlegger van deze benadering, zijn centrumpartijen altijd geneigd vóór integratie te kiezen. Echter, PN is een centrumrechtse conservatieve partij (Cini, 2003:1) met een sterke Katholieke traditie. De christelijke waardigheid van de mens en de band tussen mens en God is de basis voor al het beleid van de PN, aldus de grondbeginselen van de partij. Het ethische dilemma met betrekking tot het gebruik van embryo’s voor stamcelonderzoek zal waarschijnlijk zwaarder wegen dan verdere integratie op wetenschappelijk gebied. Dit zal er toe leiden dat Malta tegen KP7 stemt.</w:t>
      </w:r>
    </w:p>
    <w:p w:rsidR="009623CA" w:rsidRPr="00316DA4" w:rsidRDefault="009623CA" w:rsidP="00642C0F"/>
    <w:p w:rsidR="009623CA" w:rsidRPr="00316DA4" w:rsidRDefault="009623CA" w:rsidP="00642C0F">
      <w:pPr>
        <w:pStyle w:val="Heading3"/>
      </w:pPr>
      <w:bookmarkStart w:id="46" w:name="_Toc261538667"/>
      <w:r w:rsidRPr="00316DA4">
        <w:t>5.3.2: Patroon</w:t>
      </w:r>
      <w:bookmarkEnd w:id="46"/>
    </w:p>
    <w:p w:rsidR="009623CA" w:rsidRPr="00316DA4" w:rsidRDefault="009623CA" w:rsidP="00642C0F">
      <w:pPr>
        <w:spacing w:line="360" w:lineRule="auto"/>
        <w:jc w:val="both"/>
      </w:pPr>
      <w:r w:rsidRPr="00316DA4">
        <w:t>Het officiële standpunt van de NP wordt het best verwoord door een statement van het Office of the Prime Minister (OPM), dat wordt gedaan in een artikel van de krant The Malta Independent (23 juni 2006).  Daarin stelt een vertegenwoordig van het ministerie dat Malta geen ethische problemen heeft met het gebruik van stamcellen  afkomstig van volwassenen of uit een navelstreng. Ook heeft Malta geen bezwaar tegen het gebruik van stamcellen die afkomstig zijn van op een natuurlijke manier geaborteerde embryo’s of foetussen – zoals in het geval van miskramen. Daarentegen is Malta wel fel tegen elke vorm van extractie van embryonale stamcellen uit levende of ingevroren embryo’s. Malta gelooft dat alle soorten onderzoek moeten voldoen aan de noodzakelijke ethische goedkeuring.</w:t>
      </w:r>
    </w:p>
    <w:p w:rsidR="009623CA" w:rsidRPr="00316DA4" w:rsidRDefault="009623CA" w:rsidP="00642C0F">
      <w:pPr>
        <w:spacing w:line="360" w:lineRule="auto"/>
        <w:jc w:val="both"/>
      </w:pPr>
      <w:r w:rsidRPr="00316DA4">
        <w:t>Gezien het feit dat het OPM geleid wordt door de Prime Minister van Malta en hij degene is die ook leider is van de partij, kan aangenomen worden dat het standpunt dat door het OPM gecommuniceerd wordt ook het standpunt van de partij is. Dit wordt bevestigd door de voorzitter van het Social Affairs Committee van het Maltese parlement, Edwin Vassallo. In een vraaggesprek met dit parlementslid voor regeringspartij geeft hij aan dat het Maltese standpunt uitgaat van het standpunt van de Katholieke Kerk op dit punt.</w:t>
      </w:r>
    </w:p>
    <w:p w:rsidR="009623CA" w:rsidRPr="00316DA4" w:rsidRDefault="009623CA" w:rsidP="00642C0F">
      <w:pPr>
        <w:pStyle w:val="Heading2"/>
      </w:pPr>
      <w:bookmarkStart w:id="47" w:name="_Toc261538668"/>
      <w:r w:rsidRPr="00316DA4">
        <w:t>5.4: Nationale preferentie</w:t>
      </w:r>
      <w:bookmarkEnd w:id="47"/>
    </w:p>
    <w:p w:rsidR="009623CA" w:rsidRPr="00316DA4" w:rsidRDefault="009623CA" w:rsidP="00642C0F">
      <w:pPr>
        <w:spacing w:line="360" w:lineRule="auto"/>
        <w:jc w:val="both"/>
      </w:pPr>
      <w:r w:rsidRPr="00316DA4">
        <w:t xml:space="preserve">De uiteindelijk nationale preferentie van lidstaten valt af te leiden uit het stemgedrag in de Raad bij de behandeling van KP7 en de eventuele verklaringen die lidstaten daarbij hebben afgelegd. </w:t>
      </w:r>
    </w:p>
    <w:p w:rsidR="009623CA" w:rsidRPr="00316DA4" w:rsidRDefault="009623CA" w:rsidP="00642C0F">
      <w:pPr>
        <w:spacing w:line="360" w:lineRule="auto"/>
        <w:jc w:val="both"/>
      </w:pPr>
      <w:r w:rsidRPr="00316DA4">
        <w:t>Malta heeft tijdens de stemming over KP7 op 18 december 2006 tegen het voorstel voor KP7 gestemd. In de verklaring die het daarbij aflegde stelt Malta het voorstel in beginsel wel te steunen, maar dat de steun aan activiteiten die gebruik maken van menselijke embryonale stamcellen of menselijke embryo’s buiten het programma hadden moeten vallen, aangezien deze met publieke middelen door de EU gefinancierd worden. De menselijke waardigheid en het recht op leven liggen aan deze mening ten grondslag:</w:t>
      </w:r>
    </w:p>
    <w:p w:rsidR="009623CA" w:rsidRPr="00316DA4" w:rsidRDefault="009623CA" w:rsidP="00642C0F">
      <w:pPr>
        <w:autoSpaceDE w:val="0"/>
        <w:autoSpaceDN w:val="0"/>
        <w:adjustRightInd w:val="0"/>
        <w:spacing w:after="0" w:line="360" w:lineRule="auto"/>
        <w:jc w:val="both"/>
        <w:rPr>
          <w:rFonts w:cs="TTA2036468t00"/>
          <w:i/>
        </w:rPr>
      </w:pPr>
      <w:r w:rsidRPr="00316DA4">
        <w:rPr>
          <w:rFonts w:cs="TTA2036468t00"/>
          <w:i/>
        </w:rPr>
        <w:t xml:space="preserve">“Malta is evenwel van mening dat de menselijke waardigheid en het recht op leven, vanaf het moment dat het wordt verwekt, de grootst mogelijke bescherming moet worden geboden. In dit verband benadrukt Malta dat activiteiten die het gebruik van menselijke embryonale stamcellen of menselijke embryo's inhouden, buiten de reikwijdte van dit met publieke middelen gefinancierde EU-programma hadden moeten blijven” </w:t>
      </w:r>
      <w:r w:rsidRPr="00316DA4">
        <w:rPr>
          <w:rFonts w:cs="TTA2036468t00"/>
        </w:rPr>
        <w:t>(Raad van de Europese Unie, 2007:9).</w:t>
      </w:r>
    </w:p>
    <w:p w:rsidR="009623CA" w:rsidRPr="00316DA4" w:rsidRDefault="009623CA" w:rsidP="00642C0F">
      <w:pPr>
        <w:autoSpaceDE w:val="0"/>
        <w:autoSpaceDN w:val="0"/>
        <w:adjustRightInd w:val="0"/>
        <w:spacing w:after="0" w:line="360" w:lineRule="auto"/>
        <w:jc w:val="both"/>
        <w:rPr>
          <w:rFonts w:cs="TTA2036468t00"/>
          <w:i/>
        </w:rPr>
      </w:pPr>
    </w:p>
    <w:p w:rsidR="009623CA" w:rsidRPr="00316DA4" w:rsidRDefault="009623CA" w:rsidP="00642C0F">
      <w:pPr>
        <w:spacing w:line="360" w:lineRule="auto"/>
        <w:jc w:val="both"/>
      </w:pPr>
      <w:r w:rsidRPr="00316DA4">
        <w:t xml:space="preserve">Malta vindt dat KP7 de ethische problemen die bij KP6 ook al speelde, niet adequaat aanpakt. Gecombineerd met de gedachte dat de menselijke waardigheid en het recht op leven beschermd moet worden, leidt dit tot het tegenstemmen van Malta tegen het gemeenschappelijk standpunt van de Raad over KP7 </w:t>
      </w:r>
      <w:r w:rsidRPr="00316DA4">
        <w:rPr>
          <w:rFonts w:cs="TTA2036468t00"/>
        </w:rPr>
        <w:t>(Raad van de Europese Unie, 2007:10).</w:t>
      </w:r>
    </w:p>
    <w:p w:rsidR="009623CA" w:rsidRPr="00316DA4" w:rsidRDefault="009623CA" w:rsidP="00642C0F">
      <w:pPr>
        <w:pStyle w:val="Heading2"/>
      </w:pPr>
      <w:bookmarkStart w:id="48" w:name="_Toc261538669"/>
      <w:r w:rsidRPr="00316DA4">
        <w:t>5.5: Analyse</w:t>
      </w:r>
      <w:bookmarkEnd w:id="48"/>
      <w:r w:rsidRPr="00316DA4">
        <w:t xml:space="preserve"> </w:t>
      </w:r>
    </w:p>
    <w:p w:rsidR="009623CA" w:rsidRPr="00316DA4" w:rsidRDefault="009623CA" w:rsidP="00642C0F">
      <w:pPr>
        <w:spacing w:line="360" w:lineRule="auto"/>
        <w:jc w:val="both"/>
      </w:pPr>
      <w:r w:rsidRPr="00316DA4">
        <w:t>Om te bepalen welke hypothese het meest waarschijnlijk lijkt, zal bepaald moeten worden welk patroon het meest overeenkomt met de uiteindelijke nationale preferentie. Met andere woorden: is het vooral de mening van de samenleving of de mening van de regering die doorklinkt in de nationale preferentie?</w:t>
      </w:r>
    </w:p>
    <w:p w:rsidR="009623CA" w:rsidRPr="00316DA4" w:rsidRDefault="009623CA" w:rsidP="00642C0F">
      <w:pPr>
        <w:spacing w:line="360" w:lineRule="auto"/>
        <w:jc w:val="both"/>
      </w:pPr>
      <w:r w:rsidRPr="00316DA4">
        <w:t>In de nationale preferentie van Malta zijn veel overeenkomsten te vinden met het oordeel dat de Katholieke Kerk geeft over het gebruik van embryo’s voor stamcelonderzoek. De menselijke waardigheid vormt de kern van dit oordeel. Het menselijke leven begint al op het moment van de verwekking en moet dan ook vanaf dat moment al beschermt worden, aldus de Katholieke Kerk. Wat dit deel betreft komt de nationale preferentie erg overeen met het patroon van de LI-benadering. De Katholieke Kerk is immers een ‘groep in de samenleving’ die zeer aanwezig is in de Maltese samenleving. Het is echter ook zo dat de Katholieke waarden ook een centrale rol spelen in de beginselen van de regeringspartij PN. De menselijke waardigheid vormt de basis voor al het beleid dat de PN opstelt. Hierdoor wordt het moeilijk om vast te stellen of de nationale preferentie een resultaat is van directie invloed door de Katholieke Kerk of dat dit ingegeven is door de regeringspartij zelf. Het is in ieder geval zeker dat religie een belangrijke rol gespeeld heeft bij het bepalen van de nationale preferentie. Dat de politiek op Malta ook nu nog vast blijft houden aan de conservatieve religieuze waarden van de Katholieke Kerk hoeft niet per se ingegeven te zijn door directe invloed van de Katholieke Kerk, maar kan ook het resultaat zijn van het feit dat de Maltese bevolking nog steeds een groot vertrouwen heeft in de religieuze instituties. Wanneer de regering zou kiezen voor een erg afwijkende nationale preferentie op dit gebied, zou dit kunnen resulteren in stemverlies bij volgende verkiezingen. PN Parlementslid en voorzitter van het Social Affairs Committee Edwin Vassallo geeft aan dat het helemaal niet nodig is voor de Katholieke Kerk om zich te actief bezig te houden met de nationale preferentie. Maltezers zijn volgens immers Katholiek en als Katholiek persoon is er dan geen andere keuze om te kiezen voor de menselijke waardigheid (…).</w:t>
      </w:r>
    </w:p>
    <w:p w:rsidR="009623CA" w:rsidRPr="00316DA4" w:rsidRDefault="009623CA" w:rsidP="00642C0F">
      <w:pPr>
        <w:pStyle w:val="Heading2"/>
        <w:rPr>
          <w:szCs w:val="28"/>
        </w:rPr>
      </w:pPr>
      <w:bookmarkStart w:id="49" w:name="_Toc261538670"/>
      <w:r w:rsidRPr="00316DA4">
        <w:t>5.6: Conclusie</w:t>
      </w:r>
      <w:bookmarkEnd w:id="49"/>
    </w:p>
    <w:p w:rsidR="009623CA" w:rsidRPr="00316DA4" w:rsidRDefault="009623CA" w:rsidP="00642C0F">
      <w:pPr>
        <w:spacing w:line="360" w:lineRule="auto"/>
        <w:jc w:val="both"/>
      </w:pPr>
      <w:r w:rsidRPr="00316DA4">
        <w:t xml:space="preserve">Gezien de nauwe vervlechting van de mening van de Katholieke Kerk over stamcelonderzoek en die van de regeringspartij NP, is het moeilijk te bepalen welke hypothese het meest waarschijnlijk lijkt. De nationale preferentie komt overeen met zowel het oordeel van de NP als die van de Katholieke Kerk. Toch lijkt het waarschijnlijker dat de nationale preferentie door de NP zelf is ingegeven en niet direct beïnvloed is door de Katholieke Kerk. Op nationaal niveau is er namelijk weinig terug te vinden van druk die uitgeoefend wordt op de regering door de Katholieke Kerk. Het lijkt er het meest op dat de aanwezigheid van de Katholieke Kerk in de Maltese samenleving en het vertrouwen dat de bevolking heeft in de religieuze instituties genoeg is geweest voor de NP om niet af te wijken van de centrumrechtse conservatieve lijn die de partij normaal nastreeft. </w:t>
      </w:r>
    </w:p>
    <w:p w:rsidR="009623CA" w:rsidRPr="00316DA4" w:rsidRDefault="009623CA" w:rsidP="004F44B3">
      <w:pPr>
        <w:spacing w:line="360" w:lineRule="auto"/>
      </w:pPr>
    </w:p>
    <w:p w:rsidR="009623CA" w:rsidRPr="00316DA4" w:rsidRDefault="009623CA" w:rsidP="004F44B3">
      <w:pPr>
        <w:spacing w:line="360" w:lineRule="auto"/>
      </w:pPr>
    </w:p>
    <w:p w:rsidR="009623CA" w:rsidRPr="00316DA4" w:rsidRDefault="009623CA" w:rsidP="004F44B3">
      <w:pPr>
        <w:spacing w:line="360" w:lineRule="auto"/>
      </w:pPr>
    </w:p>
    <w:p w:rsidR="009623CA" w:rsidRPr="00316DA4" w:rsidRDefault="009623CA" w:rsidP="004F44B3">
      <w:pPr>
        <w:spacing w:line="360" w:lineRule="auto"/>
      </w:pPr>
    </w:p>
    <w:p w:rsidR="009623CA" w:rsidRPr="00316DA4" w:rsidRDefault="009623CA" w:rsidP="004F44B3">
      <w:pPr>
        <w:spacing w:line="360" w:lineRule="auto"/>
      </w:pPr>
    </w:p>
    <w:p w:rsidR="009623CA" w:rsidRPr="00316DA4" w:rsidRDefault="009623CA" w:rsidP="006550C8">
      <w:pPr>
        <w:pStyle w:val="Heading1"/>
      </w:pPr>
    </w:p>
    <w:p w:rsidR="009623CA" w:rsidRPr="00316DA4" w:rsidRDefault="009623CA" w:rsidP="006550C8">
      <w:pPr>
        <w:pStyle w:val="Heading1"/>
      </w:pPr>
    </w:p>
    <w:p w:rsidR="009623CA" w:rsidRPr="00316DA4" w:rsidRDefault="009623CA" w:rsidP="006550C8">
      <w:pPr>
        <w:pStyle w:val="Heading1"/>
      </w:pPr>
    </w:p>
    <w:p w:rsidR="009623CA" w:rsidRPr="00316DA4" w:rsidRDefault="009623CA" w:rsidP="006550C8">
      <w:pPr>
        <w:pStyle w:val="Heading1"/>
      </w:pPr>
    </w:p>
    <w:p w:rsidR="009623CA" w:rsidRPr="00316DA4" w:rsidRDefault="009623CA" w:rsidP="006550C8">
      <w:pPr>
        <w:pStyle w:val="Heading1"/>
      </w:pPr>
    </w:p>
    <w:p w:rsidR="009623CA" w:rsidRPr="00316DA4" w:rsidRDefault="009623CA" w:rsidP="006550C8">
      <w:pPr>
        <w:pStyle w:val="Heading1"/>
      </w:pPr>
    </w:p>
    <w:p w:rsidR="009623CA" w:rsidRPr="00316DA4" w:rsidRDefault="009623CA" w:rsidP="006550C8">
      <w:pPr>
        <w:pStyle w:val="Heading1"/>
      </w:pPr>
    </w:p>
    <w:p w:rsidR="009623CA" w:rsidRPr="00316DA4" w:rsidRDefault="009623CA" w:rsidP="00BC67FD"/>
    <w:p w:rsidR="009623CA" w:rsidRPr="00316DA4" w:rsidRDefault="009623CA" w:rsidP="00BC67FD"/>
    <w:p w:rsidR="009623CA" w:rsidRPr="00316DA4" w:rsidRDefault="009623CA" w:rsidP="00DF559C"/>
    <w:p w:rsidR="009623CA" w:rsidRPr="00316DA4" w:rsidRDefault="009623CA" w:rsidP="00DF559C"/>
    <w:p w:rsidR="009623CA" w:rsidRPr="00316DA4" w:rsidRDefault="009623CA" w:rsidP="00DF559C"/>
    <w:p w:rsidR="009623CA" w:rsidRPr="00316DA4" w:rsidRDefault="009623CA" w:rsidP="00DF559C"/>
    <w:p w:rsidR="009623CA" w:rsidRPr="00316DA4" w:rsidRDefault="009623CA" w:rsidP="00DF559C">
      <w:pPr>
        <w:pStyle w:val="Heading1"/>
      </w:pPr>
      <w:bookmarkStart w:id="50" w:name="_Toc261538671"/>
      <w:r w:rsidRPr="00316DA4">
        <w:t>6: Nederland</w:t>
      </w:r>
      <w:bookmarkEnd w:id="50"/>
    </w:p>
    <w:p w:rsidR="009623CA" w:rsidRPr="00316DA4" w:rsidRDefault="009623CA" w:rsidP="006550C8">
      <w:pPr>
        <w:pStyle w:val="Heading2"/>
      </w:pPr>
      <w:bookmarkStart w:id="51" w:name="_Toc261538672"/>
      <w:r w:rsidRPr="00316DA4">
        <w:t>6.1: Introductie</w:t>
      </w:r>
      <w:bookmarkEnd w:id="51"/>
    </w:p>
    <w:p w:rsidR="009623CA" w:rsidRPr="00316DA4" w:rsidRDefault="009623CA" w:rsidP="006550C8">
      <w:pPr>
        <w:spacing w:line="360" w:lineRule="auto"/>
        <w:jc w:val="both"/>
      </w:pPr>
      <w:r w:rsidRPr="00316DA4">
        <w:t>De volgende te onderzoeken lidstaat in dit onderzoek is Nederland. Als één van de initiatiefnemers van Europese samenwerking behoort Nederland tot één van de landen die het langst in het bezit is van een lidmaatschap van de EU. Nederland kan gezien worden als een voorbeeld van een land waar religie in de loop der tijd een minder belangrijke rol is gaan spelen. Van een protestantse natie in de 19</w:t>
      </w:r>
      <w:r w:rsidRPr="00316DA4">
        <w:rPr>
          <w:vertAlign w:val="superscript"/>
        </w:rPr>
        <w:t>e</w:t>
      </w:r>
      <w:r w:rsidRPr="00316DA4">
        <w:t xml:space="preserve"> eeuw is Nederland geworden tot een land waar de betekenis van kerk en religie minder duidelijk is (Molendijk, 2006:1). Het CIA World Factbook geeft aan dat 42% van de bevolking geen religie belijdt. De rest van de bevolking is verdeeld in katholieken, protestanten en moslims. Daarnaast geeft Eurobarometer 61 uit 2004 aan dat Nederland tot de groep landen in Europa behoort waar de bevolking het minst vertrouwen heeft in religieuze instituties (Eurobarometer, 2004:X16). Nederland kan in dit onderzoek dus gezien worden als een land waarin religie een kleine rol speelt.</w:t>
      </w:r>
    </w:p>
    <w:p w:rsidR="009623CA" w:rsidRPr="00316DA4" w:rsidRDefault="009623CA" w:rsidP="006550C8">
      <w:pPr>
        <w:pStyle w:val="Heading2"/>
      </w:pPr>
      <w:bookmarkStart w:id="52" w:name="_Toc261538673"/>
      <w:r w:rsidRPr="00316DA4">
        <w:t>6.2: LI-benadering</w:t>
      </w:r>
      <w:bookmarkEnd w:id="52"/>
    </w:p>
    <w:p w:rsidR="009623CA" w:rsidRPr="00316DA4" w:rsidRDefault="009623CA" w:rsidP="006550C8">
      <w:pPr>
        <w:pStyle w:val="Heading3"/>
      </w:pPr>
      <w:bookmarkStart w:id="53" w:name="_Toc261538674"/>
      <w:r w:rsidRPr="00316DA4">
        <w:t>6.2.1: Hypothese</w:t>
      </w:r>
      <w:bookmarkEnd w:id="53"/>
    </w:p>
    <w:p w:rsidR="009623CA" w:rsidRPr="00316DA4" w:rsidRDefault="009623CA" w:rsidP="006550C8">
      <w:pPr>
        <w:spacing w:line="360" w:lineRule="auto"/>
        <w:jc w:val="both"/>
      </w:pPr>
      <w:r w:rsidRPr="00316DA4">
        <w:t>Wanneer de ‘groepen in de samenleving’ de uiteindelijke nationale preferentie bepalen, is het in Nederland onwaarschijnlijk dat de Katholieke Kerk een grote invloed heeft gehad op de nationale preferentie ten opzichte van KP7. Nederland kent een sterk geseculariseerde samenleving, waarin het percentage van de bevolking zonder religie hoog is en het vertrouwen in religieuze instituties laag is. Invloed van ‘groepen in de samenleving’ valt te verwachten van belangengroepen en brancheorganisaties. Gezien de voordelen die KP7 voor deze groepen met zich meebrengt en de weinige ethische bezwaren die bestaan in Nederland valt vanuit de LI-benadering te verwachten dat Nederland voor KP7 heeft gestemd.</w:t>
      </w:r>
    </w:p>
    <w:p w:rsidR="009623CA" w:rsidRPr="00316DA4" w:rsidRDefault="009623CA" w:rsidP="006550C8">
      <w:pPr>
        <w:pStyle w:val="Heading3"/>
      </w:pPr>
      <w:bookmarkStart w:id="54" w:name="_Toc261538675"/>
      <w:r w:rsidRPr="00316DA4">
        <w:t>6.2.2: Patroon</w:t>
      </w:r>
      <w:bookmarkEnd w:id="54"/>
    </w:p>
    <w:p w:rsidR="009623CA" w:rsidRPr="00316DA4" w:rsidRDefault="009623CA" w:rsidP="006550C8">
      <w:pPr>
        <w:spacing w:line="360" w:lineRule="auto"/>
        <w:jc w:val="both"/>
        <w:rPr>
          <w:i/>
        </w:rPr>
      </w:pPr>
      <w:r w:rsidRPr="00316DA4">
        <w:rPr>
          <w:i/>
        </w:rPr>
        <w:t>Groepen in de samenleving</w:t>
      </w:r>
    </w:p>
    <w:p w:rsidR="009623CA" w:rsidRPr="00316DA4" w:rsidRDefault="009623CA" w:rsidP="006550C8">
      <w:pPr>
        <w:spacing w:line="360" w:lineRule="auto"/>
        <w:jc w:val="both"/>
      </w:pPr>
      <w:r w:rsidRPr="00316DA4">
        <w:t>De groepen in de Nederlandse samenleving die zich uitgelaten hebben over KP7 zijn voornamelijk wetenschappelijke organisaties. Zij hebben zich onder gezamenlijke vlag sterk gemaakt voor sterke ondersteuning door Nederland van het Europese onderzoeksbudget. De organisaties die zich hier sterk voor maken zijn NWO, VSNU, TNO en KNAW. Zij worden hierin gesteund door werkgeversorganisatie VNO-NCW. Dit blijkt uit een gezamenlijk persbericht dat uitgegeven werd op 26 mei 2005 (KNAW, 2005). Hierin stellen de organisaties dat het hoopgevend is dat de EU het onderzoeksbudget aanzienlijk wil verhogen met ingang van KP7. Hierdoor kan Europa een inhaalslag maken in de achterstand die het heeft op R&amp;D gebied. Dit is volgens de organisaties noodzakelijk wanneer Europa een goede plaats in de mondiale race wil behouden. Om dit allemaal te realiseren is het echter wel noodzakelijk dat de lidstaten de EU hierin ondersteunen. Daarom is het volgens de organisaties belangrijk dat Nederland zich hard maakt voor een hoger onderzoeksbudget. Over de ethische bezwaren hebben deze partijen echter weinig te melden.</w:t>
      </w:r>
    </w:p>
    <w:p w:rsidR="009623CA" w:rsidRPr="00316DA4" w:rsidRDefault="009623CA" w:rsidP="006550C8">
      <w:pPr>
        <w:spacing w:line="360" w:lineRule="auto"/>
        <w:jc w:val="both"/>
        <w:rPr>
          <w:i/>
        </w:rPr>
      </w:pPr>
      <w:r w:rsidRPr="00316DA4">
        <w:rPr>
          <w:i/>
        </w:rPr>
        <w:t>De Katholieke Kerk</w:t>
      </w:r>
    </w:p>
    <w:p w:rsidR="009623CA" w:rsidRPr="00316DA4" w:rsidRDefault="009623CA" w:rsidP="006550C8">
      <w:pPr>
        <w:spacing w:line="360" w:lineRule="auto"/>
        <w:jc w:val="both"/>
      </w:pPr>
      <w:r w:rsidRPr="00316DA4">
        <w:t xml:space="preserve">In Nederland speelt de Katholieke Kerk een kleine rol. Zoals eerder gezegd is een minderheid van de bevolking Katholiek en heeft de bevolking weinig vertrouwen in religieuze instituties. Ondanks dit gegeven laat de Katholieke Kerk in Nederland wel van zich horen. Hierin volgt zij de centrale lijn die door het Vaticaan over dit onderwerp is ingezet. Een voorbeeld hiervan is een uitspraak van Aartsbisschop Eijk in het KRO-programma Kruispunt. Hij zegt hierin het volgende: </w:t>
      </w:r>
      <w:r w:rsidRPr="00316DA4">
        <w:rPr>
          <w:i/>
        </w:rPr>
        <w:t>"Ook al dient het nog zo’n goed therapeutisch doel, het kan niet, omdat een embryo een menselijk wezen is, met alle rechten van dien", aldus Eijk. De bisschop stelt zelfs dat dit ‘therapeutisch kloneren’ nóg grotere ethische problemen met zich meebrengt dan kloneren met het oog op voortplanting: "Bij reproductief kloneren krijgt de nieuwe mens tenminste nog wel de kans om zich te ontwikkelen, bij therapeutisch kloneren wordt menselijk leven louter ‘verbruikt'” (Katholieknederland.nl, 2004).</w:t>
      </w:r>
      <w:r w:rsidRPr="00316DA4">
        <w:t xml:space="preserve"> Hij vervolgt door te zeggen dat bij nieuwe ontwikkelingen op dit gebied de Katholieke Kerk in Nederland het zeker niet zal nalaten om haar stem opnieuw te laten horen.</w:t>
      </w:r>
    </w:p>
    <w:p w:rsidR="009623CA" w:rsidRPr="00316DA4" w:rsidRDefault="009623CA" w:rsidP="006550C8">
      <w:pPr>
        <w:pStyle w:val="Heading2"/>
      </w:pPr>
      <w:bookmarkStart w:id="55" w:name="_Toc261538676"/>
      <w:r w:rsidRPr="00316DA4">
        <w:t>6.3: Partijideologische benadering</w:t>
      </w:r>
      <w:bookmarkEnd w:id="55"/>
    </w:p>
    <w:p w:rsidR="009623CA" w:rsidRPr="00316DA4" w:rsidRDefault="009623CA" w:rsidP="006550C8">
      <w:pPr>
        <w:pStyle w:val="Heading3"/>
      </w:pPr>
      <w:bookmarkStart w:id="56" w:name="_Toc261538677"/>
      <w:r w:rsidRPr="00316DA4">
        <w:t>6.3.1: Hypothese</w:t>
      </w:r>
      <w:bookmarkEnd w:id="56"/>
    </w:p>
    <w:p w:rsidR="009623CA" w:rsidRPr="00316DA4" w:rsidRDefault="009623CA" w:rsidP="006550C8">
      <w:pPr>
        <w:spacing w:line="360" w:lineRule="auto"/>
        <w:jc w:val="both"/>
      </w:pPr>
      <w:r w:rsidRPr="00316DA4">
        <w:t>Volgens deze benadering is de doorslaggevende factor in het proces van nationale preferentievorming de politieke kleur van de op dat moment regerende politieke partij. Voor Nederland betekent dit dat de kleur van meerdere politieke partijen bepalend is, aangezien Nederland coalitiekabinetten kent. Op het moment van stemmen over KP7 bestond het Nederlandse kabinet uit een minderheidscoalitie van CDA en VVD, nadat D66 uit het kabinet gestapt was. Dit zou slechts voor korte duur zijn, aangezien het kabinet vanaf 7 juli 2006 aan de macht was, terwijl het vanaf 21 november 2007 alweer demissionair zou zijn. Op die dag zouden nieuwe verkiezingen plaats vinden. CDA en VVD worden door Huber en Inglehart (1995:101) als partijen die rechts van het politieke centrum opereren gekwalificeerd. Hierbij wordt de VVD als een iets meer rechtsere partij gezien dan het CDA, dat eerder als een echte middenpartij gezien kan worden. Aangezien beide partijen dus redelijk in het midden opereren, valt vanuit dat opzicht te verwachten dat ze geen problemen hebben met KP7, omdat middenpartijen volgens Aspinwall over het algemeen voorstander zijn van verdere Europese integratie. Op ideologisch vlak is er een kans dat het CDA, gezien de christelijke achtergrond, op ethische gronden tegen KP7 zal zijn. Voor de VVD geldt dit helemaal niet. Het is een liberale partij, die weinig ethische bezwaren zal zien in de plannen voor KP7. Concluderend valt hieruit op te maken dat het waarschijnlijk is dat Nederland voor KP7 heeft gestemd. Vanuit de partijideologie van het CDA is de mogelijkheid te verwachten dat er problemen ontstaan, maar waarschijnlijk weegt de verdere Europese integratie zwaarder dan de ethische bezwaren tegen stamcelonderzoek.</w:t>
      </w:r>
    </w:p>
    <w:p w:rsidR="009623CA" w:rsidRPr="00316DA4" w:rsidRDefault="009623CA" w:rsidP="006550C8">
      <w:pPr>
        <w:pStyle w:val="Heading3"/>
      </w:pPr>
      <w:bookmarkStart w:id="57" w:name="_Toc261538678"/>
      <w:r w:rsidRPr="00316DA4">
        <w:t>6.3.2: Patroon</w:t>
      </w:r>
      <w:bookmarkEnd w:id="57"/>
    </w:p>
    <w:p w:rsidR="009623CA" w:rsidRPr="00316DA4" w:rsidRDefault="009623CA" w:rsidP="006550C8">
      <w:pPr>
        <w:spacing w:line="360" w:lineRule="auto"/>
        <w:jc w:val="both"/>
      </w:pPr>
      <w:r w:rsidRPr="00316DA4">
        <w:t>In Nederland is het nationale beleid omtrent het gebruik van embryo’s voor bijvoorbeeld stamcelonderzoek vastgelegd in de zogenaamde Embryowet. Deze wet verbiedt het speciaal voor onderzoek kweken van embryo’s, maar biedt wel mogelijkheden om op andere manieren verkregen embryo’s hiervoor te gebruiken. Hiervoor moet het onderzoek wel aan enkele voorwaarden voldoen, maar in beginsel is het in Nederland niet uitgesloten om stamcelonderzoek te doen met behulp van uit embryo’s verkregen stamcellen (MinVWS, 2006). Rond de periode dat de discussie rondom KP7 speelde, vond ook de evaluatie van de Embryowet plaats.  Uit deze discussie zijn de standpunten van CDA en VVD het best af te leiden, aangezien deze het dichtst op de stemming over KP7 uitgesproken zijn.  Resultaat van deze discussie moest een hernieuwde versie van de Embryowet worden. Wanneer deze er niet zou komen, vervalt het verbod op het speciaal voor onderzoek verkrijgen van embryo’s voor onderzoek. Opgemerkt moet worden dat tijdens de behandeling van de Embryowet er een nieuwe kabinetsformatie heeft plaatsgevonden. Hierdoor maakt de VVD geen deel meer uit van de regering.</w:t>
      </w:r>
    </w:p>
    <w:p w:rsidR="009623CA" w:rsidRPr="00316DA4" w:rsidRDefault="009623CA" w:rsidP="006550C8">
      <w:pPr>
        <w:spacing w:line="360" w:lineRule="auto"/>
        <w:jc w:val="both"/>
      </w:pPr>
      <w:r w:rsidRPr="00316DA4">
        <w:t>Het CDA heeft als standpunt dat het verbod gehandhaafd moet worden. Het CDA is van mening dat een embryo al een vorm van menselijk leven is en dan ook beschermt moet worden. Dit wordt aangegeven door Henk Jan Ormel tijdens de evaluatie van de Embryowet in de Tweede Kamer (Ormel, 2006).  Zijn opvolgster Janneke Schermers bevestigt dit in een e-mail correspondentie: “</w:t>
      </w:r>
      <w:r w:rsidRPr="00316DA4">
        <w:rPr>
          <w:rFonts w:cs="Arial"/>
          <w:color w:val="000000"/>
          <w:lang w:eastAsia="nl-NL"/>
        </w:rPr>
        <w:t>Wij willen niet dat er speciaal embryo’s tot stand worden gebracht voor onderzoek.</w:t>
      </w:r>
      <w:r w:rsidRPr="00316DA4">
        <w:rPr>
          <w:rFonts w:ascii="Arial" w:hAnsi="Arial" w:cs="Arial"/>
          <w:color w:val="000080"/>
          <w:sz w:val="20"/>
          <w:szCs w:val="20"/>
          <w:lang w:eastAsia="nl-NL"/>
        </w:rPr>
        <w:t xml:space="preserve"> </w:t>
      </w:r>
      <w:r w:rsidRPr="00316DA4">
        <w:rPr>
          <w:rFonts w:cs="Arial"/>
          <w:color w:val="000000"/>
          <w:lang w:eastAsia="nl-NL"/>
        </w:rPr>
        <w:t xml:space="preserve">De toekomst ziet er wat dat aangaat goed uit: het wordt steeds meer duidelijk dat volwassen stamcellen bruikbaar zijn”. Zij geeft echter ook aan dat bij de voorkeur van het CDA over KP7 een afweging gemaakt moest worden. Wanneer tegen KP7 gestemd zou worden, betekende dit ook dat het onderzoek met volwassen stamcellen stil zou komen te liggen, iets waar het CDA wél voorstander van is (dr. J.P. Schermers, 15-02-2010) </w:t>
      </w:r>
      <w:r w:rsidRPr="00316DA4">
        <w:t>Over Europese integratie in het algemeen is het CDA wel positief, zo getuigt het standpunt op de website hierover: “Europese integratie verzekert de lidstaten van de EU van welvaart, vrede, democratie en mensenrechten (cda.nl)”.</w:t>
      </w:r>
    </w:p>
    <w:p w:rsidR="009623CA" w:rsidRPr="00316DA4" w:rsidRDefault="009623CA" w:rsidP="006550C8">
      <w:pPr>
        <w:spacing w:line="360" w:lineRule="auto"/>
        <w:jc w:val="both"/>
      </w:pPr>
      <w:r w:rsidRPr="00316DA4">
        <w:t>De VVD stelt zich juist tegenovergesteld op. Samen met de andere oppositiepartijen D66 en SP is de VVD van mening dat het verbod verder medisch onderzoek naar ernstige ziekten in de weg staat (Trouw,  21-07-2007). Net als het CDA is de VVD positief over Europese integratie. De VVD is alleen wel kritischer over dit punt. Het standpunt van de VVD hierover meldt dat de VVD geen Europese superstaat wil, maar een Europa dat “werkt” en zich op de kernproblemen richt (VVD.nl).</w:t>
      </w:r>
    </w:p>
    <w:p w:rsidR="009623CA" w:rsidRPr="00316DA4" w:rsidRDefault="009623CA" w:rsidP="006550C8">
      <w:pPr>
        <w:pStyle w:val="Heading2"/>
      </w:pPr>
      <w:bookmarkStart w:id="58" w:name="_Toc261538679"/>
      <w:r w:rsidRPr="00316DA4">
        <w:t>6.4: Nationale preferentie</w:t>
      </w:r>
      <w:bookmarkEnd w:id="58"/>
    </w:p>
    <w:p w:rsidR="009623CA" w:rsidRPr="00316DA4" w:rsidRDefault="009623CA" w:rsidP="006550C8">
      <w:pPr>
        <w:spacing w:line="360" w:lineRule="auto"/>
        <w:jc w:val="both"/>
      </w:pPr>
      <w:r w:rsidRPr="00316DA4">
        <w:t>De nationale preferentie van Nederland is het best af te leiden uit de standpuntbepaling die gedaan wordt in het zogenaamde BNC-fiche (Beoordeling Nieuwe Commissievoorstellen). De nationale preferentie is niet volledig af te leiden uit het verslag van de Europese Raad waarin over KP7 gestemd is, aangezien Nederland hierin geen verklaring heeft afgelegd. Uit het BNC-fiche valt op te maken dat Nederland over het algemeen positief is over het voorstel van de commissie:</w:t>
      </w:r>
    </w:p>
    <w:p w:rsidR="009623CA" w:rsidRPr="00316DA4" w:rsidRDefault="009623CA" w:rsidP="006550C8">
      <w:pPr>
        <w:spacing w:line="360" w:lineRule="auto"/>
        <w:jc w:val="both"/>
        <w:rPr>
          <w:i/>
        </w:rPr>
      </w:pPr>
      <w:r w:rsidRPr="00316DA4">
        <w:rPr>
          <w:i/>
        </w:rPr>
        <w:t>“Het Kaderprogramma geeft Nederlandse bedrijven en kennisinstellingen toegang tot nieuwe kennis van andere Europese partijen. Deelname aan het Kaderprogramma draagt bij aan het vermogen van deze partijen om nieuwe kennisontwikkelingen te doorgronden en tot innovatie te komen (Ministerie van BuZa, 13-12-2005)”.</w:t>
      </w:r>
    </w:p>
    <w:p w:rsidR="009623CA" w:rsidRPr="00316DA4" w:rsidRDefault="009623CA" w:rsidP="006550C8">
      <w:pPr>
        <w:spacing w:line="360" w:lineRule="auto"/>
        <w:jc w:val="both"/>
      </w:pPr>
      <w:r w:rsidRPr="00316DA4">
        <w:t>Over het grootste struikblok, de ethische kwestie rondom het gebruik van embryo’s bij stamcelonderzoek, meldt het BNC-fiche het volgende:</w:t>
      </w:r>
    </w:p>
    <w:p w:rsidR="009623CA" w:rsidRPr="00316DA4" w:rsidRDefault="009623CA" w:rsidP="006550C8">
      <w:pPr>
        <w:pStyle w:val="mtop"/>
        <w:spacing w:line="360" w:lineRule="auto"/>
        <w:jc w:val="both"/>
        <w:rPr>
          <w:rFonts w:ascii="Calibri" w:hAnsi="Calibri"/>
          <w:i/>
          <w:sz w:val="22"/>
          <w:szCs w:val="22"/>
        </w:rPr>
      </w:pPr>
      <w:r w:rsidRPr="00316DA4">
        <w:rPr>
          <w:rFonts w:ascii="Calibri" w:hAnsi="Calibri"/>
          <w:i/>
          <w:sz w:val="22"/>
          <w:szCs w:val="22"/>
        </w:rPr>
        <w:t>“Net als bij KP6 is de discussie over ethiek, in het bijzonder weer gestart. Een aantal lidstaten is van mening dat onderzoek dat gebruik maakt van menselijk embryonale cellen uitgesloten moeten worden van financiering. Nederland is deze mening niet toegedaan en steunt de inzet van de Commissie voor continuering van de aanpak die onder KP6 goed heeft gewerkt (zoals zorgvuldige procedures met case-by-case beoordeling op ethische aspecten en controlemomenten voor de Lidstaten). Nederland kan zich niet vinden in een verruiming of versoepeling t.a.v. stamcelonderzoek noch in een grotere bevoegdheid voor de Commissie hierbij (Miniserie van BuZa, 13-12-2005)”.</w:t>
      </w:r>
    </w:p>
    <w:p w:rsidR="009623CA" w:rsidRPr="00316DA4" w:rsidRDefault="009623CA" w:rsidP="006550C8">
      <w:pPr>
        <w:spacing w:line="360" w:lineRule="auto"/>
        <w:jc w:val="both"/>
      </w:pPr>
      <w:r w:rsidRPr="00316DA4">
        <w:t xml:space="preserve">Hieruit valt op te maken dat Nederland weinig bezwaren ziet in het financieel ondersteunen van stamcelonderzoek, maar een versoepeling te ver vindt gaan en het huidige beleid op dit gebied voort wil zetten. De positieve instelling van Nederland ten opzichte blijkt uiteindelijk in het feit dat Nederland in de Raad voor het voorstel gestemd heeft </w:t>
      </w:r>
    </w:p>
    <w:p w:rsidR="009623CA" w:rsidRPr="00316DA4" w:rsidRDefault="009623CA" w:rsidP="006550C8">
      <w:pPr>
        <w:pStyle w:val="Heading2"/>
      </w:pPr>
      <w:bookmarkStart w:id="59" w:name="_Toc261538680"/>
      <w:r w:rsidRPr="00316DA4">
        <w:t>6.5: Analyse</w:t>
      </w:r>
      <w:bookmarkEnd w:id="59"/>
    </w:p>
    <w:p w:rsidR="009623CA" w:rsidRPr="00316DA4" w:rsidRDefault="009623CA" w:rsidP="006550C8">
      <w:pPr>
        <w:spacing w:line="360" w:lineRule="auto"/>
        <w:jc w:val="both"/>
      </w:pPr>
      <w:r w:rsidRPr="00316DA4">
        <w:t>Om te bepalen welke hypothese het meest waarschijnlijk lijkt, zal bepaald moeten worden welk patroon het meest overeenkomt met de uiteindelijke nationale preferentie. Met andere woorden: is het vooral de mening van de samenleving of de mening van de regering die doorklinkt in de nationale preferentie?</w:t>
      </w:r>
    </w:p>
    <w:p w:rsidR="009623CA" w:rsidRPr="00316DA4" w:rsidRDefault="009623CA" w:rsidP="006550C8">
      <w:pPr>
        <w:spacing w:line="360" w:lineRule="auto"/>
        <w:jc w:val="both"/>
      </w:pPr>
      <w:r w:rsidRPr="00316DA4">
        <w:t>Het gegeven dat Nederland positief staat tegenover KP7 en de redenen die daarom gegeven worden, wijzen erop dat de regering goed geluisterd heeft naar de partijen die vooral te maken zullen hebben met KP7 en alles wat daar omheen speelt. De wetenschappelijke organisaties die zich met de werkgeversorganisatie hebben verenigd, willen door middel van KP7 nastreven dat er een beter onderzoeksklimaat ontstaat binnen de EU. En daarmee ook in Nederland. Het kabinet streeft dit ook na, onder de noemer ‘versterking van de kenniseconomie’. Wat de nationale preferentie betreft zit de Nederlandse regering dus goed op één lijn met de belangrijkste belanghebbenden in dit veld.</w:t>
      </w:r>
    </w:p>
    <w:p w:rsidR="009623CA" w:rsidRPr="00316DA4" w:rsidRDefault="009623CA" w:rsidP="006550C8">
      <w:pPr>
        <w:spacing w:line="360" w:lineRule="auto"/>
        <w:jc w:val="both"/>
      </w:pPr>
      <w:r w:rsidRPr="00316DA4">
        <w:t xml:space="preserve">Het ethisch aspect lijkt een ander verhaal te zijn. Gezien de afwezigheid van de wetenschappelijke partijen in deze discussie, lijkt het erop dat de ethische discussie vooral een politieke discussie is geworden. Aangezien het erop lijkt dat er weinig veranderd is in KP7 ten opzichte van KP6 lijkt het erop dat het kabinet deze discussie mooi uit de weg is kunnen gaan. Hoewel het CDA op nationaal niveau bezwaren heeft tegen versoepeling van beleid over het gebruik van embryo’s voor onderzoeksdoeleinden en de VVD juist vóór versoepeling is, lijkt de Europese oplossing ook de gulden middenweg voor het nationale niveau. Noch de voorkeur van het CDA, noch de voorkeur van de VVD klinken expliciet door in de nationale preferentie. Hierbij moet opgemerkt worden dat het CDA de afweging gemaakt heeft om voor KP7 te stemmen, zodat het stamcelonderzoek niet helemaal stil zou komen te liggen. Dit omdat de partij wel voorstanders is van onderzoek met volwassen stamcellen </w:t>
      </w:r>
      <w:r w:rsidRPr="00316DA4">
        <w:rPr>
          <w:rFonts w:cs="Arial"/>
          <w:color w:val="000000"/>
          <w:lang w:eastAsia="nl-NL"/>
        </w:rPr>
        <w:t>(dr. J.P. Schermers, 15-02-2010).</w:t>
      </w:r>
    </w:p>
    <w:p w:rsidR="009623CA" w:rsidRPr="00316DA4" w:rsidRDefault="009623CA" w:rsidP="006550C8">
      <w:pPr>
        <w:pStyle w:val="Heading2"/>
      </w:pPr>
      <w:bookmarkStart w:id="60" w:name="_Toc261538681"/>
      <w:r w:rsidRPr="00316DA4">
        <w:t>6.6: Conclusie</w:t>
      </w:r>
      <w:bookmarkEnd w:id="60"/>
    </w:p>
    <w:p w:rsidR="009623CA" w:rsidRPr="00316DA4" w:rsidRDefault="009623CA" w:rsidP="006550C8">
      <w:pPr>
        <w:spacing w:line="360" w:lineRule="auto"/>
        <w:jc w:val="both"/>
      </w:pPr>
      <w:r w:rsidRPr="00316DA4">
        <w:t>In de nationale preferentie lijkt het erop dat de positieve ontwikkelingen voor de wetenschappelijke wereld in zowel Europa als Nederland de voorkeur krijgen boven de ethische discussie over het gebruik van embryo’s voor onderzoeksdoeleinden. Het ethische aspect wordt in de nationale preferentie niet echt aangesneden, aangezien de voorkeur er naar uit gaat alles bij het oude te laten. De partijideologie wordt op dat gebied terzijde geschoven. Met name voor het CDA is dat opvallend, aangezien dit van origine toch deels een Katholieke partij is en in het nationale debat dan ook het geluid van de Katholieke Kerk laat horen. Blijkbaar is de invloed van de Katholieke Kerk dan ook niet groot genoeg om dit geluid ook op Europees niveau te laten gelden. Het geluid van de samenwerkende wetenschappelijke organisaties is sterker gebleken. Het streven naar een sterke onderzoekspositie voor Europa en Nederland heeft het gewonnen van de ethische discussie.</w:t>
      </w:r>
    </w:p>
    <w:p w:rsidR="009623CA" w:rsidRPr="00316DA4" w:rsidRDefault="009623CA" w:rsidP="00447F27">
      <w:pPr>
        <w:pStyle w:val="Heading1"/>
      </w:pPr>
      <w:bookmarkStart w:id="61" w:name="_Toc261538682"/>
      <w:r w:rsidRPr="00316DA4">
        <w:t>7: Zweden</w:t>
      </w:r>
      <w:bookmarkEnd w:id="61"/>
    </w:p>
    <w:p w:rsidR="009623CA" w:rsidRPr="00316DA4" w:rsidRDefault="009623CA" w:rsidP="00447F27">
      <w:pPr>
        <w:pStyle w:val="Heading2"/>
      </w:pPr>
      <w:bookmarkStart w:id="62" w:name="_Toc261538683"/>
      <w:r w:rsidRPr="00316DA4">
        <w:t>7.1: Introductie</w:t>
      </w:r>
      <w:bookmarkEnd w:id="62"/>
    </w:p>
    <w:p w:rsidR="009623CA" w:rsidRPr="00316DA4" w:rsidRDefault="009623CA" w:rsidP="00447F27">
      <w:pPr>
        <w:spacing w:line="360" w:lineRule="auto"/>
        <w:jc w:val="both"/>
      </w:pPr>
      <w:r w:rsidRPr="00316DA4">
        <w:t>Na Malta en Nederland zal nu de nationale preferentievorming van Zweden onderzocht worden. Zweden is sinds 1995 lid van de Europese Unie. Zweden staat bekend als een land met weinig religieuze activiteit (Iannaccone, 1998:1486). Tot 1 januari 2000 was de Svenska kyrkan de officiële staatskerk, maar sinds die datum is de kerk gelijk gesteld aan andere religies. De Svenska kyrkan wordt gefinancierd  vanuit de nationale belastingen. Het is een lutheraanse kerk (svenskakyrkan.se). Volgens het CIA wordfactbook behoort 87% van de bevolking tot deze kerk, waarbij de kanttekening gemaakt moet worden dat tot 1 januari 2000 elk in Zweden geboren kind automatisch lid werd van de Svenska kyrkan (…). Dat de bevolking weinig binding heeft met religieuze organisaties blijkt ook uit het onderzoek van Eurobarometer. Hierin komt Zweden naar voren als het land in Europa waar de bevolking het minste vertrouwen heeft in religieuze instituties, namelijk maar 21% (Eurobarometer, 2004:X16). Zweden heeft lange tijd een staatskerk gehad heeft en de rol van de Katholieke Kerk in Zweden is marginaal.</w:t>
      </w:r>
    </w:p>
    <w:p w:rsidR="009623CA" w:rsidRPr="00316DA4" w:rsidRDefault="009623CA" w:rsidP="00447F27">
      <w:pPr>
        <w:pStyle w:val="Heading2"/>
      </w:pPr>
      <w:bookmarkStart w:id="63" w:name="_Toc261538684"/>
      <w:r w:rsidRPr="00316DA4">
        <w:t>7.2: LI-benadering</w:t>
      </w:r>
      <w:bookmarkEnd w:id="63"/>
    </w:p>
    <w:p w:rsidR="009623CA" w:rsidRPr="00316DA4" w:rsidRDefault="009623CA" w:rsidP="00447F27">
      <w:pPr>
        <w:pStyle w:val="Heading3"/>
      </w:pPr>
      <w:bookmarkStart w:id="64" w:name="_Toc261538685"/>
      <w:r w:rsidRPr="00316DA4">
        <w:t>7.2.1: Hypothese</w:t>
      </w:r>
      <w:bookmarkEnd w:id="64"/>
    </w:p>
    <w:p w:rsidR="009623CA" w:rsidRPr="00316DA4" w:rsidRDefault="009623CA" w:rsidP="00447F27">
      <w:pPr>
        <w:spacing w:line="360" w:lineRule="auto"/>
        <w:jc w:val="both"/>
      </w:pPr>
      <w:r w:rsidRPr="00316DA4">
        <w:t>Gezien de zwakke positie van de Katholieke Kerk in Zweden valt niet te verwachten dat deze als ‘groep in de samenleving’ veel invloed uit kan oefenen op de nationale preferentie. Net als Nederland kent Zweden een sterk geseculariseerde samenleving. In Zweden is de rol van religie zelfs nog kleiner en het vertrouwen in religieuze instituties is dan ook bijzonder laag. Aangezien Zweden een goed georganiseerde samenleving heeft, valt er met name veel invloed te verwachten van organisaties die belangen hebben bij KP7, zoals wetenschappelijke organisaties en werkgeversorganisaties. Dit gezegd hebbende is de kans groot dat Zweden voor KP7 gestemd heeft, aangezien er weinig weerstand te verwachten valt uit de Zweedse samenleving.</w:t>
      </w:r>
    </w:p>
    <w:p w:rsidR="009623CA" w:rsidRPr="00316DA4" w:rsidRDefault="009623CA" w:rsidP="00447F27">
      <w:pPr>
        <w:pStyle w:val="Heading3"/>
      </w:pPr>
      <w:bookmarkStart w:id="65" w:name="_Toc261538686"/>
      <w:r w:rsidRPr="00316DA4">
        <w:t>7.2.2: Patroon</w:t>
      </w:r>
      <w:bookmarkEnd w:id="65"/>
    </w:p>
    <w:p w:rsidR="009623CA" w:rsidRPr="00316DA4" w:rsidRDefault="009623CA" w:rsidP="00447F27">
      <w:pPr>
        <w:spacing w:line="360" w:lineRule="auto"/>
        <w:jc w:val="both"/>
        <w:rPr>
          <w:i/>
        </w:rPr>
      </w:pPr>
      <w:r w:rsidRPr="00316DA4">
        <w:rPr>
          <w:i/>
        </w:rPr>
        <w:t>Groepen in de samenleving</w:t>
      </w:r>
    </w:p>
    <w:p w:rsidR="009623CA" w:rsidRPr="00316DA4" w:rsidRDefault="009623CA" w:rsidP="00447F27">
      <w:pPr>
        <w:spacing w:line="360" w:lineRule="auto"/>
        <w:jc w:val="both"/>
      </w:pPr>
      <w:r w:rsidRPr="00316DA4">
        <w:t>Net als in Nederland lijkt het er in Zweden op dat het vooral de direct belanghebbenden zijn die hun preferenties over KP7 hebben geuit. De direct belanghebbende zijn in Zweden de overkoepelende werkgeversorganisatie Confederation of Swedish Enterprise en meer specifiek de Zweedse nationale biotechnologie organisatie SwedenBIO. Deze organisatie verenigt 110 Zweedse biotechnologie organisaties en heeft deelgenomen aan het consultatieproces inzake het vereenvoudigen van de procedures in KP7. Als brancheorganisatie ziet SwedenBIO een belangrijke rol weggelegd voor de biotechnologiesector in de toekomst van Europa. De sector heeft het potentieel om een hoeksteen van de Europese economie te worden, aldus SwedenBIO (SwedenBIO, 2005:1). De organisatie pleit met name voor vereenvoudigde procedures, zodat er in de toekomst efficiënter gewerkt kan worden en ook kleinere bedrijven de mogelijkheden van KP7 kunnen benutten (SwedenBIO, 2005:1).</w:t>
      </w:r>
    </w:p>
    <w:p w:rsidR="009623CA" w:rsidRPr="00316DA4" w:rsidRDefault="009623CA" w:rsidP="00447F27">
      <w:pPr>
        <w:spacing w:line="360" w:lineRule="auto"/>
        <w:jc w:val="both"/>
      </w:pPr>
      <w:r w:rsidRPr="00316DA4">
        <w:t xml:space="preserve">Een andere actor die zich voorafgaand aan het besluit over KP7 heeft uitgelaten is Vinnova. Dit is een Zweeds agentschap dat zich bezighoudt met innovatie en onder andere als taak heeft van Zweden een leidende onderzoeksnatie te maken en ervoor te zorgen dat Zweden veelvuldig participeert in Europese R&amp;D plannen, zoals KP7. Over het algemeen is Vinnova positief over KP7. De kritiekpunten sluiten aan bij die van SwedenBIO. Ook Vinnova stelt dat het belangrijk is dat het midden- en kleinbedrijf meer betrokken raakt bij KP7 dan dat dit het geval was bij KP6 (Vinnova, 2005:11). Met name de implementatie moet daarom beter (Vinnova, 2005:15). Over de mogelijke ethische knelpunten wordt niet gesproken in het document. </w:t>
      </w:r>
    </w:p>
    <w:p w:rsidR="009623CA" w:rsidRPr="00316DA4" w:rsidRDefault="009623CA" w:rsidP="00447F27">
      <w:pPr>
        <w:spacing w:line="360" w:lineRule="auto"/>
        <w:jc w:val="both"/>
        <w:rPr>
          <w:i/>
        </w:rPr>
      </w:pPr>
      <w:r w:rsidRPr="00316DA4">
        <w:rPr>
          <w:i/>
        </w:rPr>
        <w:t>De Katholieke Kerk</w:t>
      </w:r>
    </w:p>
    <w:p w:rsidR="009623CA" w:rsidRPr="00316DA4" w:rsidRDefault="009623CA" w:rsidP="00447F27">
      <w:pPr>
        <w:spacing w:line="360" w:lineRule="auto"/>
        <w:jc w:val="both"/>
      </w:pPr>
      <w:r w:rsidRPr="00316DA4">
        <w:t>Gezien het feit dat de Katholieke Kerk nagenoeg afwezig is in Zweden, valt niet te verwachten dat deze groep veel invloed kan uitoefenen op de nationale preferentie. Zeker omdat er ten tijde van de behandeling van KP7 geen christelijke partij aan de macht was in Zweden, wat de ontvankelijkheid van een regering voor religieuze groeperingen een stuk minder makkelijk maakt.</w:t>
      </w:r>
    </w:p>
    <w:p w:rsidR="009623CA" w:rsidRPr="00316DA4" w:rsidRDefault="009623CA" w:rsidP="00447F27">
      <w:pPr>
        <w:spacing w:line="360" w:lineRule="auto"/>
        <w:jc w:val="both"/>
      </w:pPr>
      <w:r w:rsidRPr="00316DA4">
        <w:t>In Zweden is er daarentegen wel de eerder genoemde lutherse Svenska kyrken. Hoewel deze organisatie in dit onderzoek geen echte rol speelt is het wel interessant om op te merken dat het standpunt over het gebruik van embryonale stamcellen anders ligt dan dat van de Katholieke Kerk. Het standpunt van de Svenska kyrken staat beschreven in een document van de Conference of European Churches. Dit is een organisatie waar veel niet-katholieke kerken in Europa bij aangesloten zijn, waaronder de Svenska kyrken. Deze organisatie ziet het onder FP7 ingezette beleid als een duurzaam compromis. De organisatie is blij dat het creëren van nieuwe embryo’s buiten het programma is gebleven en ondersteunt het beleid, aangezien het een compromis is tussen strikte tegenstanders en absolute voorstanders (CEC, 2006). Dat de Svenska kyrken zelf geen positie heeft ingenomen in het debat ligt onder andere aan het feit dat er onduidelijkheid is over de autoriteit van zo’n positie, zeker gezien de grote verdeeldheid die over dit soort onderwerpen bestaan binnen de Lutheraanse gemeenschap en het idee dat binnen het protestantisme bestaat dat iedereen recht heeft op zijn of haar eigen mening (Zeiler, 2002). Zeiler (2002) beweert verder dat de afwezigheid van een theologisch perspectief in de ethische discussie tot zwakte van het Zweedse debat heeft geleid.</w:t>
      </w:r>
    </w:p>
    <w:p w:rsidR="009623CA" w:rsidRPr="00316DA4" w:rsidRDefault="009623CA" w:rsidP="00447F27">
      <w:pPr>
        <w:pStyle w:val="Heading2"/>
      </w:pPr>
      <w:bookmarkStart w:id="66" w:name="_Toc261538687"/>
      <w:r w:rsidRPr="00316DA4">
        <w:t>7.3: Partijideologische benadering</w:t>
      </w:r>
      <w:bookmarkEnd w:id="66"/>
    </w:p>
    <w:p w:rsidR="009623CA" w:rsidRPr="00316DA4" w:rsidRDefault="009623CA" w:rsidP="00447F27">
      <w:pPr>
        <w:pStyle w:val="Heading3"/>
      </w:pPr>
      <w:bookmarkStart w:id="67" w:name="_Toc261538688"/>
      <w:r w:rsidRPr="00316DA4">
        <w:t>7.3.1: Hypothese</w:t>
      </w:r>
      <w:bookmarkEnd w:id="67"/>
    </w:p>
    <w:p w:rsidR="009623CA" w:rsidRPr="00316DA4" w:rsidRDefault="009623CA" w:rsidP="00447F27">
      <w:pPr>
        <w:spacing w:line="360" w:lineRule="auto"/>
        <w:jc w:val="both"/>
      </w:pPr>
      <w:r w:rsidRPr="00316DA4">
        <w:t>Op het moment van de behandeling van KP7 was er in Zweden een links minderheidskabinet aan de macht. Deze regering bestond slecht uit één partij, de sociaaldemocratische Socialdemokraterna. Deze partij wordt door Huber en Inglehart als een centrumlinkse partij gekwalificeerd (1995:106). Gezien deze kwalificatie valt te verwachten dat deze partij weinig problemen heeft met KP7.  Vanuit de centrumlinkse identiteit valt niet te verwachten dat Europese integratie bezwaarlijk zal zijn en het sociaaldemocratische karakter zal KP7 alleen maar toe kunnen juichen, gezien de kans op meer banen die KP7 op kan leveren voor de Zweedse industrie. Wanneer partijideologie de doorslag geeft, valt te verwachten dat Zweden voor KP7 gestemd heeft.</w:t>
      </w:r>
    </w:p>
    <w:p w:rsidR="009623CA" w:rsidRPr="00316DA4" w:rsidRDefault="009623CA" w:rsidP="00447F27">
      <w:pPr>
        <w:pStyle w:val="Heading3"/>
      </w:pPr>
      <w:bookmarkStart w:id="68" w:name="_Toc261538689"/>
      <w:r w:rsidRPr="00316DA4">
        <w:t>7.3.2: Patroon</w:t>
      </w:r>
      <w:bookmarkEnd w:id="68"/>
    </w:p>
    <w:p w:rsidR="009623CA" w:rsidRPr="00316DA4" w:rsidRDefault="009623CA" w:rsidP="00447F27">
      <w:pPr>
        <w:spacing w:line="360" w:lineRule="auto"/>
        <w:jc w:val="both"/>
      </w:pPr>
      <w:r w:rsidRPr="00316DA4">
        <w:t>De kern van het beleid van de Socialdemokraterna, als sociaaldemocratische partij, is om iedereen werk te kunnen bieden. Dit blijkt uit het verkiezingsprogramma zoals dit door de partij gevoerd is in aanloop naar de verkiezingen in 2006 (Socialdemokraterna, 2006:2). Het gaat hierbij ook om ‘moderne’ banen. Daarom vindt de partij dat er geïnvesteerd moet worden in toekomstige strategische branches die waarschijnlijk veel groei kunnen bieden. Stamcelonderzoek wordt hierbij expliciet genoemd als belangrijk onderzoek dat Zweden groei kan bieden (Socialdemokraterna, 2006:6).</w:t>
      </w:r>
    </w:p>
    <w:p w:rsidR="009623CA" w:rsidRPr="00316DA4" w:rsidRDefault="009623CA" w:rsidP="00447F27">
      <w:pPr>
        <w:pStyle w:val="Heading2"/>
      </w:pPr>
      <w:bookmarkStart w:id="69" w:name="_Toc261538690"/>
      <w:r w:rsidRPr="00316DA4">
        <w:t>7.4: Nationale preferentie</w:t>
      </w:r>
      <w:bookmarkEnd w:id="69"/>
    </w:p>
    <w:p w:rsidR="009623CA" w:rsidRPr="00316DA4" w:rsidRDefault="009623CA" w:rsidP="0018089A">
      <w:pPr>
        <w:spacing w:line="360" w:lineRule="auto"/>
        <w:jc w:val="both"/>
      </w:pPr>
      <w:r w:rsidRPr="00316DA4">
        <w:t xml:space="preserve">De uiteindelijke exacte nationale preferentie van Zweden is moeilijk te achterhalen. Duidelijk is dat Zweden voor KP7 gestemd heeft in de Raad. Dit blijkt uit de notulen van de Raad van 18 december 2006 (EC, 2007:7). Aangezien Zweden echter geen officiële verklaring heeft afgelegd tijdens deze vergadering, is het onduidelijk wat het exacte standpunt is over KP7. Om dit toch te kunnen achterhalen moet er teruggegrepen worden naar het officiële Zweedse overheidsstandpunt dat in de aanloop naar de behandeling is gepubliceerd. Uit dit standpunt dat Zweden zeer voor KP7 is, gezien de vele voordelen die verdere samenwerking met zich meebrengt. Met name het doel om van Europa in 2010 de meest competitieve en dynamische kenniseconomie te maken pleit voor een snelle invoering van KP7 (Näringsdepartementet, 2004:1). Daarnaast wordt er onder andere ingegaan op het belang van zogenaamd </w:t>
      </w:r>
      <w:r w:rsidRPr="00316DA4">
        <w:rPr>
          <w:i/>
        </w:rPr>
        <w:t>basis research</w:t>
      </w:r>
      <w:r w:rsidRPr="00316DA4">
        <w:t xml:space="preserve">, </w:t>
      </w:r>
      <w:r w:rsidRPr="00316DA4">
        <w:rPr>
          <w:i/>
        </w:rPr>
        <w:t>technology initiatives</w:t>
      </w:r>
      <w:r w:rsidRPr="00316DA4">
        <w:t xml:space="preserve">, en </w:t>
      </w:r>
      <w:r w:rsidRPr="00316DA4">
        <w:rPr>
          <w:i/>
        </w:rPr>
        <w:t>small and medium sized enterprises</w:t>
      </w:r>
      <w:r w:rsidRPr="00316DA4">
        <w:t>. Zo wordt we onderstreept dat basic research (zogenaamd science driven research) ook deel moet gaan uitmaken van de Europese Onderzoeksruimte en dat er meer ruimte moet komen voor innovatie. Daarom moeten het besluitvormingsproces hierover vereenvoudigd worden. In het geval van het midden- en kleinbedrijf vindt de Zweedse overheid dat deze beter ondersteunt moeten worden, zodat ze ook goed kunnen deelnemen aan Europese onderzoeksprogramma’s. Over de ethische aspecten van een nieuw kaderprogramma wordt in dit document niet gesproken. Dit kan mede veroorzaakt zijn doordat de ethische discussie over stamcelonderzoek in Zweden al jaren voor KP7 is gevoerd. In 2002 kwam de Swedish Research Council al, op verzoek van de toenmalige regering, met een standpunt over dit soort onderzoek. In deze periode is er discussie ontstaan over stamcelonderzoek, maar hierbij lag voornamelijk de nadruk op de mogelijke positieve voordelen van het onderzoek (Zeiler, 2002). Het standpunt van de Swedish Research Council was uiteindelijk dat er embryonaal stamcelonderzoek mocht plaatsvinden, maar alleen met reeds bestaande embryo’s (Zeiler, 2002).</w:t>
      </w:r>
    </w:p>
    <w:p w:rsidR="009623CA" w:rsidRPr="00316DA4" w:rsidRDefault="009623CA" w:rsidP="00447F27">
      <w:pPr>
        <w:pStyle w:val="Heading2"/>
      </w:pPr>
      <w:bookmarkStart w:id="70" w:name="_Toc261538691"/>
      <w:r w:rsidRPr="00316DA4">
        <w:t>7.5: Analyse</w:t>
      </w:r>
      <w:bookmarkEnd w:id="70"/>
    </w:p>
    <w:p w:rsidR="009623CA" w:rsidRPr="00316DA4" w:rsidRDefault="009623CA" w:rsidP="00447F27">
      <w:pPr>
        <w:spacing w:line="360" w:lineRule="auto"/>
        <w:jc w:val="both"/>
      </w:pPr>
      <w:r w:rsidRPr="00316DA4">
        <w:t>Om te bepalen welke hypothese het meest waarschijnlijk lijkt, zal bepaald moeten worden welk patroon het meest overeenkomt met de uiteindelijke nationale preferentie. Met andere woorden: is het vooral de mening van de samenleving of de mening van de regering die doorklinkt in de nationale preferentie?</w:t>
      </w:r>
    </w:p>
    <w:p w:rsidR="009623CA" w:rsidRPr="00316DA4" w:rsidRDefault="009623CA" w:rsidP="00447F27">
      <w:pPr>
        <w:spacing w:line="360" w:lineRule="auto"/>
        <w:jc w:val="both"/>
      </w:pPr>
      <w:r w:rsidRPr="00316DA4">
        <w:t xml:space="preserve">Wanneer beiden patronen vergeleken worden met de nationale preferentie valt op hoe de voorkeuren van de partijideologie en de voorkeuren van de groepen in de samenleving met elkaar overeenkomen. De regeringspartij heeft een expliciete voorkeur voor het laten uitvoeren van stamcelonderzoek. Het is volgens het verkiezingsprogramma een belangrijk element van het plan om veel ‘moderne’ arbeidsplaatsen te creëren in Zweden. Ervoor zorgen dat iedereen aan het werk kan is een typisch kenmerk van de ideologie van een centrumlinkse partij. Daarom is de positieve opstelling van de Zweedse regering tegenover KP7 niet verbazingwekkend vanuit het oogpunt van de partijideologie. </w:t>
      </w:r>
    </w:p>
    <w:p w:rsidR="009623CA" w:rsidRPr="00316DA4" w:rsidRDefault="009623CA" w:rsidP="00447F27">
      <w:pPr>
        <w:spacing w:line="360" w:lineRule="auto"/>
        <w:jc w:val="both"/>
      </w:pPr>
      <w:r w:rsidRPr="00316DA4">
        <w:t xml:space="preserve">De standpunten van de andere Zweedse belanghebbenden zijn echter ook duidelijk terug te vinden in de Zweedse preferentie. De kritiekpunten van SwedenBIO over de geringe deelname van het midden- en kleinbedrijf aan de Europese onderzoeksprogramma’s en de gebrekkige ondersteuning hieraan wordt ook in de nationale preferentie genoemd. Ook de kritiek op de moeilijke procedures die doorlopen moeten worden voordat projecten worden opgenomen in KP7 wordt in de nationale preferentie overgenomen. Deze stelt namelijk dat er meer ruimte moet komen voor </w:t>
      </w:r>
      <w:r w:rsidRPr="00316DA4">
        <w:rPr>
          <w:i/>
        </w:rPr>
        <w:t>technology initiatives</w:t>
      </w:r>
      <w:r w:rsidRPr="00316DA4">
        <w:t xml:space="preserve"> die tot nieuwe innovaties moeten leiden. Ook het overheidsagentschap Vinnova hecht veel waarde aan deze standpunten. Naast een over het algemeen positief standpunt over KP7 vindt ook dit agentschap dat er veel winst geboekt kan worden op het gebied van het midden- en kleinbedrijf.</w:t>
      </w:r>
    </w:p>
    <w:p w:rsidR="009623CA" w:rsidRPr="00316DA4" w:rsidRDefault="009623CA" w:rsidP="00447F27">
      <w:pPr>
        <w:spacing w:line="360" w:lineRule="auto"/>
        <w:jc w:val="both"/>
      </w:pPr>
      <w:r w:rsidRPr="00316DA4">
        <w:t>Over ethiek wordt niet expliciet gesproken in de nationale preferentie. Dit komt overeen met zowel de preferenties van de belanghebbende groepen in de samenleving als die van de regeringspartij. Het uitgangspunt van de Svenska kyrken komt niet naar voren in de nationale preferentie. Deze kerk is niet negatief over KP7 en ondersteunt het ingezette beleid over embryonaal stamcelonderzoek, maar ziet ook dat dit een compromis is tussen voor- en tegenstanders. Dat er gevoeligheden zijn op dit terrein blijkt niet uit de nationale preferentie.</w:t>
      </w:r>
    </w:p>
    <w:p w:rsidR="009623CA" w:rsidRPr="00316DA4" w:rsidRDefault="009623CA" w:rsidP="00447F27">
      <w:pPr>
        <w:pStyle w:val="Heading2"/>
      </w:pPr>
      <w:bookmarkStart w:id="71" w:name="_Toc261538692"/>
      <w:r w:rsidRPr="00316DA4">
        <w:t>7.6: Conclusie</w:t>
      </w:r>
      <w:bookmarkEnd w:id="71"/>
    </w:p>
    <w:p w:rsidR="009623CA" w:rsidRPr="00316DA4" w:rsidRDefault="009623CA" w:rsidP="00447F27">
      <w:pPr>
        <w:spacing w:line="360" w:lineRule="auto"/>
        <w:jc w:val="both"/>
      </w:pPr>
      <w:r w:rsidRPr="00316DA4">
        <w:t xml:space="preserve">Geconcludeerd kan worden dat er in Zweden weinig discussie is over KP7. Het zijn voornamelijk positieve geluiden die er klinken en er wordt veel van verwacht. Zweden moet een vooraanstaande kenniseconomie worden en KP7 kan daar goed aan bijdragen. Over de rol van de biotechnologiesector is men het ook eens. Dit is één van de sectoren in Zweden met veel potentieel. Daar moet dan ook veel ruimte aan gegeven worden, zoals dat nu ook al het geval is. </w:t>
      </w:r>
    </w:p>
    <w:p w:rsidR="009623CA" w:rsidRPr="00316DA4" w:rsidRDefault="009623CA" w:rsidP="00447F27">
      <w:pPr>
        <w:spacing w:line="360" w:lineRule="auto"/>
        <w:jc w:val="both"/>
      </w:pPr>
      <w:r w:rsidRPr="00316DA4">
        <w:t>Door de grote eenheid die er lijkt te zijn over KP7, is het moeilijk te bepalen welk patroon het meest terug te vinden is in de nationale preferentie. De voorkeuren van zowel de regeringspartij als de belanghebbende groepen in de samenleving hebben opvallend veel overeenkomsten.  Toch lijkt het erop dat de groepen in de samenleving een serieuze bijdrage hebben geleverd aan de nationale preferentie. De ideologie van de regeringspartij is voor investering in onderzoek en innovatie, waarbij stamcelonderzoek een speerpunt is. Op details wordt echter niet ingegaan. De details die wel terugkomen in de nationale preferentie, over het eenvoudiger maken van de regels voor KP7 en het laten deelnemen van het midden- en kleinbedrijf, lijken afkomstig te zijn vanuit de sector. Deze hebben ervaringen met de knelpunten die zich in de praktijk hebben voorgedaan onder KP6 en laten dit in hun documenten duidelijk maken. Het feit dat dit duidelijk terugkomt in de nationale preferentie lijkt erop te duiden dat de nationale preferentie het resultaat is van een goede samenwerking tussen overheid en samenleving, waarbij goed geluisterd is naar de wensen vanuit de samenleving.</w:t>
      </w:r>
    </w:p>
    <w:p w:rsidR="009623CA" w:rsidRPr="00316DA4" w:rsidRDefault="009623CA" w:rsidP="004F44B3">
      <w:pPr>
        <w:spacing w:line="360" w:lineRule="auto"/>
        <w:rPr>
          <w:rStyle w:val="Heading1Char"/>
          <w:rFonts w:eastAsia="Calibri"/>
          <w:sz w:val="32"/>
        </w:rPr>
      </w:pPr>
    </w:p>
    <w:p w:rsidR="009623CA" w:rsidRPr="00316DA4" w:rsidRDefault="009623CA" w:rsidP="004F44B3">
      <w:pPr>
        <w:spacing w:line="360" w:lineRule="auto"/>
        <w:rPr>
          <w:rStyle w:val="Heading1Char"/>
          <w:rFonts w:eastAsia="Calibri"/>
          <w:sz w:val="32"/>
        </w:rPr>
      </w:pPr>
    </w:p>
    <w:p w:rsidR="009623CA" w:rsidRPr="00316DA4" w:rsidRDefault="009623CA" w:rsidP="004F44B3">
      <w:pPr>
        <w:spacing w:line="360" w:lineRule="auto"/>
        <w:rPr>
          <w:rStyle w:val="Heading1Char"/>
          <w:rFonts w:eastAsia="Calibri"/>
          <w:sz w:val="32"/>
        </w:rPr>
      </w:pPr>
    </w:p>
    <w:p w:rsidR="009623CA" w:rsidRPr="00316DA4" w:rsidRDefault="009623CA" w:rsidP="004F44B3">
      <w:pPr>
        <w:spacing w:line="360" w:lineRule="auto"/>
        <w:rPr>
          <w:rStyle w:val="Heading1Char"/>
          <w:rFonts w:eastAsia="Calibri"/>
          <w:sz w:val="32"/>
        </w:rPr>
      </w:pPr>
    </w:p>
    <w:p w:rsidR="009623CA" w:rsidRPr="00316DA4" w:rsidRDefault="009623CA" w:rsidP="0018089A">
      <w:pPr>
        <w:pStyle w:val="Heading1"/>
      </w:pPr>
      <w:bookmarkStart w:id="72" w:name="_Toc261538693"/>
      <w:r w:rsidRPr="00316DA4">
        <w:t>8: Ierland</w:t>
      </w:r>
      <w:bookmarkEnd w:id="72"/>
    </w:p>
    <w:p w:rsidR="009623CA" w:rsidRPr="00316DA4" w:rsidRDefault="009623CA" w:rsidP="000B66B6">
      <w:pPr>
        <w:pStyle w:val="Heading2"/>
      </w:pPr>
      <w:bookmarkStart w:id="73" w:name="_Toc261538694"/>
      <w:r w:rsidRPr="00316DA4">
        <w:t>8.1: Introductie</w:t>
      </w:r>
      <w:bookmarkEnd w:id="73"/>
    </w:p>
    <w:p w:rsidR="009623CA" w:rsidRPr="00316DA4" w:rsidRDefault="009623CA" w:rsidP="000B66B6">
      <w:pPr>
        <w:spacing w:line="360" w:lineRule="auto"/>
        <w:jc w:val="both"/>
      </w:pPr>
      <w:r w:rsidRPr="00316DA4">
        <w:t>De laatste te onderzoeken lidstaat in dit onderzoek is Ierland. Dit land is sinds 1973 lid van de EU en heeft zich sindsdien, en met name in de jaren ’90 ontwikkeld van een landbouweconomie tot een moderne, technisch vooraanstaande samenleving (europa.eu). De Ierse samenleving kan gezien worden als zeer katholiek. Dit blijkt onder andere uit de gegevens van het CIA World Factbook, dat aangeeft dat 87,4% van de Ierse bevolking het Katholieke geloof aanhangt. Desondanks scoort Ierland niet opvallend hoog in het onderzoek van Eurobarometer naar het vertrouwen van de bevolking in religieuze instituties. In dit onderzoek heeft 38% vertrouwen in religieuze instituties, waarmee het gemiddeld scoort ten opzichte van de andere lidstaten (Eurobarometer, 2004:X16). De Ierse samenleving kent een lange geschiedenis van Katholieke invloeden op wet- en regelgeving. Hoewel deze invloed niet meer zo groot is als deze voorheen was, heeft de Ierse Katholieke Kerk nog steeds een buitensporige invloed op civiele wetgeving (Hogan, 1987:95). Dit wil niet zeggen dat de kerk veel intervenieert in het publieke debat, omdat het voor politici niet aantrekkelijk is om het op te nemen tegen de standpunten van de Katholieke Kerk (Hogan 1987:95). Hogan schreef dit dan wel in 1987, maar het geeft een goed beeld van hoe diep het Katholieke geloof geworteld is in de Ierse samenleving.</w:t>
      </w:r>
    </w:p>
    <w:p w:rsidR="009623CA" w:rsidRPr="00316DA4" w:rsidRDefault="009623CA" w:rsidP="000B66B6">
      <w:pPr>
        <w:pStyle w:val="Heading2"/>
      </w:pPr>
      <w:bookmarkStart w:id="74" w:name="_Toc261538695"/>
      <w:r w:rsidRPr="00316DA4">
        <w:t>8.2: LI-benadering</w:t>
      </w:r>
      <w:bookmarkEnd w:id="74"/>
    </w:p>
    <w:p w:rsidR="009623CA" w:rsidRPr="00316DA4" w:rsidRDefault="009623CA" w:rsidP="000B66B6">
      <w:pPr>
        <w:pStyle w:val="Heading3"/>
      </w:pPr>
      <w:bookmarkStart w:id="75" w:name="_Toc261538696"/>
      <w:r w:rsidRPr="00316DA4">
        <w:t>8.2.1: Hypothese</w:t>
      </w:r>
      <w:bookmarkEnd w:id="75"/>
    </w:p>
    <w:p w:rsidR="009623CA" w:rsidRPr="00316DA4" w:rsidRDefault="009623CA" w:rsidP="000B66B6">
      <w:pPr>
        <w:spacing w:line="360" w:lineRule="auto"/>
        <w:jc w:val="both"/>
      </w:pPr>
      <w:r w:rsidRPr="00316DA4">
        <w:t>Gezien de historisch sterke positie van het Katholieke geloof in Ierland, valt te verwachten dat van alle groepen in de samenleving de Katholieke Kerk de meeste invloed op de nationale preferentie met betrekking tot dit onderwerp zal willen uitoefenen. Gezien het grote aantal aanhangers van het Katholieke geloof valt niet te verwachten dat er veel andere geluiden uit de samenleving zullen doordringen tot de nationale preferentie. Ondanks het feit dat Ierland veel baat gehad heeft bij Europese samenwerking, weegt het bezwaar tegen KP7 waarschijnlijk zwaarder dan de eventuele voordelen die het Ierland op kan leveren. Daarom zal Ierland waarschijnlijk tegen KP7 in de Europese Raad.</w:t>
      </w:r>
    </w:p>
    <w:p w:rsidR="009623CA" w:rsidRPr="00316DA4" w:rsidRDefault="009623CA" w:rsidP="000B66B6">
      <w:pPr>
        <w:pStyle w:val="Heading3"/>
      </w:pPr>
      <w:bookmarkStart w:id="76" w:name="_Toc261538697"/>
      <w:r w:rsidRPr="00316DA4">
        <w:t>8.2.2: Patroon</w:t>
      </w:r>
      <w:bookmarkEnd w:id="76"/>
    </w:p>
    <w:p w:rsidR="009623CA" w:rsidRPr="00316DA4" w:rsidRDefault="009623CA" w:rsidP="000B66B6">
      <w:pPr>
        <w:spacing w:line="360" w:lineRule="auto"/>
        <w:jc w:val="both"/>
        <w:rPr>
          <w:i/>
        </w:rPr>
      </w:pPr>
      <w:r w:rsidRPr="00316DA4">
        <w:rPr>
          <w:i/>
        </w:rPr>
        <w:t>Groepen in de samenleving</w:t>
      </w:r>
    </w:p>
    <w:p w:rsidR="009623CA" w:rsidRPr="00316DA4" w:rsidRDefault="009623CA" w:rsidP="000B66B6">
      <w:pPr>
        <w:spacing w:line="360" w:lineRule="auto"/>
        <w:jc w:val="both"/>
      </w:pPr>
      <w:r w:rsidRPr="00316DA4">
        <w:t>Net als in de andere onderzochte landen, zijn het ook in Ierland wetenschappelijke en werkgeversorganisaties die zich bezig houden met KP7, aangezien zij degene zijn die voornamelijk direct kunnen profiteren van het programma. Gezien de baat die deze organisaties hebben bij het programma, zijn zij over het algemeen positief in hun uitlatingen over KP7. Dit blijkt onder andere uit een advies van de ICSTI (Irish Council for Science, Technology &amp; Innovation). Deze raad brengt advies uit aan de overheid over deze onderwerpen. KP7 valt ook onder de adviesbevoegdheid van deze raad en deze heeft dan ook de taak toebedeeld gekregen om een consultatieprocedure uit te voeren in de wetenschappelijke sector en de industriële sector. De conclusie van de ICSTI na dit alles is voornamelijk positief. Er wordt geadviseerd om KP7 te steunen en zeker niet minder geld te investeren, gezien de ambities van Ierland om zich verder te ontwikkelen als een kenniseconomie (ICSTI, 2005:5/6). Over de ethische aspecten van KP7 wordt niet veel gemeld in het ICSTI rapport, waaruit geconcludeerd kan worden dat dit van ondergeschikt belang is in de sectoren die veel kunnen profiteren van KP7. Het is echter wel opvallend dat de Irish Bioindustry Association in een soortgelijke Europese discussie over het goedkeuren van stamceltherapie in lidstaten pleit voor het in stand houden van de individuele keuze van lidstaten voor het daadwerkelijk toelaten van door de EU goedgekeurde therapieën (IBA, 2006:2). Daarbij moet wel opgemerkt worden dat zij dit vooral als oplossing zien voor een algemene goedkeuringsprocedure voor therapieën in Europa en op deze manier de ethische discussie willen omzeilen, aangezien deze tot nu toe een algemene goedkeuringsprocedure blokkeerde.</w:t>
      </w:r>
    </w:p>
    <w:p w:rsidR="009623CA" w:rsidRPr="00316DA4" w:rsidRDefault="009623CA" w:rsidP="000B66B6">
      <w:pPr>
        <w:spacing w:line="360" w:lineRule="auto"/>
        <w:jc w:val="both"/>
      </w:pPr>
      <w:r w:rsidRPr="00316DA4">
        <w:t>Naast de bovengenoemde organisaties zijn er in Ierland ook sterke pro life bewegingen actief. Een grote organisatie die zich in de media heeft uitgelaten over de opstelling van Ierland in de KP7 discussie is de Pro-Life Campaign. Een voorbeeld hiervan is een ingezonden brief van de voorzitter van deze organisatie, Dr Audrey Dillon, in de Irish Times (25-06-2006). Zij keurt hierin sterk de plannen voor het financieren van embryonaal stamcelonderzoek  binnen KP7 af. Zij pleit voor bezwaar maken door Ierland tegen embryo vernietigend onderzoek en in plaats daarvan meer geld vrij te maken voor ethisch niet problematisch en wetenschappelijk veel belovend onderzoek met volwassen stamcellen (Irish Times, 25-06-2006). Het onder KP7 financieren van embryonaal stamcelonderzoek, maar het in andere landen uit laten voeren noemt ze het hypocriet voordoen dat de Ierse handen schoon zijn en het daarbij negeren van de vernietiging van het menselijke leven dat deze stamcellen geproduceerd heeft (Irish Times, 25-06-2006).</w:t>
      </w:r>
    </w:p>
    <w:p w:rsidR="009623CA" w:rsidRPr="00316DA4" w:rsidRDefault="009623CA" w:rsidP="000B66B6">
      <w:pPr>
        <w:spacing w:line="360" w:lineRule="auto"/>
        <w:jc w:val="both"/>
        <w:rPr>
          <w:i/>
        </w:rPr>
      </w:pPr>
      <w:r w:rsidRPr="00316DA4">
        <w:rPr>
          <w:i/>
        </w:rPr>
        <w:t>De Katholieke Kerk</w:t>
      </w:r>
    </w:p>
    <w:p w:rsidR="009623CA" w:rsidRPr="00316DA4" w:rsidRDefault="009623CA" w:rsidP="000B66B6">
      <w:pPr>
        <w:spacing w:line="360" w:lineRule="auto"/>
        <w:jc w:val="both"/>
      </w:pPr>
      <w:r w:rsidRPr="00316DA4">
        <w:t>Zoals eerder gezegd zijn het Katholieke geloof en de bijbehorende waarden sterk verankerd in de Ierse samenleving. Dit blijkt uit het hoge aantal percentage dat statistisch als Katholiek te boek staat (CIA World Factbook) en de, in ieder geval tot recentelijk,  grote invloed van het geloof op de civiele wetgeving en het ethische debat (Barrington, 2002:147; Hogan, 1987:95). In het debat rondom het al dan niet toestaan van de financiering door KP7 van embryonaal stamcelonderzoek volgt ook de Ierse Katholieke Kerk de centrale lijn van het Vaticaan.  Dit blijkt uit een artikel van de Irish Times (13-06-2006). Hierin wordt vermeld dat de Ierse bisschoppen de EU oproepen geld beschikbaar te stellen voor onderzoek naar volwassen stamcellen. Dit werd gedaan voorafgaand aan de eerste stemming in de Europese Raad over KP7. In deze oproep uitten de bisschoppen hun zorgen over de serieuze morele implicaties van de stemming, omdat deze de financiering van het onderzoek met embryonale stamcellen en daarmee hun destructie mogelijk maken. Daarbij stellen ze ook dat de discussie sowieso niet behandeld zou moeten plaatsvinden onder de noemer van een onderzoeksprogramma. Wat betreft de positie van Ierland in het debat vinden de bisschoppen dat Ierland de leiding zou moeten nemen in de strijd op Europees tegen de vernietiging van embryo’s.</w:t>
      </w:r>
    </w:p>
    <w:p w:rsidR="009623CA" w:rsidRPr="00316DA4" w:rsidRDefault="009623CA" w:rsidP="000B66B6">
      <w:pPr>
        <w:pStyle w:val="Heading2"/>
      </w:pPr>
      <w:bookmarkStart w:id="77" w:name="_Toc261538698"/>
      <w:r w:rsidRPr="00316DA4">
        <w:t>8.3: Partijideologische benadering</w:t>
      </w:r>
      <w:bookmarkEnd w:id="77"/>
    </w:p>
    <w:p w:rsidR="009623CA" w:rsidRPr="00316DA4" w:rsidRDefault="009623CA" w:rsidP="000B66B6">
      <w:pPr>
        <w:pStyle w:val="Heading3"/>
      </w:pPr>
      <w:bookmarkStart w:id="78" w:name="_Toc261538699"/>
      <w:r w:rsidRPr="00316DA4">
        <w:t>8.3.1: Hypothese</w:t>
      </w:r>
      <w:bookmarkEnd w:id="78"/>
    </w:p>
    <w:p w:rsidR="009623CA" w:rsidRPr="00316DA4" w:rsidRDefault="009623CA" w:rsidP="000B66B6">
      <w:pPr>
        <w:spacing w:line="360" w:lineRule="auto"/>
        <w:jc w:val="both"/>
      </w:pPr>
      <w:r w:rsidRPr="00316DA4">
        <w:t>In Ierland waren in de aanloop naar de stemming om KP7 de partijen Fianna Fiál (ook bekend als Republican Party) en de Progressive Democrats aan de macht. Huber en Inglehart (1995:99) kwalificeren Fianna Fiál als een centrumrechtse partij en de Progressive Democrats als een conservatieve rechtse partij. Deze partijen vormden van 2002 tot 2007 een coalitie, waarbij Fianna Fiál verreweg de grootste coalitiepartner was en de Progressive Democrats de kleine partner was. Fianna Fiál behaalde tijdens de verkiezingen 81 zetels, tegenover 8 zetels voor de Progressive Democrats. Op basis van de partijideologische benadering kan over de Fianna Fiál gezegd worden dat,  gezien hun centrumrechtse positie, het waarschijnlijk is dat zij voor KP7 zullen zijn. Europese samenwerking heeft Ierland immers veel goed gebracht en als centrumpartij zullen ze eerder voor dan tegen verder Europese samenwerking zijn. Gezien de sterke invloed van het Katholieke geloof op de Ierse politiek die lange tijd aanwezig is geweest, is het echter wel de vraag of het taboe op embryonaal stamcelonderzoek vanuit de Katholieke Kerk er niet voor zal zorgen dat er toch tegen gestemd zal worden. Helemaal wanneer hierbij wordt opgemerkt dat de coalitiepartner Progressive Democrats gezien kan worden als een conservatief rechtse partij. Dit soort partijen zijn volgens Aspinwall geneigd om tegen Europese samenwerking te zijn. In combinatie met het conservatief gedachtegoed van deze partijen valt te verwachten dat deze partij tegen KP7 zal zijn. Dit leidt er toe dat het hypothetisch waarschijnlijker is dat Ierland tegen KP7 heeft gestemd, aangezien de twee coalitiepartijen toch een voornamelijk rechts-conservatief gedachtegoed met zich meebrengen.</w:t>
      </w:r>
    </w:p>
    <w:p w:rsidR="009623CA" w:rsidRPr="00316DA4" w:rsidRDefault="009623CA" w:rsidP="000B66B6">
      <w:pPr>
        <w:spacing w:line="360" w:lineRule="auto"/>
        <w:jc w:val="both"/>
      </w:pPr>
    </w:p>
    <w:p w:rsidR="009623CA" w:rsidRPr="00316DA4" w:rsidRDefault="009623CA" w:rsidP="000B66B6">
      <w:pPr>
        <w:spacing w:line="360" w:lineRule="auto"/>
        <w:jc w:val="both"/>
      </w:pPr>
    </w:p>
    <w:p w:rsidR="009623CA" w:rsidRPr="00316DA4" w:rsidRDefault="009623CA" w:rsidP="000B66B6">
      <w:pPr>
        <w:pStyle w:val="Heading3"/>
      </w:pPr>
      <w:bookmarkStart w:id="79" w:name="_Toc261538700"/>
      <w:r w:rsidRPr="00316DA4">
        <w:t>8.3.2: Patroon</w:t>
      </w:r>
      <w:bookmarkEnd w:id="79"/>
    </w:p>
    <w:p w:rsidR="009623CA" w:rsidRPr="00316DA4" w:rsidRDefault="009623CA" w:rsidP="000B66B6">
      <w:pPr>
        <w:spacing w:line="360" w:lineRule="auto"/>
        <w:jc w:val="both"/>
      </w:pPr>
      <w:r w:rsidRPr="00316DA4">
        <w:t xml:space="preserve">In de Ierse politiek vormt de discussie omtrent embryonaal stamcel onderzoek een belangrijk thema. Dit blijkt wel uit de grote aandacht in de Ierse media voor het onderwerp en het aantal mensen dat de media opzoekt om hun mening te geven door middel van bijvoorbeeld ingezonden brieven in belangrijke Ierse kranten als de Irish Times en de Irish Independent. Des te opvallender is het feit dat het moeilijk is om de politieke partijen die in de aanloop naar KP7 de coalitie vormden, Fianna Fíal en de Progressive Democrats, op een expliciet standpunt over dit onderwerp te betrappen. </w:t>
      </w:r>
    </w:p>
    <w:p w:rsidR="009623CA" w:rsidRPr="00316DA4" w:rsidRDefault="009623CA" w:rsidP="000B66B6">
      <w:pPr>
        <w:spacing w:line="360" w:lineRule="auto"/>
        <w:jc w:val="both"/>
        <w:rPr>
          <w:i/>
          <w:lang w:val="en-US"/>
        </w:rPr>
      </w:pPr>
      <w:r w:rsidRPr="00316DA4">
        <w:t>Het standpunt van Fianna Fíal in het Ierse parlement moet daarom uit de discussie over KP7 gehaald worden, zoals deze in aanloop naar de stemming in het Europees Parlement en de Europese Raad gevoerd is. Een goed beeld van de standpunten van beide coalitiepartijen kan gevormd worden aan de hand van een discussie in het Ierse parlement in 2003, waar de krant Irish Examiner verslag van doet. Hierin komt naar voren dat de verantwoordelijke minister en vice-premier van de Progressive Democrats, Mary Harney, in Europa haar steun heeft gegeven voor het steunen van stamcel onderzoek door de EU. Dit tot ontsteltenis van de Fianna Fíal delegatie in het parlement. Senator John Hanifan voor Fianna Fíal en aanvoerder van de tegenstanders in partij voor de Europese steun voor stamcelonderzoek stelt dat hij onder geen voorwaarde akkoord zal gaan met onderzoek op een menselijk embryo, dat menselijk leven is. Niks is veranderd en dat is de werkelijkheid (Irish Examiner, 26-11-2003).  Fianna Fíal parlementslid Batt O’Keeffe stelt dat de minister een ‘solo run’ begaan heeft door voor de financiële steun van de EU voor stamcelonderzoek te stemmen (Irish Examiner, 26-11-2003).  Ondanks deze kritiek vanuit de eigen partij, spreekt de Ierse premier Ahern, van Fianna Fíal,  steun uit voor de positie van Progressive Democrats minister Harney. Hij zei dat de stemming alleen ging over of er richtlijnen voor het financieren moesten komen en een woordvoerder voegde daar aan toen dat de opstelling van de minister ondersteunt werd door de premier, de minister van buitenlandse zaken en de minister van volksgezondheid (Irish Examiner, 26-11-2003). Dit verschil in opvatting maakt goed duidelijk  hoe de verdeeldheid is binnen Fianna Fíal over dit onderwerp. In een commentaar van de Irish Independent wordt de onduidelijkheid over dit standpunt bevestigd: “</w:t>
      </w:r>
      <w:r w:rsidRPr="00316DA4">
        <w:rPr>
          <w:i/>
          <w:lang w:eastAsia="nl-NL"/>
        </w:rPr>
        <w:t xml:space="preserve">More obviously, what is the attitude of the various parties to pro-life issues? </w:t>
      </w:r>
      <w:r w:rsidRPr="00316DA4">
        <w:rPr>
          <w:i/>
          <w:lang w:val="en-US" w:eastAsia="nl-NL"/>
        </w:rPr>
        <w:t xml:space="preserve">Are they for or against embryo research, including embryo stem-cell research, for example? </w:t>
      </w:r>
      <w:hyperlink r:id="rId8" w:tooltip="Fine Gael" w:history="1">
        <w:r w:rsidRPr="00316DA4">
          <w:rPr>
            <w:i/>
            <w:lang w:val="en-US" w:eastAsia="nl-NL"/>
          </w:rPr>
          <w:t>Fine Gael</w:t>
        </w:r>
      </w:hyperlink>
      <w:r w:rsidRPr="00316DA4">
        <w:rPr>
          <w:i/>
          <w:lang w:val="en-US" w:eastAsia="nl-NL"/>
        </w:rPr>
        <w:t xml:space="preserve"> seems to be against, but to judge from </w:t>
      </w:r>
      <w:hyperlink r:id="rId9" w:tooltip="Micheal Martin" w:history="1">
        <w:r w:rsidRPr="00316DA4">
          <w:rPr>
            <w:i/>
            <w:lang w:val="en-US" w:eastAsia="nl-NL"/>
          </w:rPr>
          <w:t>Micheal Martin</w:t>
        </w:r>
      </w:hyperlink>
      <w:r w:rsidRPr="00316DA4">
        <w:rPr>
          <w:i/>
          <w:lang w:val="en-US" w:eastAsia="nl-NL"/>
        </w:rPr>
        <w:t>, Fianna Fail is increasingly in favour. Some day that will come back to bite the party”.</w:t>
      </w:r>
    </w:p>
    <w:p w:rsidR="009623CA" w:rsidRPr="00316DA4" w:rsidRDefault="009623CA" w:rsidP="000B66B6">
      <w:pPr>
        <w:autoSpaceDE w:val="0"/>
        <w:autoSpaceDN w:val="0"/>
        <w:adjustRightInd w:val="0"/>
        <w:spacing w:after="0" w:line="360" w:lineRule="auto"/>
        <w:jc w:val="both"/>
        <w:rPr>
          <w:rFonts w:cs="TimesNewRoman"/>
        </w:rPr>
      </w:pPr>
      <w:r w:rsidRPr="00316DA4">
        <w:t xml:space="preserve">Het standpunt van de partij over Europese samenwerking is een stuk duidelijker. In het partijprogramma van Fianna Fíal voor de parlementsverkiezingen van 2002 wordt veel waarde gehecht aan het Ierse EU-lidmaatschap. </w:t>
      </w:r>
      <w:r w:rsidRPr="00316DA4">
        <w:rPr>
          <w:lang w:val="en-US"/>
        </w:rPr>
        <w:t>Dit komt onder andere naar voren in de volgende passage: “</w:t>
      </w:r>
      <w:r w:rsidRPr="00316DA4">
        <w:rPr>
          <w:rFonts w:cs="TimesNewRoman"/>
          <w:i/>
          <w:lang w:val="en-US"/>
        </w:rPr>
        <w:t>Fianna Fáil believes that a strong and effective EU will be as important a part of our future as it has been of our recent past”</w:t>
      </w:r>
      <w:r w:rsidRPr="00316DA4">
        <w:rPr>
          <w:rFonts w:cs="TimesNewRoman"/>
          <w:lang w:val="en-US"/>
        </w:rPr>
        <w:t xml:space="preserve"> (Fianna Fíal, 2002:19). </w:t>
      </w:r>
      <w:r w:rsidRPr="00316DA4">
        <w:rPr>
          <w:rFonts w:cs="TimesNewRoman"/>
        </w:rPr>
        <w:t>In het programma meldt Fianna Fíal onder andere dat het positief staat tegenover verdere uitbreiding van de EU en stroomlijning van de EU-besluitvorming. Er wordt echter wel veel waarde gehecht aan het subsidiariteitsbeginsel. De EU moet niet noodzakelijkerwijs betrokken zijn bij zaken die beter kunnen worden overgelaten aan de nationale overheid, zo stelt Fianna Fíal. In het programma meldt de partij verder dat het een tweede referendum over het verdrag van Nice zal houden, gezien het feit dat het verdrag in het eerste referendum weggestemd werd. Ondanks deze punten neemt de EU slechts een klein deel van het totale partijprogramma in, zo concludeert ook Karin Gilland, in haar verslag over de Ierse verkiezingen. Zij concludeert dat dit sterk de suggestie wekt dat de partij er vooral geen verkiezingspunt van wil maken (Gilland, 2002:2).</w:t>
      </w:r>
    </w:p>
    <w:p w:rsidR="009623CA" w:rsidRPr="00316DA4" w:rsidRDefault="009623CA" w:rsidP="000B66B6">
      <w:pPr>
        <w:autoSpaceDE w:val="0"/>
        <w:autoSpaceDN w:val="0"/>
        <w:adjustRightInd w:val="0"/>
        <w:spacing w:after="0" w:line="360" w:lineRule="auto"/>
        <w:jc w:val="both"/>
        <w:rPr>
          <w:rFonts w:cs="TimesNewRoman"/>
        </w:rPr>
      </w:pPr>
    </w:p>
    <w:p w:rsidR="009623CA" w:rsidRPr="00316DA4" w:rsidRDefault="009623CA" w:rsidP="000B66B6">
      <w:pPr>
        <w:autoSpaceDE w:val="0"/>
        <w:autoSpaceDN w:val="0"/>
        <w:adjustRightInd w:val="0"/>
        <w:spacing w:after="0" w:line="360" w:lineRule="auto"/>
        <w:jc w:val="both"/>
        <w:rPr>
          <w:rFonts w:cs="TimesNewRoman"/>
        </w:rPr>
      </w:pPr>
      <w:r w:rsidRPr="00316DA4">
        <w:rPr>
          <w:rFonts w:cs="TimesNewRoman"/>
        </w:rPr>
        <w:t>Het patroon van de Progressive Democrats is een stuk lastiger te achterhalen dan dat van Fianna Fíal, aangezien deze partij in 2008 is opgehouden te bestaan. Hierdoor is het moeilijk om partijprogramma’s te achterhalen en directe informatie van de partij te krijgen. Het standpunt van de partij over stamcelonderzoek is het moeilijkst te achterhalen. De meest concrete informatie over het standpunt van de partij over dit onderwerp vinden we wederom in het artikel van de Irish Examiner (26-11-2003). In dit artikel komt vice-premier Harney van de Progressive Democrats onder vuur te liggen omdat ze EU-financiering van stamcelonderzoek niet tegen heeft gehouden. Ze komt met name onder vuur te liggen van coalitiegenoot Fianna Fíal. Dit kan er op duiden dat haar eigen partij minder moeite had met haar positieve opstelling tegenover eventuele EU-financiering. Hierbij moet wel opgemerkt worden dat de minister naar eigen zeggen voor gestemd heeft omdat ze gelooft dat het beter is om in ieder geval regelgeving te hebben over het onderwerp dan het helemaal ongereguleerd te hebben (Irish Examiner, 26-11-2003).</w:t>
      </w:r>
    </w:p>
    <w:p w:rsidR="009623CA" w:rsidRPr="00316DA4" w:rsidRDefault="009623CA" w:rsidP="000B66B6">
      <w:pPr>
        <w:autoSpaceDE w:val="0"/>
        <w:autoSpaceDN w:val="0"/>
        <w:adjustRightInd w:val="0"/>
        <w:spacing w:after="0" w:line="360" w:lineRule="auto"/>
        <w:jc w:val="both"/>
        <w:rPr>
          <w:rFonts w:cs="TimesNewRoman"/>
        </w:rPr>
      </w:pPr>
    </w:p>
    <w:p w:rsidR="009623CA" w:rsidRPr="00316DA4" w:rsidRDefault="009623CA" w:rsidP="000B66B6">
      <w:pPr>
        <w:autoSpaceDE w:val="0"/>
        <w:autoSpaceDN w:val="0"/>
        <w:adjustRightInd w:val="0"/>
        <w:spacing w:after="0" w:line="360" w:lineRule="auto"/>
        <w:jc w:val="both"/>
        <w:rPr>
          <w:rFonts w:cs="Arial"/>
        </w:rPr>
      </w:pPr>
      <w:r w:rsidRPr="00316DA4">
        <w:rPr>
          <w:rFonts w:cs="TimesNewRoman"/>
        </w:rPr>
        <w:t xml:space="preserve">Over het standpunt van de Progressive Democrats wat betreft Europese integratie is iets meer te vinden. Gilland (Gilland, 2002:2) maakt in haar verslag over de Ierse parlementsverkiezingen in 2002 ook melding van de opstelling van de Progressive Democrats ten opzichte van de EU. Voor een partij die als rechts gekwalificeerd wordt, staan de Progressive Democrats opvallend positief tegenover Europese integratie. </w:t>
      </w:r>
      <w:r w:rsidRPr="00316DA4">
        <w:rPr>
          <w:rFonts w:cs="TimesNewRoman"/>
          <w:lang w:val="en-US"/>
        </w:rPr>
        <w:t>Gilland: “</w:t>
      </w:r>
      <w:r w:rsidRPr="00316DA4">
        <w:rPr>
          <w:rFonts w:cs="Arial"/>
          <w:i/>
          <w:lang w:val="en-US"/>
        </w:rPr>
        <w:t xml:space="preserve">The junior coalition party, the Progressive Democrats, also favoured a second Nice referendum, promised parliamentary scrutiny of EU business, eulogized the euro, and in general advocated strong Irish participation in all aspects of integration” </w:t>
      </w:r>
      <w:r w:rsidRPr="00316DA4">
        <w:rPr>
          <w:rFonts w:cs="Arial"/>
          <w:lang w:val="en-US"/>
        </w:rPr>
        <w:t xml:space="preserve">(Gilland, 2002:2). </w:t>
      </w:r>
      <w:r w:rsidRPr="00316DA4">
        <w:rPr>
          <w:rFonts w:cs="Arial"/>
        </w:rPr>
        <w:t>Deze quote geeft aan dat de partij zeer positief is over Europese integratie, maar dat men door het eerste  Nice-referendum wel probeert duidelijk te maken dat de partij voor meer toezicht van het nationale parlement op Europese zaken is.</w:t>
      </w:r>
    </w:p>
    <w:p w:rsidR="009623CA" w:rsidRPr="00316DA4" w:rsidRDefault="009623CA" w:rsidP="000B66B6">
      <w:pPr>
        <w:pStyle w:val="Heading2"/>
      </w:pPr>
      <w:bookmarkStart w:id="80" w:name="_Toc261538701"/>
      <w:r w:rsidRPr="00316DA4">
        <w:t>8.4: Nationale preferentie</w:t>
      </w:r>
      <w:bookmarkEnd w:id="80"/>
    </w:p>
    <w:p w:rsidR="009623CA" w:rsidRPr="00316DA4" w:rsidRDefault="009623CA" w:rsidP="000B66B6">
      <w:pPr>
        <w:autoSpaceDE w:val="0"/>
        <w:autoSpaceDN w:val="0"/>
        <w:adjustRightInd w:val="0"/>
        <w:spacing w:after="0" w:line="360" w:lineRule="auto"/>
        <w:jc w:val="both"/>
        <w:rPr>
          <w:rFonts w:cs="Arial"/>
        </w:rPr>
      </w:pPr>
      <w:r w:rsidRPr="00316DA4">
        <w:rPr>
          <w:rFonts w:cs="Arial"/>
        </w:rPr>
        <w:t>Het officiële Ierse standpunt in de discussie rondom KP7 is te vinden in een overheidsdocument getiteld ‘Irish Position Paper for the Negotiations on the 7th Framework Programme’. Hierin wordt de Ierse inzet van de onderhandelingen uit de doeken gedaan. De visie van de Ierse overheid op KP7 toont veel overeenkomsten met de visies van Nederland en Zweden. Over het algemeen is Ierland positief, maar heeft het wel enkele vrij algemene op- en aanmerkingen. Dit wordt mede veroorzaakt doordat dit standpunt over KP7 al in 2005 werd gepubliceerd, dus voordat de echt gedetailleerde onderhandelingen over KP7 van start waren gegaan. De aanmerkingen die Ierland maakt hebben voornamelijk betrekking op verminderde bureaucratie en duidelijkere regels. Daarnaast vindt Ierland dat het helder moet blijven dat KP7 een aanvulling op het nationale beleid is en geen vervanging en dat de industrie een groter aandeel moet krijgen in KP. Tenslotte stelt Ierland dat het nog niet kon bepalen of het steun zou geven aan zogenaamde ‘nieuwe prioriteiten’ binnen KP7. Dit kan Ierland pas bepalen wanneer duidelijk was hoeveel geld er precies beschikbaar zou komen voor onderzoek en ontwikkeling (Irish Department of Enterprise, Trade &amp; Employment, 2005:1/2).</w:t>
      </w:r>
    </w:p>
    <w:p w:rsidR="009623CA" w:rsidRPr="00316DA4" w:rsidRDefault="009623CA" w:rsidP="000B66B6">
      <w:pPr>
        <w:autoSpaceDE w:val="0"/>
        <w:autoSpaceDN w:val="0"/>
        <w:adjustRightInd w:val="0"/>
        <w:spacing w:after="0" w:line="360" w:lineRule="auto"/>
        <w:jc w:val="both"/>
        <w:rPr>
          <w:rFonts w:cs="Arial"/>
        </w:rPr>
      </w:pPr>
    </w:p>
    <w:p w:rsidR="009623CA" w:rsidRPr="00316DA4" w:rsidRDefault="009623CA" w:rsidP="000B66B6">
      <w:pPr>
        <w:autoSpaceDE w:val="0"/>
        <w:autoSpaceDN w:val="0"/>
        <w:adjustRightInd w:val="0"/>
        <w:spacing w:after="0" w:line="360" w:lineRule="auto"/>
        <w:jc w:val="both"/>
        <w:rPr>
          <w:rFonts w:cs="Arial"/>
        </w:rPr>
      </w:pPr>
      <w:r w:rsidRPr="00316DA4">
        <w:rPr>
          <w:rFonts w:cs="Arial"/>
        </w:rPr>
        <w:t>Dit officiële standpunt kan worden aangevuld met berichten in de media over KP7. Rond het stemmen van de Europese Raad in de zomer van 2006 hebben de Ierse media veel aandacht besteed aan KP7, waardoor het standpunt van de regering toen der tijd goed naar voren is gebracht. Ierland werd in Europa op dit gebied vertegenwoordigd door Fianna Fíal minister van Economische Zaken Micheal Martin. In The Irish Times van 24 juli 2006 bericht dat het ethische uitgangspunt van de regering is dat het wil voorkomen dat Europees geld in Ierland besteed kan worden aan embryonaal stamcelonderzoek, maar dat het niet zal proberen het gebruik van Europees geld voor dit doel in andere landen te blokkeren. De overheid is bang dat tegenstemmen kan leiden tot het vertragen van de implementatie van het hele KP7 programma, wat de Ierse onderzoekssector honderden miljoenen euro’s kan kosten (The Irish Times, 24-07-2006). Volgens deze zelfde krant zeggen goed  geïnformeerde bronnen dat het hoofddoel van de Ierse delegatie is om vast te houden aan de positie van ethische subsidiariteit. Wat wil zeggen dat het verbod op embryonaal stamcelonderzoek in Ierland van kracht blijft, maar dat er wel EU-geld aan besteed kan worden in lidstaten waar het wel toegestaan is en niet al onethisch gezien wordt (The Irish Times, 24-07-2006). De dag na de stemming wordt dit bevestigd door minister Micheal Martin zelf. Hij verwelkomt de instemming van de raad met KP7, wat hij omschrijft als een stem voor ethische subsidiariteit (The Irish Times, 25-07-2006).</w:t>
      </w:r>
    </w:p>
    <w:p w:rsidR="009623CA" w:rsidRPr="00316DA4" w:rsidRDefault="009623CA" w:rsidP="000B66B6">
      <w:pPr>
        <w:pStyle w:val="Heading2"/>
      </w:pPr>
      <w:bookmarkStart w:id="81" w:name="_Toc261538702"/>
      <w:r w:rsidRPr="00316DA4">
        <w:t>8.5: Analyse</w:t>
      </w:r>
      <w:bookmarkEnd w:id="81"/>
    </w:p>
    <w:p w:rsidR="009623CA" w:rsidRPr="00316DA4" w:rsidRDefault="009623CA" w:rsidP="000B66B6">
      <w:pPr>
        <w:spacing w:line="360" w:lineRule="auto"/>
        <w:jc w:val="both"/>
      </w:pPr>
      <w:r w:rsidRPr="00316DA4">
        <w:t>Om te bepalen welke hypothese het meest waarschijnlijk lijkt, zal bepaald moeten worden welk patroon het meest overeenkomt met de uiteindelijke nationale preferentie. Met andere woorden: is het vooral de mening van de samenleving of de mening van de regering die doorklinkt in de nationale preferentie?</w:t>
      </w:r>
    </w:p>
    <w:p w:rsidR="009623CA" w:rsidRPr="00316DA4" w:rsidRDefault="009623CA" w:rsidP="000B66B6">
      <w:pPr>
        <w:spacing w:line="360" w:lineRule="auto"/>
        <w:jc w:val="both"/>
      </w:pPr>
      <w:r w:rsidRPr="00316DA4">
        <w:t>Wanneer het officiële nationale standpunt dat uitgegeven is door het Ierse Ministerie van Economische Zaken geanalyseerd wordt, blijkt dat men bij het opzetten van dat document vooral goed geluisterd heeft naar de onderzoekssector. Het consultatieproces is dan ook uitgevoerd door de ICSTI, The Irish Council for Science, Technology and Innovation. De positieve opstelling tegenover KP7 die in dit document naar voren is gekomen, heeft Ierland tijdens het hele proces in de aanloop naar de stemming over KP7 volgehouden. Dit duidt erop dat de sector het belang van KP7 goed heeft weten duidelijk te maken en dat hun mening de basis voor de Ierse nationale preferentie heeft gevormd.</w:t>
      </w:r>
    </w:p>
    <w:p w:rsidR="009623CA" w:rsidRPr="00316DA4" w:rsidRDefault="009623CA" w:rsidP="008822CC">
      <w:pPr>
        <w:spacing w:line="360" w:lineRule="auto"/>
        <w:jc w:val="both"/>
      </w:pPr>
      <w:r w:rsidRPr="00316DA4">
        <w:t>Gezien de aanzienlijke aanwezigheid van de Katholieke Kerk en daaraan gelieerde pro-life organisaties in Ierland, viel te verwachten dat dezen een duidelijke stem zouden hebben in de nationale preferentie. Deze organisaties zijn allemaal fel tegen embryonaal stamcelonderzoek, maar toch gaat de Ierse regering niet volledig in deze mening mee. Het lijkt erop dat de regering de financiële voordelen van KP7 zwaarder laten wegen dat de ethische bezwaren die in de samenleving over KP7 worden geuit, aangezien de uiteindelijke nationale preferentie voor een katholiek land opvallend mild is tegenover embryonaal stamcelonderzoek. Zeker wanneer daarbij opgemerkt wordt dat  andere ‘katholieke’ lidstaten (Oostenrijk, Polen, Malta en Slowakije) wel over dit onderwerp gevallen zijn en tegen KP7 hebben gestemd. Toch is het niet zo dat Ierland helemaal niet luistert naar de bezwaren die leven in haar eigen samenleving. De positieve opstelling tegenover KP7 houdt stand, maar men probeert toch een compromis te vinden door er in ieder geval voor te zorgen dat embryonaal stamcelonderzoek niet in Ierland zal plaatsvinden.</w:t>
      </w:r>
    </w:p>
    <w:p w:rsidR="009623CA" w:rsidRPr="00316DA4" w:rsidRDefault="009623CA" w:rsidP="000B66B6">
      <w:pPr>
        <w:spacing w:line="360" w:lineRule="auto"/>
        <w:jc w:val="both"/>
      </w:pPr>
      <w:r w:rsidRPr="00316DA4">
        <w:t xml:space="preserve">Kan het dan zijn dat dit milde geluid tegenover embryonaal stamcelonderzoek afkomstig is vanuit de partijideologieën van de regeringspartijen Fianna Fíal en de Progressive Democrats? Zoals eerder opgemerkt worden beide partijen als ‘rechts’ aangemerkt. Fianna Fíal als een centrumrechtse parij en de Progressive Democrats als conservatiefrechts. In combinatie met het Katholieke ‘klimaat’ in Ierland valt dan te verwachten dat ze niet snel tegen de wil van de Katholieke Kerk in zullen gaan, maar niets is minder waar. De Progressive Democrats hebben in 2003 door middel van hun toenmalige minister Mary Harney, de voorganger van Micheal Martin, de Ierse milde opstelling tegenover stamcelonderzoek in Europa in gang gezet door voor opheffing van de ban daarop te stemmen. Dit is voornamelijk te verklaren door de sterke voorkeur van de Progressive Democrats vóór Europese integratie. </w:t>
      </w:r>
    </w:p>
    <w:p w:rsidR="009623CA" w:rsidRPr="00316DA4" w:rsidRDefault="009623CA" w:rsidP="000B66B6">
      <w:pPr>
        <w:spacing w:line="360" w:lineRule="auto"/>
        <w:jc w:val="both"/>
      </w:pPr>
      <w:r w:rsidRPr="00316DA4">
        <w:t>Ook bij Fianna Fíal heeft men een sterke voorkeur voor Europese integratie, maar kent men ook een stuk meer interne discussie over het onderwerp stamcelonderzoek. Toen de junior coalitiepartner Progressive Democrats bij monde van hun minister in Europa voor opheffing voor de ban stemde, was Ierland bijna te klein. Binnen de partij ontstond een tweedeling, waarbij een deel van de partij tegen de milde opstelling van Ierland tegenover stamcelonderzoek was. Toch heeft de milde opstelling het uiteindelijk gewonnen van het wegstemmen van KP7 vanwege het ethische bezwaar tegen embryonaal stamcelonderzoek. Al moet daarbij opgemerkt worden dat Ierland er wel voor gezorgd heeft dat stamcelonderzoek niet in Ierland plaats kan vinden. Daarmee heeft Ierland een compromis bereikt waardoor het wel de lusten en niet de lasten van KP7 heeft.</w:t>
      </w:r>
    </w:p>
    <w:p w:rsidR="009623CA" w:rsidRPr="00316DA4" w:rsidRDefault="009623CA" w:rsidP="000B66B6">
      <w:pPr>
        <w:pStyle w:val="Heading2"/>
      </w:pPr>
      <w:bookmarkStart w:id="82" w:name="_Toc261538703"/>
      <w:r w:rsidRPr="00316DA4">
        <w:t>8.6: Conclusie</w:t>
      </w:r>
      <w:bookmarkEnd w:id="82"/>
    </w:p>
    <w:p w:rsidR="009623CA" w:rsidRPr="00316DA4" w:rsidRDefault="009623CA" w:rsidP="000B66B6">
      <w:pPr>
        <w:spacing w:line="360" w:lineRule="auto"/>
        <w:jc w:val="both"/>
      </w:pPr>
      <w:r w:rsidRPr="00316DA4">
        <w:t>Na de analyse kan geconcludeerd worden dat er in Ierland een compromis gevonden is tussen de diverse belangen die aanwezig zijn in het land. Ondanks de sterke aanwezigheid van kerk en pro-life bewegingen heeft Ierland toch voor KP7 gestemd en daarmee lijkt het voor de financiële voordelen van KP7 te hebben gestemd.</w:t>
      </w:r>
    </w:p>
    <w:p w:rsidR="009623CA" w:rsidRPr="00316DA4" w:rsidRDefault="009623CA" w:rsidP="00B464DE">
      <w:pPr>
        <w:spacing w:line="360" w:lineRule="auto"/>
        <w:jc w:val="both"/>
      </w:pPr>
      <w:r w:rsidRPr="00316DA4">
        <w:t>Het lijkt erop dat de voorkeuren van de sector in de nationale preferentie beter zijn doorgedrongen dan die van de Katholieke Kerk. Dat dit mogelijk was heeft waarschijnlijk te maken met de sterke pro Europa ideologie die bij beide coalitiepartijen aanwezig was. Ierland heeft altijd sterk kunnen profiteren van het lidmaatschap van de Europese Unie. KP7 is weer zo’n stuk verder Europese integratie waar Ierland veel profijt van kan hebben. Dit leidt uiteindelijk tot de conclusie dat de nationale preferentie van Ierland vooral beïnvloed is door geluiden uit de Ierse onderzoekssector en voor een kleiner deel door de bezwaren van de tegenstanders. Waarschijnlijk heeft de sterke pro Europese partijideologie ook een belangrijke rol  gespeeld in het feit dat Ierland zo positief stond tegenover KP7 en kan gezegd worden dat er zonder de pro Europese partijideologie een stuk minder goed naar de onderzoekssector geluisterd zal zijn. Al met al is het moeilijk om één van de theorieën aan te merken als de verklarende voor de Ierse situatie. Gezien het compromis dat Ierland in de nationale preferentie heeft nagestreefd, lijkt het er echter op dat Ierland geprobeerd heeft naar iedereen te luisteren, maar toch net iets meer naar de onderzoekssector en de pro Europese partijideologieën. Ondanks de aanwezige invloed van partijideologie, kan niet gezegd worden dat de nationale preferentie daar enkel en alleen op is gebaseerd. Er zijn ook andere invloeden. Daarmee kan geconcludeerd worden dat de LI-benadering de werkelijkheid toch het best benaderd, ondanks dat het voorspelde patroon een Iers ‘nee’ verwachtte. De macht van de Katholieke Kerk is dan ook een stuk kleiner gebleken dan vooraf verwacht.</w:t>
      </w:r>
    </w:p>
    <w:p w:rsidR="009623CA" w:rsidRPr="00316DA4" w:rsidRDefault="009623CA" w:rsidP="00B464DE">
      <w:pPr>
        <w:spacing w:line="360" w:lineRule="auto"/>
        <w:jc w:val="both"/>
      </w:pPr>
    </w:p>
    <w:p w:rsidR="009623CA" w:rsidRPr="00316DA4" w:rsidRDefault="009623CA" w:rsidP="00B464DE">
      <w:pPr>
        <w:pStyle w:val="Heading1"/>
      </w:pPr>
    </w:p>
    <w:p w:rsidR="009623CA" w:rsidRPr="00316DA4" w:rsidRDefault="009623CA" w:rsidP="00B464DE">
      <w:pPr>
        <w:pStyle w:val="Heading1"/>
      </w:pPr>
    </w:p>
    <w:p w:rsidR="009623CA" w:rsidRPr="00316DA4" w:rsidRDefault="009623CA" w:rsidP="00B464DE">
      <w:pPr>
        <w:pStyle w:val="Heading1"/>
      </w:pPr>
    </w:p>
    <w:p w:rsidR="009623CA" w:rsidRPr="00316DA4" w:rsidRDefault="009623CA" w:rsidP="00B464DE">
      <w:pPr>
        <w:pStyle w:val="Heading1"/>
      </w:pPr>
    </w:p>
    <w:p w:rsidR="009623CA" w:rsidRPr="00316DA4" w:rsidRDefault="009623CA" w:rsidP="00B464DE">
      <w:pPr>
        <w:pStyle w:val="Heading1"/>
      </w:pPr>
    </w:p>
    <w:p w:rsidR="009623CA" w:rsidRPr="00316DA4" w:rsidRDefault="009623CA" w:rsidP="00B464DE">
      <w:pPr>
        <w:pStyle w:val="Heading1"/>
      </w:pPr>
    </w:p>
    <w:p w:rsidR="009623CA" w:rsidRPr="00316DA4" w:rsidRDefault="009623CA" w:rsidP="00B81C31"/>
    <w:p w:rsidR="009623CA" w:rsidRPr="00316DA4" w:rsidRDefault="009623CA" w:rsidP="00B81C31"/>
    <w:p w:rsidR="009623CA" w:rsidRPr="00316DA4" w:rsidRDefault="009623CA" w:rsidP="00B81C31"/>
    <w:p w:rsidR="009623CA" w:rsidRPr="00316DA4" w:rsidRDefault="009623CA" w:rsidP="00B81C31"/>
    <w:p w:rsidR="009623CA" w:rsidRPr="00316DA4" w:rsidRDefault="009623CA" w:rsidP="00B81C31"/>
    <w:p w:rsidR="009623CA" w:rsidRPr="00316DA4" w:rsidRDefault="009623CA" w:rsidP="00DE22D5"/>
    <w:p w:rsidR="009623CA" w:rsidRPr="00316DA4" w:rsidRDefault="009623CA" w:rsidP="00DE22D5"/>
    <w:p w:rsidR="009623CA" w:rsidRPr="00316DA4" w:rsidRDefault="009623CA" w:rsidP="00DE22D5"/>
    <w:p w:rsidR="009623CA" w:rsidRPr="00316DA4" w:rsidRDefault="009623CA" w:rsidP="00DE22D5"/>
    <w:p w:rsidR="009623CA" w:rsidRPr="00316DA4" w:rsidRDefault="009623CA" w:rsidP="00DE22D5"/>
    <w:p w:rsidR="009623CA" w:rsidRPr="00316DA4" w:rsidRDefault="009623CA" w:rsidP="00DE22D5"/>
    <w:p w:rsidR="009623CA" w:rsidRPr="00316DA4" w:rsidRDefault="009623CA" w:rsidP="00DE22D5"/>
    <w:p w:rsidR="009623CA" w:rsidRPr="00316DA4" w:rsidRDefault="009623CA" w:rsidP="00DE22D5"/>
    <w:p w:rsidR="009623CA" w:rsidRPr="00316DA4" w:rsidRDefault="009623CA" w:rsidP="00DE22D5"/>
    <w:p w:rsidR="009623CA" w:rsidRPr="00316DA4" w:rsidRDefault="009623CA" w:rsidP="00DE22D5">
      <w:pPr>
        <w:pStyle w:val="Heading1"/>
      </w:pPr>
      <w:bookmarkStart w:id="83" w:name="_Toc261538704"/>
      <w:r w:rsidRPr="00316DA4">
        <w:t>9: Analyse</w:t>
      </w:r>
      <w:bookmarkEnd w:id="83"/>
    </w:p>
    <w:p w:rsidR="009623CA" w:rsidRPr="00316DA4" w:rsidRDefault="009623CA" w:rsidP="00754738">
      <w:pPr>
        <w:pStyle w:val="Heading2"/>
      </w:pPr>
      <w:bookmarkStart w:id="84" w:name="_Toc261538705"/>
      <w:r w:rsidRPr="00316DA4">
        <w:t>9.1: Introductie</w:t>
      </w:r>
      <w:bookmarkEnd w:id="84"/>
    </w:p>
    <w:p w:rsidR="009623CA" w:rsidRPr="00316DA4" w:rsidRDefault="009623CA" w:rsidP="00754738">
      <w:pPr>
        <w:spacing w:line="360" w:lineRule="auto"/>
        <w:jc w:val="both"/>
      </w:pPr>
      <w:r w:rsidRPr="00316DA4">
        <w:t xml:space="preserve">Nu de vier gekozen lidstaten allemaal behandeld zijn is het zaak om de vier landen met elkaar te vergelijken en zodoende tot beantwoording van de centrale vraagstelling van dit onderzoek te komen. </w:t>
      </w:r>
    </w:p>
    <w:p w:rsidR="009623CA" w:rsidRPr="00316DA4" w:rsidRDefault="009623CA" w:rsidP="00754738">
      <w:pPr>
        <w:spacing w:line="360" w:lineRule="auto"/>
        <w:jc w:val="both"/>
      </w:pPr>
      <w:r w:rsidRPr="00316DA4">
        <w:t>Deze vraagstelling was als volgt:</w:t>
      </w:r>
    </w:p>
    <w:p w:rsidR="009623CA" w:rsidRPr="00316DA4" w:rsidRDefault="009623CA" w:rsidP="00754738">
      <w:pPr>
        <w:spacing w:line="360" w:lineRule="auto"/>
        <w:jc w:val="both"/>
        <w:rPr>
          <w:i/>
        </w:rPr>
      </w:pPr>
      <w:r w:rsidRPr="00316DA4">
        <w:rPr>
          <w:i/>
        </w:rPr>
        <w:t>Welke theorie is het best in staat de totstandkoming van de nationale preferentie met betrekking tot Europees beleid te verklaren en welke rol speelt religie daarbij?</w:t>
      </w:r>
    </w:p>
    <w:p w:rsidR="009623CA" w:rsidRPr="00316DA4" w:rsidRDefault="009623CA" w:rsidP="00754738">
      <w:pPr>
        <w:spacing w:line="360" w:lineRule="auto"/>
        <w:jc w:val="both"/>
      </w:pPr>
      <w:r w:rsidRPr="00316DA4">
        <w:t xml:space="preserve">Om tot een antwoord te komen zijn er vier deelvragen die nu voor elk land afzonderlijk beantwoord kunnen worden, waarna vergeleken kan worden in hoeverre er overeenkomsten dan wel verschillen zijn in de totstandkoming van de nationale preferenties van Malta, Nederland, Zweden en Ierland. De te behandelen deelvragen zijn </w:t>
      </w:r>
      <w:r w:rsidRPr="00316DA4">
        <w:rPr>
          <w:i/>
        </w:rPr>
        <w:t>hoe groot was de  invloed van  de ideologie van de regeringspartij op de nationale preferentie?</w:t>
      </w:r>
      <w:r w:rsidRPr="00316DA4">
        <w:t xml:space="preserve"> (1), </w:t>
      </w:r>
      <w:r w:rsidRPr="00316DA4">
        <w:rPr>
          <w:i/>
        </w:rPr>
        <w:t>hoe groot was de invloed van georganiseerde groepen op de nationale preferentie?</w:t>
      </w:r>
      <w:r w:rsidRPr="00316DA4">
        <w:t xml:space="preserve"> (2</w:t>
      </w:r>
      <w:r w:rsidRPr="00316DA4">
        <w:rPr>
          <w:i/>
        </w:rPr>
        <w:t>), waren er religieuze invloeden die een rol speelde bij de totstandkoming van de nationale preferentie?</w:t>
      </w:r>
      <w:r w:rsidRPr="00316DA4">
        <w:t xml:space="preserve"> (3) en tenslotte </w:t>
      </w:r>
      <w:r w:rsidRPr="00316DA4">
        <w:rPr>
          <w:i/>
        </w:rPr>
        <w:t>welk theoretisch perspectief is het best in staat geweest te verklaren hoe het proces is verlopen, ofwel, welke theorie komt het best overeen met het waargenomen patroon?</w:t>
      </w:r>
      <w:r w:rsidRPr="00316DA4">
        <w:t xml:space="preserve"> (4).</w:t>
      </w:r>
    </w:p>
    <w:p w:rsidR="009623CA" w:rsidRPr="00316DA4" w:rsidRDefault="009623CA" w:rsidP="00754738">
      <w:pPr>
        <w:pStyle w:val="Heading2"/>
      </w:pPr>
      <w:bookmarkStart w:id="85" w:name="_Toc261538706"/>
      <w:r w:rsidRPr="00316DA4">
        <w:t>9.2: Malta</w:t>
      </w:r>
      <w:bookmarkEnd w:id="85"/>
    </w:p>
    <w:p w:rsidR="009623CA" w:rsidRPr="00316DA4" w:rsidRDefault="009623CA" w:rsidP="00754738">
      <w:pPr>
        <w:spacing w:line="360" w:lineRule="auto"/>
        <w:jc w:val="both"/>
      </w:pPr>
      <w:r w:rsidRPr="00316DA4">
        <w:t xml:space="preserve">In Malta is het erg moeilijk geweest om te bepalen wie nu precies invloed heeft uitgeoefend op de nationale preferentie. Feit is dat de ideologie van de regeringspartij sterk is terug te vinden in de nationale preferentie. Op de eerste deelvraag kan dan ook geantwoord worden dat de invloed van de ideologie van de regeringspartij groot is geweest. </w:t>
      </w:r>
    </w:p>
    <w:p w:rsidR="009623CA" w:rsidRPr="00316DA4" w:rsidRDefault="009623CA" w:rsidP="00754738">
      <w:pPr>
        <w:spacing w:line="360" w:lineRule="auto"/>
        <w:jc w:val="both"/>
      </w:pPr>
      <w:r w:rsidRPr="00316DA4">
        <w:t xml:space="preserve">Daarnaast is het zo dat er weinig tekenen zijn dat er georganiseerde groepen zijn die zich actief bemoeit hebben met de nationale preferentie met betrekking tot KP7. Deelvraag twee kan dan ook beantwoord worden met dat de invloed van georganiseerde groepen marginaal geweest is. </w:t>
      </w:r>
    </w:p>
    <w:p w:rsidR="009623CA" w:rsidRPr="00316DA4" w:rsidRDefault="009623CA" w:rsidP="00754738">
      <w:pPr>
        <w:spacing w:line="360" w:lineRule="auto"/>
        <w:jc w:val="both"/>
      </w:pPr>
      <w:r w:rsidRPr="00316DA4">
        <w:t>Van religieuze invloeden is wel degelijk sprake in Malta. De nationale preferentie komt niet alleen overeen met die van de ideologie van de regeringspartij, maar ook met de ideologie van de Katholieke Kerk. Hoewel het moeilijk is om te achterhalen of er sprake is geweest van directe invloed op de nationale preferentie, getuigen de grote overeenkomsten tussen de nationale preferentie en de mening van de Katholieke Kerk er in ieder geval wel van dat er sprake van invloed is. Het is daarbij dus alleen de vraag of dit door directe beïnvloeding komt of dat geloof en politiek op Malta zoveel met elkaar verweven zijn dat de mening van de kerk over dit soort onderwerpen ook automatisch de mening van de politiek is.</w:t>
      </w:r>
    </w:p>
    <w:p w:rsidR="009623CA" w:rsidRPr="00316DA4" w:rsidRDefault="009623CA" w:rsidP="00754738">
      <w:pPr>
        <w:spacing w:line="360" w:lineRule="auto"/>
        <w:jc w:val="both"/>
      </w:pPr>
      <w:r w:rsidRPr="00316DA4">
        <w:t xml:space="preserve"> Op de vierde deelvraag kan tenslotte beantwoord worden dat het er op lijkt dat de partijideologische benadering de waarheid op Malta dichter benaderd dan de LI-benadering.  Beide verklaringen ontlopen elkaar niet veel, maar omdat er geen duidelijke bewijzen zijn gevonden van directe beïnvloeding door de Katholieke Kerk, is het waarschijnlijker dat de regeringspartij met behulp van de eigen ideologie tot deze conclusie gekomen is. Al moet daarbij opgemerkt worden dat deze eigen ideologie wel ingegeven is door de denkwijze van de Katholieke Kerk.</w:t>
      </w:r>
    </w:p>
    <w:p w:rsidR="009623CA" w:rsidRPr="00316DA4" w:rsidRDefault="009623CA" w:rsidP="00754738">
      <w:pPr>
        <w:pStyle w:val="Heading2"/>
      </w:pPr>
      <w:bookmarkStart w:id="86" w:name="_Toc261538707"/>
      <w:r w:rsidRPr="00316DA4">
        <w:t>9.3: Nederland</w:t>
      </w:r>
      <w:bookmarkEnd w:id="86"/>
    </w:p>
    <w:p w:rsidR="009623CA" w:rsidRPr="00316DA4" w:rsidRDefault="009623CA" w:rsidP="00754738">
      <w:pPr>
        <w:spacing w:line="360" w:lineRule="auto"/>
        <w:jc w:val="both"/>
      </w:pPr>
      <w:r w:rsidRPr="00316DA4">
        <w:t xml:space="preserve">De Nederlandse situatie ligt een stuk anders dan die van Malta. In Nederland zijn er veel goed georganiseerde groepen in de samenleving. Groepen die machtig genoeg zijn om hun invloed uit te kunnen oefenen op een nationale preferentie wanneer dit nodig is. In het geval van KP7 zijn het met name de wetenschappelijke- en werkgeversorganisaties die zich hebben ingezet voor KP7. Dit zijn de partijen die het meeste profijt kunnen hebben van KP7. In Nederland is stamcelonderzoek verder geen groot genoeg issue gebleken voor andere groeperingen om zich met de nationale preferentie met betrekking tot KP7 te bemoeien. De mening van de wetenschappelijke- en werkgeversorganisaties over KP7 is wel goed doorgedrongen tot de uiteindelijke nationale preferentie. Deelvraag twee kan dan ook beantwoord worden met dat er georganiseerde groepen zijn geweest die invloed hebben uitgeoefend op de nationale preferentie en dat deze invloed aanzienlijk is geweest. </w:t>
      </w:r>
    </w:p>
    <w:p w:rsidR="009623CA" w:rsidRPr="00316DA4" w:rsidRDefault="009623CA" w:rsidP="00754738">
      <w:pPr>
        <w:spacing w:line="360" w:lineRule="auto"/>
        <w:jc w:val="both"/>
      </w:pPr>
      <w:r w:rsidRPr="00316DA4">
        <w:t>Daar tegenover staat dat de invloed van de ideologie van de regeringspartijen een stuk minder lijkt te zijn. De grootse regeringspartij, het CDA, is vanuit de ideologie eigenlijk tegen embryonaal stamcelonderzoek, maar laat de economische voordelen van KP7 zwaarder wegen. De VVD is juist voor versoepeling van de regelgeving. Door deze patstelling lijkt het dat er vanuit partijideologie geen echt duidelijke keuze gemaakt wordt. Dat het CDA in dit geval van redelijk makkelijk van haar ideologie afwijkt, kan gezien worden als een voorbeeld van ‘bestuurlijke discretie’, zoals Moravcsik dit kent. Het onderwerp van het beleidsvoorstel heeft te weinig belangstelling in de samenleving, waardoor een regering meer ruimte heeft om haar eigen lijn te trekken.  Deelvraag één kan dan ook beantwoord worden met dat de invloed van partijideologie in dit geval niet groot is geweest. Het economisch gewin van de belanghebbende organisaties heeft het gewonnen van de ethische bezwaren.</w:t>
      </w:r>
    </w:p>
    <w:p w:rsidR="009623CA" w:rsidRPr="00316DA4" w:rsidRDefault="009623CA" w:rsidP="00754738">
      <w:pPr>
        <w:spacing w:line="360" w:lineRule="auto"/>
        <w:jc w:val="both"/>
      </w:pPr>
      <w:r w:rsidRPr="00316DA4">
        <w:t xml:space="preserve"> Toch waren er wel religieuze bezwaren. Hoewel de Katholieke Kerk in Nederland niet zo groot is als in bepaalde andere lidstaten, heeft deze kerk wel het standpunt van het Vaticaan duidelijk gemaakt. Gezien de nationale preferentie is het blijkbaar niet gelukt om dit standpunt door te laten dringen tot de nationale preferentie. Ondanks dat een van oorsprong Katholieke partij deel uitmaakte van de regering. Het antwoord op deelvraag drie is dan ook dat er weinig religieuze invloed is geweest op de nationale preferentie.</w:t>
      </w:r>
    </w:p>
    <w:p w:rsidR="009623CA" w:rsidRPr="00316DA4" w:rsidRDefault="009623CA" w:rsidP="00754738">
      <w:pPr>
        <w:spacing w:line="360" w:lineRule="auto"/>
        <w:jc w:val="both"/>
      </w:pPr>
      <w:r w:rsidRPr="00316DA4">
        <w:t xml:space="preserve"> Hoewel vanuit beiden vooropgestelde hypotheses waarschijnlijk werd geacht dat Nederland voor KP7 zou stemmen, lijkt het erop dat de LI-benadering in Nederland het dichtst bij het waargenomen patroon in de buurt komt. Deze conclusie is voornamelijk gebaseerd op het feit dat de mening van de wetenschappelijke- en werkgeversorganisaties zo duidelijk door is gedrongen tot de nationale preferentie.</w:t>
      </w:r>
    </w:p>
    <w:p w:rsidR="009623CA" w:rsidRPr="00316DA4" w:rsidRDefault="009623CA" w:rsidP="00754738">
      <w:pPr>
        <w:pStyle w:val="Heading2"/>
      </w:pPr>
      <w:bookmarkStart w:id="87" w:name="_Toc261538708"/>
      <w:r w:rsidRPr="00316DA4">
        <w:t>9.4: Zweden</w:t>
      </w:r>
      <w:bookmarkEnd w:id="87"/>
    </w:p>
    <w:p w:rsidR="009623CA" w:rsidRPr="00316DA4" w:rsidRDefault="009623CA" w:rsidP="00754738">
      <w:pPr>
        <w:spacing w:line="360" w:lineRule="auto"/>
        <w:jc w:val="both"/>
      </w:pPr>
      <w:r w:rsidRPr="00316DA4">
        <w:t xml:space="preserve">Na Nederland is Zweden ook een voorbeeld van een land waar de Katholieke Kerk niet overduidelijk aanwezig is. Zweden heeft lange tijd een nationale kerk gehad, de lutherse Svenska Kyrken. Hierdoor is het Katholieke geloof nagenoeg afwezig in Zweden. Daarmee is deelvraag drie voor dit onderzoek gelijk te beantwoorden met dat er geen bewijzen zijn voor religieuze invloeden. Niet van de voor dit onderzoek interessante Katholieke Kerk en ook niet van de Svenska Kyrken. </w:t>
      </w:r>
    </w:p>
    <w:p w:rsidR="009623CA" w:rsidRPr="00316DA4" w:rsidRDefault="009623CA" w:rsidP="00754738">
      <w:pPr>
        <w:spacing w:line="360" w:lineRule="auto"/>
        <w:jc w:val="both"/>
      </w:pPr>
      <w:r w:rsidRPr="00316DA4">
        <w:t xml:space="preserve">Van invloeden op de nationale preferentie vanuit de samenleving en vanuit de ideologie van de regeringspartij is wel sprake in Zweden. Om te beginnen met deelvraag één: het stimuleren van stamcelonderzoek is zo’n belangrijk punt voor de regeringspartij dat het zelfs expliciet genoemd wordt in het partijprogramma. Dat Zweden zo’n positieve opstelling heeft tegenover embryonaal stamcelonderzoek is dan ook goed te verklaren vanuit de partijideologische verklaring. Het lijkt er dus op dat deelvraag één beantwoord kan worden met dat de invloed vanuit de partijideologie op de nationale preferentie groot is. </w:t>
      </w:r>
    </w:p>
    <w:p w:rsidR="009623CA" w:rsidRPr="00316DA4" w:rsidRDefault="009623CA" w:rsidP="00754738">
      <w:pPr>
        <w:spacing w:line="360" w:lineRule="auto"/>
        <w:jc w:val="both"/>
      </w:pPr>
      <w:r w:rsidRPr="00316DA4">
        <w:t xml:space="preserve">Daarmee kan niet gelijk het antwoord op deelvraag vier gegeven worden. Het is gebleken dat ook georganiseerde groepen in de samenleving hun preferentie duidelijk gemaakt hebben. Net als in Nederland zijn dit wetenschappelijke- en werkgeversorganisaties. Aangezien zij de belanghebbenden zijn bij KP7, hebben zij zich positief geuit over KP7. Dit is dan ook duidelijk terug te vinden in de nationale preferentie. Ook de kritiekpunten op de plannen voor KP7 vanuit de sector lijken rechtstreeks te zijn overgenomen in de nationale sector. Hieruit blijkt dat deelvraag twee beantwoord kan worden met dat de invloed van de sector op de nationale preferentie zeer groot is geweest. </w:t>
      </w:r>
    </w:p>
    <w:p w:rsidR="009623CA" w:rsidRPr="00316DA4" w:rsidRDefault="009623CA" w:rsidP="00754738">
      <w:pPr>
        <w:spacing w:line="360" w:lineRule="auto"/>
        <w:jc w:val="both"/>
      </w:pPr>
      <w:r w:rsidRPr="00316DA4">
        <w:t>Daarmee rest alleen deelvraag vier nog. Doordat de regering en sector eigenlijk hetzelfde denken over KP7 is het moeilijk te bepalen wie nu precies de grootste invloed heeft gehad op de nationale preferentie. Vanuit beide hypotheses was sowieso al weinig weerstand tegen KP7 te verwachten. Het lijkt er het meest op de ideologie van de regering gebaseerd is op de wensen vanuit de samenleving of daar in ieder geval mee aangevuld is. Gezien de geringe belangstelling vanuit de samenleving lijkt het erop dat ook in Zweden de regering behoorlijk gebruik heeft kunnen maken van haar bestuurlijke discretie.  De grote eensgezindheid tussen de belanghebbende in de samenleving en de regering  wijst erop dat deelvraag vier beantwoord kan worden met dat het daadwerkelijke patroon het meest overeenkomt het volgens de LI-benadering voorspelde patroon.</w:t>
      </w:r>
    </w:p>
    <w:p w:rsidR="009623CA" w:rsidRPr="00316DA4" w:rsidRDefault="009623CA" w:rsidP="00754738">
      <w:pPr>
        <w:pStyle w:val="Heading2"/>
      </w:pPr>
      <w:bookmarkStart w:id="88" w:name="_Toc261538709"/>
      <w:r w:rsidRPr="00316DA4">
        <w:t>9.5: Ierland</w:t>
      </w:r>
      <w:bookmarkEnd w:id="88"/>
    </w:p>
    <w:p w:rsidR="009623CA" w:rsidRPr="00316DA4" w:rsidRDefault="009623CA" w:rsidP="00754738">
      <w:pPr>
        <w:spacing w:line="360" w:lineRule="auto"/>
        <w:jc w:val="both"/>
      </w:pPr>
      <w:r w:rsidRPr="00316DA4">
        <w:t xml:space="preserve">Ierland tenslotte is een land waar het Katholieke geloof wel als zeer aanwezig aangemerkt kan worden. Gebleken is dat de ideologie van de kerk lange tijd de politiek beheerst heeft. Het is dus de vraag of dat nu nog steeds het geval is? Doordat het niet gelukt is expliciete standpunten van de regeringspartijen over stamcelonderzoek te vinden is het moeilijk om deelvraag één te beantwoorden. Binnen de grootste regeringspartij, Fianna Fail, is onenigheid geweest over het ‘ja’ van Ierland voor KP7. Wat dat betreft lijkt het erop dat het niet de partijideologie van deze partij is geweest die de nationale preferentie heeft beïnvloed. Dit kan ook het gevolg zijn van de onenigheid binnen de partij. Hierdoor is het voor de regeringspartij niet duidelijk welke lijn er vanuit de ideologie gevolgd moet worden. Het feit dat de positieve opstelling van Ierland tegenover KP7 is ingezet door een minister van coalitiegenoot Progressive Democrats, wijst erop dat deze partij vanuit de ideologie wel positiever staat tegenover KP7 en stamcelonderzoek. Ondanks dat deze partij rechtser gekwalificeerd kan worden dan Fianna Fail. De positieve opstelling van de Progressive Democrats wordt waarschijnlijk ingegeven door de sterke pro-Europese ideologie van deze partij. De positieve nationale preferentie tegenover KP7 kan hierdoor vanuit de partijideologie verklaard worden. Deelvraag één kan dus beantwoord worden met dat de invloed van partijideologie aanwezig is in de nationale preferentie, maar niet van de conservatieve kant die je in Ierland zou verwachten. Het pro-Europa gevoel is zo sterk dat dit de conservatieve geluiden vanuit beide partijen overstemd. Toch is het niet zo dat er geen andere groeperingen zijn die hebben geprobeerd hun invloed uit te oefenen op de nationale preferentie. </w:t>
      </w:r>
    </w:p>
    <w:p w:rsidR="009623CA" w:rsidRPr="00316DA4" w:rsidRDefault="009623CA" w:rsidP="00754738">
      <w:pPr>
        <w:spacing w:line="360" w:lineRule="auto"/>
        <w:jc w:val="both"/>
      </w:pPr>
      <w:r w:rsidRPr="00316DA4">
        <w:t xml:space="preserve">Wetenschappelijke- en werkgeversorganisatie hebben zich net als in andere lidstaten positief uitgelaten over KP7. In Ierland is echter ook een sterke pro-life beweging aanwezig die zich tegen KP7 heeft gekant, vanwege de ethische bezwaren omtrent embryonaal stamcelonderzoek. In de officiële overheidsdocumenten zijn voornamelijk de standpunten van de sector te vinden. In het Europese debat komen echter wel de ethische bezwaren vanuit de Ierse samenleving naar voren. Dit uit zich door de opstelling van Ierland dat het wel voor KP7 wil stemmen, zolang elke lidstaat maar zelf kan bepalen of het stamcelonderzoek toelaat of niet. Deelvraag twee kan daarom beantwoord worden met dat groepen in de samenleving invloed hebben gehad op de nationale preferentie. Zowel de voorkeur van de direct belanghebbenden als de bezwaren van de tegenstanders komen erin naar voren. </w:t>
      </w:r>
    </w:p>
    <w:p w:rsidR="009623CA" w:rsidRPr="00316DA4" w:rsidRDefault="009623CA" w:rsidP="00754738">
      <w:pPr>
        <w:spacing w:line="360" w:lineRule="auto"/>
        <w:jc w:val="both"/>
      </w:pPr>
      <w:r w:rsidRPr="00316DA4">
        <w:t xml:space="preserve">De opstelling van de pro-life beweging berust op dezelfde sentimenten als die van de Katholieke Kerk. Ook de Katholieke Kerk in Ierland heeft zich bemoeit met de nationale preferentie en met het standpunt van deze organisatie wordt rekening gehouden. De derde deelvraag kan dus beantwoord worden met dat er sprake is van religieuze invloeden in de nationale preferentie, al kan niet expliciet gezegd worden of dit komt door de pro-life beweging of de Katholieke Kerk in Ierland of een gezamenlijke optreden. De Ierse nationale preferentie lijkt wel een mooi compromis te zijn tussen alle belanghebbende partijen. Zowel de voorstanders als de tegenstanders lijken er mee gediend te worden. Er komt geen embryonaal stamcelonderzoek naar Ierland, maar KP7 vind wel doorgang. </w:t>
      </w:r>
    </w:p>
    <w:p w:rsidR="009623CA" w:rsidRPr="00316DA4" w:rsidRDefault="009623CA" w:rsidP="00754738">
      <w:pPr>
        <w:spacing w:line="360" w:lineRule="auto"/>
        <w:jc w:val="both"/>
      </w:pPr>
      <w:r w:rsidRPr="00316DA4">
        <w:t>Daarmee lijkt de Ierse nationale preferentie op een geaggregeerde mening zoals Moravcsik deze voorziet in zijn LI-benadering. Dat is dan ook gelijk het antwoord op deelvraag vier. In Ierland lijkt de LI-benadering het best de Ierse opstelling te kunnen verklaren. Dit ondanks dat de hypothese de verwachting uitsprak dat Ierland tegen zou stemmen. De kracht van de Katholieke Kerk in Ierland lijkt daarin iets te zijn overschat.</w:t>
      </w:r>
    </w:p>
    <w:p w:rsidR="009623CA" w:rsidRPr="00316DA4" w:rsidRDefault="009623CA" w:rsidP="00502591">
      <w:pPr>
        <w:pStyle w:val="Heading2"/>
      </w:pPr>
      <w:bookmarkStart w:id="89" w:name="_Toc261538710"/>
      <w:r w:rsidRPr="00316DA4">
        <w:t>9.6: Vergelijking</w:t>
      </w:r>
      <w:bookmarkEnd w:id="89"/>
    </w:p>
    <w:p w:rsidR="009623CA" w:rsidRPr="00316DA4" w:rsidRDefault="009623CA" w:rsidP="00754738">
      <w:pPr>
        <w:spacing w:line="360" w:lineRule="auto"/>
        <w:jc w:val="both"/>
      </w:pPr>
      <w:r w:rsidRPr="00316DA4">
        <w:t>Wanneer de beantwoording van de vier deelvragen voor elke onderzochte lidstaat met elkaar vergeleken worden, valt op dat er verschillen bestaan in hoe lidstaten om zijn gegaan met de nationale preferentie met betrekking tot KP7. Om de verschillen goed duidelijk te maken zullen ze hier per deelvraag behandeld worden. Daarnaast wordt ook ingegaan op de twee gebruikte theorieën. Na het beantwoorden van de deelvragen kan geanalyseerd worden in hoeverre de theorieën juist zijn bevonden in dit onderzoek en wat de sterke en zwakke punten van beiden zijn. Om de verschillen tussen de lidstaten duidelijk te maken, zijn de antwoorden op de deelvragen hieronder schematisch weergegeven:</w:t>
      </w:r>
    </w:p>
    <w:tbl>
      <w:tblPr>
        <w:tblW w:w="9523" w:type="dxa"/>
        <w:tblBorders>
          <w:top w:val="single" w:sz="8" w:space="0" w:color="E5E5E5"/>
          <w:left w:val="single" w:sz="8" w:space="0" w:color="E5E5E5"/>
          <w:bottom w:val="single" w:sz="8" w:space="0" w:color="E5E5E5"/>
          <w:right w:val="single" w:sz="8" w:space="0" w:color="E5E5E5"/>
          <w:insideH w:val="single" w:sz="8" w:space="0" w:color="E5E5E5"/>
        </w:tblBorders>
        <w:tblLook w:val="00A0"/>
      </w:tblPr>
      <w:tblGrid>
        <w:gridCol w:w="1896"/>
        <w:gridCol w:w="1937"/>
        <w:gridCol w:w="1896"/>
        <w:gridCol w:w="1897"/>
        <w:gridCol w:w="1897"/>
      </w:tblGrid>
      <w:tr w:rsidR="009623CA" w:rsidRPr="00316DA4" w:rsidTr="00CE27B4">
        <w:trPr>
          <w:trHeight w:val="58"/>
        </w:trPr>
        <w:tc>
          <w:tcPr>
            <w:tcW w:w="1896" w:type="dxa"/>
            <w:tcBorders>
              <w:right w:val="nil"/>
            </w:tcBorders>
            <w:shd w:val="clear" w:color="auto" w:fill="DDDDDD"/>
          </w:tcPr>
          <w:p w:rsidR="009623CA" w:rsidRPr="00316DA4" w:rsidRDefault="009623CA" w:rsidP="00CE27B4">
            <w:pPr>
              <w:spacing w:after="0" w:line="240" w:lineRule="auto"/>
              <w:rPr>
                <w:b/>
                <w:bCs/>
                <w:color w:val="FFFFFF"/>
              </w:rPr>
            </w:pPr>
            <w:r w:rsidRPr="00316DA4">
              <w:rPr>
                <w:b/>
                <w:bCs/>
                <w:color w:val="FFFFFF"/>
              </w:rPr>
              <w:t>Deelvraag/Land</w:t>
            </w:r>
          </w:p>
        </w:tc>
        <w:tc>
          <w:tcPr>
            <w:tcW w:w="1937" w:type="dxa"/>
            <w:tcBorders>
              <w:left w:val="nil"/>
              <w:right w:val="nil"/>
            </w:tcBorders>
            <w:shd w:val="clear" w:color="auto" w:fill="DDDDDD"/>
          </w:tcPr>
          <w:p w:rsidR="009623CA" w:rsidRPr="00316DA4" w:rsidRDefault="009623CA" w:rsidP="00CE27B4">
            <w:pPr>
              <w:spacing w:after="0" w:line="240" w:lineRule="auto"/>
              <w:rPr>
                <w:b/>
                <w:bCs/>
                <w:color w:val="FFFFFF"/>
              </w:rPr>
            </w:pPr>
            <w:r w:rsidRPr="00316DA4">
              <w:rPr>
                <w:b/>
                <w:bCs/>
                <w:color w:val="FFFFFF"/>
              </w:rPr>
              <w:t>Malta</w:t>
            </w:r>
          </w:p>
        </w:tc>
        <w:tc>
          <w:tcPr>
            <w:tcW w:w="1896" w:type="dxa"/>
            <w:tcBorders>
              <w:left w:val="nil"/>
              <w:right w:val="nil"/>
            </w:tcBorders>
            <w:shd w:val="clear" w:color="auto" w:fill="DDDDDD"/>
          </w:tcPr>
          <w:p w:rsidR="009623CA" w:rsidRPr="00316DA4" w:rsidRDefault="009623CA" w:rsidP="00CE27B4">
            <w:pPr>
              <w:spacing w:after="0" w:line="240" w:lineRule="auto"/>
              <w:rPr>
                <w:b/>
                <w:bCs/>
                <w:color w:val="FFFFFF"/>
              </w:rPr>
            </w:pPr>
            <w:r w:rsidRPr="00316DA4">
              <w:rPr>
                <w:b/>
                <w:bCs/>
                <w:color w:val="FFFFFF"/>
              </w:rPr>
              <w:t>Nederland</w:t>
            </w:r>
          </w:p>
        </w:tc>
        <w:tc>
          <w:tcPr>
            <w:tcW w:w="1897" w:type="dxa"/>
            <w:tcBorders>
              <w:left w:val="nil"/>
              <w:right w:val="nil"/>
            </w:tcBorders>
            <w:shd w:val="clear" w:color="auto" w:fill="DDDDDD"/>
          </w:tcPr>
          <w:p w:rsidR="009623CA" w:rsidRPr="00316DA4" w:rsidRDefault="009623CA" w:rsidP="00CE27B4">
            <w:pPr>
              <w:spacing w:after="0" w:line="240" w:lineRule="auto"/>
              <w:rPr>
                <w:b/>
                <w:bCs/>
                <w:color w:val="FFFFFF"/>
              </w:rPr>
            </w:pPr>
            <w:r w:rsidRPr="00316DA4">
              <w:rPr>
                <w:b/>
                <w:bCs/>
                <w:color w:val="FFFFFF"/>
              </w:rPr>
              <w:t>Zweden</w:t>
            </w:r>
          </w:p>
        </w:tc>
        <w:tc>
          <w:tcPr>
            <w:tcW w:w="1897" w:type="dxa"/>
            <w:tcBorders>
              <w:left w:val="nil"/>
            </w:tcBorders>
            <w:shd w:val="clear" w:color="auto" w:fill="DDDDDD"/>
          </w:tcPr>
          <w:p w:rsidR="009623CA" w:rsidRPr="00316DA4" w:rsidRDefault="009623CA" w:rsidP="00CE27B4">
            <w:pPr>
              <w:spacing w:after="0" w:line="240" w:lineRule="auto"/>
              <w:rPr>
                <w:b/>
                <w:bCs/>
                <w:color w:val="FFFFFF"/>
              </w:rPr>
            </w:pPr>
            <w:r w:rsidRPr="00316DA4">
              <w:rPr>
                <w:b/>
                <w:bCs/>
                <w:color w:val="FFFFFF"/>
              </w:rPr>
              <w:t>Ierland</w:t>
            </w:r>
          </w:p>
        </w:tc>
      </w:tr>
      <w:tr w:rsidR="009623CA" w:rsidRPr="00316DA4" w:rsidTr="00CE27B4">
        <w:trPr>
          <w:trHeight w:val="111"/>
        </w:trPr>
        <w:tc>
          <w:tcPr>
            <w:tcW w:w="1896" w:type="dxa"/>
            <w:tcBorders>
              <w:right w:val="nil"/>
            </w:tcBorders>
            <w:shd w:val="clear" w:color="auto" w:fill="F6F6F6"/>
          </w:tcPr>
          <w:p w:rsidR="009623CA" w:rsidRPr="00316DA4" w:rsidRDefault="009623CA" w:rsidP="00CE27B4">
            <w:pPr>
              <w:spacing w:after="0" w:line="240" w:lineRule="auto"/>
              <w:rPr>
                <w:b/>
                <w:bCs/>
                <w:sz w:val="18"/>
                <w:szCs w:val="18"/>
              </w:rPr>
            </w:pPr>
            <w:r w:rsidRPr="00316DA4">
              <w:rPr>
                <w:b/>
                <w:bCs/>
                <w:sz w:val="18"/>
                <w:szCs w:val="18"/>
              </w:rPr>
              <w:t xml:space="preserve">1: </w:t>
            </w:r>
            <w:r w:rsidRPr="00316DA4">
              <w:rPr>
                <w:b/>
                <w:bCs/>
                <w:i/>
                <w:sz w:val="18"/>
                <w:szCs w:val="18"/>
              </w:rPr>
              <w:t>Invloed partijideologie</w:t>
            </w:r>
            <w:r w:rsidRPr="00316DA4">
              <w:rPr>
                <w:b/>
                <w:bCs/>
                <w:sz w:val="18"/>
                <w:szCs w:val="18"/>
              </w:rPr>
              <w:t xml:space="preserve"> </w:t>
            </w:r>
          </w:p>
        </w:tc>
        <w:tc>
          <w:tcPr>
            <w:tcW w:w="1937" w:type="dxa"/>
            <w:tcBorders>
              <w:left w:val="nil"/>
              <w:right w:val="nil"/>
            </w:tcBorders>
            <w:shd w:val="clear" w:color="auto" w:fill="F6F6F6"/>
          </w:tcPr>
          <w:p w:rsidR="009623CA" w:rsidRPr="00316DA4" w:rsidRDefault="009623CA" w:rsidP="00CE27B4">
            <w:pPr>
              <w:spacing w:after="0" w:line="240" w:lineRule="auto"/>
              <w:rPr>
                <w:sz w:val="18"/>
                <w:szCs w:val="18"/>
              </w:rPr>
            </w:pPr>
            <w:r w:rsidRPr="00316DA4">
              <w:rPr>
                <w:sz w:val="18"/>
                <w:szCs w:val="18"/>
              </w:rPr>
              <w:t>Groot</w:t>
            </w:r>
          </w:p>
        </w:tc>
        <w:tc>
          <w:tcPr>
            <w:tcW w:w="1896" w:type="dxa"/>
            <w:tcBorders>
              <w:left w:val="nil"/>
              <w:right w:val="nil"/>
            </w:tcBorders>
            <w:shd w:val="clear" w:color="auto" w:fill="F6F6F6"/>
          </w:tcPr>
          <w:p w:rsidR="009623CA" w:rsidRPr="00316DA4" w:rsidRDefault="009623CA" w:rsidP="00CE27B4">
            <w:pPr>
              <w:spacing w:after="0" w:line="240" w:lineRule="auto"/>
              <w:rPr>
                <w:sz w:val="18"/>
                <w:szCs w:val="18"/>
              </w:rPr>
            </w:pPr>
            <w:r w:rsidRPr="00316DA4">
              <w:rPr>
                <w:sz w:val="18"/>
                <w:szCs w:val="18"/>
              </w:rPr>
              <w:t>Klein</w:t>
            </w:r>
          </w:p>
        </w:tc>
        <w:tc>
          <w:tcPr>
            <w:tcW w:w="1897" w:type="dxa"/>
            <w:tcBorders>
              <w:left w:val="nil"/>
              <w:right w:val="nil"/>
            </w:tcBorders>
            <w:shd w:val="clear" w:color="auto" w:fill="F6F6F6"/>
          </w:tcPr>
          <w:p w:rsidR="009623CA" w:rsidRPr="00316DA4" w:rsidRDefault="009623CA" w:rsidP="00CE27B4">
            <w:pPr>
              <w:spacing w:after="0" w:line="240" w:lineRule="auto"/>
              <w:rPr>
                <w:sz w:val="18"/>
                <w:szCs w:val="18"/>
              </w:rPr>
            </w:pPr>
            <w:r w:rsidRPr="00316DA4">
              <w:rPr>
                <w:sz w:val="18"/>
                <w:szCs w:val="18"/>
              </w:rPr>
              <w:t>Gemiddeld</w:t>
            </w:r>
          </w:p>
        </w:tc>
        <w:tc>
          <w:tcPr>
            <w:tcW w:w="1897" w:type="dxa"/>
            <w:tcBorders>
              <w:left w:val="nil"/>
            </w:tcBorders>
            <w:shd w:val="clear" w:color="auto" w:fill="F6F6F6"/>
          </w:tcPr>
          <w:p w:rsidR="009623CA" w:rsidRPr="00316DA4" w:rsidRDefault="009623CA" w:rsidP="00CE27B4">
            <w:pPr>
              <w:spacing w:after="0" w:line="240" w:lineRule="auto"/>
              <w:rPr>
                <w:sz w:val="18"/>
                <w:szCs w:val="18"/>
              </w:rPr>
            </w:pPr>
            <w:r w:rsidRPr="00316DA4">
              <w:rPr>
                <w:sz w:val="18"/>
                <w:szCs w:val="18"/>
              </w:rPr>
              <w:t>Gemiddeld</w:t>
            </w:r>
          </w:p>
        </w:tc>
      </w:tr>
      <w:tr w:rsidR="009623CA" w:rsidRPr="00316DA4" w:rsidTr="00CE27B4">
        <w:trPr>
          <w:trHeight w:val="166"/>
        </w:trPr>
        <w:tc>
          <w:tcPr>
            <w:tcW w:w="1896" w:type="dxa"/>
            <w:tcBorders>
              <w:right w:val="nil"/>
            </w:tcBorders>
          </w:tcPr>
          <w:p w:rsidR="009623CA" w:rsidRPr="00316DA4" w:rsidRDefault="009623CA" w:rsidP="00CE27B4">
            <w:pPr>
              <w:spacing w:after="0" w:line="240" w:lineRule="auto"/>
              <w:rPr>
                <w:b/>
                <w:bCs/>
                <w:sz w:val="18"/>
                <w:szCs w:val="18"/>
              </w:rPr>
            </w:pPr>
            <w:r w:rsidRPr="00316DA4">
              <w:rPr>
                <w:b/>
                <w:bCs/>
                <w:sz w:val="18"/>
                <w:szCs w:val="18"/>
              </w:rPr>
              <w:t xml:space="preserve">2: </w:t>
            </w:r>
            <w:r w:rsidRPr="00316DA4">
              <w:rPr>
                <w:b/>
                <w:bCs/>
                <w:i/>
                <w:sz w:val="18"/>
                <w:szCs w:val="18"/>
              </w:rPr>
              <w:t>Invloed groepen in de samenleving</w:t>
            </w:r>
          </w:p>
        </w:tc>
        <w:tc>
          <w:tcPr>
            <w:tcW w:w="1937" w:type="dxa"/>
            <w:tcBorders>
              <w:left w:val="nil"/>
              <w:right w:val="nil"/>
            </w:tcBorders>
          </w:tcPr>
          <w:p w:rsidR="009623CA" w:rsidRPr="00316DA4" w:rsidRDefault="009623CA" w:rsidP="00CE27B4">
            <w:pPr>
              <w:spacing w:after="0" w:line="240" w:lineRule="auto"/>
              <w:rPr>
                <w:sz w:val="18"/>
                <w:szCs w:val="18"/>
              </w:rPr>
            </w:pPr>
            <w:r w:rsidRPr="00316DA4">
              <w:rPr>
                <w:sz w:val="18"/>
                <w:szCs w:val="18"/>
              </w:rPr>
              <w:t>Klein</w:t>
            </w:r>
          </w:p>
        </w:tc>
        <w:tc>
          <w:tcPr>
            <w:tcW w:w="1896" w:type="dxa"/>
            <w:tcBorders>
              <w:left w:val="nil"/>
              <w:right w:val="nil"/>
            </w:tcBorders>
          </w:tcPr>
          <w:p w:rsidR="009623CA" w:rsidRPr="00316DA4" w:rsidRDefault="009623CA" w:rsidP="00CE27B4">
            <w:pPr>
              <w:spacing w:after="0" w:line="240" w:lineRule="auto"/>
              <w:rPr>
                <w:sz w:val="18"/>
                <w:szCs w:val="18"/>
              </w:rPr>
            </w:pPr>
            <w:r w:rsidRPr="00316DA4">
              <w:rPr>
                <w:sz w:val="18"/>
                <w:szCs w:val="18"/>
              </w:rPr>
              <w:t>Groot</w:t>
            </w:r>
          </w:p>
        </w:tc>
        <w:tc>
          <w:tcPr>
            <w:tcW w:w="1897" w:type="dxa"/>
            <w:tcBorders>
              <w:left w:val="nil"/>
              <w:right w:val="nil"/>
            </w:tcBorders>
          </w:tcPr>
          <w:p w:rsidR="009623CA" w:rsidRPr="00316DA4" w:rsidRDefault="009623CA" w:rsidP="00CE27B4">
            <w:pPr>
              <w:spacing w:after="0" w:line="240" w:lineRule="auto"/>
              <w:rPr>
                <w:sz w:val="18"/>
                <w:szCs w:val="18"/>
              </w:rPr>
            </w:pPr>
            <w:r w:rsidRPr="00316DA4">
              <w:rPr>
                <w:sz w:val="18"/>
                <w:szCs w:val="18"/>
              </w:rPr>
              <w:t>Gemiddeld</w:t>
            </w:r>
          </w:p>
        </w:tc>
        <w:tc>
          <w:tcPr>
            <w:tcW w:w="1897" w:type="dxa"/>
            <w:tcBorders>
              <w:left w:val="nil"/>
            </w:tcBorders>
          </w:tcPr>
          <w:p w:rsidR="009623CA" w:rsidRPr="00316DA4" w:rsidRDefault="009623CA" w:rsidP="00CE27B4">
            <w:pPr>
              <w:spacing w:after="0" w:line="240" w:lineRule="auto"/>
              <w:rPr>
                <w:sz w:val="18"/>
                <w:szCs w:val="18"/>
              </w:rPr>
            </w:pPr>
            <w:r w:rsidRPr="00316DA4">
              <w:rPr>
                <w:sz w:val="18"/>
                <w:szCs w:val="18"/>
              </w:rPr>
              <w:t>Gemiddeld</w:t>
            </w:r>
          </w:p>
        </w:tc>
      </w:tr>
      <w:tr w:rsidR="009623CA" w:rsidRPr="00316DA4" w:rsidTr="00CE27B4">
        <w:trPr>
          <w:trHeight w:val="166"/>
        </w:trPr>
        <w:tc>
          <w:tcPr>
            <w:tcW w:w="1896" w:type="dxa"/>
            <w:tcBorders>
              <w:right w:val="nil"/>
            </w:tcBorders>
            <w:shd w:val="clear" w:color="auto" w:fill="F6F6F6"/>
          </w:tcPr>
          <w:p w:rsidR="009623CA" w:rsidRPr="00316DA4" w:rsidRDefault="009623CA" w:rsidP="00CE27B4">
            <w:pPr>
              <w:spacing w:after="0" w:line="240" w:lineRule="auto"/>
              <w:rPr>
                <w:b/>
                <w:bCs/>
                <w:sz w:val="18"/>
                <w:szCs w:val="18"/>
              </w:rPr>
            </w:pPr>
            <w:r w:rsidRPr="00316DA4">
              <w:rPr>
                <w:b/>
                <w:bCs/>
                <w:sz w:val="18"/>
                <w:szCs w:val="18"/>
              </w:rPr>
              <w:t xml:space="preserve">3: </w:t>
            </w:r>
            <w:r w:rsidRPr="00316DA4">
              <w:rPr>
                <w:b/>
                <w:bCs/>
                <w:i/>
                <w:sz w:val="18"/>
                <w:szCs w:val="18"/>
              </w:rPr>
              <w:t>waren er religieuze invloeden?</w:t>
            </w:r>
          </w:p>
        </w:tc>
        <w:tc>
          <w:tcPr>
            <w:tcW w:w="1937" w:type="dxa"/>
            <w:tcBorders>
              <w:left w:val="nil"/>
              <w:right w:val="nil"/>
            </w:tcBorders>
            <w:shd w:val="clear" w:color="auto" w:fill="F6F6F6"/>
          </w:tcPr>
          <w:p w:rsidR="009623CA" w:rsidRPr="00316DA4" w:rsidRDefault="009623CA" w:rsidP="00CE27B4">
            <w:pPr>
              <w:spacing w:after="0" w:line="240" w:lineRule="auto"/>
              <w:rPr>
                <w:sz w:val="18"/>
                <w:szCs w:val="18"/>
              </w:rPr>
            </w:pPr>
            <w:r w:rsidRPr="00316DA4">
              <w:rPr>
                <w:sz w:val="18"/>
                <w:szCs w:val="18"/>
              </w:rPr>
              <w:t>Ja</w:t>
            </w:r>
          </w:p>
        </w:tc>
        <w:tc>
          <w:tcPr>
            <w:tcW w:w="1896" w:type="dxa"/>
            <w:tcBorders>
              <w:left w:val="nil"/>
              <w:right w:val="nil"/>
            </w:tcBorders>
            <w:shd w:val="clear" w:color="auto" w:fill="F6F6F6"/>
          </w:tcPr>
          <w:p w:rsidR="009623CA" w:rsidRPr="00316DA4" w:rsidRDefault="009623CA" w:rsidP="00CE27B4">
            <w:pPr>
              <w:spacing w:after="0" w:line="240" w:lineRule="auto"/>
              <w:rPr>
                <w:sz w:val="18"/>
                <w:szCs w:val="18"/>
              </w:rPr>
            </w:pPr>
            <w:r w:rsidRPr="00316DA4">
              <w:rPr>
                <w:sz w:val="18"/>
                <w:szCs w:val="18"/>
              </w:rPr>
              <w:t>Ja</w:t>
            </w:r>
          </w:p>
        </w:tc>
        <w:tc>
          <w:tcPr>
            <w:tcW w:w="1897" w:type="dxa"/>
            <w:tcBorders>
              <w:left w:val="nil"/>
              <w:right w:val="nil"/>
            </w:tcBorders>
            <w:shd w:val="clear" w:color="auto" w:fill="F6F6F6"/>
          </w:tcPr>
          <w:p w:rsidR="009623CA" w:rsidRPr="00316DA4" w:rsidRDefault="009623CA" w:rsidP="00CE27B4">
            <w:pPr>
              <w:spacing w:after="0" w:line="240" w:lineRule="auto"/>
              <w:rPr>
                <w:sz w:val="18"/>
                <w:szCs w:val="18"/>
              </w:rPr>
            </w:pPr>
            <w:r w:rsidRPr="00316DA4">
              <w:rPr>
                <w:sz w:val="18"/>
                <w:szCs w:val="18"/>
              </w:rPr>
              <w:t>Nee</w:t>
            </w:r>
          </w:p>
        </w:tc>
        <w:tc>
          <w:tcPr>
            <w:tcW w:w="1897" w:type="dxa"/>
            <w:tcBorders>
              <w:left w:val="nil"/>
            </w:tcBorders>
            <w:shd w:val="clear" w:color="auto" w:fill="F6F6F6"/>
          </w:tcPr>
          <w:p w:rsidR="009623CA" w:rsidRPr="00316DA4" w:rsidRDefault="009623CA" w:rsidP="00CE27B4">
            <w:pPr>
              <w:spacing w:after="0" w:line="240" w:lineRule="auto"/>
              <w:rPr>
                <w:sz w:val="18"/>
                <w:szCs w:val="18"/>
              </w:rPr>
            </w:pPr>
            <w:r w:rsidRPr="00316DA4">
              <w:rPr>
                <w:sz w:val="18"/>
                <w:szCs w:val="18"/>
              </w:rPr>
              <w:t>Ja</w:t>
            </w:r>
          </w:p>
        </w:tc>
      </w:tr>
      <w:tr w:rsidR="009623CA" w:rsidRPr="00316DA4" w:rsidTr="00CE27B4">
        <w:trPr>
          <w:trHeight w:val="166"/>
        </w:trPr>
        <w:tc>
          <w:tcPr>
            <w:tcW w:w="1896" w:type="dxa"/>
            <w:tcBorders>
              <w:right w:val="nil"/>
            </w:tcBorders>
          </w:tcPr>
          <w:p w:rsidR="009623CA" w:rsidRPr="00316DA4" w:rsidRDefault="009623CA" w:rsidP="00CE27B4">
            <w:pPr>
              <w:spacing w:after="0" w:line="240" w:lineRule="auto"/>
              <w:rPr>
                <w:b/>
                <w:bCs/>
                <w:sz w:val="18"/>
                <w:szCs w:val="18"/>
              </w:rPr>
            </w:pPr>
            <w:r w:rsidRPr="00316DA4">
              <w:rPr>
                <w:b/>
                <w:bCs/>
                <w:sz w:val="18"/>
                <w:szCs w:val="18"/>
              </w:rPr>
              <w:t xml:space="preserve">4: </w:t>
            </w:r>
            <w:r w:rsidRPr="00316DA4">
              <w:rPr>
                <w:b/>
                <w:bCs/>
                <w:i/>
                <w:sz w:val="18"/>
                <w:szCs w:val="18"/>
              </w:rPr>
              <w:t>welk theoretisch perspectief?</w:t>
            </w:r>
          </w:p>
        </w:tc>
        <w:tc>
          <w:tcPr>
            <w:tcW w:w="1937" w:type="dxa"/>
            <w:tcBorders>
              <w:left w:val="nil"/>
              <w:right w:val="nil"/>
            </w:tcBorders>
          </w:tcPr>
          <w:p w:rsidR="009623CA" w:rsidRPr="00316DA4" w:rsidRDefault="009623CA" w:rsidP="00CE27B4">
            <w:pPr>
              <w:spacing w:after="0" w:line="240" w:lineRule="auto"/>
              <w:rPr>
                <w:sz w:val="18"/>
                <w:szCs w:val="18"/>
              </w:rPr>
            </w:pPr>
            <w:r w:rsidRPr="00316DA4">
              <w:rPr>
                <w:sz w:val="18"/>
                <w:szCs w:val="18"/>
              </w:rPr>
              <w:t>Partijideologische benadering</w:t>
            </w:r>
          </w:p>
        </w:tc>
        <w:tc>
          <w:tcPr>
            <w:tcW w:w="1896" w:type="dxa"/>
            <w:tcBorders>
              <w:left w:val="nil"/>
              <w:right w:val="nil"/>
            </w:tcBorders>
          </w:tcPr>
          <w:p w:rsidR="009623CA" w:rsidRPr="00316DA4" w:rsidRDefault="009623CA" w:rsidP="00CE27B4">
            <w:pPr>
              <w:spacing w:after="0" w:line="240" w:lineRule="auto"/>
              <w:rPr>
                <w:sz w:val="18"/>
                <w:szCs w:val="18"/>
              </w:rPr>
            </w:pPr>
            <w:r w:rsidRPr="00316DA4">
              <w:rPr>
                <w:sz w:val="18"/>
                <w:szCs w:val="18"/>
              </w:rPr>
              <w:t>LI-benadering</w:t>
            </w:r>
          </w:p>
        </w:tc>
        <w:tc>
          <w:tcPr>
            <w:tcW w:w="1897" w:type="dxa"/>
            <w:tcBorders>
              <w:left w:val="nil"/>
              <w:right w:val="nil"/>
            </w:tcBorders>
          </w:tcPr>
          <w:p w:rsidR="009623CA" w:rsidRPr="00316DA4" w:rsidRDefault="009623CA" w:rsidP="00CE27B4">
            <w:pPr>
              <w:spacing w:after="0" w:line="240" w:lineRule="auto"/>
              <w:rPr>
                <w:sz w:val="18"/>
                <w:szCs w:val="18"/>
              </w:rPr>
            </w:pPr>
            <w:r w:rsidRPr="00316DA4">
              <w:rPr>
                <w:sz w:val="18"/>
                <w:szCs w:val="18"/>
              </w:rPr>
              <w:t>LI-benadering</w:t>
            </w:r>
          </w:p>
        </w:tc>
        <w:tc>
          <w:tcPr>
            <w:tcW w:w="1897" w:type="dxa"/>
            <w:tcBorders>
              <w:left w:val="nil"/>
            </w:tcBorders>
          </w:tcPr>
          <w:p w:rsidR="009623CA" w:rsidRPr="00316DA4" w:rsidRDefault="009623CA" w:rsidP="00CE27B4">
            <w:pPr>
              <w:spacing w:after="0" w:line="240" w:lineRule="auto"/>
              <w:rPr>
                <w:sz w:val="18"/>
                <w:szCs w:val="18"/>
              </w:rPr>
            </w:pPr>
            <w:r w:rsidRPr="00316DA4">
              <w:rPr>
                <w:sz w:val="18"/>
                <w:szCs w:val="18"/>
              </w:rPr>
              <w:t>LI-benadering</w:t>
            </w:r>
          </w:p>
        </w:tc>
      </w:tr>
    </w:tbl>
    <w:p w:rsidR="009623CA" w:rsidRPr="00316DA4" w:rsidRDefault="009623CA" w:rsidP="009F42A1">
      <w:pPr>
        <w:spacing w:line="360" w:lineRule="auto"/>
        <w:jc w:val="center"/>
        <w:rPr>
          <w:sz w:val="20"/>
          <w:szCs w:val="20"/>
        </w:rPr>
      </w:pPr>
    </w:p>
    <w:p w:rsidR="009623CA" w:rsidRPr="00316DA4" w:rsidRDefault="009623CA" w:rsidP="00761A08">
      <w:pPr>
        <w:spacing w:line="360" w:lineRule="auto"/>
        <w:jc w:val="center"/>
        <w:rPr>
          <w:sz w:val="20"/>
          <w:szCs w:val="20"/>
        </w:rPr>
      </w:pPr>
      <w:r w:rsidRPr="00316DA4">
        <w:rPr>
          <w:sz w:val="20"/>
          <w:szCs w:val="20"/>
        </w:rPr>
        <w:t>Figuur 2: Schematische weergave resultaten onderzoek</w:t>
      </w:r>
    </w:p>
    <w:p w:rsidR="009623CA" w:rsidRPr="00316DA4" w:rsidRDefault="009623CA" w:rsidP="00761A08">
      <w:pPr>
        <w:pStyle w:val="Heading3"/>
        <w:rPr>
          <w:sz w:val="20"/>
          <w:szCs w:val="20"/>
        </w:rPr>
      </w:pPr>
      <w:bookmarkStart w:id="90" w:name="_Toc261538711"/>
      <w:r w:rsidRPr="00316DA4">
        <w:t>9.6.1: Deelvraag één</w:t>
      </w:r>
      <w:bookmarkEnd w:id="90"/>
    </w:p>
    <w:p w:rsidR="009623CA" w:rsidRPr="00316DA4" w:rsidRDefault="009623CA" w:rsidP="00754738">
      <w:pPr>
        <w:spacing w:line="360" w:lineRule="auto"/>
        <w:jc w:val="both"/>
      </w:pPr>
      <w:r w:rsidRPr="00316DA4">
        <w:t>Bij deelvraag één is het met name Malta dat een afwijkend beeld geeft in vergelijking met de overige onderzochte lidstaten. In Malta is het overduidelijk de partijideologie die de nationale preferentie bepaald heeft. De partijideologie is daar erg op het Katholieke geloof geënt, waardoor er maar één juiste keuze was en dat was tegen KP7 stemmen. In zowel Nederland, Zweden als Ierland is de partijideologie een stuk minder van invloed geweest. In Nederland en Ierland waren er regeringspartijen die zeker niet zeer positief tegenover embryonaal stamcelonderzoek staan, maar toch heeft dit niet geleid tot een negatieve nationale preferentie. In Zweden was de regeringspartij fervent voorstander van stamcelonderzoek als onderdeel van de kenniseconomie. Daaruit zou geconcludeerd kunnen worden dat de invloed van partijideologie daar groot geweest is, maar het kan ook zijn dat dit standpunt is ingegeven door geluiden uit de sector.</w:t>
      </w:r>
    </w:p>
    <w:p w:rsidR="009623CA" w:rsidRPr="00316DA4" w:rsidRDefault="009623CA" w:rsidP="00254707">
      <w:pPr>
        <w:pStyle w:val="Heading3"/>
      </w:pPr>
      <w:bookmarkStart w:id="91" w:name="_Toc261538712"/>
      <w:r w:rsidRPr="00316DA4">
        <w:t>9.6.2: Deelvraag twee</w:t>
      </w:r>
      <w:bookmarkEnd w:id="91"/>
    </w:p>
    <w:p w:rsidR="009623CA" w:rsidRPr="00316DA4" w:rsidRDefault="009623CA" w:rsidP="00754738">
      <w:pPr>
        <w:spacing w:line="360" w:lineRule="auto"/>
        <w:jc w:val="both"/>
      </w:pPr>
      <w:r w:rsidRPr="00316DA4">
        <w:t>Het verschil tussen Malta en de rest van de onderzochte landen kan verklaard worden met de beantwoording van deelvraag twee. Dat de partijideologie daar zo goed is doorgedrongen in de nationale preferentie heeft waarschijnlijk ook te maken met de afwezigheid van goed georganiseerde groepen in de samenleving die groot voorstander zijn van KP7. Alleen het Katholieke geluid was goed te horen in de discussie, maar deze sloot toch al goed aan bij de partijideologie. In de overige landen was de partijideologie een stuk minder overheersend in de nationale preferentie. Ook al bestaan er  vanuit de partijideologie bezwaren tegenover embryonaal stamcelonderzoek, wil dit niet betekenen dat dit automatisch de nationale preferentie bereikt. Dit is met name in Nederland en Ierland goed te zien. De grote belangen van KP7 voor wetenschappers en het bedrijfsleven zijn daar goed aan het voetlicht gebracht door georganiseerde groepen, waardoor toch makkelijker over partijideologie is heen gestapt.</w:t>
      </w:r>
    </w:p>
    <w:p w:rsidR="009623CA" w:rsidRPr="00316DA4" w:rsidRDefault="009623CA" w:rsidP="00254707">
      <w:pPr>
        <w:pStyle w:val="Heading3"/>
      </w:pPr>
      <w:bookmarkStart w:id="92" w:name="_Toc261538713"/>
      <w:r w:rsidRPr="00316DA4">
        <w:t>9.6.3: Deelvraag drie</w:t>
      </w:r>
      <w:bookmarkEnd w:id="92"/>
    </w:p>
    <w:p w:rsidR="009623CA" w:rsidRPr="00316DA4" w:rsidRDefault="009623CA" w:rsidP="00754738">
      <w:pPr>
        <w:spacing w:line="360" w:lineRule="auto"/>
        <w:jc w:val="both"/>
      </w:pPr>
      <w:r w:rsidRPr="00316DA4">
        <w:t>Bij deelvraag drie zijn er grote verschillen tussen de vier lidstaten. Religieuze invloeden zijn in Malta, Ierland en Nederland duidelijk terug te vinden, terwijl dit in Zweden niet het geval is. Het is met name het Katholieke geloof dat in de lidstaten van zich heeft laten horen. In Nederland is dit van invloed geweest op de mening van het CDA over stamcelonderzoek, maar heeft het uiteindelijk geen belangrijk deel van de nationale preferentie uitgemaakt. In Ierland hebben religieuze invloeden ervoor gezorgd dat de Ierse instemming met KP7 alleen mogelijk was wanneer embryonaal stamcelonderzoek onder geen beding in Ierland plaats zou kunnen vinden zonder Ierse toestemming. In Malta tenslotte zijn het religieuze invloeden die het belangrijkste deel van de nationale preferentie hebben beïnvloed. Het Maltese ‘nee’ tegen KP7 is volledig te danken aan het religieuze karakter van de ideologie van de regeringspartij.</w:t>
      </w:r>
    </w:p>
    <w:p w:rsidR="009623CA" w:rsidRPr="00316DA4" w:rsidRDefault="009623CA" w:rsidP="00254707">
      <w:pPr>
        <w:pStyle w:val="Heading3"/>
      </w:pPr>
      <w:bookmarkStart w:id="93" w:name="_Toc261538714"/>
      <w:r w:rsidRPr="00316DA4">
        <w:t>9.6.4: Deelvraag vier</w:t>
      </w:r>
      <w:bookmarkEnd w:id="93"/>
    </w:p>
    <w:p w:rsidR="009623CA" w:rsidRPr="00316DA4" w:rsidRDefault="009623CA" w:rsidP="00754738">
      <w:pPr>
        <w:spacing w:line="360" w:lineRule="auto"/>
        <w:jc w:val="both"/>
      </w:pPr>
      <w:r w:rsidRPr="00316DA4">
        <w:t xml:space="preserve">De belangrijkste vraag voor dit onderzoek komt naar voren in deelvraag vier. Welk theoretisch perspectief is nu het meest in de buurt van de waarheid gekomen? Gebleken is dat er geen eenduidig antwoord gegeven kan worden voor alle lidstaten tegelijkertijd. Wel komt de LI-benadering bij zowel Nederland, Zweden als Ierland het dichtst in de buurt van het waargenomen patroon. Alleen in Malta is het de partijideologie die overheerst, maar dit kan verklaard worden door het ontbreken van georganiseerde groepen in de samenleving die een sterk tegengeluid zouden kunnen laten horen. Wanneer er wel sprake is van georganiseerde groepen in de samenleving, dringt het geluid van deze groepen wel door tot de nationale preferentie. Dit geldt voor zowel voor- als tegenstanders van KP7. Opvallend is dat in landen waar fervent tegenstanders actief zijn, er meer verslag gedaan wordt over het hele debat rondom KP7 dan in landen waar tegenstanders eigenlijk niet aanwezig zijn. Dat de LI-benadering de werkelijkheid het best lijkt te benaderen wil niet zeggen dat partijideologie totaal geen rol speelt bij de totstandkoming van de nationale preferentie. In zowel Zweden als Ierland lijkt het erop dat het positieve standpunt van de regeringspartijen wel degelijk een rol heeft gespeeld. Het is alleen niet zo dat de partijideologie </w:t>
      </w:r>
      <w:r w:rsidRPr="00316DA4">
        <w:rPr>
          <w:i/>
        </w:rPr>
        <w:t xml:space="preserve">alleen </w:t>
      </w:r>
      <w:r w:rsidRPr="00316DA4">
        <w:t>bepaald welke kant de nationale preferentie opgaat. De partijideologie kan bijna gezien worden als één van de meningen van betrokken partijen die samen de geaggregeerde mening vormen, zoals de LI-benadering deze beschrijft.</w:t>
      </w:r>
    </w:p>
    <w:p w:rsidR="009623CA" w:rsidRPr="00316DA4" w:rsidRDefault="009623CA" w:rsidP="00754738">
      <w:pPr>
        <w:spacing w:line="360" w:lineRule="auto"/>
        <w:jc w:val="both"/>
      </w:pPr>
      <w:r w:rsidRPr="00316DA4">
        <w:t xml:space="preserve">Hoe is echter de verklaren dat de LI-benadering in zowel Nederland als Zweden en Ierland het meest in de buurt komt van het waargenomen patroon? Duidelijk is dat in al deze drie landen de groepen in de samenleving de mogelijkheid hebben om hun mening tot op het hoogste niveau door te laten dringen. Dit geeft aan dat de groepen in de samenleving in deze drie landen goed georganiseerd en goed ontwikkeld zijn. In Nederland en Zweden lijkt het er daarbij op dat er door gebrek aan tegenstanders van KP7 er ook nauwelijks strijd was en de voorstanders rustig hun mening konden overbrengen aan de regering. Bestuurlijke discretie was in dit geval duidelijk waar te nemen. </w:t>
      </w:r>
    </w:p>
    <w:p w:rsidR="009623CA" w:rsidRPr="00316DA4" w:rsidRDefault="009623CA" w:rsidP="00754738">
      <w:pPr>
        <w:spacing w:line="360" w:lineRule="auto"/>
        <w:jc w:val="both"/>
      </w:pPr>
      <w:r w:rsidRPr="00316DA4">
        <w:t>In Ierland waren er daarentegen wel  duidelijke tegenstanders van KP7. Daarom is er daar ook meer sprake geweest van een publiek debat rondom de nationale preferentie. Zowel voor- als tegenstanders wisten zich in het debat goed te profileren, waardoor beiden meningen tot op het hoogste niveau gehoord werden. Religie lijkt in Ierland dan ook nog een belangrijk deel uit te maken van de politiek, waar in Zweden en Nederland deze scheiding een stuk duidelijker lijkt te zijn.</w:t>
      </w:r>
    </w:p>
    <w:p w:rsidR="009623CA" w:rsidRPr="00316DA4" w:rsidRDefault="009623CA" w:rsidP="00754738">
      <w:pPr>
        <w:spacing w:line="360" w:lineRule="auto"/>
        <w:jc w:val="both"/>
      </w:pPr>
      <w:r w:rsidRPr="00316DA4">
        <w:t>Al met al lijkt het erop dat de LI-benadering het meest in de buurt komt van het waargenomen patroon doordat in de meeste onderzochte landen de groepen in de samenleving zo goed georganiseerd zijn dat de politiek er niet omheen kan. Op die manier kan een regering niet simpelweg volgens haar eigen partijideologie handelen. Groepen in de samenleving zijn zo sterk aanwezig dat die daar niet snel mee akkoord zullen gaan.</w:t>
      </w:r>
    </w:p>
    <w:p w:rsidR="009623CA" w:rsidRPr="00316DA4" w:rsidRDefault="009623CA" w:rsidP="00754738">
      <w:pPr>
        <w:spacing w:line="360" w:lineRule="auto"/>
        <w:jc w:val="both"/>
      </w:pPr>
      <w:r w:rsidRPr="00316DA4">
        <w:t>Aansluitend op deelvraag vier kan afgevraagd worden waarom het niet mogelijk is om een eenduidig antwoord te vinden op de vraag welke theorie het beste in staat is de uitkomst van het proces van nationale preferentievorming te verklaren? Beide theorieën hebben immers de intentie om te verklaren waarom lidstaten tot een bepaalde preferentie zijn gekomen, maar ondanks dat is het na dit onderzoek niet mogelijk om te zeggen dat één van de theorieën heel exact de uitkomsten van de onderzochte lidstaten kan verklaren. Om dit te kunnen verklaren is het nodig om de beide theorieën nader te bekijken om daaruit op te kunnen maken wat de zwakke punten van zowel de LI-benadering als de partijideologische benadering zijn. De zwakke punten zijn de elementen van de benadering die niet in de werkelijkheid zijn teruggevonden tijdens dit onderzoek en die ervoor zorgen dat geen van de theorieën één op één de realiteit weergeeft.</w:t>
      </w:r>
    </w:p>
    <w:p w:rsidR="009623CA" w:rsidRPr="00316DA4" w:rsidRDefault="009623CA" w:rsidP="00754738">
      <w:pPr>
        <w:spacing w:line="360" w:lineRule="auto"/>
        <w:jc w:val="both"/>
      </w:pPr>
      <w:r w:rsidRPr="00316DA4">
        <w:t>Om te beginnen met de LI-benadering: het zwakke punt van deze theorie is het feit dat er eigenlijk alleen oog is voor de standpunten die vanuit de samenleving worden geventileerd. Er wordt bijna niet stilgestaan bij de mogelijkheid dat een overheid de keuze ook zelf kan maken, zonder te luisteren naar de meningen vanuit de samenleving. De LI-benadering onderkent dat deze mogelijkheid wel deels aanwezig is, in de vorm van bestuurlijke discretie, maar alleen wanneer het onderwerpen zijn die niet erg leven in de samenleving. Op deze manier lijkt het erop dat de invloed van een overheid als minimaal wordt afgedaan. Dat dit niet altijd zo hoeft te zijn blijkt uit de situatie in Ierland zoals deze was rond KP7. Hoewel er veel aandacht was vanuit de samenleving voor dit onderwerp en er veel tegenstand was vanuit zowel de machtige Katholiek Kerk en zogenaamde pro-life bewegingen als de grootste regeringspartij, heeft de regering toch gekozen om vóór KP7 te stemmen. Dit kan vanuit de LI-benadering verklaard worden door het feit dat er ook groepen in de Ierse samenleving zijn die wel voor KP7 waren. Het lijkt er echter op dat pro-Europese partijideologie er ook toe bijgedragen heeft dat Ierland voor KP7 heeft gestemd. Vanuit de LI-benadering kan dit eigenlijk niet goed verklaard worden. De LI-benadering kent alleen invloed van de regering in het geval van bestuurlijke discretie, wanneer er weinig interesse voor een onderwerp is vanuit de samenleving. In Ierland lijkt het erop dat Ierland een vorm van bestuurlijke discretie heeft toegepast, ondanks dat veel partijen zich bemoeit hebben met de nationale preferentie. Hiervan kan gezegd worden dat regeringen in de Raad van Ministers misschien altijd een hoge mate van bestuurlijke discretie kunnen toepassen, aangezien het moeilijk is voor een parlement om een nationale regering af te straffen voor een optreden in de Raad van Ministers.</w:t>
      </w:r>
    </w:p>
    <w:p w:rsidR="009623CA" w:rsidRPr="00316DA4" w:rsidRDefault="009623CA" w:rsidP="00754738">
      <w:pPr>
        <w:spacing w:line="360" w:lineRule="auto"/>
        <w:jc w:val="both"/>
      </w:pPr>
      <w:r w:rsidRPr="00316DA4">
        <w:t xml:space="preserve">Een andere zwak punt van de LI-benadering is het aantal situaties wat beschreven wordt, waarin verwacht wordt dat het proces op een bepaalde manier zal verlopen. Dit zijn het </w:t>
      </w:r>
      <w:r w:rsidRPr="00316DA4">
        <w:rPr>
          <w:i/>
        </w:rPr>
        <w:t>creëren van een vrije mark</w:t>
      </w:r>
      <w:r w:rsidRPr="00316DA4">
        <w:t>,</w:t>
      </w:r>
      <w:r w:rsidRPr="00316DA4">
        <w:rPr>
          <w:i/>
        </w:rPr>
        <w:t xml:space="preserve"> </w:t>
      </w:r>
      <w:r w:rsidRPr="00316DA4">
        <w:t xml:space="preserve">het </w:t>
      </w:r>
      <w:r w:rsidRPr="00316DA4">
        <w:rPr>
          <w:i/>
        </w:rPr>
        <w:t>voorzien in socio-economische publieke goederen</w:t>
      </w:r>
      <w:r w:rsidRPr="00316DA4">
        <w:t xml:space="preserve"> en ten derde </w:t>
      </w:r>
      <w:r w:rsidRPr="00316DA4">
        <w:rPr>
          <w:i/>
        </w:rPr>
        <w:t>politieke samenwerking, EU-institutie, herverdeling van inkomen</w:t>
      </w:r>
      <w:r w:rsidRPr="00316DA4">
        <w:t xml:space="preserve">. Door de grote verscheidenheid aan beleid dat tegenwoordig behandeld wordt door de instanties van de EU is het soms moeilijk om beleidsvelden in één van deze drie categorieën te plaatsen. In de discussie rondom KP7 lijkt het proces in de verschillende lidstaten in een andere categorie geplaatst te kunnen worden. In Zweden zijn het eigenlijk alleen de partijen die commercieel baat kunnen hebben bij KP7 die zich bezig houden met de nationale preferentie. Dit duidt erop dat het hier beleid betreft dat in de categorie </w:t>
      </w:r>
      <w:r w:rsidRPr="00316DA4">
        <w:rPr>
          <w:i/>
        </w:rPr>
        <w:t>creëren van een vrije mark</w:t>
      </w:r>
      <w:r w:rsidRPr="00316DA4">
        <w:t xml:space="preserve"> valt. In Ierland daarentegen zijn het zowel commerciële partijen als gegroepeerde burgers die zich met de nationale preferentie bemoeien. Volgens de LI-benadering zou dit het geval moeten zijn in het geval van </w:t>
      </w:r>
      <w:r w:rsidRPr="00316DA4">
        <w:rPr>
          <w:i/>
        </w:rPr>
        <w:t>voorzien in socio-economische publieke goederen</w:t>
      </w:r>
      <w:r w:rsidRPr="00316DA4">
        <w:t xml:space="preserve">. Op Malta tenslotte lijkt niemand zich echt bewust te zijn van wat er speelt, waardoor de regering bijna vrij spel krijgt in de nationale preferentie. In dit geval zou KP7 in de categorie </w:t>
      </w:r>
      <w:r w:rsidRPr="00316DA4">
        <w:rPr>
          <w:i/>
        </w:rPr>
        <w:t>politieke samenwerking, EU-institutie, herverdeling van inkomen</w:t>
      </w:r>
      <w:r w:rsidRPr="00316DA4">
        <w:t xml:space="preserve"> moeten vallen. Hieruit blijkt dus dat de verdeling in verschillende categorieën niet voldoet. In elke lidstaat kan beleid anders ontvangen worden, waardoor er ook andere groepen in de samenleving zijn die zich er mee bezig houden. </w:t>
      </w:r>
    </w:p>
    <w:p w:rsidR="009623CA" w:rsidRPr="00316DA4" w:rsidRDefault="009623CA" w:rsidP="00754738">
      <w:pPr>
        <w:spacing w:line="360" w:lineRule="auto"/>
        <w:jc w:val="both"/>
      </w:pPr>
      <w:r w:rsidRPr="00316DA4">
        <w:t xml:space="preserve">Ook de partijideologische benadering kent zwakke punten. Het voornaamste zwakke punt zit in het feit dat door de keuze voor partijideologie als de bepalende factor voor de nationale preferentie, er weinig ruimte overblijft voor andere invloeden op de nationale preferentie. In dit onderzoek is gebleken dat in eigenlijk elke onderzochte lidstaat wel groepen in de samenleving actief zijn die zich bezig houden met de nationale preferentie. Hierdoor is het heel moeilijk om invloeden vanuit deze groepen op de nationale preferentie uit te sluiten, waardoor deze theorie eigenlijk nooit helemaal sluitend kan zijn. </w:t>
      </w:r>
    </w:p>
    <w:p w:rsidR="009623CA" w:rsidRPr="00316DA4" w:rsidRDefault="009623CA" w:rsidP="00754738">
      <w:pPr>
        <w:spacing w:line="360" w:lineRule="auto"/>
        <w:jc w:val="both"/>
      </w:pPr>
      <w:r w:rsidRPr="00316DA4">
        <w:t>Een andere punt is dat de theorie zich alleen uitspreekt over de nationale preferentie met betrekking tot Europese integratie. En dan met name met de nationale preferentie rondom de grote Europese verdragen, zoals die van Maastricht, Nice et cetera. Hierdoor is het lastiger om de theorie ook te gebruiken voor de verklaring van nationale preferenties die gevormd zijn voor andere, ‘kleiner’ Europees beleid, zoals bijvoorbeeld in dit onderzoek het geval is bij KP7.</w:t>
      </w:r>
    </w:p>
    <w:p w:rsidR="009623CA" w:rsidRPr="00316DA4" w:rsidRDefault="009623CA" w:rsidP="00B464DE"/>
    <w:p w:rsidR="009623CA" w:rsidRPr="00316DA4" w:rsidRDefault="009623CA" w:rsidP="00DF559C">
      <w:pPr>
        <w:pStyle w:val="NoSpacing"/>
        <w:rPr>
          <w:b/>
          <w:bCs/>
          <w:color w:val="000000"/>
          <w:sz w:val="32"/>
          <w:szCs w:val="28"/>
        </w:rPr>
      </w:pPr>
    </w:p>
    <w:p w:rsidR="009623CA" w:rsidRPr="00316DA4" w:rsidRDefault="009623CA" w:rsidP="00DF559C">
      <w:pPr>
        <w:pStyle w:val="NoSpacing"/>
        <w:rPr>
          <w:b/>
          <w:bCs/>
          <w:color w:val="000000"/>
          <w:sz w:val="32"/>
          <w:szCs w:val="28"/>
        </w:rPr>
      </w:pPr>
    </w:p>
    <w:p w:rsidR="009623CA" w:rsidRPr="00316DA4" w:rsidRDefault="009623CA" w:rsidP="00DF559C">
      <w:pPr>
        <w:pStyle w:val="NoSpacing"/>
        <w:rPr>
          <w:b/>
          <w:bCs/>
          <w:color w:val="000000"/>
          <w:sz w:val="32"/>
          <w:szCs w:val="28"/>
        </w:rPr>
      </w:pPr>
    </w:p>
    <w:p w:rsidR="009623CA" w:rsidRPr="00316DA4" w:rsidRDefault="009623CA" w:rsidP="00DF559C">
      <w:pPr>
        <w:pStyle w:val="Heading1"/>
      </w:pPr>
      <w:bookmarkStart w:id="94" w:name="_Toc261538715"/>
      <w:r w:rsidRPr="00316DA4">
        <w:t>10: Conclusie</w:t>
      </w:r>
      <w:bookmarkEnd w:id="94"/>
    </w:p>
    <w:p w:rsidR="009623CA" w:rsidRPr="00316DA4" w:rsidRDefault="009623CA" w:rsidP="00DF559C"/>
    <w:p w:rsidR="009623CA" w:rsidRPr="00316DA4" w:rsidRDefault="009623CA" w:rsidP="00754738">
      <w:pPr>
        <w:spacing w:line="360" w:lineRule="auto"/>
        <w:jc w:val="both"/>
      </w:pPr>
      <w:r w:rsidRPr="00316DA4">
        <w:t>Aan het eind van dit onderzoek kan tenslotte worden overgegaan tot het beantwoorden van de centrale vraagstelling. Met het beantwoorden hiervan kunnen vervolgens ook enkele conclusies getrokken worden uit dit onderzoek. Daarnaast is het nu ook mogelijk om nader in te gaan op het verloop van het onderzoek, welke implicaties het onderzoek met zich meebrengt en wat de beperkingen zijn.</w:t>
      </w:r>
    </w:p>
    <w:p w:rsidR="009623CA" w:rsidRPr="00316DA4" w:rsidRDefault="009623CA" w:rsidP="00754738">
      <w:pPr>
        <w:spacing w:line="360" w:lineRule="auto"/>
        <w:jc w:val="both"/>
      </w:pPr>
      <w:r w:rsidRPr="00316DA4">
        <w:t>Om te beginnen met het beantwoorden van de centrale vraagstelling van dit onderzoek. Die is als volgt:</w:t>
      </w:r>
    </w:p>
    <w:p w:rsidR="009623CA" w:rsidRPr="00316DA4" w:rsidRDefault="009623CA" w:rsidP="00754738">
      <w:pPr>
        <w:spacing w:line="360" w:lineRule="auto"/>
        <w:jc w:val="both"/>
        <w:rPr>
          <w:i/>
        </w:rPr>
      </w:pPr>
      <w:r w:rsidRPr="00316DA4">
        <w:rPr>
          <w:i/>
        </w:rPr>
        <w:t>Welke theorie is het best in staat de totstandkoming van de nationale preferentie met betrekking tot Europees beleid te verklaren en welke rol speelt religie daarbij?</w:t>
      </w:r>
    </w:p>
    <w:p w:rsidR="009623CA" w:rsidRPr="00316DA4" w:rsidRDefault="009623CA" w:rsidP="00754738">
      <w:pPr>
        <w:spacing w:line="360" w:lineRule="auto"/>
        <w:jc w:val="both"/>
      </w:pPr>
      <w:r w:rsidRPr="00316DA4">
        <w:t>Zoals gezegd is er geen eenduidig antwoord gevonden op deze vraagstelling. Om te beginnen met het eerste deel van de vraagstelling: welk theorie is als beste uit de bus gekomen? Het is lastig om het waargenomen patroon honderd procent met één van de twee benaderingen te matchen. Toch lijkt het erop dat de LI-benadering meer elementen met zich meebrengt die terug te vinden zijn in de waargenomen patronen dan bij de partijideologische benadering het geval was. In zowel Nederland, Ierland als Zweden zijn er veel aanwijzingen in de nationale preferentie die erop duiden dat deze niet volledig aan de hand van de partijideologie is opgesteld. In al deze landen is er ook sprake geweest van een consultatieprocedure waarmee duidelijk aangegeven werd dat men als overheid wil luisteren naar geluiden van direct betrokken partijen, dat wil zeggen organisaties die gebruik kunnen maken van de mogelijkheden van KP7.</w:t>
      </w:r>
    </w:p>
    <w:p w:rsidR="009623CA" w:rsidRPr="00316DA4" w:rsidRDefault="009623CA" w:rsidP="00754738">
      <w:pPr>
        <w:spacing w:line="360" w:lineRule="auto"/>
        <w:jc w:val="both"/>
      </w:pPr>
      <w:r w:rsidRPr="00316DA4">
        <w:t xml:space="preserve"> In Malta zijn er echter geen duidelijke aanwijzingen van groepen in de samenleving die zich met de nationale preferentie hebben bemoeit. Hierdoor heeft de regeringspartij behoorlijk veel vrijheid gehad om de nationale preferentie geheel naar de eigen ideologie in te vullen. Het lijkt er dus op dat de partijideologische benadering alleen opgaat wanneer er geen groepen in de samenleving zijn die proberen het beleid te beïnvloeden, waardoor het af kan wijken van de partijideologie. Dit idee komt overeen met wat in de LI-benadering ‘bestuurlijke discretie’ genoemd wordt. Wanneer voor een beleidsplan geen groepen in de samenleving aanwezig zijn die er direct aantoonbaar belang bij hebben, zal er een grote mate van bestuurlijk discretie zijn. Hierdoor is het voor een regeringspartij makkelijker om dat beleid, in dit geval een nationale preferentie, vrij in te vullen met de eigen partijideologie.</w:t>
      </w:r>
    </w:p>
    <w:p w:rsidR="009623CA" w:rsidRPr="00316DA4" w:rsidRDefault="009623CA" w:rsidP="00754738">
      <w:pPr>
        <w:spacing w:line="360" w:lineRule="auto"/>
        <w:jc w:val="both"/>
      </w:pPr>
      <w:r w:rsidRPr="00316DA4">
        <w:t>Voor het eerste deel van de centrale vraagstelling kan dus geconcludeerd worden dat geen van beide theorieën perfect zijn. In de analyse zijn de tekortkomingen van beide theorieën naar voren gekomen. Doordat beide theorieën focussen op één manier van hoe de nationale preferentie tot stand is gekomen, sluiten ze andere mogelijkheden uit. Dit terwijl het waarschijnlijker is dat een combinatie van de beide theorieën de werkelijkheid in de meeste gevallen het best benaderd. In elke onderzochte lidstaat is het zo dat de mening van de regerende partijen in meer of mindere mate terugkeren in de nationale preferentie. Eventueel samen met de voorkeuren van andere groepen in de samenleving. Het lijkt er daarom het meest op dat de partijideologie gezien moet worden als één van de meningen die leeft in een samenleving en meegenomen wordt in het proces waarin deze meningen bij elkaar opgeteld worden en samen de geaggregeerde mening vormen, zoals deze door de LI-benadering wordt omschreven.</w:t>
      </w:r>
    </w:p>
    <w:p w:rsidR="009623CA" w:rsidRPr="00316DA4" w:rsidRDefault="009623CA" w:rsidP="00754738">
      <w:pPr>
        <w:spacing w:line="360" w:lineRule="auto"/>
        <w:jc w:val="both"/>
      </w:pPr>
      <w:r w:rsidRPr="00316DA4">
        <w:t>Op het tweede deel van de vraagstelling, of er sprake is van religieuze invloeden op de nationale preferentie, kan ook geen eenduidig antwoord gegeven worden. Wel is duidelijk geworden dat het met name de Katholieke Kerk is die in de onderzochte lidstaten als tegenstander van KP7 gezien kan worden. In Zweden, waar deze kerk nagenoeg afwezig is, zijn er dan ook geen tekenen van religieuze invloeden, of pogingen daartoe. In Nederland is de Katholieke Kerk wel aanwezig en daarom zijn er ook geluiden te horen van weerstand tegen KP7. De bezwaren tegen KP7 zijn echter niet sterk genoeg doorgedrongen tot de nationale preferentie om te kunnen spreken van religieuze invloed op de nationale preferentie. In Ierland en Malta is er wel sprake van religieuze invloeden op de nationale preferentie. Dit zijn beiden landen die als ‘Katholiek’ aangemerkt kunnen worden. Toch is de mate van religieuze invloed verschillend. De nationale preferentie van Malta is volledig geënt op de mening van de Katholieke Kerk, wat de religieuze invloed op de nationale preferentie groot maakt. In Ierland is er ook sprake van religieuze invloed op de nationale preferentie, maar dan in veel mindere mate. In Ierland vormt het slechts een deel van de nationale preferentie, net zoals de invloeden vanuit het bedrijfsleven er ook deel van uit maken. Geconcludeerd kan dus worden dat er bij de totstandkoming van een nationale preferentie sprake kan zijn van religieuze invloeden. De kans hierop is groter gebleken naarmate de aanwezigheid van de Katholieke Kerk in de lidstaat groter was. Daarnaast is er in dit onderzoek voor gekozen om een ethisch beleidsonderwerp te selecteren, waarbij betrokkenheid van de Katholieke Kerk te verwachten viel. Er kan dus gezegd worden dat er bij het behandelen van ethische beleidsonderwerpen sprake kan zijn van religieuze invloeden. Of deze kans bij de behandeling van niet-ethische beleidsonderwerpen ook aanwezig is, kan aan de hand van dit onderzoek niet gezegd worden.</w:t>
      </w:r>
    </w:p>
    <w:p w:rsidR="009623CA" w:rsidRPr="00316DA4" w:rsidRDefault="009623CA" w:rsidP="00754738">
      <w:pPr>
        <w:spacing w:line="360" w:lineRule="auto"/>
        <w:jc w:val="both"/>
        <w:rPr>
          <w:i/>
        </w:rPr>
      </w:pPr>
    </w:p>
    <w:p w:rsidR="009623CA" w:rsidRPr="00316DA4" w:rsidRDefault="009623CA" w:rsidP="00754738">
      <w:pPr>
        <w:spacing w:line="360" w:lineRule="auto"/>
        <w:jc w:val="both"/>
        <w:rPr>
          <w:i/>
        </w:rPr>
      </w:pPr>
      <w:r w:rsidRPr="00316DA4">
        <w:rPr>
          <w:i/>
        </w:rPr>
        <w:t>Opmerkingen naar aanleiding van dit onderzoek</w:t>
      </w:r>
    </w:p>
    <w:p w:rsidR="009623CA" w:rsidRPr="00316DA4" w:rsidRDefault="009623CA" w:rsidP="00F743FA">
      <w:pPr>
        <w:spacing w:line="360" w:lineRule="auto"/>
        <w:jc w:val="both"/>
      </w:pPr>
      <w:r w:rsidRPr="00316DA4">
        <w:t xml:space="preserve">Naast het beantwoorden van de centrale vraagstelling kan aan het eind van een onderzoek ook ingegaan worden op hoe de resultaten van dit specifieke onderzoek gezien moeten worden. Wat zijn de implicaties van het onderzoek en welke beperkingen zijn er op te merken? </w:t>
      </w:r>
    </w:p>
    <w:p w:rsidR="009623CA" w:rsidRPr="00316DA4" w:rsidRDefault="009623CA" w:rsidP="00F743FA">
      <w:pPr>
        <w:spacing w:line="360" w:lineRule="auto"/>
        <w:jc w:val="both"/>
      </w:pPr>
      <w:r w:rsidRPr="00316DA4">
        <w:t>De implicaties van dit onderzoek zijn dat gevonden resultaten aangeven dat geen van beide theorieën volledig genoeg is om een specifiek proces als het vormen van een nationale preferentie volledig te verklaren. Beide theorieën geven wel gedeeltelijke verklaringen voor de uitkomst van het proces, maar zijn niet volledig sluitend. Opvallend is des te meer dat ze elkaar wel goed aanvullen. Gebleken is dat bij de vorming van een nationale preferentie zowel partijideologie als groepen in de samenleving invloed hebben. Waarschijnlijk is het moeilijk om een theorie te ontwikkelen die voor elke situatie van nationale preferentievorming toepasbaar is, gezien het groot aantal verschillende situaties waarin dit mogelijk is. Het zou echter wel interessant zijn om te zien hoe een theorie eruit komt te zien die gebaseerd is op partijideologie en invloed vanuit de samenleving.</w:t>
      </w:r>
    </w:p>
    <w:p w:rsidR="009623CA" w:rsidRPr="00316DA4" w:rsidRDefault="009623CA" w:rsidP="00F743FA">
      <w:pPr>
        <w:spacing w:line="360" w:lineRule="auto"/>
        <w:jc w:val="both"/>
      </w:pPr>
      <w:r w:rsidRPr="00316DA4">
        <w:t>Implicaties die het tweede deel van de vraagstelling met zich mee brengen zijn de volgende: aangetoond is dat in landen waar de Katholieke Kerk een goede positie heeft, hun preferenties ook doorklinken in het proces voorafgaand aan de nationale preferentie en soms in de nationale preferentie zelf doordringen. Hierbij moet worden vermeld dat het in dit onderzoek gaat om de nationale preferentie met betrekking tot een ethisch beleidsonderwerp. Het blijft echter de vraag in hoeverre het tot de nationale preferentie doordringen van de mening van de Katholieke Kerk het resultaat is van directe beïnvloeding. Het is moeilijk gebleken om dit aan te tonen. Waarschijnlijk vanwege het feit dat wanneer er sprake is van directe invloed, dit niet via officiële kanalen plaatsvindt, waardoor er geen melding van gemaakt wordt. Uitgebreider onderzoek naar mogelijke banden tussen kerk en politiek zouden hier duidelijkheid in kunnen scheppen. Of dit soort onderzoek te realiseren is, blijft de vraag. Waarschijnlijk staan weinig betrokkenen te springen om mee te werken aan dit soort onderzoek.</w:t>
      </w:r>
    </w:p>
    <w:p w:rsidR="009623CA" w:rsidRPr="00316DA4" w:rsidRDefault="009623CA" w:rsidP="00F743FA">
      <w:pPr>
        <w:spacing w:line="360" w:lineRule="auto"/>
        <w:jc w:val="both"/>
      </w:pPr>
      <w:r w:rsidRPr="00316DA4">
        <w:t xml:space="preserve">Vervolgens de beperkingen van het onderzoek. De eerste beperking die kan worden opgemerkt is dat er door de keuze voor een </w:t>
      </w:r>
      <w:r w:rsidRPr="00316DA4">
        <w:rPr>
          <w:i/>
        </w:rPr>
        <w:t>most likely case</w:t>
      </w:r>
      <w:r w:rsidRPr="00316DA4">
        <w:t xml:space="preserve"> beperkte generaliseerbaarheid is met betrekking tot het tweede deel van de centrale vraagstelling, namelijk of er sprake is van religieuze invloeden op de nationale preferentie. Aan de hand van dit onderzoek kan er alleen wat gezegd worden over het optreden van de Katholieke Kerk in het geval van beleid waar de betrokkenheid van deze kerk verwacht wordt.</w:t>
      </w:r>
    </w:p>
    <w:p w:rsidR="009623CA" w:rsidRPr="00316DA4" w:rsidRDefault="009623CA" w:rsidP="00F743FA">
      <w:pPr>
        <w:spacing w:line="360" w:lineRule="auto"/>
        <w:jc w:val="both"/>
      </w:pPr>
      <w:r w:rsidRPr="00316DA4">
        <w:t xml:space="preserve"> Een andere beperking die opgemerkt kan worden is dat het moeilijk is gebleken om alle mogelijke bronnen die aanwezig zijn te raadplegen. Dit komt deels door grote verscheidenheid aan bronnen, maar ook door het feit dat het hier om een internationaal vergelijkend onderzoek gaat, waardoor er meerdere malen tegen een taalbarrière is opgelopen. Doordat waarschijnlijk niet alle bronnen zijn geraadpleegd, bestaat de kans dat niet alle kanten van het verhaal deel uitmaken van dit onderzoek. Daardoor kan er een onvolledig beeld geschetst zijn van het patroon zoals dat daadwerkelijk heeft plaatsgevonden.</w:t>
      </w:r>
    </w:p>
    <w:p w:rsidR="009623CA" w:rsidRPr="00316DA4" w:rsidRDefault="009623CA" w:rsidP="00F743FA">
      <w:pPr>
        <w:spacing w:line="360" w:lineRule="auto"/>
        <w:jc w:val="both"/>
      </w:pPr>
      <w:r w:rsidRPr="00316DA4">
        <w:t>Naast de eventuele beperktheid van de gebruikte bronnen is het waarschijnlijk ook zo dat er buiten het officiële verhaal, zoals dat in officiële bronnen als beleidsdocumenten van overheden gebracht wordt, waarschijnlijk ook een onderliggende verhaal is. In het geval van de totstandkoming van een nationale preferentie zullen er partijen zijn geweest die via niet-officiële wegen hebben geprobeerd om deze te beïnvloeden. Doordat deze pogingen via officieuze kanalen verlopen, is het moeilijk om deze vast te leggen en mee te nemen in het onderzoek. Voor de volledigheid van het onderzoek zou het echter wel beter zijn om ze er bij te betrekken.</w:t>
      </w:r>
    </w:p>
    <w:p w:rsidR="009623CA" w:rsidRPr="00316DA4" w:rsidRDefault="009623CA" w:rsidP="00F743FA">
      <w:pPr>
        <w:spacing w:line="360" w:lineRule="auto"/>
        <w:jc w:val="both"/>
      </w:pPr>
      <w:r w:rsidRPr="00316DA4">
        <w:t>Ondanks de hoeveelheid gebruikte bronnen is het in het onderzoek moeilijk gebleken om datatriangulatie toe te passen. Aangezien dit wel van grote waarde kan zijn voor de betrouwbaarheid van een onderzoek, kan dit als een beperking worden gezien. Dat datatriangulatie moeilijk toe te passen was is te wijten aan het feit dat er in de meeste lidstaten  weinig aandacht is besteed aan het proces rondom KP7. Daardoor is er in bijvoorbeeld kranten weinig geschreven over de gang van zaken en als er al wel wat werd geschreven, was het vaak onmogelijk om dit vanuit een andere bron bevestigd te krijgen.</w:t>
      </w:r>
    </w:p>
    <w:p w:rsidR="009623CA" w:rsidRPr="00316DA4" w:rsidRDefault="009623CA" w:rsidP="00F743FA">
      <w:pPr>
        <w:spacing w:line="360" w:lineRule="auto"/>
        <w:jc w:val="both"/>
      </w:pPr>
      <w:r w:rsidRPr="00316DA4">
        <w:t>De sterke punten van het onderzoek  zijn te vinden in de hoeveelheid lidstaten die zijn onderzocht in dit onderzoek. Door te kiezen voor vier landen van een verschillende kaliber, is er zoveel mogelijk aan gedaan om de generaliseerbaarheid van het onderzoek zo groot mogelijk te maken. Het was waarschijnlijk nog beter geweest om nog meer lidstaten te onderzoeken, maar dat was vanwege de praktische beperkingen bij dit onderzoek niet te realiseren.</w:t>
      </w:r>
    </w:p>
    <w:p w:rsidR="009623CA" w:rsidRPr="00316DA4" w:rsidRDefault="009623CA" w:rsidP="00754738">
      <w:pPr>
        <w:pStyle w:val="Heading2"/>
        <w:rPr>
          <w:rStyle w:val="Heading1Char"/>
          <w:sz w:val="32"/>
        </w:rPr>
      </w:pPr>
    </w:p>
    <w:p w:rsidR="009623CA" w:rsidRPr="00316DA4" w:rsidRDefault="009623CA" w:rsidP="00754738">
      <w:pPr>
        <w:rPr>
          <w:rStyle w:val="Heading1Char"/>
          <w:rFonts w:eastAsia="Calibri"/>
          <w:b w:val="0"/>
          <w:bCs w:val="0"/>
          <w:color w:val="auto"/>
          <w:sz w:val="22"/>
        </w:rPr>
      </w:pPr>
    </w:p>
    <w:p w:rsidR="009623CA" w:rsidRPr="00316DA4" w:rsidRDefault="009623CA" w:rsidP="004F44B3">
      <w:pPr>
        <w:spacing w:line="360" w:lineRule="auto"/>
        <w:rPr>
          <w:rStyle w:val="Heading1Char"/>
          <w:rFonts w:eastAsia="Calibri"/>
          <w:sz w:val="32"/>
        </w:rPr>
      </w:pPr>
    </w:p>
    <w:p w:rsidR="009623CA" w:rsidRPr="00316DA4" w:rsidRDefault="009623CA" w:rsidP="00753A24">
      <w:pPr>
        <w:pStyle w:val="NoSpacing"/>
        <w:rPr>
          <w:rStyle w:val="Heading1Char"/>
          <w:rFonts w:eastAsia="Calibri"/>
          <w:sz w:val="32"/>
        </w:rPr>
      </w:pPr>
    </w:p>
    <w:p w:rsidR="009623CA" w:rsidRPr="00316DA4" w:rsidRDefault="009623CA" w:rsidP="00753A24">
      <w:pPr>
        <w:pStyle w:val="NoSpacing"/>
        <w:rPr>
          <w:rStyle w:val="Heading1Char"/>
          <w:rFonts w:eastAsia="Calibri"/>
          <w:sz w:val="32"/>
        </w:rPr>
      </w:pPr>
    </w:p>
    <w:p w:rsidR="009623CA" w:rsidRPr="00316DA4" w:rsidRDefault="009623CA" w:rsidP="00753A24">
      <w:pPr>
        <w:pStyle w:val="Heading1"/>
      </w:pPr>
      <w:bookmarkStart w:id="95" w:name="_Toc261538716"/>
      <w:r w:rsidRPr="00316DA4">
        <w:t>Literatuuroverzicht</w:t>
      </w:r>
      <w:bookmarkEnd w:id="95"/>
    </w:p>
    <w:p w:rsidR="009623CA" w:rsidRPr="00316DA4" w:rsidRDefault="009623CA" w:rsidP="00B464DE"/>
    <w:p w:rsidR="009623CA" w:rsidRPr="00316DA4" w:rsidRDefault="009623CA" w:rsidP="00E471DD">
      <w:pPr>
        <w:numPr>
          <w:ilvl w:val="0"/>
          <w:numId w:val="4"/>
        </w:numPr>
        <w:jc w:val="both"/>
        <w:rPr>
          <w:lang w:val="en-US"/>
        </w:rPr>
      </w:pPr>
      <w:r w:rsidRPr="00316DA4">
        <w:rPr>
          <w:lang w:val="en-US"/>
        </w:rPr>
        <w:t xml:space="preserve">Ameen, Juan (2006). </w:t>
      </w:r>
      <w:r w:rsidRPr="00316DA4">
        <w:rPr>
          <w:i/>
          <w:lang w:val="en-US"/>
        </w:rPr>
        <w:t>Maltese</w:t>
      </w:r>
      <w:r w:rsidRPr="00316DA4">
        <w:rPr>
          <w:lang w:val="en-US"/>
        </w:rPr>
        <w:t xml:space="preserve"> </w:t>
      </w:r>
      <w:r w:rsidRPr="00316DA4">
        <w:rPr>
          <w:i/>
          <w:lang w:val="en-US"/>
        </w:rPr>
        <w:t>experts disagree with EU funding for stem cell research</w:t>
      </w:r>
      <w:r w:rsidRPr="00316DA4">
        <w:rPr>
          <w:lang w:val="en-US"/>
        </w:rPr>
        <w:t xml:space="preserve">. In: </w:t>
      </w:r>
      <w:r w:rsidRPr="00316DA4">
        <w:rPr>
          <w:i/>
          <w:lang w:val="en-US"/>
        </w:rPr>
        <w:t>The Malta Independent</w:t>
      </w:r>
      <w:r w:rsidRPr="00316DA4">
        <w:rPr>
          <w:lang w:val="en-US"/>
        </w:rPr>
        <w:t>, 6 augustus 2006.</w:t>
      </w:r>
    </w:p>
    <w:p w:rsidR="009623CA" w:rsidRPr="00316DA4" w:rsidRDefault="009623CA" w:rsidP="00E471DD">
      <w:pPr>
        <w:numPr>
          <w:ilvl w:val="0"/>
          <w:numId w:val="4"/>
        </w:numPr>
        <w:autoSpaceDE w:val="0"/>
        <w:autoSpaceDN w:val="0"/>
        <w:adjustRightInd w:val="0"/>
        <w:spacing w:after="0" w:line="240" w:lineRule="auto"/>
        <w:jc w:val="both"/>
        <w:rPr>
          <w:rFonts w:cs="Arial"/>
          <w:lang w:val="en-US"/>
        </w:rPr>
      </w:pPr>
      <w:r w:rsidRPr="00316DA4">
        <w:rPr>
          <w:rFonts w:cs="Arial"/>
          <w:bCs/>
          <w:lang w:val="en-US"/>
        </w:rPr>
        <w:t xml:space="preserve">Aspinwall, Mark (2002). </w:t>
      </w:r>
      <w:r w:rsidRPr="00316DA4">
        <w:rPr>
          <w:rFonts w:cs="Arial"/>
          <w:bCs/>
          <w:i/>
          <w:lang w:val="en-US"/>
        </w:rPr>
        <w:t xml:space="preserve">Preferring Europe - </w:t>
      </w:r>
      <w:r w:rsidRPr="00316DA4">
        <w:rPr>
          <w:rFonts w:cs="Arial"/>
          <w:i/>
          <w:lang w:val="en-US"/>
        </w:rPr>
        <w:t>Ideology and National Preferences on</w:t>
      </w:r>
      <w:r w:rsidRPr="00316DA4">
        <w:rPr>
          <w:rFonts w:cs="Arial"/>
          <w:bCs/>
          <w:i/>
          <w:lang w:val="en-US"/>
        </w:rPr>
        <w:t xml:space="preserve"> </w:t>
      </w:r>
      <w:r w:rsidRPr="00316DA4">
        <w:rPr>
          <w:rFonts w:cs="Arial"/>
          <w:i/>
          <w:lang w:val="en-US"/>
        </w:rPr>
        <w:t>European Integration.</w:t>
      </w:r>
      <w:r w:rsidRPr="00316DA4">
        <w:rPr>
          <w:rFonts w:cs="Arial"/>
          <w:lang w:val="en-US"/>
        </w:rPr>
        <w:t xml:space="preserve"> In: European Union Politics, 2002,3 (81-111) Sage Publications, London.</w:t>
      </w:r>
    </w:p>
    <w:p w:rsidR="009623CA" w:rsidRPr="00316DA4" w:rsidRDefault="009623CA" w:rsidP="00E471DD">
      <w:pPr>
        <w:autoSpaceDE w:val="0"/>
        <w:autoSpaceDN w:val="0"/>
        <w:adjustRightInd w:val="0"/>
        <w:spacing w:after="0" w:line="240" w:lineRule="auto"/>
        <w:ind w:left="644"/>
        <w:jc w:val="both"/>
        <w:rPr>
          <w:rFonts w:cs="Arial"/>
          <w:lang w:val="en-US"/>
        </w:rPr>
      </w:pPr>
    </w:p>
    <w:p w:rsidR="009623CA" w:rsidRPr="00316DA4" w:rsidRDefault="009623CA" w:rsidP="00E471DD">
      <w:pPr>
        <w:autoSpaceDE w:val="0"/>
        <w:autoSpaceDN w:val="0"/>
        <w:adjustRightInd w:val="0"/>
        <w:spacing w:after="0" w:line="240" w:lineRule="auto"/>
        <w:ind w:left="284"/>
        <w:jc w:val="both"/>
        <w:rPr>
          <w:rFonts w:cs="Arial"/>
          <w:lang w:val="en-US"/>
        </w:rPr>
      </w:pPr>
    </w:p>
    <w:p w:rsidR="009623CA" w:rsidRPr="00316DA4" w:rsidRDefault="009623CA" w:rsidP="00E471DD">
      <w:pPr>
        <w:numPr>
          <w:ilvl w:val="0"/>
          <w:numId w:val="4"/>
        </w:numPr>
        <w:autoSpaceDE w:val="0"/>
        <w:autoSpaceDN w:val="0"/>
        <w:adjustRightInd w:val="0"/>
        <w:spacing w:after="0" w:line="240" w:lineRule="auto"/>
        <w:jc w:val="both"/>
        <w:rPr>
          <w:rFonts w:cs="Arial"/>
          <w:lang w:val="en-US"/>
        </w:rPr>
      </w:pPr>
      <w:r w:rsidRPr="00316DA4">
        <w:rPr>
          <w:rFonts w:cs="Arial"/>
          <w:lang w:val="en-US"/>
        </w:rPr>
        <w:t xml:space="preserve">Babbie, Earl (2004). </w:t>
      </w:r>
      <w:r w:rsidRPr="00316DA4">
        <w:rPr>
          <w:rFonts w:cs="Arial"/>
          <w:i/>
          <w:lang w:val="en-US"/>
        </w:rPr>
        <w:t>The Practice of Social Research, 10</w:t>
      </w:r>
      <w:r w:rsidRPr="00316DA4">
        <w:rPr>
          <w:rFonts w:cs="Arial"/>
          <w:i/>
          <w:vertAlign w:val="superscript"/>
          <w:lang w:val="en-US"/>
        </w:rPr>
        <w:t>th</w:t>
      </w:r>
      <w:r w:rsidRPr="00316DA4">
        <w:rPr>
          <w:rFonts w:cs="Arial"/>
          <w:i/>
          <w:lang w:val="en-US"/>
        </w:rPr>
        <w:t xml:space="preserve"> Edition.</w:t>
      </w:r>
      <w:r w:rsidRPr="00316DA4">
        <w:rPr>
          <w:rFonts w:cs="Arial"/>
          <w:lang w:val="en-US"/>
        </w:rPr>
        <w:t xml:space="preserve"> Wadsworth/Thomson Learning, Belmont, CA.</w:t>
      </w:r>
    </w:p>
    <w:p w:rsidR="009623CA" w:rsidRPr="00316DA4" w:rsidRDefault="009623CA" w:rsidP="00E471DD">
      <w:pPr>
        <w:autoSpaceDE w:val="0"/>
        <w:autoSpaceDN w:val="0"/>
        <w:adjustRightInd w:val="0"/>
        <w:spacing w:after="0" w:line="240" w:lineRule="auto"/>
        <w:ind w:left="644"/>
        <w:jc w:val="both"/>
        <w:rPr>
          <w:rFonts w:cs="Arial"/>
          <w:lang w:val="en-US"/>
        </w:rPr>
      </w:pPr>
    </w:p>
    <w:p w:rsidR="009623CA" w:rsidRPr="00316DA4" w:rsidRDefault="009623CA" w:rsidP="00E471DD">
      <w:pPr>
        <w:numPr>
          <w:ilvl w:val="0"/>
          <w:numId w:val="4"/>
        </w:numPr>
        <w:autoSpaceDE w:val="0"/>
        <w:autoSpaceDN w:val="0"/>
        <w:adjustRightInd w:val="0"/>
        <w:spacing w:after="0" w:line="240" w:lineRule="auto"/>
        <w:jc w:val="both"/>
        <w:rPr>
          <w:rFonts w:cs="Arial"/>
          <w:lang w:val="en-US"/>
        </w:rPr>
      </w:pPr>
      <w:r w:rsidRPr="00316DA4">
        <w:rPr>
          <w:rFonts w:cs="Arial"/>
          <w:lang w:val="en-US"/>
        </w:rPr>
        <w:t xml:space="preserve">Barrington, Ruth (2002). </w:t>
      </w:r>
      <w:r w:rsidRPr="00316DA4">
        <w:rPr>
          <w:rFonts w:cs="Arial"/>
          <w:i/>
          <w:lang w:val="en-US"/>
        </w:rPr>
        <w:t>Terrible Beauty or Celtic Mouse? The Research Agenda in Ireland</w:t>
      </w:r>
      <w:r w:rsidRPr="00316DA4">
        <w:rPr>
          <w:rFonts w:cs="Arial"/>
          <w:lang w:val="en-US"/>
        </w:rPr>
        <w:t>. In: New Hibernia Review 6:3 (138-150).</w:t>
      </w:r>
    </w:p>
    <w:p w:rsidR="009623CA" w:rsidRPr="00316DA4" w:rsidRDefault="009623CA" w:rsidP="00E471DD">
      <w:pPr>
        <w:autoSpaceDE w:val="0"/>
        <w:autoSpaceDN w:val="0"/>
        <w:adjustRightInd w:val="0"/>
        <w:spacing w:after="0" w:line="240" w:lineRule="auto"/>
        <w:jc w:val="both"/>
        <w:rPr>
          <w:rFonts w:cs="Arial"/>
          <w:lang w:val="en-US"/>
        </w:rPr>
      </w:pPr>
    </w:p>
    <w:p w:rsidR="009623CA" w:rsidRPr="00316DA4" w:rsidRDefault="009623CA" w:rsidP="00E471DD">
      <w:pPr>
        <w:numPr>
          <w:ilvl w:val="0"/>
          <w:numId w:val="4"/>
        </w:numPr>
        <w:autoSpaceDE w:val="0"/>
        <w:autoSpaceDN w:val="0"/>
        <w:adjustRightInd w:val="0"/>
        <w:spacing w:after="0" w:line="240" w:lineRule="auto"/>
        <w:jc w:val="both"/>
        <w:rPr>
          <w:rFonts w:cs="Arial"/>
          <w:lang w:val="en-US"/>
        </w:rPr>
      </w:pPr>
      <w:r w:rsidRPr="00316DA4">
        <w:rPr>
          <w:rFonts w:cs="Arial"/>
          <w:lang w:val="en-US"/>
        </w:rPr>
        <w:t>Baldacchino, Godfrey (2002</w:t>
      </w:r>
      <w:r w:rsidRPr="00316DA4">
        <w:rPr>
          <w:rFonts w:cs="Arial"/>
          <w:i/>
          <w:lang w:val="en-US"/>
        </w:rPr>
        <w:t>). A Nationless State? Malta Nationale Identity and the EU</w:t>
      </w:r>
      <w:r w:rsidRPr="00316DA4">
        <w:rPr>
          <w:rFonts w:cs="Arial"/>
          <w:lang w:val="en-US"/>
        </w:rPr>
        <w:t>. In: Westeren European Politics, 2002, 25, 4, (191-206). Frank Cass, London.</w:t>
      </w:r>
    </w:p>
    <w:p w:rsidR="009623CA" w:rsidRPr="00316DA4" w:rsidRDefault="009623CA" w:rsidP="00E471DD">
      <w:pPr>
        <w:pStyle w:val="ListParagraph"/>
        <w:rPr>
          <w:rFonts w:cs="Arial"/>
          <w:lang w:val="en-US"/>
        </w:rPr>
      </w:pPr>
    </w:p>
    <w:p w:rsidR="009623CA" w:rsidRPr="00316DA4" w:rsidRDefault="009623CA" w:rsidP="00E471DD">
      <w:pPr>
        <w:numPr>
          <w:ilvl w:val="0"/>
          <w:numId w:val="4"/>
        </w:numPr>
        <w:autoSpaceDE w:val="0"/>
        <w:autoSpaceDN w:val="0"/>
        <w:adjustRightInd w:val="0"/>
        <w:spacing w:after="0" w:line="240" w:lineRule="auto"/>
        <w:jc w:val="both"/>
        <w:rPr>
          <w:rFonts w:cs="Arial"/>
        </w:rPr>
      </w:pPr>
      <w:r w:rsidRPr="00316DA4">
        <w:rPr>
          <w:rFonts w:cs="Arial"/>
        </w:rPr>
        <w:t xml:space="preserve">Ten Broeke, Han (2009). </w:t>
      </w:r>
      <w:r w:rsidRPr="00316DA4">
        <w:rPr>
          <w:rFonts w:cs="Arial"/>
          <w:i/>
        </w:rPr>
        <w:t>Standpunt VVD Europa.</w:t>
      </w:r>
      <w:r w:rsidRPr="00316DA4">
        <w:rPr>
          <w:rFonts w:cs="Arial"/>
        </w:rPr>
        <w:t xml:space="preserve"> Beschikbaar op: </w:t>
      </w:r>
      <w:hyperlink r:id="rId10" w:history="1">
        <w:r w:rsidRPr="00316DA4">
          <w:rPr>
            <w:rStyle w:val="Hyperlink"/>
            <w:rFonts w:cs="Arial"/>
          </w:rPr>
          <w:t>http://www.vvd.nl/standpunt/190/europa</w:t>
        </w:r>
      </w:hyperlink>
    </w:p>
    <w:p w:rsidR="009623CA" w:rsidRPr="00316DA4" w:rsidRDefault="009623CA" w:rsidP="00E471DD">
      <w:pPr>
        <w:autoSpaceDE w:val="0"/>
        <w:autoSpaceDN w:val="0"/>
        <w:adjustRightInd w:val="0"/>
        <w:spacing w:after="0" w:line="240" w:lineRule="auto"/>
        <w:jc w:val="both"/>
        <w:rPr>
          <w:rFonts w:cs="Arial"/>
        </w:rPr>
      </w:pPr>
    </w:p>
    <w:p w:rsidR="009623CA" w:rsidRPr="00316DA4" w:rsidRDefault="009623CA" w:rsidP="00E471DD">
      <w:pPr>
        <w:numPr>
          <w:ilvl w:val="0"/>
          <w:numId w:val="4"/>
        </w:numPr>
        <w:autoSpaceDE w:val="0"/>
        <w:autoSpaceDN w:val="0"/>
        <w:adjustRightInd w:val="0"/>
        <w:spacing w:after="0" w:line="240" w:lineRule="auto"/>
        <w:jc w:val="both"/>
        <w:rPr>
          <w:rFonts w:cs="Arial"/>
          <w:i/>
          <w:lang w:val="en-US"/>
        </w:rPr>
      </w:pPr>
      <w:r w:rsidRPr="00316DA4">
        <w:rPr>
          <w:rFonts w:cs="Arial"/>
          <w:lang w:val="en-US"/>
        </w:rPr>
        <w:t xml:space="preserve">Central Intelligence Agency (2008). </w:t>
      </w:r>
      <w:r w:rsidRPr="00316DA4">
        <w:rPr>
          <w:rFonts w:cs="Arial"/>
          <w:i/>
          <w:lang w:val="en-US"/>
        </w:rPr>
        <w:t xml:space="preserve">The 2008 World Factbook, Online Edition. </w:t>
      </w:r>
      <w:r w:rsidRPr="00316DA4">
        <w:rPr>
          <w:rFonts w:cs="Arial"/>
          <w:lang w:val="en-US"/>
        </w:rPr>
        <w:t>CIA Directorate of Intelligence, Langley VA.</w:t>
      </w:r>
    </w:p>
    <w:p w:rsidR="009623CA" w:rsidRPr="00316DA4" w:rsidRDefault="009623CA" w:rsidP="00E471DD">
      <w:pPr>
        <w:pStyle w:val="ListParagraph"/>
        <w:rPr>
          <w:rFonts w:cs="Arial"/>
          <w:i/>
          <w:lang w:val="en-US"/>
        </w:rPr>
      </w:pPr>
    </w:p>
    <w:p w:rsidR="009623CA" w:rsidRPr="00316DA4" w:rsidRDefault="009623CA" w:rsidP="00E471DD">
      <w:pPr>
        <w:numPr>
          <w:ilvl w:val="0"/>
          <w:numId w:val="4"/>
        </w:numPr>
        <w:autoSpaceDE w:val="0"/>
        <w:autoSpaceDN w:val="0"/>
        <w:adjustRightInd w:val="0"/>
        <w:spacing w:after="0" w:line="240" w:lineRule="auto"/>
        <w:jc w:val="both"/>
        <w:rPr>
          <w:rFonts w:cs="Arial"/>
          <w:i/>
        </w:rPr>
      </w:pPr>
      <w:r w:rsidRPr="00316DA4">
        <w:rPr>
          <w:rFonts w:cs="Arial"/>
        </w:rPr>
        <w:t xml:space="preserve">CDA Standpunt: Europa: Uitbreiding. Beschikbaar op: </w:t>
      </w:r>
      <w:hyperlink r:id="rId11" w:history="1">
        <w:r w:rsidRPr="00316DA4">
          <w:rPr>
            <w:rStyle w:val="Hyperlink"/>
            <w:rFonts w:cs="Arial"/>
          </w:rPr>
          <w:t>http://www.cda.nl/Waar_staan_we_voor/Standpunten/Europa__Uitbreiding_.aspx</w:t>
        </w:r>
      </w:hyperlink>
      <w:r w:rsidRPr="00316DA4">
        <w:rPr>
          <w:rFonts w:cs="Arial"/>
        </w:rPr>
        <w:t>.</w:t>
      </w:r>
    </w:p>
    <w:p w:rsidR="009623CA" w:rsidRPr="00316DA4" w:rsidRDefault="009623CA" w:rsidP="00E471DD">
      <w:pPr>
        <w:autoSpaceDE w:val="0"/>
        <w:autoSpaceDN w:val="0"/>
        <w:adjustRightInd w:val="0"/>
        <w:spacing w:after="0" w:line="240" w:lineRule="auto"/>
        <w:jc w:val="both"/>
        <w:rPr>
          <w:rFonts w:cs="Arial"/>
          <w:i/>
        </w:rPr>
      </w:pPr>
    </w:p>
    <w:p w:rsidR="009623CA" w:rsidRPr="00316DA4" w:rsidRDefault="009623CA" w:rsidP="00E471DD">
      <w:pPr>
        <w:numPr>
          <w:ilvl w:val="0"/>
          <w:numId w:val="4"/>
        </w:numPr>
        <w:autoSpaceDE w:val="0"/>
        <w:autoSpaceDN w:val="0"/>
        <w:adjustRightInd w:val="0"/>
        <w:spacing w:after="0" w:line="240" w:lineRule="auto"/>
        <w:jc w:val="both"/>
        <w:rPr>
          <w:rFonts w:cs="Arial"/>
          <w:lang w:val="en-US"/>
        </w:rPr>
      </w:pPr>
      <w:r w:rsidRPr="00316DA4">
        <w:rPr>
          <w:rFonts w:cs="Arial"/>
          <w:lang w:val="en-US"/>
        </w:rPr>
        <w:t xml:space="preserve">Coen, Dannreuther (2003). </w:t>
      </w:r>
      <w:r w:rsidRPr="00316DA4">
        <w:rPr>
          <w:rFonts w:cs="Arial"/>
          <w:i/>
          <w:lang w:val="en-US"/>
        </w:rPr>
        <w:t>Differentiated Europeanization: Large and Small Firms in the EU Policy Proces.</w:t>
      </w:r>
      <w:r w:rsidRPr="00316DA4">
        <w:rPr>
          <w:rFonts w:cs="Arial"/>
          <w:lang w:val="en-US"/>
        </w:rPr>
        <w:t xml:space="preserve"> </w:t>
      </w:r>
      <w:r w:rsidRPr="00316DA4">
        <w:rPr>
          <w:rFonts w:cs="AdvTimes"/>
          <w:lang w:val="en-GB" w:eastAsia="nl-NL"/>
        </w:rPr>
        <w:t>In: Politics of Europeanization (2003), Edited by Kevin Featherstone &amp; Claudio Radaelli. Oxford University Press.</w:t>
      </w:r>
    </w:p>
    <w:p w:rsidR="009623CA" w:rsidRPr="00316DA4" w:rsidRDefault="009623CA" w:rsidP="00E471DD">
      <w:pPr>
        <w:autoSpaceDE w:val="0"/>
        <w:autoSpaceDN w:val="0"/>
        <w:adjustRightInd w:val="0"/>
        <w:spacing w:after="0" w:line="240" w:lineRule="auto"/>
        <w:jc w:val="both"/>
        <w:rPr>
          <w:rFonts w:cs="Arial"/>
          <w:i/>
          <w:lang w:val="en-US"/>
        </w:rPr>
      </w:pPr>
    </w:p>
    <w:p w:rsidR="009623CA" w:rsidRPr="00316DA4" w:rsidRDefault="009623CA" w:rsidP="00E471DD">
      <w:pPr>
        <w:numPr>
          <w:ilvl w:val="0"/>
          <w:numId w:val="4"/>
        </w:numPr>
        <w:autoSpaceDE w:val="0"/>
        <w:autoSpaceDN w:val="0"/>
        <w:adjustRightInd w:val="0"/>
        <w:spacing w:after="0" w:line="240" w:lineRule="auto"/>
        <w:jc w:val="both"/>
        <w:rPr>
          <w:rFonts w:cs="Arial"/>
          <w:i/>
          <w:lang w:val="en-US"/>
        </w:rPr>
      </w:pPr>
      <w:r w:rsidRPr="00316DA4">
        <w:rPr>
          <w:rFonts w:cs="Arial"/>
          <w:lang w:val="en-US"/>
        </w:rPr>
        <w:t>Cini (2003) Referendum Briefing No.2: The Maltese EU Accession Referendum 8 March 2003. Opposing Europe Research Network, Sussex, UK.</w:t>
      </w:r>
    </w:p>
    <w:p w:rsidR="009623CA" w:rsidRPr="00316DA4" w:rsidRDefault="009623CA" w:rsidP="00E471DD">
      <w:pPr>
        <w:pStyle w:val="ListParagraph"/>
        <w:rPr>
          <w:rFonts w:cs="Arial"/>
          <w:i/>
          <w:lang w:val="en-US"/>
        </w:rPr>
      </w:pPr>
    </w:p>
    <w:p w:rsidR="009623CA" w:rsidRPr="00316DA4" w:rsidRDefault="009623CA" w:rsidP="00E471DD">
      <w:pPr>
        <w:numPr>
          <w:ilvl w:val="0"/>
          <w:numId w:val="4"/>
        </w:numPr>
        <w:jc w:val="both"/>
        <w:rPr>
          <w:lang w:val="en-US"/>
        </w:rPr>
      </w:pPr>
      <w:r w:rsidRPr="00316DA4">
        <w:rPr>
          <w:lang w:val="en-US"/>
        </w:rPr>
        <w:t xml:space="preserve">Debono, James (2006). </w:t>
      </w:r>
      <w:r w:rsidRPr="00316DA4">
        <w:rPr>
          <w:i/>
          <w:lang w:val="en-US"/>
        </w:rPr>
        <w:t>MEP’s united against stem cell</w:t>
      </w:r>
      <w:r w:rsidRPr="00316DA4">
        <w:rPr>
          <w:lang w:val="en-US"/>
        </w:rPr>
        <w:t xml:space="preserve">. In: </w:t>
      </w:r>
      <w:r w:rsidRPr="00316DA4">
        <w:rPr>
          <w:i/>
          <w:lang w:val="en-US"/>
        </w:rPr>
        <w:t>MaltaToday</w:t>
      </w:r>
      <w:r w:rsidRPr="00316DA4">
        <w:rPr>
          <w:lang w:val="en-US"/>
        </w:rPr>
        <w:t>, 18 juni 2006</w:t>
      </w:r>
    </w:p>
    <w:p w:rsidR="009623CA" w:rsidRPr="00316DA4" w:rsidRDefault="009623CA" w:rsidP="00E471DD">
      <w:pPr>
        <w:numPr>
          <w:ilvl w:val="0"/>
          <w:numId w:val="4"/>
        </w:numPr>
        <w:jc w:val="both"/>
        <w:rPr>
          <w:lang w:val="en-US"/>
        </w:rPr>
      </w:pPr>
      <w:r w:rsidRPr="00316DA4">
        <w:rPr>
          <w:lang w:val="en-US"/>
        </w:rPr>
        <w:t xml:space="preserve">Department of Enterprise, Trade &amp; Employment (2005). </w:t>
      </w:r>
      <w:r w:rsidRPr="00316DA4">
        <w:rPr>
          <w:i/>
          <w:lang w:val="en-US"/>
        </w:rPr>
        <w:t>Irish Position Paper for the Negotiations on the 7th. Framework Programme.</w:t>
      </w:r>
      <w:r w:rsidRPr="00316DA4">
        <w:rPr>
          <w:lang w:val="en-US"/>
        </w:rPr>
        <w:t xml:space="preserve"> Department of Enterprise, Trade &amp; Employment , Dublin, Ierland.</w:t>
      </w:r>
    </w:p>
    <w:p w:rsidR="009623CA" w:rsidRPr="00316DA4" w:rsidRDefault="009623CA" w:rsidP="00E471DD">
      <w:pPr>
        <w:numPr>
          <w:ilvl w:val="0"/>
          <w:numId w:val="4"/>
        </w:numPr>
        <w:jc w:val="both"/>
        <w:rPr>
          <w:lang w:val="en-US"/>
        </w:rPr>
      </w:pPr>
      <w:r w:rsidRPr="00316DA4">
        <w:rPr>
          <w:lang w:val="en-US"/>
        </w:rPr>
        <w:t xml:space="preserve">Dillon, Audrey (2006). </w:t>
      </w:r>
      <w:r w:rsidRPr="00316DA4">
        <w:rPr>
          <w:i/>
          <w:lang w:val="en-US"/>
        </w:rPr>
        <w:t>Research on human embryos</w:t>
      </w:r>
      <w:r w:rsidRPr="00316DA4">
        <w:rPr>
          <w:lang w:val="en-US"/>
        </w:rPr>
        <w:t>. In: The Irish Times 25-06-2006.</w:t>
      </w:r>
    </w:p>
    <w:p w:rsidR="009623CA" w:rsidRPr="00316DA4" w:rsidRDefault="009623CA" w:rsidP="00E471DD">
      <w:pPr>
        <w:pStyle w:val="ListParagraph"/>
        <w:autoSpaceDE w:val="0"/>
        <w:autoSpaceDN w:val="0"/>
        <w:adjustRightInd w:val="0"/>
        <w:spacing w:after="0" w:line="240" w:lineRule="auto"/>
        <w:ind w:left="0"/>
        <w:jc w:val="both"/>
        <w:rPr>
          <w:rFonts w:cs="AdvTimes"/>
          <w:lang w:val="en-US"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eastAsia="nl-NL"/>
        </w:rPr>
      </w:pPr>
      <w:r w:rsidRPr="00316DA4">
        <w:rPr>
          <w:rFonts w:cs="AdvTimes"/>
          <w:lang w:eastAsia="nl-NL"/>
        </w:rPr>
        <w:t xml:space="preserve">Dionyssis G. Dimitrakopoulos , Hussein Kassim (2004). </w:t>
      </w:r>
      <w:r w:rsidRPr="00316DA4">
        <w:rPr>
          <w:rFonts w:cs="AdvTimes-b"/>
          <w:i/>
          <w:lang w:val="en-US" w:eastAsia="nl-NL"/>
        </w:rPr>
        <w:t>Deciding the Future of the European Union: Preference Formation and Treaty Reform.</w:t>
      </w:r>
      <w:r w:rsidRPr="00316DA4">
        <w:rPr>
          <w:rFonts w:cs="AdvTimes-b"/>
          <w:lang w:val="en-US" w:eastAsia="nl-NL"/>
        </w:rPr>
        <w:t xml:space="preserve"> In: </w:t>
      </w:r>
      <w:r w:rsidRPr="00316DA4">
        <w:rPr>
          <w:rFonts w:cs="AdvTimes"/>
          <w:lang w:eastAsia="nl-NL"/>
        </w:rPr>
        <w:t xml:space="preserve">Comparative European Politics, </w:t>
      </w:r>
      <w:r w:rsidRPr="00316DA4">
        <w:rPr>
          <w:rFonts w:cs="AdvTimes-b"/>
          <w:lang w:eastAsia="nl-NL"/>
        </w:rPr>
        <w:t>2004</w:t>
      </w:r>
      <w:r w:rsidRPr="00316DA4">
        <w:rPr>
          <w:rFonts w:cs="AdvTimes"/>
          <w:lang w:eastAsia="nl-NL"/>
        </w:rPr>
        <w:t xml:space="preserve">, </w:t>
      </w:r>
      <w:r w:rsidRPr="00316DA4">
        <w:rPr>
          <w:rFonts w:cs="AdvTimes-b"/>
          <w:lang w:eastAsia="nl-NL"/>
        </w:rPr>
        <w:t>2</w:t>
      </w:r>
      <w:r w:rsidRPr="00316DA4">
        <w:rPr>
          <w:rFonts w:cs="AdvTimes"/>
          <w:lang w:eastAsia="nl-NL"/>
        </w:rPr>
        <w:t>, (241–260) Palgrave Macmillan Ltd.</w:t>
      </w:r>
    </w:p>
    <w:p w:rsidR="009623CA" w:rsidRPr="00316DA4" w:rsidRDefault="009623CA" w:rsidP="00E471DD">
      <w:pPr>
        <w:pStyle w:val="ListParagraph"/>
        <w:rPr>
          <w:rFonts w:cs="AdvTimes"/>
          <w:lang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val="en-US" w:eastAsia="nl-NL"/>
        </w:rPr>
      </w:pPr>
      <w:r w:rsidRPr="00316DA4">
        <w:rPr>
          <w:rFonts w:cs="AdvTimes"/>
          <w:lang w:val="en-US" w:eastAsia="nl-NL"/>
        </w:rPr>
        <w:t xml:space="preserve">Eurobarometer (2004). </w:t>
      </w:r>
      <w:r w:rsidRPr="00316DA4">
        <w:rPr>
          <w:rFonts w:cs="AdvTimes"/>
          <w:i/>
          <w:lang w:val="en-US" w:eastAsia="nl-NL"/>
        </w:rPr>
        <w:t>Standard Eurobarometer 61 Spring 2004 Public Opinion in the EU15.</w:t>
      </w:r>
      <w:r w:rsidRPr="00316DA4">
        <w:rPr>
          <w:rFonts w:cs="AdvTimes"/>
          <w:lang w:val="en-US" w:eastAsia="nl-NL"/>
        </w:rPr>
        <w:t xml:space="preserve"> Europese Commissie, Brussel.</w:t>
      </w:r>
    </w:p>
    <w:p w:rsidR="009623CA" w:rsidRPr="00316DA4" w:rsidRDefault="009623CA" w:rsidP="00E471DD">
      <w:pPr>
        <w:pStyle w:val="ListParagraph"/>
        <w:rPr>
          <w:rFonts w:cs="AdvTimes"/>
          <w:lang w:val="en-US" w:eastAsia="nl-NL"/>
        </w:rPr>
      </w:pPr>
    </w:p>
    <w:p w:rsidR="009623CA" w:rsidRPr="00316DA4" w:rsidRDefault="009623CA" w:rsidP="00E471DD">
      <w:pPr>
        <w:numPr>
          <w:ilvl w:val="0"/>
          <w:numId w:val="4"/>
        </w:numPr>
        <w:autoSpaceDE w:val="0"/>
        <w:autoSpaceDN w:val="0"/>
        <w:adjustRightInd w:val="0"/>
        <w:spacing w:after="0" w:line="240" w:lineRule="auto"/>
        <w:jc w:val="both"/>
        <w:rPr>
          <w:rFonts w:cs="Arial"/>
          <w:i/>
          <w:lang w:val="en-US"/>
        </w:rPr>
      </w:pPr>
      <w:r w:rsidRPr="00316DA4">
        <w:rPr>
          <w:rFonts w:cs="Arial"/>
          <w:lang w:val="en-US"/>
        </w:rPr>
        <w:t xml:space="preserve">Eurobarometer (2006). </w:t>
      </w:r>
      <w:r w:rsidRPr="00316DA4">
        <w:rPr>
          <w:rFonts w:cs="Arial,Bold"/>
          <w:bCs/>
          <w:i/>
          <w:lang w:val="en-US"/>
        </w:rPr>
        <w:t>Europeans and Biotechnology in 2005: Patterns and Trends</w:t>
      </w:r>
      <w:r w:rsidRPr="00316DA4">
        <w:rPr>
          <w:rFonts w:cs="Arial,Bold"/>
          <w:bCs/>
          <w:lang w:val="en-US"/>
        </w:rPr>
        <w:t>. Europese Commissie, Brussel.</w:t>
      </w:r>
    </w:p>
    <w:p w:rsidR="009623CA" w:rsidRPr="00316DA4" w:rsidRDefault="009623CA" w:rsidP="00E471DD">
      <w:pPr>
        <w:pStyle w:val="ListParagraph"/>
        <w:rPr>
          <w:rFonts w:cs="Arial"/>
          <w:i/>
          <w:lang w:val="en-US"/>
        </w:rPr>
      </w:pPr>
    </w:p>
    <w:p w:rsidR="009623CA" w:rsidRPr="00316DA4" w:rsidRDefault="009623CA" w:rsidP="00E471DD">
      <w:pPr>
        <w:numPr>
          <w:ilvl w:val="0"/>
          <w:numId w:val="4"/>
        </w:numPr>
        <w:autoSpaceDE w:val="0"/>
        <w:autoSpaceDN w:val="0"/>
        <w:adjustRightInd w:val="0"/>
        <w:spacing w:after="0" w:line="240" w:lineRule="auto"/>
        <w:jc w:val="both"/>
        <w:rPr>
          <w:rFonts w:cs="Arial"/>
          <w:i/>
        </w:rPr>
      </w:pPr>
      <w:r w:rsidRPr="00316DA4">
        <w:rPr>
          <w:rFonts w:cs="Arial"/>
        </w:rPr>
        <w:t xml:space="preserve">Europa.eu. (?) </w:t>
      </w:r>
      <w:r w:rsidRPr="00316DA4">
        <w:rPr>
          <w:rFonts w:cs="Arial"/>
          <w:i/>
        </w:rPr>
        <w:t>Europese Landen – Ierland</w:t>
      </w:r>
      <w:r w:rsidRPr="00316DA4">
        <w:rPr>
          <w:rFonts w:cs="Arial"/>
        </w:rPr>
        <w:t>. Beschikbaar op: http://europa.eu/abc/european_countries/eu_members/ireland/index_nl.htm</w:t>
      </w:r>
    </w:p>
    <w:p w:rsidR="009623CA" w:rsidRPr="00316DA4" w:rsidRDefault="009623CA" w:rsidP="00E471DD">
      <w:pPr>
        <w:rPr>
          <w:rFonts w:cs="Arial"/>
          <w:i/>
        </w:rPr>
      </w:pPr>
    </w:p>
    <w:p w:rsidR="009623CA" w:rsidRPr="00316DA4" w:rsidRDefault="009623CA" w:rsidP="00E471DD">
      <w:pPr>
        <w:numPr>
          <w:ilvl w:val="0"/>
          <w:numId w:val="4"/>
        </w:numPr>
        <w:autoSpaceDE w:val="0"/>
        <w:autoSpaceDN w:val="0"/>
        <w:adjustRightInd w:val="0"/>
        <w:spacing w:after="0" w:line="240" w:lineRule="auto"/>
        <w:jc w:val="both"/>
        <w:rPr>
          <w:rFonts w:cs="Arial"/>
          <w:i/>
        </w:rPr>
      </w:pPr>
      <w:r w:rsidRPr="00316DA4">
        <w:rPr>
          <w:rFonts w:cs="Arial"/>
        </w:rPr>
        <w:t xml:space="preserve">Europese Commissie (2007). </w:t>
      </w:r>
      <w:r w:rsidRPr="00316DA4">
        <w:rPr>
          <w:rFonts w:cs="Arial"/>
          <w:i/>
        </w:rPr>
        <w:t>KP7 in het kort: hoe kunt u betrokken geraken bij het EU 7</w:t>
      </w:r>
      <w:r w:rsidRPr="00316DA4">
        <w:rPr>
          <w:rFonts w:cs="Arial"/>
          <w:i/>
          <w:vertAlign w:val="superscript"/>
        </w:rPr>
        <w:t>e</w:t>
      </w:r>
      <w:r w:rsidRPr="00316DA4">
        <w:rPr>
          <w:rFonts w:cs="Arial"/>
          <w:i/>
        </w:rPr>
        <w:t xml:space="preserve"> kaderprogramma voor onderzoek</w:t>
      </w:r>
      <w:r w:rsidRPr="00316DA4">
        <w:rPr>
          <w:rFonts w:cs="Arial"/>
        </w:rPr>
        <w:t>. Luxemburg, Bureau voor Officiële Publicaties der Europese Gemeenschappen.</w:t>
      </w:r>
    </w:p>
    <w:p w:rsidR="009623CA" w:rsidRPr="00316DA4" w:rsidRDefault="009623CA" w:rsidP="00E471DD">
      <w:pPr>
        <w:autoSpaceDE w:val="0"/>
        <w:autoSpaceDN w:val="0"/>
        <w:adjustRightInd w:val="0"/>
        <w:spacing w:after="0" w:line="240" w:lineRule="auto"/>
        <w:ind w:left="644"/>
        <w:jc w:val="both"/>
        <w:rPr>
          <w:rFonts w:cs="Arial"/>
          <w:i/>
        </w:rPr>
      </w:pPr>
    </w:p>
    <w:p w:rsidR="009623CA" w:rsidRPr="00316DA4" w:rsidRDefault="009623CA" w:rsidP="00E471DD">
      <w:pPr>
        <w:numPr>
          <w:ilvl w:val="0"/>
          <w:numId w:val="4"/>
        </w:numPr>
        <w:autoSpaceDE w:val="0"/>
        <w:autoSpaceDN w:val="0"/>
        <w:adjustRightInd w:val="0"/>
        <w:spacing w:after="0" w:line="240" w:lineRule="auto"/>
        <w:jc w:val="both"/>
        <w:rPr>
          <w:rFonts w:cs="Arial"/>
          <w:i/>
          <w:lang w:val="en-US"/>
        </w:rPr>
      </w:pPr>
      <w:r w:rsidRPr="00316DA4">
        <w:rPr>
          <w:rFonts w:cs="Arial"/>
          <w:lang w:val="en-US"/>
        </w:rPr>
        <w:t xml:space="preserve">Fianna Fíal (2002). </w:t>
      </w:r>
      <w:r w:rsidRPr="00316DA4">
        <w:rPr>
          <w:rFonts w:cs="Arial"/>
          <w:i/>
          <w:lang w:val="en-US"/>
        </w:rPr>
        <w:t>Electoral Manifesto 2002.</w:t>
      </w:r>
      <w:r w:rsidRPr="00316DA4">
        <w:rPr>
          <w:rFonts w:cs="Arial"/>
          <w:lang w:val="en-US"/>
        </w:rPr>
        <w:t xml:space="preserve"> Fianna Fíal, Dublin, Ireland.</w:t>
      </w:r>
    </w:p>
    <w:p w:rsidR="009623CA" w:rsidRPr="00316DA4" w:rsidRDefault="009623CA" w:rsidP="009C21DE">
      <w:pPr>
        <w:pStyle w:val="ListParagraph"/>
        <w:rPr>
          <w:rFonts w:cs="Arial"/>
          <w:i/>
          <w:lang w:val="en-US"/>
        </w:rPr>
      </w:pPr>
    </w:p>
    <w:p w:rsidR="009623CA" w:rsidRPr="00316DA4" w:rsidRDefault="009623CA" w:rsidP="00E471DD">
      <w:pPr>
        <w:numPr>
          <w:ilvl w:val="0"/>
          <w:numId w:val="4"/>
        </w:numPr>
        <w:autoSpaceDE w:val="0"/>
        <w:autoSpaceDN w:val="0"/>
        <w:adjustRightInd w:val="0"/>
        <w:spacing w:after="0" w:line="240" w:lineRule="auto"/>
        <w:jc w:val="both"/>
        <w:rPr>
          <w:rFonts w:cs="Arial"/>
          <w:i/>
          <w:lang w:val="en-US"/>
        </w:rPr>
      </w:pPr>
      <w:r w:rsidRPr="00316DA4">
        <w:rPr>
          <w:rFonts w:cs="Arial"/>
          <w:lang w:val="en-US"/>
        </w:rPr>
        <w:t xml:space="preserve">Flyvbjerg, Bent (2006). </w:t>
      </w:r>
      <w:r w:rsidRPr="00316DA4">
        <w:rPr>
          <w:rFonts w:cs="Arial"/>
          <w:bCs/>
          <w:i/>
          <w:lang w:val="en-US"/>
        </w:rPr>
        <w:t>Five Misunderstandings About Case-Study Research.</w:t>
      </w:r>
      <w:r w:rsidRPr="00316DA4">
        <w:rPr>
          <w:rFonts w:cs="Arial"/>
          <w:bCs/>
          <w:lang w:val="en-US"/>
        </w:rPr>
        <w:t xml:space="preserve"> In: </w:t>
      </w:r>
      <w:r w:rsidRPr="00316DA4">
        <w:rPr>
          <w:rFonts w:cs="Arial"/>
          <w:iCs/>
          <w:lang w:val="en-US"/>
        </w:rPr>
        <w:t>Qualitative Inquiry</w:t>
      </w:r>
      <w:r w:rsidRPr="00316DA4">
        <w:rPr>
          <w:rFonts w:cs="Arial"/>
          <w:i/>
          <w:iCs/>
          <w:lang w:val="en-US"/>
        </w:rPr>
        <w:t xml:space="preserve"> </w:t>
      </w:r>
      <w:r w:rsidRPr="00316DA4">
        <w:rPr>
          <w:rFonts w:cs="Arial"/>
          <w:lang w:val="en-US"/>
        </w:rPr>
        <w:t>2006; 12; 219. Sage Publications.</w:t>
      </w:r>
    </w:p>
    <w:p w:rsidR="009623CA" w:rsidRPr="00316DA4" w:rsidRDefault="009623CA" w:rsidP="009C21DE">
      <w:pPr>
        <w:pStyle w:val="ListParagraph"/>
        <w:rPr>
          <w:rFonts w:cs="Arial"/>
          <w:i/>
          <w:lang w:val="en-US"/>
        </w:rPr>
      </w:pPr>
    </w:p>
    <w:p w:rsidR="009623CA" w:rsidRPr="00316DA4" w:rsidRDefault="009623CA" w:rsidP="00E471DD">
      <w:pPr>
        <w:numPr>
          <w:ilvl w:val="0"/>
          <w:numId w:val="4"/>
        </w:numPr>
        <w:autoSpaceDE w:val="0"/>
        <w:autoSpaceDN w:val="0"/>
        <w:adjustRightInd w:val="0"/>
        <w:spacing w:after="0" w:line="240" w:lineRule="auto"/>
        <w:jc w:val="both"/>
        <w:rPr>
          <w:rFonts w:cs="Arial"/>
          <w:lang w:val="en-US"/>
        </w:rPr>
      </w:pPr>
      <w:r w:rsidRPr="00316DA4">
        <w:rPr>
          <w:rFonts w:cs="Arial"/>
          <w:lang w:val="en-US"/>
        </w:rPr>
        <w:t xml:space="preserve">Gerring, John (2007). </w:t>
      </w:r>
      <w:r w:rsidRPr="00316DA4">
        <w:rPr>
          <w:rFonts w:cs="Arial"/>
          <w:bCs/>
          <w:i/>
          <w:lang w:val="en-US"/>
        </w:rPr>
        <w:t>Is There a (Viable) Crucial-Case Method?</w:t>
      </w:r>
      <w:r w:rsidRPr="00316DA4">
        <w:rPr>
          <w:rFonts w:cs="Arial"/>
          <w:b/>
          <w:bCs/>
          <w:lang w:val="en-US"/>
        </w:rPr>
        <w:t xml:space="preserve"> </w:t>
      </w:r>
      <w:r w:rsidRPr="00316DA4">
        <w:rPr>
          <w:rFonts w:cs="Arial"/>
          <w:bCs/>
          <w:lang w:val="en-US"/>
        </w:rPr>
        <w:t xml:space="preserve">In: </w:t>
      </w:r>
      <w:r w:rsidRPr="00316DA4">
        <w:rPr>
          <w:rFonts w:cs="Arial"/>
          <w:iCs/>
          <w:lang w:val="en-US"/>
        </w:rPr>
        <w:t>Comparative Political Studies</w:t>
      </w:r>
      <w:r w:rsidRPr="00316DA4">
        <w:rPr>
          <w:rFonts w:cs="Arial"/>
          <w:i/>
          <w:iCs/>
          <w:lang w:val="en-US"/>
        </w:rPr>
        <w:t xml:space="preserve"> </w:t>
      </w:r>
      <w:r w:rsidRPr="00316DA4">
        <w:rPr>
          <w:rFonts w:cs="Arial"/>
          <w:lang w:val="en-US"/>
        </w:rPr>
        <w:t>2007; 40; 231. Sage Publications</w:t>
      </w:r>
      <w:r w:rsidRPr="00316DA4">
        <w:rPr>
          <w:rFonts w:ascii="Arial" w:hAnsi="Arial" w:cs="Arial"/>
          <w:lang w:val="en-US"/>
        </w:rPr>
        <w:t>.</w:t>
      </w:r>
    </w:p>
    <w:p w:rsidR="009623CA" w:rsidRPr="00316DA4" w:rsidRDefault="009623CA" w:rsidP="00E471DD">
      <w:pPr>
        <w:pStyle w:val="ListParagraph"/>
        <w:rPr>
          <w:rFonts w:cs="Arial"/>
          <w:i/>
          <w:lang w:val="en-US"/>
        </w:rPr>
      </w:pPr>
    </w:p>
    <w:p w:rsidR="009623CA" w:rsidRPr="00316DA4" w:rsidRDefault="009623CA" w:rsidP="00E471DD">
      <w:pPr>
        <w:numPr>
          <w:ilvl w:val="0"/>
          <w:numId w:val="4"/>
        </w:numPr>
        <w:autoSpaceDE w:val="0"/>
        <w:autoSpaceDN w:val="0"/>
        <w:adjustRightInd w:val="0"/>
        <w:spacing w:after="0" w:line="240" w:lineRule="auto"/>
        <w:jc w:val="both"/>
        <w:rPr>
          <w:rFonts w:cs="Arial"/>
          <w:lang w:val="en-US"/>
        </w:rPr>
      </w:pPr>
      <w:r w:rsidRPr="00316DA4">
        <w:rPr>
          <w:rFonts w:cs="Arial"/>
          <w:lang w:val="en-US"/>
        </w:rPr>
        <w:t xml:space="preserve">Gilland, Karin (2002). </w:t>
      </w:r>
      <w:r w:rsidRPr="00316DA4">
        <w:rPr>
          <w:rFonts w:cs="Arial"/>
          <w:i/>
          <w:lang w:val="en-US"/>
        </w:rPr>
        <w:t xml:space="preserve">Europe and the irish general election of may 2002. </w:t>
      </w:r>
      <w:r w:rsidRPr="00316DA4">
        <w:rPr>
          <w:rFonts w:cs="Arial"/>
          <w:lang w:val="en-US"/>
        </w:rPr>
        <w:t>In: riia/oern election briefing no 2</w:t>
      </w:r>
      <w:r w:rsidRPr="00316DA4">
        <w:rPr>
          <w:rFonts w:cs="Arial"/>
          <w:i/>
          <w:lang w:val="en-US"/>
        </w:rPr>
        <w:t xml:space="preserve">. </w:t>
      </w:r>
      <w:r w:rsidRPr="00316DA4">
        <w:rPr>
          <w:rFonts w:cs="Arial"/>
          <w:lang w:val="en-US"/>
        </w:rPr>
        <w:t>RIIA, Londen, UK.</w:t>
      </w:r>
    </w:p>
    <w:p w:rsidR="009623CA" w:rsidRPr="00316DA4" w:rsidRDefault="009623CA" w:rsidP="00E471DD">
      <w:pPr>
        <w:autoSpaceDE w:val="0"/>
        <w:autoSpaceDN w:val="0"/>
        <w:adjustRightInd w:val="0"/>
        <w:spacing w:after="0" w:line="240" w:lineRule="auto"/>
        <w:ind w:left="284"/>
        <w:jc w:val="both"/>
        <w:rPr>
          <w:rFonts w:cs="AdvTimes"/>
          <w:lang w:val="en-US" w:eastAsia="nl-NL"/>
        </w:rPr>
      </w:pPr>
    </w:p>
    <w:p w:rsidR="009623CA" w:rsidRPr="00316DA4" w:rsidRDefault="009623CA" w:rsidP="00E471DD">
      <w:pPr>
        <w:pStyle w:val="ListParagraph"/>
        <w:rPr>
          <w:rFonts w:cs="AdvTimes"/>
          <w:lang w:val="en-US"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val="en-US" w:eastAsia="nl-NL"/>
        </w:rPr>
      </w:pPr>
      <w:r w:rsidRPr="00316DA4">
        <w:rPr>
          <w:rFonts w:cs="AdvTimes"/>
          <w:lang w:val="en-US" w:eastAsia="nl-NL"/>
        </w:rPr>
        <w:t xml:space="preserve">Giuliani (2003). </w:t>
      </w:r>
      <w:r w:rsidRPr="00316DA4">
        <w:rPr>
          <w:rFonts w:cs="AdvTimes"/>
          <w:i/>
          <w:lang w:val="en-US" w:eastAsia="nl-NL"/>
        </w:rPr>
        <w:t>Europeanization in Comparative Perspective: Institutional Fit and National Adaption.</w:t>
      </w:r>
      <w:r w:rsidRPr="00316DA4">
        <w:rPr>
          <w:rFonts w:cs="AdvTimes"/>
          <w:lang w:val="en-US" w:eastAsia="nl-NL"/>
        </w:rPr>
        <w:t xml:space="preserve"> </w:t>
      </w:r>
      <w:r w:rsidRPr="00316DA4">
        <w:rPr>
          <w:rFonts w:cs="AdvTimes"/>
          <w:lang w:val="en-GB" w:eastAsia="nl-NL"/>
        </w:rPr>
        <w:t>In: Politics of Europeanization (2003), Edited by Kevin Featherstone &amp; Claudio Radaelli. Oxford University Press.</w:t>
      </w:r>
    </w:p>
    <w:p w:rsidR="009623CA" w:rsidRPr="00316DA4" w:rsidRDefault="009623CA" w:rsidP="00E471DD">
      <w:pPr>
        <w:pStyle w:val="ListParagraph"/>
        <w:autoSpaceDE w:val="0"/>
        <w:autoSpaceDN w:val="0"/>
        <w:adjustRightInd w:val="0"/>
        <w:spacing w:after="0" w:line="240" w:lineRule="auto"/>
        <w:ind w:left="644"/>
        <w:jc w:val="both"/>
        <w:rPr>
          <w:rFonts w:cs="AdvTimes"/>
          <w:lang w:val="en-US"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val="en-US" w:eastAsia="nl-NL"/>
        </w:rPr>
      </w:pPr>
      <w:r w:rsidRPr="00316DA4">
        <w:rPr>
          <w:rFonts w:cs="AdvTimes"/>
          <w:lang w:val="en-US" w:eastAsia="nl-NL"/>
        </w:rPr>
        <w:t xml:space="preserve">Hogan, R.W. (1987) </w:t>
      </w:r>
      <w:r w:rsidRPr="00316DA4">
        <w:rPr>
          <w:rFonts w:cs="AdvTimes"/>
          <w:i/>
          <w:lang w:val="en-US" w:eastAsia="nl-NL"/>
        </w:rPr>
        <w:t>Law and Religion: Church – State Relations in Ireland from Independence to the Present Day</w:t>
      </w:r>
      <w:r w:rsidRPr="00316DA4">
        <w:rPr>
          <w:rFonts w:cs="AdvTimes"/>
          <w:lang w:val="en-US" w:eastAsia="nl-NL"/>
        </w:rPr>
        <w:t>. HeinOnline.</w:t>
      </w:r>
    </w:p>
    <w:p w:rsidR="009623CA" w:rsidRPr="00316DA4" w:rsidRDefault="009623CA" w:rsidP="00E471DD">
      <w:pPr>
        <w:pStyle w:val="ListParagraph"/>
        <w:autoSpaceDE w:val="0"/>
        <w:autoSpaceDN w:val="0"/>
        <w:adjustRightInd w:val="0"/>
        <w:spacing w:after="0" w:line="240" w:lineRule="auto"/>
        <w:ind w:left="644"/>
        <w:jc w:val="both"/>
        <w:rPr>
          <w:rFonts w:cs="AdvTimes"/>
          <w:lang w:val="en-US"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val="en-US" w:eastAsia="nl-NL"/>
        </w:rPr>
      </w:pPr>
      <w:r w:rsidRPr="00316DA4">
        <w:rPr>
          <w:rFonts w:cs="AdvTimes"/>
          <w:lang w:val="en-US" w:eastAsia="nl-NL"/>
        </w:rPr>
        <w:t xml:space="preserve">Iannaccone, Laurence R. (1998). </w:t>
      </w:r>
      <w:r w:rsidRPr="00316DA4">
        <w:rPr>
          <w:rFonts w:cs="AdvTimes"/>
          <w:i/>
          <w:lang w:val="en-US" w:eastAsia="nl-NL"/>
        </w:rPr>
        <w:t>Introduction to the Economics of Religion</w:t>
      </w:r>
      <w:r w:rsidRPr="00316DA4">
        <w:rPr>
          <w:rFonts w:cs="AdvTimes"/>
          <w:lang w:val="en-US" w:eastAsia="nl-NL"/>
        </w:rPr>
        <w:t>. In: Journal of Economic Literature, Vol. 36, No. 3 (Sep., 1998), pp. 1465-1495. American Economic Association.</w:t>
      </w:r>
    </w:p>
    <w:p w:rsidR="009623CA" w:rsidRPr="00316DA4" w:rsidRDefault="009623CA" w:rsidP="00E471DD">
      <w:pPr>
        <w:pStyle w:val="ListParagraph"/>
        <w:rPr>
          <w:rFonts w:cs="AdvTimes"/>
          <w:lang w:val="en-US"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val="en-US" w:eastAsia="nl-NL"/>
        </w:rPr>
      </w:pPr>
      <w:r w:rsidRPr="00316DA4">
        <w:rPr>
          <w:rFonts w:cs="AdvTimes"/>
          <w:lang w:val="en-US" w:eastAsia="nl-NL"/>
        </w:rPr>
        <w:t xml:space="preserve">ICSTI Ireland (2005). </w:t>
      </w:r>
      <w:r w:rsidRPr="00316DA4">
        <w:rPr>
          <w:rFonts w:cs="AdvTimes"/>
          <w:i/>
          <w:lang w:val="en-US" w:eastAsia="nl-NL"/>
        </w:rPr>
        <w:t>ICSTI Statement Towards the Seventh EU Framework Programme for Research and Technological Development</w:t>
      </w:r>
      <w:r w:rsidRPr="00316DA4">
        <w:rPr>
          <w:rFonts w:cs="AdvTimes"/>
          <w:lang w:val="en-US" w:eastAsia="nl-NL"/>
        </w:rPr>
        <w:t>. ICSTI, Dublin, Ireland.</w:t>
      </w:r>
    </w:p>
    <w:p w:rsidR="009623CA" w:rsidRPr="00316DA4" w:rsidRDefault="009623CA" w:rsidP="00E471DD">
      <w:pPr>
        <w:pStyle w:val="ListParagraph"/>
        <w:rPr>
          <w:rFonts w:cs="AdvTimes"/>
          <w:lang w:val="en-US"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val="en-US" w:eastAsia="nl-NL"/>
        </w:rPr>
      </w:pPr>
      <w:r w:rsidRPr="00316DA4">
        <w:rPr>
          <w:rFonts w:cs="AdvTimes"/>
          <w:lang w:val="en-US" w:eastAsia="nl-NL"/>
        </w:rPr>
        <w:t xml:space="preserve">Irish Bioindustry Association (2006). </w:t>
      </w:r>
      <w:r w:rsidRPr="00316DA4">
        <w:rPr>
          <w:rFonts w:cs="AdvTimes"/>
          <w:i/>
          <w:lang w:val="en-US" w:eastAsia="nl-NL"/>
        </w:rPr>
        <w:t>Advanced therapy medicinal products.</w:t>
      </w:r>
      <w:r w:rsidRPr="00316DA4">
        <w:rPr>
          <w:rFonts w:cs="AdvTimes"/>
          <w:lang w:val="en-US" w:eastAsia="nl-NL"/>
        </w:rPr>
        <w:t xml:space="preserve"> IBA, Dublin, Ireland.</w:t>
      </w:r>
    </w:p>
    <w:p w:rsidR="009623CA" w:rsidRPr="00316DA4" w:rsidRDefault="009623CA" w:rsidP="00E471DD">
      <w:pPr>
        <w:autoSpaceDE w:val="0"/>
        <w:autoSpaceDN w:val="0"/>
        <w:adjustRightInd w:val="0"/>
        <w:spacing w:after="0" w:line="240" w:lineRule="auto"/>
        <w:jc w:val="both"/>
        <w:rPr>
          <w:rFonts w:cs="AdvTimes"/>
          <w:lang w:val="en-US" w:eastAsia="nl-NL"/>
        </w:rPr>
      </w:pPr>
    </w:p>
    <w:p w:rsidR="009623CA" w:rsidRPr="00316DA4" w:rsidRDefault="009623CA" w:rsidP="00E471DD">
      <w:pPr>
        <w:pStyle w:val="ListParagraph"/>
        <w:autoSpaceDE w:val="0"/>
        <w:autoSpaceDN w:val="0"/>
        <w:adjustRightInd w:val="0"/>
        <w:spacing w:after="0" w:line="240" w:lineRule="auto"/>
        <w:ind w:left="0"/>
        <w:jc w:val="both"/>
        <w:rPr>
          <w:rFonts w:cs="AdvTimes"/>
          <w:lang w:val="en-US"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val="en-GB" w:eastAsia="nl-NL"/>
        </w:rPr>
      </w:pPr>
      <w:r w:rsidRPr="00316DA4">
        <w:rPr>
          <w:rFonts w:cs="AdvTimes"/>
          <w:lang w:val="en-GB" w:eastAsia="nl-NL"/>
        </w:rPr>
        <w:t xml:space="preserve">Kassim, Hussein (2003). </w:t>
      </w:r>
      <w:r w:rsidRPr="00316DA4">
        <w:rPr>
          <w:rFonts w:cs="AdvTimes"/>
          <w:i/>
          <w:lang w:val="en-GB" w:eastAsia="nl-NL"/>
        </w:rPr>
        <w:t>Meeting the Demands of EU Membership: The Europeanization of National Administrative Systems</w:t>
      </w:r>
      <w:r w:rsidRPr="00316DA4">
        <w:rPr>
          <w:rFonts w:cs="AdvTimes"/>
          <w:lang w:val="en-GB" w:eastAsia="nl-NL"/>
        </w:rPr>
        <w:t>. In: Politics of</w:t>
      </w:r>
      <w:r w:rsidRPr="00316DA4">
        <w:rPr>
          <w:rFonts w:cs="AdvTimes"/>
          <w:i/>
          <w:lang w:val="en-GB" w:eastAsia="nl-NL"/>
        </w:rPr>
        <w:t xml:space="preserve"> </w:t>
      </w:r>
      <w:r w:rsidRPr="00316DA4">
        <w:rPr>
          <w:rFonts w:cs="AdvTimes"/>
          <w:lang w:val="en-GB" w:eastAsia="nl-NL"/>
        </w:rPr>
        <w:t>Europeanization (2003), Edited by Kevin Featherstone &amp; Claudio Radaelli. Oxford University Press.</w:t>
      </w:r>
    </w:p>
    <w:p w:rsidR="009623CA" w:rsidRPr="00316DA4" w:rsidRDefault="009623CA" w:rsidP="00E471DD">
      <w:pPr>
        <w:pStyle w:val="ListParagraph"/>
        <w:rPr>
          <w:rFonts w:cs="AdvTimes"/>
          <w:lang w:val="en-GB"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eastAsia="nl-NL"/>
        </w:rPr>
      </w:pPr>
      <w:r w:rsidRPr="00316DA4">
        <w:rPr>
          <w:rFonts w:cs="AdvTimes"/>
          <w:lang w:eastAsia="nl-NL"/>
        </w:rPr>
        <w:t xml:space="preserve">Katholiek Nederland (2004). Eijk: Therapeutisch Kloneren is Opofferen van Mensenleven.  Beschikbaar op: </w:t>
      </w:r>
      <w:hyperlink r:id="rId12" w:history="1">
        <w:r w:rsidRPr="00316DA4">
          <w:rPr>
            <w:rStyle w:val="Hyperlink"/>
            <w:rFonts w:cs="AdvTimes"/>
            <w:lang w:eastAsia="nl-NL"/>
          </w:rPr>
          <w:t>http://www.katholieknederland.nl/actualiteit/2004/detail_objectID269443_FJaar2004.html</w:t>
        </w:r>
      </w:hyperlink>
    </w:p>
    <w:p w:rsidR="009623CA" w:rsidRPr="00316DA4" w:rsidRDefault="009623CA" w:rsidP="00E471DD">
      <w:pPr>
        <w:autoSpaceDE w:val="0"/>
        <w:autoSpaceDN w:val="0"/>
        <w:adjustRightInd w:val="0"/>
        <w:spacing w:after="0" w:line="240" w:lineRule="auto"/>
        <w:jc w:val="both"/>
        <w:rPr>
          <w:rFonts w:cs="AdvTimes"/>
          <w:lang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val="en-GB" w:eastAsia="nl-NL"/>
        </w:rPr>
      </w:pPr>
      <w:r w:rsidRPr="00316DA4">
        <w:rPr>
          <w:rFonts w:cs="AdvTimes"/>
          <w:lang w:val="en-US" w:eastAsia="nl-NL"/>
        </w:rPr>
        <w:t xml:space="preserve">Kirchner, Schwaiger (1981). </w:t>
      </w:r>
      <w:r w:rsidRPr="00316DA4">
        <w:rPr>
          <w:rFonts w:cs="AdvTimes"/>
          <w:i/>
          <w:lang w:val="en-US" w:eastAsia="nl-NL"/>
        </w:rPr>
        <w:t>The Role of Interest Groups in the European Co</w:t>
      </w:r>
      <w:r w:rsidRPr="00316DA4">
        <w:rPr>
          <w:rFonts w:cs="AdvTimes"/>
          <w:i/>
          <w:lang w:val="en-GB" w:eastAsia="nl-NL"/>
        </w:rPr>
        <w:t>mmunity</w:t>
      </w:r>
      <w:r w:rsidRPr="00316DA4">
        <w:rPr>
          <w:rFonts w:cs="AdvTimes"/>
          <w:lang w:val="en-GB" w:eastAsia="nl-NL"/>
        </w:rPr>
        <w:t>. Gower.</w:t>
      </w:r>
    </w:p>
    <w:p w:rsidR="009623CA" w:rsidRPr="00316DA4" w:rsidRDefault="009623CA" w:rsidP="00E471DD">
      <w:pPr>
        <w:pStyle w:val="ListParagraph"/>
        <w:rPr>
          <w:rFonts w:cs="AdvTimes"/>
          <w:lang w:val="en-GB"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eastAsia="nl-NL"/>
        </w:rPr>
      </w:pPr>
      <w:r w:rsidRPr="00316DA4">
        <w:rPr>
          <w:lang w:val="en-GB"/>
        </w:rPr>
        <w:t xml:space="preserve">KNAW, VSNU, VNO-NCW, NWO, TNO (2005). </w:t>
      </w:r>
      <w:r w:rsidRPr="00316DA4">
        <w:rPr>
          <w:i/>
        </w:rPr>
        <w:t>Berichten aan de pers. Gezamenlijk persbericht van VSNU, VNO-NCW, NWO, TNO en KNAW.</w:t>
      </w:r>
      <w:r w:rsidRPr="00316DA4">
        <w:t xml:space="preserve"> Beschikbaar op: </w:t>
      </w:r>
      <w:hyperlink r:id="rId13" w:history="1">
        <w:r w:rsidRPr="00316DA4">
          <w:rPr>
            <w:rStyle w:val="Hyperlink"/>
          </w:rPr>
          <w:t>http://www.knaw.nl/CFDATA/nieuws/nieuws_detail.cfm?nieuws__id=347</w:t>
        </w:r>
      </w:hyperlink>
    </w:p>
    <w:p w:rsidR="009623CA" w:rsidRPr="00316DA4" w:rsidRDefault="009623CA" w:rsidP="00E471DD">
      <w:pPr>
        <w:rPr>
          <w:rFonts w:cs="AdvTimes"/>
          <w:lang w:eastAsia="nl-NL"/>
        </w:rPr>
      </w:pPr>
    </w:p>
    <w:p w:rsidR="009623CA" w:rsidRPr="00316DA4" w:rsidRDefault="009623CA" w:rsidP="00E471DD">
      <w:pPr>
        <w:numPr>
          <w:ilvl w:val="0"/>
          <w:numId w:val="4"/>
        </w:numPr>
        <w:jc w:val="both"/>
        <w:rPr>
          <w:lang w:val="en-US"/>
        </w:rPr>
      </w:pPr>
      <w:r w:rsidRPr="00316DA4">
        <w:rPr>
          <w:lang w:val="en-US"/>
        </w:rPr>
        <w:t xml:space="preserve">Lindsay, David (2006). </w:t>
      </w:r>
      <w:r w:rsidRPr="00316DA4">
        <w:rPr>
          <w:i/>
          <w:lang w:val="en-US"/>
        </w:rPr>
        <w:t>Focus: The stem cell research debate</w:t>
      </w:r>
      <w:r w:rsidRPr="00316DA4">
        <w:rPr>
          <w:lang w:val="en-US"/>
        </w:rPr>
        <w:t>. In: The Malta Independent, 23 juni 2006.</w:t>
      </w:r>
    </w:p>
    <w:p w:rsidR="009623CA" w:rsidRPr="00316DA4" w:rsidRDefault="009623CA" w:rsidP="00E471DD">
      <w:pPr>
        <w:pStyle w:val="ListParagraph"/>
        <w:rPr>
          <w:rFonts w:cs="AdvTimes"/>
          <w:lang w:val="en-GB"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val="en-GB" w:eastAsia="nl-NL"/>
        </w:rPr>
      </w:pPr>
      <w:r w:rsidRPr="00316DA4">
        <w:rPr>
          <w:rFonts w:cs="AdvTimes"/>
          <w:lang w:val="en-GB" w:eastAsia="nl-NL"/>
        </w:rPr>
        <w:t xml:space="preserve">Malta-EU Information Centre(2003) Treaty </w:t>
      </w:r>
      <w:r w:rsidRPr="00316DA4">
        <w:rPr>
          <w:rFonts w:cs="AdvTimes"/>
          <w:i/>
          <w:lang w:val="en-GB" w:eastAsia="nl-NL"/>
        </w:rPr>
        <w:t>of Accession of Malta to the EU – Abridged Version</w:t>
      </w:r>
      <w:r w:rsidRPr="00316DA4">
        <w:rPr>
          <w:rFonts w:cs="AdvTimes"/>
          <w:lang w:val="en-GB" w:eastAsia="nl-NL"/>
        </w:rPr>
        <w:t>. MIC, Malta.</w:t>
      </w:r>
    </w:p>
    <w:p w:rsidR="009623CA" w:rsidRPr="00316DA4" w:rsidRDefault="009623CA" w:rsidP="00E471DD">
      <w:pPr>
        <w:pStyle w:val="ListParagraph"/>
        <w:autoSpaceDE w:val="0"/>
        <w:autoSpaceDN w:val="0"/>
        <w:adjustRightInd w:val="0"/>
        <w:spacing w:after="0" w:line="240" w:lineRule="auto"/>
        <w:ind w:left="644"/>
        <w:jc w:val="both"/>
        <w:rPr>
          <w:rFonts w:cs="AdvTimes"/>
          <w:lang w:val="en-GB"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val="en-GB" w:eastAsia="nl-NL"/>
        </w:rPr>
      </w:pPr>
      <w:r w:rsidRPr="00316DA4">
        <w:rPr>
          <w:rFonts w:cs="AdvTimes"/>
          <w:lang w:val="en-GB" w:eastAsia="nl-NL"/>
        </w:rPr>
        <w:t xml:space="preserve">McCormick (2002). </w:t>
      </w:r>
      <w:r w:rsidRPr="00316DA4">
        <w:rPr>
          <w:rFonts w:cs="AdvTimes"/>
          <w:i/>
          <w:lang w:val="en-GB" w:eastAsia="nl-NL"/>
        </w:rPr>
        <w:t xml:space="preserve">Understanding the European Union. A Concise Introduction. </w:t>
      </w:r>
      <w:r w:rsidRPr="00316DA4">
        <w:rPr>
          <w:rFonts w:cs="AdvTimes"/>
          <w:lang w:val="en-GB" w:eastAsia="nl-NL"/>
        </w:rPr>
        <w:t>Palgrave</w:t>
      </w:r>
      <w:r w:rsidRPr="00316DA4">
        <w:rPr>
          <w:rFonts w:cs="AdvTimes"/>
          <w:i/>
          <w:lang w:val="en-GB" w:eastAsia="nl-NL"/>
        </w:rPr>
        <w:t>.</w:t>
      </w:r>
    </w:p>
    <w:p w:rsidR="009623CA" w:rsidRPr="00316DA4" w:rsidRDefault="009623CA" w:rsidP="00E471DD">
      <w:pPr>
        <w:pStyle w:val="ListParagraph"/>
        <w:autoSpaceDE w:val="0"/>
        <w:autoSpaceDN w:val="0"/>
        <w:adjustRightInd w:val="0"/>
        <w:spacing w:after="0" w:line="240" w:lineRule="auto"/>
        <w:ind w:left="644"/>
        <w:jc w:val="both"/>
        <w:rPr>
          <w:rFonts w:cs="AdvTimes"/>
          <w:lang w:val="en-GB"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i/>
          <w:lang w:eastAsia="nl-NL"/>
        </w:rPr>
      </w:pPr>
      <w:r w:rsidRPr="00316DA4">
        <w:rPr>
          <w:rFonts w:cs="AdvTimes"/>
          <w:lang w:eastAsia="nl-NL"/>
        </w:rPr>
        <w:t xml:space="preserve">Ministerie van Buitenlandse Zaken (2005). </w:t>
      </w:r>
      <w:r w:rsidRPr="00316DA4">
        <w:rPr>
          <w:rFonts w:cs="AdvTimes"/>
          <w:i/>
          <w:lang w:eastAsia="nl-NL"/>
        </w:rPr>
        <w:t>Beschikkingen betreffende het zevende kaderprogramma (20072013).</w:t>
      </w:r>
    </w:p>
    <w:p w:rsidR="009623CA" w:rsidRPr="00316DA4" w:rsidRDefault="009623CA" w:rsidP="00E471DD">
      <w:pPr>
        <w:pStyle w:val="ListParagraph"/>
        <w:rPr>
          <w:rFonts w:cs="AdvTimes"/>
          <w:lang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eastAsia="nl-NL"/>
        </w:rPr>
      </w:pPr>
      <w:r w:rsidRPr="00316DA4">
        <w:rPr>
          <w:rFonts w:cs="AdvTimes"/>
          <w:lang w:eastAsia="nl-NL"/>
        </w:rPr>
        <w:t xml:space="preserve">Ministerie van Volksgezondheid, Welzijn en Sport (2006). </w:t>
      </w:r>
      <w:r w:rsidRPr="00316DA4">
        <w:rPr>
          <w:rFonts w:cs="AdvTimes"/>
          <w:i/>
          <w:lang w:eastAsia="nl-NL"/>
        </w:rPr>
        <w:t>Evaluatie Embryowet.</w:t>
      </w:r>
    </w:p>
    <w:p w:rsidR="009623CA" w:rsidRPr="00316DA4" w:rsidRDefault="009623CA" w:rsidP="00E471DD">
      <w:pPr>
        <w:pStyle w:val="ListParagraph"/>
        <w:rPr>
          <w:rFonts w:cs="AdvTimes"/>
          <w:lang w:eastAsia="nl-NL"/>
        </w:rPr>
      </w:pP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eastAsia="nl-NL"/>
        </w:rPr>
      </w:pPr>
      <w:r w:rsidRPr="00316DA4">
        <w:rPr>
          <w:rFonts w:cs="AdvTimes"/>
          <w:lang w:eastAsia="nl-NL"/>
        </w:rPr>
        <w:t xml:space="preserve">Molendijk, Arie L. (2006). </w:t>
      </w:r>
      <w:r w:rsidRPr="00316DA4">
        <w:rPr>
          <w:rFonts w:cs="AdvTimes"/>
          <w:i/>
          <w:lang w:eastAsia="nl-NL"/>
        </w:rPr>
        <w:t>De Geschiedenis van Kerk en Religie in Nederland. Kanttekeningen bij Twee Handboeken</w:t>
      </w:r>
      <w:r w:rsidRPr="00316DA4">
        <w:rPr>
          <w:rFonts w:cs="AdvTimes"/>
          <w:lang w:eastAsia="nl-NL"/>
        </w:rPr>
        <w:t>. In: Tijdschrift voor Nederlandse Kerkgeschiedenis 2006, 9 (115-118).</w:t>
      </w:r>
    </w:p>
    <w:p w:rsidR="009623CA" w:rsidRPr="00316DA4" w:rsidRDefault="009623CA" w:rsidP="00E471DD">
      <w:pPr>
        <w:pStyle w:val="ListParagraph"/>
        <w:autoSpaceDE w:val="0"/>
        <w:autoSpaceDN w:val="0"/>
        <w:adjustRightInd w:val="0"/>
        <w:spacing w:after="0" w:line="240" w:lineRule="auto"/>
        <w:ind w:left="0"/>
        <w:jc w:val="both"/>
        <w:rPr>
          <w:rFonts w:cs="AdvTimes"/>
          <w:lang w:eastAsia="nl-NL"/>
        </w:rPr>
      </w:pPr>
    </w:p>
    <w:p w:rsidR="009623CA" w:rsidRPr="00316DA4" w:rsidRDefault="009623CA" w:rsidP="00E471DD">
      <w:pPr>
        <w:numPr>
          <w:ilvl w:val="0"/>
          <w:numId w:val="4"/>
        </w:numPr>
        <w:jc w:val="both"/>
        <w:rPr>
          <w:lang w:val="en-US"/>
        </w:rPr>
      </w:pPr>
      <w:r w:rsidRPr="00316DA4">
        <w:rPr>
          <w:lang w:val="en-US"/>
        </w:rPr>
        <w:t xml:space="preserve">Moravcsik, Andrew (1993). </w:t>
      </w:r>
      <w:r w:rsidRPr="00316DA4">
        <w:rPr>
          <w:i/>
          <w:lang w:val="en-US"/>
        </w:rPr>
        <w:t>Preferences and Power in the European Community: A Liberal Intergovernmentalist Approach.</w:t>
      </w:r>
      <w:r w:rsidRPr="00316DA4">
        <w:rPr>
          <w:lang w:val="en-US"/>
        </w:rPr>
        <w:t xml:space="preserve"> In: Journal of common market studies, 1993,31,4 (473-524).</w:t>
      </w:r>
    </w:p>
    <w:p w:rsidR="009623CA" w:rsidRPr="00316DA4" w:rsidRDefault="009623CA" w:rsidP="00E471DD">
      <w:pPr>
        <w:numPr>
          <w:ilvl w:val="0"/>
          <w:numId w:val="4"/>
        </w:numPr>
        <w:jc w:val="both"/>
        <w:rPr>
          <w:lang w:val="en-US"/>
        </w:rPr>
      </w:pPr>
      <w:r w:rsidRPr="00316DA4">
        <w:rPr>
          <w:lang w:val="en-US"/>
        </w:rPr>
        <w:t>Moravcsik, Andrew (1997). Taking Preferences Seriously: A Liberal Theory of International Politics. In: International Organization, 1997, 51, 4 (513-553) The IO Foundation, Massachusetts Institute of Technology.</w:t>
      </w:r>
    </w:p>
    <w:p w:rsidR="009623CA" w:rsidRPr="00316DA4" w:rsidRDefault="009623CA" w:rsidP="00E471DD">
      <w:pPr>
        <w:numPr>
          <w:ilvl w:val="0"/>
          <w:numId w:val="4"/>
        </w:numPr>
        <w:jc w:val="both"/>
        <w:rPr>
          <w:lang w:val="en-US"/>
        </w:rPr>
      </w:pPr>
      <w:r w:rsidRPr="00316DA4">
        <w:rPr>
          <w:lang w:val="en-US"/>
        </w:rPr>
        <w:t xml:space="preserve">Mullins, Willard A. (1972). </w:t>
      </w:r>
      <w:r w:rsidRPr="00316DA4">
        <w:rPr>
          <w:i/>
          <w:lang w:val="en-US"/>
        </w:rPr>
        <w:t>On the Concept of Ideology in Political Science.</w:t>
      </w:r>
      <w:r w:rsidRPr="00316DA4">
        <w:rPr>
          <w:lang w:val="en-US"/>
        </w:rPr>
        <w:t xml:space="preserve"> In: </w:t>
      </w:r>
      <w:r w:rsidRPr="00316DA4">
        <w:rPr>
          <w:rFonts w:cs="AdvTimes"/>
          <w:lang w:val="en-GB" w:eastAsia="nl-NL"/>
        </w:rPr>
        <w:t xml:space="preserve"> The American Political Science Review,</w:t>
      </w:r>
      <w:r w:rsidRPr="00316DA4">
        <w:rPr>
          <w:rFonts w:cs="AdvTimes"/>
          <w:i/>
          <w:lang w:val="en-GB" w:eastAsia="nl-NL"/>
        </w:rPr>
        <w:t xml:space="preserve"> </w:t>
      </w:r>
      <w:r w:rsidRPr="00316DA4">
        <w:rPr>
          <w:rFonts w:cs="AdvTimes"/>
          <w:lang w:val="en-GB" w:eastAsia="nl-NL"/>
        </w:rPr>
        <w:t>1972, 66, 2 (498-510). American Political Science Association.</w:t>
      </w:r>
    </w:p>
    <w:p w:rsidR="009623CA" w:rsidRPr="00316DA4" w:rsidRDefault="009623CA" w:rsidP="00E471DD">
      <w:pPr>
        <w:numPr>
          <w:ilvl w:val="0"/>
          <w:numId w:val="4"/>
        </w:numPr>
        <w:jc w:val="both"/>
        <w:rPr>
          <w:lang w:val="en-US"/>
        </w:rPr>
      </w:pPr>
      <w:r w:rsidRPr="00316DA4">
        <w:rPr>
          <w:lang w:val="en-US"/>
        </w:rPr>
        <w:t xml:space="preserve">Näringsdepartementet (2004). </w:t>
      </w:r>
      <w:r w:rsidRPr="00316DA4">
        <w:rPr>
          <w:i/>
          <w:lang w:val="en-US"/>
        </w:rPr>
        <w:t>In Preparation of the Seventh Framework Programme for Research and Innovation – Swedish Preliminary Views</w:t>
      </w:r>
      <w:r w:rsidRPr="00316DA4">
        <w:rPr>
          <w:lang w:val="en-US"/>
        </w:rPr>
        <w:t>. Näringsdepartementet, Stockholm, Sweden.</w:t>
      </w:r>
    </w:p>
    <w:p w:rsidR="009623CA" w:rsidRPr="00316DA4" w:rsidRDefault="009623CA" w:rsidP="00E471DD">
      <w:pPr>
        <w:numPr>
          <w:ilvl w:val="0"/>
          <w:numId w:val="4"/>
        </w:numPr>
        <w:jc w:val="both"/>
        <w:rPr>
          <w:lang w:val="en-US"/>
        </w:rPr>
      </w:pPr>
      <w:r w:rsidRPr="00316DA4">
        <w:rPr>
          <w:rFonts w:cs="AdvTimes"/>
          <w:lang w:val="en-GB" w:eastAsia="nl-NL"/>
        </w:rPr>
        <w:t xml:space="preserve">Noll, Rudiger (2006). </w:t>
      </w:r>
      <w:r w:rsidRPr="00316DA4">
        <w:rPr>
          <w:rFonts w:cs="AdvTimes"/>
          <w:i/>
          <w:lang w:val="en-GB" w:eastAsia="nl-NL"/>
        </w:rPr>
        <w:t>European funding for stem cell research</w:t>
      </w:r>
      <w:r w:rsidRPr="00316DA4">
        <w:rPr>
          <w:rFonts w:cs="AdvTimes"/>
          <w:lang w:val="en-GB" w:eastAsia="nl-NL"/>
        </w:rPr>
        <w:t xml:space="preserve"> [brief] Conferention for European Churches.</w:t>
      </w:r>
    </w:p>
    <w:p w:rsidR="009623CA" w:rsidRPr="00316DA4" w:rsidRDefault="009623CA" w:rsidP="00E471DD">
      <w:pPr>
        <w:numPr>
          <w:ilvl w:val="0"/>
          <w:numId w:val="4"/>
        </w:numPr>
        <w:jc w:val="both"/>
      </w:pPr>
      <w:r w:rsidRPr="00316DA4">
        <w:rPr>
          <w:rFonts w:cs="AdvTimes"/>
          <w:lang w:eastAsia="nl-NL"/>
        </w:rPr>
        <w:t xml:space="preserve">Pauselijke Academie voor het Leven (2000). </w:t>
      </w:r>
      <w:r w:rsidRPr="00316DA4">
        <w:rPr>
          <w:rFonts w:cs="Times"/>
          <w:i/>
        </w:rPr>
        <w:t xml:space="preserve">Verklaring betreffende de productie en het wetenschappelijke en therapeutische gebruik van menselijke en embryonale stamcellen. </w:t>
      </w:r>
      <w:r w:rsidRPr="00316DA4">
        <w:rPr>
          <w:rFonts w:cs="Times"/>
        </w:rPr>
        <w:t>Pauselijke Academie voor het Leven, Vaticaanstad.</w:t>
      </w:r>
    </w:p>
    <w:p w:rsidR="009623CA" w:rsidRPr="00316DA4" w:rsidRDefault="009623CA" w:rsidP="00E471DD">
      <w:pPr>
        <w:numPr>
          <w:ilvl w:val="0"/>
          <w:numId w:val="4"/>
        </w:numPr>
        <w:jc w:val="both"/>
        <w:rPr>
          <w:lang w:val="en-US"/>
        </w:rPr>
      </w:pPr>
      <w:r w:rsidRPr="00316DA4">
        <w:rPr>
          <w:lang w:val="en-US"/>
        </w:rPr>
        <w:t xml:space="preserve">Pace, Roderick (2006) </w:t>
      </w:r>
      <w:r w:rsidRPr="00316DA4">
        <w:rPr>
          <w:i/>
          <w:lang w:val="en-US"/>
        </w:rPr>
        <w:t>Malta and EU Membership: Overcoming ‘Vulnerabilities’, Strengthening ‘Resilience’</w:t>
      </w:r>
      <w:r w:rsidRPr="00316DA4">
        <w:rPr>
          <w:lang w:val="en-US"/>
        </w:rPr>
        <w:t>. In: Journal of European Integration, 2006, 28, 1 (33-49) Routledge, London.</w:t>
      </w:r>
    </w:p>
    <w:p w:rsidR="009623CA" w:rsidRPr="00316DA4" w:rsidRDefault="009623CA" w:rsidP="00E471DD">
      <w:pPr>
        <w:numPr>
          <w:ilvl w:val="0"/>
          <w:numId w:val="4"/>
        </w:numPr>
        <w:jc w:val="both"/>
      </w:pPr>
      <w:r w:rsidRPr="00316DA4">
        <w:t xml:space="preserve">Raad van de Europese Unie (2007). </w:t>
      </w:r>
      <w:r w:rsidRPr="00316DA4">
        <w:rPr>
          <w:i/>
        </w:rPr>
        <w:t>Ontwerp Notulen 2773</w:t>
      </w:r>
      <w:r w:rsidRPr="00316DA4">
        <w:rPr>
          <w:i/>
          <w:vertAlign w:val="superscript"/>
        </w:rPr>
        <w:t>e</w:t>
      </w:r>
      <w:r w:rsidRPr="00316DA4">
        <w:rPr>
          <w:i/>
        </w:rPr>
        <w:t xml:space="preserve"> zitting van de Raad van de Europese Unie (MILIEU), gehouden op 16 december 2006 te Brussel</w:t>
      </w:r>
      <w:r w:rsidRPr="00316DA4">
        <w:t>. Raad van de Europese Unie, Brussel.</w:t>
      </w:r>
    </w:p>
    <w:p w:rsidR="009623CA" w:rsidRPr="00316DA4" w:rsidRDefault="009623CA" w:rsidP="00E471DD">
      <w:pPr>
        <w:numPr>
          <w:ilvl w:val="0"/>
          <w:numId w:val="4"/>
        </w:numPr>
        <w:jc w:val="both"/>
        <w:rPr>
          <w:lang w:val="en-US"/>
        </w:rPr>
      </w:pPr>
      <w:r w:rsidRPr="00316DA4">
        <w:rPr>
          <w:lang w:val="en-US"/>
        </w:rPr>
        <w:t xml:space="preserve">Rizzo, Saviour (1998). </w:t>
      </w:r>
      <w:r w:rsidRPr="00316DA4">
        <w:rPr>
          <w:i/>
          <w:lang w:val="en-US"/>
        </w:rPr>
        <w:t>Malta’s Accession to the EU – A Lack of Consensus.</w:t>
      </w:r>
      <w:r w:rsidRPr="00316DA4">
        <w:rPr>
          <w:lang w:val="en-US"/>
        </w:rPr>
        <w:t xml:space="preserve"> In: South-East Europe Review for Labour and Social Affairs, 1998, 4 (139-150) Hans-Böckler-Foundation, Düsseldorf.</w:t>
      </w:r>
    </w:p>
    <w:p w:rsidR="009623CA" w:rsidRPr="00316DA4" w:rsidRDefault="009623CA" w:rsidP="00E471DD">
      <w:pPr>
        <w:numPr>
          <w:ilvl w:val="0"/>
          <w:numId w:val="4"/>
        </w:numPr>
        <w:jc w:val="both"/>
      </w:pPr>
      <w:r w:rsidRPr="00316DA4">
        <w:t>Schermers, J.P. (2010). Correspondentie naar aanleiding van vragen over het standpunt van CDA over embryonaal stamcelonderzoek [e-mail] (persoonlijke communicatie, 16 februari 2010).</w:t>
      </w:r>
    </w:p>
    <w:p w:rsidR="009623CA" w:rsidRPr="00316DA4" w:rsidRDefault="009623CA" w:rsidP="00E471DD">
      <w:pPr>
        <w:numPr>
          <w:ilvl w:val="0"/>
          <w:numId w:val="4"/>
        </w:numPr>
        <w:jc w:val="both"/>
        <w:rPr>
          <w:lang w:val="en-US"/>
        </w:rPr>
      </w:pPr>
      <w:r w:rsidRPr="00316DA4">
        <w:rPr>
          <w:lang w:val="en-US" w:eastAsia="nl-NL"/>
        </w:rPr>
        <w:t xml:space="preserve">Sheanhan, Fionnán (2003). </w:t>
      </w:r>
      <w:r w:rsidRPr="00316DA4">
        <w:rPr>
          <w:i/>
          <w:lang w:val="en-US" w:eastAsia="nl-NL"/>
        </w:rPr>
        <w:t>Fianna Fail split deepens over stem cell research</w:t>
      </w:r>
      <w:r w:rsidRPr="00316DA4">
        <w:rPr>
          <w:lang w:val="en-US" w:eastAsia="nl-NL"/>
        </w:rPr>
        <w:t>. In: The Irish Examiner 26-11-2003.</w:t>
      </w:r>
    </w:p>
    <w:p w:rsidR="009623CA" w:rsidRPr="00316DA4" w:rsidRDefault="009623CA" w:rsidP="00E471DD">
      <w:pPr>
        <w:numPr>
          <w:ilvl w:val="0"/>
          <w:numId w:val="4"/>
        </w:numPr>
        <w:jc w:val="both"/>
        <w:rPr>
          <w:lang w:val="en-US"/>
        </w:rPr>
      </w:pPr>
      <w:r w:rsidRPr="00316DA4">
        <w:rPr>
          <w:lang w:val="en-US" w:eastAsia="nl-NL"/>
        </w:rPr>
        <w:t xml:space="preserve">Smyth, Jamie (2006). </w:t>
      </w:r>
      <w:r w:rsidRPr="00316DA4">
        <w:rPr>
          <w:i/>
          <w:lang w:val="en-US" w:eastAsia="nl-NL"/>
        </w:rPr>
        <w:t>EU to provide stem-cell research funding</w:t>
      </w:r>
      <w:r w:rsidRPr="00316DA4">
        <w:rPr>
          <w:lang w:val="en-US" w:eastAsia="nl-NL"/>
        </w:rPr>
        <w:t>. In: The Irish Times 25-07-2006.</w:t>
      </w:r>
    </w:p>
    <w:p w:rsidR="009623CA" w:rsidRPr="00316DA4" w:rsidRDefault="009623CA" w:rsidP="00E471DD">
      <w:pPr>
        <w:numPr>
          <w:ilvl w:val="0"/>
          <w:numId w:val="4"/>
        </w:numPr>
        <w:jc w:val="both"/>
      </w:pPr>
      <w:r w:rsidRPr="00316DA4">
        <w:t xml:space="preserve">Socialdemokraterna (2006). </w:t>
      </w:r>
      <w:r w:rsidRPr="00316DA4">
        <w:rPr>
          <w:i/>
        </w:rPr>
        <w:t>Election Manifesto 2006</w:t>
      </w:r>
      <w:r w:rsidRPr="00316DA4">
        <w:t>. Socialdemokraterna, Stockholm, Sweden.</w:t>
      </w:r>
    </w:p>
    <w:p w:rsidR="009623CA" w:rsidRPr="00316DA4" w:rsidRDefault="009623CA" w:rsidP="00E471DD">
      <w:pPr>
        <w:numPr>
          <w:ilvl w:val="0"/>
          <w:numId w:val="4"/>
        </w:numPr>
        <w:jc w:val="both"/>
      </w:pPr>
      <w:r w:rsidRPr="00316DA4">
        <w:rPr>
          <w:lang w:val="en-US"/>
        </w:rPr>
        <w:t xml:space="preserve">Svenska Kyrkan. </w:t>
      </w:r>
      <w:r w:rsidRPr="00316DA4">
        <w:rPr>
          <w:i/>
          <w:lang w:val="en-US"/>
        </w:rPr>
        <w:t>Welcome to the Church of Sweden.</w:t>
      </w:r>
      <w:r w:rsidRPr="00316DA4">
        <w:rPr>
          <w:lang w:val="en-US"/>
        </w:rPr>
        <w:t xml:space="preserve"> </w:t>
      </w:r>
      <w:r w:rsidRPr="00316DA4">
        <w:t xml:space="preserve">Beschikbaar op: </w:t>
      </w:r>
      <w:hyperlink r:id="rId14" w:history="1">
        <w:r w:rsidRPr="00316DA4">
          <w:rPr>
            <w:rStyle w:val="Hyperlink"/>
          </w:rPr>
          <w:t>http://www.svenskakyrkan.se/default.aspx?di=295562</w:t>
        </w:r>
      </w:hyperlink>
    </w:p>
    <w:p w:rsidR="009623CA" w:rsidRPr="00316DA4" w:rsidRDefault="009623CA" w:rsidP="00E471DD">
      <w:pPr>
        <w:numPr>
          <w:ilvl w:val="0"/>
          <w:numId w:val="4"/>
        </w:numPr>
        <w:jc w:val="both"/>
        <w:rPr>
          <w:lang w:val="en-US"/>
        </w:rPr>
      </w:pPr>
      <w:r w:rsidRPr="00316DA4">
        <w:rPr>
          <w:lang w:val="en-US"/>
        </w:rPr>
        <w:t xml:space="preserve">SwedenBio (2005). </w:t>
      </w:r>
      <w:r w:rsidRPr="00316DA4">
        <w:rPr>
          <w:i/>
          <w:lang w:val="en-US"/>
        </w:rPr>
        <w:t>Consultation on simplifications in the 7th Framework program (FP 7).</w:t>
      </w:r>
      <w:r w:rsidRPr="00316DA4">
        <w:rPr>
          <w:lang w:val="en-US"/>
        </w:rPr>
        <w:t xml:space="preserve"> SwedenBio, Stockholm.</w:t>
      </w:r>
    </w:p>
    <w:p w:rsidR="009623CA" w:rsidRPr="00316DA4" w:rsidRDefault="009623CA" w:rsidP="00E471DD">
      <w:pPr>
        <w:numPr>
          <w:ilvl w:val="0"/>
          <w:numId w:val="4"/>
        </w:numPr>
        <w:jc w:val="both"/>
      </w:pPr>
      <w:r w:rsidRPr="00316DA4">
        <w:rPr>
          <w:lang w:val="en-US"/>
        </w:rPr>
        <w:t xml:space="preserve">The Holy See (?). </w:t>
      </w:r>
      <w:r w:rsidRPr="00316DA4">
        <w:rPr>
          <w:rFonts w:cs="Times"/>
          <w:bCs/>
          <w:i/>
          <w:lang w:val="en-US"/>
        </w:rPr>
        <w:t xml:space="preserve">Pontifical academies for science, social sciences, life. </w:t>
      </w:r>
      <w:r w:rsidRPr="00316DA4">
        <w:rPr>
          <w:rFonts w:cs="Times"/>
          <w:bCs/>
        </w:rPr>
        <w:t xml:space="preserve">Beschikbaar op: </w:t>
      </w:r>
      <w:hyperlink r:id="rId15" w:history="1">
        <w:r w:rsidRPr="00316DA4">
          <w:rPr>
            <w:rStyle w:val="Hyperlink"/>
            <w:rFonts w:cs="Times"/>
            <w:bCs/>
          </w:rPr>
          <w:t>http://www.vatican.va/roman_curia/pontifical_academies/acdlife/documents/rc_pa_acdlife_pro_20051996_en.html</w:t>
        </w:r>
      </w:hyperlink>
    </w:p>
    <w:p w:rsidR="009623CA" w:rsidRPr="00316DA4" w:rsidRDefault="009623CA" w:rsidP="00E471DD">
      <w:pPr>
        <w:numPr>
          <w:ilvl w:val="0"/>
          <w:numId w:val="4"/>
        </w:numPr>
        <w:jc w:val="both"/>
        <w:rPr>
          <w:lang w:val="en-US"/>
        </w:rPr>
      </w:pPr>
      <w:r w:rsidRPr="00316DA4">
        <w:rPr>
          <w:lang w:val="en-US"/>
        </w:rPr>
        <w:t xml:space="preserve">The Republic of Malta (1964). </w:t>
      </w:r>
      <w:r w:rsidRPr="00316DA4">
        <w:rPr>
          <w:i/>
          <w:lang w:val="en-US"/>
        </w:rPr>
        <w:t>Constitution of Malta.</w:t>
      </w:r>
      <w:r w:rsidRPr="00316DA4">
        <w:rPr>
          <w:lang w:val="en-US"/>
        </w:rPr>
        <w:t xml:space="preserve"> The Republic of Malta.</w:t>
      </w:r>
    </w:p>
    <w:p w:rsidR="009623CA" w:rsidRPr="00316DA4" w:rsidRDefault="009623CA" w:rsidP="00E471DD">
      <w:pPr>
        <w:numPr>
          <w:ilvl w:val="0"/>
          <w:numId w:val="4"/>
        </w:numPr>
        <w:jc w:val="both"/>
        <w:rPr>
          <w:lang w:val="en-US"/>
        </w:rPr>
      </w:pPr>
      <w:r w:rsidRPr="00316DA4">
        <w:rPr>
          <w:lang w:val="en-US"/>
        </w:rPr>
        <w:t xml:space="preserve">Thompson, Sylvia (2006). </w:t>
      </w:r>
      <w:r w:rsidRPr="00316DA4">
        <w:rPr>
          <w:i/>
          <w:lang w:val="en-US"/>
        </w:rPr>
        <w:t>Majority want publicly-funded stem cell research.</w:t>
      </w:r>
      <w:r w:rsidRPr="00316DA4">
        <w:rPr>
          <w:lang w:val="en-US"/>
        </w:rPr>
        <w:t xml:space="preserve"> In: The Irish Times 13-06-2006.</w:t>
      </w:r>
    </w:p>
    <w:p w:rsidR="009623CA" w:rsidRPr="00316DA4" w:rsidRDefault="009623CA" w:rsidP="00E471DD">
      <w:pPr>
        <w:numPr>
          <w:ilvl w:val="0"/>
          <w:numId w:val="4"/>
        </w:numPr>
        <w:jc w:val="both"/>
      </w:pPr>
      <w:r w:rsidRPr="00316DA4">
        <w:t>Vassallo, Edwin (2009). Discussie over KP7 en de invloed van de Katholieke Kerk op Malta [interview] (persoonlijke communicatie, mei 2009).</w:t>
      </w:r>
    </w:p>
    <w:p w:rsidR="009623CA" w:rsidRPr="00316DA4" w:rsidRDefault="009623CA" w:rsidP="00E471DD">
      <w:pPr>
        <w:numPr>
          <w:ilvl w:val="0"/>
          <w:numId w:val="4"/>
        </w:numPr>
        <w:jc w:val="both"/>
        <w:rPr>
          <w:i/>
          <w:lang w:val="en-US"/>
        </w:rPr>
      </w:pPr>
      <w:r w:rsidRPr="00316DA4">
        <w:rPr>
          <w:lang w:val="en-US"/>
        </w:rPr>
        <w:t xml:space="preserve">Vinnova (2005). </w:t>
      </w:r>
      <w:r w:rsidRPr="00316DA4">
        <w:rPr>
          <w:i/>
          <w:lang w:val="en-US"/>
        </w:rPr>
        <w:t>Vinnova´s views on the european commission´s proposal for the seventh framework programme on research &amp; technological development (2007 - 2013)</w:t>
      </w:r>
      <w:r w:rsidRPr="00316DA4">
        <w:rPr>
          <w:lang w:val="en-US"/>
        </w:rPr>
        <w:t xml:space="preserve">. </w:t>
      </w:r>
      <w:r w:rsidRPr="00316DA4">
        <w:rPr>
          <w:i/>
          <w:lang w:val="en-US"/>
        </w:rPr>
        <w:t xml:space="preserve">Position Paper. </w:t>
      </w:r>
      <w:r w:rsidRPr="00316DA4">
        <w:rPr>
          <w:lang w:val="en-US"/>
        </w:rPr>
        <w:t>Vinnova, Swedish Agency for Innovation Systems / Verket för Innovatonssystem.</w:t>
      </w:r>
    </w:p>
    <w:p w:rsidR="009623CA" w:rsidRPr="00316DA4" w:rsidRDefault="009623CA" w:rsidP="00E471DD">
      <w:pPr>
        <w:numPr>
          <w:ilvl w:val="0"/>
          <w:numId w:val="4"/>
        </w:numPr>
        <w:jc w:val="both"/>
        <w:rPr>
          <w:i/>
          <w:lang w:val="en-US"/>
        </w:rPr>
      </w:pPr>
      <w:r w:rsidRPr="00316DA4">
        <w:rPr>
          <w:lang w:val="en-US"/>
        </w:rPr>
        <w:t xml:space="preserve">Wall, Martin (2006). </w:t>
      </w:r>
      <w:r w:rsidRPr="00316DA4">
        <w:rPr>
          <w:i/>
          <w:lang w:val="en-US"/>
        </w:rPr>
        <w:t>EU divided on stem-cell research funds</w:t>
      </w:r>
      <w:r w:rsidRPr="00316DA4">
        <w:rPr>
          <w:lang w:val="en-US"/>
        </w:rPr>
        <w:t>. In: The Irish Times 24-07-2006.</w:t>
      </w:r>
    </w:p>
    <w:p w:rsidR="009623CA" w:rsidRPr="00316DA4" w:rsidRDefault="009623CA" w:rsidP="00E471DD">
      <w:pPr>
        <w:numPr>
          <w:ilvl w:val="0"/>
          <w:numId w:val="4"/>
        </w:numPr>
        <w:jc w:val="both"/>
        <w:rPr>
          <w:i/>
          <w:lang w:val="en-US"/>
        </w:rPr>
      </w:pPr>
      <w:r w:rsidRPr="00316DA4">
        <w:rPr>
          <w:lang w:val="en-US"/>
        </w:rPr>
        <w:t xml:space="preserve">Warner, Carolyn M. (2000). </w:t>
      </w:r>
      <w:r w:rsidRPr="00316DA4">
        <w:rPr>
          <w:i/>
          <w:lang w:val="en-US"/>
        </w:rPr>
        <w:t>Confessions of an Interest Group. The Catholic Church and Political Parties in Europe</w:t>
      </w:r>
      <w:r w:rsidRPr="00316DA4">
        <w:rPr>
          <w:lang w:val="en-US"/>
        </w:rPr>
        <w:t>. Princeton University Press.</w:t>
      </w:r>
    </w:p>
    <w:p w:rsidR="009623CA" w:rsidRPr="00316DA4" w:rsidRDefault="009623CA" w:rsidP="00E471DD">
      <w:pPr>
        <w:pStyle w:val="ListParagraph"/>
        <w:numPr>
          <w:ilvl w:val="0"/>
          <w:numId w:val="4"/>
        </w:numPr>
        <w:autoSpaceDE w:val="0"/>
        <w:autoSpaceDN w:val="0"/>
        <w:adjustRightInd w:val="0"/>
        <w:spacing w:after="0" w:line="240" w:lineRule="auto"/>
        <w:jc w:val="both"/>
        <w:rPr>
          <w:rFonts w:cs="AdvTimes"/>
          <w:lang w:val="en-GB" w:eastAsia="nl-NL"/>
        </w:rPr>
      </w:pPr>
      <w:r w:rsidRPr="00316DA4">
        <w:rPr>
          <w:lang w:val="en-US"/>
        </w:rPr>
        <w:t xml:space="preserve">Wildavsky, Aaron (1987). Choosing Preferences by Constructing Institutions: A Cultural Theory of Preference Formation. In: </w:t>
      </w:r>
      <w:r w:rsidRPr="00316DA4">
        <w:rPr>
          <w:rFonts w:cs="AdvTimes"/>
          <w:lang w:val="en-GB" w:eastAsia="nl-NL"/>
        </w:rPr>
        <w:t xml:space="preserve"> The American Political Science Review, 1987, 81, 1 (4-21). American Political Science Association.</w:t>
      </w:r>
    </w:p>
    <w:p w:rsidR="009623CA" w:rsidRPr="00316DA4" w:rsidRDefault="009623CA" w:rsidP="00E471DD">
      <w:pPr>
        <w:pStyle w:val="ListParagraph"/>
        <w:autoSpaceDE w:val="0"/>
        <w:autoSpaceDN w:val="0"/>
        <w:adjustRightInd w:val="0"/>
        <w:spacing w:after="0" w:line="240" w:lineRule="auto"/>
        <w:ind w:left="284"/>
        <w:jc w:val="both"/>
        <w:rPr>
          <w:rFonts w:cs="AdvTimes"/>
          <w:lang w:val="en-GB" w:eastAsia="nl-NL"/>
        </w:rPr>
      </w:pPr>
    </w:p>
    <w:p w:rsidR="009623CA" w:rsidRPr="00316DA4" w:rsidRDefault="009623CA" w:rsidP="00E471DD">
      <w:pPr>
        <w:numPr>
          <w:ilvl w:val="0"/>
          <w:numId w:val="4"/>
        </w:numPr>
        <w:jc w:val="both"/>
        <w:rPr>
          <w:lang w:val="en-US"/>
        </w:rPr>
      </w:pPr>
      <w:r w:rsidRPr="00316DA4">
        <w:rPr>
          <w:lang w:val="en-US"/>
        </w:rPr>
        <w:t xml:space="preserve">Yin, Robert K. (2003). </w:t>
      </w:r>
      <w:r w:rsidRPr="00316DA4">
        <w:rPr>
          <w:i/>
          <w:lang w:val="en-US"/>
        </w:rPr>
        <w:t>Case Study Research. Design and Methods</w:t>
      </w:r>
      <w:r w:rsidRPr="00316DA4">
        <w:rPr>
          <w:lang w:val="en-US"/>
        </w:rPr>
        <w:t>. Sage Publications, Thousand Oaks.</w:t>
      </w:r>
    </w:p>
    <w:p w:rsidR="009623CA" w:rsidRPr="00316DA4" w:rsidRDefault="009623CA" w:rsidP="00E471DD">
      <w:pPr>
        <w:numPr>
          <w:ilvl w:val="0"/>
          <w:numId w:val="4"/>
        </w:numPr>
        <w:jc w:val="both"/>
      </w:pPr>
      <w:r w:rsidRPr="00316DA4">
        <w:rPr>
          <w:lang w:val="en-US"/>
        </w:rPr>
        <w:t xml:space="preserve">Zeiler, Kristin, (2002). </w:t>
      </w:r>
      <w:r w:rsidRPr="00316DA4">
        <w:rPr>
          <w:i/>
          <w:lang w:val="en-US"/>
        </w:rPr>
        <w:t xml:space="preserve">Sweden, Stem Cell Research and Ethics: Two Weaknesses of the Debate. </w:t>
      </w:r>
      <w:r w:rsidRPr="00316DA4">
        <w:t xml:space="preserve">Beschikbaar op: </w:t>
      </w:r>
      <w:hyperlink r:id="rId16" w:history="1">
        <w:r w:rsidRPr="00316DA4">
          <w:rPr>
            <w:rStyle w:val="Hyperlink"/>
          </w:rPr>
          <w:t>http://www.elca.org/What-We-Believe/Social-Issues/Journal-of-Lutheran-Ethics/Issues/December-2002/Sweden-Stem-Cell-Research-and-Ethics-Two-Weaknesses-of-the-Debate.aspx</w:t>
        </w:r>
      </w:hyperlink>
    </w:p>
    <w:p w:rsidR="009623CA" w:rsidRDefault="009623CA" w:rsidP="00E471DD">
      <w:pPr>
        <w:pStyle w:val="ListParagraph"/>
      </w:pPr>
    </w:p>
    <w:p w:rsidR="009623CA" w:rsidRPr="003F2DDB" w:rsidRDefault="009623CA" w:rsidP="00E471DD">
      <w:pPr>
        <w:ind w:left="644"/>
        <w:jc w:val="both"/>
      </w:pPr>
    </w:p>
    <w:p w:rsidR="009623CA" w:rsidRPr="00963D04" w:rsidRDefault="009623CA" w:rsidP="00E471DD">
      <w:pPr>
        <w:autoSpaceDE w:val="0"/>
        <w:autoSpaceDN w:val="0"/>
        <w:adjustRightInd w:val="0"/>
        <w:spacing w:after="0" w:line="240" w:lineRule="auto"/>
        <w:jc w:val="both"/>
        <w:rPr>
          <w:rFonts w:cs="Arial"/>
        </w:rPr>
      </w:pPr>
    </w:p>
    <w:p w:rsidR="009623CA" w:rsidRPr="00963D04" w:rsidRDefault="009623CA" w:rsidP="00E471DD">
      <w:pPr>
        <w:autoSpaceDE w:val="0"/>
        <w:autoSpaceDN w:val="0"/>
        <w:adjustRightInd w:val="0"/>
        <w:spacing w:after="0" w:line="240" w:lineRule="auto"/>
        <w:jc w:val="both"/>
        <w:rPr>
          <w:rFonts w:cs="Arial"/>
        </w:rPr>
      </w:pPr>
    </w:p>
    <w:p w:rsidR="009623CA" w:rsidRPr="00963D04" w:rsidRDefault="009623CA" w:rsidP="00E471DD">
      <w:pPr>
        <w:autoSpaceDE w:val="0"/>
        <w:autoSpaceDN w:val="0"/>
        <w:adjustRightInd w:val="0"/>
        <w:spacing w:after="0" w:line="240" w:lineRule="auto"/>
        <w:jc w:val="both"/>
        <w:rPr>
          <w:rFonts w:cs="Arial"/>
        </w:rPr>
      </w:pPr>
    </w:p>
    <w:p w:rsidR="009623CA" w:rsidRPr="00963D04" w:rsidRDefault="009623CA" w:rsidP="00E471DD">
      <w:pPr>
        <w:autoSpaceDE w:val="0"/>
        <w:autoSpaceDN w:val="0"/>
        <w:adjustRightInd w:val="0"/>
        <w:spacing w:after="0" w:line="240" w:lineRule="auto"/>
        <w:jc w:val="both"/>
        <w:rPr>
          <w:rFonts w:cs="Arial"/>
        </w:rPr>
      </w:pPr>
    </w:p>
    <w:p w:rsidR="009623CA" w:rsidRPr="00963D04" w:rsidRDefault="009623CA" w:rsidP="00E471DD">
      <w:pPr>
        <w:autoSpaceDE w:val="0"/>
        <w:autoSpaceDN w:val="0"/>
        <w:adjustRightInd w:val="0"/>
        <w:spacing w:after="0" w:line="240" w:lineRule="auto"/>
        <w:jc w:val="both"/>
        <w:rPr>
          <w:rFonts w:cs="Arial"/>
        </w:rPr>
      </w:pPr>
    </w:p>
    <w:p w:rsidR="009623CA" w:rsidRPr="00963D04" w:rsidRDefault="009623CA" w:rsidP="00E471DD">
      <w:pPr>
        <w:pStyle w:val="ListParagraph"/>
        <w:ind w:left="644"/>
        <w:jc w:val="both"/>
      </w:pPr>
    </w:p>
    <w:p w:rsidR="009623CA" w:rsidRPr="00963D04" w:rsidRDefault="009623CA" w:rsidP="00E471DD">
      <w:pPr>
        <w:ind w:left="644"/>
        <w:jc w:val="both"/>
      </w:pPr>
    </w:p>
    <w:p w:rsidR="009623CA" w:rsidRPr="00963D04" w:rsidRDefault="009623CA" w:rsidP="00E471DD">
      <w:pPr>
        <w:ind w:left="644"/>
        <w:jc w:val="both"/>
      </w:pPr>
    </w:p>
    <w:p w:rsidR="009623CA" w:rsidRPr="00963D04" w:rsidRDefault="009623CA" w:rsidP="00E471DD"/>
    <w:p w:rsidR="009623CA" w:rsidRDefault="009623CA" w:rsidP="004F44B3">
      <w:pPr>
        <w:spacing w:line="360" w:lineRule="auto"/>
        <w:rPr>
          <w:rStyle w:val="Heading1Char"/>
          <w:rFonts w:eastAsia="Calibri"/>
          <w:sz w:val="32"/>
        </w:rPr>
      </w:pPr>
    </w:p>
    <w:p w:rsidR="009623CA" w:rsidRDefault="009623CA" w:rsidP="004F44B3">
      <w:pPr>
        <w:spacing w:line="360" w:lineRule="auto"/>
        <w:rPr>
          <w:rStyle w:val="Heading1Char"/>
          <w:rFonts w:eastAsia="Calibri"/>
          <w:sz w:val="32"/>
        </w:rPr>
      </w:pPr>
    </w:p>
    <w:p w:rsidR="009623CA" w:rsidRDefault="009623CA" w:rsidP="004F44B3">
      <w:pPr>
        <w:spacing w:line="360" w:lineRule="auto"/>
        <w:rPr>
          <w:rStyle w:val="Heading1Char"/>
          <w:rFonts w:eastAsia="Calibri"/>
          <w:sz w:val="32"/>
        </w:rPr>
      </w:pPr>
    </w:p>
    <w:p w:rsidR="009623CA" w:rsidRDefault="009623CA" w:rsidP="004F44B3">
      <w:pPr>
        <w:spacing w:line="360" w:lineRule="auto"/>
        <w:rPr>
          <w:rStyle w:val="Heading1Char"/>
          <w:rFonts w:eastAsia="Calibri"/>
          <w:sz w:val="32"/>
        </w:rPr>
      </w:pPr>
    </w:p>
    <w:p w:rsidR="009623CA" w:rsidRDefault="009623CA" w:rsidP="004F44B3">
      <w:pPr>
        <w:spacing w:line="360" w:lineRule="auto"/>
        <w:rPr>
          <w:rStyle w:val="Heading1Char"/>
          <w:rFonts w:eastAsia="Calibri"/>
          <w:sz w:val="32"/>
        </w:rPr>
      </w:pPr>
    </w:p>
    <w:p w:rsidR="009623CA" w:rsidRDefault="009623CA" w:rsidP="004F44B3">
      <w:pPr>
        <w:spacing w:line="360" w:lineRule="auto"/>
        <w:rPr>
          <w:rStyle w:val="Heading1Char"/>
          <w:rFonts w:eastAsia="Calibri"/>
          <w:sz w:val="32"/>
        </w:rPr>
      </w:pPr>
    </w:p>
    <w:p w:rsidR="009623CA" w:rsidRPr="00A23BA5" w:rsidRDefault="009623CA" w:rsidP="00A23BA5"/>
    <w:sectPr w:rsidR="009623CA" w:rsidRPr="00A23BA5" w:rsidSect="00120F74">
      <w:footerReference w:type="even" r:id="rId17"/>
      <w:footerReference w:type="default" r:id="rId18"/>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3CA" w:rsidRDefault="009623CA" w:rsidP="006C52A4">
      <w:pPr>
        <w:spacing w:after="0" w:line="240" w:lineRule="auto"/>
      </w:pPr>
      <w:r>
        <w:separator/>
      </w:r>
    </w:p>
  </w:endnote>
  <w:endnote w:type="continuationSeparator" w:id="0">
    <w:p w:rsidR="009623CA" w:rsidRDefault="009623CA" w:rsidP="006C52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20002A87" w:usb1="80000000" w:usb2="00000008" w:usb3="00000000" w:csb0="000001FF" w:csb1="00000000"/>
  </w:font>
  <w:font w:name="Times-Roman">
    <w:panose1 w:val="00000000000000000000"/>
    <w:charset w:val="00"/>
    <w:family w:val="roman"/>
    <w:notTrueType/>
    <w:pitch w:val="default"/>
    <w:sig w:usb0="00000003" w:usb1="00000000" w:usb2="00000000" w:usb3="00000000" w:csb0="00000001" w:csb1="00000000"/>
  </w:font>
  <w:font w:name="TTA2036468t00">
    <w:panose1 w:val="00000000000000000000"/>
    <w:charset w:val="00"/>
    <w:family w:val="auto"/>
    <w:notTrueType/>
    <w:pitch w:val="default"/>
    <w:sig w:usb0="00000003" w:usb1="00000000" w:usb2="00000000" w:usb3="00000000" w:csb0="00000001" w:csb1="00000000"/>
  </w:font>
  <w:font w:name="Adve06613w">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TimesNewRoman">
    <w:panose1 w:val="00000000000000000000"/>
    <w:charset w:val="00"/>
    <w:family w:val="auto"/>
    <w:notTrueType/>
    <w:pitch w:val="default"/>
    <w:sig w:usb0="00000003" w:usb1="00000000" w:usb2="00000000" w:usb3="00000000" w:csb0="00000001" w:csb1="00000000"/>
  </w:font>
  <w:font w:name="AdvTimes">
    <w:altName w:val="MS Mincho"/>
    <w:panose1 w:val="00000000000000000000"/>
    <w:charset w:val="00"/>
    <w:family w:val="auto"/>
    <w:notTrueType/>
    <w:pitch w:val="default"/>
    <w:sig w:usb0="00000003" w:usb1="00000000" w:usb2="00000000" w:usb3="00000000" w:csb0="00000001" w:csb1="00000000"/>
  </w:font>
  <w:font w:name="AdvTimes-b">
    <w:panose1 w:val="00000000000000000000"/>
    <w:charset w:val="00"/>
    <w:family w:val="auto"/>
    <w:notTrueType/>
    <w:pitch w:val="default"/>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3CA" w:rsidRDefault="009623CA" w:rsidP="001845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623CA" w:rsidRDefault="009623CA" w:rsidP="00120F7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3995"/>
      <w:gridCol w:w="1082"/>
      <w:gridCol w:w="4103"/>
    </w:tblGrid>
    <w:tr w:rsidR="009623CA" w:rsidRPr="00CE27B4">
      <w:trPr>
        <w:trHeight w:val="151"/>
      </w:trPr>
      <w:tc>
        <w:tcPr>
          <w:tcW w:w="2250" w:type="pct"/>
          <w:tcBorders>
            <w:bottom w:val="single" w:sz="4" w:space="0" w:color="DDDDDD"/>
          </w:tcBorders>
        </w:tcPr>
        <w:p w:rsidR="009623CA" w:rsidRDefault="009623CA" w:rsidP="00184557">
          <w:pPr>
            <w:pStyle w:val="Header"/>
            <w:rPr>
              <w:rFonts w:ascii="Cambria" w:hAnsi="Cambria"/>
              <w:b/>
              <w:bCs/>
            </w:rPr>
          </w:pPr>
        </w:p>
      </w:tc>
      <w:tc>
        <w:tcPr>
          <w:tcW w:w="500" w:type="pct"/>
          <w:vMerge w:val="restart"/>
          <w:noWrap/>
          <w:vAlign w:val="center"/>
        </w:tcPr>
        <w:p w:rsidR="009623CA" w:rsidRPr="00CE27B4" w:rsidRDefault="009623CA" w:rsidP="00184557">
          <w:pPr>
            <w:pStyle w:val="NoSpacing"/>
            <w:rPr>
              <w:rFonts w:ascii="Cambria" w:hAnsi="Cambria"/>
            </w:rPr>
          </w:pPr>
          <w:r w:rsidRPr="00CE27B4">
            <w:rPr>
              <w:rFonts w:ascii="Cambria" w:hAnsi="Cambria"/>
              <w:b/>
            </w:rPr>
            <w:t xml:space="preserve">Pagina </w:t>
          </w:r>
          <w:fldSimple w:instr=" PAGE  \* MERGEFORMAT ">
            <w:r w:rsidRPr="00553226">
              <w:rPr>
                <w:rFonts w:ascii="Cambria" w:hAnsi="Cambria"/>
                <w:b/>
                <w:noProof/>
              </w:rPr>
              <w:t>71</w:t>
            </w:r>
          </w:fldSimple>
        </w:p>
      </w:tc>
      <w:tc>
        <w:tcPr>
          <w:tcW w:w="2250" w:type="pct"/>
          <w:tcBorders>
            <w:bottom w:val="single" w:sz="4" w:space="0" w:color="DDDDDD"/>
          </w:tcBorders>
        </w:tcPr>
        <w:p w:rsidR="009623CA" w:rsidRDefault="009623CA" w:rsidP="00184557">
          <w:pPr>
            <w:pStyle w:val="Header"/>
            <w:rPr>
              <w:rFonts w:ascii="Cambria" w:hAnsi="Cambria"/>
              <w:b/>
              <w:bCs/>
            </w:rPr>
          </w:pPr>
        </w:p>
      </w:tc>
    </w:tr>
    <w:tr w:rsidR="009623CA" w:rsidRPr="00CE27B4">
      <w:trPr>
        <w:trHeight w:val="150"/>
      </w:trPr>
      <w:tc>
        <w:tcPr>
          <w:tcW w:w="2250" w:type="pct"/>
          <w:tcBorders>
            <w:top w:val="single" w:sz="4" w:space="0" w:color="DDDDDD"/>
          </w:tcBorders>
        </w:tcPr>
        <w:p w:rsidR="009623CA" w:rsidRDefault="009623CA" w:rsidP="00184557">
          <w:pPr>
            <w:pStyle w:val="Header"/>
            <w:rPr>
              <w:rFonts w:ascii="Cambria" w:hAnsi="Cambria"/>
              <w:b/>
              <w:bCs/>
            </w:rPr>
          </w:pPr>
        </w:p>
      </w:tc>
      <w:tc>
        <w:tcPr>
          <w:tcW w:w="500" w:type="pct"/>
          <w:vMerge/>
        </w:tcPr>
        <w:p w:rsidR="009623CA" w:rsidRDefault="009623CA" w:rsidP="00184557">
          <w:pPr>
            <w:pStyle w:val="Header"/>
            <w:jc w:val="center"/>
            <w:rPr>
              <w:rFonts w:ascii="Cambria" w:hAnsi="Cambria"/>
              <w:b/>
              <w:bCs/>
            </w:rPr>
          </w:pPr>
        </w:p>
      </w:tc>
      <w:tc>
        <w:tcPr>
          <w:tcW w:w="2250" w:type="pct"/>
          <w:tcBorders>
            <w:top w:val="single" w:sz="4" w:space="0" w:color="DDDDDD"/>
          </w:tcBorders>
        </w:tcPr>
        <w:p w:rsidR="009623CA" w:rsidRDefault="009623CA" w:rsidP="00184557">
          <w:pPr>
            <w:pStyle w:val="Header"/>
            <w:rPr>
              <w:rFonts w:ascii="Cambria" w:hAnsi="Cambria"/>
              <w:b/>
              <w:bCs/>
            </w:rPr>
          </w:pPr>
        </w:p>
      </w:tc>
    </w:tr>
  </w:tbl>
  <w:p w:rsidR="009623CA" w:rsidRDefault="009623CA" w:rsidP="00120F7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3CA" w:rsidRDefault="009623CA" w:rsidP="006C52A4">
      <w:pPr>
        <w:spacing w:after="0" w:line="240" w:lineRule="auto"/>
      </w:pPr>
      <w:r>
        <w:separator/>
      </w:r>
    </w:p>
  </w:footnote>
  <w:footnote w:type="continuationSeparator" w:id="0">
    <w:p w:rsidR="009623CA" w:rsidRDefault="009623CA" w:rsidP="006C52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C8588E"/>
    <w:multiLevelType w:val="hybridMultilevel"/>
    <w:tmpl w:val="546E8600"/>
    <w:lvl w:ilvl="0" w:tplc="4836A136">
      <w:start w:val="1"/>
      <w:numFmt w:val="decimal"/>
      <w:lvlText w:val="%1."/>
      <w:lvlJc w:val="left"/>
      <w:pPr>
        <w:ind w:left="644" w:hanging="360"/>
      </w:pPr>
      <w:rPr>
        <w:rFonts w:cs="Times New Roman"/>
        <w:i w:val="0"/>
      </w:rPr>
    </w:lvl>
    <w:lvl w:ilvl="1" w:tplc="0413000F">
      <w:start w:val="1"/>
      <w:numFmt w:val="decimal"/>
      <w:lvlText w:val="%2."/>
      <w:lvlJc w:val="left"/>
      <w:pPr>
        <w:tabs>
          <w:tab w:val="num" w:pos="1440"/>
        </w:tabs>
        <w:ind w:left="1440" w:hanging="360"/>
      </w:pPr>
      <w:rPr>
        <w:rFonts w:cs="Times New Roman"/>
        <w:i w:val="0"/>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
    <w:nsid w:val="2C7B2724"/>
    <w:multiLevelType w:val="hybridMultilevel"/>
    <w:tmpl w:val="8D42A2C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54034E4B"/>
    <w:multiLevelType w:val="hybridMultilevel"/>
    <w:tmpl w:val="962A49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76660AAF"/>
    <w:multiLevelType w:val="hybridMultilevel"/>
    <w:tmpl w:val="FAC4B916"/>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50D2"/>
    <w:rsid w:val="00000485"/>
    <w:rsid w:val="0000183B"/>
    <w:rsid w:val="00012FAF"/>
    <w:rsid w:val="0004005C"/>
    <w:rsid w:val="000745C1"/>
    <w:rsid w:val="00076C52"/>
    <w:rsid w:val="000A29CC"/>
    <w:rsid w:val="000B22C6"/>
    <w:rsid w:val="000B66B6"/>
    <w:rsid w:val="000D181B"/>
    <w:rsid w:val="000D334B"/>
    <w:rsid w:val="000D5E95"/>
    <w:rsid w:val="000E0F24"/>
    <w:rsid w:val="000E31D3"/>
    <w:rsid w:val="000F0A38"/>
    <w:rsid w:val="000F7C73"/>
    <w:rsid w:val="000F7F06"/>
    <w:rsid w:val="001044CF"/>
    <w:rsid w:val="0010637B"/>
    <w:rsid w:val="00106547"/>
    <w:rsid w:val="0010730B"/>
    <w:rsid w:val="00120F74"/>
    <w:rsid w:val="00127555"/>
    <w:rsid w:val="00136B3B"/>
    <w:rsid w:val="00136B79"/>
    <w:rsid w:val="0018089A"/>
    <w:rsid w:val="00184557"/>
    <w:rsid w:val="00185DC7"/>
    <w:rsid w:val="0018696E"/>
    <w:rsid w:val="001945A5"/>
    <w:rsid w:val="001A416F"/>
    <w:rsid w:val="001C12D1"/>
    <w:rsid w:val="001C7826"/>
    <w:rsid w:val="001C7EF3"/>
    <w:rsid w:val="001F5B63"/>
    <w:rsid w:val="001F5E5E"/>
    <w:rsid w:val="00201144"/>
    <w:rsid w:val="00205E4F"/>
    <w:rsid w:val="00210912"/>
    <w:rsid w:val="002152A6"/>
    <w:rsid w:val="00226C19"/>
    <w:rsid w:val="0024542D"/>
    <w:rsid w:val="00254707"/>
    <w:rsid w:val="00257B1D"/>
    <w:rsid w:val="00266D8B"/>
    <w:rsid w:val="00281CB6"/>
    <w:rsid w:val="00291466"/>
    <w:rsid w:val="002923C0"/>
    <w:rsid w:val="002A0EB1"/>
    <w:rsid w:val="002A591E"/>
    <w:rsid w:val="002D1B8A"/>
    <w:rsid w:val="002F1781"/>
    <w:rsid w:val="002F3CC2"/>
    <w:rsid w:val="002F58DC"/>
    <w:rsid w:val="002F660C"/>
    <w:rsid w:val="003068B8"/>
    <w:rsid w:val="0031018C"/>
    <w:rsid w:val="00312585"/>
    <w:rsid w:val="00314799"/>
    <w:rsid w:val="00314D4A"/>
    <w:rsid w:val="00316DA4"/>
    <w:rsid w:val="00332CA4"/>
    <w:rsid w:val="00334888"/>
    <w:rsid w:val="0034007E"/>
    <w:rsid w:val="00357687"/>
    <w:rsid w:val="00357C61"/>
    <w:rsid w:val="0037516E"/>
    <w:rsid w:val="003C79B5"/>
    <w:rsid w:val="003D55FB"/>
    <w:rsid w:val="003F2DDB"/>
    <w:rsid w:val="0040158E"/>
    <w:rsid w:val="004234B7"/>
    <w:rsid w:val="00427E48"/>
    <w:rsid w:val="0043355E"/>
    <w:rsid w:val="00447F27"/>
    <w:rsid w:val="0045159F"/>
    <w:rsid w:val="00467FE1"/>
    <w:rsid w:val="004801A6"/>
    <w:rsid w:val="004804A8"/>
    <w:rsid w:val="00481CC6"/>
    <w:rsid w:val="004846DD"/>
    <w:rsid w:val="0049511F"/>
    <w:rsid w:val="004A4B27"/>
    <w:rsid w:val="004A5FEB"/>
    <w:rsid w:val="004B763D"/>
    <w:rsid w:val="004F44B3"/>
    <w:rsid w:val="004F6CAC"/>
    <w:rsid w:val="004F75A7"/>
    <w:rsid w:val="00501BA6"/>
    <w:rsid w:val="00502591"/>
    <w:rsid w:val="00527B23"/>
    <w:rsid w:val="005315B3"/>
    <w:rsid w:val="00545D7D"/>
    <w:rsid w:val="00550EE0"/>
    <w:rsid w:val="005526FE"/>
    <w:rsid w:val="00552A2C"/>
    <w:rsid w:val="00553226"/>
    <w:rsid w:val="0057027E"/>
    <w:rsid w:val="00571A6B"/>
    <w:rsid w:val="00582D6B"/>
    <w:rsid w:val="00587DB2"/>
    <w:rsid w:val="00596E29"/>
    <w:rsid w:val="005A16BF"/>
    <w:rsid w:val="005A5CD3"/>
    <w:rsid w:val="005A7A57"/>
    <w:rsid w:val="005B6326"/>
    <w:rsid w:val="005C56BB"/>
    <w:rsid w:val="005D48D7"/>
    <w:rsid w:val="005E0961"/>
    <w:rsid w:val="005E46D3"/>
    <w:rsid w:val="005E5204"/>
    <w:rsid w:val="005F507D"/>
    <w:rsid w:val="00602C2A"/>
    <w:rsid w:val="006100F4"/>
    <w:rsid w:val="00615145"/>
    <w:rsid w:val="006303D9"/>
    <w:rsid w:val="00640578"/>
    <w:rsid w:val="00642C0F"/>
    <w:rsid w:val="006439CB"/>
    <w:rsid w:val="00645E8F"/>
    <w:rsid w:val="00646A8C"/>
    <w:rsid w:val="006550C8"/>
    <w:rsid w:val="006633CE"/>
    <w:rsid w:val="00672648"/>
    <w:rsid w:val="0067500B"/>
    <w:rsid w:val="00687CA3"/>
    <w:rsid w:val="006A661A"/>
    <w:rsid w:val="006B204F"/>
    <w:rsid w:val="006B4B79"/>
    <w:rsid w:val="006C1209"/>
    <w:rsid w:val="006C52A4"/>
    <w:rsid w:val="006C5B7B"/>
    <w:rsid w:val="006D16A3"/>
    <w:rsid w:val="006D299C"/>
    <w:rsid w:val="006D3AA1"/>
    <w:rsid w:val="006D59F0"/>
    <w:rsid w:val="006D5DEE"/>
    <w:rsid w:val="006E21D4"/>
    <w:rsid w:val="006E47AD"/>
    <w:rsid w:val="006E7F05"/>
    <w:rsid w:val="006F1B71"/>
    <w:rsid w:val="006F2029"/>
    <w:rsid w:val="006F7FDE"/>
    <w:rsid w:val="00701435"/>
    <w:rsid w:val="00710AB6"/>
    <w:rsid w:val="0071187A"/>
    <w:rsid w:val="00716111"/>
    <w:rsid w:val="00720128"/>
    <w:rsid w:val="00726106"/>
    <w:rsid w:val="00733C58"/>
    <w:rsid w:val="00753A24"/>
    <w:rsid w:val="00754738"/>
    <w:rsid w:val="00761A08"/>
    <w:rsid w:val="0076438A"/>
    <w:rsid w:val="007811C8"/>
    <w:rsid w:val="00781613"/>
    <w:rsid w:val="007845F1"/>
    <w:rsid w:val="007940F2"/>
    <w:rsid w:val="007961D7"/>
    <w:rsid w:val="007B12A9"/>
    <w:rsid w:val="007B6A20"/>
    <w:rsid w:val="007C2EE9"/>
    <w:rsid w:val="007C3D39"/>
    <w:rsid w:val="007D2723"/>
    <w:rsid w:val="007D3C4C"/>
    <w:rsid w:val="007D66F8"/>
    <w:rsid w:val="007D6852"/>
    <w:rsid w:val="007F5806"/>
    <w:rsid w:val="00801F66"/>
    <w:rsid w:val="00821A1D"/>
    <w:rsid w:val="0082313E"/>
    <w:rsid w:val="00826741"/>
    <w:rsid w:val="00832781"/>
    <w:rsid w:val="00842BD2"/>
    <w:rsid w:val="00845D7C"/>
    <w:rsid w:val="0085190F"/>
    <w:rsid w:val="0087162B"/>
    <w:rsid w:val="0087781A"/>
    <w:rsid w:val="0088149D"/>
    <w:rsid w:val="008822CC"/>
    <w:rsid w:val="0088416D"/>
    <w:rsid w:val="0088758F"/>
    <w:rsid w:val="00897194"/>
    <w:rsid w:val="008A0A23"/>
    <w:rsid w:val="008A180B"/>
    <w:rsid w:val="008A6BD1"/>
    <w:rsid w:val="008B0F4B"/>
    <w:rsid w:val="008B35B0"/>
    <w:rsid w:val="008D231B"/>
    <w:rsid w:val="009247E9"/>
    <w:rsid w:val="00924901"/>
    <w:rsid w:val="009321DE"/>
    <w:rsid w:val="0093481B"/>
    <w:rsid w:val="0093598E"/>
    <w:rsid w:val="0093663E"/>
    <w:rsid w:val="00950C1C"/>
    <w:rsid w:val="00954B17"/>
    <w:rsid w:val="009623CA"/>
    <w:rsid w:val="00963D04"/>
    <w:rsid w:val="0098174A"/>
    <w:rsid w:val="0099158B"/>
    <w:rsid w:val="0099341B"/>
    <w:rsid w:val="009A29EE"/>
    <w:rsid w:val="009B21A3"/>
    <w:rsid w:val="009C21DE"/>
    <w:rsid w:val="009C6B0B"/>
    <w:rsid w:val="009F1CD5"/>
    <w:rsid w:val="009F42A1"/>
    <w:rsid w:val="009F6082"/>
    <w:rsid w:val="00A013D8"/>
    <w:rsid w:val="00A02483"/>
    <w:rsid w:val="00A055A6"/>
    <w:rsid w:val="00A22070"/>
    <w:rsid w:val="00A23BA5"/>
    <w:rsid w:val="00A45515"/>
    <w:rsid w:val="00A5622A"/>
    <w:rsid w:val="00A675B4"/>
    <w:rsid w:val="00A83EA3"/>
    <w:rsid w:val="00A96ADC"/>
    <w:rsid w:val="00A97E92"/>
    <w:rsid w:val="00AA2B1D"/>
    <w:rsid w:val="00AB373B"/>
    <w:rsid w:val="00AB433F"/>
    <w:rsid w:val="00AB661B"/>
    <w:rsid w:val="00AC25D7"/>
    <w:rsid w:val="00AC274A"/>
    <w:rsid w:val="00AC3502"/>
    <w:rsid w:val="00AC4443"/>
    <w:rsid w:val="00AC6CA4"/>
    <w:rsid w:val="00AD04EB"/>
    <w:rsid w:val="00AD243E"/>
    <w:rsid w:val="00AE0609"/>
    <w:rsid w:val="00AE107F"/>
    <w:rsid w:val="00B03513"/>
    <w:rsid w:val="00B035AD"/>
    <w:rsid w:val="00B373EF"/>
    <w:rsid w:val="00B4035A"/>
    <w:rsid w:val="00B464DE"/>
    <w:rsid w:val="00B62FBF"/>
    <w:rsid w:val="00B7233C"/>
    <w:rsid w:val="00B74ABF"/>
    <w:rsid w:val="00B76139"/>
    <w:rsid w:val="00B81C31"/>
    <w:rsid w:val="00B82A07"/>
    <w:rsid w:val="00B834D4"/>
    <w:rsid w:val="00BC0213"/>
    <w:rsid w:val="00BC67FD"/>
    <w:rsid w:val="00BD699A"/>
    <w:rsid w:val="00C015FA"/>
    <w:rsid w:val="00C01F17"/>
    <w:rsid w:val="00C15685"/>
    <w:rsid w:val="00C22B12"/>
    <w:rsid w:val="00C33012"/>
    <w:rsid w:val="00C330BA"/>
    <w:rsid w:val="00C36AC8"/>
    <w:rsid w:val="00C5601E"/>
    <w:rsid w:val="00C620CA"/>
    <w:rsid w:val="00C62645"/>
    <w:rsid w:val="00C91845"/>
    <w:rsid w:val="00C949FE"/>
    <w:rsid w:val="00CA3352"/>
    <w:rsid w:val="00CB1D58"/>
    <w:rsid w:val="00CB3E92"/>
    <w:rsid w:val="00CE27B4"/>
    <w:rsid w:val="00CE5ED0"/>
    <w:rsid w:val="00CE7206"/>
    <w:rsid w:val="00CF42A9"/>
    <w:rsid w:val="00D24138"/>
    <w:rsid w:val="00D4252C"/>
    <w:rsid w:val="00D4302E"/>
    <w:rsid w:val="00D509F6"/>
    <w:rsid w:val="00D53FA7"/>
    <w:rsid w:val="00D7430F"/>
    <w:rsid w:val="00D82819"/>
    <w:rsid w:val="00D82BEB"/>
    <w:rsid w:val="00D833DF"/>
    <w:rsid w:val="00D846E4"/>
    <w:rsid w:val="00D86158"/>
    <w:rsid w:val="00D87448"/>
    <w:rsid w:val="00D87797"/>
    <w:rsid w:val="00D908D1"/>
    <w:rsid w:val="00DA071E"/>
    <w:rsid w:val="00DB0869"/>
    <w:rsid w:val="00DB32BD"/>
    <w:rsid w:val="00DB426F"/>
    <w:rsid w:val="00DC3F25"/>
    <w:rsid w:val="00DC499E"/>
    <w:rsid w:val="00DD1AD9"/>
    <w:rsid w:val="00DD28B4"/>
    <w:rsid w:val="00DD7214"/>
    <w:rsid w:val="00DE09C5"/>
    <w:rsid w:val="00DE22D5"/>
    <w:rsid w:val="00DF04D4"/>
    <w:rsid w:val="00DF559C"/>
    <w:rsid w:val="00E119CB"/>
    <w:rsid w:val="00E13356"/>
    <w:rsid w:val="00E170B6"/>
    <w:rsid w:val="00E2270D"/>
    <w:rsid w:val="00E44B43"/>
    <w:rsid w:val="00E471DD"/>
    <w:rsid w:val="00E64FD9"/>
    <w:rsid w:val="00E650D2"/>
    <w:rsid w:val="00E75BC5"/>
    <w:rsid w:val="00E80939"/>
    <w:rsid w:val="00E8370E"/>
    <w:rsid w:val="00E87C35"/>
    <w:rsid w:val="00E907CD"/>
    <w:rsid w:val="00EB6D7A"/>
    <w:rsid w:val="00EC17B4"/>
    <w:rsid w:val="00ED22A4"/>
    <w:rsid w:val="00EE0EB1"/>
    <w:rsid w:val="00EE4710"/>
    <w:rsid w:val="00EF2A30"/>
    <w:rsid w:val="00EF3931"/>
    <w:rsid w:val="00F16F76"/>
    <w:rsid w:val="00F1711F"/>
    <w:rsid w:val="00F313E9"/>
    <w:rsid w:val="00F70DD3"/>
    <w:rsid w:val="00F743FA"/>
    <w:rsid w:val="00FA1046"/>
    <w:rsid w:val="00FB2AA0"/>
    <w:rsid w:val="00FD3E6B"/>
    <w:rsid w:val="00FD7708"/>
    <w:rsid w:val="00FF00F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81A"/>
    <w:pPr>
      <w:spacing w:after="200" w:line="276" w:lineRule="auto"/>
    </w:pPr>
    <w:rPr>
      <w:lang w:val="nl-NL"/>
    </w:rPr>
  </w:style>
  <w:style w:type="paragraph" w:styleId="Heading1">
    <w:name w:val="heading 1"/>
    <w:basedOn w:val="Normal"/>
    <w:next w:val="Normal"/>
    <w:link w:val="Heading1Char"/>
    <w:uiPriority w:val="99"/>
    <w:qFormat/>
    <w:rsid w:val="008A0A23"/>
    <w:pPr>
      <w:keepNext/>
      <w:keepLines/>
      <w:spacing w:before="480" w:after="0"/>
      <w:outlineLvl w:val="0"/>
    </w:pPr>
    <w:rPr>
      <w:rFonts w:eastAsia="Times New Roman"/>
      <w:b/>
      <w:bCs/>
      <w:color w:val="000000"/>
      <w:sz w:val="32"/>
      <w:szCs w:val="28"/>
    </w:rPr>
  </w:style>
  <w:style w:type="paragraph" w:styleId="Heading2">
    <w:name w:val="heading 2"/>
    <w:basedOn w:val="Normal"/>
    <w:next w:val="Normal"/>
    <w:link w:val="Heading2Char"/>
    <w:uiPriority w:val="99"/>
    <w:qFormat/>
    <w:rsid w:val="008A0A23"/>
    <w:pPr>
      <w:keepNext/>
      <w:keepLines/>
      <w:spacing w:before="200" w:after="0"/>
      <w:outlineLvl w:val="1"/>
    </w:pPr>
    <w:rPr>
      <w:rFonts w:eastAsia="Times New Roman"/>
      <w:b/>
      <w:bCs/>
      <w:color w:val="000000"/>
      <w:sz w:val="28"/>
      <w:szCs w:val="26"/>
    </w:rPr>
  </w:style>
  <w:style w:type="paragraph" w:styleId="Heading3">
    <w:name w:val="heading 3"/>
    <w:basedOn w:val="Normal"/>
    <w:next w:val="Normal"/>
    <w:link w:val="Heading3Char"/>
    <w:uiPriority w:val="99"/>
    <w:qFormat/>
    <w:rsid w:val="008A0A23"/>
    <w:pPr>
      <w:keepNext/>
      <w:keepLines/>
      <w:spacing w:before="200" w:after="0"/>
      <w:outlineLvl w:val="2"/>
    </w:pPr>
    <w:rPr>
      <w:rFonts w:eastAsia="Times New Roman"/>
      <w:b/>
      <w:bCs/>
      <w:i/>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0A23"/>
    <w:rPr>
      <w:rFonts w:eastAsia="Times New Roman" w:cs="Times New Roman"/>
      <w:b/>
      <w:bCs/>
      <w:color w:val="000000"/>
      <w:sz w:val="28"/>
      <w:szCs w:val="28"/>
    </w:rPr>
  </w:style>
  <w:style w:type="character" w:customStyle="1" w:styleId="Heading2Char">
    <w:name w:val="Heading 2 Char"/>
    <w:basedOn w:val="DefaultParagraphFont"/>
    <w:link w:val="Heading2"/>
    <w:uiPriority w:val="99"/>
    <w:locked/>
    <w:rsid w:val="008A0A23"/>
    <w:rPr>
      <w:rFonts w:eastAsia="Times New Roman" w:cs="Times New Roman"/>
      <w:b/>
      <w:bCs/>
      <w:color w:val="000000"/>
      <w:sz w:val="26"/>
      <w:szCs w:val="26"/>
    </w:rPr>
  </w:style>
  <w:style w:type="character" w:customStyle="1" w:styleId="Heading3Char">
    <w:name w:val="Heading 3 Char"/>
    <w:basedOn w:val="DefaultParagraphFont"/>
    <w:link w:val="Heading3"/>
    <w:uiPriority w:val="99"/>
    <w:locked/>
    <w:rsid w:val="008A0A23"/>
    <w:rPr>
      <w:rFonts w:eastAsia="Times New Roman" w:cs="Times New Roman"/>
      <w:b/>
      <w:bCs/>
      <w:i/>
      <w:sz w:val="24"/>
    </w:rPr>
  </w:style>
  <w:style w:type="paragraph" w:styleId="NoSpacing">
    <w:name w:val="No Spacing"/>
    <w:link w:val="NoSpacingChar"/>
    <w:uiPriority w:val="99"/>
    <w:qFormat/>
    <w:rsid w:val="006C52A4"/>
    <w:rPr>
      <w:lang w:val="nl-NL"/>
    </w:rPr>
  </w:style>
  <w:style w:type="paragraph" w:styleId="Header">
    <w:name w:val="header"/>
    <w:basedOn w:val="Normal"/>
    <w:link w:val="HeaderChar"/>
    <w:uiPriority w:val="99"/>
    <w:rsid w:val="006C52A4"/>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6C52A4"/>
    <w:rPr>
      <w:rFonts w:cs="Times New Roman"/>
    </w:rPr>
  </w:style>
  <w:style w:type="paragraph" w:styleId="Footer">
    <w:name w:val="footer"/>
    <w:basedOn w:val="Normal"/>
    <w:link w:val="FooterChar"/>
    <w:uiPriority w:val="99"/>
    <w:rsid w:val="006C52A4"/>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6C52A4"/>
    <w:rPr>
      <w:rFonts w:cs="Times New Roman"/>
    </w:rPr>
  </w:style>
  <w:style w:type="paragraph" w:styleId="TOC1">
    <w:name w:val="toc 1"/>
    <w:basedOn w:val="Normal"/>
    <w:next w:val="Normal"/>
    <w:autoRedefine/>
    <w:uiPriority w:val="99"/>
    <w:rsid w:val="003068B8"/>
    <w:pPr>
      <w:spacing w:after="100"/>
    </w:pPr>
  </w:style>
  <w:style w:type="character" w:styleId="Hyperlink">
    <w:name w:val="Hyperlink"/>
    <w:basedOn w:val="DefaultParagraphFont"/>
    <w:uiPriority w:val="99"/>
    <w:rsid w:val="003068B8"/>
    <w:rPr>
      <w:rFonts w:cs="Times New Roman"/>
      <w:color w:val="5F5F5F"/>
      <w:u w:val="single"/>
    </w:rPr>
  </w:style>
  <w:style w:type="paragraph" w:styleId="TOC2">
    <w:name w:val="toc 2"/>
    <w:basedOn w:val="Normal"/>
    <w:next w:val="Normal"/>
    <w:autoRedefine/>
    <w:uiPriority w:val="99"/>
    <w:rsid w:val="0010637B"/>
    <w:pPr>
      <w:spacing w:after="100"/>
      <w:ind w:left="220"/>
    </w:pPr>
  </w:style>
  <w:style w:type="paragraph" w:styleId="BalloonText">
    <w:name w:val="Balloon Text"/>
    <w:basedOn w:val="Normal"/>
    <w:link w:val="BalloonTextChar"/>
    <w:uiPriority w:val="99"/>
    <w:semiHidden/>
    <w:rsid w:val="00596E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6E29"/>
    <w:rPr>
      <w:rFonts w:ascii="Tahoma" w:hAnsi="Tahoma" w:cs="Tahoma"/>
      <w:sz w:val="16"/>
      <w:szCs w:val="16"/>
    </w:rPr>
  </w:style>
  <w:style w:type="paragraph" w:styleId="TOC3">
    <w:name w:val="toc 3"/>
    <w:basedOn w:val="Normal"/>
    <w:next w:val="Normal"/>
    <w:autoRedefine/>
    <w:uiPriority w:val="99"/>
    <w:rsid w:val="008A0A23"/>
    <w:pPr>
      <w:spacing w:after="100"/>
      <w:ind w:left="440"/>
    </w:pPr>
  </w:style>
  <w:style w:type="paragraph" w:styleId="ListParagraph">
    <w:name w:val="List Paragraph"/>
    <w:basedOn w:val="Normal"/>
    <w:uiPriority w:val="99"/>
    <w:qFormat/>
    <w:rsid w:val="0024542D"/>
    <w:pPr>
      <w:ind w:left="720"/>
      <w:contextualSpacing/>
    </w:pPr>
  </w:style>
  <w:style w:type="paragraph" w:customStyle="1" w:styleId="mtop">
    <w:name w:val="mtop"/>
    <w:basedOn w:val="Normal"/>
    <w:uiPriority w:val="99"/>
    <w:rsid w:val="006550C8"/>
    <w:pPr>
      <w:spacing w:before="100" w:beforeAutospacing="1" w:after="100" w:afterAutospacing="1" w:line="240" w:lineRule="auto"/>
    </w:pPr>
    <w:rPr>
      <w:rFonts w:ascii="Times New Roman" w:eastAsia="Times New Roman" w:hAnsi="Times New Roman"/>
      <w:sz w:val="24"/>
      <w:szCs w:val="24"/>
      <w:lang w:eastAsia="nl-NL"/>
    </w:rPr>
  </w:style>
  <w:style w:type="character" w:customStyle="1" w:styleId="NoSpacingChar">
    <w:name w:val="No Spacing Char"/>
    <w:basedOn w:val="DefaultParagraphFont"/>
    <w:link w:val="NoSpacing"/>
    <w:uiPriority w:val="99"/>
    <w:locked/>
    <w:rsid w:val="00527B23"/>
    <w:rPr>
      <w:rFonts w:cs="Times New Roman"/>
      <w:sz w:val="22"/>
      <w:szCs w:val="22"/>
      <w:lang w:val="nl-NL" w:eastAsia="en-US" w:bidi="ar-SA"/>
    </w:rPr>
  </w:style>
  <w:style w:type="table" w:styleId="MediumShading1-Accent1">
    <w:name w:val="Medium Shading 1 Accent 1"/>
    <w:basedOn w:val="TableNormal"/>
    <w:uiPriority w:val="99"/>
    <w:rsid w:val="00DD1AD9"/>
    <w:rPr>
      <w:sz w:val="20"/>
      <w:szCs w:val="20"/>
    </w:rPr>
    <w:tblPr>
      <w:tblStyleRowBandSize w:val="1"/>
      <w:tblStyleColBandSize w:val="1"/>
      <w:tblInd w:w="0" w:type="dxa"/>
      <w:tblBorders>
        <w:top w:val="single" w:sz="8" w:space="0" w:color="E5E5E5"/>
        <w:left w:val="single" w:sz="8" w:space="0" w:color="E5E5E5"/>
        <w:bottom w:val="single" w:sz="8" w:space="0" w:color="E5E5E5"/>
        <w:right w:val="single" w:sz="8" w:space="0" w:color="E5E5E5"/>
        <w:insideH w:val="single" w:sz="8" w:space="0" w:color="E5E5E5"/>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E5E5E5"/>
          <w:left w:val="single" w:sz="8" w:space="0" w:color="E5E5E5"/>
          <w:bottom w:val="single" w:sz="8" w:space="0" w:color="E5E5E5"/>
          <w:right w:val="single" w:sz="8" w:space="0" w:color="E5E5E5"/>
          <w:insideH w:val="nil"/>
          <w:insideV w:val="nil"/>
        </w:tcBorders>
        <w:shd w:val="clear" w:color="auto" w:fill="DDDDDD"/>
      </w:tcPr>
    </w:tblStylePr>
    <w:tblStylePr w:type="lastRow">
      <w:pPr>
        <w:spacing w:before="0" w:after="0"/>
      </w:pPr>
      <w:rPr>
        <w:rFonts w:cs="Times New Roman"/>
        <w:b/>
        <w:bCs/>
      </w:rPr>
      <w:tblPr/>
      <w:tcPr>
        <w:tcBorders>
          <w:top w:val="double" w:sz="6" w:space="0" w:color="E5E5E5"/>
          <w:left w:val="single" w:sz="8" w:space="0" w:color="E5E5E5"/>
          <w:bottom w:val="single" w:sz="8" w:space="0" w:color="E5E5E5"/>
          <w:right w:val="single" w:sz="8" w:space="0" w:color="E5E5E5"/>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6F6F6"/>
      </w:tcPr>
    </w:tblStylePr>
    <w:tblStylePr w:type="band1Horz">
      <w:rPr>
        <w:rFonts w:cs="Times New Roman"/>
      </w:rPr>
      <w:tblPr/>
      <w:tcPr>
        <w:tcBorders>
          <w:insideH w:val="nil"/>
          <w:insideV w:val="nil"/>
        </w:tcBorders>
        <w:shd w:val="clear" w:color="auto" w:fill="F6F6F6"/>
      </w:tcPr>
    </w:tblStylePr>
    <w:tblStylePr w:type="band2Horz">
      <w:rPr>
        <w:rFonts w:cs="Times New Roman"/>
      </w:rPr>
      <w:tblPr/>
      <w:tcPr>
        <w:tcBorders>
          <w:insideH w:val="nil"/>
          <w:insideV w:val="nil"/>
        </w:tcBorders>
      </w:tcPr>
    </w:tblStylePr>
  </w:style>
  <w:style w:type="character" w:styleId="PageNumber">
    <w:name w:val="page number"/>
    <w:basedOn w:val="DefaultParagraphFont"/>
    <w:uiPriority w:val="99"/>
    <w:rsid w:val="00120F74"/>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dependent.ie/topics/Fine+Gael" TargetMode="External"/><Relationship Id="rId13" Type="http://schemas.openxmlformats.org/officeDocument/2006/relationships/hyperlink" Target="http://www.knaw.nl/CFDATA/nieuws/nieuws_detail.cfm?nieuws__id=347"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katholieknederland.nl/actualiteit/2004/detail_objectID269443_FJaar2004.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elca.org/What-We-Believe/Social-Issues/Journal-of-Lutheran-Ethics/Issues/December-2002/Sweden-Stem-Cell-Research-and-Ethics-Two-Weaknesses-of-the-Debate.asp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da.nl/Waar_staan_we_voor/Standpunten/Europa__Uitbreiding_.aspx" TargetMode="External"/><Relationship Id="rId5" Type="http://schemas.openxmlformats.org/officeDocument/2006/relationships/footnotes" Target="footnotes.xml"/><Relationship Id="rId15" Type="http://schemas.openxmlformats.org/officeDocument/2006/relationships/hyperlink" Target="http://www.vatican.va/roman_curia/pontifical_academies/acdlife/documents/rc_pa_acdlife_pro_20051996_en.html" TargetMode="External"/><Relationship Id="rId10" Type="http://schemas.openxmlformats.org/officeDocument/2006/relationships/hyperlink" Target="http://www.vvd.nl/standpunt/190/europa"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dependent.ie/topics/Micheal+Martin" TargetMode="External"/><Relationship Id="rId14" Type="http://schemas.openxmlformats.org/officeDocument/2006/relationships/hyperlink" Target="http://www.svenskakyrkan.se/default.aspx?di=2955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72</Pages>
  <Words>27095</Words>
  <Characters>-32766</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Roderik van Zijderveld</dc:title>
  <dc:subject/>
  <dc:creator>Roderik</dc:creator>
  <cp:keywords/>
  <dc:description/>
  <cp:lastModifiedBy>haverland</cp:lastModifiedBy>
  <cp:revision>6</cp:revision>
  <cp:lastPrinted>2010-05-13T15:45:00Z</cp:lastPrinted>
  <dcterms:created xsi:type="dcterms:W3CDTF">2010-08-11T11:54:00Z</dcterms:created>
  <dcterms:modified xsi:type="dcterms:W3CDTF">2010-08-11T12:03:00Z</dcterms:modified>
</cp:coreProperties>
</file>