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1E4" w:rsidRPr="0000345E" w:rsidRDefault="005021E4" w:rsidP="005021E4">
      <w:pPr>
        <w:pBdr>
          <w:bottom w:val="single" w:sz="6" w:space="1" w:color="auto"/>
        </w:pBdr>
        <w:spacing w:line="360" w:lineRule="auto"/>
        <w:jc w:val="center"/>
        <w:rPr>
          <w:rFonts w:asciiTheme="minorHAnsi" w:hAnsiTheme="minorHAnsi" w:cs="Times New Roman"/>
        </w:rPr>
      </w:pPr>
      <w:bookmarkStart w:id="0" w:name="_Toc236565305"/>
      <w:bookmarkStart w:id="1" w:name="_Toc241658882"/>
      <w:bookmarkStart w:id="2" w:name="_Toc242584753"/>
      <w:bookmarkStart w:id="3" w:name="_Toc242697389"/>
      <w:bookmarkStart w:id="4" w:name="_Toc242697624"/>
      <w:bookmarkStart w:id="5" w:name="_Toc245187861"/>
      <w:r w:rsidRPr="0000345E">
        <w:rPr>
          <w:rFonts w:asciiTheme="minorHAnsi" w:hAnsiTheme="minorHAnsi" w:cs="Times New Roman"/>
        </w:rPr>
        <w:t>Master Thesis</w:t>
      </w:r>
    </w:p>
    <w:p w:rsidR="005021E4" w:rsidRPr="00337C97" w:rsidRDefault="005021E4" w:rsidP="005021E4">
      <w:pPr>
        <w:pBdr>
          <w:bottom w:val="single" w:sz="6" w:space="1" w:color="auto"/>
        </w:pBdr>
        <w:spacing w:line="360" w:lineRule="auto"/>
        <w:jc w:val="center"/>
        <w:rPr>
          <w:rFonts w:asciiTheme="minorHAnsi" w:hAnsiTheme="minorHAnsi" w:cs="Times New Roman"/>
        </w:rPr>
      </w:pPr>
    </w:p>
    <w:p w:rsidR="005021E4" w:rsidRPr="00337C97" w:rsidRDefault="005021E4" w:rsidP="005021E4">
      <w:pPr>
        <w:jc w:val="both"/>
        <w:rPr>
          <w:rFonts w:asciiTheme="minorHAnsi" w:hAnsiTheme="minorHAnsi" w:cs="Times New Roman"/>
        </w:rPr>
      </w:pPr>
    </w:p>
    <w:p w:rsidR="005021E4" w:rsidRPr="00337C97" w:rsidRDefault="005021E4" w:rsidP="005021E4">
      <w:pPr>
        <w:jc w:val="center"/>
        <w:rPr>
          <w:rFonts w:asciiTheme="minorHAnsi" w:hAnsiTheme="minorHAnsi" w:cs="Times New Roman"/>
          <w:b/>
          <w:sz w:val="36"/>
          <w:szCs w:val="36"/>
        </w:rPr>
      </w:pPr>
      <w:r w:rsidRPr="00337C97">
        <w:rPr>
          <w:rFonts w:asciiTheme="minorHAnsi" w:hAnsiTheme="minorHAnsi" w:cs="Times New Roman"/>
          <w:b/>
          <w:sz w:val="36"/>
          <w:szCs w:val="36"/>
        </w:rPr>
        <w:t>Risk Disclosure Practices of the European Banking Sector</w:t>
      </w:r>
    </w:p>
    <w:p w:rsidR="005021E4" w:rsidRPr="00337C97" w:rsidRDefault="005021E4" w:rsidP="005021E4">
      <w:pPr>
        <w:pBdr>
          <w:bottom w:val="single" w:sz="6" w:space="1" w:color="auto"/>
        </w:pBdr>
        <w:jc w:val="both"/>
        <w:rPr>
          <w:rFonts w:asciiTheme="minorHAnsi" w:hAnsiTheme="minorHAnsi" w:cs="Times New Roman"/>
        </w:rPr>
      </w:pPr>
    </w:p>
    <w:p w:rsidR="005021E4" w:rsidRPr="00337C97" w:rsidRDefault="005021E4" w:rsidP="005021E4">
      <w:pPr>
        <w:spacing w:line="360" w:lineRule="auto"/>
        <w:jc w:val="both"/>
        <w:rPr>
          <w:rFonts w:asciiTheme="minorHAnsi" w:hAnsiTheme="minorHAnsi" w:cs="Times New Roman"/>
        </w:rPr>
      </w:pPr>
    </w:p>
    <w:p w:rsidR="005021E4" w:rsidRPr="00337C97" w:rsidRDefault="005021E4" w:rsidP="005021E4">
      <w:pPr>
        <w:spacing w:line="360" w:lineRule="auto"/>
        <w:jc w:val="center"/>
        <w:rPr>
          <w:rFonts w:asciiTheme="minorHAnsi" w:hAnsiTheme="minorHAnsi" w:cs="Times New Roman"/>
          <w:sz w:val="32"/>
          <w:szCs w:val="32"/>
        </w:rPr>
      </w:pPr>
      <w:r w:rsidRPr="00337C97">
        <w:rPr>
          <w:rFonts w:asciiTheme="minorHAnsi" w:hAnsiTheme="minorHAnsi" w:cs="Times New Roman"/>
          <w:sz w:val="32"/>
          <w:szCs w:val="32"/>
        </w:rPr>
        <w:t>Evidence from the 2007 Annual Reports</w:t>
      </w:r>
    </w:p>
    <w:p w:rsidR="005021E4" w:rsidRPr="00337C97" w:rsidRDefault="005021E4" w:rsidP="005021E4">
      <w:pPr>
        <w:spacing w:line="360" w:lineRule="auto"/>
        <w:jc w:val="center"/>
        <w:rPr>
          <w:rFonts w:asciiTheme="minorHAnsi" w:hAnsiTheme="minorHAnsi" w:cs="Times New Roman"/>
          <w:b/>
        </w:rPr>
      </w:pPr>
    </w:p>
    <w:p w:rsidR="005021E4" w:rsidRPr="00337C97" w:rsidRDefault="005021E4" w:rsidP="005021E4">
      <w:pPr>
        <w:spacing w:line="360" w:lineRule="auto"/>
        <w:jc w:val="center"/>
        <w:rPr>
          <w:rFonts w:asciiTheme="minorHAnsi" w:hAnsiTheme="minorHAnsi" w:cs="Times New Roman"/>
          <w:b/>
        </w:rPr>
      </w:pPr>
      <w:r w:rsidRPr="00337C97">
        <w:rPr>
          <w:rFonts w:asciiTheme="minorHAnsi" w:hAnsiTheme="minorHAnsi" w:cs="Times New Roman"/>
          <w:b/>
        </w:rPr>
        <w:t>Author:</w:t>
      </w:r>
    </w:p>
    <w:p w:rsidR="005021E4" w:rsidRPr="00337C97" w:rsidRDefault="005021E4" w:rsidP="005021E4">
      <w:pPr>
        <w:spacing w:line="360" w:lineRule="auto"/>
        <w:jc w:val="center"/>
        <w:rPr>
          <w:rFonts w:asciiTheme="minorHAnsi" w:hAnsiTheme="minorHAnsi" w:cs="Times New Roman"/>
        </w:rPr>
      </w:pPr>
      <w:r w:rsidRPr="00337C97">
        <w:rPr>
          <w:rFonts w:asciiTheme="minorHAnsi" w:hAnsiTheme="minorHAnsi" w:cs="Times New Roman"/>
        </w:rPr>
        <w:t>Jaap-Willem Don (288497)</w:t>
      </w:r>
      <w:r w:rsidRPr="00337C97">
        <w:rPr>
          <w:rStyle w:val="Voetnootmarkering"/>
          <w:rFonts w:asciiTheme="minorHAnsi" w:hAnsiTheme="minorHAnsi" w:cs="Times New Roman"/>
        </w:rPr>
        <w:footnoteReference w:id="1"/>
      </w:r>
    </w:p>
    <w:p w:rsidR="005021E4" w:rsidRPr="00337C97" w:rsidRDefault="005021E4" w:rsidP="005021E4">
      <w:pPr>
        <w:spacing w:line="360" w:lineRule="auto"/>
        <w:jc w:val="center"/>
        <w:rPr>
          <w:rFonts w:asciiTheme="minorHAnsi" w:hAnsiTheme="minorHAnsi" w:cs="Times New Roman"/>
          <w:b/>
        </w:rPr>
      </w:pPr>
    </w:p>
    <w:p w:rsidR="005021E4" w:rsidRPr="00337C97" w:rsidRDefault="005021E4" w:rsidP="005021E4">
      <w:pPr>
        <w:spacing w:line="360" w:lineRule="auto"/>
        <w:jc w:val="center"/>
        <w:rPr>
          <w:rFonts w:asciiTheme="minorHAnsi" w:hAnsiTheme="minorHAnsi" w:cs="Times New Roman"/>
          <w:b/>
        </w:rPr>
      </w:pPr>
      <w:r w:rsidRPr="00337C97">
        <w:rPr>
          <w:rFonts w:asciiTheme="minorHAnsi" w:hAnsiTheme="minorHAnsi" w:cs="Times New Roman"/>
          <w:b/>
        </w:rPr>
        <w:t>Date:</w:t>
      </w:r>
    </w:p>
    <w:p w:rsidR="005021E4" w:rsidRPr="00337C97" w:rsidRDefault="00A62C7E" w:rsidP="005021E4">
      <w:pPr>
        <w:spacing w:line="360" w:lineRule="auto"/>
        <w:jc w:val="center"/>
        <w:rPr>
          <w:rFonts w:asciiTheme="minorHAnsi" w:hAnsiTheme="minorHAnsi" w:cs="Times New Roman"/>
        </w:rPr>
      </w:pPr>
      <w:r w:rsidRPr="00337C97">
        <w:rPr>
          <w:rFonts w:asciiTheme="minorHAnsi" w:hAnsiTheme="minorHAnsi" w:cs="Times New Roman"/>
        </w:rPr>
        <w:t>14</w:t>
      </w:r>
      <w:r w:rsidR="00927C5B" w:rsidRPr="00337C97">
        <w:rPr>
          <w:rFonts w:asciiTheme="minorHAnsi" w:hAnsiTheme="minorHAnsi" w:cs="Times New Roman"/>
        </w:rPr>
        <w:t xml:space="preserve"> August 2010</w:t>
      </w:r>
    </w:p>
    <w:p w:rsidR="005021E4" w:rsidRPr="00337C97" w:rsidRDefault="005021E4" w:rsidP="005021E4">
      <w:pPr>
        <w:spacing w:line="360" w:lineRule="auto"/>
        <w:rPr>
          <w:rFonts w:asciiTheme="minorHAnsi" w:hAnsiTheme="minorHAnsi" w:cs="Times New Roman"/>
        </w:rPr>
      </w:pPr>
    </w:p>
    <w:p w:rsidR="005021E4" w:rsidRPr="00337C97" w:rsidRDefault="005021E4" w:rsidP="005021E4">
      <w:pPr>
        <w:spacing w:line="360" w:lineRule="auto"/>
        <w:rPr>
          <w:rFonts w:asciiTheme="minorHAnsi" w:hAnsiTheme="minorHAnsi" w:cs="Times New Roman"/>
        </w:rPr>
      </w:pPr>
    </w:p>
    <w:p w:rsidR="005021E4" w:rsidRPr="00337C97" w:rsidRDefault="005021E4" w:rsidP="00086B82">
      <w:pPr>
        <w:spacing w:line="360" w:lineRule="auto"/>
        <w:jc w:val="both"/>
        <w:rPr>
          <w:rFonts w:asciiTheme="minorHAnsi" w:hAnsiTheme="minorHAnsi" w:cs="Times New Roman"/>
          <w:sz w:val="22"/>
          <w:szCs w:val="22"/>
        </w:rPr>
      </w:pPr>
      <w:r w:rsidRPr="00337C97">
        <w:rPr>
          <w:rFonts w:asciiTheme="minorHAnsi" w:hAnsiTheme="minorHAnsi" w:cs="Times New Roman"/>
          <w:b/>
          <w:sz w:val="22"/>
          <w:szCs w:val="22"/>
        </w:rPr>
        <w:t>Executive summary</w:t>
      </w:r>
      <w:r w:rsidRPr="00337C97">
        <w:rPr>
          <w:rFonts w:asciiTheme="minorHAnsi" w:hAnsiTheme="minorHAnsi" w:cs="Times New Roman"/>
          <w:sz w:val="22"/>
          <w:szCs w:val="22"/>
        </w:rPr>
        <w:t>:</w:t>
      </w:r>
      <w:r w:rsidR="00086B82" w:rsidRPr="00337C97">
        <w:rPr>
          <w:rFonts w:asciiTheme="minorHAnsi" w:hAnsiTheme="minorHAnsi" w:cs="Times New Roman"/>
          <w:sz w:val="22"/>
          <w:szCs w:val="22"/>
        </w:rPr>
        <w:t xml:space="preserve"> Since the financial crisis, there has never been so much attention towards risk disclosure by financial companies. It is important that stakeholders receive relevant information to reliably assess the risk profile of a company. This study investigates risk disclosure practices </w:t>
      </w:r>
      <w:r w:rsidR="00782923" w:rsidRPr="00337C97">
        <w:rPr>
          <w:rFonts w:asciiTheme="minorHAnsi" w:hAnsiTheme="minorHAnsi" w:cs="Times New Roman"/>
          <w:sz w:val="22"/>
          <w:szCs w:val="22"/>
        </w:rPr>
        <w:t xml:space="preserve">of 40 sampled banks </w:t>
      </w:r>
      <w:r w:rsidR="00086B82" w:rsidRPr="00337C97">
        <w:rPr>
          <w:rFonts w:asciiTheme="minorHAnsi" w:hAnsiTheme="minorHAnsi" w:cs="Times New Roman"/>
          <w:sz w:val="22"/>
          <w:szCs w:val="22"/>
        </w:rPr>
        <w:t xml:space="preserve">in the European banking sector by analysing the risk information and discussing its nature. The study reveals an increase in risk disclosure compared to earlier studies, indicating that risk disclosure practices has been improved. However, the usefulness is still questioned as the information is mainly qualitative, neutral and biased towards the past. Furthermore, this study relates the extent </w:t>
      </w:r>
      <w:r w:rsidR="00EB5A6B" w:rsidRPr="00337C97">
        <w:rPr>
          <w:rFonts w:asciiTheme="minorHAnsi" w:hAnsiTheme="minorHAnsi" w:cs="Times New Roman"/>
          <w:sz w:val="22"/>
          <w:szCs w:val="22"/>
        </w:rPr>
        <w:t xml:space="preserve">of </w:t>
      </w:r>
      <w:r w:rsidR="00086B82" w:rsidRPr="00337C97">
        <w:rPr>
          <w:rFonts w:asciiTheme="minorHAnsi" w:hAnsiTheme="minorHAnsi" w:cs="Times New Roman"/>
          <w:sz w:val="22"/>
          <w:szCs w:val="22"/>
        </w:rPr>
        <w:t xml:space="preserve">risk disclosure </w:t>
      </w:r>
      <w:r w:rsidR="00782923" w:rsidRPr="00337C97">
        <w:rPr>
          <w:rFonts w:asciiTheme="minorHAnsi" w:hAnsiTheme="minorHAnsi" w:cs="Times New Roman"/>
          <w:sz w:val="22"/>
          <w:szCs w:val="22"/>
        </w:rPr>
        <w:t xml:space="preserve">to </w:t>
      </w:r>
      <w:r w:rsidR="00086B82" w:rsidRPr="00337C97">
        <w:rPr>
          <w:rFonts w:asciiTheme="minorHAnsi" w:hAnsiTheme="minorHAnsi" w:cs="Times New Roman"/>
          <w:sz w:val="22"/>
          <w:szCs w:val="22"/>
        </w:rPr>
        <w:t>firm specific characteristics as size, profitability, leverage, multiple listing</w:t>
      </w:r>
      <w:r w:rsidR="00CD7B2F" w:rsidRPr="00337C97">
        <w:rPr>
          <w:rFonts w:asciiTheme="minorHAnsi" w:hAnsiTheme="minorHAnsi" w:cs="Times New Roman"/>
          <w:sz w:val="22"/>
          <w:szCs w:val="22"/>
        </w:rPr>
        <w:t xml:space="preserve"> statuses</w:t>
      </w:r>
      <w:r w:rsidR="00086B82" w:rsidRPr="00337C97">
        <w:rPr>
          <w:rFonts w:asciiTheme="minorHAnsi" w:hAnsiTheme="minorHAnsi" w:cs="Times New Roman"/>
          <w:sz w:val="22"/>
          <w:szCs w:val="22"/>
        </w:rPr>
        <w:t xml:space="preserve"> and governance structures. </w:t>
      </w:r>
      <w:r w:rsidR="008F1B54" w:rsidRPr="00337C97">
        <w:rPr>
          <w:rFonts w:asciiTheme="minorHAnsi" w:hAnsiTheme="minorHAnsi" w:cs="Times New Roman"/>
          <w:sz w:val="22"/>
          <w:szCs w:val="22"/>
        </w:rPr>
        <w:t>However, o</w:t>
      </w:r>
      <w:r w:rsidR="00086B82" w:rsidRPr="00337C97">
        <w:rPr>
          <w:rFonts w:asciiTheme="minorHAnsi" w:hAnsiTheme="minorHAnsi" w:cs="Times New Roman"/>
          <w:sz w:val="22"/>
          <w:szCs w:val="22"/>
        </w:rPr>
        <w:t xml:space="preserve">nly size has been found significant in explaining </w:t>
      </w:r>
      <w:r w:rsidR="008F1B54" w:rsidRPr="00337C97">
        <w:rPr>
          <w:rFonts w:asciiTheme="minorHAnsi" w:hAnsiTheme="minorHAnsi" w:cs="Times New Roman"/>
          <w:sz w:val="22"/>
          <w:szCs w:val="22"/>
        </w:rPr>
        <w:t xml:space="preserve">the variation in </w:t>
      </w:r>
      <w:r w:rsidR="00086B82" w:rsidRPr="00337C97">
        <w:rPr>
          <w:rFonts w:asciiTheme="minorHAnsi" w:hAnsiTheme="minorHAnsi" w:cs="Times New Roman"/>
          <w:sz w:val="22"/>
          <w:szCs w:val="22"/>
        </w:rPr>
        <w:t>risk disclosure.</w:t>
      </w:r>
    </w:p>
    <w:p w:rsidR="0027720A" w:rsidRPr="00337C97" w:rsidRDefault="0027720A" w:rsidP="005021E4">
      <w:pPr>
        <w:spacing w:line="360" w:lineRule="auto"/>
        <w:rPr>
          <w:rFonts w:asciiTheme="minorHAnsi" w:hAnsiTheme="minorHAnsi" w:cs="Times New Roman"/>
          <w:b/>
          <w:sz w:val="22"/>
          <w:szCs w:val="22"/>
        </w:rPr>
      </w:pPr>
    </w:p>
    <w:p w:rsidR="005021E4" w:rsidRPr="00337C97" w:rsidRDefault="005021E4" w:rsidP="005021E4">
      <w:pPr>
        <w:spacing w:line="360" w:lineRule="auto"/>
        <w:rPr>
          <w:rFonts w:asciiTheme="minorHAnsi" w:hAnsiTheme="minorHAnsi" w:cs="Times New Roman"/>
          <w:sz w:val="22"/>
          <w:szCs w:val="22"/>
        </w:rPr>
      </w:pPr>
      <w:r w:rsidRPr="00337C97">
        <w:rPr>
          <w:rFonts w:asciiTheme="minorHAnsi" w:hAnsiTheme="minorHAnsi" w:cs="Times New Roman"/>
          <w:b/>
          <w:sz w:val="22"/>
          <w:szCs w:val="22"/>
        </w:rPr>
        <w:t>Keywords</w:t>
      </w:r>
      <w:r w:rsidRPr="00337C97">
        <w:rPr>
          <w:rFonts w:asciiTheme="minorHAnsi" w:hAnsiTheme="minorHAnsi" w:cs="Times New Roman"/>
          <w:sz w:val="22"/>
          <w:szCs w:val="22"/>
        </w:rPr>
        <w:t xml:space="preserve">: risk disclosure, </w:t>
      </w:r>
      <w:r w:rsidR="00C07AF7" w:rsidRPr="00337C97">
        <w:rPr>
          <w:rFonts w:asciiTheme="minorHAnsi" w:hAnsiTheme="minorHAnsi" w:cs="Times New Roman"/>
          <w:sz w:val="22"/>
          <w:szCs w:val="22"/>
        </w:rPr>
        <w:t xml:space="preserve">annual reports, </w:t>
      </w:r>
      <w:r w:rsidRPr="00337C97">
        <w:rPr>
          <w:rFonts w:asciiTheme="minorHAnsi" w:hAnsiTheme="minorHAnsi" w:cs="Times New Roman"/>
          <w:sz w:val="22"/>
          <w:szCs w:val="22"/>
        </w:rPr>
        <w:t>banking sector</w:t>
      </w:r>
      <w:r w:rsidR="00C07AF7" w:rsidRPr="00337C97">
        <w:rPr>
          <w:rFonts w:asciiTheme="minorHAnsi" w:hAnsiTheme="minorHAnsi" w:cs="Times New Roman"/>
          <w:sz w:val="22"/>
          <w:szCs w:val="22"/>
        </w:rPr>
        <w:t>, European Union</w:t>
      </w:r>
    </w:p>
    <w:p w:rsidR="00086B82" w:rsidRPr="00337C97" w:rsidRDefault="00086B82" w:rsidP="005021E4">
      <w:pPr>
        <w:spacing w:line="360" w:lineRule="auto"/>
        <w:rPr>
          <w:rFonts w:asciiTheme="minorHAnsi" w:hAnsiTheme="minorHAnsi" w:cs="Times New Roman"/>
          <w:sz w:val="22"/>
          <w:szCs w:val="22"/>
        </w:rPr>
      </w:pPr>
    </w:p>
    <w:p w:rsidR="005021E4" w:rsidRPr="00337C97" w:rsidRDefault="005021E4" w:rsidP="005021E4">
      <w:pPr>
        <w:spacing w:line="360" w:lineRule="auto"/>
        <w:rPr>
          <w:rFonts w:asciiTheme="minorHAnsi" w:hAnsiTheme="minorHAnsi" w:cs="Times New Roman"/>
          <w:sz w:val="22"/>
          <w:szCs w:val="22"/>
        </w:rPr>
      </w:pPr>
      <w:r w:rsidRPr="00337C97">
        <w:rPr>
          <w:rFonts w:asciiTheme="minorHAnsi" w:hAnsiTheme="minorHAnsi" w:cs="Times New Roman"/>
          <w:b/>
          <w:sz w:val="22"/>
          <w:szCs w:val="22"/>
        </w:rPr>
        <w:t>Master</w:t>
      </w:r>
      <w:r w:rsidR="00086B82" w:rsidRPr="00337C97">
        <w:rPr>
          <w:rFonts w:asciiTheme="minorHAnsi" w:hAnsiTheme="minorHAnsi" w:cs="Times New Roman"/>
          <w:b/>
          <w:sz w:val="22"/>
          <w:szCs w:val="22"/>
        </w:rPr>
        <w:t>:</w:t>
      </w:r>
      <w:r w:rsidRPr="00337C97">
        <w:rPr>
          <w:rFonts w:asciiTheme="minorHAnsi" w:hAnsiTheme="minorHAnsi" w:cs="Times New Roman"/>
          <w:b/>
          <w:sz w:val="22"/>
          <w:szCs w:val="22"/>
        </w:rPr>
        <w:t xml:space="preserve"> </w:t>
      </w:r>
      <w:r w:rsidRPr="00337C97">
        <w:rPr>
          <w:rFonts w:asciiTheme="minorHAnsi" w:hAnsiTheme="minorHAnsi" w:cs="Times New Roman"/>
          <w:sz w:val="22"/>
          <w:szCs w:val="22"/>
        </w:rPr>
        <w:t>Accountancy, Auditing and Control</w:t>
      </w:r>
    </w:p>
    <w:p w:rsidR="005021E4" w:rsidRPr="00337C97" w:rsidRDefault="005021E4" w:rsidP="005021E4">
      <w:pPr>
        <w:spacing w:line="360" w:lineRule="auto"/>
        <w:rPr>
          <w:rFonts w:asciiTheme="minorHAnsi" w:hAnsiTheme="minorHAnsi" w:cs="Times New Roman"/>
          <w:sz w:val="22"/>
          <w:szCs w:val="22"/>
        </w:rPr>
      </w:pPr>
      <w:r w:rsidRPr="00337C97">
        <w:rPr>
          <w:rFonts w:asciiTheme="minorHAnsi" w:hAnsiTheme="minorHAnsi" w:cs="Times New Roman"/>
          <w:sz w:val="22"/>
          <w:szCs w:val="22"/>
        </w:rPr>
        <w:t>Erasmus School of Economics, Erasmus University Rotterdam</w:t>
      </w:r>
    </w:p>
    <w:p w:rsidR="005021E4" w:rsidRPr="00337C97" w:rsidRDefault="005021E4" w:rsidP="005021E4">
      <w:pPr>
        <w:spacing w:line="360" w:lineRule="auto"/>
        <w:rPr>
          <w:rFonts w:asciiTheme="minorHAnsi" w:hAnsiTheme="minorHAnsi" w:cs="Times New Roman"/>
          <w:sz w:val="22"/>
          <w:szCs w:val="22"/>
        </w:rPr>
      </w:pPr>
      <w:r w:rsidRPr="00337C97">
        <w:rPr>
          <w:rFonts w:asciiTheme="minorHAnsi" w:hAnsiTheme="minorHAnsi" w:cs="Times New Roman"/>
          <w:b/>
          <w:sz w:val="22"/>
          <w:szCs w:val="22"/>
        </w:rPr>
        <w:t>Supervisor</w:t>
      </w:r>
      <w:r w:rsidRPr="00337C97">
        <w:rPr>
          <w:rFonts w:asciiTheme="minorHAnsi" w:hAnsiTheme="minorHAnsi" w:cs="Times New Roman"/>
          <w:sz w:val="22"/>
          <w:szCs w:val="22"/>
        </w:rPr>
        <w:t>: drs. R. van der Wal RA</w:t>
      </w:r>
    </w:p>
    <w:p w:rsidR="005021E4" w:rsidRPr="00337C97" w:rsidRDefault="005021E4" w:rsidP="005021E4">
      <w:pPr>
        <w:spacing w:line="360" w:lineRule="auto"/>
        <w:rPr>
          <w:rFonts w:asciiTheme="minorHAnsi" w:hAnsiTheme="minorHAnsi" w:cs="Times New Roman"/>
          <w:sz w:val="22"/>
          <w:szCs w:val="22"/>
        </w:rPr>
      </w:pPr>
      <w:r w:rsidRPr="00337C97">
        <w:rPr>
          <w:rFonts w:asciiTheme="minorHAnsi" w:hAnsiTheme="minorHAnsi" w:cs="Times New Roman"/>
          <w:b/>
          <w:sz w:val="22"/>
          <w:szCs w:val="22"/>
        </w:rPr>
        <w:t>Co-reader</w:t>
      </w:r>
      <w:r w:rsidRPr="00337C97">
        <w:rPr>
          <w:rFonts w:asciiTheme="minorHAnsi" w:hAnsiTheme="minorHAnsi" w:cs="Times New Roman"/>
          <w:sz w:val="22"/>
          <w:szCs w:val="22"/>
        </w:rPr>
        <w:t xml:space="preserve">: </w:t>
      </w:r>
      <w:r w:rsidR="000F4AB6" w:rsidRPr="00337C97">
        <w:rPr>
          <w:rFonts w:asciiTheme="minorHAnsi" w:hAnsiTheme="minorHAnsi" w:cs="Times New Roman"/>
          <w:sz w:val="22"/>
          <w:szCs w:val="22"/>
        </w:rPr>
        <w:t>....</w:t>
      </w:r>
    </w:p>
    <w:p w:rsidR="000B583F" w:rsidRPr="00763A59" w:rsidRDefault="000B583F" w:rsidP="005021E4">
      <w:pPr>
        <w:outlineLvl w:val="0"/>
        <w:rPr>
          <w:rFonts w:asciiTheme="minorHAnsi" w:hAnsiTheme="minorHAnsi" w:cs="Times New Roman"/>
          <w:b/>
          <w:sz w:val="28"/>
        </w:rPr>
      </w:pPr>
      <w:bookmarkStart w:id="6" w:name="_Toc269176713"/>
      <w:bookmarkStart w:id="7" w:name="_Toc269176795"/>
      <w:bookmarkStart w:id="8" w:name="_Toc269176880"/>
      <w:bookmarkStart w:id="9" w:name="_Toc269551528"/>
      <w:bookmarkStart w:id="10" w:name="_Toc269653725"/>
      <w:bookmarkStart w:id="11" w:name="_Toc269658904"/>
      <w:r w:rsidRPr="00763A59">
        <w:rPr>
          <w:rFonts w:asciiTheme="minorHAnsi" w:hAnsiTheme="minorHAnsi" w:cs="Times New Roman"/>
          <w:b/>
          <w:sz w:val="28"/>
        </w:rPr>
        <w:lastRenderedPageBreak/>
        <w:t>Table of contents</w:t>
      </w:r>
      <w:bookmarkEnd w:id="6"/>
      <w:bookmarkEnd w:id="7"/>
      <w:bookmarkEnd w:id="8"/>
      <w:bookmarkEnd w:id="9"/>
      <w:bookmarkEnd w:id="10"/>
      <w:bookmarkEnd w:id="11"/>
    </w:p>
    <w:p w:rsidR="000B583F" w:rsidRPr="00763A59" w:rsidRDefault="000B583F" w:rsidP="005021E4">
      <w:pPr>
        <w:outlineLvl w:val="0"/>
        <w:rPr>
          <w:rFonts w:asciiTheme="minorHAnsi" w:hAnsiTheme="minorHAnsi" w:cs="Times New Roman"/>
          <w:b/>
        </w:rPr>
      </w:pPr>
    </w:p>
    <w:p w:rsidR="00763A59" w:rsidRPr="00763A59" w:rsidRDefault="00742E5A">
      <w:pPr>
        <w:pStyle w:val="Inhopg1"/>
        <w:rPr>
          <w:rFonts w:asciiTheme="minorHAnsi" w:eastAsiaTheme="minorEastAsia" w:hAnsiTheme="minorHAnsi" w:cstheme="minorBidi"/>
          <w:b w:val="0"/>
          <w:sz w:val="22"/>
          <w:szCs w:val="22"/>
          <w:lang w:val="nl-NL" w:eastAsia="nl-NL" w:bidi="ar-SA"/>
        </w:rPr>
      </w:pPr>
      <w:r w:rsidRPr="00763A59">
        <w:rPr>
          <w:rFonts w:asciiTheme="minorHAnsi" w:hAnsiTheme="minorHAnsi"/>
          <w:sz w:val="22"/>
          <w:szCs w:val="22"/>
          <w:lang w:val="nl-NL"/>
        </w:rPr>
        <w:fldChar w:fldCharType="begin"/>
      </w:r>
      <w:r w:rsidR="00B12C7B" w:rsidRPr="00763A59">
        <w:rPr>
          <w:rFonts w:asciiTheme="minorHAnsi" w:hAnsiTheme="minorHAnsi"/>
          <w:sz w:val="22"/>
          <w:szCs w:val="22"/>
          <w:lang w:val="nl-NL"/>
        </w:rPr>
        <w:instrText xml:space="preserve"> TOC \o "1-3" \h \z \u </w:instrText>
      </w:r>
      <w:r w:rsidRPr="00763A59">
        <w:rPr>
          <w:rFonts w:asciiTheme="minorHAnsi" w:hAnsiTheme="minorHAnsi"/>
          <w:sz w:val="22"/>
          <w:szCs w:val="22"/>
          <w:lang w:val="nl-NL"/>
        </w:rPr>
        <w:fldChar w:fldCharType="separate"/>
      </w:r>
      <w:hyperlink w:anchor="_Toc269658905" w:history="1">
        <w:r w:rsidR="00763A59" w:rsidRPr="00763A59">
          <w:rPr>
            <w:rStyle w:val="Hyperlink"/>
            <w:rFonts w:asciiTheme="minorHAnsi" w:hAnsiTheme="minorHAnsi"/>
            <w:sz w:val="22"/>
            <w:szCs w:val="22"/>
          </w:rPr>
          <w:t>1</w:t>
        </w:r>
        <w:r w:rsidR="00763A59" w:rsidRPr="00763A59">
          <w:rPr>
            <w:rFonts w:asciiTheme="minorHAnsi" w:eastAsiaTheme="minorEastAsia" w:hAnsiTheme="minorHAnsi" w:cstheme="minorBidi"/>
            <w:b w:val="0"/>
            <w:sz w:val="22"/>
            <w:szCs w:val="22"/>
            <w:lang w:val="nl-NL" w:eastAsia="nl-NL" w:bidi="ar-SA"/>
          </w:rPr>
          <w:tab/>
        </w:r>
        <w:r w:rsidR="00763A59" w:rsidRPr="00763A59">
          <w:rPr>
            <w:rStyle w:val="Hyperlink"/>
            <w:rFonts w:asciiTheme="minorHAnsi" w:hAnsiTheme="minorHAnsi"/>
            <w:sz w:val="22"/>
            <w:szCs w:val="22"/>
          </w:rPr>
          <w:t>Introduction</w:t>
        </w:r>
        <w:r w:rsidR="00763A59" w:rsidRPr="00763A59">
          <w:rPr>
            <w:rFonts w:asciiTheme="minorHAnsi" w:hAnsiTheme="minorHAnsi"/>
            <w:webHidden/>
            <w:sz w:val="22"/>
            <w:szCs w:val="22"/>
          </w:rPr>
          <w:tab/>
        </w:r>
        <w:r w:rsidR="00763A59" w:rsidRPr="00763A59">
          <w:rPr>
            <w:rFonts w:asciiTheme="minorHAnsi" w:hAnsiTheme="minorHAnsi"/>
            <w:webHidden/>
            <w:sz w:val="22"/>
            <w:szCs w:val="22"/>
          </w:rPr>
          <w:fldChar w:fldCharType="begin"/>
        </w:r>
        <w:r w:rsidR="00763A59" w:rsidRPr="00763A59">
          <w:rPr>
            <w:rFonts w:asciiTheme="minorHAnsi" w:hAnsiTheme="minorHAnsi"/>
            <w:webHidden/>
            <w:sz w:val="22"/>
            <w:szCs w:val="22"/>
          </w:rPr>
          <w:instrText xml:space="preserve"> PAGEREF _Toc269658905 \h </w:instrText>
        </w:r>
        <w:r w:rsidR="00763A59" w:rsidRPr="00763A59">
          <w:rPr>
            <w:rFonts w:asciiTheme="minorHAnsi" w:hAnsiTheme="minorHAnsi"/>
            <w:webHidden/>
            <w:sz w:val="22"/>
            <w:szCs w:val="22"/>
          </w:rPr>
        </w:r>
        <w:r w:rsidR="00763A59" w:rsidRPr="00763A59">
          <w:rPr>
            <w:rFonts w:asciiTheme="minorHAnsi" w:hAnsiTheme="minorHAnsi"/>
            <w:webHidden/>
            <w:sz w:val="22"/>
            <w:szCs w:val="22"/>
          </w:rPr>
          <w:fldChar w:fldCharType="separate"/>
        </w:r>
        <w:r w:rsidR="00C47573">
          <w:rPr>
            <w:rFonts w:asciiTheme="minorHAnsi" w:hAnsiTheme="minorHAnsi"/>
            <w:webHidden/>
            <w:sz w:val="22"/>
            <w:szCs w:val="22"/>
          </w:rPr>
          <w:t>4</w:t>
        </w:r>
        <w:r w:rsidR="00763A59"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06" w:history="1">
        <w:r w:rsidRPr="00763A59">
          <w:rPr>
            <w:rStyle w:val="Hyperlink"/>
            <w:rFonts w:asciiTheme="minorHAnsi" w:hAnsiTheme="minorHAnsi"/>
            <w:sz w:val="22"/>
            <w:szCs w:val="22"/>
          </w:rPr>
          <w:t>1.1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Prologue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_Toc269658906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07" w:history="1">
        <w:r w:rsidRPr="00763A59">
          <w:rPr>
            <w:rStyle w:val="Hyperlink"/>
            <w:rFonts w:asciiTheme="minorHAnsi" w:hAnsiTheme="minorHAnsi"/>
            <w:sz w:val="22"/>
            <w:szCs w:val="22"/>
          </w:rPr>
          <w:t>1.2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Research question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_Toc269658907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5</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08" w:history="1">
        <w:r w:rsidRPr="00763A59">
          <w:rPr>
            <w:rStyle w:val="Hyperlink"/>
            <w:rFonts w:asciiTheme="minorHAnsi" w:hAnsiTheme="minorHAnsi"/>
            <w:sz w:val="22"/>
            <w:szCs w:val="22"/>
          </w:rPr>
          <w:t>1.3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Sub questions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_Toc269658908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09" w:history="1">
        <w:r w:rsidRPr="00763A59">
          <w:rPr>
            <w:rStyle w:val="Hyperlink"/>
            <w:rFonts w:asciiTheme="minorHAnsi" w:hAnsiTheme="minorHAnsi"/>
            <w:sz w:val="22"/>
            <w:szCs w:val="22"/>
          </w:rPr>
          <w:t>1.4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Relevance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_Toc269658909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w:t>
        </w:r>
        <w:r w:rsidRPr="00763A59">
          <w:rPr>
            <w:rFonts w:asciiTheme="minorHAnsi" w:hAnsiTheme="minorHAnsi"/>
            <w:webHidden/>
            <w:sz w:val="22"/>
            <w:szCs w:val="22"/>
          </w:rPr>
          <w:fldChar w:fldCharType="end"/>
        </w:r>
      </w:hyperlink>
    </w:p>
    <w:p w:rsidR="00763A59" w:rsidRPr="00763A59" w:rsidRDefault="00763A59" w:rsidP="00763A59">
      <w:pPr>
        <w:pStyle w:val="Inhopg2"/>
        <w:spacing w:line="360" w:lineRule="auto"/>
        <w:rPr>
          <w:rFonts w:asciiTheme="minorHAnsi" w:eastAsiaTheme="minorEastAsia" w:hAnsiTheme="minorHAnsi" w:cstheme="minorBidi"/>
          <w:sz w:val="22"/>
          <w:szCs w:val="22"/>
          <w:lang w:val="nl-NL" w:eastAsia="nl-NL" w:bidi="ar-SA"/>
        </w:rPr>
      </w:pPr>
      <w:hyperlink w:anchor="_Toc269658910" w:history="1">
        <w:r w:rsidRPr="00763A59">
          <w:rPr>
            <w:rStyle w:val="Hyperlink"/>
            <w:rFonts w:asciiTheme="minorHAnsi" w:hAnsiTheme="minorHAnsi"/>
            <w:sz w:val="22"/>
            <w:szCs w:val="22"/>
          </w:rPr>
          <w:t>1.5</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Structure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_Toc269658910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11" w:history="1">
        <w:r w:rsidRPr="00763A59">
          <w:rPr>
            <w:rStyle w:val="Hyperlink"/>
            <w:rFonts w:asciiTheme="minorHAnsi" w:hAnsiTheme="minorHAnsi"/>
            <w:sz w:val="22"/>
            <w:szCs w:val="22"/>
          </w:rPr>
          <w:t xml:space="preserve">2 </w:t>
        </w:r>
        <w:r w:rsidRPr="00763A59">
          <w:rPr>
            <w:rFonts w:asciiTheme="minorHAnsi" w:eastAsiaTheme="minorEastAsia" w:hAnsiTheme="minorHAnsi" w:cstheme="minorBidi"/>
            <w:b w:val="0"/>
            <w:sz w:val="22"/>
            <w:szCs w:val="22"/>
            <w:lang w:val="nl-NL" w:eastAsia="nl-NL" w:bidi="ar-SA"/>
          </w:rPr>
          <w:tab/>
        </w:r>
        <w:r w:rsidRPr="00763A59">
          <w:rPr>
            <w:rStyle w:val="Hyperlink"/>
            <w:rFonts w:asciiTheme="minorHAnsi" w:hAnsiTheme="minorHAnsi"/>
            <w:sz w:val="22"/>
            <w:szCs w:val="22"/>
          </w:rPr>
          <w:t>Institutional Framework</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_Toc269658911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12" w:history="1">
        <w:r w:rsidRPr="00763A59">
          <w:rPr>
            <w:rStyle w:val="Hyperlink"/>
            <w:rFonts w:asciiTheme="minorHAnsi" w:hAnsiTheme="minorHAnsi"/>
            <w:sz w:val="22"/>
            <w:szCs w:val="22"/>
          </w:rPr>
          <w:t>2.1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Introduction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_Toc269658912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13" w:history="1">
        <w:r w:rsidRPr="00763A59">
          <w:rPr>
            <w:rStyle w:val="Hyperlink"/>
            <w:rFonts w:asciiTheme="minorHAnsi" w:hAnsiTheme="minorHAnsi"/>
            <w:sz w:val="22"/>
            <w:szCs w:val="22"/>
          </w:rPr>
          <w:t>2.2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The annual report</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14" w:history="1">
        <w:r w:rsidRPr="00763A59">
          <w:rPr>
            <w:rStyle w:val="Hyperlink"/>
            <w:rFonts w:asciiTheme="minorHAnsi" w:hAnsiTheme="minorHAnsi"/>
            <w:sz w:val="22"/>
            <w:szCs w:val="22"/>
          </w:rPr>
          <w:t>2.3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Accounting standards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9</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15" w:history="1">
        <w:r w:rsidRPr="00763A59">
          <w:rPr>
            <w:rStyle w:val="Hyperlink"/>
            <w:rFonts w:asciiTheme="minorHAnsi" w:hAnsiTheme="minorHAnsi" w:cs="Times New Roman"/>
            <w:i/>
            <w:noProof/>
            <w:sz w:val="22"/>
            <w:szCs w:val="22"/>
            <w:lang w:val="en-US"/>
          </w:rPr>
          <w:t xml:space="preserve">2.3.1 </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IFRS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_Toc269658915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9</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16" w:history="1">
        <w:r w:rsidRPr="00763A59">
          <w:rPr>
            <w:rStyle w:val="Hyperlink"/>
            <w:rFonts w:asciiTheme="minorHAnsi" w:hAnsiTheme="minorHAnsi" w:cs="Times New Roman"/>
            <w:i/>
            <w:noProof/>
            <w:sz w:val="22"/>
            <w:szCs w:val="22"/>
            <w:lang w:val="en-US"/>
          </w:rPr>
          <w:t>2.3.2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IFRS 7 Financial Instruments: Disclosures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_Toc269658916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10</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17" w:history="1">
        <w:r w:rsidRPr="00763A59">
          <w:rPr>
            <w:rStyle w:val="Hyperlink"/>
            <w:rFonts w:asciiTheme="minorHAnsi" w:hAnsiTheme="minorHAnsi" w:cs="Times New Roman"/>
            <w:i/>
            <w:noProof/>
            <w:sz w:val="22"/>
            <w:szCs w:val="22"/>
            <w:lang w:val="en-US"/>
          </w:rPr>
          <w:t>2.3.3</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Regulatory risk reporting</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_Toc269658917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11</w:t>
        </w:r>
        <w:r w:rsidRPr="00763A59">
          <w:rPr>
            <w:rFonts w:asciiTheme="minorHAnsi" w:hAnsiTheme="minorHAnsi"/>
            <w:noProof/>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18" w:history="1">
        <w:r w:rsidRPr="00763A59">
          <w:rPr>
            <w:rStyle w:val="Hyperlink"/>
            <w:rFonts w:asciiTheme="minorHAnsi" w:hAnsiTheme="minorHAnsi"/>
            <w:sz w:val="22"/>
            <w:szCs w:val="22"/>
          </w:rPr>
          <w:t>2.4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Basel Accords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12</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19" w:history="1">
        <w:r w:rsidRPr="00763A59">
          <w:rPr>
            <w:rStyle w:val="Hyperlink"/>
            <w:rFonts w:asciiTheme="minorHAnsi" w:hAnsiTheme="minorHAnsi"/>
            <w:sz w:val="22"/>
            <w:szCs w:val="22"/>
          </w:rPr>
          <w:t>2.5</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Banking supervision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_Toc269658919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13</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20" w:history="1">
        <w:r w:rsidRPr="00763A59">
          <w:rPr>
            <w:rStyle w:val="Hyperlink"/>
            <w:rFonts w:asciiTheme="minorHAnsi" w:hAnsiTheme="minorHAnsi" w:cs="Times New Roman"/>
            <w:i/>
            <w:noProof/>
            <w:sz w:val="22"/>
            <w:szCs w:val="22"/>
            <w:lang w:val="en-US"/>
          </w:rPr>
          <w:t>2.5.1</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EMU</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_Toc269658920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14</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21" w:history="1">
        <w:r w:rsidRPr="00763A59">
          <w:rPr>
            <w:rStyle w:val="Hyperlink"/>
            <w:rFonts w:asciiTheme="minorHAnsi" w:hAnsiTheme="minorHAnsi" w:cs="Times New Roman"/>
            <w:i/>
            <w:noProof/>
            <w:sz w:val="22"/>
            <w:szCs w:val="22"/>
            <w:lang w:val="en-US"/>
          </w:rPr>
          <w:t>2.5.2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Central Bank and Financial Authorities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_Toc269658921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14</w:t>
        </w:r>
        <w:r w:rsidRPr="00763A59">
          <w:rPr>
            <w:rFonts w:asciiTheme="minorHAnsi" w:hAnsiTheme="minorHAnsi"/>
            <w:noProof/>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22" w:history="1">
        <w:r w:rsidRPr="00763A59">
          <w:rPr>
            <w:rStyle w:val="Hyperlink"/>
            <w:rFonts w:asciiTheme="minorHAnsi" w:hAnsiTheme="minorHAnsi"/>
            <w:sz w:val="22"/>
            <w:szCs w:val="22"/>
          </w:rPr>
          <w:t>2.6</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Regulation and supervision and the credit crunch</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_Toc269658922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14</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23" w:history="1">
        <w:r w:rsidRPr="00763A59">
          <w:rPr>
            <w:rStyle w:val="Hyperlink"/>
            <w:rFonts w:asciiTheme="minorHAnsi" w:hAnsiTheme="minorHAnsi"/>
            <w:sz w:val="22"/>
            <w:szCs w:val="22"/>
          </w:rPr>
          <w:t xml:space="preserve">2.7 </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Corporate governance codes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15</w:t>
        </w:r>
        <w:r w:rsidRPr="00763A59">
          <w:rPr>
            <w:rFonts w:asciiTheme="minorHAnsi" w:hAnsiTheme="minorHAnsi"/>
            <w:webHidden/>
            <w:sz w:val="22"/>
            <w:szCs w:val="22"/>
          </w:rPr>
          <w:fldChar w:fldCharType="end"/>
        </w:r>
      </w:hyperlink>
    </w:p>
    <w:p w:rsidR="00763A59" w:rsidRPr="00763A59" w:rsidRDefault="00763A59" w:rsidP="00763A59">
      <w:pPr>
        <w:pStyle w:val="Inhopg2"/>
        <w:spacing w:line="360" w:lineRule="auto"/>
        <w:rPr>
          <w:rFonts w:asciiTheme="minorHAnsi" w:eastAsiaTheme="minorEastAsia" w:hAnsiTheme="minorHAnsi" w:cstheme="minorBidi"/>
          <w:sz w:val="22"/>
          <w:szCs w:val="22"/>
          <w:lang w:val="nl-NL" w:eastAsia="nl-NL" w:bidi="ar-SA"/>
        </w:rPr>
      </w:pPr>
      <w:hyperlink w:anchor="_Toc269658924" w:history="1">
        <w:r w:rsidRPr="00763A59">
          <w:rPr>
            <w:rStyle w:val="Hyperlink"/>
            <w:rFonts w:asciiTheme="minorHAnsi" w:hAnsiTheme="minorHAnsi"/>
            <w:sz w:val="22"/>
            <w:szCs w:val="22"/>
          </w:rPr>
          <w:t>2.8</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Conclusion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17</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25" w:history="1">
        <w:r w:rsidRPr="00763A59">
          <w:rPr>
            <w:rStyle w:val="Hyperlink"/>
            <w:rFonts w:asciiTheme="minorHAnsi" w:hAnsiTheme="minorHAnsi"/>
            <w:sz w:val="22"/>
            <w:szCs w:val="22"/>
          </w:rPr>
          <w:t>3</w:t>
        </w:r>
        <w:r w:rsidRPr="00763A59">
          <w:rPr>
            <w:rFonts w:asciiTheme="minorHAnsi" w:eastAsiaTheme="minorEastAsia" w:hAnsiTheme="minorHAnsi" w:cstheme="minorBidi"/>
            <w:b w:val="0"/>
            <w:sz w:val="22"/>
            <w:szCs w:val="22"/>
            <w:lang w:val="nl-NL" w:eastAsia="nl-NL" w:bidi="ar-SA"/>
          </w:rPr>
          <w:tab/>
        </w:r>
        <w:r w:rsidRPr="00763A59">
          <w:rPr>
            <w:rStyle w:val="Hyperlink"/>
            <w:rFonts w:asciiTheme="minorHAnsi" w:hAnsiTheme="minorHAnsi"/>
            <w:sz w:val="22"/>
            <w:szCs w:val="22"/>
          </w:rPr>
          <w:t>Theoretical Framework</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_Toc269658925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19</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26" w:history="1">
        <w:r w:rsidRPr="00763A59">
          <w:rPr>
            <w:rStyle w:val="Hyperlink"/>
            <w:rFonts w:asciiTheme="minorHAnsi" w:hAnsiTheme="minorHAnsi"/>
            <w:sz w:val="22"/>
            <w:szCs w:val="22"/>
          </w:rPr>
          <w:t>3.1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Introduction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_Toc269658926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19</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27" w:history="1">
        <w:r w:rsidRPr="00763A59">
          <w:rPr>
            <w:rStyle w:val="Hyperlink"/>
            <w:rFonts w:asciiTheme="minorHAnsi" w:hAnsiTheme="minorHAnsi"/>
            <w:bCs/>
            <w:sz w:val="22"/>
            <w:szCs w:val="22"/>
          </w:rPr>
          <w:t>3.2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bCs/>
            <w:sz w:val="22"/>
            <w:szCs w:val="22"/>
          </w:rPr>
          <w:t>Positive Accounting Theory</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_Toc269658927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19</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28" w:history="1">
        <w:r w:rsidRPr="00763A59">
          <w:rPr>
            <w:rStyle w:val="Hyperlink"/>
            <w:rFonts w:asciiTheme="minorHAnsi" w:hAnsiTheme="minorHAnsi"/>
            <w:sz w:val="22"/>
            <w:szCs w:val="22"/>
          </w:rPr>
          <w:t>3.3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Agency theory</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20</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29" w:history="1">
        <w:r w:rsidRPr="00763A59">
          <w:rPr>
            <w:rStyle w:val="Hyperlink"/>
            <w:rFonts w:asciiTheme="minorHAnsi" w:hAnsiTheme="minorHAnsi"/>
            <w:sz w:val="22"/>
            <w:szCs w:val="22"/>
          </w:rPr>
          <w:t>3.4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Stakeholder theory</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_Toc269658929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21</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0" w:history="1">
        <w:r w:rsidRPr="00763A59">
          <w:rPr>
            <w:rStyle w:val="Hyperlink"/>
            <w:rFonts w:asciiTheme="minorHAnsi" w:hAnsiTheme="minorHAnsi"/>
            <w:sz w:val="22"/>
            <w:szCs w:val="22"/>
          </w:rPr>
          <w:t>3.5</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The role of disclosure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_Toc269658930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22</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1" w:history="1">
        <w:r w:rsidRPr="00763A59">
          <w:rPr>
            <w:rStyle w:val="Hyperlink"/>
            <w:rFonts w:asciiTheme="minorHAnsi" w:hAnsiTheme="minorHAnsi"/>
            <w:sz w:val="22"/>
            <w:szCs w:val="22"/>
          </w:rPr>
          <w:t>3.6</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Efficient market hypothesis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_Toc269658931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23</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2" w:history="1">
        <w:r w:rsidRPr="00763A59">
          <w:rPr>
            <w:rStyle w:val="Hyperlink"/>
            <w:rFonts w:asciiTheme="minorHAnsi" w:hAnsiTheme="minorHAnsi"/>
            <w:sz w:val="22"/>
            <w:szCs w:val="22"/>
          </w:rPr>
          <w:t>3.7</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Risk and risk management</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_Toc269658932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24</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3" w:history="1">
        <w:r w:rsidRPr="00763A59">
          <w:rPr>
            <w:rStyle w:val="Hyperlink"/>
            <w:rFonts w:asciiTheme="minorHAnsi" w:hAnsiTheme="minorHAnsi"/>
            <w:sz w:val="22"/>
            <w:szCs w:val="22"/>
          </w:rPr>
          <w:t>3.8</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Banks and their (specific) risks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26</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4" w:history="1">
        <w:r w:rsidRPr="00763A59">
          <w:rPr>
            <w:rStyle w:val="Hyperlink"/>
            <w:rFonts w:asciiTheme="minorHAnsi" w:hAnsiTheme="minorHAnsi"/>
            <w:sz w:val="22"/>
            <w:szCs w:val="22"/>
          </w:rPr>
          <w:t>3.9</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Risk disclosure: development and discussion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27</w:t>
        </w:r>
        <w:r w:rsidRPr="00763A59">
          <w:rPr>
            <w:rFonts w:asciiTheme="minorHAnsi" w:hAnsiTheme="minorHAnsi"/>
            <w:webHidden/>
            <w:sz w:val="22"/>
            <w:szCs w:val="22"/>
          </w:rPr>
          <w:fldChar w:fldCharType="end"/>
        </w:r>
      </w:hyperlink>
    </w:p>
    <w:p w:rsidR="00763A59" w:rsidRPr="00763A59" w:rsidRDefault="00763A59" w:rsidP="00763A59">
      <w:pPr>
        <w:pStyle w:val="Inhopg2"/>
        <w:spacing w:line="360" w:lineRule="auto"/>
        <w:rPr>
          <w:rFonts w:asciiTheme="minorHAnsi" w:eastAsiaTheme="minorEastAsia" w:hAnsiTheme="minorHAnsi" w:cstheme="minorBidi"/>
          <w:sz w:val="22"/>
          <w:szCs w:val="22"/>
          <w:lang w:val="nl-NL" w:eastAsia="nl-NL" w:bidi="ar-SA"/>
        </w:rPr>
      </w:pPr>
      <w:hyperlink w:anchor="_Toc269658935" w:history="1">
        <w:r w:rsidRPr="00763A59">
          <w:rPr>
            <w:rStyle w:val="Hyperlink"/>
            <w:rFonts w:asciiTheme="minorHAnsi" w:hAnsiTheme="minorHAnsi"/>
            <w:bCs/>
            <w:sz w:val="22"/>
            <w:szCs w:val="22"/>
          </w:rPr>
          <w:t>3.10</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bCs/>
            <w:sz w:val="22"/>
            <w:szCs w:val="22"/>
          </w:rPr>
          <w:t>Conclusion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_Toc269658935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28</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36" w:history="1">
        <w:r w:rsidRPr="00763A59">
          <w:rPr>
            <w:rStyle w:val="Hyperlink"/>
            <w:rFonts w:asciiTheme="minorHAnsi" w:hAnsiTheme="minorHAnsi"/>
            <w:sz w:val="22"/>
            <w:szCs w:val="22"/>
          </w:rPr>
          <w:t>4</w:t>
        </w:r>
        <w:r w:rsidRPr="00763A59">
          <w:rPr>
            <w:rFonts w:asciiTheme="minorHAnsi" w:eastAsiaTheme="minorEastAsia" w:hAnsiTheme="minorHAnsi" w:cstheme="minorBidi"/>
            <w:b w:val="0"/>
            <w:sz w:val="22"/>
            <w:szCs w:val="22"/>
            <w:lang w:val="nl-NL" w:eastAsia="nl-NL" w:bidi="ar-SA"/>
          </w:rPr>
          <w:tab/>
        </w:r>
        <w:r w:rsidRPr="00763A59">
          <w:rPr>
            <w:rStyle w:val="Hyperlink"/>
            <w:rFonts w:asciiTheme="minorHAnsi" w:hAnsiTheme="minorHAnsi"/>
            <w:sz w:val="22"/>
            <w:szCs w:val="22"/>
          </w:rPr>
          <w:t>Prior Research</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_Toc269658936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31</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7" w:history="1">
        <w:r w:rsidRPr="00763A59">
          <w:rPr>
            <w:rStyle w:val="Hyperlink"/>
            <w:rFonts w:asciiTheme="minorHAnsi" w:hAnsiTheme="minorHAnsi"/>
            <w:sz w:val="22"/>
            <w:szCs w:val="22"/>
          </w:rPr>
          <w:t>4.1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Introduction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_Toc269658937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31</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8" w:history="1">
        <w:r w:rsidRPr="00763A59">
          <w:rPr>
            <w:rStyle w:val="Hyperlink"/>
            <w:rFonts w:asciiTheme="minorHAnsi" w:hAnsiTheme="minorHAnsi"/>
            <w:sz w:val="22"/>
            <w:szCs w:val="22"/>
          </w:rPr>
          <w:t>4.2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Initiation of risk disclosure research</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31</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39" w:history="1">
        <w:r w:rsidRPr="00763A59">
          <w:rPr>
            <w:rStyle w:val="Hyperlink"/>
            <w:rFonts w:asciiTheme="minorHAnsi" w:hAnsiTheme="minorHAnsi"/>
            <w:sz w:val="22"/>
            <w:szCs w:val="22"/>
          </w:rPr>
          <w:t>4.3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Extent of risk disclosure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_Toc269658939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32</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0" w:history="1">
        <w:r w:rsidRPr="00763A59">
          <w:rPr>
            <w:rStyle w:val="Hyperlink"/>
            <w:rFonts w:asciiTheme="minorHAnsi" w:hAnsiTheme="minorHAnsi" w:cs="Times New Roman"/>
            <w:i/>
            <w:noProof/>
            <w:sz w:val="22"/>
            <w:szCs w:val="22"/>
            <w:lang w:val="en-US"/>
          </w:rPr>
          <w:t>4.3.1</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Surveys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_Toc269658940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32</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1" w:history="1">
        <w:r w:rsidRPr="00763A59">
          <w:rPr>
            <w:rStyle w:val="Hyperlink"/>
            <w:rFonts w:asciiTheme="minorHAnsi" w:hAnsiTheme="minorHAnsi"/>
            <w:i/>
            <w:noProof/>
            <w:sz w:val="22"/>
            <w:szCs w:val="22"/>
            <w:lang w:val="en-US"/>
          </w:rPr>
          <w:t>4.3.2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Content analysis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_Toc269658941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34</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2" w:history="1">
        <w:r w:rsidRPr="00763A59">
          <w:rPr>
            <w:rStyle w:val="Hyperlink"/>
            <w:rFonts w:asciiTheme="minorHAnsi" w:hAnsiTheme="minorHAnsi" w:cs="Times New Roman"/>
            <w:i/>
            <w:noProof/>
            <w:sz w:val="22"/>
            <w:szCs w:val="22"/>
            <w:lang w:val="en-US"/>
          </w:rPr>
          <w:t>4.3.3</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Disclosure index</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_Toc269658942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38</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3" w:history="1">
        <w:r w:rsidRPr="00763A59">
          <w:rPr>
            <w:rStyle w:val="Hyperlink"/>
            <w:rFonts w:asciiTheme="minorHAnsi" w:hAnsiTheme="minorHAnsi" w:cs="Times New Roman"/>
            <w:i/>
            <w:noProof/>
            <w:sz w:val="22"/>
            <w:szCs w:val="22"/>
            <w:lang w:val="en-US"/>
          </w:rPr>
          <w:t>4.3.4</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Summarizing table</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_Toc269658943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39</w:t>
        </w:r>
        <w:r w:rsidRPr="00763A59">
          <w:rPr>
            <w:rFonts w:asciiTheme="minorHAnsi" w:hAnsiTheme="minorHAnsi"/>
            <w:noProof/>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44" w:history="1">
        <w:r w:rsidRPr="00763A59">
          <w:rPr>
            <w:rStyle w:val="Hyperlink"/>
            <w:rFonts w:asciiTheme="minorHAnsi" w:hAnsiTheme="minorHAnsi"/>
            <w:sz w:val="22"/>
            <w:szCs w:val="22"/>
          </w:rPr>
          <w:t>4.4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Factors that influence risk disclosure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_Toc269658944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40</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5" w:history="1">
        <w:r w:rsidRPr="00763A59">
          <w:rPr>
            <w:rStyle w:val="Hyperlink"/>
            <w:rFonts w:asciiTheme="minorHAnsi" w:hAnsiTheme="minorHAnsi" w:cs="Times New Roman"/>
            <w:i/>
            <w:noProof/>
            <w:sz w:val="22"/>
            <w:szCs w:val="22"/>
            <w:lang w:val="en-US"/>
          </w:rPr>
          <w:t>4.4.1</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Studies on financial firms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_Toc269658945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41</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6" w:history="1">
        <w:r w:rsidRPr="00763A59">
          <w:rPr>
            <w:rStyle w:val="Hyperlink"/>
            <w:rFonts w:asciiTheme="minorHAnsi" w:hAnsiTheme="minorHAnsi" w:cs="Times New Roman"/>
            <w:i/>
            <w:noProof/>
            <w:sz w:val="22"/>
            <w:szCs w:val="22"/>
            <w:lang w:val="en-US"/>
          </w:rPr>
          <w:t>4.4.2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Studies on nonfinancial firms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_Toc269658946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42</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7" w:history="1">
        <w:r w:rsidRPr="00763A59">
          <w:rPr>
            <w:rStyle w:val="Hyperlink"/>
            <w:rFonts w:asciiTheme="minorHAnsi" w:hAnsiTheme="minorHAnsi" w:cs="Times New Roman"/>
            <w:i/>
            <w:noProof/>
            <w:sz w:val="22"/>
            <w:szCs w:val="22"/>
            <w:lang w:val="en-US"/>
          </w:rPr>
          <w:t>4.4.3</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Other disclosure studies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_Toc269658947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46</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48" w:history="1">
        <w:r w:rsidRPr="00763A59">
          <w:rPr>
            <w:rStyle w:val="Hyperlink"/>
            <w:rFonts w:asciiTheme="minorHAnsi" w:hAnsiTheme="minorHAnsi" w:cs="Times New Roman"/>
            <w:i/>
            <w:noProof/>
            <w:sz w:val="22"/>
            <w:szCs w:val="22"/>
            <w:lang w:val="en-US"/>
          </w:rPr>
          <w:t>4.4.4</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Summarizing table</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_Toc269658948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46</w:t>
        </w:r>
        <w:r w:rsidRPr="00763A59">
          <w:rPr>
            <w:rFonts w:asciiTheme="minorHAnsi" w:hAnsiTheme="minorHAnsi"/>
            <w:noProof/>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49" w:history="1">
        <w:r w:rsidRPr="00763A59">
          <w:rPr>
            <w:rStyle w:val="Hyperlink"/>
            <w:rFonts w:asciiTheme="minorHAnsi" w:hAnsiTheme="minorHAnsi"/>
            <w:sz w:val="22"/>
            <w:szCs w:val="22"/>
          </w:rPr>
          <w:t>4.5</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Usefulness of risk disclosure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_Toc269658949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48</w:t>
        </w:r>
        <w:r w:rsidRPr="00763A59">
          <w:rPr>
            <w:rFonts w:asciiTheme="minorHAnsi" w:hAnsiTheme="minorHAnsi"/>
            <w:webHidden/>
            <w:sz w:val="22"/>
            <w:szCs w:val="22"/>
          </w:rPr>
          <w:fldChar w:fldCharType="end"/>
        </w:r>
      </w:hyperlink>
    </w:p>
    <w:p w:rsidR="00763A59" w:rsidRPr="00763A59" w:rsidRDefault="00763A59" w:rsidP="00763A59">
      <w:pPr>
        <w:pStyle w:val="Inhopg2"/>
        <w:spacing w:line="360" w:lineRule="auto"/>
        <w:rPr>
          <w:rFonts w:asciiTheme="minorHAnsi" w:eastAsiaTheme="minorEastAsia" w:hAnsiTheme="minorHAnsi" w:cstheme="minorBidi"/>
          <w:sz w:val="22"/>
          <w:szCs w:val="22"/>
          <w:lang w:val="nl-NL" w:eastAsia="nl-NL" w:bidi="ar-SA"/>
        </w:rPr>
      </w:pPr>
      <w:hyperlink w:anchor="_Toc269658950" w:history="1">
        <w:r w:rsidRPr="00763A59">
          <w:rPr>
            <w:rStyle w:val="Hyperlink"/>
            <w:rFonts w:asciiTheme="minorHAnsi" w:hAnsiTheme="minorHAnsi"/>
            <w:sz w:val="22"/>
            <w:szCs w:val="22"/>
          </w:rPr>
          <w:t>4.6</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Conclusion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_Toc269658950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48</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51" w:history="1">
        <w:r w:rsidRPr="00763A59">
          <w:rPr>
            <w:rStyle w:val="Hyperlink"/>
            <w:rFonts w:asciiTheme="minorHAnsi" w:hAnsiTheme="minorHAnsi"/>
            <w:sz w:val="22"/>
            <w:szCs w:val="22"/>
          </w:rPr>
          <w:t>5</w:t>
        </w:r>
        <w:r w:rsidRPr="00763A59">
          <w:rPr>
            <w:rFonts w:asciiTheme="minorHAnsi" w:eastAsiaTheme="minorEastAsia" w:hAnsiTheme="minorHAnsi" w:cstheme="minorBidi"/>
            <w:b w:val="0"/>
            <w:sz w:val="22"/>
            <w:szCs w:val="22"/>
            <w:lang w:val="nl-NL" w:eastAsia="nl-NL" w:bidi="ar-SA"/>
          </w:rPr>
          <w:tab/>
        </w:r>
        <w:r w:rsidRPr="00763A59">
          <w:rPr>
            <w:rStyle w:val="Hyperlink"/>
            <w:rFonts w:asciiTheme="minorHAnsi" w:hAnsiTheme="minorHAnsi"/>
            <w:sz w:val="22"/>
            <w:szCs w:val="22"/>
          </w:rPr>
          <w:t>Research Design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_Toc269658951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49</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52" w:history="1">
        <w:r w:rsidRPr="00763A59">
          <w:rPr>
            <w:rStyle w:val="Hyperlink"/>
            <w:rFonts w:asciiTheme="minorHAnsi" w:hAnsiTheme="minorHAnsi"/>
            <w:sz w:val="22"/>
            <w:szCs w:val="22"/>
          </w:rPr>
          <w:t>5.1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Introduction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_Toc269658952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49</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53" w:history="1">
        <w:r w:rsidRPr="00763A59">
          <w:rPr>
            <w:rStyle w:val="Hyperlink"/>
            <w:rFonts w:asciiTheme="minorHAnsi" w:hAnsiTheme="minorHAnsi"/>
            <w:sz w:val="22"/>
            <w:szCs w:val="22"/>
          </w:rPr>
          <w:t>5.2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Sample selection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_Toc269658953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49</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54" w:history="1">
        <w:r w:rsidRPr="00763A59">
          <w:rPr>
            <w:rStyle w:val="Hyperlink"/>
            <w:rFonts w:asciiTheme="minorHAnsi" w:hAnsiTheme="minorHAnsi"/>
            <w:sz w:val="22"/>
            <w:szCs w:val="22"/>
          </w:rPr>
          <w:t>5.3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Content analysis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_Toc269658954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50</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55" w:history="1">
        <w:r w:rsidRPr="00763A59">
          <w:rPr>
            <w:rStyle w:val="Hyperlink"/>
            <w:rFonts w:asciiTheme="minorHAnsi" w:hAnsiTheme="minorHAnsi"/>
            <w:sz w:val="22"/>
            <w:szCs w:val="22"/>
          </w:rPr>
          <w:t>5.4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Hypotheses development</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_Toc269658955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53</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56" w:history="1">
        <w:r w:rsidRPr="00763A59">
          <w:rPr>
            <w:rStyle w:val="Hyperlink"/>
            <w:rFonts w:asciiTheme="minorHAnsi" w:hAnsiTheme="minorHAnsi"/>
            <w:i/>
            <w:noProof/>
            <w:sz w:val="22"/>
            <w:szCs w:val="22"/>
            <w:lang w:val="en-US"/>
          </w:rPr>
          <w:t>5.4.1</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Size</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_Toc269658956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53</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57" w:history="1">
        <w:r w:rsidRPr="00763A59">
          <w:rPr>
            <w:rStyle w:val="Hyperlink"/>
            <w:rFonts w:asciiTheme="minorHAnsi" w:hAnsiTheme="minorHAnsi"/>
            <w:i/>
            <w:noProof/>
            <w:sz w:val="22"/>
            <w:szCs w:val="22"/>
            <w:lang w:val="en-US"/>
          </w:rPr>
          <w:t>5.4.2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Profitability</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_Toc269658957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53</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58" w:history="1">
        <w:r w:rsidRPr="00763A59">
          <w:rPr>
            <w:rStyle w:val="Hyperlink"/>
            <w:rFonts w:asciiTheme="minorHAnsi" w:hAnsiTheme="minorHAnsi"/>
            <w:i/>
            <w:noProof/>
            <w:sz w:val="22"/>
            <w:szCs w:val="22"/>
            <w:lang w:val="en-US"/>
          </w:rPr>
          <w:t>5.4.3</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Level of risk</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_Toc269658958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54</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59" w:history="1">
        <w:r w:rsidRPr="00763A59">
          <w:rPr>
            <w:rStyle w:val="Hyperlink"/>
            <w:rFonts w:asciiTheme="minorHAnsi" w:hAnsiTheme="minorHAnsi"/>
            <w:i/>
            <w:noProof/>
            <w:sz w:val="22"/>
            <w:szCs w:val="22"/>
            <w:lang w:val="en-US"/>
          </w:rPr>
          <w:t>5.4.4</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Multiple listing</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_Toc269658959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54</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60" w:history="1">
        <w:r w:rsidRPr="00763A59">
          <w:rPr>
            <w:rStyle w:val="Hyperlink"/>
            <w:rFonts w:asciiTheme="minorHAnsi" w:hAnsiTheme="minorHAnsi"/>
            <w:i/>
            <w:noProof/>
            <w:sz w:val="22"/>
            <w:szCs w:val="22"/>
            <w:lang w:val="en-US"/>
          </w:rPr>
          <w:t>5.4.5</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Credit ratings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_Toc269658960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55</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61" w:history="1">
        <w:r w:rsidRPr="00763A59">
          <w:rPr>
            <w:rStyle w:val="Hyperlink"/>
            <w:rFonts w:asciiTheme="minorHAnsi" w:hAnsiTheme="minorHAnsi"/>
            <w:i/>
            <w:noProof/>
            <w:sz w:val="22"/>
            <w:szCs w:val="22"/>
            <w:lang w:val="en-US"/>
          </w:rPr>
          <w:t>5.4.6</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Organizational structure</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_Toc269658961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55</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62" w:history="1">
        <w:r w:rsidRPr="00763A59">
          <w:rPr>
            <w:rStyle w:val="Hyperlink"/>
            <w:rFonts w:asciiTheme="minorHAnsi" w:hAnsiTheme="minorHAnsi"/>
            <w:i/>
            <w:noProof/>
            <w:sz w:val="22"/>
            <w:szCs w:val="22"/>
            <w:lang w:val="en-US"/>
          </w:rPr>
          <w:t>5.4.7</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i/>
            <w:noProof/>
            <w:sz w:val="22"/>
            <w:szCs w:val="22"/>
            <w:lang w:val="en-US"/>
          </w:rPr>
          <w:t>Board composition</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_Toc269658962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56</w:t>
        </w:r>
        <w:r w:rsidRPr="00763A59">
          <w:rPr>
            <w:rFonts w:asciiTheme="minorHAnsi" w:hAnsiTheme="minorHAnsi"/>
            <w:noProof/>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63" w:history="1">
        <w:r w:rsidRPr="00763A59">
          <w:rPr>
            <w:rStyle w:val="Hyperlink"/>
            <w:rFonts w:asciiTheme="minorHAnsi" w:hAnsiTheme="minorHAnsi"/>
            <w:sz w:val="22"/>
            <w:szCs w:val="22"/>
          </w:rPr>
          <w:t>5.5</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Regression analysis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_Toc269658963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56</w:t>
        </w:r>
        <w:r w:rsidRPr="00763A59">
          <w:rPr>
            <w:rFonts w:asciiTheme="minorHAnsi" w:hAnsiTheme="minorHAnsi"/>
            <w:webHidden/>
            <w:sz w:val="22"/>
            <w:szCs w:val="22"/>
          </w:rPr>
          <w:fldChar w:fldCharType="end"/>
        </w:r>
      </w:hyperlink>
    </w:p>
    <w:p w:rsidR="00763A59" w:rsidRPr="00763A59" w:rsidRDefault="00763A59" w:rsidP="00763A59">
      <w:pPr>
        <w:pStyle w:val="Inhopg2"/>
        <w:spacing w:line="360" w:lineRule="auto"/>
        <w:rPr>
          <w:rFonts w:asciiTheme="minorHAnsi" w:eastAsiaTheme="minorEastAsia" w:hAnsiTheme="minorHAnsi" w:cstheme="minorBidi"/>
          <w:sz w:val="22"/>
          <w:szCs w:val="22"/>
          <w:lang w:val="nl-NL" w:eastAsia="nl-NL" w:bidi="ar-SA"/>
        </w:rPr>
      </w:pPr>
      <w:hyperlink w:anchor="_Toc269658964" w:history="1">
        <w:r w:rsidRPr="00763A59">
          <w:rPr>
            <w:rStyle w:val="Hyperlink"/>
            <w:rFonts w:asciiTheme="minorHAnsi" w:hAnsiTheme="minorHAnsi"/>
            <w:sz w:val="22"/>
            <w:szCs w:val="22"/>
          </w:rPr>
          <w:t>5.6</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Independent variable definition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_Toc269658964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57</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65" w:history="1">
        <w:r w:rsidRPr="00763A59">
          <w:rPr>
            <w:rStyle w:val="Hyperlink"/>
            <w:rFonts w:asciiTheme="minorHAnsi" w:hAnsiTheme="minorHAnsi"/>
            <w:sz w:val="22"/>
            <w:szCs w:val="22"/>
          </w:rPr>
          <w:t>6</w:t>
        </w:r>
        <w:r w:rsidRPr="00763A59">
          <w:rPr>
            <w:rFonts w:asciiTheme="minorHAnsi" w:eastAsiaTheme="minorEastAsia" w:hAnsiTheme="minorHAnsi" w:cstheme="minorBidi"/>
            <w:b w:val="0"/>
            <w:sz w:val="22"/>
            <w:szCs w:val="22"/>
            <w:lang w:val="nl-NL" w:eastAsia="nl-NL" w:bidi="ar-SA"/>
          </w:rPr>
          <w:tab/>
        </w:r>
        <w:r w:rsidRPr="00763A59">
          <w:rPr>
            <w:rStyle w:val="Hyperlink"/>
            <w:rFonts w:asciiTheme="minorHAnsi" w:hAnsiTheme="minorHAnsi"/>
            <w:sz w:val="22"/>
            <w:szCs w:val="22"/>
          </w:rPr>
          <w:t>Analysis and Interpretation of the Results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_Toc269658965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60</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66" w:history="1">
        <w:r w:rsidRPr="00763A59">
          <w:rPr>
            <w:rStyle w:val="Hyperlink"/>
            <w:rFonts w:asciiTheme="minorHAnsi" w:hAnsiTheme="minorHAnsi"/>
            <w:sz w:val="22"/>
            <w:szCs w:val="22"/>
          </w:rPr>
          <w:t>6.1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Introduction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_Toc269658966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60</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67" w:history="1">
        <w:r w:rsidRPr="00763A59">
          <w:rPr>
            <w:rStyle w:val="Hyperlink"/>
            <w:rFonts w:asciiTheme="minorHAnsi" w:hAnsiTheme="minorHAnsi"/>
            <w:sz w:val="22"/>
            <w:szCs w:val="22"/>
          </w:rPr>
          <w:t>6.2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Descriptive statistics of the sample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_Toc269658967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60</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68" w:history="1">
        <w:r w:rsidRPr="00763A59">
          <w:rPr>
            <w:rStyle w:val="Hyperlink"/>
            <w:rFonts w:asciiTheme="minorHAnsi" w:hAnsiTheme="minorHAnsi"/>
            <w:sz w:val="22"/>
            <w:szCs w:val="22"/>
          </w:rPr>
          <w:t>6.3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Part I: Risk disclosure practices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_Toc269658968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60</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69" w:history="1">
        <w:r w:rsidRPr="00763A59">
          <w:rPr>
            <w:rStyle w:val="Hyperlink"/>
            <w:rFonts w:asciiTheme="minorHAnsi" w:hAnsiTheme="minorHAnsi" w:cs="Times New Roman"/>
            <w:i/>
            <w:noProof/>
            <w:sz w:val="22"/>
            <w:szCs w:val="22"/>
            <w:lang w:val="en-US"/>
          </w:rPr>
          <w:t>6.3.1</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Risk disclosure score</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_Toc269658969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60</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70" w:history="1">
        <w:r w:rsidRPr="00763A59">
          <w:rPr>
            <w:rStyle w:val="Hyperlink"/>
            <w:rFonts w:asciiTheme="minorHAnsi" w:hAnsiTheme="minorHAnsi" w:cs="Times New Roman"/>
            <w:i/>
            <w:noProof/>
            <w:sz w:val="22"/>
            <w:szCs w:val="22"/>
            <w:lang w:val="en-US"/>
          </w:rPr>
          <w:t>6.3.2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Risk categories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_Toc269658970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62</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71" w:history="1">
        <w:r w:rsidRPr="00763A59">
          <w:rPr>
            <w:rStyle w:val="Hyperlink"/>
            <w:rFonts w:asciiTheme="minorHAnsi" w:hAnsiTheme="minorHAnsi" w:cs="Times New Roman"/>
            <w:i/>
            <w:noProof/>
            <w:sz w:val="22"/>
            <w:szCs w:val="22"/>
            <w:lang w:val="en-US"/>
          </w:rPr>
          <w:t>6.3.3</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Risk characteristics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_Toc269658971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64</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72" w:history="1">
        <w:r w:rsidRPr="00763A59">
          <w:rPr>
            <w:rStyle w:val="Hyperlink"/>
            <w:rFonts w:asciiTheme="minorHAnsi" w:hAnsiTheme="minorHAnsi" w:cs="Times New Roman"/>
            <w:i/>
            <w:noProof/>
            <w:sz w:val="22"/>
            <w:szCs w:val="22"/>
            <w:lang w:val="en-US"/>
          </w:rPr>
          <w:t>6.3.4</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Conclusion</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_Toc269658972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66</w:t>
        </w:r>
        <w:r w:rsidRPr="00763A59">
          <w:rPr>
            <w:rFonts w:asciiTheme="minorHAnsi" w:hAnsiTheme="minorHAnsi"/>
            <w:noProof/>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73" w:history="1">
        <w:r w:rsidRPr="00763A59">
          <w:rPr>
            <w:rStyle w:val="Hyperlink"/>
            <w:rFonts w:asciiTheme="minorHAnsi" w:hAnsiTheme="minorHAnsi"/>
            <w:sz w:val="22"/>
            <w:szCs w:val="22"/>
          </w:rPr>
          <w:t>6.4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Part II: Regression analysis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_Toc269658973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66</w:t>
        </w:r>
        <w:r w:rsidRPr="00763A59">
          <w:rPr>
            <w:rFonts w:asciiTheme="minorHAnsi" w:hAnsiTheme="minorHAnsi"/>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74" w:history="1">
        <w:r w:rsidRPr="00763A59">
          <w:rPr>
            <w:rStyle w:val="Hyperlink"/>
            <w:rFonts w:asciiTheme="minorHAnsi" w:hAnsiTheme="minorHAnsi" w:cs="Times New Roman"/>
            <w:i/>
            <w:noProof/>
            <w:sz w:val="22"/>
            <w:szCs w:val="22"/>
            <w:lang w:val="en-US"/>
          </w:rPr>
          <w:t>6.4.1</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Data analysis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_Toc269658974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66</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75" w:history="1">
        <w:r w:rsidRPr="00763A59">
          <w:rPr>
            <w:rStyle w:val="Hyperlink"/>
            <w:rFonts w:asciiTheme="minorHAnsi" w:hAnsiTheme="minorHAnsi" w:cs="Times New Roman"/>
            <w:i/>
            <w:noProof/>
            <w:sz w:val="22"/>
            <w:szCs w:val="22"/>
            <w:lang w:val="en-US"/>
          </w:rPr>
          <w:t>6.4.2</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Multiple regression</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_Toc269658975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67</w:t>
        </w:r>
        <w:r w:rsidRPr="00763A59">
          <w:rPr>
            <w:rFonts w:asciiTheme="minorHAnsi" w:hAnsiTheme="minorHAnsi"/>
            <w:noProof/>
            <w:webHidden/>
            <w:sz w:val="22"/>
            <w:szCs w:val="22"/>
          </w:rPr>
          <w:fldChar w:fldCharType="end"/>
        </w:r>
      </w:hyperlink>
    </w:p>
    <w:p w:rsidR="00763A59" w:rsidRPr="00763A59" w:rsidRDefault="00763A59">
      <w:pPr>
        <w:pStyle w:val="Inhopg3"/>
        <w:tabs>
          <w:tab w:val="left" w:pos="1320"/>
          <w:tab w:val="right" w:leader="dot" w:pos="9060"/>
        </w:tabs>
        <w:rPr>
          <w:rFonts w:asciiTheme="minorHAnsi" w:eastAsiaTheme="minorEastAsia" w:hAnsiTheme="minorHAnsi" w:cstheme="minorBidi"/>
          <w:noProof/>
          <w:sz w:val="22"/>
          <w:szCs w:val="22"/>
          <w:lang w:val="nl-NL" w:eastAsia="nl-NL" w:bidi="ar-SA"/>
        </w:rPr>
      </w:pPr>
      <w:hyperlink w:anchor="_Toc269658976" w:history="1">
        <w:r w:rsidRPr="00763A59">
          <w:rPr>
            <w:rStyle w:val="Hyperlink"/>
            <w:rFonts w:asciiTheme="minorHAnsi" w:hAnsiTheme="minorHAnsi" w:cs="Times New Roman"/>
            <w:i/>
            <w:noProof/>
            <w:sz w:val="22"/>
            <w:szCs w:val="22"/>
            <w:lang w:val="en-US"/>
          </w:rPr>
          <w:t>6.4.3</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Interpretation of the results</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_Toc269658976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69</w:t>
        </w:r>
        <w:r w:rsidRPr="00763A59">
          <w:rPr>
            <w:rFonts w:asciiTheme="minorHAnsi" w:hAnsiTheme="minorHAnsi"/>
            <w:noProof/>
            <w:webHidden/>
            <w:sz w:val="22"/>
            <w:szCs w:val="22"/>
          </w:rPr>
          <w:fldChar w:fldCharType="end"/>
        </w:r>
      </w:hyperlink>
    </w:p>
    <w:p w:rsidR="00763A59" w:rsidRPr="00763A59" w:rsidRDefault="00763A59" w:rsidP="00763A59">
      <w:pPr>
        <w:pStyle w:val="Inhopg3"/>
        <w:tabs>
          <w:tab w:val="left" w:pos="1320"/>
          <w:tab w:val="right" w:leader="dot" w:pos="9060"/>
        </w:tabs>
        <w:spacing w:line="360" w:lineRule="auto"/>
        <w:ind w:left="482"/>
        <w:rPr>
          <w:rFonts w:asciiTheme="minorHAnsi" w:eastAsiaTheme="minorEastAsia" w:hAnsiTheme="minorHAnsi" w:cstheme="minorBidi"/>
          <w:noProof/>
          <w:sz w:val="22"/>
          <w:szCs w:val="22"/>
          <w:lang w:val="nl-NL" w:eastAsia="nl-NL" w:bidi="ar-SA"/>
        </w:rPr>
      </w:pPr>
      <w:hyperlink w:anchor="_Toc269658977" w:history="1">
        <w:r w:rsidRPr="00763A59">
          <w:rPr>
            <w:rStyle w:val="Hyperlink"/>
            <w:rFonts w:asciiTheme="minorHAnsi" w:hAnsiTheme="minorHAnsi" w:cs="Times New Roman"/>
            <w:i/>
            <w:noProof/>
            <w:sz w:val="22"/>
            <w:szCs w:val="22"/>
            <w:lang w:val="en-US"/>
          </w:rPr>
          <w:t>6.4.4</w:t>
        </w:r>
        <w:r w:rsidRPr="00763A59">
          <w:rPr>
            <w:rFonts w:asciiTheme="minorHAnsi" w:eastAsiaTheme="minorEastAsia" w:hAnsiTheme="minorHAnsi" w:cstheme="minorBidi"/>
            <w:noProof/>
            <w:sz w:val="22"/>
            <w:szCs w:val="22"/>
            <w:lang w:val="nl-NL" w:eastAsia="nl-NL" w:bidi="ar-SA"/>
          </w:rPr>
          <w:tab/>
        </w:r>
        <w:r w:rsidRPr="00763A59">
          <w:rPr>
            <w:rStyle w:val="Hyperlink"/>
            <w:rFonts w:asciiTheme="minorHAnsi" w:hAnsiTheme="minorHAnsi" w:cs="Times New Roman"/>
            <w:i/>
            <w:noProof/>
            <w:sz w:val="22"/>
            <w:szCs w:val="22"/>
            <w:lang w:val="en-US"/>
          </w:rPr>
          <w:t>Conclusion</w:t>
        </w:r>
        <w:r w:rsidRPr="00763A59">
          <w:rPr>
            <w:rFonts w:asciiTheme="minorHAnsi" w:hAnsiTheme="minorHAnsi"/>
            <w:noProof/>
            <w:webHidden/>
            <w:sz w:val="22"/>
            <w:szCs w:val="22"/>
          </w:rPr>
          <w:tab/>
        </w:r>
        <w:r w:rsidRPr="00763A59">
          <w:rPr>
            <w:rFonts w:asciiTheme="minorHAnsi" w:hAnsiTheme="minorHAnsi"/>
            <w:noProof/>
            <w:webHidden/>
            <w:sz w:val="22"/>
            <w:szCs w:val="22"/>
          </w:rPr>
          <w:fldChar w:fldCharType="begin"/>
        </w:r>
        <w:r w:rsidRPr="00763A59">
          <w:rPr>
            <w:rFonts w:asciiTheme="minorHAnsi" w:hAnsiTheme="minorHAnsi"/>
            <w:noProof/>
            <w:webHidden/>
            <w:sz w:val="22"/>
            <w:szCs w:val="22"/>
          </w:rPr>
          <w:instrText xml:space="preserve"> PAGEREF _Toc269658977 \h </w:instrText>
        </w:r>
        <w:r w:rsidRPr="00763A59">
          <w:rPr>
            <w:rFonts w:asciiTheme="minorHAnsi" w:hAnsiTheme="minorHAnsi"/>
            <w:noProof/>
            <w:webHidden/>
            <w:sz w:val="22"/>
            <w:szCs w:val="22"/>
          </w:rPr>
        </w:r>
        <w:r w:rsidRPr="00763A59">
          <w:rPr>
            <w:rFonts w:asciiTheme="minorHAnsi" w:hAnsiTheme="minorHAnsi"/>
            <w:noProof/>
            <w:webHidden/>
            <w:sz w:val="22"/>
            <w:szCs w:val="22"/>
          </w:rPr>
          <w:fldChar w:fldCharType="separate"/>
        </w:r>
        <w:r w:rsidR="00C47573">
          <w:rPr>
            <w:rFonts w:asciiTheme="minorHAnsi" w:hAnsiTheme="minorHAnsi"/>
            <w:noProof/>
            <w:webHidden/>
            <w:sz w:val="22"/>
            <w:szCs w:val="22"/>
          </w:rPr>
          <w:t>71</w:t>
        </w:r>
        <w:r w:rsidRPr="00763A59">
          <w:rPr>
            <w:rFonts w:asciiTheme="minorHAnsi" w:hAnsiTheme="minorHAnsi"/>
            <w:noProof/>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78" w:history="1">
        <w:r w:rsidRPr="00763A59">
          <w:rPr>
            <w:rStyle w:val="Hyperlink"/>
            <w:rFonts w:asciiTheme="minorHAnsi" w:hAnsiTheme="minorHAnsi"/>
            <w:sz w:val="22"/>
            <w:szCs w:val="22"/>
          </w:rPr>
          <w:t>7</w:t>
        </w:r>
        <w:r w:rsidRPr="00763A59">
          <w:rPr>
            <w:rFonts w:asciiTheme="minorHAnsi" w:eastAsiaTheme="minorEastAsia" w:hAnsiTheme="minorHAnsi" w:cstheme="minorBidi"/>
            <w:b w:val="0"/>
            <w:sz w:val="22"/>
            <w:szCs w:val="22"/>
            <w:lang w:val="nl-NL" w:eastAsia="nl-NL" w:bidi="ar-SA"/>
          </w:rPr>
          <w:tab/>
        </w:r>
        <w:r w:rsidRPr="00763A59">
          <w:rPr>
            <w:rStyle w:val="Hyperlink"/>
            <w:rFonts w:asciiTheme="minorHAnsi" w:hAnsiTheme="minorHAnsi"/>
            <w:sz w:val="22"/>
            <w:szCs w:val="22"/>
          </w:rPr>
          <w:t>Conclusion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_Toc269658978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72</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79" w:history="1">
        <w:r w:rsidRPr="00763A59">
          <w:rPr>
            <w:rStyle w:val="Hyperlink"/>
            <w:rFonts w:asciiTheme="minorHAnsi" w:hAnsiTheme="minorHAnsi"/>
            <w:sz w:val="22"/>
            <w:szCs w:val="22"/>
          </w:rPr>
          <w:t>7.1</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Introduction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_Toc269658979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72</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80" w:history="1">
        <w:r w:rsidRPr="00763A59">
          <w:rPr>
            <w:rStyle w:val="Hyperlink"/>
            <w:rFonts w:asciiTheme="minorHAnsi" w:hAnsiTheme="minorHAnsi"/>
            <w:sz w:val="22"/>
            <w:szCs w:val="22"/>
          </w:rPr>
          <w:t>7.2</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Research conclusion</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_Toc269658980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72</w:t>
        </w:r>
        <w:r w:rsidRPr="00763A59">
          <w:rPr>
            <w:rFonts w:asciiTheme="minorHAnsi" w:hAnsiTheme="minorHAnsi"/>
            <w:webHidden/>
            <w:sz w:val="22"/>
            <w:szCs w:val="22"/>
          </w:rPr>
          <w:fldChar w:fldCharType="end"/>
        </w:r>
      </w:hyperlink>
    </w:p>
    <w:p w:rsidR="00763A59" w:rsidRPr="00763A59" w:rsidRDefault="00763A59">
      <w:pPr>
        <w:pStyle w:val="Inhopg2"/>
        <w:rPr>
          <w:rFonts w:asciiTheme="minorHAnsi" w:eastAsiaTheme="minorEastAsia" w:hAnsiTheme="minorHAnsi" w:cstheme="minorBidi"/>
          <w:sz w:val="22"/>
          <w:szCs w:val="22"/>
          <w:lang w:val="nl-NL" w:eastAsia="nl-NL" w:bidi="ar-SA"/>
        </w:rPr>
      </w:pPr>
      <w:hyperlink w:anchor="_Toc269658981" w:history="1">
        <w:r w:rsidRPr="00763A59">
          <w:rPr>
            <w:rStyle w:val="Hyperlink"/>
            <w:rFonts w:asciiTheme="minorHAnsi" w:hAnsiTheme="minorHAnsi"/>
            <w:sz w:val="22"/>
            <w:szCs w:val="22"/>
          </w:rPr>
          <w:t>7.3</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Limitations</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_Toc269658981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73</w:t>
        </w:r>
        <w:r w:rsidRPr="00763A59">
          <w:rPr>
            <w:rFonts w:asciiTheme="minorHAnsi" w:hAnsiTheme="minorHAnsi"/>
            <w:webHidden/>
            <w:sz w:val="22"/>
            <w:szCs w:val="22"/>
          </w:rPr>
          <w:fldChar w:fldCharType="end"/>
        </w:r>
      </w:hyperlink>
    </w:p>
    <w:p w:rsidR="00763A59" w:rsidRPr="00763A59" w:rsidRDefault="00763A59" w:rsidP="00763A59">
      <w:pPr>
        <w:pStyle w:val="Inhopg2"/>
        <w:spacing w:line="360" w:lineRule="auto"/>
        <w:rPr>
          <w:rFonts w:asciiTheme="minorHAnsi" w:eastAsiaTheme="minorEastAsia" w:hAnsiTheme="minorHAnsi" w:cstheme="minorBidi"/>
          <w:sz w:val="22"/>
          <w:szCs w:val="22"/>
          <w:lang w:val="nl-NL" w:eastAsia="nl-NL" w:bidi="ar-SA"/>
        </w:rPr>
      </w:pPr>
      <w:hyperlink w:anchor="_Toc269658982" w:history="1">
        <w:r w:rsidRPr="00763A59">
          <w:rPr>
            <w:rStyle w:val="Hyperlink"/>
            <w:rFonts w:asciiTheme="minorHAnsi" w:hAnsiTheme="minorHAnsi"/>
            <w:sz w:val="22"/>
            <w:szCs w:val="22"/>
          </w:rPr>
          <w:t>7.4</w:t>
        </w:r>
        <w:r w:rsidRPr="00763A59">
          <w:rPr>
            <w:rFonts w:asciiTheme="minorHAnsi" w:eastAsiaTheme="minorEastAsia" w:hAnsiTheme="minorHAnsi" w:cstheme="minorBidi"/>
            <w:sz w:val="22"/>
            <w:szCs w:val="22"/>
            <w:lang w:val="nl-NL" w:eastAsia="nl-NL" w:bidi="ar-SA"/>
          </w:rPr>
          <w:tab/>
        </w:r>
        <w:r w:rsidRPr="00763A59">
          <w:rPr>
            <w:rStyle w:val="Hyperlink"/>
            <w:rFonts w:asciiTheme="minorHAnsi" w:hAnsiTheme="minorHAnsi"/>
            <w:sz w:val="22"/>
            <w:szCs w:val="22"/>
          </w:rPr>
          <w:t>Recommendations for future research</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_Toc269658982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74</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3" w:history="1">
        <w:r w:rsidRPr="00763A59">
          <w:rPr>
            <w:rStyle w:val="Hyperlink"/>
            <w:rFonts w:asciiTheme="minorHAnsi" w:hAnsiTheme="minorHAnsi"/>
            <w:sz w:val="22"/>
            <w:szCs w:val="22"/>
          </w:rPr>
          <w:t>Reference List</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_Toc269658983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75</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4" w:history="1">
        <w:r w:rsidRPr="00763A59">
          <w:rPr>
            <w:rStyle w:val="Hyperlink"/>
            <w:rFonts w:asciiTheme="minorHAnsi" w:hAnsiTheme="minorHAnsi"/>
            <w:sz w:val="22"/>
            <w:szCs w:val="22"/>
          </w:rPr>
          <w:t>Appendix A</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_Toc269658984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80</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5" w:history="1">
        <w:r w:rsidRPr="00763A59">
          <w:rPr>
            <w:rStyle w:val="Hyperlink"/>
            <w:rFonts w:asciiTheme="minorHAnsi" w:hAnsiTheme="minorHAnsi"/>
            <w:sz w:val="22"/>
            <w:szCs w:val="22"/>
          </w:rPr>
          <w:t>Appendix B</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_Toc269658985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81</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6" w:history="1">
        <w:r w:rsidRPr="00763A59">
          <w:rPr>
            <w:rStyle w:val="Hyperlink"/>
            <w:rFonts w:asciiTheme="minorHAnsi" w:hAnsiTheme="minorHAnsi"/>
            <w:sz w:val="22"/>
            <w:szCs w:val="22"/>
          </w:rPr>
          <w:t>Appendix C</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_Toc269658986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82</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7" w:history="1">
        <w:r w:rsidRPr="00763A59">
          <w:rPr>
            <w:rStyle w:val="Hyperlink"/>
            <w:rFonts w:asciiTheme="minorHAnsi" w:hAnsiTheme="minorHAnsi"/>
            <w:sz w:val="22"/>
            <w:szCs w:val="22"/>
          </w:rPr>
          <w:t>Appendix D</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_Toc269658987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83</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8" w:history="1">
        <w:r w:rsidRPr="00763A59">
          <w:rPr>
            <w:rStyle w:val="Hyperlink"/>
            <w:rFonts w:asciiTheme="minorHAnsi" w:hAnsiTheme="minorHAnsi"/>
            <w:sz w:val="22"/>
            <w:szCs w:val="22"/>
            <w:lang w:val="nl-NL"/>
          </w:rPr>
          <w:t>Appendix E</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_Toc269658988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84</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89" w:history="1">
        <w:r w:rsidRPr="00763A59">
          <w:rPr>
            <w:rStyle w:val="Hyperlink"/>
            <w:rFonts w:asciiTheme="minorHAnsi" w:hAnsiTheme="minorHAnsi"/>
            <w:sz w:val="22"/>
            <w:szCs w:val="22"/>
          </w:rPr>
          <w:t>Appendix F</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_Toc269658989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85</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90" w:history="1">
        <w:r w:rsidRPr="00763A59">
          <w:rPr>
            <w:rStyle w:val="Hyperlink"/>
            <w:rFonts w:asciiTheme="minorHAnsi" w:hAnsiTheme="minorHAnsi"/>
            <w:sz w:val="22"/>
            <w:szCs w:val="22"/>
          </w:rPr>
          <w:t>Appendix G</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_Toc269658990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86</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91" w:history="1">
        <w:r w:rsidRPr="00763A59">
          <w:rPr>
            <w:rStyle w:val="Hyperlink"/>
            <w:rFonts w:asciiTheme="minorHAnsi" w:hAnsiTheme="minorHAnsi"/>
            <w:sz w:val="22"/>
            <w:szCs w:val="22"/>
          </w:rPr>
          <w:t>Appendix H</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_Toc269658991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87</w:t>
        </w:r>
        <w:r w:rsidRPr="00763A59">
          <w:rPr>
            <w:rFonts w:asciiTheme="minorHAnsi" w:hAnsiTheme="minorHAnsi"/>
            <w:webHidden/>
            <w:sz w:val="22"/>
            <w:szCs w:val="22"/>
          </w:rPr>
          <w:fldChar w:fldCharType="end"/>
        </w:r>
      </w:hyperlink>
    </w:p>
    <w:p w:rsidR="00763A59" w:rsidRPr="00763A59" w:rsidRDefault="00763A59">
      <w:pPr>
        <w:pStyle w:val="Inhopg1"/>
        <w:rPr>
          <w:rFonts w:asciiTheme="minorHAnsi" w:eastAsiaTheme="minorEastAsia" w:hAnsiTheme="minorHAnsi" w:cstheme="minorBidi"/>
          <w:b w:val="0"/>
          <w:sz w:val="22"/>
          <w:szCs w:val="22"/>
          <w:lang w:val="nl-NL" w:eastAsia="nl-NL" w:bidi="ar-SA"/>
        </w:rPr>
      </w:pPr>
      <w:hyperlink w:anchor="_Toc269658992" w:history="1">
        <w:r w:rsidRPr="00763A59">
          <w:rPr>
            <w:rStyle w:val="Hyperlink"/>
            <w:rFonts w:asciiTheme="minorHAnsi" w:hAnsiTheme="minorHAnsi"/>
            <w:sz w:val="22"/>
            <w:szCs w:val="22"/>
          </w:rPr>
          <w:t>Appendix I</w:t>
        </w:r>
        <w:r w:rsidRPr="00763A59">
          <w:rPr>
            <w:rFonts w:asciiTheme="minorHAnsi" w:hAnsiTheme="minorHAnsi"/>
            <w:webHidden/>
            <w:sz w:val="22"/>
            <w:szCs w:val="22"/>
          </w:rPr>
          <w:tab/>
        </w:r>
        <w:r w:rsidRPr="00763A59">
          <w:rPr>
            <w:rFonts w:asciiTheme="minorHAnsi" w:hAnsiTheme="minorHAnsi"/>
            <w:webHidden/>
            <w:sz w:val="22"/>
            <w:szCs w:val="22"/>
          </w:rPr>
          <w:fldChar w:fldCharType="begin"/>
        </w:r>
        <w:r w:rsidRPr="00763A59">
          <w:rPr>
            <w:rFonts w:asciiTheme="minorHAnsi" w:hAnsiTheme="minorHAnsi"/>
            <w:webHidden/>
            <w:sz w:val="22"/>
            <w:szCs w:val="22"/>
          </w:rPr>
          <w:instrText xml:space="preserve"> PAGEREF _Toc269658992 \h </w:instrText>
        </w:r>
        <w:r w:rsidRPr="00763A59">
          <w:rPr>
            <w:rFonts w:asciiTheme="minorHAnsi" w:hAnsiTheme="minorHAnsi"/>
            <w:webHidden/>
            <w:sz w:val="22"/>
            <w:szCs w:val="22"/>
          </w:rPr>
        </w:r>
        <w:r w:rsidRPr="00763A59">
          <w:rPr>
            <w:rFonts w:asciiTheme="minorHAnsi" w:hAnsiTheme="minorHAnsi"/>
            <w:webHidden/>
            <w:sz w:val="22"/>
            <w:szCs w:val="22"/>
          </w:rPr>
          <w:fldChar w:fldCharType="separate"/>
        </w:r>
        <w:r w:rsidR="00C47573">
          <w:rPr>
            <w:rFonts w:asciiTheme="minorHAnsi" w:hAnsiTheme="minorHAnsi"/>
            <w:webHidden/>
            <w:sz w:val="22"/>
            <w:szCs w:val="22"/>
          </w:rPr>
          <w:t>88</w:t>
        </w:r>
        <w:r w:rsidRPr="00763A59">
          <w:rPr>
            <w:rFonts w:asciiTheme="minorHAnsi" w:hAnsiTheme="minorHAnsi"/>
            <w:webHidden/>
            <w:sz w:val="22"/>
            <w:szCs w:val="22"/>
          </w:rPr>
          <w:fldChar w:fldCharType="end"/>
        </w:r>
      </w:hyperlink>
    </w:p>
    <w:p w:rsidR="00921810" w:rsidRPr="00763A59" w:rsidRDefault="00742E5A" w:rsidP="004C14DD">
      <w:pPr>
        <w:pStyle w:val="Inhopg1"/>
        <w:outlineLvl w:val="0"/>
        <w:rPr>
          <w:rFonts w:asciiTheme="minorHAnsi" w:hAnsiTheme="minorHAnsi"/>
          <w:sz w:val="28"/>
          <w:szCs w:val="22"/>
        </w:rPr>
      </w:pPr>
      <w:r w:rsidRPr="00763A59">
        <w:rPr>
          <w:rFonts w:asciiTheme="minorHAnsi" w:hAnsiTheme="minorHAnsi"/>
          <w:sz w:val="22"/>
          <w:szCs w:val="22"/>
          <w:lang w:val="nl-NL"/>
        </w:rPr>
        <w:fldChar w:fldCharType="end"/>
      </w:r>
      <w:r w:rsidR="00AC2384" w:rsidRPr="00763A59">
        <w:rPr>
          <w:rFonts w:asciiTheme="minorHAnsi" w:hAnsiTheme="minorHAnsi"/>
          <w:sz w:val="22"/>
          <w:szCs w:val="22"/>
        </w:rPr>
        <w:br w:type="page"/>
      </w:r>
      <w:bookmarkStart w:id="12" w:name="_Toc269658905"/>
      <w:r w:rsidR="00A171E2" w:rsidRPr="00763A59">
        <w:rPr>
          <w:rFonts w:asciiTheme="minorHAnsi" w:hAnsiTheme="minorHAnsi"/>
          <w:sz w:val="28"/>
          <w:szCs w:val="22"/>
        </w:rPr>
        <w:lastRenderedPageBreak/>
        <w:t>1</w:t>
      </w:r>
      <w:r w:rsidR="003A6F52" w:rsidRPr="00763A59">
        <w:rPr>
          <w:rFonts w:asciiTheme="minorHAnsi" w:hAnsiTheme="minorHAnsi"/>
          <w:sz w:val="28"/>
          <w:szCs w:val="22"/>
        </w:rPr>
        <w:tab/>
      </w:r>
      <w:r w:rsidR="00921810" w:rsidRPr="00763A59">
        <w:rPr>
          <w:rFonts w:asciiTheme="minorHAnsi" w:hAnsiTheme="minorHAnsi"/>
          <w:sz w:val="28"/>
          <w:szCs w:val="22"/>
        </w:rPr>
        <w:t>Introduction</w:t>
      </w:r>
      <w:bookmarkEnd w:id="0"/>
      <w:bookmarkEnd w:id="1"/>
      <w:bookmarkEnd w:id="2"/>
      <w:bookmarkEnd w:id="3"/>
      <w:bookmarkEnd w:id="4"/>
      <w:bookmarkEnd w:id="5"/>
      <w:bookmarkEnd w:id="12"/>
    </w:p>
    <w:p w:rsidR="00921810" w:rsidRPr="00763A59" w:rsidRDefault="00921810" w:rsidP="00950BBC">
      <w:pPr>
        <w:spacing w:line="360" w:lineRule="auto"/>
        <w:rPr>
          <w:rFonts w:asciiTheme="minorHAnsi" w:hAnsiTheme="minorHAnsi" w:cs="Times New Roman"/>
          <w:b/>
          <w:sz w:val="22"/>
          <w:szCs w:val="22"/>
          <w:lang w:val="en-US"/>
        </w:rPr>
      </w:pPr>
    </w:p>
    <w:p w:rsidR="00074E65" w:rsidRPr="00763A59" w:rsidRDefault="00B41B2E" w:rsidP="00AF177B">
      <w:pPr>
        <w:spacing w:line="360" w:lineRule="auto"/>
        <w:outlineLvl w:val="1"/>
        <w:rPr>
          <w:rFonts w:asciiTheme="minorHAnsi" w:hAnsiTheme="minorHAnsi" w:cs="Times New Roman"/>
          <w:b/>
          <w:sz w:val="22"/>
          <w:szCs w:val="22"/>
          <w:lang w:val="en-US"/>
        </w:rPr>
      </w:pPr>
      <w:bookmarkStart w:id="13" w:name="_Toc236565306"/>
      <w:bookmarkStart w:id="14" w:name="_Toc241658883"/>
      <w:bookmarkStart w:id="15" w:name="_Toc242584754"/>
      <w:bookmarkStart w:id="16" w:name="_Toc242697390"/>
      <w:bookmarkStart w:id="17" w:name="_Toc242697625"/>
      <w:bookmarkStart w:id="18" w:name="_Toc245187862"/>
      <w:bookmarkStart w:id="19" w:name="_Toc269658906"/>
      <w:r w:rsidRPr="00763A59">
        <w:rPr>
          <w:rFonts w:asciiTheme="minorHAnsi" w:hAnsiTheme="minorHAnsi" w:cs="Times New Roman"/>
          <w:b/>
          <w:sz w:val="22"/>
          <w:szCs w:val="22"/>
          <w:lang w:val="en-US"/>
        </w:rPr>
        <w:t>1.</w:t>
      </w:r>
      <w:r w:rsidR="00921810" w:rsidRPr="00763A59">
        <w:rPr>
          <w:rFonts w:asciiTheme="minorHAnsi" w:hAnsiTheme="minorHAnsi" w:cs="Times New Roman"/>
          <w:b/>
          <w:sz w:val="22"/>
          <w:szCs w:val="22"/>
          <w:lang w:val="en-US"/>
        </w:rPr>
        <w:t>1</w:t>
      </w:r>
      <w:r w:rsidR="003A6F52" w:rsidRPr="00763A59">
        <w:rPr>
          <w:rFonts w:asciiTheme="minorHAnsi" w:hAnsiTheme="minorHAnsi" w:cs="Times New Roman"/>
          <w:b/>
          <w:sz w:val="22"/>
          <w:szCs w:val="22"/>
          <w:lang w:val="en-US"/>
        </w:rPr>
        <w:tab/>
        <w:t>Prologue</w:t>
      </w:r>
      <w:bookmarkEnd w:id="13"/>
      <w:bookmarkEnd w:id="14"/>
      <w:bookmarkEnd w:id="15"/>
      <w:bookmarkEnd w:id="16"/>
      <w:bookmarkEnd w:id="17"/>
      <w:bookmarkEnd w:id="18"/>
      <w:bookmarkEnd w:id="19"/>
    </w:p>
    <w:p w:rsidR="00090F03" w:rsidRPr="00337C97" w:rsidRDefault="00074E65" w:rsidP="00950BBC">
      <w:pPr>
        <w:spacing w:line="360" w:lineRule="auto"/>
        <w:jc w:val="both"/>
        <w:rPr>
          <w:rFonts w:asciiTheme="minorHAnsi" w:hAnsiTheme="minorHAnsi" w:cs="Times New Roman"/>
          <w:sz w:val="22"/>
          <w:szCs w:val="22"/>
          <w:lang w:val="en-US"/>
        </w:rPr>
      </w:pPr>
      <w:r w:rsidRPr="00763A59">
        <w:rPr>
          <w:rFonts w:asciiTheme="minorHAnsi" w:hAnsiTheme="minorHAnsi" w:cs="Times New Roman"/>
          <w:sz w:val="22"/>
          <w:szCs w:val="22"/>
          <w:lang w:val="en-US"/>
        </w:rPr>
        <w:t>The recent financial crisis</w:t>
      </w:r>
      <w:r w:rsidR="00E82F60" w:rsidRPr="00763A59">
        <w:rPr>
          <w:rFonts w:asciiTheme="minorHAnsi" w:hAnsiTheme="minorHAnsi" w:cs="Times New Roman"/>
          <w:sz w:val="22"/>
          <w:szCs w:val="22"/>
          <w:lang w:val="en-US"/>
        </w:rPr>
        <w:t xml:space="preserve"> is </w:t>
      </w:r>
      <w:r w:rsidR="00663A0D" w:rsidRPr="00763A59">
        <w:rPr>
          <w:rFonts w:asciiTheme="minorHAnsi" w:hAnsiTheme="minorHAnsi" w:cs="Times New Roman"/>
          <w:sz w:val="22"/>
          <w:szCs w:val="22"/>
          <w:lang w:val="en-US"/>
        </w:rPr>
        <w:t>clearly</w:t>
      </w:r>
      <w:r w:rsidR="00E82F60" w:rsidRPr="00763A59">
        <w:rPr>
          <w:rFonts w:asciiTheme="minorHAnsi" w:hAnsiTheme="minorHAnsi" w:cs="Times New Roman"/>
          <w:sz w:val="22"/>
          <w:szCs w:val="22"/>
          <w:lang w:val="en-US"/>
        </w:rPr>
        <w:t xml:space="preserve"> related to risk and risk </w:t>
      </w:r>
      <w:r w:rsidR="000A061E" w:rsidRPr="00763A59">
        <w:rPr>
          <w:rFonts w:asciiTheme="minorHAnsi" w:hAnsiTheme="minorHAnsi" w:cs="Times New Roman"/>
          <w:sz w:val="22"/>
          <w:szCs w:val="22"/>
          <w:lang w:val="en-US"/>
        </w:rPr>
        <w:t>behavior</w:t>
      </w:r>
      <w:r w:rsidR="0034316F" w:rsidRPr="00763A59">
        <w:rPr>
          <w:rFonts w:asciiTheme="minorHAnsi" w:hAnsiTheme="minorHAnsi" w:cs="Times New Roman"/>
          <w:sz w:val="22"/>
          <w:szCs w:val="22"/>
          <w:lang w:val="en-US"/>
        </w:rPr>
        <w:t xml:space="preserve"> of individuals and companies</w:t>
      </w:r>
      <w:r w:rsidR="000F73AB" w:rsidRPr="00763A59">
        <w:rPr>
          <w:rFonts w:asciiTheme="minorHAnsi" w:hAnsiTheme="minorHAnsi" w:cs="Times New Roman"/>
          <w:sz w:val="22"/>
          <w:szCs w:val="22"/>
          <w:lang w:val="en-US"/>
        </w:rPr>
        <w:t xml:space="preserve"> as a whole. The enormous </w:t>
      </w:r>
      <w:r w:rsidR="00DF394D" w:rsidRPr="00763A59">
        <w:rPr>
          <w:rFonts w:asciiTheme="minorHAnsi" w:hAnsiTheme="minorHAnsi" w:cs="Times New Roman"/>
          <w:sz w:val="22"/>
          <w:szCs w:val="22"/>
          <w:lang w:val="en-US"/>
        </w:rPr>
        <w:t xml:space="preserve">and worldwide </w:t>
      </w:r>
      <w:r w:rsidR="000F73AB" w:rsidRPr="00763A59">
        <w:rPr>
          <w:rFonts w:asciiTheme="minorHAnsi" w:hAnsiTheme="minorHAnsi" w:cs="Times New Roman"/>
          <w:sz w:val="22"/>
          <w:szCs w:val="22"/>
          <w:lang w:val="en-US"/>
        </w:rPr>
        <w:t>consequences</w:t>
      </w:r>
      <w:r w:rsidR="00E82F60" w:rsidRPr="00763A59">
        <w:rPr>
          <w:rFonts w:asciiTheme="minorHAnsi" w:hAnsiTheme="minorHAnsi" w:cs="Times New Roman"/>
          <w:sz w:val="22"/>
          <w:szCs w:val="22"/>
          <w:lang w:val="en-US"/>
        </w:rPr>
        <w:t xml:space="preserve"> </w:t>
      </w:r>
      <w:r w:rsidR="00DF394D" w:rsidRPr="00763A59">
        <w:rPr>
          <w:rFonts w:asciiTheme="minorHAnsi" w:hAnsiTheme="minorHAnsi" w:cs="Times New Roman"/>
          <w:sz w:val="22"/>
          <w:szCs w:val="22"/>
          <w:lang w:val="en-US"/>
        </w:rPr>
        <w:t>the crisis</w:t>
      </w:r>
      <w:r w:rsidR="00E82F60" w:rsidRPr="00763A59">
        <w:rPr>
          <w:rFonts w:asciiTheme="minorHAnsi" w:hAnsiTheme="minorHAnsi" w:cs="Times New Roman"/>
          <w:sz w:val="22"/>
          <w:szCs w:val="22"/>
          <w:lang w:val="en-US"/>
        </w:rPr>
        <w:t xml:space="preserve"> </w:t>
      </w:r>
      <w:r w:rsidR="00DF394D" w:rsidRPr="00763A59">
        <w:rPr>
          <w:rFonts w:asciiTheme="minorHAnsi" w:hAnsiTheme="minorHAnsi" w:cs="Times New Roman"/>
          <w:sz w:val="22"/>
          <w:szCs w:val="22"/>
          <w:lang w:val="en-US"/>
        </w:rPr>
        <w:t xml:space="preserve">revealed </w:t>
      </w:r>
      <w:r w:rsidR="00090F03" w:rsidRPr="00763A59">
        <w:rPr>
          <w:rFonts w:asciiTheme="minorHAnsi" w:hAnsiTheme="minorHAnsi" w:cs="Times New Roman"/>
          <w:sz w:val="22"/>
          <w:szCs w:val="22"/>
          <w:lang w:val="en-US"/>
        </w:rPr>
        <w:t xml:space="preserve">raises questions about the awareness of risks companies are exposed to, and </w:t>
      </w:r>
      <w:r w:rsidR="004D4A4F" w:rsidRPr="00763A59">
        <w:rPr>
          <w:rFonts w:asciiTheme="minorHAnsi" w:hAnsiTheme="minorHAnsi" w:cs="Times New Roman"/>
          <w:sz w:val="22"/>
          <w:szCs w:val="22"/>
          <w:lang w:val="en-US"/>
        </w:rPr>
        <w:t>moreover</w:t>
      </w:r>
      <w:r w:rsidR="00090F03" w:rsidRPr="00337C97">
        <w:rPr>
          <w:rFonts w:asciiTheme="minorHAnsi" w:hAnsiTheme="minorHAnsi" w:cs="Times New Roman"/>
          <w:sz w:val="22"/>
          <w:szCs w:val="22"/>
          <w:lang w:val="en-US"/>
        </w:rPr>
        <w:t xml:space="preserve"> about the techniques </w:t>
      </w:r>
      <w:r w:rsidR="00E24098" w:rsidRPr="00337C97">
        <w:rPr>
          <w:rFonts w:asciiTheme="minorHAnsi" w:hAnsiTheme="minorHAnsi" w:cs="Times New Roman"/>
          <w:sz w:val="22"/>
          <w:szCs w:val="22"/>
          <w:lang w:val="en-US"/>
        </w:rPr>
        <w:t>in place to manage those risks.</w:t>
      </w:r>
    </w:p>
    <w:p w:rsidR="004C1008" w:rsidRPr="00337C97" w:rsidRDefault="004C1008" w:rsidP="00950BBC">
      <w:pPr>
        <w:spacing w:line="360" w:lineRule="auto"/>
        <w:jc w:val="both"/>
        <w:rPr>
          <w:rFonts w:asciiTheme="minorHAnsi" w:hAnsiTheme="minorHAnsi" w:cs="Times New Roman"/>
          <w:sz w:val="22"/>
          <w:szCs w:val="22"/>
          <w:lang w:val="en-US"/>
        </w:rPr>
      </w:pPr>
    </w:p>
    <w:p w:rsidR="00E24098" w:rsidRPr="00337C97" w:rsidRDefault="00E24098"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In today’s financial system and economic world</w:t>
      </w:r>
      <w:r w:rsidR="008E6F4D"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banks </w:t>
      </w:r>
      <w:r w:rsidR="006A5DA2" w:rsidRPr="00337C97">
        <w:rPr>
          <w:rFonts w:asciiTheme="minorHAnsi" w:hAnsiTheme="minorHAnsi" w:cs="Times New Roman"/>
          <w:sz w:val="22"/>
          <w:szCs w:val="22"/>
          <w:lang w:val="en-US"/>
        </w:rPr>
        <w:t>fulfill</w:t>
      </w:r>
      <w:r w:rsidRPr="00337C97">
        <w:rPr>
          <w:rFonts w:asciiTheme="minorHAnsi" w:hAnsiTheme="minorHAnsi" w:cs="Times New Roman"/>
          <w:sz w:val="22"/>
          <w:szCs w:val="22"/>
          <w:lang w:val="en-US"/>
        </w:rPr>
        <w:t xml:space="preserve"> an important position, as they allocate funds from sav</w:t>
      </w:r>
      <w:r w:rsidR="00780E89" w:rsidRPr="00337C97">
        <w:rPr>
          <w:rFonts w:asciiTheme="minorHAnsi" w:hAnsiTheme="minorHAnsi" w:cs="Times New Roman"/>
          <w:sz w:val="22"/>
          <w:szCs w:val="22"/>
          <w:lang w:val="en-US"/>
        </w:rPr>
        <w:t>ers to borrowers. Performing this task in an efficient manner lowers the cost of capital to firms, boosts capital formation and stimulates productivity growth. As a result,</w:t>
      </w:r>
      <w:r w:rsidRPr="00337C97">
        <w:rPr>
          <w:rFonts w:asciiTheme="minorHAnsi" w:hAnsiTheme="minorHAnsi" w:cs="Times New Roman"/>
          <w:sz w:val="22"/>
          <w:szCs w:val="22"/>
          <w:lang w:val="en-US"/>
        </w:rPr>
        <w:t xml:space="preserve"> </w:t>
      </w:r>
      <w:r w:rsidR="00780E89" w:rsidRPr="00337C97">
        <w:rPr>
          <w:rFonts w:asciiTheme="minorHAnsi" w:hAnsiTheme="minorHAnsi" w:cs="Times New Roman"/>
          <w:sz w:val="22"/>
          <w:szCs w:val="22"/>
          <w:lang w:val="en-US"/>
        </w:rPr>
        <w:t>the functioning of banks has ramifications for the operations of firms and the prosperity of nations (Levine, 2004</w:t>
      </w:r>
      <w:r w:rsidR="00AE0728" w:rsidRPr="00337C97">
        <w:rPr>
          <w:rFonts w:asciiTheme="minorHAnsi" w:hAnsiTheme="minorHAnsi" w:cs="Times New Roman"/>
          <w:sz w:val="22"/>
          <w:szCs w:val="22"/>
          <w:lang w:val="en-US"/>
        </w:rPr>
        <w:t>, p. 2</w:t>
      </w:r>
      <w:r w:rsidR="00780E89" w:rsidRPr="00337C97">
        <w:rPr>
          <w:rFonts w:asciiTheme="minorHAnsi" w:hAnsiTheme="minorHAnsi" w:cs="Times New Roman"/>
          <w:sz w:val="22"/>
          <w:szCs w:val="22"/>
          <w:lang w:val="en-US"/>
        </w:rPr>
        <w:t>). S</w:t>
      </w:r>
      <w:r w:rsidRPr="00337C97">
        <w:rPr>
          <w:rFonts w:asciiTheme="minorHAnsi" w:hAnsiTheme="minorHAnsi" w:cs="Times New Roman"/>
          <w:sz w:val="22"/>
          <w:szCs w:val="22"/>
          <w:lang w:val="en-US"/>
        </w:rPr>
        <w:t xml:space="preserve">ince the evolution of </w:t>
      </w:r>
      <w:r w:rsidR="005A621D" w:rsidRPr="00337C97">
        <w:rPr>
          <w:rFonts w:asciiTheme="minorHAnsi" w:hAnsiTheme="minorHAnsi" w:cs="Times New Roman"/>
          <w:sz w:val="22"/>
          <w:szCs w:val="22"/>
          <w:lang w:val="en-US"/>
        </w:rPr>
        <w:t>financial derivatives, a market with a total value of</w:t>
      </w:r>
      <w:r w:rsidRPr="00337C97">
        <w:rPr>
          <w:rFonts w:asciiTheme="minorHAnsi" w:hAnsiTheme="minorHAnsi" w:cs="Times New Roman"/>
          <w:sz w:val="22"/>
          <w:szCs w:val="22"/>
          <w:lang w:val="en-US"/>
        </w:rPr>
        <w:t xml:space="preserve"> $ 500 trillion in 2008</w:t>
      </w:r>
      <w:r w:rsidR="003C49D4" w:rsidRPr="00337C97">
        <w:rPr>
          <w:rFonts w:asciiTheme="minorHAnsi" w:hAnsiTheme="minorHAnsi" w:cs="Times New Roman"/>
          <w:sz w:val="22"/>
          <w:szCs w:val="22"/>
          <w:lang w:val="en-US"/>
        </w:rPr>
        <w:t xml:space="preserve"> (</w:t>
      </w:r>
      <w:r w:rsidR="00FA1455" w:rsidRPr="00337C97">
        <w:rPr>
          <w:rFonts w:asciiTheme="minorHAnsi" w:hAnsiTheme="minorHAnsi" w:cs="Times New Roman"/>
          <w:sz w:val="22"/>
          <w:szCs w:val="22"/>
          <w:lang w:val="en-US"/>
        </w:rPr>
        <w:t>Ormerod,</w:t>
      </w:r>
      <w:r w:rsidR="00AE0728" w:rsidRPr="00337C97">
        <w:rPr>
          <w:rFonts w:asciiTheme="minorHAnsi" w:hAnsiTheme="minorHAnsi" w:cs="Times New Roman"/>
          <w:sz w:val="22"/>
          <w:szCs w:val="22"/>
          <w:lang w:val="en-US"/>
        </w:rPr>
        <w:t xml:space="preserve"> </w:t>
      </w:r>
      <w:r w:rsidR="003C49D4" w:rsidRPr="00337C97">
        <w:rPr>
          <w:rFonts w:asciiTheme="minorHAnsi" w:hAnsiTheme="minorHAnsi" w:cs="Times New Roman"/>
          <w:sz w:val="22"/>
          <w:szCs w:val="22"/>
          <w:lang w:val="en-US"/>
        </w:rPr>
        <w:t>2008)</w:t>
      </w:r>
      <w:r w:rsidRPr="00337C97">
        <w:rPr>
          <w:rFonts w:asciiTheme="minorHAnsi" w:hAnsiTheme="minorHAnsi" w:cs="Times New Roman"/>
          <w:sz w:val="22"/>
          <w:szCs w:val="22"/>
          <w:lang w:val="en-US"/>
        </w:rPr>
        <w:t>, banks becam</w:t>
      </w:r>
      <w:r w:rsidR="00DF394D" w:rsidRPr="00337C97">
        <w:rPr>
          <w:rFonts w:asciiTheme="minorHAnsi" w:hAnsiTheme="minorHAnsi" w:cs="Times New Roman"/>
          <w:sz w:val="22"/>
          <w:szCs w:val="22"/>
          <w:lang w:val="en-US"/>
        </w:rPr>
        <w:t>e manufacturers and traders of complex financial products.</w:t>
      </w:r>
    </w:p>
    <w:p w:rsidR="00E24098" w:rsidRPr="00337C97" w:rsidRDefault="00E24098" w:rsidP="00950BBC">
      <w:pPr>
        <w:spacing w:line="360" w:lineRule="auto"/>
        <w:jc w:val="both"/>
        <w:rPr>
          <w:rFonts w:asciiTheme="minorHAnsi" w:hAnsiTheme="minorHAnsi" w:cs="Times New Roman"/>
          <w:sz w:val="22"/>
          <w:szCs w:val="22"/>
          <w:lang w:val="en-US"/>
        </w:rPr>
      </w:pPr>
    </w:p>
    <w:p w:rsidR="0061337A" w:rsidRPr="00337C97" w:rsidRDefault="0061337A"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stability of the financial system was heavily affected by the turmoil in financial markets in the second half of 2007 in the second half of 2007 caused by the sub-prime mortgage loans crisis in the US (Ryan, 2008, p. 1606). </w:t>
      </w:r>
      <w:r w:rsidR="005A621D" w:rsidRPr="00337C97">
        <w:rPr>
          <w:rFonts w:asciiTheme="minorHAnsi" w:hAnsiTheme="minorHAnsi" w:cs="Times New Roman"/>
          <w:sz w:val="22"/>
          <w:szCs w:val="22"/>
          <w:lang w:val="en-US"/>
        </w:rPr>
        <w:t>I</w:t>
      </w:r>
      <w:r w:rsidR="0033797E" w:rsidRPr="00337C97">
        <w:rPr>
          <w:rFonts w:asciiTheme="minorHAnsi" w:hAnsiTheme="minorHAnsi" w:cs="Times New Roman"/>
          <w:sz w:val="22"/>
          <w:szCs w:val="22"/>
          <w:lang w:val="en-US"/>
        </w:rPr>
        <w:t>nvestment</w:t>
      </w:r>
      <w:r w:rsidR="00A23779" w:rsidRPr="00337C97">
        <w:rPr>
          <w:rFonts w:asciiTheme="minorHAnsi" w:hAnsiTheme="minorHAnsi" w:cs="Times New Roman"/>
          <w:sz w:val="22"/>
          <w:szCs w:val="22"/>
          <w:lang w:val="en-US"/>
        </w:rPr>
        <w:t xml:space="preserve">s in complex financial products </w:t>
      </w:r>
      <w:r w:rsidR="0033797E" w:rsidRPr="00337C97">
        <w:rPr>
          <w:rFonts w:asciiTheme="minorHAnsi" w:hAnsiTheme="minorHAnsi" w:cs="Times New Roman"/>
          <w:sz w:val="22"/>
          <w:szCs w:val="22"/>
          <w:lang w:val="en-US"/>
        </w:rPr>
        <w:t>turned out to have much greater risk than assumed and indic</w:t>
      </w:r>
      <w:r w:rsidR="0076297A" w:rsidRPr="00337C97">
        <w:rPr>
          <w:rFonts w:asciiTheme="minorHAnsi" w:hAnsiTheme="minorHAnsi" w:cs="Times New Roman"/>
          <w:sz w:val="22"/>
          <w:szCs w:val="22"/>
          <w:lang w:val="en-US"/>
        </w:rPr>
        <w:t>ated by credit rating agencies</w:t>
      </w:r>
      <w:r w:rsidR="00A23779" w:rsidRPr="00337C97">
        <w:rPr>
          <w:rFonts w:asciiTheme="minorHAnsi" w:hAnsiTheme="minorHAnsi" w:cs="Times New Roman"/>
          <w:sz w:val="22"/>
          <w:szCs w:val="22"/>
          <w:lang w:val="en-US"/>
        </w:rPr>
        <w:t xml:space="preserve">, especially towards the </w:t>
      </w:r>
      <w:r w:rsidR="00A4161B" w:rsidRPr="00337C97">
        <w:rPr>
          <w:rFonts w:asciiTheme="minorHAnsi" w:hAnsiTheme="minorHAnsi" w:cs="Times New Roman"/>
          <w:sz w:val="22"/>
          <w:szCs w:val="22"/>
          <w:lang w:val="en-US"/>
        </w:rPr>
        <w:t>conditions on the American housing</w:t>
      </w:r>
      <w:r w:rsidR="00A23779" w:rsidRPr="00337C97">
        <w:rPr>
          <w:rFonts w:asciiTheme="minorHAnsi" w:hAnsiTheme="minorHAnsi" w:cs="Times New Roman"/>
          <w:sz w:val="22"/>
          <w:szCs w:val="22"/>
          <w:lang w:val="en-US"/>
        </w:rPr>
        <w:t xml:space="preserve"> market</w:t>
      </w:r>
      <w:r w:rsidR="0076297A" w:rsidRPr="00337C97">
        <w:rPr>
          <w:rFonts w:asciiTheme="minorHAnsi" w:hAnsiTheme="minorHAnsi" w:cs="Times New Roman"/>
          <w:sz w:val="22"/>
          <w:szCs w:val="22"/>
          <w:lang w:val="en-US"/>
        </w:rPr>
        <w:t xml:space="preserve">. </w:t>
      </w:r>
      <w:r w:rsidR="00697BB9" w:rsidRPr="00337C97">
        <w:rPr>
          <w:rFonts w:asciiTheme="minorHAnsi" w:hAnsiTheme="minorHAnsi" w:cs="Times New Roman"/>
          <w:sz w:val="22"/>
          <w:szCs w:val="22"/>
          <w:lang w:val="en-US"/>
        </w:rPr>
        <w:t xml:space="preserve">As house prices </w:t>
      </w:r>
      <w:r w:rsidR="00A23779" w:rsidRPr="00337C97">
        <w:rPr>
          <w:rFonts w:asciiTheme="minorHAnsi" w:hAnsiTheme="minorHAnsi" w:cs="Times New Roman"/>
          <w:sz w:val="22"/>
          <w:szCs w:val="22"/>
          <w:lang w:val="en-US"/>
        </w:rPr>
        <w:t>in the US started to fall, banks worldwide</w:t>
      </w:r>
      <w:r w:rsidR="00697BB9" w:rsidRPr="00337C97">
        <w:rPr>
          <w:rFonts w:asciiTheme="minorHAnsi" w:hAnsiTheme="minorHAnsi" w:cs="Times New Roman"/>
          <w:sz w:val="22"/>
          <w:szCs w:val="22"/>
          <w:lang w:val="en-US"/>
        </w:rPr>
        <w:t xml:space="preserve"> were forced to make major write-downs on the values </w:t>
      </w:r>
      <w:r w:rsidR="00986078" w:rsidRPr="00337C97">
        <w:rPr>
          <w:rFonts w:asciiTheme="minorHAnsi" w:hAnsiTheme="minorHAnsi" w:cs="Times New Roman"/>
          <w:sz w:val="22"/>
          <w:szCs w:val="22"/>
          <w:lang w:val="en-US"/>
        </w:rPr>
        <w:t xml:space="preserve">of these </w:t>
      </w:r>
      <w:r w:rsidR="00697BB9" w:rsidRPr="00337C97">
        <w:rPr>
          <w:rFonts w:asciiTheme="minorHAnsi" w:hAnsiTheme="minorHAnsi" w:cs="Times New Roman"/>
          <w:sz w:val="22"/>
          <w:szCs w:val="22"/>
          <w:lang w:val="en-US"/>
        </w:rPr>
        <w:t>investments.</w:t>
      </w:r>
      <w:r w:rsidR="00F6256F" w:rsidRPr="00337C97">
        <w:rPr>
          <w:rFonts w:asciiTheme="minorHAnsi" w:hAnsiTheme="minorHAnsi" w:cs="Times New Roman"/>
          <w:sz w:val="22"/>
          <w:szCs w:val="22"/>
          <w:lang w:val="en-US"/>
        </w:rPr>
        <w:t xml:space="preserve"> The effects of this turmoil were transferred also into the operations of the European banks, as distrust between banks and uncertainty in financial markets started to rise. Banks began to charge additional risk pre</w:t>
      </w:r>
      <w:r w:rsidR="00F05D4A" w:rsidRPr="00337C97">
        <w:rPr>
          <w:rFonts w:asciiTheme="minorHAnsi" w:hAnsiTheme="minorHAnsi" w:cs="Times New Roman"/>
          <w:sz w:val="22"/>
          <w:szCs w:val="22"/>
          <w:lang w:val="en-US"/>
        </w:rPr>
        <w:t>mium for their interbank loans, resulting</w:t>
      </w:r>
      <w:r w:rsidR="00F6256F" w:rsidRPr="00337C97">
        <w:rPr>
          <w:rFonts w:asciiTheme="minorHAnsi" w:hAnsiTheme="minorHAnsi" w:cs="Times New Roman"/>
          <w:sz w:val="22"/>
          <w:szCs w:val="22"/>
          <w:lang w:val="en-US"/>
        </w:rPr>
        <w:t xml:space="preserve"> in a shortage of credit and illiquid markets.</w:t>
      </w:r>
    </w:p>
    <w:p w:rsidR="00F6256F" w:rsidRPr="00337C97" w:rsidRDefault="00F6256F" w:rsidP="00950BBC">
      <w:pPr>
        <w:spacing w:line="360" w:lineRule="auto"/>
        <w:jc w:val="both"/>
        <w:rPr>
          <w:rFonts w:asciiTheme="minorHAnsi" w:hAnsiTheme="minorHAnsi" w:cs="Times New Roman"/>
          <w:sz w:val="22"/>
          <w:szCs w:val="22"/>
          <w:lang w:val="en-US"/>
        </w:rPr>
      </w:pPr>
    </w:p>
    <w:p w:rsidR="000F73AB" w:rsidRPr="00337C97" w:rsidRDefault="000F73AB"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essence of any bank is that it is a risk taking </w:t>
      </w:r>
      <w:r w:rsidR="00BD277D" w:rsidRPr="00337C97">
        <w:rPr>
          <w:rFonts w:asciiTheme="minorHAnsi" w:hAnsiTheme="minorHAnsi" w:cs="Times New Roman"/>
          <w:sz w:val="22"/>
          <w:szCs w:val="22"/>
          <w:lang w:val="en-US"/>
        </w:rPr>
        <w:t>enterprise</w:t>
      </w:r>
      <w:r w:rsidRPr="00337C97">
        <w:rPr>
          <w:rFonts w:asciiTheme="minorHAnsi" w:hAnsiTheme="minorHAnsi" w:cs="Times New Roman"/>
          <w:sz w:val="22"/>
          <w:szCs w:val="22"/>
          <w:lang w:val="en-US"/>
        </w:rPr>
        <w:t>, and therefore, it is expected that relevant risk-related information will be released to the marketplace</w:t>
      </w:r>
      <w:r w:rsidR="0099750D" w:rsidRPr="00337C97">
        <w:rPr>
          <w:rFonts w:asciiTheme="minorHAnsi" w:hAnsiTheme="minorHAnsi" w:cs="Times New Roman"/>
          <w:sz w:val="22"/>
          <w:szCs w:val="22"/>
          <w:lang w:val="en-US"/>
        </w:rPr>
        <w:t xml:space="preserve"> to reduce the uncertainty of investors</w:t>
      </w:r>
      <w:r w:rsidRPr="00337C97">
        <w:rPr>
          <w:rFonts w:asciiTheme="minorHAnsi" w:hAnsiTheme="minorHAnsi" w:cs="Times New Roman"/>
          <w:sz w:val="22"/>
          <w:szCs w:val="22"/>
          <w:lang w:val="en-US"/>
        </w:rPr>
        <w:t xml:space="preserve">. Already, banks disseminate significant amounts of information to the marketplace. However, there have been calls for even greater disclosure of information to ensure </w:t>
      </w:r>
      <w:r w:rsidR="00614EA3" w:rsidRPr="00337C97">
        <w:rPr>
          <w:rFonts w:asciiTheme="minorHAnsi" w:hAnsiTheme="minorHAnsi" w:cs="Times New Roman"/>
          <w:sz w:val="22"/>
          <w:szCs w:val="22"/>
          <w:lang w:val="en-US"/>
        </w:rPr>
        <w:t>users</w:t>
      </w:r>
      <w:r w:rsidRPr="00337C97">
        <w:rPr>
          <w:rFonts w:asciiTheme="minorHAnsi" w:hAnsiTheme="minorHAnsi" w:cs="Times New Roman"/>
          <w:sz w:val="22"/>
          <w:szCs w:val="22"/>
          <w:lang w:val="en-US"/>
        </w:rPr>
        <w:t xml:space="preserve"> are fully able to as</w:t>
      </w:r>
      <w:r w:rsidR="00DF394D" w:rsidRPr="00337C97">
        <w:rPr>
          <w:rFonts w:asciiTheme="minorHAnsi" w:hAnsiTheme="minorHAnsi" w:cs="Times New Roman"/>
          <w:sz w:val="22"/>
          <w:szCs w:val="22"/>
          <w:lang w:val="en-US"/>
        </w:rPr>
        <w:t>sess the performance of a firm. If shareholders and other interested parties are to be able to understand the risk profile of the firm, they need to receive information about the risk</w:t>
      </w:r>
      <w:r w:rsidR="00435828" w:rsidRPr="00337C97">
        <w:rPr>
          <w:rFonts w:asciiTheme="minorHAnsi" w:hAnsiTheme="minorHAnsi" w:cs="Times New Roman"/>
          <w:sz w:val="22"/>
          <w:szCs w:val="22"/>
          <w:lang w:val="en-US"/>
        </w:rPr>
        <w:t>s</w:t>
      </w:r>
      <w:r w:rsidR="00DF394D" w:rsidRPr="00337C97">
        <w:rPr>
          <w:rFonts w:asciiTheme="minorHAnsi" w:hAnsiTheme="minorHAnsi" w:cs="Times New Roman"/>
          <w:sz w:val="22"/>
          <w:szCs w:val="22"/>
          <w:lang w:val="en-US"/>
        </w:rPr>
        <w:t xml:space="preserve"> a firm face</w:t>
      </w:r>
      <w:r w:rsidR="00435828" w:rsidRPr="00337C97">
        <w:rPr>
          <w:rFonts w:asciiTheme="minorHAnsi" w:hAnsiTheme="minorHAnsi" w:cs="Times New Roman"/>
          <w:sz w:val="22"/>
          <w:szCs w:val="22"/>
          <w:lang w:val="en-US"/>
        </w:rPr>
        <w:t>s</w:t>
      </w:r>
      <w:r w:rsidR="00DF394D" w:rsidRPr="00337C97">
        <w:rPr>
          <w:rFonts w:asciiTheme="minorHAnsi" w:hAnsiTheme="minorHAnsi" w:cs="Times New Roman"/>
          <w:sz w:val="22"/>
          <w:szCs w:val="22"/>
          <w:lang w:val="en-US"/>
        </w:rPr>
        <w:t xml:space="preserve"> and how the directors are managing those risks </w:t>
      </w:r>
      <w:r w:rsidR="00E37276" w:rsidRPr="00337C97">
        <w:rPr>
          <w:rFonts w:asciiTheme="minorHAnsi" w:hAnsiTheme="minorHAnsi" w:cs="Times New Roman"/>
          <w:sz w:val="22"/>
          <w:szCs w:val="22"/>
          <w:lang w:val="en-US"/>
        </w:rPr>
        <w:t>(Linsley and Shrives</w:t>
      </w:r>
      <w:r w:rsidR="00780E89" w:rsidRPr="00337C97">
        <w:rPr>
          <w:rFonts w:asciiTheme="minorHAnsi" w:hAnsiTheme="minorHAnsi" w:cs="Times New Roman"/>
          <w:sz w:val="22"/>
          <w:szCs w:val="22"/>
          <w:lang w:val="en-US"/>
        </w:rPr>
        <w:t>,</w:t>
      </w:r>
      <w:r w:rsidR="00E37276" w:rsidRPr="00337C97">
        <w:rPr>
          <w:rFonts w:asciiTheme="minorHAnsi" w:hAnsiTheme="minorHAnsi" w:cs="Times New Roman"/>
          <w:sz w:val="22"/>
          <w:szCs w:val="22"/>
          <w:lang w:val="en-US"/>
        </w:rPr>
        <w:t xml:space="preserve"> 2005</w:t>
      </w:r>
      <w:r w:rsidR="00074637" w:rsidRPr="00337C97">
        <w:rPr>
          <w:rFonts w:asciiTheme="minorHAnsi" w:hAnsiTheme="minorHAnsi" w:cs="Times New Roman"/>
          <w:sz w:val="22"/>
          <w:szCs w:val="22"/>
          <w:lang w:val="en-US"/>
        </w:rPr>
        <w:t>a</w:t>
      </w:r>
      <w:r w:rsidR="00697BB9" w:rsidRPr="00337C97">
        <w:rPr>
          <w:rFonts w:asciiTheme="minorHAnsi" w:hAnsiTheme="minorHAnsi" w:cs="Times New Roman"/>
          <w:sz w:val="22"/>
          <w:szCs w:val="22"/>
          <w:lang w:val="en-US"/>
        </w:rPr>
        <w:t>, p. 205</w:t>
      </w:r>
      <w:r w:rsidR="00E37276" w:rsidRPr="00337C97">
        <w:rPr>
          <w:rFonts w:asciiTheme="minorHAnsi" w:hAnsiTheme="minorHAnsi" w:cs="Times New Roman"/>
          <w:sz w:val="22"/>
          <w:szCs w:val="22"/>
          <w:lang w:val="en-US"/>
        </w:rPr>
        <w:t>).</w:t>
      </w:r>
    </w:p>
    <w:p w:rsidR="00202C73" w:rsidRPr="00337C97" w:rsidRDefault="00202C73" w:rsidP="00950BBC">
      <w:pPr>
        <w:spacing w:line="360" w:lineRule="auto"/>
        <w:jc w:val="both"/>
        <w:rPr>
          <w:rFonts w:asciiTheme="minorHAnsi" w:hAnsiTheme="minorHAnsi" w:cs="Times New Roman"/>
          <w:sz w:val="22"/>
          <w:szCs w:val="22"/>
          <w:lang w:val="en-US"/>
        </w:rPr>
      </w:pPr>
    </w:p>
    <w:p w:rsidR="00565545" w:rsidRPr="00337C97" w:rsidRDefault="00202C73" w:rsidP="00D97B9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Corporate risk reporting is a cornerstone of accounting. For corporations, information on risk can help to manage change, lower the cost of capital and instruct on the future trajectory of business. For investors, information on risk can help to determine the risk profile of a company, the estimation of market value and accuracy of security price forecasts (Abraham and Cox, 2007, p. 227). </w:t>
      </w:r>
      <w:r w:rsidR="00D97B9B" w:rsidRPr="00337C97">
        <w:rPr>
          <w:rFonts w:asciiTheme="minorHAnsi" w:hAnsiTheme="minorHAnsi" w:cs="Times New Roman"/>
          <w:sz w:val="22"/>
          <w:szCs w:val="22"/>
          <w:lang w:val="en-US"/>
        </w:rPr>
        <w:t xml:space="preserve">Risk reporting has </w:t>
      </w:r>
      <w:r w:rsidR="00DF394D" w:rsidRPr="00337C97">
        <w:rPr>
          <w:rFonts w:asciiTheme="minorHAnsi" w:hAnsiTheme="minorHAnsi" w:cs="Times New Roman"/>
          <w:sz w:val="22"/>
          <w:szCs w:val="22"/>
          <w:lang w:val="en-US"/>
        </w:rPr>
        <w:t>gained interest in financial accounting practice, regulation and research in recent years (Dobler</w:t>
      </w:r>
      <w:r w:rsidR="00780E89" w:rsidRPr="00337C97">
        <w:rPr>
          <w:rFonts w:asciiTheme="minorHAnsi" w:hAnsiTheme="minorHAnsi" w:cs="Times New Roman"/>
          <w:sz w:val="22"/>
          <w:szCs w:val="22"/>
          <w:lang w:val="en-US"/>
        </w:rPr>
        <w:t>,</w:t>
      </w:r>
      <w:r w:rsidR="00DF394D" w:rsidRPr="00337C97">
        <w:rPr>
          <w:rFonts w:asciiTheme="minorHAnsi" w:hAnsiTheme="minorHAnsi" w:cs="Times New Roman"/>
          <w:sz w:val="22"/>
          <w:szCs w:val="22"/>
          <w:lang w:val="en-US"/>
        </w:rPr>
        <w:t xml:space="preserve"> 2008</w:t>
      </w:r>
      <w:r w:rsidR="00697BB9" w:rsidRPr="00337C97">
        <w:rPr>
          <w:rFonts w:asciiTheme="minorHAnsi" w:hAnsiTheme="minorHAnsi" w:cs="Times New Roman"/>
          <w:sz w:val="22"/>
          <w:szCs w:val="22"/>
          <w:lang w:val="en-US"/>
        </w:rPr>
        <w:t>, p. 185</w:t>
      </w:r>
      <w:r w:rsidR="00E37276" w:rsidRPr="00337C97">
        <w:rPr>
          <w:rFonts w:asciiTheme="minorHAnsi" w:hAnsiTheme="minorHAnsi" w:cs="Times New Roman"/>
          <w:sz w:val="22"/>
          <w:szCs w:val="22"/>
          <w:lang w:val="en-US"/>
        </w:rPr>
        <w:t xml:space="preserve">). </w:t>
      </w:r>
      <w:r w:rsidR="00AF725C" w:rsidRPr="00337C97">
        <w:rPr>
          <w:rFonts w:asciiTheme="minorHAnsi" w:hAnsiTheme="minorHAnsi" w:cs="Times New Roman"/>
          <w:sz w:val="22"/>
          <w:szCs w:val="22"/>
          <w:lang w:val="en-US"/>
        </w:rPr>
        <w:t xml:space="preserve">Inevitably, this attention will increase due to the current financial crisis. The </w:t>
      </w:r>
      <w:r w:rsidR="00DF394D" w:rsidRPr="00337C97">
        <w:rPr>
          <w:rFonts w:asciiTheme="minorHAnsi" w:hAnsiTheme="minorHAnsi" w:cs="Times New Roman"/>
          <w:sz w:val="22"/>
          <w:szCs w:val="22"/>
          <w:lang w:val="en-US"/>
        </w:rPr>
        <w:t xml:space="preserve">crisis shows </w:t>
      </w:r>
      <w:r w:rsidR="00565545" w:rsidRPr="00337C97">
        <w:rPr>
          <w:rFonts w:asciiTheme="minorHAnsi" w:hAnsiTheme="minorHAnsi" w:cs="Times New Roman"/>
          <w:sz w:val="22"/>
          <w:szCs w:val="22"/>
          <w:lang w:val="en-US"/>
        </w:rPr>
        <w:t xml:space="preserve">the urgent need for transparent risk </w:t>
      </w:r>
      <w:r w:rsidR="00DF394D" w:rsidRPr="00337C97">
        <w:rPr>
          <w:rFonts w:asciiTheme="minorHAnsi" w:hAnsiTheme="minorHAnsi" w:cs="Times New Roman"/>
          <w:sz w:val="22"/>
          <w:szCs w:val="22"/>
          <w:lang w:val="en-US"/>
        </w:rPr>
        <w:t xml:space="preserve">reporting </w:t>
      </w:r>
      <w:r w:rsidR="00565545" w:rsidRPr="00337C97">
        <w:rPr>
          <w:rFonts w:asciiTheme="minorHAnsi" w:hAnsiTheme="minorHAnsi" w:cs="Times New Roman"/>
          <w:sz w:val="22"/>
          <w:szCs w:val="22"/>
          <w:lang w:val="en-US"/>
        </w:rPr>
        <w:t xml:space="preserve">and must be used to learn lessons from, to prevent current problems to </w:t>
      </w:r>
      <w:r w:rsidR="00787B22" w:rsidRPr="00337C97">
        <w:rPr>
          <w:rFonts w:asciiTheme="minorHAnsi" w:hAnsiTheme="minorHAnsi" w:cs="Times New Roman"/>
          <w:sz w:val="22"/>
          <w:szCs w:val="22"/>
          <w:lang w:val="en-US"/>
        </w:rPr>
        <w:t>occur again in the near future.</w:t>
      </w:r>
    </w:p>
    <w:p w:rsidR="0044278E" w:rsidRPr="00337C97" w:rsidRDefault="0044278E" w:rsidP="00950BBC">
      <w:pPr>
        <w:spacing w:line="360" w:lineRule="auto"/>
        <w:jc w:val="both"/>
        <w:rPr>
          <w:rFonts w:asciiTheme="minorHAnsi" w:hAnsiTheme="minorHAnsi" w:cs="Times New Roman"/>
          <w:sz w:val="22"/>
          <w:szCs w:val="22"/>
          <w:lang w:val="en-US"/>
        </w:rPr>
      </w:pPr>
    </w:p>
    <w:p w:rsidR="0044278E" w:rsidRPr="00337C97" w:rsidRDefault="0099750D"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 2005, </w:t>
      </w:r>
      <w:r w:rsidR="0044278E" w:rsidRPr="00337C97">
        <w:rPr>
          <w:rFonts w:asciiTheme="minorHAnsi" w:hAnsiTheme="minorHAnsi" w:cs="Times New Roman"/>
          <w:sz w:val="22"/>
          <w:szCs w:val="22"/>
          <w:lang w:val="en-US"/>
        </w:rPr>
        <w:t>Linsley and Shrives</w:t>
      </w:r>
      <w:r w:rsidR="00697BB9" w:rsidRPr="00337C97">
        <w:rPr>
          <w:rFonts w:asciiTheme="minorHAnsi" w:hAnsiTheme="minorHAnsi" w:cs="Times New Roman"/>
          <w:sz w:val="22"/>
          <w:szCs w:val="22"/>
          <w:lang w:val="en-US"/>
        </w:rPr>
        <w:t xml:space="preserve"> (p. 205)</w:t>
      </w:r>
      <w:r w:rsidR="0044278E" w:rsidRPr="00337C97">
        <w:rPr>
          <w:rFonts w:asciiTheme="minorHAnsi" w:hAnsiTheme="minorHAnsi" w:cs="Times New Roman"/>
          <w:sz w:val="22"/>
          <w:szCs w:val="22"/>
          <w:lang w:val="en-US"/>
        </w:rPr>
        <w:t xml:space="preserve"> already noticed the opinion that </w:t>
      </w:r>
      <w:r w:rsidR="000724CA" w:rsidRPr="00337C97">
        <w:rPr>
          <w:rFonts w:asciiTheme="minorHAnsi" w:hAnsiTheme="minorHAnsi" w:cs="Times New Roman"/>
          <w:sz w:val="22"/>
          <w:szCs w:val="22"/>
          <w:lang w:val="en-US"/>
        </w:rPr>
        <w:t>at that time</w:t>
      </w:r>
      <w:r w:rsidR="0044278E" w:rsidRPr="00337C97">
        <w:rPr>
          <w:rFonts w:asciiTheme="minorHAnsi" w:hAnsiTheme="minorHAnsi" w:cs="Times New Roman"/>
          <w:sz w:val="22"/>
          <w:szCs w:val="22"/>
          <w:lang w:val="en-US"/>
        </w:rPr>
        <w:t xml:space="preserve"> limited risk disclosure </w:t>
      </w:r>
      <w:r w:rsidR="00022F0A" w:rsidRPr="00337C97">
        <w:rPr>
          <w:rFonts w:asciiTheme="minorHAnsi" w:hAnsiTheme="minorHAnsi" w:cs="Times New Roman"/>
          <w:sz w:val="22"/>
          <w:szCs w:val="22"/>
          <w:lang w:val="en-US"/>
        </w:rPr>
        <w:t>occurred by banks</w:t>
      </w:r>
      <w:r w:rsidR="004D4A4F" w:rsidRPr="00337C97">
        <w:rPr>
          <w:rFonts w:asciiTheme="minorHAnsi" w:hAnsiTheme="minorHAnsi" w:cs="Times New Roman"/>
          <w:sz w:val="22"/>
          <w:szCs w:val="22"/>
          <w:lang w:val="en-US"/>
        </w:rPr>
        <w:t xml:space="preserve">. As a result banks </w:t>
      </w:r>
      <w:r w:rsidR="0044278E" w:rsidRPr="00337C97">
        <w:rPr>
          <w:rFonts w:asciiTheme="minorHAnsi" w:hAnsiTheme="minorHAnsi" w:cs="Times New Roman"/>
          <w:sz w:val="22"/>
          <w:szCs w:val="22"/>
          <w:lang w:val="en-US"/>
        </w:rPr>
        <w:t>were n</w:t>
      </w:r>
      <w:r w:rsidR="00632188" w:rsidRPr="00337C97">
        <w:rPr>
          <w:rFonts w:asciiTheme="minorHAnsi" w:hAnsiTheme="minorHAnsi" w:cs="Times New Roman"/>
          <w:sz w:val="22"/>
          <w:szCs w:val="22"/>
          <w:lang w:val="en-US"/>
        </w:rPr>
        <w:t>ot transparent in this respect. The distrust between banks</w:t>
      </w:r>
      <w:r w:rsidR="00CD3584" w:rsidRPr="00337C97">
        <w:rPr>
          <w:rFonts w:asciiTheme="minorHAnsi" w:hAnsiTheme="minorHAnsi" w:cs="Times New Roman"/>
          <w:sz w:val="22"/>
          <w:szCs w:val="22"/>
          <w:lang w:val="en-US"/>
        </w:rPr>
        <w:t xml:space="preserve">, between banks and related parties and </w:t>
      </w:r>
      <w:r w:rsidR="006C46C7" w:rsidRPr="00337C97">
        <w:rPr>
          <w:rFonts w:asciiTheme="minorHAnsi" w:hAnsiTheme="minorHAnsi" w:cs="Times New Roman"/>
          <w:sz w:val="22"/>
          <w:szCs w:val="22"/>
          <w:lang w:val="en-US"/>
        </w:rPr>
        <w:t xml:space="preserve">between </w:t>
      </w:r>
      <w:r w:rsidR="00214FBD" w:rsidRPr="00337C97">
        <w:rPr>
          <w:rFonts w:asciiTheme="minorHAnsi" w:hAnsiTheme="minorHAnsi" w:cs="Times New Roman"/>
          <w:sz w:val="22"/>
          <w:szCs w:val="22"/>
          <w:lang w:val="en-US"/>
        </w:rPr>
        <w:t xml:space="preserve">banks and its customers </w:t>
      </w:r>
      <w:r w:rsidR="00632188" w:rsidRPr="00337C97">
        <w:rPr>
          <w:rFonts w:asciiTheme="minorHAnsi" w:hAnsiTheme="minorHAnsi" w:cs="Times New Roman"/>
          <w:sz w:val="22"/>
          <w:szCs w:val="22"/>
          <w:lang w:val="en-US"/>
        </w:rPr>
        <w:t xml:space="preserve">during the </w:t>
      </w:r>
      <w:r w:rsidR="003C49D4" w:rsidRPr="00337C97">
        <w:rPr>
          <w:rFonts w:asciiTheme="minorHAnsi" w:hAnsiTheme="minorHAnsi" w:cs="Times New Roman"/>
          <w:sz w:val="22"/>
          <w:szCs w:val="22"/>
          <w:lang w:val="en-US"/>
        </w:rPr>
        <w:t xml:space="preserve">recent </w:t>
      </w:r>
      <w:r w:rsidR="00632188" w:rsidRPr="00337C97">
        <w:rPr>
          <w:rFonts w:asciiTheme="minorHAnsi" w:hAnsiTheme="minorHAnsi" w:cs="Times New Roman"/>
          <w:sz w:val="22"/>
          <w:szCs w:val="22"/>
          <w:lang w:val="en-US"/>
        </w:rPr>
        <w:t xml:space="preserve">credit crunch supports this notion. </w:t>
      </w:r>
      <w:r w:rsidR="000724CA" w:rsidRPr="00337C97">
        <w:rPr>
          <w:rFonts w:asciiTheme="minorHAnsi" w:hAnsiTheme="minorHAnsi" w:cs="Times New Roman"/>
          <w:sz w:val="22"/>
          <w:szCs w:val="22"/>
          <w:lang w:val="en-US"/>
        </w:rPr>
        <w:t>Im</w:t>
      </w:r>
      <w:r w:rsidR="00214FBD" w:rsidRPr="00337C97">
        <w:rPr>
          <w:rFonts w:asciiTheme="minorHAnsi" w:hAnsiTheme="minorHAnsi" w:cs="Times New Roman"/>
          <w:sz w:val="22"/>
          <w:szCs w:val="22"/>
          <w:lang w:val="en-US"/>
        </w:rPr>
        <w:t xml:space="preserve">proved risk transparency </w:t>
      </w:r>
      <w:r w:rsidR="00565545" w:rsidRPr="00337C97">
        <w:rPr>
          <w:rFonts w:asciiTheme="minorHAnsi" w:hAnsiTheme="minorHAnsi" w:cs="Times New Roman"/>
          <w:sz w:val="22"/>
          <w:szCs w:val="22"/>
          <w:lang w:val="en-US"/>
        </w:rPr>
        <w:t>c</w:t>
      </w:r>
      <w:r w:rsidR="00214FBD" w:rsidRPr="00337C97">
        <w:rPr>
          <w:rFonts w:asciiTheme="minorHAnsi" w:hAnsiTheme="minorHAnsi" w:cs="Times New Roman"/>
          <w:sz w:val="22"/>
          <w:szCs w:val="22"/>
          <w:lang w:val="en-US"/>
        </w:rPr>
        <w:t xml:space="preserve">ould </w:t>
      </w:r>
      <w:r w:rsidRPr="00337C97">
        <w:rPr>
          <w:rFonts w:asciiTheme="minorHAnsi" w:hAnsiTheme="minorHAnsi" w:cs="Times New Roman"/>
          <w:sz w:val="22"/>
          <w:szCs w:val="22"/>
          <w:lang w:val="en-US"/>
        </w:rPr>
        <w:t xml:space="preserve">reduce uncertainty on the financial markets and therefore </w:t>
      </w:r>
      <w:r w:rsidR="00214FBD" w:rsidRPr="00337C97">
        <w:rPr>
          <w:rFonts w:asciiTheme="minorHAnsi" w:hAnsiTheme="minorHAnsi" w:cs="Times New Roman"/>
          <w:sz w:val="22"/>
          <w:szCs w:val="22"/>
          <w:lang w:val="en-US"/>
        </w:rPr>
        <w:t>tribute to a stable financial environment.</w:t>
      </w:r>
      <w:r w:rsidRPr="00337C97">
        <w:rPr>
          <w:rFonts w:asciiTheme="minorHAnsi" w:hAnsiTheme="minorHAnsi" w:cs="Times New Roman"/>
          <w:sz w:val="22"/>
          <w:szCs w:val="22"/>
          <w:lang w:val="en-US"/>
        </w:rPr>
        <w:t xml:space="preserve"> Hence,</w:t>
      </w:r>
      <w:r w:rsidR="00214FBD"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i</w:t>
      </w:r>
      <w:r w:rsidR="00214FBD" w:rsidRPr="00337C97">
        <w:rPr>
          <w:rFonts w:asciiTheme="minorHAnsi" w:hAnsiTheme="minorHAnsi" w:cs="Times New Roman"/>
          <w:sz w:val="22"/>
          <w:szCs w:val="22"/>
          <w:lang w:val="en-US"/>
        </w:rPr>
        <w:t>t should enhance the ability of shareholders and other related parties to manage t</w:t>
      </w:r>
      <w:r w:rsidR="00787B22" w:rsidRPr="00337C97">
        <w:rPr>
          <w:rFonts w:asciiTheme="minorHAnsi" w:hAnsiTheme="minorHAnsi" w:cs="Times New Roman"/>
          <w:sz w:val="22"/>
          <w:szCs w:val="22"/>
          <w:lang w:val="en-US"/>
        </w:rPr>
        <w:t>heir risk positions.</w:t>
      </w:r>
    </w:p>
    <w:p w:rsidR="00632188" w:rsidRPr="00337C97" w:rsidRDefault="00632188" w:rsidP="00950BBC">
      <w:pPr>
        <w:spacing w:line="360" w:lineRule="auto"/>
        <w:jc w:val="both"/>
        <w:rPr>
          <w:rFonts w:asciiTheme="minorHAnsi" w:hAnsiTheme="minorHAnsi" w:cs="Times New Roman"/>
          <w:sz w:val="22"/>
          <w:szCs w:val="22"/>
          <w:lang w:val="en-US"/>
        </w:rPr>
      </w:pPr>
    </w:p>
    <w:p w:rsidR="00022F0A" w:rsidRPr="00337C97" w:rsidRDefault="00D3335B" w:rsidP="00FE4715">
      <w:pPr>
        <w:spacing w:line="360" w:lineRule="auto"/>
        <w:jc w:val="both"/>
        <w:outlineLvl w:val="1"/>
        <w:rPr>
          <w:rFonts w:asciiTheme="minorHAnsi" w:hAnsiTheme="minorHAnsi" w:cs="Times New Roman"/>
          <w:b/>
          <w:sz w:val="22"/>
          <w:szCs w:val="22"/>
          <w:lang w:val="en-US"/>
        </w:rPr>
      </w:pPr>
      <w:bookmarkStart w:id="20" w:name="_Toc242584755"/>
      <w:bookmarkStart w:id="21" w:name="_Toc242697391"/>
      <w:bookmarkStart w:id="22" w:name="_Toc242697626"/>
      <w:bookmarkStart w:id="23" w:name="_Toc245187863"/>
      <w:bookmarkStart w:id="24" w:name="_Toc269658907"/>
      <w:r w:rsidRPr="00337C97">
        <w:rPr>
          <w:rFonts w:asciiTheme="minorHAnsi" w:hAnsiTheme="minorHAnsi" w:cs="Times New Roman"/>
          <w:b/>
          <w:sz w:val="22"/>
          <w:szCs w:val="22"/>
          <w:lang w:val="en-US"/>
        </w:rPr>
        <w:t>1.2</w:t>
      </w:r>
      <w:r w:rsidRPr="00337C97">
        <w:rPr>
          <w:rFonts w:asciiTheme="minorHAnsi" w:hAnsiTheme="minorHAnsi" w:cs="Times New Roman"/>
          <w:b/>
          <w:sz w:val="22"/>
          <w:szCs w:val="22"/>
          <w:lang w:val="en-US"/>
        </w:rPr>
        <w:tab/>
        <w:t>Research q</w:t>
      </w:r>
      <w:r w:rsidR="00022F0A" w:rsidRPr="00337C97">
        <w:rPr>
          <w:rFonts w:asciiTheme="minorHAnsi" w:hAnsiTheme="minorHAnsi" w:cs="Times New Roman"/>
          <w:b/>
          <w:sz w:val="22"/>
          <w:szCs w:val="22"/>
          <w:lang w:val="en-US"/>
        </w:rPr>
        <w:t>uestion</w:t>
      </w:r>
      <w:bookmarkEnd w:id="20"/>
      <w:bookmarkEnd w:id="21"/>
      <w:bookmarkEnd w:id="22"/>
      <w:bookmarkEnd w:id="23"/>
      <w:bookmarkEnd w:id="24"/>
    </w:p>
    <w:p w:rsidR="003C49D4" w:rsidRPr="00337C97" w:rsidRDefault="000F73AB"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w:t>
      </w:r>
      <w:r w:rsidR="00873B6E" w:rsidRPr="00337C97">
        <w:rPr>
          <w:rFonts w:asciiTheme="minorHAnsi" w:hAnsiTheme="minorHAnsi" w:cs="Times New Roman"/>
          <w:sz w:val="22"/>
          <w:szCs w:val="22"/>
          <w:lang w:val="en-US"/>
        </w:rPr>
        <w:t>thesis</w:t>
      </w:r>
      <w:r w:rsidRPr="00337C97">
        <w:rPr>
          <w:rFonts w:asciiTheme="minorHAnsi" w:hAnsiTheme="minorHAnsi" w:cs="Times New Roman"/>
          <w:sz w:val="22"/>
          <w:szCs w:val="22"/>
          <w:lang w:val="en-US"/>
        </w:rPr>
        <w:t xml:space="preserve"> focuses on the risk reporting of banks, by</w:t>
      </w:r>
      <w:r w:rsidR="003C49D4" w:rsidRPr="00337C97">
        <w:rPr>
          <w:rFonts w:asciiTheme="minorHAnsi" w:hAnsiTheme="minorHAnsi" w:cs="Times New Roman"/>
          <w:sz w:val="22"/>
          <w:szCs w:val="22"/>
          <w:lang w:val="en-US"/>
        </w:rPr>
        <w:t xml:space="preserve"> first</w:t>
      </w:r>
      <w:r w:rsidRPr="00337C97">
        <w:rPr>
          <w:rFonts w:asciiTheme="minorHAnsi" w:hAnsiTheme="minorHAnsi" w:cs="Times New Roman"/>
          <w:sz w:val="22"/>
          <w:szCs w:val="22"/>
          <w:lang w:val="en-US"/>
        </w:rPr>
        <w:t xml:space="preserve"> describing their risk disclosure practices</w:t>
      </w:r>
      <w:r w:rsidR="00984362"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and </w:t>
      </w:r>
      <w:r w:rsidR="003C49D4" w:rsidRPr="00337C97">
        <w:rPr>
          <w:rFonts w:asciiTheme="minorHAnsi" w:hAnsiTheme="minorHAnsi" w:cs="Times New Roman"/>
          <w:sz w:val="22"/>
          <w:szCs w:val="22"/>
          <w:lang w:val="en-US"/>
        </w:rPr>
        <w:t xml:space="preserve">second </w:t>
      </w:r>
      <w:r w:rsidR="00DF394D" w:rsidRPr="00337C97">
        <w:rPr>
          <w:rFonts w:asciiTheme="minorHAnsi" w:hAnsiTheme="minorHAnsi" w:cs="Times New Roman"/>
          <w:sz w:val="22"/>
          <w:szCs w:val="22"/>
          <w:lang w:val="en-US"/>
        </w:rPr>
        <w:t>inve</w:t>
      </w:r>
      <w:r w:rsidR="00AA0600" w:rsidRPr="00337C97">
        <w:rPr>
          <w:rFonts w:asciiTheme="minorHAnsi" w:hAnsiTheme="minorHAnsi" w:cs="Times New Roman"/>
          <w:sz w:val="22"/>
          <w:szCs w:val="22"/>
          <w:lang w:val="en-US"/>
        </w:rPr>
        <w:t xml:space="preserve">stigating </w:t>
      </w:r>
      <w:r w:rsidR="003C49D4" w:rsidRPr="00337C97">
        <w:rPr>
          <w:rFonts w:asciiTheme="minorHAnsi" w:hAnsiTheme="minorHAnsi" w:cs="Times New Roman"/>
          <w:sz w:val="22"/>
          <w:szCs w:val="22"/>
          <w:lang w:val="en-US"/>
        </w:rPr>
        <w:t>various</w:t>
      </w:r>
      <w:r w:rsidR="00AA0600" w:rsidRPr="00337C97">
        <w:rPr>
          <w:rFonts w:asciiTheme="minorHAnsi" w:hAnsiTheme="minorHAnsi" w:cs="Times New Roman"/>
          <w:sz w:val="22"/>
          <w:szCs w:val="22"/>
          <w:lang w:val="en-US"/>
        </w:rPr>
        <w:t xml:space="preserve"> </w:t>
      </w:r>
      <w:r w:rsidR="00214FBD" w:rsidRPr="00337C97">
        <w:rPr>
          <w:rFonts w:asciiTheme="minorHAnsi" w:hAnsiTheme="minorHAnsi" w:cs="Times New Roman"/>
          <w:sz w:val="22"/>
          <w:szCs w:val="22"/>
          <w:lang w:val="en-US"/>
        </w:rPr>
        <w:t xml:space="preserve">firm-specific </w:t>
      </w:r>
      <w:r w:rsidR="003C49D4" w:rsidRPr="00337C97">
        <w:rPr>
          <w:rFonts w:asciiTheme="minorHAnsi" w:hAnsiTheme="minorHAnsi" w:cs="Times New Roman"/>
          <w:sz w:val="22"/>
          <w:szCs w:val="22"/>
          <w:lang w:val="en-US"/>
        </w:rPr>
        <w:t>determinants related to the amount of this disclosure. The follow</w:t>
      </w:r>
      <w:r w:rsidR="00AF725C" w:rsidRPr="00337C97">
        <w:rPr>
          <w:rFonts w:asciiTheme="minorHAnsi" w:hAnsiTheme="minorHAnsi" w:cs="Times New Roman"/>
          <w:sz w:val="22"/>
          <w:szCs w:val="22"/>
          <w:lang w:val="en-US"/>
        </w:rPr>
        <w:t>ing</w:t>
      </w:r>
      <w:r w:rsidR="003C49D4" w:rsidRPr="00337C97">
        <w:rPr>
          <w:rFonts w:asciiTheme="minorHAnsi" w:hAnsiTheme="minorHAnsi" w:cs="Times New Roman"/>
          <w:sz w:val="22"/>
          <w:szCs w:val="22"/>
          <w:lang w:val="en-US"/>
        </w:rPr>
        <w:t xml:space="preserve"> research question wil</w:t>
      </w:r>
      <w:r w:rsidR="00787B22" w:rsidRPr="00337C97">
        <w:rPr>
          <w:rFonts w:asciiTheme="minorHAnsi" w:hAnsiTheme="minorHAnsi" w:cs="Times New Roman"/>
          <w:sz w:val="22"/>
          <w:szCs w:val="22"/>
          <w:lang w:val="en-US"/>
        </w:rPr>
        <w:t>l be answered in this research:</w:t>
      </w:r>
    </w:p>
    <w:p w:rsidR="003C49D4" w:rsidRPr="00337C97" w:rsidRDefault="003C49D4" w:rsidP="00950BBC">
      <w:pPr>
        <w:spacing w:line="360" w:lineRule="auto"/>
        <w:jc w:val="both"/>
        <w:rPr>
          <w:rFonts w:asciiTheme="minorHAnsi" w:hAnsiTheme="minorHAnsi" w:cs="Times New Roman"/>
          <w:sz w:val="22"/>
          <w:szCs w:val="22"/>
          <w:lang w:val="en-US"/>
        </w:rPr>
      </w:pPr>
    </w:p>
    <w:p w:rsidR="003C49D4" w:rsidRPr="00337C97" w:rsidRDefault="003C49D4" w:rsidP="008407EA">
      <w:pPr>
        <w:spacing w:line="360" w:lineRule="auto"/>
        <w:ind w:left="720"/>
        <w:jc w:val="both"/>
        <w:rPr>
          <w:rFonts w:asciiTheme="minorHAnsi" w:hAnsiTheme="minorHAnsi" w:cs="Times New Roman"/>
          <w:i/>
          <w:sz w:val="22"/>
          <w:szCs w:val="22"/>
          <w:lang w:val="en-US"/>
        </w:rPr>
      </w:pPr>
      <w:r w:rsidRPr="00337C97">
        <w:rPr>
          <w:rFonts w:asciiTheme="minorHAnsi" w:hAnsiTheme="minorHAnsi" w:cs="Times New Roman"/>
          <w:i/>
          <w:sz w:val="22"/>
          <w:szCs w:val="22"/>
          <w:lang w:val="en-US"/>
        </w:rPr>
        <w:t>In which way do European banks disclose risks in the annual reports of 2007 and</w:t>
      </w:r>
      <w:r w:rsidR="005A621D" w:rsidRPr="00337C97">
        <w:rPr>
          <w:rFonts w:asciiTheme="minorHAnsi" w:hAnsiTheme="minorHAnsi" w:cs="Times New Roman"/>
          <w:i/>
          <w:sz w:val="22"/>
          <w:szCs w:val="22"/>
          <w:lang w:val="en-US"/>
        </w:rPr>
        <w:t xml:space="preserve"> which firm-specific characteristics influence the extent of risk disclosure?</w:t>
      </w:r>
    </w:p>
    <w:p w:rsidR="003C49D4" w:rsidRPr="00337C97" w:rsidRDefault="003C49D4" w:rsidP="00950BBC">
      <w:pPr>
        <w:spacing w:line="360" w:lineRule="auto"/>
        <w:jc w:val="both"/>
        <w:rPr>
          <w:rFonts w:asciiTheme="minorHAnsi" w:hAnsiTheme="minorHAnsi" w:cs="Times New Roman"/>
          <w:sz w:val="22"/>
          <w:szCs w:val="22"/>
          <w:lang w:val="en-US"/>
        </w:rPr>
      </w:pPr>
    </w:p>
    <w:p w:rsidR="00C1716A" w:rsidRPr="00337C97" w:rsidRDefault="00AA0600"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Using </w:t>
      </w:r>
      <w:r w:rsidR="000724CA" w:rsidRPr="00337C97">
        <w:rPr>
          <w:rFonts w:asciiTheme="minorHAnsi" w:hAnsiTheme="minorHAnsi" w:cs="Times New Roman"/>
          <w:sz w:val="22"/>
          <w:szCs w:val="22"/>
          <w:lang w:val="en-US"/>
        </w:rPr>
        <w:t xml:space="preserve">risk-related </w:t>
      </w:r>
      <w:r w:rsidR="00984362" w:rsidRPr="00337C97">
        <w:rPr>
          <w:rFonts w:asciiTheme="minorHAnsi" w:hAnsiTheme="minorHAnsi" w:cs="Times New Roman"/>
          <w:sz w:val="22"/>
          <w:szCs w:val="22"/>
          <w:lang w:val="en-US"/>
        </w:rPr>
        <w:t xml:space="preserve">content </w:t>
      </w:r>
      <w:r w:rsidR="000724CA" w:rsidRPr="00337C97">
        <w:rPr>
          <w:rFonts w:asciiTheme="minorHAnsi" w:hAnsiTheme="minorHAnsi" w:cs="Times New Roman"/>
          <w:sz w:val="22"/>
          <w:szCs w:val="22"/>
          <w:lang w:val="en-US"/>
        </w:rPr>
        <w:t xml:space="preserve">in the </w:t>
      </w:r>
      <w:r w:rsidR="00984362" w:rsidRPr="00337C97">
        <w:rPr>
          <w:rFonts w:asciiTheme="minorHAnsi" w:hAnsiTheme="minorHAnsi" w:cs="Times New Roman"/>
          <w:sz w:val="22"/>
          <w:szCs w:val="22"/>
          <w:lang w:val="en-US"/>
        </w:rPr>
        <w:t>2007 annual report</w:t>
      </w:r>
      <w:r w:rsidR="000724CA" w:rsidRPr="00337C97">
        <w:rPr>
          <w:rFonts w:asciiTheme="minorHAnsi" w:hAnsiTheme="minorHAnsi" w:cs="Times New Roman"/>
          <w:sz w:val="22"/>
          <w:szCs w:val="22"/>
          <w:lang w:val="en-US"/>
        </w:rPr>
        <w:t xml:space="preserve"> of </w:t>
      </w:r>
      <w:r w:rsidR="00984362" w:rsidRPr="00337C97">
        <w:rPr>
          <w:rFonts w:asciiTheme="minorHAnsi" w:hAnsiTheme="minorHAnsi" w:cs="Times New Roman"/>
          <w:sz w:val="22"/>
          <w:szCs w:val="22"/>
          <w:lang w:val="en-US"/>
        </w:rPr>
        <w:t xml:space="preserve">40 randomly selected European Union </w:t>
      </w:r>
      <w:r w:rsidRPr="00337C97">
        <w:rPr>
          <w:rFonts w:asciiTheme="minorHAnsi" w:hAnsiTheme="minorHAnsi" w:cs="Times New Roman"/>
          <w:sz w:val="22"/>
          <w:szCs w:val="22"/>
          <w:lang w:val="en-US"/>
        </w:rPr>
        <w:t xml:space="preserve">banks, this </w:t>
      </w:r>
      <w:r w:rsidR="00873B6E" w:rsidRPr="00337C97">
        <w:rPr>
          <w:rFonts w:asciiTheme="minorHAnsi" w:hAnsiTheme="minorHAnsi" w:cs="Times New Roman"/>
          <w:sz w:val="22"/>
          <w:szCs w:val="22"/>
          <w:lang w:val="en-US"/>
        </w:rPr>
        <w:t>research</w:t>
      </w:r>
      <w:r w:rsidRPr="00337C97">
        <w:rPr>
          <w:rFonts w:asciiTheme="minorHAnsi" w:hAnsiTheme="minorHAnsi" w:cs="Times New Roman"/>
          <w:sz w:val="22"/>
          <w:szCs w:val="22"/>
          <w:lang w:val="en-US"/>
        </w:rPr>
        <w:t xml:space="preserve"> seeks to </w:t>
      </w:r>
      <w:r w:rsidR="00617E22" w:rsidRPr="00337C97">
        <w:rPr>
          <w:rFonts w:asciiTheme="minorHAnsi" w:hAnsiTheme="minorHAnsi" w:cs="Times New Roman"/>
          <w:sz w:val="22"/>
          <w:szCs w:val="22"/>
          <w:lang w:val="en-US"/>
        </w:rPr>
        <w:t xml:space="preserve">explore </w:t>
      </w:r>
      <w:r w:rsidR="004D5012" w:rsidRPr="00337C97">
        <w:rPr>
          <w:rFonts w:asciiTheme="minorHAnsi" w:hAnsiTheme="minorHAnsi" w:cs="Times New Roman"/>
          <w:sz w:val="22"/>
          <w:szCs w:val="22"/>
          <w:lang w:val="en-US"/>
        </w:rPr>
        <w:t xml:space="preserve">how </w:t>
      </w:r>
      <w:r w:rsidR="00AF725C" w:rsidRPr="00337C97">
        <w:rPr>
          <w:rFonts w:asciiTheme="minorHAnsi" w:hAnsiTheme="minorHAnsi" w:cs="Times New Roman"/>
          <w:sz w:val="22"/>
          <w:szCs w:val="22"/>
          <w:lang w:val="en-US"/>
        </w:rPr>
        <w:t>risk-</w:t>
      </w:r>
      <w:r w:rsidRPr="00337C97">
        <w:rPr>
          <w:rFonts w:asciiTheme="minorHAnsi" w:hAnsiTheme="minorHAnsi" w:cs="Times New Roman"/>
          <w:sz w:val="22"/>
          <w:szCs w:val="22"/>
          <w:lang w:val="en-US"/>
        </w:rPr>
        <w:t>related informatio</w:t>
      </w:r>
      <w:r w:rsidR="00C1716A" w:rsidRPr="00337C97">
        <w:rPr>
          <w:rFonts w:asciiTheme="minorHAnsi" w:hAnsiTheme="minorHAnsi" w:cs="Times New Roman"/>
          <w:sz w:val="22"/>
          <w:szCs w:val="22"/>
          <w:lang w:val="en-US"/>
        </w:rPr>
        <w:t>n is communicated to the market</w:t>
      </w:r>
      <w:r w:rsidR="008D56D3" w:rsidRPr="00337C97">
        <w:rPr>
          <w:rFonts w:asciiTheme="minorHAnsi" w:hAnsiTheme="minorHAnsi" w:cs="Times New Roman"/>
          <w:sz w:val="22"/>
          <w:szCs w:val="22"/>
          <w:lang w:val="en-US"/>
        </w:rPr>
        <w:t xml:space="preserve"> by means of the annual report</w:t>
      </w:r>
      <w:r w:rsidR="00C1716A" w:rsidRPr="00337C97">
        <w:rPr>
          <w:rFonts w:asciiTheme="minorHAnsi" w:hAnsiTheme="minorHAnsi" w:cs="Times New Roman"/>
          <w:sz w:val="22"/>
          <w:szCs w:val="22"/>
          <w:lang w:val="en-US"/>
        </w:rPr>
        <w:t xml:space="preserve">. </w:t>
      </w:r>
      <w:r w:rsidR="00617E22" w:rsidRPr="00337C97">
        <w:rPr>
          <w:rFonts w:asciiTheme="minorHAnsi" w:hAnsiTheme="minorHAnsi" w:cs="Times New Roman"/>
          <w:sz w:val="22"/>
          <w:szCs w:val="22"/>
          <w:lang w:val="en-US"/>
        </w:rPr>
        <w:t xml:space="preserve">The primary objective is to </w:t>
      </w:r>
      <w:r w:rsidR="00C1716A" w:rsidRPr="00337C97">
        <w:rPr>
          <w:rFonts w:asciiTheme="minorHAnsi" w:hAnsiTheme="minorHAnsi" w:cs="Times New Roman"/>
          <w:sz w:val="22"/>
          <w:szCs w:val="22"/>
          <w:lang w:val="en-US"/>
        </w:rPr>
        <w:t>examin</w:t>
      </w:r>
      <w:r w:rsidR="00617E22" w:rsidRPr="00337C97">
        <w:rPr>
          <w:rFonts w:asciiTheme="minorHAnsi" w:hAnsiTheme="minorHAnsi" w:cs="Times New Roman"/>
          <w:sz w:val="22"/>
          <w:szCs w:val="22"/>
          <w:lang w:val="en-US"/>
        </w:rPr>
        <w:t>e</w:t>
      </w:r>
      <w:r w:rsidR="00C1716A" w:rsidRPr="00337C97">
        <w:rPr>
          <w:rFonts w:asciiTheme="minorHAnsi" w:hAnsiTheme="minorHAnsi" w:cs="Times New Roman"/>
          <w:sz w:val="22"/>
          <w:szCs w:val="22"/>
          <w:lang w:val="en-US"/>
        </w:rPr>
        <w:t xml:space="preserve"> the </w:t>
      </w:r>
      <w:r w:rsidR="00A96FE1" w:rsidRPr="00337C97">
        <w:rPr>
          <w:rFonts w:asciiTheme="minorHAnsi" w:hAnsiTheme="minorHAnsi" w:cs="Times New Roman"/>
          <w:sz w:val="22"/>
          <w:szCs w:val="22"/>
          <w:lang w:val="en-US"/>
        </w:rPr>
        <w:t>nature</w:t>
      </w:r>
      <w:r w:rsidR="00617E22" w:rsidRPr="00337C97">
        <w:rPr>
          <w:rFonts w:asciiTheme="minorHAnsi" w:hAnsiTheme="minorHAnsi" w:cs="Times New Roman"/>
          <w:sz w:val="22"/>
          <w:szCs w:val="22"/>
          <w:lang w:val="en-US"/>
        </w:rPr>
        <w:t xml:space="preserve"> and </w:t>
      </w:r>
      <w:r w:rsidR="00A96FE1" w:rsidRPr="00337C97">
        <w:rPr>
          <w:rFonts w:asciiTheme="minorHAnsi" w:hAnsiTheme="minorHAnsi" w:cs="Times New Roman"/>
          <w:sz w:val="22"/>
          <w:szCs w:val="22"/>
          <w:lang w:val="en-US"/>
        </w:rPr>
        <w:t xml:space="preserve">characteristics </w:t>
      </w:r>
      <w:r w:rsidR="00617E22" w:rsidRPr="00337C97">
        <w:rPr>
          <w:rFonts w:asciiTheme="minorHAnsi" w:hAnsiTheme="minorHAnsi" w:cs="Times New Roman"/>
          <w:sz w:val="22"/>
          <w:szCs w:val="22"/>
          <w:lang w:val="en-US"/>
        </w:rPr>
        <w:t xml:space="preserve">of </w:t>
      </w:r>
      <w:r w:rsidR="00C1716A" w:rsidRPr="00337C97">
        <w:rPr>
          <w:rFonts w:asciiTheme="minorHAnsi" w:hAnsiTheme="minorHAnsi" w:cs="Times New Roman"/>
          <w:sz w:val="22"/>
          <w:szCs w:val="22"/>
          <w:lang w:val="en-US"/>
        </w:rPr>
        <w:t xml:space="preserve">risk </w:t>
      </w:r>
      <w:r w:rsidR="00A96FE1" w:rsidRPr="00337C97">
        <w:rPr>
          <w:rFonts w:asciiTheme="minorHAnsi" w:hAnsiTheme="minorHAnsi" w:cs="Times New Roman"/>
          <w:sz w:val="22"/>
          <w:szCs w:val="22"/>
          <w:lang w:val="en-US"/>
        </w:rPr>
        <w:t>disclosures</w:t>
      </w:r>
      <w:r w:rsidR="00C1716A" w:rsidRPr="00337C97">
        <w:rPr>
          <w:rFonts w:asciiTheme="minorHAnsi" w:hAnsiTheme="minorHAnsi" w:cs="Times New Roman"/>
          <w:sz w:val="22"/>
          <w:szCs w:val="22"/>
          <w:lang w:val="en-US"/>
        </w:rPr>
        <w:t xml:space="preserve">. </w:t>
      </w:r>
      <w:r w:rsidR="00617E22" w:rsidRPr="00337C97">
        <w:rPr>
          <w:rFonts w:asciiTheme="minorHAnsi" w:hAnsiTheme="minorHAnsi" w:cs="Times New Roman"/>
          <w:sz w:val="22"/>
          <w:szCs w:val="22"/>
          <w:lang w:val="en-US"/>
        </w:rPr>
        <w:t>In addition</w:t>
      </w:r>
      <w:r w:rsidR="00C1716A" w:rsidRPr="00337C97">
        <w:rPr>
          <w:rFonts w:asciiTheme="minorHAnsi" w:hAnsiTheme="minorHAnsi" w:cs="Times New Roman"/>
          <w:sz w:val="22"/>
          <w:szCs w:val="22"/>
          <w:lang w:val="en-US"/>
        </w:rPr>
        <w:t>, this research investigate</w:t>
      </w:r>
      <w:r w:rsidR="00FF740A" w:rsidRPr="00337C97">
        <w:rPr>
          <w:rFonts w:asciiTheme="minorHAnsi" w:hAnsiTheme="minorHAnsi" w:cs="Times New Roman"/>
          <w:sz w:val="22"/>
          <w:szCs w:val="22"/>
          <w:lang w:val="en-US"/>
        </w:rPr>
        <w:t>s</w:t>
      </w:r>
      <w:r w:rsidR="00C1716A" w:rsidRPr="00337C97">
        <w:rPr>
          <w:rFonts w:asciiTheme="minorHAnsi" w:hAnsiTheme="minorHAnsi" w:cs="Times New Roman"/>
          <w:sz w:val="22"/>
          <w:szCs w:val="22"/>
          <w:lang w:val="en-US"/>
        </w:rPr>
        <w:t xml:space="preserve"> which firm-specific factors are related to</w:t>
      </w:r>
      <w:r w:rsidR="00787B22" w:rsidRPr="00337C97">
        <w:rPr>
          <w:rFonts w:asciiTheme="minorHAnsi" w:hAnsiTheme="minorHAnsi" w:cs="Times New Roman"/>
          <w:sz w:val="22"/>
          <w:szCs w:val="22"/>
          <w:lang w:val="en-US"/>
        </w:rPr>
        <w:t xml:space="preserve"> the </w:t>
      </w:r>
      <w:r w:rsidR="00BA05B0" w:rsidRPr="00337C97">
        <w:rPr>
          <w:rFonts w:asciiTheme="minorHAnsi" w:hAnsiTheme="minorHAnsi" w:cs="Times New Roman"/>
          <w:sz w:val="22"/>
          <w:szCs w:val="22"/>
          <w:lang w:val="en-US"/>
        </w:rPr>
        <w:t>extent</w:t>
      </w:r>
      <w:r w:rsidR="00787B22" w:rsidRPr="00337C97">
        <w:rPr>
          <w:rFonts w:asciiTheme="minorHAnsi" w:hAnsiTheme="minorHAnsi" w:cs="Times New Roman"/>
          <w:sz w:val="22"/>
          <w:szCs w:val="22"/>
          <w:lang w:val="en-US"/>
        </w:rPr>
        <w:t xml:space="preserve"> of this disclosure.</w:t>
      </w:r>
      <w:r w:rsidR="008635AA" w:rsidRPr="00337C97">
        <w:rPr>
          <w:rFonts w:asciiTheme="minorHAnsi" w:hAnsiTheme="minorHAnsi" w:cs="Times New Roman"/>
          <w:sz w:val="22"/>
          <w:szCs w:val="22"/>
          <w:lang w:val="en-US"/>
        </w:rPr>
        <w:t xml:space="preserve"> In short, this study aims to influence the understanding and thus the practice in relation to the extent of risk disclosure in the annual reports of the European banking sector</w:t>
      </w:r>
      <w:r w:rsidR="00181D20" w:rsidRPr="00337C97">
        <w:rPr>
          <w:rFonts w:asciiTheme="minorHAnsi" w:hAnsiTheme="minorHAnsi" w:cs="Times New Roman"/>
          <w:sz w:val="22"/>
          <w:szCs w:val="22"/>
          <w:lang w:val="en-US"/>
        </w:rPr>
        <w:t xml:space="preserve"> and could therefore be helpful for regulators</w:t>
      </w:r>
      <w:r w:rsidR="004E0F70" w:rsidRPr="00337C97">
        <w:rPr>
          <w:rFonts w:asciiTheme="minorHAnsi" w:hAnsiTheme="minorHAnsi" w:cs="Times New Roman"/>
          <w:sz w:val="22"/>
          <w:szCs w:val="22"/>
          <w:lang w:val="en-US"/>
        </w:rPr>
        <w:t>. They could assess the effectiveness of their regulations and ensure it has the best chance of achieving the desired outcomes.</w:t>
      </w:r>
    </w:p>
    <w:p w:rsidR="004E0F70" w:rsidRPr="00337C97" w:rsidRDefault="004E0F70" w:rsidP="00950BBC">
      <w:pPr>
        <w:spacing w:line="360" w:lineRule="auto"/>
        <w:jc w:val="both"/>
        <w:rPr>
          <w:rFonts w:asciiTheme="minorHAnsi" w:hAnsiTheme="minorHAnsi" w:cs="Times New Roman"/>
          <w:sz w:val="22"/>
          <w:szCs w:val="22"/>
          <w:lang w:val="en-US"/>
        </w:rPr>
      </w:pPr>
    </w:p>
    <w:p w:rsidR="00C63EBF" w:rsidRPr="00337C97" w:rsidRDefault="001F5AB7" w:rsidP="008635A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w:t>
      </w:r>
      <w:r w:rsidR="00C1716A" w:rsidRPr="00337C97">
        <w:rPr>
          <w:rFonts w:asciiTheme="minorHAnsi" w:hAnsiTheme="minorHAnsi" w:cs="Times New Roman"/>
          <w:sz w:val="22"/>
          <w:szCs w:val="22"/>
          <w:lang w:val="en-US"/>
        </w:rPr>
        <w:t xml:space="preserve"> empirical research consists of two steps. First, the risk-related information in the annual reports </w:t>
      </w:r>
      <w:r w:rsidR="00BA05B0" w:rsidRPr="00337C97">
        <w:rPr>
          <w:rFonts w:asciiTheme="minorHAnsi" w:hAnsiTheme="minorHAnsi" w:cs="Times New Roman"/>
          <w:sz w:val="22"/>
          <w:szCs w:val="22"/>
          <w:lang w:val="en-US"/>
        </w:rPr>
        <w:t>is</w:t>
      </w:r>
      <w:r w:rsidR="00C1716A" w:rsidRPr="00337C97">
        <w:rPr>
          <w:rFonts w:asciiTheme="minorHAnsi" w:hAnsiTheme="minorHAnsi" w:cs="Times New Roman"/>
          <w:sz w:val="22"/>
          <w:szCs w:val="22"/>
          <w:lang w:val="en-US"/>
        </w:rPr>
        <w:t xml:space="preserve"> investigated by means of content analysis, </w:t>
      </w:r>
      <w:r w:rsidR="005074E3" w:rsidRPr="00337C97">
        <w:rPr>
          <w:rFonts w:asciiTheme="minorHAnsi" w:hAnsiTheme="minorHAnsi" w:cs="Times New Roman"/>
          <w:sz w:val="22"/>
          <w:szCs w:val="22"/>
          <w:lang w:val="en-US"/>
        </w:rPr>
        <w:t xml:space="preserve">a method that has proven to be able to give insight in </w:t>
      </w:r>
      <w:r w:rsidR="005074E3" w:rsidRPr="00337C97">
        <w:rPr>
          <w:rFonts w:asciiTheme="minorHAnsi" w:hAnsiTheme="minorHAnsi" w:cs="Times New Roman"/>
          <w:sz w:val="22"/>
          <w:szCs w:val="22"/>
          <w:lang w:val="en-US"/>
        </w:rPr>
        <w:lastRenderedPageBreak/>
        <w:t xml:space="preserve">(risk) disclosure practices in the annual report. </w:t>
      </w:r>
      <w:r w:rsidR="00BA05B0" w:rsidRPr="00337C97">
        <w:rPr>
          <w:rFonts w:asciiTheme="minorHAnsi" w:hAnsiTheme="minorHAnsi" w:cs="Times New Roman"/>
          <w:sz w:val="22"/>
          <w:szCs w:val="22"/>
          <w:lang w:val="en-US"/>
        </w:rPr>
        <w:t xml:space="preserve">This information </w:t>
      </w:r>
      <w:r w:rsidR="005074E3" w:rsidRPr="00337C97">
        <w:rPr>
          <w:rFonts w:asciiTheme="minorHAnsi" w:hAnsiTheme="minorHAnsi" w:cs="Times New Roman"/>
          <w:sz w:val="22"/>
          <w:szCs w:val="22"/>
          <w:lang w:val="en-US"/>
        </w:rPr>
        <w:t xml:space="preserve">will be categorized into major risk </w:t>
      </w:r>
      <w:r w:rsidR="00BA05B0" w:rsidRPr="00337C97">
        <w:rPr>
          <w:rFonts w:asciiTheme="minorHAnsi" w:hAnsiTheme="minorHAnsi" w:cs="Times New Roman"/>
          <w:sz w:val="22"/>
          <w:szCs w:val="22"/>
          <w:lang w:val="en-US"/>
        </w:rPr>
        <w:t xml:space="preserve">areas and different attributes (form, qualification and period) will be distinguished. Second, the gathered data is examined by means of regression analysis, to test for relationships between the extent of risk disclosure and potential explanatory firm </w:t>
      </w:r>
      <w:r w:rsidR="00874171" w:rsidRPr="00337C97">
        <w:rPr>
          <w:rFonts w:asciiTheme="minorHAnsi" w:hAnsiTheme="minorHAnsi" w:cs="Times New Roman"/>
          <w:sz w:val="22"/>
          <w:szCs w:val="22"/>
          <w:lang w:val="en-US"/>
        </w:rPr>
        <w:t>characteristics</w:t>
      </w:r>
      <w:r w:rsidR="00BA05B0" w:rsidRPr="00337C97">
        <w:rPr>
          <w:rFonts w:asciiTheme="minorHAnsi" w:hAnsiTheme="minorHAnsi" w:cs="Times New Roman"/>
          <w:sz w:val="22"/>
          <w:szCs w:val="22"/>
          <w:lang w:val="en-US"/>
        </w:rPr>
        <w:t>. These include variables such as company size, profitability, risk level, multiple listing, credit rating and corporate governance characteristics.</w:t>
      </w:r>
    </w:p>
    <w:p w:rsidR="002C2344" w:rsidRPr="00337C97" w:rsidRDefault="002C2344" w:rsidP="008C1DDB">
      <w:pPr>
        <w:spacing w:line="360" w:lineRule="auto"/>
        <w:jc w:val="both"/>
        <w:outlineLvl w:val="1"/>
        <w:rPr>
          <w:rFonts w:asciiTheme="minorHAnsi" w:hAnsiTheme="minorHAnsi" w:cs="Times New Roman"/>
          <w:b/>
          <w:sz w:val="22"/>
          <w:szCs w:val="22"/>
          <w:lang w:val="en-US"/>
        </w:rPr>
      </w:pPr>
      <w:bookmarkStart w:id="25" w:name="_Toc236565307"/>
      <w:bookmarkStart w:id="26" w:name="_Toc241658884"/>
      <w:bookmarkStart w:id="27" w:name="_Toc242584756"/>
      <w:bookmarkStart w:id="28" w:name="_Toc242697392"/>
      <w:bookmarkStart w:id="29" w:name="_Toc242697627"/>
      <w:bookmarkStart w:id="30" w:name="_Toc245187864"/>
    </w:p>
    <w:p w:rsidR="001F5AB7" w:rsidRPr="00337C97" w:rsidRDefault="001F5AB7" w:rsidP="008C1DDB">
      <w:pPr>
        <w:spacing w:line="360" w:lineRule="auto"/>
        <w:jc w:val="both"/>
        <w:outlineLvl w:val="1"/>
        <w:rPr>
          <w:rFonts w:asciiTheme="minorHAnsi" w:hAnsiTheme="minorHAnsi" w:cs="Times New Roman"/>
          <w:b/>
          <w:sz w:val="22"/>
          <w:szCs w:val="22"/>
          <w:lang w:val="en-US"/>
        </w:rPr>
      </w:pPr>
      <w:bookmarkStart w:id="31" w:name="_Toc269658908"/>
      <w:r w:rsidRPr="00337C97">
        <w:rPr>
          <w:rFonts w:asciiTheme="minorHAnsi" w:hAnsiTheme="minorHAnsi" w:cs="Times New Roman"/>
          <w:b/>
          <w:sz w:val="22"/>
          <w:szCs w:val="22"/>
          <w:lang w:val="en-US"/>
        </w:rPr>
        <w:t>1.</w:t>
      </w:r>
      <w:r w:rsidR="00022F0A" w:rsidRPr="00337C97">
        <w:rPr>
          <w:rFonts w:asciiTheme="minorHAnsi" w:hAnsiTheme="minorHAnsi" w:cs="Times New Roman"/>
          <w:b/>
          <w:sz w:val="22"/>
          <w:szCs w:val="22"/>
          <w:lang w:val="en-US"/>
        </w:rPr>
        <w:t>3</w:t>
      </w:r>
      <w:r w:rsidR="00D64201" w:rsidRPr="00337C97">
        <w:rPr>
          <w:rFonts w:asciiTheme="minorHAnsi" w:hAnsiTheme="minorHAnsi" w:cs="Times New Roman"/>
          <w:b/>
          <w:sz w:val="22"/>
          <w:szCs w:val="22"/>
          <w:lang w:val="en-US"/>
        </w:rPr>
        <w:tab/>
      </w:r>
      <w:bookmarkEnd w:id="25"/>
      <w:bookmarkEnd w:id="26"/>
      <w:r w:rsidR="00022F0A" w:rsidRPr="00337C97">
        <w:rPr>
          <w:rFonts w:asciiTheme="minorHAnsi" w:hAnsiTheme="minorHAnsi" w:cs="Times New Roman"/>
          <w:b/>
          <w:sz w:val="22"/>
          <w:szCs w:val="22"/>
          <w:lang w:val="en-US"/>
        </w:rPr>
        <w:t>Sub questions</w:t>
      </w:r>
      <w:bookmarkEnd w:id="27"/>
      <w:bookmarkEnd w:id="28"/>
      <w:bookmarkEnd w:id="29"/>
      <w:bookmarkEnd w:id="30"/>
      <w:bookmarkEnd w:id="31"/>
    </w:p>
    <w:p w:rsidR="001F5AB7" w:rsidRPr="00337C97" w:rsidRDefault="001F5AB7"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For the sake of clarity, the </w:t>
      </w:r>
      <w:r w:rsidR="00D64201" w:rsidRPr="00337C97">
        <w:rPr>
          <w:rFonts w:asciiTheme="minorHAnsi" w:hAnsiTheme="minorHAnsi" w:cs="Times New Roman"/>
          <w:sz w:val="22"/>
          <w:szCs w:val="22"/>
          <w:lang w:val="en-US"/>
        </w:rPr>
        <w:t xml:space="preserve">main </w:t>
      </w:r>
      <w:r w:rsidRPr="00337C97">
        <w:rPr>
          <w:rFonts w:asciiTheme="minorHAnsi" w:hAnsiTheme="minorHAnsi" w:cs="Times New Roman"/>
          <w:sz w:val="22"/>
          <w:szCs w:val="22"/>
          <w:lang w:val="en-US"/>
        </w:rPr>
        <w:t xml:space="preserve">research question is split up into </w:t>
      </w:r>
      <w:r w:rsidR="00D64201" w:rsidRPr="00337C97">
        <w:rPr>
          <w:rFonts w:asciiTheme="minorHAnsi" w:hAnsiTheme="minorHAnsi" w:cs="Times New Roman"/>
          <w:sz w:val="22"/>
          <w:szCs w:val="22"/>
          <w:lang w:val="en-US"/>
        </w:rPr>
        <w:t>five</w:t>
      </w:r>
      <w:r w:rsidR="00022F0A" w:rsidRPr="00337C97">
        <w:rPr>
          <w:rFonts w:asciiTheme="minorHAnsi" w:hAnsiTheme="minorHAnsi" w:cs="Times New Roman"/>
          <w:sz w:val="22"/>
          <w:szCs w:val="22"/>
          <w:lang w:val="en-US"/>
        </w:rPr>
        <w:t xml:space="preserve"> sub</w:t>
      </w:r>
      <w:r w:rsidR="00D64201"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questions, which will be discussed in the following chapters:</w:t>
      </w:r>
    </w:p>
    <w:p w:rsidR="001F5AB7" w:rsidRPr="00337C97" w:rsidRDefault="001F5AB7" w:rsidP="00950BBC">
      <w:pPr>
        <w:spacing w:line="360" w:lineRule="auto"/>
        <w:jc w:val="both"/>
        <w:rPr>
          <w:rFonts w:asciiTheme="minorHAnsi" w:hAnsiTheme="minorHAnsi" w:cs="Times New Roman"/>
          <w:sz w:val="22"/>
          <w:szCs w:val="22"/>
          <w:lang w:val="en-US"/>
        </w:rPr>
      </w:pPr>
    </w:p>
    <w:p w:rsidR="001F5AB7" w:rsidRPr="00337C97" w:rsidRDefault="001F5AB7" w:rsidP="008407EA">
      <w:pPr>
        <w:numPr>
          <w:ilvl w:val="0"/>
          <w:numId w:val="23"/>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What is the relevant law and regulation </w:t>
      </w:r>
      <w:r w:rsidR="00A171E2" w:rsidRPr="00337C97">
        <w:rPr>
          <w:rFonts w:asciiTheme="minorHAnsi" w:hAnsiTheme="minorHAnsi" w:cs="Times New Roman"/>
          <w:sz w:val="22"/>
          <w:szCs w:val="22"/>
          <w:lang w:val="en-US"/>
        </w:rPr>
        <w:t>regarding</w:t>
      </w:r>
      <w:r w:rsidRPr="00337C97">
        <w:rPr>
          <w:rFonts w:asciiTheme="minorHAnsi" w:hAnsiTheme="minorHAnsi" w:cs="Times New Roman"/>
          <w:sz w:val="22"/>
          <w:szCs w:val="22"/>
          <w:lang w:val="en-US"/>
        </w:rPr>
        <w:t xml:space="preserve"> risk disclosure</w:t>
      </w:r>
      <w:r w:rsidR="008D56D3" w:rsidRPr="00337C97">
        <w:rPr>
          <w:rFonts w:asciiTheme="minorHAnsi" w:hAnsiTheme="minorHAnsi" w:cs="Times New Roman"/>
          <w:sz w:val="22"/>
          <w:szCs w:val="22"/>
          <w:lang w:val="en-US"/>
        </w:rPr>
        <w:t>s</w:t>
      </w:r>
      <w:r w:rsidRPr="00337C97">
        <w:rPr>
          <w:rFonts w:asciiTheme="minorHAnsi" w:hAnsiTheme="minorHAnsi" w:cs="Times New Roman"/>
          <w:sz w:val="22"/>
          <w:szCs w:val="22"/>
          <w:lang w:val="en-US"/>
        </w:rPr>
        <w:t xml:space="preserve"> in the annual report?</w:t>
      </w:r>
      <w:r w:rsidR="00D64201" w:rsidRPr="00337C97">
        <w:rPr>
          <w:rFonts w:asciiTheme="minorHAnsi" w:hAnsiTheme="minorHAnsi" w:cs="Times New Roman"/>
          <w:sz w:val="22"/>
          <w:szCs w:val="22"/>
          <w:lang w:val="en-US"/>
        </w:rPr>
        <w:t xml:space="preserve"> </w:t>
      </w:r>
      <w:r w:rsidR="00234152" w:rsidRPr="00337C97">
        <w:rPr>
          <w:rFonts w:asciiTheme="minorHAnsi" w:hAnsiTheme="minorHAnsi" w:cs="Times New Roman"/>
          <w:sz w:val="22"/>
          <w:szCs w:val="22"/>
          <w:lang w:val="en-US"/>
        </w:rPr>
        <w:t>(chapter 2)</w:t>
      </w:r>
    </w:p>
    <w:p w:rsidR="008407EA" w:rsidRDefault="00555BC5" w:rsidP="008407EA">
      <w:pPr>
        <w:numPr>
          <w:ilvl w:val="0"/>
          <w:numId w:val="23"/>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Which</w:t>
      </w:r>
      <w:r w:rsidR="001F5AB7" w:rsidRPr="00337C97">
        <w:rPr>
          <w:rFonts w:asciiTheme="minorHAnsi" w:hAnsiTheme="minorHAnsi" w:cs="Times New Roman"/>
          <w:sz w:val="22"/>
          <w:szCs w:val="22"/>
          <w:lang w:val="en-US"/>
        </w:rPr>
        <w:t xml:space="preserve"> economic theories can explain the occurrence and extent of risk disclosure?</w:t>
      </w:r>
      <w:r w:rsidR="00234152" w:rsidRPr="00337C97">
        <w:rPr>
          <w:rFonts w:asciiTheme="minorHAnsi" w:hAnsiTheme="minorHAnsi" w:cs="Times New Roman"/>
          <w:sz w:val="22"/>
          <w:szCs w:val="22"/>
          <w:lang w:val="en-US"/>
        </w:rPr>
        <w:t xml:space="preserve"> </w:t>
      </w:r>
    </w:p>
    <w:p w:rsidR="00234152" w:rsidRPr="008407EA" w:rsidRDefault="00234152" w:rsidP="008407EA">
      <w:pPr>
        <w:spacing w:line="360" w:lineRule="auto"/>
        <w:ind w:firstLine="720"/>
        <w:jc w:val="both"/>
        <w:rPr>
          <w:rFonts w:asciiTheme="minorHAnsi" w:hAnsiTheme="minorHAnsi" w:cs="Times New Roman"/>
          <w:sz w:val="22"/>
          <w:szCs w:val="22"/>
          <w:lang w:val="en-US"/>
        </w:rPr>
      </w:pPr>
      <w:r w:rsidRPr="008407EA">
        <w:rPr>
          <w:rFonts w:asciiTheme="minorHAnsi" w:hAnsiTheme="minorHAnsi" w:cs="Times New Roman"/>
          <w:sz w:val="22"/>
          <w:szCs w:val="22"/>
          <w:lang w:val="en-US"/>
        </w:rPr>
        <w:t>(chapter 3)</w:t>
      </w:r>
    </w:p>
    <w:p w:rsidR="00234152" w:rsidRPr="00337C97" w:rsidRDefault="001F5AB7" w:rsidP="008407EA">
      <w:pPr>
        <w:numPr>
          <w:ilvl w:val="0"/>
          <w:numId w:val="23"/>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What are the results of prior risk disclosure research?</w:t>
      </w:r>
      <w:r w:rsidR="00234152" w:rsidRPr="00337C97">
        <w:rPr>
          <w:rFonts w:asciiTheme="minorHAnsi" w:hAnsiTheme="minorHAnsi" w:cs="Times New Roman"/>
          <w:sz w:val="22"/>
          <w:szCs w:val="22"/>
          <w:lang w:val="en-US"/>
        </w:rPr>
        <w:t xml:space="preserve"> (chapter 4)</w:t>
      </w:r>
    </w:p>
    <w:p w:rsidR="001F5AB7" w:rsidRPr="00337C97" w:rsidRDefault="001F5AB7" w:rsidP="008407EA">
      <w:pPr>
        <w:numPr>
          <w:ilvl w:val="0"/>
          <w:numId w:val="23"/>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What are the risk disclosure practices of European banks in 2007?</w:t>
      </w:r>
      <w:r w:rsidR="00234152" w:rsidRPr="00337C97">
        <w:rPr>
          <w:rFonts w:asciiTheme="minorHAnsi" w:hAnsiTheme="minorHAnsi" w:cs="Times New Roman"/>
          <w:sz w:val="22"/>
          <w:szCs w:val="22"/>
          <w:lang w:val="en-US"/>
        </w:rPr>
        <w:t xml:space="preserve"> (chapter 6)</w:t>
      </w:r>
    </w:p>
    <w:p w:rsidR="001F5AB7" w:rsidRPr="00337C97" w:rsidRDefault="001F5AB7" w:rsidP="008407EA">
      <w:pPr>
        <w:numPr>
          <w:ilvl w:val="0"/>
          <w:numId w:val="23"/>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What </w:t>
      </w:r>
      <w:r w:rsidR="00555BC5" w:rsidRPr="00337C97">
        <w:rPr>
          <w:rFonts w:asciiTheme="minorHAnsi" w:hAnsiTheme="minorHAnsi" w:cs="Times New Roman"/>
          <w:sz w:val="22"/>
          <w:szCs w:val="22"/>
          <w:lang w:val="en-US"/>
        </w:rPr>
        <w:t xml:space="preserve">firm-specific characteristics are related to the </w:t>
      </w:r>
      <w:r w:rsidR="006C6C46" w:rsidRPr="00337C97">
        <w:rPr>
          <w:rFonts w:asciiTheme="minorHAnsi" w:hAnsiTheme="minorHAnsi" w:cs="Times New Roman"/>
          <w:sz w:val="22"/>
          <w:szCs w:val="22"/>
          <w:lang w:val="en-US"/>
        </w:rPr>
        <w:t>extent</w:t>
      </w:r>
      <w:r w:rsidR="00555BC5" w:rsidRPr="00337C97">
        <w:rPr>
          <w:rFonts w:asciiTheme="minorHAnsi" w:hAnsiTheme="minorHAnsi" w:cs="Times New Roman"/>
          <w:sz w:val="22"/>
          <w:szCs w:val="22"/>
          <w:lang w:val="en-US"/>
        </w:rPr>
        <w:t xml:space="preserve"> of risk disclosures?</w:t>
      </w:r>
      <w:r w:rsidR="00234152" w:rsidRPr="00337C97">
        <w:rPr>
          <w:rFonts w:asciiTheme="minorHAnsi" w:hAnsiTheme="minorHAnsi" w:cs="Times New Roman"/>
          <w:sz w:val="22"/>
          <w:szCs w:val="22"/>
          <w:lang w:val="en-US"/>
        </w:rPr>
        <w:t xml:space="preserve"> (chapter 6)</w:t>
      </w:r>
    </w:p>
    <w:p w:rsidR="00022F0A" w:rsidRPr="00337C97" w:rsidRDefault="00022F0A" w:rsidP="008407EA">
      <w:pPr>
        <w:tabs>
          <w:tab w:val="left" w:pos="7530"/>
        </w:tabs>
        <w:spacing w:line="360" w:lineRule="auto"/>
        <w:jc w:val="both"/>
        <w:outlineLvl w:val="1"/>
        <w:rPr>
          <w:rFonts w:asciiTheme="minorHAnsi" w:hAnsiTheme="minorHAnsi" w:cs="Times New Roman"/>
          <w:b/>
          <w:sz w:val="22"/>
          <w:szCs w:val="22"/>
          <w:lang w:val="en-US"/>
        </w:rPr>
      </w:pPr>
      <w:bookmarkStart w:id="32" w:name="_Toc236565308"/>
      <w:bookmarkStart w:id="33" w:name="_Toc241658885"/>
    </w:p>
    <w:p w:rsidR="00844C44" w:rsidRPr="00337C97" w:rsidRDefault="00844C44" w:rsidP="004C42FC">
      <w:pPr>
        <w:spacing w:line="360" w:lineRule="auto"/>
        <w:jc w:val="both"/>
        <w:outlineLvl w:val="1"/>
        <w:rPr>
          <w:rFonts w:asciiTheme="minorHAnsi" w:hAnsiTheme="minorHAnsi" w:cs="Times New Roman"/>
          <w:b/>
          <w:sz w:val="22"/>
          <w:szCs w:val="22"/>
          <w:lang w:val="en-US"/>
        </w:rPr>
      </w:pPr>
      <w:bookmarkStart w:id="34" w:name="_Toc242584757"/>
      <w:bookmarkStart w:id="35" w:name="_Toc242697393"/>
      <w:bookmarkStart w:id="36" w:name="_Toc242697628"/>
      <w:bookmarkStart w:id="37" w:name="_Toc245187865"/>
      <w:bookmarkStart w:id="38" w:name="_Toc269658909"/>
      <w:r w:rsidRPr="00337C97">
        <w:rPr>
          <w:rFonts w:asciiTheme="minorHAnsi" w:hAnsiTheme="minorHAnsi" w:cs="Times New Roman"/>
          <w:b/>
          <w:sz w:val="22"/>
          <w:szCs w:val="22"/>
          <w:lang w:val="en-US"/>
        </w:rPr>
        <w:t>1.</w:t>
      </w:r>
      <w:r w:rsidR="00022F0A" w:rsidRPr="00337C97">
        <w:rPr>
          <w:rFonts w:asciiTheme="minorHAnsi" w:hAnsiTheme="minorHAnsi" w:cs="Times New Roman"/>
          <w:b/>
          <w:sz w:val="22"/>
          <w:szCs w:val="22"/>
          <w:lang w:val="en-US"/>
        </w:rPr>
        <w:t>4</w:t>
      </w:r>
      <w:r w:rsidR="00D64201" w:rsidRPr="00337C97">
        <w:rPr>
          <w:rFonts w:asciiTheme="minorHAnsi" w:hAnsiTheme="minorHAnsi" w:cs="Times New Roman"/>
          <w:b/>
          <w:sz w:val="22"/>
          <w:szCs w:val="22"/>
          <w:lang w:val="en-US"/>
        </w:rPr>
        <w:tab/>
      </w:r>
      <w:r w:rsidRPr="00337C97">
        <w:rPr>
          <w:rFonts w:asciiTheme="minorHAnsi" w:hAnsiTheme="minorHAnsi" w:cs="Times New Roman"/>
          <w:b/>
          <w:sz w:val="22"/>
          <w:szCs w:val="22"/>
          <w:lang w:val="en-US"/>
        </w:rPr>
        <w:t>Relevance</w:t>
      </w:r>
      <w:bookmarkEnd w:id="32"/>
      <w:bookmarkEnd w:id="33"/>
      <w:bookmarkEnd w:id="34"/>
      <w:bookmarkEnd w:id="35"/>
      <w:bookmarkEnd w:id="36"/>
      <w:bookmarkEnd w:id="37"/>
      <w:bookmarkEnd w:id="38"/>
    </w:p>
    <w:p w:rsidR="00E40006" w:rsidRPr="00337C97" w:rsidRDefault="006C46C7" w:rsidP="00E40006">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This thesis is embedded in the developing debate as to how the different users of annual reports can be provided with risk and risk management information that enables them to as</w:t>
      </w:r>
      <w:r w:rsidR="0055385B" w:rsidRPr="00337C97">
        <w:rPr>
          <w:rFonts w:asciiTheme="minorHAnsi" w:hAnsiTheme="minorHAnsi" w:cs="Times New Roman"/>
          <w:sz w:val="22"/>
          <w:szCs w:val="22"/>
          <w:lang w:val="en-US"/>
        </w:rPr>
        <w:t xml:space="preserve">sess the risk profile of firms. This debate about risk disclosure started with a Basel Committee paper in 1998, titled “Enhancing Bank Transparency.” It discussed the significance of disclosure and transparency within the context of market discipline and banking supervision. </w:t>
      </w:r>
      <w:r w:rsidR="00BA05B0" w:rsidRPr="00337C97">
        <w:rPr>
          <w:rFonts w:asciiTheme="minorHAnsi" w:hAnsiTheme="minorHAnsi" w:cs="Times New Roman"/>
          <w:sz w:val="22"/>
          <w:szCs w:val="22"/>
          <w:lang w:val="en-US"/>
        </w:rPr>
        <w:t>The Basel Committee on Banking Supervision (BCBS</w:t>
      </w:r>
      <w:r w:rsidR="00E008E2" w:rsidRPr="00337C97">
        <w:rPr>
          <w:rFonts w:asciiTheme="minorHAnsi" w:hAnsiTheme="minorHAnsi" w:cs="Times New Roman"/>
          <w:sz w:val="22"/>
          <w:szCs w:val="22"/>
          <w:lang w:val="en-US"/>
        </w:rPr>
        <w:t>, 1998, p. 15</w:t>
      </w:r>
      <w:r w:rsidR="00BA05B0" w:rsidRPr="00337C97">
        <w:rPr>
          <w:rFonts w:asciiTheme="minorHAnsi" w:hAnsiTheme="minorHAnsi" w:cs="Times New Roman"/>
          <w:sz w:val="22"/>
          <w:szCs w:val="22"/>
          <w:lang w:val="en-US"/>
        </w:rPr>
        <w:t xml:space="preserve">) defines bank transparency as </w:t>
      </w:r>
      <w:r w:rsidR="0055385B" w:rsidRPr="00337C97">
        <w:rPr>
          <w:rFonts w:asciiTheme="minorHAnsi" w:hAnsiTheme="minorHAnsi" w:cs="Times New Roman"/>
          <w:sz w:val="22"/>
          <w:szCs w:val="22"/>
          <w:lang w:val="en-US"/>
        </w:rPr>
        <w:t>“</w:t>
      </w:r>
      <w:r w:rsidR="0055385B" w:rsidRPr="00337C97">
        <w:rPr>
          <w:rFonts w:asciiTheme="minorHAnsi" w:hAnsiTheme="minorHAnsi" w:cs="Times New Roman"/>
          <w:i/>
          <w:sz w:val="22"/>
          <w:szCs w:val="22"/>
          <w:lang w:val="en-US"/>
        </w:rPr>
        <w:t xml:space="preserve">the public disclosure of reliable and timely information that enables users of that information to make an accurate assessment of a bank’s financial condition and performance, </w:t>
      </w:r>
      <w:r w:rsidR="00E008E2" w:rsidRPr="00337C97">
        <w:rPr>
          <w:rFonts w:asciiTheme="minorHAnsi" w:hAnsiTheme="minorHAnsi" w:cs="Times New Roman"/>
          <w:i/>
          <w:sz w:val="22"/>
          <w:szCs w:val="22"/>
          <w:lang w:val="en-US"/>
        </w:rPr>
        <w:t>its business activities and the risks related to those activities</w:t>
      </w:r>
      <w:r w:rsidR="00E008E2" w:rsidRPr="00337C97">
        <w:rPr>
          <w:rFonts w:asciiTheme="minorHAnsi" w:hAnsiTheme="minorHAnsi" w:cs="Times New Roman"/>
          <w:sz w:val="22"/>
          <w:szCs w:val="22"/>
          <w:lang w:val="en-US"/>
        </w:rPr>
        <w:t>”</w:t>
      </w:r>
      <w:r w:rsidR="0055385B" w:rsidRPr="00337C97">
        <w:rPr>
          <w:rFonts w:asciiTheme="minorHAnsi" w:hAnsiTheme="minorHAnsi" w:cs="Times New Roman"/>
          <w:sz w:val="22"/>
          <w:szCs w:val="22"/>
          <w:lang w:val="en-US"/>
        </w:rPr>
        <w:t>. Noteworthy, it is argued that banks are generally more opaque than nonfinancial firms (Levine, 2004</w:t>
      </w:r>
      <w:r w:rsidR="00697BB9" w:rsidRPr="00337C97">
        <w:rPr>
          <w:rFonts w:asciiTheme="minorHAnsi" w:hAnsiTheme="minorHAnsi" w:cs="Times New Roman"/>
          <w:sz w:val="22"/>
          <w:szCs w:val="22"/>
          <w:lang w:val="en-US"/>
        </w:rPr>
        <w:t>, p. 2</w:t>
      </w:r>
      <w:r w:rsidR="0055385B" w:rsidRPr="00337C97">
        <w:rPr>
          <w:rFonts w:asciiTheme="minorHAnsi" w:hAnsiTheme="minorHAnsi" w:cs="Times New Roman"/>
          <w:sz w:val="22"/>
          <w:szCs w:val="22"/>
          <w:lang w:val="en-US"/>
        </w:rPr>
        <w:t>). For example, Morgan (2002) found evidence that bond analysts disagree more over the bonds issued by ba</w:t>
      </w:r>
      <w:r w:rsidR="00E40006" w:rsidRPr="00337C97">
        <w:rPr>
          <w:rFonts w:asciiTheme="minorHAnsi" w:hAnsiTheme="minorHAnsi" w:cs="Times New Roman"/>
          <w:sz w:val="22"/>
          <w:szCs w:val="22"/>
          <w:lang w:val="en-US"/>
        </w:rPr>
        <w:t>nks than by nonfinancial firms.</w:t>
      </w:r>
    </w:p>
    <w:p w:rsidR="00E40006" w:rsidRPr="00337C97" w:rsidRDefault="00E40006" w:rsidP="00E40006">
      <w:pPr>
        <w:spacing w:line="360" w:lineRule="auto"/>
        <w:jc w:val="both"/>
        <w:rPr>
          <w:rFonts w:asciiTheme="minorHAnsi" w:hAnsiTheme="minorHAnsi" w:cs="Times New Roman"/>
          <w:sz w:val="22"/>
          <w:szCs w:val="22"/>
          <w:lang w:val="en-US"/>
        </w:rPr>
      </w:pPr>
    </w:p>
    <w:p w:rsidR="00C63EBF" w:rsidRPr="00337C97" w:rsidRDefault="0055385B" w:rsidP="00177A3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Despite the developing debate, </w:t>
      </w:r>
      <w:r w:rsidR="006C46C7" w:rsidRPr="00337C97">
        <w:rPr>
          <w:rFonts w:asciiTheme="minorHAnsi" w:hAnsiTheme="minorHAnsi" w:cs="Times New Roman"/>
          <w:sz w:val="22"/>
          <w:szCs w:val="22"/>
          <w:lang w:val="en-US"/>
        </w:rPr>
        <w:t xml:space="preserve">Linsley </w:t>
      </w:r>
      <w:r w:rsidR="002065A1" w:rsidRPr="00337C97">
        <w:rPr>
          <w:rFonts w:asciiTheme="minorHAnsi" w:hAnsiTheme="minorHAnsi" w:cs="Times New Roman"/>
          <w:sz w:val="22"/>
          <w:szCs w:val="22"/>
          <w:lang w:val="en-US"/>
        </w:rPr>
        <w:t xml:space="preserve">et al. </w:t>
      </w:r>
      <w:r w:rsidRPr="00337C97">
        <w:rPr>
          <w:rFonts w:asciiTheme="minorHAnsi" w:hAnsiTheme="minorHAnsi" w:cs="Times New Roman"/>
          <w:sz w:val="22"/>
          <w:szCs w:val="22"/>
          <w:lang w:val="en-US"/>
        </w:rPr>
        <w:t>noticed in 2006</w:t>
      </w:r>
      <w:r w:rsidR="006C46C7" w:rsidRPr="00337C97">
        <w:rPr>
          <w:rFonts w:asciiTheme="minorHAnsi" w:hAnsiTheme="minorHAnsi" w:cs="Times New Roman"/>
          <w:sz w:val="22"/>
          <w:szCs w:val="22"/>
          <w:lang w:val="en-US"/>
        </w:rPr>
        <w:t xml:space="preserve"> </w:t>
      </w:r>
      <w:r w:rsidR="00697BB9" w:rsidRPr="00337C97">
        <w:rPr>
          <w:rFonts w:asciiTheme="minorHAnsi" w:hAnsiTheme="minorHAnsi" w:cs="Times New Roman"/>
          <w:sz w:val="22"/>
          <w:szCs w:val="22"/>
          <w:lang w:val="en-US"/>
        </w:rPr>
        <w:t xml:space="preserve">(p. 268) </w:t>
      </w:r>
      <w:r w:rsidR="006C46C7" w:rsidRPr="00337C97">
        <w:rPr>
          <w:rFonts w:asciiTheme="minorHAnsi" w:hAnsiTheme="minorHAnsi" w:cs="Times New Roman"/>
          <w:sz w:val="22"/>
          <w:szCs w:val="22"/>
          <w:lang w:val="en-US"/>
        </w:rPr>
        <w:t xml:space="preserve">that there </w:t>
      </w:r>
      <w:r w:rsidR="000B738B" w:rsidRPr="00337C97">
        <w:rPr>
          <w:rFonts w:asciiTheme="minorHAnsi" w:hAnsiTheme="minorHAnsi" w:cs="Times New Roman"/>
          <w:sz w:val="22"/>
          <w:szCs w:val="22"/>
          <w:lang w:val="en-US"/>
        </w:rPr>
        <w:t>has</w:t>
      </w:r>
      <w:r w:rsidR="006C46C7" w:rsidRPr="00337C97">
        <w:rPr>
          <w:rFonts w:asciiTheme="minorHAnsi" w:hAnsiTheme="minorHAnsi" w:cs="Times New Roman"/>
          <w:sz w:val="22"/>
          <w:szCs w:val="22"/>
          <w:lang w:val="en-US"/>
        </w:rPr>
        <w:t xml:space="preserve"> been relatively little research into risk disclosure practices</w:t>
      </w:r>
      <w:r w:rsidR="00D64201"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D</w:t>
      </w:r>
      <w:r w:rsidR="006C46C7" w:rsidRPr="00337C97">
        <w:rPr>
          <w:rFonts w:asciiTheme="minorHAnsi" w:hAnsiTheme="minorHAnsi" w:cs="Times New Roman"/>
          <w:sz w:val="22"/>
          <w:szCs w:val="22"/>
          <w:lang w:val="en-US"/>
        </w:rPr>
        <w:t>iscussions concerning how risk reporting can be developed are often unsupported w</w:t>
      </w:r>
      <w:r w:rsidR="002065A1" w:rsidRPr="00337C97">
        <w:rPr>
          <w:rFonts w:asciiTheme="minorHAnsi" w:hAnsiTheme="minorHAnsi" w:cs="Times New Roman"/>
          <w:sz w:val="22"/>
          <w:szCs w:val="22"/>
          <w:lang w:val="en-US"/>
        </w:rPr>
        <w:t xml:space="preserve">ith empirical evidence. Linsley et al. </w:t>
      </w:r>
      <w:r w:rsidR="006C46C7" w:rsidRPr="00337C97">
        <w:rPr>
          <w:rFonts w:asciiTheme="minorHAnsi" w:hAnsiTheme="minorHAnsi" w:cs="Times New Roman"/>
          <w:sz w:val="22"/>
          <w:szCs w:val="22"/>
          <w:lang w:val="en-US"/>
        </w:rPr>
        <w:t xml:space="preserve">intend to initiate risk </w:t>
      </w:r>
      <w:r w:rsidR="006C46C7" w:rsidRPr="00337C97">
        <w:rPr>
          <w:rFonts w:asciiTheme="minorHAnsi" w:hAnsiTheme="minorHAnsi" w:cs="Times New Roman"/>
          <w:sz w:val="22"/>
          <w:szCs w:val="22"/>
          <w:lang w:val="en-US"/>
        </w:rPr>
        <w:lastRenderedPageBreak/>
        <w:t>discl</w:t>
      </w:r>
      <w:r w:rsidR="00C1716A" w:rsidRPr="00337C97">
        <w:rPr>
          <w:rFonts w:asciiTheme="minorHAnsi" w:hAnsiTheme="minorHAnsi" w:cs="Times New Roman"/>
          <w:sz w:val="22"/>
          <w:szCs w:val="22"/>
          <w:lang w:val="en-US"/>
        </w:rPr>
        <w:t xml:space="preserve">osure research, and therefore this study responds to this call. Furthermore, the majority of prior studies on </w:t>
      </w:r>
      <w:r w:rsidR="00BA05B0" w:rsidRPr="00337C97">
        <w:rPr>
          <w:rFonts w:asciiTheme="minorHAnsi" w:hAnsiTheme="minorHAnsi" w:cs="Times New Roman"/>
          <w:sz w:val="22"/>
          <w:szCs w:val="22"/>
          <w:lang w:val="en-US"/>
        </w:rPr>
        <w:t>(</w:t>
      </w:r>
      <w:r w:rsidR="00C1716A" w:rsidRPr="00337C97">
        <w:rPr>
          <w:rFonts w:asciiTheme="minorHAnsi" w:hAnsiTheme="minorHAnsi" w:cs="Times New Roman"/>
          <w:sz w:val="22"/>
          <w:szCs w:val="22"/>
          <w:lang w:val="en-US"/>
        </w:rPr>
        <w:t>risk</w:t>
      </w:r>
      <w:r w:rsidR="00BA05B0" w:rsidRPr="00337C97">
        <w:rPr>
          <w:rFonts w:asciiTheme="minorHAnsi" w:hAnsiTheme="minorHAnsi" w:cs="Times New Roman"/>
          <w:sz w:val="22"/>
          <w:szCs w:val="22"/>
          <w:lang w:val="en-US"/>
        </w:rPr>
        <w:t>)</w:t>
      </w:r>
      <w:r w:rsidR="00C1716A" w:rsidRPr="00337C97">
        <w:rPr>
          <w:rFonts w:asciiTheme="minorHAnsi" w:hAnsiTheme="minorHAnsi" w:cs="Times New Roman"/>
          <w:sz w:val="22"/>
          <w:szCs w:val="22"/>
          <w:lang w:val="en-US"/>
        </w:rPr>
        <w:t xml:space="preserve"> disclosure have examined annual reports of nonfinancial firms.</w:t>
      </w:r>
      <w:r w:rsidR="00D64201" w:rsidRPr="00337C97">
        <w:rPr>
          <w:rFonts w:asciiTheme="minorHAnsi" w:hAnsiTheme="minorHAnsi" w:cs="Times New Roman"/>
          <w:sz w:val="22"/>
          <w:szCs w:val="22"/>
          <w:lang w:val="en-US"/>
        </w:rPr>
        <w:t xml:space="preserve"> In addition, the current financial crisis led to an increased attention towards the banking sector and risk management in this sector. This further add</w:t>
      </w:r>
      <w:r w:rsidR="00BA05B0" w:rsidRPr="00337C97">
        <w:rPr>
          <w:rFonts w:asciiTheme="minorHAnsi" w:hAnsiTheme="minorHAnsi" w:cs="Times New Roman"/>
          <w:sz w:val="22"/>
          <w:szCs w:val="22"/>
          <w:lang w:val="en-US"/>
        </w:rPr>
        <w:t>s up relevance to this subject.</w:t>
      </w:r>
      <w:r w:rsidR="00C1716A" w:rsidRPr="00337C97">
        <w:rPr>
          <w:rFonts w:asciiTheme="minorHAnsi" w:hAnsiTheme="minorHAnsi" w:cs="Times New Roman"/>
          <w:sz w:val="22"/>
          <w:szCs w:val="22"/>
          <w:lang w:val="en-US"/>
        </w:rPr>
        <w:t xml:space="preserve"> Following Linsley </w:t>
      </w:r>
      <w:r w:rsidR="002065A1" w:rsidRPr="00337C97">
        <w:rPr>
          <w:rFonts w:asciiTheme="minorHAnsi" w:hAnsiTheme="minorHAnsi" w:cs="Times New Roman"/>
          <w:sz w:val="22"/>
          <w:szCs w:val="22"/>
          <w:lang w:val="en-US"/>
        </w:rPr>
        <w:t>et al. (</w:t>
      </w:r>
      <w:r w:rsidR="00C1716A" w:rsidRPr="00337C97">
        <w:rPr>
          <w:rFonts w:asciiTheme="minorHAnsi" w:hAnsiTheme="minorHAnsi" w:cs="Times New Roman"/>
          <w:sz w:val="22"/>
          <w:szCs w:val="22"/>
          <w:lang w:val="en-US"/>
        </w:rPr>
        <w:t>2006) this study</w:t>
      </w:r>
      <w:r w:rsidR="008D56D3" w:rsidRPr="00337C97">
        <w:rPr>
          <w:rFonts w:asciiTheme="minorHAnsi" w:hAnsiTheme="minorHAnsi" w:cs="Times New Roman"/>
          <w:sz w:val="22"/>
          <w:szCs w:val="22"/>
          <w:lang w:val="en-US"/>
        </w:rPr>
        <w:t xml:space="preserve"> therefore</w:t>
      </w:r>
      <w:r w:rsidR="00C1716A" w:rsidRPr="00337C97">
        <w:rPr>
          <w:rFonts w:asciiTheme="minorHAnsi" w:hAnsiTheme="minorHAnsi" w:cs="Times New Roman"/>
          <w:sz w:val="22"/>
          <w:szCs w:val="22"/>
          <w:lang w:val="en-US"/>
        </w:rPr>
        <w:t xml:space="preserve"> examines risk and risk management disclos</w:t>
      </w:r>
      <w:r w:rsidR="00BA05B0" w:rsidRPr="00337C97">
        <w:rPr>
          <w:rFonts w:asciiTheme="minorHAnsi" w:hAnsiTheme="minorHAnsi" w:cs="Times New Roman"/>
          <w:sz w:val="22"/>
          <w:szCs w:val="22"/>
          <w:lang w:val="en-US"/>
        </w:rPr>
        <w:t xml:space="preserve">ure practices </w:t>
      </w:r>
      <w:r w:rsidR="006C6C46" w:rsidRPr="00337C97">
        <w:rPr>
          <w:rFonts w:asciiTheme="minorHAnsi" w:hAnsiTheme="minorHAnsi" w:cs="Times New Roman"/>
          <w:sz w:val="22"/>
          <w:szCs w:val="22"/>
          <w:lang w:val="en-US"/>
        </w:rPr>
        <w:t>within the banking sector.</w:t>
      </w:r>
      <w:bookmarkStart w:id="39" w:name="_Toc236565309"/>
      <w:bookmarkStart w:id="40" w:name="_Toc241658886"/>
      <w:r w:rsidR="00386CC7" w:rsidRPr="00337C97">
        <w:rPr>
          <w:rFonts w:asciiTheme="minorHAnsi" w:hAnsiTheme="minorHAnsi" w:cs="Times New Roman"/>
          <w:sz w:val="22"/>
          <w:szCs w:val="22"/>
          <w:lang w:val="en-US"/>
        </w:rPr>
        <w:t xml:space="preserve"> </w:t>
      </w:r>
    </w:p>
    <w:p w:rsidR="003D3BB7" w:rsidRPr="00337C97" w:rsidRDefault="003D3BB7" w:rsidP="004C42FC">
      <w:pPr>
        <w:spacing w:line="360" w:lineRule="auto"/>
        <w:jc w:val="both"/>
        <w:outlineLvl w:val="1"/>
        <w:rPr>
          <w:rFonts w:asciiTheme="minorHAnsi" w:hAnsiTheme="minorHAnsi" w:cs="Times New Roman"/>
          <w:sz w:val="22"/>
          <w:szCs w:val="22"/>
          <w:lang w:val="en-US"/>
        </w:rPr>
      </w:pPr>
      <w:bookmarkStart w:id="41" w:name="_Toc242584758"/>
      <w:bookmarkStart w:id="42" w:name="_Toc242697394"/>
      <w:bookmarkStart w:id="43" w:name="_Toc242697629"/>
      <w:bookmarkStart w:id="44" w:name="_Toc245187866"/>
    </w:p>
    <w:p w:rsidR="00BD277D" w:rsidRPr="00337C97" w:rsidRDefault="00BD277D" w:rsidP="004C42FC">
      <w:pPr>
        <w:spacing w:line="360" w:lineRule="auto"/>
        <w:jc w:val="both"/>
        <w:outlineLvl w:val="1"/>
        <w:rPr>
          <w:rFonts w:asciiTheme="minorHAnsi" w:hAnsiTheme="minorHAnsi" w:cs="Times New Roman"/>
          <w:b/>
          <w:sz w:val="22"/>
          <w:szCs w:val="22"/>
          <w:lang w:val="en-US"/>
        </w:rPr>
      </w:pPr>
      <w:bookmarkStart w:id="45" w:name="_Toc269658910"/>
      <w:r w:rsidRPr="00337C97">
        <w:rPr>
          <w:rFonts w:asciiTheme="minorHAnsi" w:hAnsiTheme="minorHAnsi" w:cs="Times New Roman"/>
          <w:b/>
          <w:sz w:val="22"/>
          <w:szCs w:val="22"/>
          <w:lang w:val="en-US"/>
        </w:rPr>
        <w:t>1.</w:t>
      </w:r>
      <w:r w:rsidR="00022F0A" w:rsidRPr="00337C97">
        <w:rPr>
          <w:rFonts w:asciiTheme="minorHAnsi" w:hAnsiTheme="minorHAnsi" w:cs="Times New Roman"/>
          <w:b/>
          <w:sz w:val="22"/>
          <w:szCs w:val="22"/>
          <w:lang w:val="en-US"/>
        </w:rPr>
        <w:t>5</w:t>
      </w:r>
      <w:r w:rsidR="00D64201" w:rsidRPr="00337C97">
        <w:rPr>
          <w:rFonts w:asciiTheme="minorHAnsi" w:hAnsiTheme="minorHAnsi" w:cs="Times New Roman"/>
          <w:b/>
          <w:sz w:val="22"/>
          <w:szCs w:val="22"/>
          <w:lang w:val="en-US"/>
        </w:rPr>
        <w:tab/>
      </w:r>
      <w:r w:rsidRPr="00337C97">
        <w:rPr>
          <w:rFonts w:asciiTheme="minorHAnsi" w:hAnsiTheme="minorHAnsi" w:cs="Times New Roman"/>
          <w:b/>
          <w:sz w:val="22"/>
          <w:szCs w:val="22"/>
          <w:lang w:val="en-US"/>
        </w:rPr>
        <w:t>Structure</w:t>
      </w:r>
      <w:bookmarkEnd w:id="39"/>
      <w:bookmarkEnd w:id="40"/>
      <w:bookmarkEnd w:id="41"/>
      <w:bookmarkEnd w:id="42"/>
      <w:bookmarkEnd w:id="43"/>
      <w:bookmarkEnd w:id="44"/>
      <w:bookmarkEnd w:id="45"/>
    </w:p>
    <w:p w:rsidR="006E7B7C" w:rsidRPr="00337C97" w:rsidRDefault="006E7B7C"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structure of this thesis is as follows. </w:t>
      </w:r>
      <w:r w:rsidR="00553414" w:rsidRPr="00337C97">
        <w:rPr>
          <w:rFonts w:asciiTheme="minorHAnsi" w:hAnsiTheme="minorHAnsi" w:cs="Times New Roman"/>
          <w:sz w:val="22"/>
          <w:szCs w:val="22"/>
          <w:lang w:val="en-US"/>
        </w:rPr>
        <w:t xml:space="preserve">Chapter 2 elaborates on the institutional framework in which risk disclosure is embedded. Relevant law and regulation </w:t>
      </w:r>
      <w:r w:rsidR="00D64201" w:rsidRPr="00337C97">
        <w:rPr>
          <w:rFonts w:asciiTheme="minorHAnsi" w:hAnsiTheme="minorHAnsi" w:cs="Times New Roman"/>
          <w:sz w:val="22"/>
          <w:szCs w:val="22"/>
          <w:lang w:val="en-US"/>
        </w:rPr>
        <w:t xml:space="preserve">towards risk disclosure </w:t>
      </w:r>
      <w:r w:rsidR="00553414" w:rsidRPr="00337C97">
        <w:rPr>
          <w:rFonts w:asciiTheme="minorHAnsi" w:hAnsiTheme="minorHAnsi" w:cs="Times New Roman"/>
          <w:sz w:val="22"/>
          <w:szCs w:val="22"/>
          <w:lang w:val="en-US"/>
        </w:rPr>
        <w:t xml:space="preserve">will be </w:t>
      </w:r>
      <w:r w:rsidR="00B40B90" w:rsidRPr="00337C97">
        <w:rPr>
          <w:rFonts w:asciiTheme="minorHAnsi" w:hAnsiTheme="minorHAnsi" w:cs="Times New Roman"/>
          <w:sz w:val="22"/>
          <w:szCs w:val="22"/>
          <w:lang w:val="en-US"/>
        </w:rPr>
        <w:t>discussed</w:t>
      </w:r>
      <w:r w:rsidR="00553414" w:rsidRPr="00337C97">
        <w:rPr>
          <w:rFonts w:asciiTheme="minorHAnsi" w:hAnsiTheme="minorHAnsi" w:cs="Times New Roman"/>
          <w:sz w:val="22"/>
          <w:szCs w:val="22"/>
          <w:lang w:val="en-US"/>
        </w:rPr>
        <w:t xml:space="preserve">. In chapter 3 </w:t>
      </w:r>
      <w:r w:rsidR="003A39EF" w:rsidRPr="00337C97">
        <w:rPr>
          <w:rFonts w:asciiTheme="minorHAnsi" w:hAnsiTheme="minorHAnsi" w:cs="Times New Roman"/>
          <w:sz w:val="22"/>
          <w:szCs w:val="22"/>
          <w:lang w:val="en-US"/>
        </w:rPr>
        <w:t>t</w:t>
      </w:r>
      <w:r w:rsidR="00553414" w:rsidRPr="00337C97">
        <w:rPr>
          <w:rFonts w:asciiTheme="minorHAnsi" w:hAnsiTheme="minorHAnsi" w:cs="Times New Roman"/>
          <w:sz w:val="22"/>
          <w:szCs w:val="22"/>
          <w:lang w:val="en-US"/>
        </w:rPr>
        <w:t>he theoretical framework</w:t>
      </w:r>
      <w:r w:rsidR="003A39EF" w:rsidRPr="00337C97">
        <w:rPr>
          <w:rFonts w:asciiTheme="minorHAnsi" w:hAnsiTheme="minorHAnsi" w:cs="Times New Roman"/>
          <w:sz w:val="22"/>
          <w:szCs w:val="22"/>
          <w:lang w:val="en-US"/>
        </w:rPr>
        <w:t xml:space="preserve"> is explained</w:t>
      </w:r>
      <w:r w:rsidR="00553414" w:rsidRPr="00337C97">
        <w:rPr>
          <w:rFonts w:asciiTheme="minorHAnsi" w:hAnsiTheme="minorHAnsi" w:cs="Times New Roman"/>
          <w:sz w:val="22"/>
          <w:szCs w:val="22"/>
          <w:lang w:val="en-US"/>
        </w:rPr>
        <w:t xml:space="preserve">, </w:t>
      </w:r>
      <w:r w:rsidR="00917060" w:rsidRPr="00337C97">
        <w:rPr>
          <w:rFonts w:asciiTheme="minorHAnsi" w:hAnsiTheme="minorHAnsi" w:cs="Times New Roman"/>
          <w:sz w:val="22"/>
          <w:szCs w:val="22"/>
          <w:lang w:val="en-US"/>
        </w:rPr>
        <w:t>entailing</w:t>
      </w:r>
      <w:r w:rsidR="00553414" w:rsidRPr="00337C97">
        <w:rPr>
          <w:rFonts w:asciiTheme="minorHAnsi" w:hAnsiTheme="minorHAnsi" w:cs="Times New Roman"/>
          <w:sz w:val="22"/>
          <w:szCs w:val="22"/>
          <w:lang w:val="en-US"/>
        </w:rPr>
        <w:t xml:space="preserve"> relevant economic theories and approaches applied to the research subject. </w:t>
      </w:r>
      <w:r w:rsidR="003D3BB7" w:rsidRPr="00337C97">
        <w:rPr>
          <w:rFonts w:asciiTheme="minorHAnsi" w:hAnsiTheme="minorHAnsi" w:cs="Times New Roman"/>
          <w:sz w:val="22"/>
          <w:szCs w:val="22"/>
          <w:lang w:val="en-US"/>
        </w:rPr>
        <w:t xml:space="preserve">In addition, this chapter covers the concepts of risk and risk management and describes the recent developments regarding risk disclosure. </w:t>
      </w:r>
      <w:r w:rsidR="00553414" w:rsidRPr="00337C97">
        <w:rPr>
          <w:rFonts w:asciiTheme="minorHAnsi" w:hAnsiTheme="minorHAnsi" w:cs="Times New Roman"/>
          <w:sz w:val="22"/>
          <w:szCs w:val="22"/>
          <w:lang w:val="en-US"/>
        </w:rPr>
        <w:t xml:space="preserve">Chapter 4 enumerates prior research on risk disclosures and related aspects. Chapter 5 presents the research design </w:t>
      </w:r>
      <w:r w:rsidR="003D3BB7" w:rsidRPr="00337C97">
        <w:rPr>
          <w:rFonts w:asciiTheme="minorHAnsi" w:hAnsiTheme="minorHAnsi" w:cs="Times New Roman"/>
          <w:sz w:val="22"/>
          <w:szCs w:val="22"/>
          <w:lang w:val="en-US"/>
        </w:rPr>
        <w:t xml:space="preserve">for the </w:t>
      </w:r>
      <w:r w:rsidR="00553414" w:rsidRPr="00337C97">
        <w:rPr>
          <w:rFonts w:asciiTheme="minorHAnsi" w:hAnsiTheme="minorHAnsi" w:cs="Times New Roman"/>
          <w:sz w:val="22"/>
          <w:szCs w:val="22"/>
          <w:lang w:val="en-US"/>
        </w:rPr>
        <w:t>empirical study</w:t>
      </w:r>
      <w:r w:rsidR="003D3BB7" w:rsidRPr="00337C97">
        <w:rPr>
          <w:rFonts w:asciiTheme="minorHAnsi" w:hAnsiTheme="minorHAnsi" w:cs="Times New Roman"/>
          <w:sz w:val="22"/>
          <w:szCs w:val="22"/>
          <w:lang w:val="en-US"/>
        </w:rPr>
        <w:t xml:space="preserve">. In the first part hypotheses </w:t>
      </w:r>
      <w:r w:rsidR="007C216F" w:rsidRPr="00337C97">
        <w:rPr>
          <w:rFonts w:asciiTheme="minorHAnsi" w:hAnsiTheme="minorHAnsi" w:cs="Times New Roman"/>
          <w:sz w:val="22"/>
          <w:szCs w:val="22"/>
          <w:lang w:val="en-US"/>
        </w:rPr>
        <w:t xml:space="preserve">will be </w:t>
      </w:r>
      <w:r w:rsidR="003D3BB7" w:rsidRPr="00337C97">
        <w:rPr>
          <w:rFonts w:asciiTheme="minorHAnsi" w:hAnsiTheme="minorHAnsi" w:cs="Times New Roman"/>
          <w:sz w:val="22"/>
          <w:szCs w:val="22"/>
          <w:lang w:val="en-US"/>
        </w:rPr>
        <w:t>developed</w:t>
      </w:r>
      <w:r w:rsidR="007C216F" w:rsidRPr="00337C97">
        <w:rPr>
          <w:rFonts w:asciiTheme="minorHAnsi" w:hAnsiTheme="minorHAnsi" w:cs="Times New Roman"/>
          <w:sz w:val="22"/>
          <w:szCs w:val="22"/>
          <w:lang w:val="en-US"/>
        </w:rPr>
        <w:t xml:space="preserve">. </w:t>
      </w:r>
      <w:r w:rsidR="00553414" w:rsidRPr="00337C97">
        <w:rPr>
          <w:rFonts w:asciiTheme="minorHAnsi" w:hAnsiTheme="minorHAnsi" w:cs="Times New Roman"/>
          <w:sz w:val="22"/>
          <w:szCs w:val="22"/>
          <w:lang w:val="en-US"/>
        </w:rPr>
        <w:t xml:space="preserve">Furthermore, it </w:t>
      </w:r>
      <w:r w:rsidR="007C216F" w:rsidRPr="00337C97">
        <w:rPr>
          <w:rFonts w:asciiTheme="minorHAnsi" w:hAnsiTheme="minorHAnsi" w:cs="Times New Roman"/>
          <w:sz w:val="22"/>
          <w:szCs w:val="22"/>
          <w:lang w:val="en-US"/>
        </w:rPr>
        <w:t>explains</w:t>
      </w:r>
      <w:r w:rsidR="00553414" w:rsidRPr="00337C97">
        <w:rPr>
          <w:rFonts w:asciiTheme="minorHAnsi" w:hAnsiTheme="minorHAnsi" w:cs="Times New Roman"/>
          <w:sz w:val="22"/>
          <w:szCs w:val="22"/>
          <w:lang w:val="en-US"/>
        </w:rPr>
        <w:t xml:space="preserve"> </w:t>
      </w:r>
      <w:r w:rsidR="007C216F" w:rsidRPr="00337C97">
        <w:rPr>
          <w:rFonts w:asciiTheme="minorHAnsi" w:hAnsiTheme="minorHAnsi" w:cs="Times New Roman"/>
          <w:sz w:val="22"/>
          <w:szCs w:val="22"/>
          <w:lang w:val="en-US"/>
        </w:rPr>
        <w:t xml:space="preserve">the methodology and develops </w:t>
      </w:r>
      <w:r w:rsidR="00553414" w:rsidRPr="00337C97">
        <w:rPr>
          <w:rFonts w:asciiTheme="minorHAnsi" w:hAnsiTheme="minorHAnsi" w:cs="Times New Roman"/>
          <w:sz w:val="22"/>
          <w:szCs w:val="22"/>
          <w:lang w:val="en-US"/>
        </w:rPr>
        <w:t xml:space="preserve">a conceptual model for </w:t>
      </w:r>
      <w:r w:rsidR="007C216F" w:rsidRPr="00337C97">
        <w:rPr>
          <w:rFonts w:asciiTheme="minorHAnsi" w:hAnsiTheme="minorHAnsi" w:cs="Times New Roman"/>
          <w:sz w:val="22"/>
          <w:szCs w:val="22"/>
          <w:lang w:val="en-US"/>
        </w:rPr>
        <w:t>the regression analyses.</w:t>
      </w:r>
      <w:r w:rsidR="00553414" w:rsidRPr="00337C97">
        <w:rPr>
          <w:rFonts w:asciiTheme="minorHAnsi" w:hAnsiTheme="minorHAnsi" w:cs="Times New Roman"/>
          <w:sz w:val="22"/>
          <w:szCs w:val="22"/>
          <w:lang w:val="en-US"/>
        </w:rPr>
        <w:t xml:space="preserve"> The results of the empirical study will be presented in chapter 6 as well as an interpretation of these results. The thesis ends with a conclusion</w:t>
      </w:r>
      <w:r w:rsidR="00142893" w:rsidRPr="00337C97">
        <w:rPr>
          <w:rFonts w:asciiTheme="minorHAnsi" w:hAnsiTheme="minorHAnsi" w:cs="Times New Roman"/>
          <w:sz w:val="22"/>
          <w:szCs w:val="22"/>
          <w:lang w:val="en-US"/>
        </w:rPr>
        <w:t>, mentions limitations of this study</w:t>
      </w:r>
      <w:r w:rsidR="00553414" w:rsidRPr="00337C97">
        <w:rPr>
          <w:rFonts w:asciiTheme="minorHAnsi" w:hAnsiTheme="minorHAnsi" w:cs="Times New Roman"/>
          <w:sz w:val="22"/>
          <w:szCs w:val="22"/>
          <w:lang w:val="en-US"/>
        </w:rPr>
        <w:t xml:space="preserve"> and provides recommendations fo</w:t>
      </w:r>
      <w:r w:rsidR="00787B22" w:rsidRPr="00337C97">
        <w:rPr>
          <w:rFonts w:asciiTheme="minorHAnsi" w:hAnsiTheme="minorHAnsi" w:cs="Times New Roman"/>
          <w:sz w:val="22"/>
          <w:szCs w:val="22"/>
          <w:lang w:val="en-US"/>
        </w:rPr>
        <w:t>r future research in chapter 7.</w:t>
      </w:r>
    </w:p>
    <w:p w:rsidR="00022F0A" w:rsidRPr="00337C97" w:rsidRDefault="00022F0A" w:rsidP="00950BBC">
      <w:pPr>
        <w:spacing w:line="360" w:lineRule="auto"/>
        <w:jc w:val="both"/>
        <w:rPr>
          <w:rFonts w:asciiTheme="minorHAnsi" w:hAnsiTheme="minorHAnsi" w:cs="Times New Roman"/>
          <w:sz w:val="22"/>
          <w:szCs w:val="22"/>
          <w:lang w:val="en-US"/>
        </w:rPr>
      </w:pPr>
    </w:p>
    <w:p w:rsidR="00614EA3" w:rsidRPr="00337C97" w:rsidRDefault="00022F0A" w:rsidP="008C1DDB">
      <w:pPr>
        <w:spacing w:line="360" w:lineRule="auto"/>
        <w:jc w:val="both"/>
        <w:outlineLvl w:val="0"/>
        <w:rPr>
          <w:rFonts w:asciiTheme="minorHAnsi" w:hAnsiTheme="minorHAnsi" w:cs="Times New Roman"/>
          <w:b/>
          <w:sz w:val="28"/>
          <w:szCs w:val="22"/>
          <w:lang w:val="en-US"/>
        </w:rPr>
      </w:pPr>
      <w:bookmarkStart w:id="46" w:name="_Toc236565310"/>
      <w:bookmarkStart w:id="47" w:name="_Toc241658887"/>
      <w:r w:rsidRPr="00337C97">
        <w:rPr>
          <w:rFonts w:asciiTheme="minorHAnsi" w:hAnsiTheme="minorHAnsi" w:cs="Times New Roman"/>
          <w:b/>
          <w:sz w:val="22"/>
          <w:szCs w:val="22"/>
          <w:lang w:val="en-US"/>
        </w:rPr>
        <w:br w:type="page"/>
      </w:r>
      <w:bookmarkStart w:id="48" w:name="_Toc242584759"/>
      <w:bookmarkStart w:id="49" w:name="_Toc242697395"/>
      <w:bookmarkStart w:id="50" w:name="_Toc242697630"/>
      <w:bookmarkStart w:id="51" w:name="_Toc245187867"/>
      <w:bookmarkStart w:id="52" w:name="_Toc269658911"/>
      <w:r w:rsidR="00A171E2" w:rsidRPr="00337C97">
        <w:rPr>
          <w:rFonts w:asciiTheme="minorHAnsi" w:hAnsiTheme="minorHAnsi" w:cs="Times New Roman"/>
          <w:b/>
          <w:sz w:val="28"/>
          <w:szCs w:val="22"/>
          <w:lang w:val="en-US"/>
        </w:rPr>
        <w:lastRenderedPageBreak/>
        <w:t>2</w:t>
      </w:r>
      <w:r w:rsidR="00B41B2E" w:rsidRPr="00337C97">
        <w:rPr>
          <w:rFonts w:asciiTheme="minorHAnsi" w:hAnsiTheme="minorHAnsi" w:cs="Times New Roman"/>
          <w:b/>
          <w:sz w:val="28"/>
          <w:szCs w:val="22"/>
          <w:lang w:val="en-US"/>
        </w:rPr>
        <w:t xml:space="preserve"> </w:t>
      </w:r>
      <w:r w:rsidR="00D64201" w:rsidRPr="00337C97">
        <w:rPr>
          <w:rFonts w:asciiTheme="minorHAnsi" w:hAnsiTheme="minorHAnsi" w:cs="Times New Roman"/>
          <w:b/>
          <w:sz w:val="28"/>
          <w:szCs w:val="22"/>
          <w:lang w:val="en-US"/>
        </w:rPr>
        <w:tab/>
      </w:r>
      <w:r w:rsidR="00614EA3" w:rsidRPr="00337C97">
        <w:rPr>
          <w:rFonts w:asciiTheme="minorHAnsi" w:hAnsiTheme="minorHAnsi" w:cs="Times New Roman"/>
          <w:b/>
          <w:sz w:val="28"/>
          <w:szCs w:val="22"/>
          <w:lang w:val="en-US"/>
        </w:rPr>
        <w:t xml:space="preserve">Institutional </w:t>
      </w:r>
      <w:r w:rsidR="002B2F95" w:rsidRPr="00337C97">
        <w:rPr>
          <w:rFonts w:asciiTheme="minorHAnsi" w:hAnsiTheme="minorHAnsi" w:cs="Times New Roman"/>
          <w:b/>
          <w:sz w:val="28"/>
          <w:szCs w:val="22"/>
          <w:lang w:val="en-US"/>
        </w:rPr>
        <w:t>Framewor</w:t>
      </w:r>
      <w:r w:rsidR="00A171E2" w:rsidRPr="00337C97">
        <w:rPr>
          <w:rFonts w:asciiTheme="minorHAnsi" w:hAnsiTheme="minorHAnsi" w:cs="Times New Roman"/>
          <w:b/>
          <w:sz w:val="28"/>
          <w:szCs w:val="22"/>
          <w:lang w:val="en-US"/>
        </w:rPr>
        <w:t>k</w:t>
      </w:r>
      <w:bookmarkEnd w:id="46"/>
      <w:bookmarkEnd w:id="47"/>
      <w:bookmarkEnd w:id="48"/>
      <w:bookmarkEnd w:id="49"/>
      <w:bookmarkEnd w:id="50"/>
      <w:bookmarkEnd w:id="51"/>
      <w:bookmarkEnd w:id="52"/>
    </w:p>
    <w:p w:rsidR="00A171E2" w:rsidRPr="00337C97" w:rsidRDefault="00A171E2" w:rsidP="00A171E2">
      <w:pPr>
        <w:spacing w:line="360" w:lineRule="auto"/>
        <w:jc w:val="both"/>
        <w:rPr>
          <w:rFonts w:asciiTheme="minorHAnsi" w:hAnsiTheme="minorHAnsi" w:cs="Times New Roman"/>
          <w:sz w:val="22"/>
          <w:szCs w:val="22"/>
          <w:lang w:val="en-US"/>
        </w:rPr>
      </w:pPr>
    </w:p>
    <w:p w:rsidR="00A171E2" w:rsidRPr="00337C97" w:rsidRDefault="00A171E2" w:rsidP="00AF177B">
      <w:pPr>
        <w:spacing w:line="360" w:lineRule="auto"/>
        <w:jc w:val="both"/>
        <w:outlineLvl w:val="1"/>
        <w:rPr>
          <w:rFonts w:asciiTheme="minorHAnsi" w:hAnsiTheme="minorHAnsi" w:cs="Times New Roman"/>
          <w:b/>
          <w:sz w:val="22"/>
          <w:szCs w:val="22"/>
          <w:lang w:val="en-US"/>
        </w:rPr>
      </w:pPr>
      <w:bookmarkStart w:id="53" w:name="_Toc236565311"/>
      <w:bookmarkStart w:id="54" w:name="_Toc241658888"/>
      <w:bookmarkStart w:id="55" w:name="_Toc242584760"/>
      <w:bookmarkStart w:id="56" w:name="_Toc242697396"/>
      <w:bookmarkStart w:id="57" w:name="_Toc242697631"/>
      <w:bookmarkStart w:id="58" w:name="_Toc245187868"/>
      <w:bookmarkStart w:id="59" w:name="_Toc269658912"/>
      <w:r w:rsidRPr="00337C97">
        <w:rPr>
          <w:rFonts w:asciiTheme="minorHAnsi" w:hAnsiTheme="minorHAnsi" w:cs="Times New Roman"/>
          <w:b/>
          <w:sz w:val="22"/>
          <w:szCs w:val="22"/>
          <w:lang w:val="en-US"/>
        </w:rPr>
        <w:t>2.1</w:t>
      </w:r>
      <w:r w:rsidRPr="00337C97">
        <w:rPr>
          <w:rFonts w:asciiTheme="minorHAnsi" w:hAnsiTheme="minorHAnsi" w:cs="Times New Roman"/>
          <w:b/>
          <w:sz w:val="22"/>
          <w:szCs w:val="22"/>
          <w:lang w:val="en-US"/>
        </w:rPr>
        <w:tab/>
        <w:t>Introduction</w:t>
      </w:r>
      <w:bookmarkEnd w:id="53"/>
      <w:bookmarkEnd w:id="54"/>
      <w:bookmarkEnd w:id="55"/>
      <w:bookmarkEnd w:id="56"/>
      <w:bookmarkEnd w:id="57"/>
      <w:bookmarkEnd w:id="58"/>
      <w:bookmarkEnd w:id="59"/>
    </w:p>
    <w:p w:rsidR="00A171E2" w:rsidRPr="00337C97" w:rsidRDefault="00614EA3"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chapter </w:t>
      </w:r>
      <w:r w:rsidR="000100D2" w:rsidRPr="00337C97">
        <w:rPr>
          <w:rFonts w:asciiTheme="minorHAnsi" w:hAnsiTheme="minorHAnsi" w:cs="Times New Roman"/>
          <w:sz w:val="22"/>
          <w:szCs w:val="22"/>
          <w:lang w:val="en-US"/>
        </w:rPr>
        <w:t xml:space="preserve">elaborates </w:t>
      </w:r>
      <w:r w:rsidR="002B2F95" w:rsidRPr="00337C97">
        <w:rPr>
          <w:rFonts w:asciiTheme="minorHAnsi" w:hAnsiTheme="minorHAnsi" w:cs="Times New Roman"/>
          <w:sz w:val="22"/>
          <w:szCs w:val="22"/>
          <w:lang w:val="en-US"/>
        </w:rPr>
        <w:t>on the inst</w:t>
      </w:r>
      <w:r w:rsidR="00C2725B" w:rsidRPr="00337C97">
        <w:rPr>
          <w:rFonts w:asciiTheme="minorHAnsi" w:hAnsiTheme="minorHAnsi" w:cs="Times New Roman"/>
          <w:sz w:val="22"/>
          <w:szCs w:val="22"/>
          <w:lang w:val="en-US"/>
        </w:rPr>
        <w:t>itu</w:t>
      </w:r>
      <w:r w:rsidR="002B2F95" w:rsidRPr="00337C97">
        <w:rPr>
          <w:rFonts w:asciiTheme="minorHAnsi" w:hAnsiTheme="minorHAnsi" w:cs="Times New Roman"/>
          <w:sz w:val="22"/>
          <w:szCs w:val="22"/>
          <w:lang w:val="en-US"/>
        </w:rPr>
        <w:t xml:space="preserve">tional framework in which risk </w:t>
      </w:r>
      <w:r w:rsidR="00A171E2" w:rsidRPr="00337C97">
        <w:rPr>
          <w:rFonts w:asciiTheme="minorHAnsi" w:hAnsiTheme="minorHAnsi" w:cs="Times New Roman"/>
          <w:sz w:val="22"/>
          <w:szCs w:val="22"/>
          <w:lang w:val="en-US"/>
        </w:rPr>
        <w:t>disclosure is embedded. The following question will be answered:</w:t>
      </w:r>
    </w:p>
    <w:p w:rsidR="00D6519A" w:rsidRPr="00337C97" w:rsidRDefault="00D6519A" w:rsidP="00950BBC">
      <w:pPr>
        <w:spacing w:line="360" w:lineRule="auto"/>
        <w:jc w:val="both"/>
        <w:rPr>
          <w:rFonts w:asciiTheme="minorHAnsi" w:hAnsiTheme="minorHAnsi" w:cs="Times New Roman"/>
          <w:sz w:val="22"/>
          <w:szCs w:val="22"/>
          <w:lang w:val="en-US"/>
        </w:rPr>
      </w:pPr>
    </w:p>
    <w:p w:rsidR="00A171E2" w:rsidRPr="00337C97" w:rsidRDefault="00A171E2" w:rsidP="00145A44">
      <w:pPr>
        <w:spacing w:line="360" w:lineRule="auto"/>
        <w:ind w:firstLine="720"/>
        <w:jc w:val="both"/>
        <w:rPr>
          <w:rFonts w:asciiTheme="minorHAnsi" w:hAnsiTheme="minorHAnsi" w:cs="Times New Roman"/>
          <w:i/>
          <w:sz w:val="22"/>
          <w:szCs w:val="22"/>
          <w:lang w:val="en-US"/>
        </w:rPr>
      </w:pPr>
      <w:r w:rsidRPr="00337C97">
        <w:rPr>
          <w:rFonts w:asciiTheme="minorHAnsi" w:hAnsiTheme="minorHAnsi" w:cs="Times New Roman"/>
          <w:i/>
          <w:sz w:val="22"/>
          <w:szCs w:val="22"/>
          <w:lang w:val="en-US"/>
        </w:rPr>
        <w:t>What is the relevant law and regulation regarding risk disclosure in the an</w:t>
      </w:r>
      <w:r w:rsidR="00787B22" w:rsidRPr="00337C97">
        <w:rPr>
          <w:rFonts w:asciiTheme="minorHAnsi" w:hAnsiTheme="minorHAnsi" w:cs="Times New Roman"/>
          <w:i/>
          <w:sz w:val="22"/>
          <w:szCs w:val="22"/>
          <w:lang w:val="en-US"/>
        </w:rPr>
        <w:t>nual report?</w:t>
      </w:r>
    </w:p>
    <w:p w:rsidR="00D6519A" w:rsidRPr="00337C97" w:rsidRDefault="00D6519A" w:rsidP="00950BBC">
      <w:pPr>
        <w:spacing w:line="360" w:lineRule="auto"/>
        <w:jc w:val="both"/>
        <w:rPr>
          <w:rFonts w:asciiTheme="minorHAnsi" w:hAnsiTheme="minorHAnsi" w:cs="Times New Roman"/>
          <w:sz w:val="22"/>
          <w:szCs w:val="22"/>
          <w:lang w:val="en-US"/>
        </w:rPr>
      </w:pPr>
    </w:p>
    <w:p w:rsidR="002B615B" w:rsidRPr="00337C97" w:rsidRDefault="00EB0F78"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First this chapter will discuss the annual report, as a </w:t>
      </w:r>
      <w:r w:rsidR="00FE311B" w:rsidRPr="00337C97">
        <w:rPr>
          <w:rFonts w:asciiTheme="minorHAnsi" w:hAnsiTheme="minorHAnsi" w:cs="Times New Roman"/>
          <w:sz w:val="22"/>
          <w:szCs w:val="22"/>
          <w:lang w:val="en-US"/>
        </w:rPr>
        <w:t>main element</w:t>
      </w:r>
      <w:r w:rsidRPr="00337C97">
        <w:rPr>
          <w:rFonts w:asciiTheme="minorHAnsi" w:hAnsiTheme="minorHAnsi" w:cs="Times New Roman"/>
          <w:sz w:val="22"/>
          <w:szCs w:val="22"/>
          <w:lang w:val="en-US"/>
        </w:rPr>
        <w:t xml:space="preserve"> in financial reporting. The subsequent paragraphs will reveal the relevant law and regulation for </w:t>
      </w:r>
      <w:r w:rsidR="00B94ABA" w:rsidRPr="00337C97">
        <w:rPr>
          <w:rFonts w:asciiTheme="minorHAnsi" w:hAnsiTheme="minorHAnsi" w:cs="Times New Roman"/>
          <w:sz w:val="22"/>
          <w:szCs w:val="22"/>
          <w:lang w:val="en-US"/>
        </w:rPr>
        <w:t xml:space="preserve">public listed </w:t>
      </w:r>
      <w:r w:rsidRPr="00337C97">
        <w:rPr>
          <w:rFonts w:asciiTheme="minorHAnsi" w:hAnsiTheme="minorHAnsi" w:cs="Times New Roman"/>
          <w:sz w:val="22"/>
          <w:szCs w:val="22"/>
          <w:lang w:val="en-US"/>
        </w:rPr>
        <w:t xml:space="preserve">banks </w:t>
      </w:r>
      <w:r w:rsidR="00B94ABA" w:rsidRPr="00337C97">
        <w:rPr>
          <w:rFonts w:asciiTheme="minorHAnsi" w:hAnsiTheme="minorHAnsi" w:cs="Times New Roman"/>
          <w:sz w:val="22"/>
          <w:szCs w:val="22"/>
          <w:lang w:val="en-US"/>
        </w:rPr>
        <w:t xml:space="preserve">in the European Union </w:t>
      </w:r>
      <w:r w:rsidRPr="00337C97">
        <w:rPr>
          <w:rFonts w:asciiTheme="minorHAnsi" w:hAnsiTheme="minorHAnsi" w:cs="Times New Roman"/>
          <w:sz w:val="22"/>
          <w:szCs w:val="22"/>
          <w:lang w:val="en-US"/>
        </w:rPr>
        <w:t>regarding risk disclosures</w:t>
      </w:r>
      <w:r w:rsidR="0073649B" w:rsidRPr="00337C97">
        <w:rPr>
          <w:rFonts w:asciiTheme="minorHAnsi" w:hAnsiTheme="minorHAnsi" w:cs="Times New Roman"/>
          <w:sz w:val="22"/>
          <w:szCs w:val="22"/>
          <w:lang w:val="en-US"/>
        </w:rPr>
        <w:t>. This regulation subject banks to certain requirements, restrictions and guidelines</w:t>
      </w:r>
      <w:r w:rsidR="0081192D" w:rsidRPr="00337C97">
        <w:rPr>
          <w:rFonts w:asciiTheme="minorHAnsi" w:hAnsiTheme="minorHAnsi" w:cs="Times New Roman"/>
          <w:sz w:val="22"/>
          <w:szCs w:val="22"/>
          <w:lang w:val="en-US"/>
        </w:rPr>
        <w:t xml:space="preserve">: </w:t>
      </w:r>
      <w:r w:rsidR="00907418" w:rsidRPr="00337C97">
        <w:rPr>
          <w:rFonts w:asciiTheme="minorHAnsi" w:hAnsiTheme="minorHAnsi" w:cs="Times New Roman"/>
          <w:sz w:val="22"/>
          <w:szCs w:val="22"/>
          <w:lang w:val="en-US"/>
        </w:rPr>
        <w:t xml:space="preserve">the </w:t>
      </w:r>
      <w:r w:rsidR="004648D5" w:rsidRPr="00337C97">
        <w:rPr>
          <w:rFonts w:asciiTheme="minorHAnsi" w:hAnsiTheme="minorHAnsi" w:cs="Times New Roman"/>
          <w:sz w:val="22"/>
          <w:szCs w:val="22"/>
          <w:lang w:val="en-US"/>
        </w:rPr>
        <w:t xml:space="preserve">accounting standards </w:t>
      </w:r>
      <w:r w:rsidR="002B615B" w:rsidRPr="00337C97">
        <w:rPr>
          <w:rFonts w:asciiTheme="minorHAnsi" w:hAnsiTheme="minorHAnsi" w:cs="Times New Roman"/>
          <w:sz w:val="22"/>
          <w:szCs w:val="22"/>
          <w:lang w:val="en-US"/>
        </w:rPr>
        <w:t>IFRS</w:t>
      </w:r>
      <w:r w:rsidR="00FE311B" w:rsidRPr="00337C97">
        <w:rPr>
          <w:rFonts w:asciiTheme="minorHAnsi" w:hAnsiTheme="minorHAnsi" w:cs="Times New Roman"/>
          <w:sz w:val="22"/>
          <w:szCs w:val="22"/>
          <w:lang w:val="en-US"/>
        </w:rPr>
        <w:t xml:space="preserve"> </w:t>
      </w:r>
      <w:r w:rsidR="0081192D" w:rsidRPr="00337C97">
        <w:rPr>
          <w:rFonts w:asciiTheme="minorHAnsi" w:hAnsiTheme="minorHAnsi" w:cs="Times New Roman"/>
          <w:sz w:val="22"/>
          <w:szCs w:val="22"/>
          <w:lang w:val="en-US"/>
        </w:rPr>
        <w:t>and t</w:t>
      </w:r>
      <w:r w:rsidR="00907418" w:rsidRPr="00337C97">
        <w:rPr>
          <w:rFonts w:asciiTheme="minorHAnsi" w:hAnsiTheme="minorHAnsi" w:cs="Times New Roman"/>
          <w:sz w:val="22"/>
          <w:szCs w:val="22"/>
          <w:lang w:val="en-US"/>
        </w:rPr>
        <w:t xml:space="preserve">he </w:t>
      </w:r>
      <w:r w:rsidR="002B615B" w:rsidRPr="00337C97">
        <w:rPr>
          <w:rFonts w:asciiTheme="minorHAnsi" w:hAnsiTheme="minorHAnsi" w:cs="Times New Roman"/>
          <w:sz w:val="22"/>
          <w:szCs w:val="22"/>
          <w:lang w:val="en-US"/>
        </w:rPr>
        <w:t xml:space="preserve">Basel </w:t>
      </w:r>
      <w:r w:rsidR="00D6519A" w:rsidRPr="00337C97">
        <w:rPr>
          <w:rFonts w:asciiTheme="minorHAnsi" w:hAnsiTheme="minorHAnsi" w:cs="Times New Roman"/>
          <w:sz w:val="22"/>
          <w:szCs w:val="22"/>
          <w:lang w:val="en-US"/>
        </w:rPr>
        <w:t>Accord</w:t>
      </w:r>
      <w:r w:rsidR="0081192D" w:rsidRPr="00337C97">
        <w:rPr>
          <w:rFonts w:asciiTheme="minorHAnsi" w:hAnsiTheme="minorHAnsi" w:cs="Times New Roman"/>
          <w:sz w:val="22"/>
          <w:szCs w:val="22"/>
          <w:lang w:val="en-US"/>
        </w:rPr>
        <w:t xml:space="preserve">s. </w:t>
      </w:r>
      <w:r w:rsidR="00A94A15" w:rsidRPr="00337C97">
        <w:rPr>
          <w:rFonts w:asciiTheme="minorHAnsi" w:hAnsiTheme="minorHAnsi" w:cs="Times New Roman"/>
          <w:sz w:val="22"/>
          <w:szCs w:val="22"/>
          <w:lang w:val="en-US"/>
        </w:rPr>
        <w:t xml:space="preserve">Furthermore attention is given to banking supervision in the European Union and the role of central banks and financial authorities, </w:t>
      </w:r>
      <w:r w:rsidR="00CA6A22" w:rsidRPr="00337C97">
        <w:rPr>
          <w:rFonts w:asciiTheme="minorHAnsi" w:hAnsiTheme="minorHAnsi" w:cs="Times New Roman"/>
          <w:sz w:val="22"/>
          <w:szCs w:val="22"/>
          <w:lang w:val="en-US"/>
        </w:rPr>
        <w:t>especially</w:t>
      </w:r>
      <w:r w:rsidR="00A94A15" w:rsidRPr="00337C97">
        <w:rPr>
          <w:rFonts w:asciiTheme="minorHAnsi" w:hAnsiTheme="minorHAnsi" w:cs="Times New Roman"/>
          <w:sz w:val="22"/>
          <w:szCs w:val="22"/>
          <w:lang w:val="en-US"/>
        </w:rPr>
        <w:t xml:space="preserve"> during the credit crisis. Finally, </w:t>
      </w:r>
      <w:r w:rsidR="00CA6A22" w:rsidRPr="00337C97">
        <w:rPr>
          <w:rFonts w:asciiTheme="minorHAnsi" w:hAnsiTheme="minorHAnsi" w:cs="Times New Roman"/>
          <w:sz w:val="22"/>
          <w:szCs w:val="22"/>
          <w:lang w:val="en-US"/>
        </w:rPr>
        <w:t xml:space="preserve">the role of </w:t>
      </w:r>
      <w:r w:rsidR="00A94A15" w:rsidRPr="00337C97">
        <w:rPr>
          <w:rFonts w:asciiTheme="minorHAnsi" w:hAnsiTheme="minorHAnsi" w:cs="Times New Roman"/>
          <w:sz w:val="22"/>
          <w:szCs w:val="22"/>
          <w:lang w:val="en-US"/>
        </w:rPr>
        <w:t xml:space="preserve">corporate governance </w:t>
      </w:r>
      <w:r w:rsidR="00CA6A22" w:rsidRPr="00337C97">
        <w:rPr>
          <w:rFonts w:asciiTheme="minorHAnsi" w:hAnsiTheme="minorHAnsi" w:cs="Times New Roman"/>
          <w:sz w:val="22"/>
          <w:szCs w:val="22"/>
          <w:lang w:val="en-US"/>
        </w:rPr>
        <w:t>codes is discussed.</w:t>
      </w:r>
    </w:p>
    <w:p w:rsidR="00B94ABA" w:rsidRPr="00337C97" w:rsidRDefault="00B94ABA" w:rsidP="00950BBC">
      <w:pPr>
        <w:spacing w:line="360" w:lineRule="auto"/>
        <w:jc w:val="both"/>
        <w:rPr>
          <w:rFonts w:asciiTheme="minorHAnsi" w:hAnsiTheme="minorHAnsi" w:cs="Times New Roman"/>
          <w:sz w:val="22"/>
          <w:szCs w:val="22"/>
          <w:lang w:val="en-US"/>
        </w:rPr>
      </w:pPr>
    </w:p>
    <w:p w:rsidR="002B615B" w:rsidRPr="00337C97" w:rsidRDefault="002B615B" w:rsidP="00AF177B">
      <w:pPr>
        <w:spacing w:line="360" w:lineRule="auto"/>
        <w:jc w:val="both"/>
        <w:outlineLvl w:val="1"/>
        <w:rPr>
          <w:rFonts w:asciiTheme="minorHAnsi" w:hAnsiTheme="minorHAnsi" w:cs="Times New Roman"/>
          <w:b/>
          <w:sz w:val="22"/>
          <w:szCs w:val="22"/>
          <w:lang w:val="en-US"/>
        </w:rPr>
      </w:pPr>
      <w:bookmarkStart w:id="60" w:name="_Toc236565312"/>
      <w:bookmarkStart w:id="61" w:name="_Toc241658889"/>
      <w:bookmarkStart w:id="62" w:name="_Toc242584761"/>
      <w:bookmarkStart w:id="63" w:name="_Toc242697397"/>
      <w:bookmarkStart w:id="64" w:name="_Toc242697632"/>
      <w:bookmarkStart w:id="65" w:name="_Toc245187869"/>
      <w:bookmarkStart w:id="66" w:name="_Toc269658913"/>
      <w:r w:rsidRPr="00337C97">
        <w:rPr>
          <w:rFonts w:asciiTheme="minorHAnsi" w:hAnsiTheme="minorHAnsi" w:cs="Times New Roman"/>
          <w:b/>
          <w:sz w:val="22"/>
          <w:szCs w:val="22"/>
          <w:lang w:val="en-US"/>
        </w:rPr>
        <w:t>2.2</w:t>
      </w:r>
      <w:r w:rsidRPr="00337C97">
        <w:rPr>
          <w:rFonts w:asciiTheme="minorHAnsi" w:hAnsiTheme="minorHAnsi" w:cs="Times New Roman"/>
          <w:b/>
          <w:sz w:val="22"/>
          <w:szCs w:val="22"/>
          <w:lang w:val="en-US"/>
        </w:rPr>
        <w:tab/>
        <w:t xml:space="preserve">The </w:t>
      </w:r>
      <w:r w:rsidR="00B41A5E" w:rsidRPr="00337C97">
        <w:rPr>
          <w:rFonts w:asciiTheme="minorHAnsi" w:hAnsiTheme="minorHAnsi" w:cs="Times New Roman"/>
          <w:b/>
          <w:sz w:val="22"/>
          <w:szCs w:val="22"/>
          <w:lang w:val="en-US"/>
        </w:rPr>
        <w:t>a</w:t>
      </w:r>
      <w:r w:rsidRPr="00337C97">
        <w:rPr>
          <w:rFonts w:asciiTheme="minorHAnsi" w:hAnsiTheme="minorHAnsi" w:cs="Times New Roman"/>
          <w:b/>
          <w:sz w:val="22"/>
          <w:szCs w:val="22"/>
          <w:lang w:val="en-US"/>
        </w:rPr>
        <w:t xml:space="preserve">nnual </w:t>
      </w:r>
      <w:r w:rsidR="00B41A5E" w:rsidRPr="00337C97">
        <w:rPr>
          <w:rFonts w:asciiTheme="minorHAnsi" w:hAnsiTheme="minorHAnsi" w:cs="Times New Roman"/>
          <w:b/>
          <w:sz w:val="22"/>
          <w:szCs w:val="22"/>
          <w:lang w:val="en-US"/>
        </w:rPr>
        <w:t>r</w:t>
      </w:r>
      <w:r w:rsidRPr="00337C97">
        <w:rPr>
          <w:rFonts w:asciiTheme="minorHAnsi" w:hAnsiTheme="minorHAnsi" w:cs="Times New Roman"/>
          <w:b/>
          <w:sz w:val="22"/>
          <w:szCs w:val="22"/>
          <w:lang w:val="en-US"/>
        </w:rPr>
        <w:t>eport</w:t>
      </w:r>
      <w:bookmarkEnd w:id="60"/>
      <w:bookmarkEnd w:id="61"/>
      <w:bookmarkEnd w:id="62"/>
      <w:bookmarkEnd w:id="63"/>
      <w:bookmarkEnd w:id="64"/>
      <w:bookmarkEnd w:id="65"/>
      <w:bookmarkEnd w:id="66"/>
    </w:p>
    <w:p w:rsidR="008635AA" w:rsidRPr="00337C97" w:rsidRDefault="00C2725B"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Risk disclosure</w:t>
      </w:r>
      <w:r w:rsidR="00A171E2" w:rsidRPr="00337C97">
        <w:rPr>
          <w:rFonts w:asciiTheme="minorHAnsi" w:hAnsiTheme="minorHAnsi" w:cs="Times New Roman"/>
          <w:sz w:val="22"/>
          <w:szCs w:val="22"/>
          <w:lang w:val="en-US"/>
        </w:rPr>
        <w:t>s</w:t>
      </w:r>
      <w:r w:rsidRPr="00337C97">
        <w:rPr>
          <w:rFonts w:asciiTheme="minorHAnsi" w:hAnsiTheme="minorHAnsi" w:cs="Times New Roman"/>
          <w:sz w:val="22"/>
          <w:szCs w:val="22"/>
          <w:lang w:val="en-US"/>
        </w:rPr>
        <w:t xml:space="preserve"> can be found in the annual report, which is a</w:t>
      </w:r>
      <w:r w:rsidR="00A171E2" w:rsidRPr="00337C97">
        <w:rPr>
          <w:rFonts w:asciiTheme="minorHAnsi" w:hAnsiTheme="minorHAnsi" w:cs="Times New Roman"/>
          <w:sz w:val="22"/>
          <w:szCs w:val="22"/>
          <w:lang w:val="en-US"/>
        </w:rPr>
        <w:t xml:space="preserve"> </w:t>
      </w:r>
      <w:r w:rsidR="008635AA" w:rsidRPr="00337C97">
        <w:rPr>
          <w:rFonts w:asciiTheme="minorHAnsi" w:hAnsiTheme="minorHAnsi" w:cs="Times New Roman"/>
          <w:sz w:val="22"/>
          <w:szCs w:val="22"/>
          <w:lang w:val="en-US"/>
        </w:rPr>
        <w:t>document that is mandated to be produced every year and expected to provide useful information to users for better decision-making (Amran et al., 2009, p. 40)</w:t>
      </w:r>
      <w:r w:rsidR="00FA202A" w:rsidRPr="00337C97">
        <w:rPr>
          <w:rFonts w:asciiTheme="minorHAnsi" w:hAnsiTheme="minorHAnsi" w:cs="Times New Roman"/>
          <w:sz w:val="22"/>
          <w:szCs w:val="22"/>
          <w:lang w:val="en-US"/>
        </w:rPr>
        <w:t>.</w:t>
      </w:r>
      <w:r w:rsidR="008635AA" w:rsidRPr="00337C97">
        <w:rPr>
          <w:rFonts w:asciiTheme="minorHAnsi" w:hAnsiTheme="minorHAnsi" w:cs="Times New Roman"/>
          <w:sz w:val="22"/>
          <w:szCs w:val="22"/>
          <w:lang w:val="en-US"/>
        </w:rPr>
        <w:t xml:space="preserve"> </w:t>
      </w:r>
      <w:r w:rsidR="008D56D3" w:rsidRPr="00337C97">
        <w:rPr>
          <w:rFonts w:asciiTheme="minorHAnsi" w:hAnsiTheme="minorHAnsi" w:cs="Times New Roman"/>
          <w:sz w:val="22"/>
          <w:szCs w:val="22"/>
          <w:lang w:val="en-US"/>
        </w:rPr>
        <w:t xml:space="preserve">The annual report </w:t>
      </w:r>
      <w:r w:rsidR="00FA202A" w:rsidRPr="00337C97">
        <w:rPr>
          <w:rFonts w:asciiTheme="minorHAnsi" w:hAnsiTheme="minorHAnsi" w:cs="Times New Roman"/>
          <w:sz w:val="22"/>
          <w:szCs w:val="22"/>
          <w:lang w:val="en-US"/>
        </w:rPr>
        <w:t>constitutes the main channel of information on the compan</w:t>
      </w:r>
      <w:r w:rsidR="00C1695D" w:rsidRPr="00337C97">
        <w:rPr>
          <w:rFonts w:asciiTheme="minorHAnsi" w:hAnsiTheme="minorHAnsi" w:cs="Times New Roman"/>
          <w:sz w:val="22"/>
          <w:szCs w:val="22"/>
          <w:lang w:val="en-US"/>
        </w:rPr>
        <w:t>y’s situation to external users and has been defined as the “main disclosure vehicle” (Beretta and Bozzolan, 2004).</w:t>
      </w:r>
      <w:r w:rsidR="00FA202A" w:rsidRPr="00337C97">
        <w:rPr>
          <w:rFonts w:asciiTheme="minorHAnsi" w:hAnsiTheme="minorHAnsi" w:cs="Times New Roman"/>
          <w:sz w:val="22"/>
          <w:szCs w:val="22"/>
          <w:lang w:val="en-US"/>
        </w:rPr>
        <w:t xml:space="preserve"> It is an example of </w:t>
      </w:r>
      <w:r w:rsidR="00880A52" w:rsidRPr="00337C97">
        <w:rPr>
          <w:rFonts w:asciiTheme="minorHAnsi" w:hAnsiTheme="minorHAnsi" w:cs="Times New Roman"/>
          <w:sz w:val="22"/>
          <w:szCs w:val="22"/>
          <w:lang w:val="en-US"/>
        </w:rPr>
        <w:t xml:space="preserve">the concept of financial reporting, </w:t>
      </w:r>
      <w:r w:rsidR="0016691E" w:rsidRPr="00337C97">
        <w:rPr>
          <w:rFonts w:asciiTheme="minorHAnsi" w:hAnsiTheme="minorHAnsi" w:cs="Times New Roman"/>
          <w:sz w:val="22"/>
          <w:szCs w:val="22"/>
          <w:lang w:val="en-US"/>
        </w:rPr>
        <w:t>which is the communication of a wide range of financial and other data to outside interested parties. Information in the annual report is therefore intended to inform shareholders and other interested parties about the company’s activi</w:t>
      </w:r>
      <w:r w:rsidR="00787B22" w:rsidRPr="00337C97">
        <w:rPr>
          <w:rFonts w:asciiTheme="minorHAnsi" w:hAnsiTheme="minorHAnsi" w:cs="Times New Roman"/>
          <w:sz w:val="22"/>
          <w:szCs w:val="22"/>
          <w:lang w:val="en-US"/>
        </w:rPr>
        <w:t>ties and financial performance.</w:t>
      </w:r>
    </w:p>
    <w:p w:rsidR="008635AA" w:rsidRPr="00337C97" w:rsidRDefault="008635AA" w:rsidP="00950BBC">
      <w:pPr>
        <w:spacing w:line="360" w:lineRule="auto"/>
        <w:jc w:val="both"/>
        <w:rPr>
          <w:rFonts w:asciiTheme="minorHAnsi" w:hAnsiTheme="minorHAnsi" w:cs="Times New Roman"/>
          <w:sz w:val="22"/>
          <w:szCs w:val="22"/>
          <w:lang w:val="en-US"/>
        </w:rPr>
      </w:pPr>
    </w:p>
    <w:p w:rsidR="00A70A3F" w:rsidRPr="00337C97" w:rsidRDefault="00493FA6"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S</w:t>
      </w:r>
      <w:r w:rsidR="0016691E" w:rsidRPr="00337C97">
        <w:rPr>
          <w:rFonts w:asciiTheme="minorHAnsi" w:hAnsiTheme="minorHAnsi" w:cs="Times New Roman"/>
          <w:sz w:val="22"/>
          <w:szCs w:val="22"/>
          <w:lang w:val="en-US"/>
        </w:rPr>
        <w:t>hareholders and other related parties have a need for information about the company</w:t>
      </w:r>
      <w:r w:rsidRPr="00337C97">
        <w:rPr>
          <w:rFonts w:asciiTheme="minorHAnsi" w:hAnsiTheme="minorHAnsi" w:cs="Times New Roman"/>
          <w:sz w:val="22"/>
          <w:szCs w:val="22"/>
          <w:lang w:val="en-US"/>
        </w:rPr>
        <w:t xml:space="preserve"> to make decisions, </w:t>
      </w:r>
      <w:r w:rsidR="004648D5" w:rsidRPr="00337C97">
        <w:rPr>
          <w:rFonts w:asciiTheme="minorHAnsi" w:hAnsiTheme="minorHAnsi" w:cs="Times New Roman"/>
          <w:sz w:val="22"/>
          <w:szCs w:val="22"/>
          <w:lang w:val="en-US"/>
        </w:rPr>
        <w:t xml:space="preserve">for example </w:t>
      </w:r>
      <w:r w:rsidRPr="00337C97">
        <w:rPr>
          <w:rFonts w:asciiTheme="minorHAnsi" w:hAnsiTheme="minorHAnsi" w:cs="Times New Roman"/>
          <w:sz w:val="22"/>
          <w:szCs w:val="22"/>
          <w:lang w:val="en-US"/>
        </w:rPr>
        <w:t xml:space="preserve">about buying or selling shares or to provide credit. </w:t>
      </w:r>
      <w:r w:rsidR="00B06402" w:rsidRPr="00337C97">
        <w:rPr>
          <w:rFonts w:asciiTheme="minorHAnsi" w:hAnsiTheme="minorHAnsi" w:cs="Times New Roman"/>
          <w:sz w:val="22"/>
          <w:szCs w:val="22"/>
          <w:lang w:val="en-US"/>
        </w:rPr>
        <w:t>There is however a conflict of interest</w:t>
      </w:r>
      <w:r w:rsidR="002D20FB" w:rsidRPr="00337C97">
        <w:rPr>
          <w:rFonts w:asciiTheme="minorHAnsi" w:hAnsiTheme="minorHAnsi" w:cs="Times New Roman"/>
          <w:sz w:val="22"/>
          <w:szCs w:val="22"/>
          <w:lang w:val="en-US"/>
        </w:rPr>
        <w:t>s</w:t>
      </w:r>
      <w:r w:rsidR="00B06402" w:rsidRPr="00337C97">
        <w:rPr>
          <w:rFonts w:asciiTheme="minorHAnsi" w:hAnsiTheme="minorHAnsi" w:cs="Times New Roman"/>
          <w:sz w:val="22"/>
          <w:szCs w:val="22"/>
          <w:lang w:val="en-US"/>
        </w:rPr>
        <w:t xml:space="preserve"> in determining the right </w:t>
      </w:r>
      <w:r w:rsidR="00A70A3F" w:rsidRPr="00337C97">
        <w:rPr>
          <w:rFonts w:asciiTheme="minorHAnsi" w:hAnsiTheme="minorHAnsi" w:cs="Times New Roman"/>
          <w:sz w:val="22"/>
          <w:szCs w:val="22"/>
          <w:lang w:val="en-US"/>
        </w:rPr>
        <w:t xml:space="preserve">information </w:t>
      </w:r>
      <w:r w:rsidR="00B06402" w:rsidRPr="00337C97">
        <w:rPr>
          <w:rFonts w:asciiTheme="minorHAnsi" w:hAnsiTheme="minorHAnsi" w:cs="Times New Roman"/>
          <w:sz w:val="22"/>
          <w:szCs w:val="22"/>
          <w:lang w:val="en-US"/>
        </w:rPr>
        <w:t xml:space="preserve">and the right amount of information that should be communicated. </w:t>
      </w:r>
      <w:r w:rsidR="002D20FB" w:rsidRPr="00337C97">
        <w:rPr>
          <w:rFonts w:asciiTheme="minorHAnsi" w:hAnsiTheme="minorHAnsi" w:cs="Times New Roman"/>
          <w:sz w:val="22"/>
          <w:szCs w:val="22"/>
          <w:lang w:val="en-US"/>
        </w:rPr>
        <w:t>From the company’s perspective as a supplier of information</w:t>
      </w:r>
      <w:r w:rsidR="005922C3" w:rsidRPr="00337C97">
        <w:rPr>
          <w:rFonts w:asciiTheme="minorHAnsi" w:hAnsiTheme="minorHAnsi" w:cs="Times New Roman"/>
          <w:sz w:val="22"/>
          <w:szCs w:val="22"/>
          <w:lang w:val="en-US"/>
        </w:rPr>
        <w:t xml:space="preserve">, there is an incentive to keep information private as much as possible. Shareholders and other outside (related) parties have the interest to gather as much information as </w:t>
      </w:r>
      <w:r w:rsidR="00907418" w:rsidRPr="00337C97">
        <w:rPr>
          <w:rFonts w:asciiTheme="minorHAnsi" w:hAnsiTheme="minorHAnsi" w:cs="Times New Roman"/>
          <w:sz w:val="22"/>
          <w:szCs w:val="22"/>
          <w:lang w:val="en-US"/>
        </w:rPr>
        <w:t xml:space="preserve">they </w:t>
      </w:r>
      <w:r w:rsidR="005922C3" w:rsidRPr="00337C97">
        <w:rPr>
          <w:rFonts w:asciiTheme="minorHAnsi" w:hAnsiTheme="minorHAnsi" w:cs="Times New Roman"/>
          <w:sz w:val="22"/>
          <w:szCs w:val="22"/>
          <w:lang w:val="en-US"/>
        </w:rPr>
        <w:t>need</w:t>
      </w:r>
      <w:r w:rsidR="00907418" w:rsidRPr="00337C97">
        <w:rPr>
          <w:rFonts w:asciiTheme="minorHAnsi" w:hAnsiTheme="minorHAnsi" w:cs="Times New Roman"/>
          <w:sz w:val="22"/>
          <w:szCs w:val="22"/>
          <w:lang w:val="en-US"/>
        </w:rPr>
        <w:t xml:space="preserve"> </w:t>
      </w:r>
      <w:r w:rsidR="005922C3" w:rsidRPr="00337C97">
        <w:rPr>
          <w:rFonts w:asciiTheme="minorHAnsi" w:hAnsiTheme="minorHAnsi" w:cs="Times New Roman"/>
          <w:sz w:val="22"/>
          <w:szCs w:val="22"/>
          <w:lang w:val="en-US"/>
        </w:rPr>
        <w:t xml:space="preserve">to make economic justified decisions. </w:t>
      </w:r>
      <w:r w:rsidR="00A70A3F" w:rsidRPr="00337C97">
        <w:rPr>
          <w:rFonts w:asciiTheme="minorHAnsi" w:hAnsiTheme="minorHAnsi" w:cs="Times New Roman"/>
          <w:sz w:val="22"/>
          <w:szCs w:val="22"/>
          <w:lang w:val="en-US"/>
        </w:rPr>
        <w:t xml:space="preserve">However, too much information clouds the understanding. Moreover, the demand side is not </w:t>
      </w:r>
      <w:r w:rsidR="00A70A3F" w:rsidRPr="00337C97">
        <w:rPr>
          <w:rFonts w:asciiTheme="minorHAnsi" w:hAnsiTheme="minorHAnsi" w:cs="Times New Roman"/>
          <w:sz w:val="22"/>
          <w:szCs w:val="22"/>
          <w:lang w:val="en-US"/>
        </w:rPr>
        <w:lastRenderedPageBreak/>
        <w:t>homogeneous, which means that their interest can differ regarding their relationship with the company (K</w:t>
      </w:r>
      <w:r w:rsidR="00787B22" w:rsidRPr="00337C97">
        <w:rPr>
          <w:rFonts w:asciiTheme="minorHAnsi" w:hAnsiTheme="minorHAnsi" w:cs="Times New Roman"/>
          <w:sz w:val="22"/>
          <w:szCs w:val="22"/>
          <w:lang w:val="en-US"/>
        </w:rPr>
        <w:t>laassen and Hoogendoorn, 2004</w:t>
      </w:r>
      <w:r w:rsidR="0073649B" w:rsidRPr="00337C97">
        <w:rPr>
          <w:rFonts w:asciiTheme="minorHAnsi" w:hAnsiTheme="minorHAnsi" w:cs="Times New Roman"/>
          <w:sz w:val="22"/>
          <w:szCs w:val="22"/>
          <w:lang w:val="en-US"/>
        </w:rPr>
        <w:t xml:space="preserve">, p. </w:t>
      </w:r>
      <w:r w:rsidR="00996071" w:rsidRPr="00337C97">
        <w:rPr>
          <w:rFonts w:asciiTheme="minorHAnsi" w:hAnsiTheme="minorHAnsi" w:cs="Times New Roman"/>
          <w:sz w:val="22"/>
          <w:szCs w:val="22"/>
          <w:lang w:val="en-US"/>
        </w:rPr>
        <w:t>23-24</w:t>
      </w:r>
      <w:r w:rsidR="00787B22" w:rsidRPr="00337C97">
        <w:rPr>
          <w:rFonts w:asciiTheme="minorHAnsi" w:hAnsiTheme="minorHAnsi" w:cs="Times New Roman"/>
          <w:sz w:val="22"/>
          <w:szCs w:val="22"/>
          <w:lang w:val="en-US"/>
        </w:rPr>
        <w:t>).</w:t>
      </w:r>
    </w:p>
    <w:p w:rsidR="00A70A3F" w:rsidRPr="00337C97" w:rsidRDefault="00A70A3F" w:rsidP="00950BBC">
      <w:pPr>
        <w:spacing w:line="360" w:lineRule="auto"/>
        <w:jc w:val="both"/>
        <w:rPr>
          <w:rFonts w:asciiTheme="minorHAnsi" w:hAnsiTheme="minorHAnsi" w:cs="Times New Roman"/>
          <w:sz w:val="22"/>
          <w:szCs w:val="22"/>
          <w:lang w:val="en-US"/>
        </w:rPr>
      </w:pPr>
    </w:p>
    <w:p w:rsidR="007D1DCD" w:rsidRPr="00337C97" w:rsidRDefault="00A70A3F" w:rsidP="00A42D6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As Klaassen and Hoogendoorn conclude, there needs to be an alignment of supply and demand</w:t>
      </w:r>
      <w:r w:rsidR="00367A19" w:rsidRPr="00337C97">
        <w:rPr>
          <w:rFonts w:asciiTheme="minorHAnsi" w:hAnsiTheme="minorHAnsi" w:cs="Times New Roman"/>
          <w:sz w:val="22"/>
          <w:szCs w:val="22"/>
          <w:lang w:val="en-US"/>
        </w:rPr>
        <w:t xml:space="preserve"> of information</w:t>
      </w:r>
      <w:r w:rsidRPr="00337C97">
        <w:rPr>
          <w:rFonts w:asciiTheme="minorHAnsi" w:hAnsiTheme="minorHAnsi" w:cs="Times New Roman"/>
          <w:sz w:val="22"/>
          <w:szCs w:val="22"/>
          <w:lang w:val="en-US"/>
        </w:rPr>
        <w:t xml:space="preserve">, which in most western countries with developed capital markets </w:t>
      </w:r>
      <w:r w:rsidR="00367A19" w:rsidRPr="00337C97">
        <w:rPr>
          <w:rFonts w:asciiTheme="minorHAnsi" w:hAnsiTheme="minorHAnsi" w:cs="Times New Roman"/>
          <w:sz w:val="22"/>
          <w:szCs w:val="22"/>
          <w:lang w:val="en-US"/>
        </w:rPr>
        <w:t xml:space="preserve">is done by law and regulation. </w:t>
      </w:r>
      <w:r w:rsidR="006841ED" w:rsidRPr="00337C97">
        <w:rPr>
          <w:rFonts w:asciiTheme="minorHAnsi" w:hAnsiTheme="minorHAnsi" w:cs="Times New Roman"/>
          <w:sz w:val="22"/>
          <w:szCs w:val="22"/>
          <w:lang w:val="en-US"/>
        </w:rPr>
        <w:t>Deegan and Unerman (2006</w:t>
      </w:r>
      <w:r w:rsidR="008E6F4D" w:rsidRPr="00337C97">
        <w:rPr>
          <w:rFonts w:asciiTheme="minorHAnsi" w:hAnsiTheme="minorHAnsi" w:cs="Times New Roman"/>
          <w:sz w:val="22"/>
          <w:szCs w:val="22"/>
          <w:lang w:val="en-US"/>
        </w:rPr>
        <w:t>, p. 32</w:t>
      </w:r>
      <w:r w:rsidR="006841ED" w:rsidRPr="00337C97">
        <w:rPr>
          <w:rFonts w:asciiTheme="minorHAnsi" w:hAnsiTheme="minorHAnsi" w:cs="Times New Roman"/>
          <w:sz w:val="22"/>
          <w:szCs w:val="22"/>
          <w:lang w:val="en-US"/>
        </w:rPr>
        <w:t xml:space="preserve">) state that financial accounting tends to be heavily regulated in </w:t>
      </w:r>
      <w:r w:rsidR="008E6F4D" w:rsidRPr="00337C97">
        <w:rPr>
          <w:rFonts w:asciiTheme="minorHAnsi" w:hAnsiTheme="minorHAnsi" w:cs="Times New Roman"/>
          <w:sz w:val="22"/>
          <w:szCs w:val="22"/>
          <w:lang w:val="en-US"/>
        </w:rPr>
        <w:t>these</w:t>
      </w:r>
      <w:r w:rsidR="006841ED" w:rsidRPr="00337C97">
        <w:rPr>
          <w:rFonts w:asciiTheme="minorHAnsi" w:hAnsiTheme="minorHAnsi" w:cs="Times New Roman"/>
          <w:sz w:val="22"/>
          <w:szCs w:val="22"/>
          <w:lang w:val="en-US"/>
        </w:rPr>
        <w:t xml:space="preserve"> countries, with many accounting standards and other regulations governing how particular transactions and events are to be recognized, measured and disclosed. The generated financial statements, such as the balance sheet, income statement, statement of cash flows and supporting notes are directly impacted by </w:t>
      </w:r>
      <w:r w:rsidR="00787B22" w:rsidRPr="00337C97">
        <w:rPr>
          <w:rFonts w:asciiTheme="minorHAnsi" w:hAnsiTheme="minorHAnsi" w:cs="Times New Roman"/>
          <w:sz w:val="22"/>
          <w:szCs w:val="22"/>
          <w:lang w:val="en-US"/>
        </w:rPr>
        <w:t>various accounting regulations.</w:t>
      </w:r>
    </w:p>
    <w:p w:rsidR="00935665" w:rsidRPr="00337C97" w:rsidRDefault="00935665" w:rsidP="00935665">
      <w:pPr>
        <w:spacing w:line="360" w:lineRule="auto"/>
        <w:jc w:val="both"/>
        <w:rPr>
          <w:rFonts w:asciiTheme="minorHAnsi" w:hAnsiTheme="minorHAnsi" w:cs="Times New Roman"/>
          <w:sz w:val="22"/>
          <w:szCs w:val="22"/>
          <w:lang w:val="en-US"/>
        </w:rPr>
      </w:pPr>
    </w:p>
    <w:p w:rsidR="00935665" w:rsidRPr="00337C97" w:rsidRDefault="00935665" w:rsidP="0093566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Regulation is</w:t>
      </w:r>
      <w:r w:rsidR="00281F08" w:rsidRPr="00337C97">
        <w:rPr>
          <w:rFonts w:asciiTheme="minorHAnsi" w:hAnsiTheme="minorHAnsi" w:cs="Times New Roman"/>
          <w:sz w:val="22"/>
          <w:szCs w:val="22"/>
          <w:lang w:val="en-US"/>
        </w:rPr>
        <w:t xml:space="preserve"> in this context</w:t>
      </w:r>
      <w:r w:rsidRPr="00337C97">
        <w:rPr>
          <w:rFonts w:asciiTheme="minorHAnsi" w:hAnsiTheme="minorHAnsi" w:cs="Times New Roman"/>
          <w:sz w:val="22"/>
          <w:szCs w:val="22"/>
          <w:lang w:val="en-US"/>
        </w:rPr>
        <w:t xml:space="preserve"> the set of rules and standards that govern </w:t>
      </w:r>
      <w:r w:rsidR="005007D2"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financial</w:t>
      </w:r>
      <w:r w:rsidR="005007D2"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institutions. Their main objective is to foster financial stability and to protect the customers of financial services. It can take different forms, from information requirements to strict measures such as capital requirements. Regulation can be distinguished from supervision, which is the process designed to oversee financial institutions in order to ensure that rules and standards are properly applied (De Larosière, 2009</w:t>
      </w:r>
      <w:r w:rsidR="002D6530" w:rsidRPr="00337C97">
        <w:rPr>
          <w:rFonts w:asciiTheme="minorHAnsi" w:hAnsiTheme="minorHAnsi" w:cs="Times New Roman"/>
          <w:sz w:val="22"/>
          <w:szCs w:val="22"/>
          <w:lang w:val="en-US"/>
        </w:rPr>
        <w:t>, p. 13</w:t>
      </w:r>
      <w:r w:rsidRPr="00337C97">
        <w:rPr>
          <w:rFonts w:asciiTheme="minorHAnsi" w:hAnsiTheme="minorHAnsi" w:cs="Times New Roman"/>
          <w:sz w:val="22"/>
          <w:szCs w:val="22"/>
          <w:lang w:val="en-US"/>
        </w:rPr>
        <w:t>). The next paragraphs cover the relevant law and regulat</w:t>
      </w:r>
      <w:r w:rsidR="00330EC1" w:rsidRPr="00337C97">
        <w:rPr>
          <w:rFonts w:asciiTheme="minorHAnsi" w:hAnsiTheme="minorHAnsi" w:cs="Times New Roman"/>
          <w:sz w:val="22"/>
          <w:szCs w:val="22"/>
          <w:lang w:val="en-US"/>
        </w:rPr>
        <w:t>ion regarding risk disclosures.</w:t>
      </w:r>
    </w:p>
    <w:p w:rsidR="007D1DCD" w:rsidRPr="00337C97" w:rsidRDefault="007D1DCD" w:rsidP="00A42D6A">
      <w:pPr>
        <w:spacing w:line="360" w:lineRule="auto"/>
        <w:jc w:val="both"/>
        <w:rPr>
          <w:rFonts w:asciiTheme="minorHAnsi" w:hAnsiTheme="minorHAnsi" w:cs="Times New Roman"/>
          <w:sz w:val="22"/>
          <w:szCs w:val="22"/>
          <w:lang w:val="en-US"/>
        </w:rPr>
      </w:pPr>
    </w:p>
    <w:p w:rsidR="0073649B" w:rsidRPr="00337C97" w:rsidRDefault="000C2515" w:rsidP="00AF177B">
      <w:pPr>
        <w:spacing w:line="360" w:lineRule="auto"/>
        <w:jc w:val="both"/>
        <w:outlineLvl w:val="1"/>
        <w:rPr>
          <w:rFonts w:asciiTheme="minorHAnsi" w:hAnsiTheme="minorHAnsi" w:cs="Times New Roman"/>
          <w:sz w:val="22"/>
          <w:szCs w:val="22"/>
          <w:lang w:val="en-US"/>
        </w:rPr>
      </w:pPr>
      <w:bookmarkStart w:id="67" w:name="_Toc236565313"/>
      <w:bookmarkStart w:id="68" w:name="_Toc241658890"/>
      <w:bookmarkStart w:id="69" w:name="_Toc242584762"/>
      <w:bookmarkStart w:id="70" w:name="_Toc242697398"/>
      <w:bookmarkStart w:id="71" w:name="_Toc242697633"/>
      <w:bookmarkStart w:id="72" w:name="_Toc245187870"/>
      <w:bookmarkStart w:id="73" w:name="_Toc269658914"/>
      <w:r w:rsidRPr="00337C97">
        <w:rPr>
          <w:rFonts w:asciiTheme="minorHAnsi" w:hAnsiTheme="minorHAnsi" w:cs="Times New Roman"/>
          <w:b/>
          <w:sz w:val="22"/>
          <w:szCs w:val="22"/>
          <w:lang w:val="en-US"/>
        </w:rPr>
        <w:t>2.3</w:t>
      </w:r>
      <w:r w:rsidRPr="00337C97">
        <w:rPr>
          <w:rFonts w:asciiTheme="minorHAnsi" w:hAnsiTheme="minorHAnsi" w:cs="Times New Roman"/>
          <w:b/>
          <w:sz w:val="22"/>
          <w:szCs w:val="22"/>
          <w:lang w:val="en-US"/>
        </w:rPr>
        <w:tab/>
        <w:t>Accounting standards</w:t>
      </w:r>
      <w:bookmarkEnd w:id="67"/>
      <w:bookmarkEnd w:id="68"/>
      <w:bookmarkEnd w:id="69"/>
      <w:bookmarkEnd w:id="70"/>
      <w:bookmarkEnd w:id="71"/>
      <w:bookmarkEnd w:id="72"/>
      <w:bookmarkEnd w:id="73"/>
    </w:p>
    <w:p w:rsidR="0073649B" w:rsidRPr="00337C97" w:rsidRDefault="008D764E" w:rsidP="0073649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Accounting standards are authoritative statements of how particular types of transaction and other events should be reflected in the financial statements. These standards include specific principles, bases, conventions, rules and practices necessary to prepare the financial statements (Stolowy and Lebas, 200</w:t>
      </w:r>
      <w:r w:rsidR="009D75F6" w:rsidRPr="00337C97">
        <w:rPr>
          <w:rFonts w:asciiTheme="minorHAnsi" w:hAnsiTheme="minorHAnsi" w:cs="Times New Roman"/>
          <w:sz w:val="22"/>
          <w:szCs w:val="22"/>
          <w:lang w:val="en-US"/>
        </w:rPr>
        <w:t>6</w:t>
      </w:r>
      <w:r w:rsidRPr="00337C97">
        <w:rPr>
          <w:rFonts w:asciiTheme="minorHAnsi" w:hAnsiTheme="minorHAnsi" w:cs="Times New Roman"/>
          <w:sz w:val="22"/>
          <w:szCs w:val="22"/>
          <w:lang w:val="en-US"/>
        </w:rPr>
        <w:t>, p.</w:t>
      </w:r>
      <w:r w:rsidR="00996071" w:rsidRPr="00337C97">
        <w:rPr>
          <w:rFonts w:asciiTheme="minorHAnsi" w:hAnsiTheme="minorHAnsi" w:cs="Times New Roman"/>
          <w:sz w:val="22"/>
          <w:szCs w:val="22"/>
          <w:lang w:val="en-US"/>
        </w:rPr>
        <w:t xml:space="preserve"> 13</w:t>
      </w:r>
      <w:r w:rsidRPr="00337C97">
        <w:rPr>
          <w:rFonts w:asciiTheme="minorHAnsi" w:hAnsiTheme="minorHAnsi" w:cs="Times New Roman"/>
          <w:sz w:val="22"/>
          <w:szCs w:val="22"/>
          <w:lang w:val="en-US"/>
        </w:rPr>
        <w:t xml:space="preserve">). </w:t>
      </w:r>
      <w:r w:rsidR="0073649B" w:rsidRPr="00337C97">
        <w:rPr>
          <w:rFonts w:asciiTheme="minorHAnsi" w:hAnsiTheme="minorHAnsi" w:cs="Times New Roman"/>
          <w:sz w:val="22"/>
          <w:szCs w:val="22"/>
          <w:lang w:val="en-US"/>
        </w:rPr>
        <w:t>The national governments</w:t>
      </w:r>
      <w:r w:rsidRPr="00337C97">
        <w:rPr>
          <w:rFonts w:asciiTheme="minorHAnsi" w:hAnsiTheme="minorHAnsi" w:cs="Times New Roman"/>
          <w:sz w:val="22"/>
          <w:szCs w:val="22"/>
          <w:lang w:val="en-US"/>
        </w:rPr>
        <w:t xml:space="preserve"> or specific regulatory bodies</w:t>
      </w:r>
      <w:r w:rsidR="0073649B" w:rsidRPr="00337C97">
        <w:rPr>
          <w:rFonts w:asciiTheme="minorHAnsi" w:hAnsiTheme="minorHAnsi" w:cs="Times New Roman"/>
          <w:sz w:val="22"/>
          <w:szCs w:val="22"/>
          <w:lang w:val="en-US"/>
        </w:rPr>
        <w:t xml:space="preserve"> across the European Union and the supranational European Commission can be seen as the most important regulators of the accounting standards. However, in many countries </w:t>
      </w:r>
      <w:r w:rsidRPr="00337C97">
        <w:rPr>
          <w:rFonts w:asciiTheme="minorHAnsi" w:hAnsiTheme="minorHAnsi" w:cs="Times New Roman"/>
          <w:sz w:val="22"/>
          <w:szCs w:val="22"/>
          <w:lang w:val="en-US"/>
        </w:rPr>
        <w:t xml:space="preserve">and also in the European Union, </w:t>
      </w:r>
      <w:r w:rsidR="0073649B" w:rsidRPr="00337C97">
        <w:rPr>
          <w:rFonts w:asciiTheme="minorHAnsi" w:hAnsiTheme="minorHAnsi" w:cs="Times New Roman"/>
          <w:sz w:val="22"/>
          <w:szCs w:val="22"/>
          <w:lang w:val="en-US"/>
        </w:rPr>
        <w:t xml:space="preserve">accounting standards are not developed by the government, but created by independent professional bodies. After a successful standard-setting process, standards are implemented by national governments. Nowadays, the European Commission implements the accounting standards developed by an international standard-setting board, the International Accounting Standards Board (IASB). </w:t>
      </w:r>
    </w:p>
    <w:p w:rsidR="00EB0F78" w:rsidRPr="00337C97" w:rsidRDefault="00EB0F78" w:rsidP="00EB0F78">
      <w:pPr>
        <w:spacing w:line="360" w:lineRule="auto"/>
        <w:jc w:val="both"/>
        <w:rPr>
          <w:rFonts w:asciiTheme="minorHAnsi" w:hAnsiTheme="minorHAnsi" w:cs="Times New Roman"/>
          <w:sz w:val="22"/>
          <w:szCs w:val="22"/>
          <w:lang w:val="en-US"/>
        </w:rPr>
      </w:pPr>
    </w:p>
    <w:p w:rsidR="0073649B" w:rsidRPr="00337C97" w:rsidRDefault="0073649B" w:rsidP="00AF177B">
      <w:pPr>
        <w:spacing w:line="360" w:lineRule="auto"/>
        <w:jc w:val="both"/>
        <w:outlineLvl w:val="2"/>
        <w:rPr>
          <w:rFonts w:asciiTheme="minorHAnsi" w:hAnsiTheme="minorHAnsi" w:cs="Times New Roman"/>
          <w:i/>
          <w:sz w:val="22"/>
          <w:szCs w:val="22"/>
          <w:lang w:val="en-US"/>
        </w:rPr>
      </w:pPr>
      <w:bookmarkStart w:id="74" w:name="_Toc236565314"/>
      <w:bookmarkStart w:id="75" w:name="_Toc241658891"/>
      <w:bookmarkStart w:id="76" w:name="_Toc242584763"/>
      <w:bookmarkStart w:id="77" w:name="_Toc242697399"/>
      <w:bookmarkStart w:id="78" w:name="_Toc242697634"/>
      <w:bookmarkStart w:id="79" w:name="_Toc245187871"/>
      <w:bookmarkStart w:id="80" w:name="_Toc269658915"/>
      <w:r w:rsidRPr="00337C97">
        <w:rPr>
          <w:rFonts w:asciiTheme="minorHAnsi" w:hAnsiTheme="minorHAnsi" w:cs="Times New Roman"/>
          <w:i/>
          <w:sz w:val="22"/>
          <w:szCs w:val="22"/>
          <w:lang w:val="en-US"/>
        </w:rPr>
        <w:t xml:space="preserve">2.3.1 </w:t>
      </w:r>
      <w:r w:rsidRPr="00337C97">
        <w:rPr>
          <w:rFonts w:asciiTheme="minorHAnsi" w:hAnsiTheme="minorHAnsi" w:cs="Times New Roman"/>
          <w:i/>
          <w:sz w:val="22"/>
          <w:szCs w:val="22"/>
          <w:lang w:val="en-US"/>
        </w:rPr>
        <w:tab/>
        <w:t>IFRS</w:t>
      </w:r>
      <w:bookmarkEnd w:id="74"/>
      <w:bookmarkEnd w:id="75"/>
      <w:bookmarkEnd w:id="76"/>
      <w:bookmarkEnd w:id="77"/>
      <w:bookmarkEnd w:id="78"/>
      <w:bookmarkEnd w:id="79"/>
      <w:bookmarkEnd w:id="80"/>
    </w:p>
    <w:p w:rsidR="006B5487" w:rsidRPr="00337C97" w:rsidRDefault="006B5487" w:rsidP="00EB0F78">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IASB, based in London</w:t>
      </w:r>
      <w:r w:rsidR="00A01176" w:rsidRPr="00337C97">
        <w:rPr>
          <w:rFonts w:asciiTheme="minorHAnsi" w:hAnsiTheme="minorHAnsi" w:cs="Times New Roman"/>
          <w:sz w:val="22"/>
          <w:szCs w:val="22"/>
          <w:lang w:val="en-US"/>
        </w:rPr>
        <w:t>, is committed to “</w:t>
      </w:r>
      <w:r w:rsidR="00A01176" w:rsidRPr="00337C97">
        <w:rPr>
          <w:rFonts w:asciiTheme="minorHAnsi" w:hAnsiTheme="minorHAnsi" w:cs="Times New Roman"/>
          <w:i/>
          <w:sz w:val="22"/>
          <w:szCs w:val="22"/>
          <w:lang w:val="en-US"/>
        </w:rPr>
        <w:t>develop</w:t>
      </w:r>
      <w:r w:rsidRPr="00337C97">
        <w:rPr>
          <w:rFonts w:asciiTheme="minorHAnsi" w:hAnsiTheme="minorHAnsi" w:cs="Times New Roman"/>
          <w:i/>
          <w:sz w:val="22"/>
          <w:szCs w:val="22"/>
          <w:lang w:val="en-US"/>
        </w:rPr>
        <w:t>, in the public interest, a single set of high quality, global accounting standards that require transparent and comparable information in gene</w:t>
      </w:r>
      <w:r w:rsidR="00C94AEC" w:rsidRPr="00337C97">
        <w:rPr>
          <w:rFonts w:asciiTheme="minorHAnsi" w:hAnsiTheme="minorHAnsi" w:cs="Times New Roman"/>
          <w:i/>
          <w:sz w:val="22"/>
          <w:szCs w:val="22"/>
          <w:lang w:val="en-US"/>
        </w:rPr>
        <w:t>ral purpose financial statements</w:t>
      </w:r>
      <w:r w:rsidRPr="00337C97">
        <w:rPr>
          <w:rFonts w:asciiTheme="minorHAnsi" w:hAnsiTheme="minorHAnsi" w:cs="Times New Roman"/>
          <w:sz w:val="22"/>
          <w:szCs w:val="22"/>
          <w:lang w:val="en-US"/>
        </w:rPr>
        <w:t>”</w:t>
      </w:r>
      <w:r w:rsidR="00BD5044" w:rsidRPr="00337C97">
        <w:rPr>
          <w:rFonts w:asciiTheme="minorHAnsi" w:hAnsiTheme="minorHAnsi" w:cs="Times New Roman"/>
          <w:sz w:val="22"/>
          <w:szCs w:val="22"/>
          <w:lang w:val="en-US"/>
        </w:rPr>
        <w:t xml:space="preserve"> (IASB, </w:t>
      </w:r>
      <w:r w:rsidRPr="00337C97">
        <w:rPr>
          <w:rFonts w:asciiTheme="minorHAnsi" w:hAnsiTheme="minorHAnsi" w:cs="Times New Roman"/>
          <w:sz w:val="22"/>
          <w:szCs w:val="22"/>
          <w:lang w:val="en-US"/>
        </w:rPr>
        <w:t>2006</w:t>
      </w:r>
      <w:r w:rsidR="00F12EE0" w:rsidRPr="00337C97">
        <w:rPr>
          <w:rFonts w:asciiTheme="minorHAnsi" w:hAnsiTheme="minorHAnsi" w:cs="Times New Roman"/>
          <w:sz w:val="22"/>
          <w:szCs w:val="22"/>
          <w:lang w:val="en-US"/>
        </w:rPr>
        <w:t>, p.</w:t>
      </w:r>
      <w:r w:rsidR="00BD5044" w:rsidRPr="00337C97">
        <w:rPr>
          <w:rFonts w:asciiTheme="minorHAnsi" w:hAnsiTheme="minorHAnsi" w:cs="Times New Roman"/>
          <w:sz w:val="22"/>
          <w:szCs w:val="22"/>
          <w:lang w:val="en-US"/>
        </w:rPr>
        <w:t xml:space="preserve"> </w:t>
      </w:r>
      <w:r w:rsidR="00F12EE0" w:rsidRPr="00337C97">
        <w:rPr>
          <w:rFonts w:asciiTheme="minorHAnsi" w:hAnsiTheme="minorHAnsi" w:cs="Times New Roman"/>
          <w:sz w:val="22"/>
          <w:szCs w:val="22"/>
          <w:lang w:val="en-US"/>
        </w:rPr>
        <w:t>3</w:t>
      </w:r>
      <w:r w:rsidRPr="00337C97">
        <w:rPr>
          <w:rFonts w:asciiTheme="minorHAnsi" w:hAnsiTheme="minorHAnsi" w:cs="Times New Roman"/>
          <w:sz w:val="22"/>
          <w:szCs w:val="22"/>
          <w:lang w:val="en-US"/>
        </w:rPr>
        <w:t xml:space="preserve">). The set of developed accounting standards </w:t>
      </w:r>
      <w:r w:rsidR="00A4161B" w:rsidRPr="00337C97">
        <w:rPr>
          <w:rFonts w:asciiTheme="minorHAnsi" w:hAnsiTheme="minorHAnsi" w:cs="Times New Roman"/>
          <w:sz w:val="22"/>
          <w:szCs w:val="22"/>
          <w:lang w:val="en-US"/>
        </w:rPr>
        <w:t>is</w:t>
      </w:r>
      <w:r w:rsidRPr="00337C97">
        <w:rPr>
          <w:rFonts w:asciiTheme="minorHAnsi" w:hAnsiTheme="minorHAnsi" w:cs="Times New Roman"/>
          <w:sz w:val="22"/>
          <w:szCs w:val="22"/>
          <w:lang w:val="en-US"/>
        </w:rPr>
        <w:t xml:space="preserve"> called International Financial Reporting Standards (IFRSs), applied throughout the European Union as of 1 </w:t>
      </w:r>
      <w:r w:rsidRPr="00337C97">
        <w:rPr>
          <w:rFonts w:asciiTheme="minorHAnsi" w:hAnsiTheme="minorHAnsi" w:cs="Times New Roman"/>
          <w:sz w:val="22"/>
          <w:szCs w:val="22"/>
          <w:lang w:val="en-US"/>
        </w:rPr>
        <w:lastRenderedPageBreak/>
        <w:t xml:space="preserve">January 2005. IFRSs </w:t>
      </w:r>
      <w:r w:rsidR="00F12EE0" w:rsidRPr="00337C97">
        <w:rPr>
          <w:rFonts w:asciiTheme="minorHAnsi" w:hAnsiTheme="minorHAnsi" w:cs="Times New Roman"/>
          <w:sz w:val="22"/>
          <w:szCs w:val="22"/>
          <w:lang w:val="en-US"/>
        </w:rPr>
        <w:t xml:space="preserve">and their interpretations </w:t>
      </w:r>
      <w:r w:rsidRPr="00337C97">
        <w:rPr>
          <w:rFonts w:asciiTheme="minorHAnsi" w:hAnsiTheme="minorHAnsi" w:cs="Times New Roman"/>
          <w:sz w:val="22"/>
          <w:szCs w:val="22"/>
          <w:lang w:val="en-US"/>
        </w:rPr>
        <w:t>are developed through a formal system of due process and broad international consultation (IASB, 2006</w:t>
      </w:r>
      <w:r w:rsidR="00F12EE0" w:rsidRPr="00337C97">
        <w:rPr>
          <w:rFonts w:asciiTheme="minorHAnsi" w:hAnsiTheme="minorHAnsi" w:cs="Times New Roman"/>
          <w:sz w:val="22"/>
          <w:szCs w:val="22"/>
          <w:lang w:val="en-US"/>
        </w:rPr>
        <w:t>, p.</w:t>
      </w:r>
      <w:r w:rsidR="00BD5044" w:rsidRPr="00337C97">
        <w:rPr>
          <w:rFonts w:asciiTheme="minorHAnsi" w:hAnsiTheme="minorHAnsi" w:cs="Times New Roman"/>
          <w:sz w:val="22"/>
          <w:szCs w:val="22"/>
          <w:lang w:val="en-US"/>
        </w:rPr>
        <w:t xml:space="preserve"> </w:t>
      </w:r>
      <w:r w:rsidR="00F12EE0" w:rsidRPr="00337C97">
        <w:rPr>
          <w:rFonts w:asciiTheme="minorHAnsi" w:hAnsiTheme="minorHAnsi" w:cs="Times New Roman"/>
          <w:sz w:val="22"/>
          <w:szCs w:val="22"/>
          <w:lang w:val="en-US"/>
        </w:rPr>
        <w:t>5-6</w:t>
      </w:r>
      <w:r w:rsidRPr="00337C97">
        <w:rPr>
          <w:rFonts w:asciiTheme="minorHAnsi" w:hAnsiTheme="minorHAnsi" w:cs="Times New Roman"/>
          <w:sz w:val="22"/>
          <w:szCs w:val="22"/>
          <w:lang w:val="en-US"/>
        </w:rPr>
        <w:t>). IFRS is meant to be a</w:t>
      </w:r>
      <w:r w:rsidR="00A4161B" w:rsidRPr="00337C97">
        <w:rPr>
          <w:rFonts w:asciiTheme="minorHAnsi" w:hAnsiTheme="minorHAnsi" w:cs="Times New Roman"/>
          <w:sz w:val="22"/>
          <w:szCs w:val="22"/>
          <w:lang w:val="en-US"/>
        </w:rPr>
        <w:t>n</w:t>
      </w:r>
      <w:r w:rsidRPr="00337C97">
        <w:rPr>
          <w:rFonts w:asciiTheme="minorHAnsi" w:hAnsiTheme="minorHAnsi" w:cs="Times New Roman"/>
          <w:sz w:val="22"/>
          <w:szCs w:val="22"/>
          <w:lang w:val="en-US"/>
        </w:rPr>
        <w:t xml:space="preserve"> uniform reporting system, to be applied globally and thereby to enhance the transparency and comparability of companies throughout the world.</w:t>
      </w:r>
    </w:p>
    <w:p w:rsidR="00EB0F78" w:rsidRPr="00337C97" w:rsidRDefault="00EB0F78" w:rsidP="00775DB0">
      <w:pPr>
        <w:spacing w:line="360" w:lineRule="auto"/>
        <w:jc w:val="both"/>
        <w:rPr>
          <w:rFonts w:asciiTheme="minorHAnsi" w:hAnsiTheme="minorHAnsi" w:cs="Times New Roman"/>
          <w:sz w:val="22"/>
          <w:szCs w:val="22"/>
          <w:lang w:val="en-US"/>
        </w:rPr>
      </w:pPr>
    </w:p>
    <w:p w:rsidR="000C2515" w:rsidRPr="00337C97" w:rsidRDefault="00DA442D" w:rsidP="00AF177B">
      <w:pPr>
        <w:spacing w:line="360" w:lineRule="auto"/>
        <w:jc w:val="both"/>
        <w:outlineLvl w:val="2"/>
        <w:rPr>
          <w:rFonts w:asciiTheme="minorHAnsi" w:hAnsiTheme="minorHAnsi" w:cs="Times New Roman"/>
          <w:i/>
          <w:sz w:val="22"/>
          <w:szCs w:val="22"/>
          <w:lang w:val="en-US"/>
        </w:rPr>
      </w:pPr>
      <w:bookmarkStart w:id="81" w:name="_Toc236565315"/>
      <w:bookmarkStart w:id="82" w:name="_Toc241658892"/>
      <w:bookmarkStart w:id="83" w:name="_Toc242584764"/>
      <w:bookmarkStart w:id="84" w:name="_Toc242697400"/>
      <w:bookmarkStart w:id="85" w:name="_Toc242697635"/>
      <w:bookmarkStart w:id="86" w:name="_Toc245187872"/>
      <w:bookmarkStart w:id="87" w:name="_Toc269658916"/>
      <w:r w:rsidRPr="00337C97">
        <w:rPr>
          <w:rFonts w:asciiTheme="minorHAnsi" w:hAnsiTheme="minorHAnsi" w:cs="Times New Roman"/>
          <w:i/>
          <w:sz w:val="22"/>
          <w:szCs w:val="22"/>
          <w:lang w:val="en-US"/>
        </w:rPr>
        <w:t>2.3.2</w:t>
      </w:r>
      <w:r w:rsidRPr="00337C97">
        <w:rPr>
          <w:rFonts w:asciiTheme="minorHAnsi" w:hAnsiTheme="minorHAnsi" w:cs="Times New Roman"/>
          <w:i/>
          <w:sz w:val="22"/>
          <w:szCs w:val="22"/>
          <w:lang w:val="en-US"/>
        </w:rPr>
        <w:tab/>
      </w:r>
      <w:r w:rsidR="000C2515" w:rsidRPr="00337C97">
        <w:rPr>
          <w:rFonts w:asciiTheme="minorHAnsi" w:hAnsiTheme="minorHAnsi" w:cs="Times New Roman"/>
          <w:i/>
          <w:sz w:val="22"/>
          <w:szCs w:val="22"/>
          <w:lang w:val="en-US"/>
        </w:rPr>
        <w:t>IFRS 7 Financial Instruments: Disclosures</w:t>
      </w:r>
      <w:bookmarkEnd w:id="81"/>
      <w:bookmarkEnd w:id="82"/>
      <w:bookmarkEnd w:id="83"/>
      <w:bookmarkEnd w:id="84"/>
      <w:bookmarkEnd w:id="85"/>
      <w:bookmarkEnd w:id="86"/>
      <w:bookmarkEnd w:id="87"/>
    </w:p>
    <w:p w:rsidR="00C83BD1" w:rsidRPr="00337C97" w:rsidRDefault="00861D6D" w:rsidP="00C83BD1">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An</w:t>
      </w:r>
      <w:r w:rsidR="009F151D" w:rsidRPr="00337C97">
        <w:rPr>
          <w:rFonts w:asciiTheme="minorHAnsi" w:hAnsiTheme="minorHAnsi" w:cs="Times New Roman"/>
          <w:sz w:val="22"/>
          <w:szCs w:val="22"/>
          <w:lang w:val="en-US"/>
        </w:rPr>
        <w:t xml:space="preserve"> important standard for banks </w:t>
      </w:r>
      <w:r w:rsidR="00BD03EB" w:rsidRPr="00337C97">
        <w:rPr>
          <w:rFonts w:asciiTheme="minorHAnsi" w:hAnsiTheme="minorHAnsi" w:cs="Times New Roman"/>
          <w:sz w:val="22"/>
          <w:szCs w:val="22"/>
          <w:lang w:val="en-US"/>
        </w:rPr>
        <w:t xml:space="preserve">and related to </w:t>
      </w:r>
      <w:r w:rsidR="005007D2" w:rsidRPr="00337C97">
        <w:rPr>
          <w:rFonts w:asciiTheme="minorHAnsi" w:hAnsiTheme="minorHAnsi" w:cs="Times New Roman"/>
          <w:sz w:val="22"/>
          <w:szCs w:val="22"/>
          <w:lang w:val="en-US"/>
        </w:rPr>
        <w:t>the</w:t>
      </w:r>
      <w:r w:rsidR="00BD03EB" w:rsidRPr="00337C97">
        <w:rPr>
          <w:rFonts w:asciiTheme="minorHAnsi" w:hAnsiTheme="minorHAnsi" w:cs="Times New Roman"/>
          <w:sz w:val="22"/>
          <w:szCs w:val="22"/>
          <w:lang w:val="en-US"/>
        </w:rPr>
        <w:t xml:space="preserve"> research subject </w:t>
      </w:r>
      <w:r w:rsidR="005007D2" w:rsidRPr="00337C97">
        <w:rPr>
          <w:rFonts w:asciiTheme="minorHAnsi" w:hAnsiTheme="minorHAnsi" w:cs="Times New Roman"/>
          <w:sz w:val="22"/>
          <w:szCs w:val="22"/>
          <w:lang w:val="en-US"/>
        </w:rPr>
        <w:t xml:space="preserve">of this paper </w:t>
      </w:r>
      <w:r w:rsidR="009F151D" w:rsidRPr="00337C97">
        <w:rPr>
          <w:rFonts w:asciiTheme="minorHAnsi" w:hAnsiTheme="minorHAnsi" w:cs="Times New Roman"/>
          <w:sz w:val="22"/>
          <w:szCs w:val="22"/>
          <w:lang w:val="en-US"/>
        </w:rPr>
        <w:t xml:space="preserve">is </w:t>
      </w:r>
      <w:r w:rsidR="009F151D" w:rsidRPr="00337C97">
        <w:rPr>
          <w:rFonts w:asciiTheme="minorHAnsi" w:hAnsiTheme="minorHAnsi" w:cs="Times New Roman"/>
          <w:i/>
          <w:sz w:val="22"/>
          <w:szCs w:val="22"/>
          <w:lang w:val="en-US"/>
        </w:rPr>
        <w:t>IFRS 7 Financial Instruments: Disclosures</w:t>
      </w:r>
      <w:r w:rsidR="009F151D" w:rsidRPr="00337C97">
        <w:rPr>
          <w:rFonts w:asciiTheme="minorHAnsi" w:hAnsiTheme="minorHAnsi" w:cs="Times New Roman"/>
          <w:sz w:val="22"/>
          <w:szCs w:val="22"/>
          <w:lang w:val="en-US"/>
        </w:rPr>
        <w:t>. This standard incorporates the disclosures relating to financial instruments required by IAS 32 and</w:t>
      </w:r>
      <w:r w:rsidR="009F151D" w:rsidRPr="00337C97">
        <w:rPr>
          <w:rFonts w:asciiTheme="minorHAnsi" w:hAnsiTheme="minorHAnsi" w:cs="Times New Roman"/>
          <w:i/>
          <w:sz w:val="22"/>
          <w:szCs w:val="22"/>
          <w:lang w:val="en-US"/>
        </w:rPr>
        <w:t xml:space="preserve"> </w:t>
      </w:r>
      <w:r w:rsidR="009F151D" w:rsidRPr="00337C97">
        <w:rPr>
          <w:rFonts w:asciiTheme="minorHAnsi" w:hAnsiTheme="minorHAnsi" w:cs="Times New Roman"/>
          <w:sz w:val="22"/>
          <w:szCs w:val="22"/>
          <w:lang w:val="en-US"/>
        </w:rPr>
        <w:t xml:space="preserve">replaces IAS 30, a standard </w:t>
      </w:r>
      <w:r w:rsidR="00EE1985" w:rsidRPr="00337C97">
        <w:rPr>
          <w:rFonts w:asciiTheme="minorHAnsi" w:hAnsiTheme="minorHAnsi" w:cs="Times New Roman"/>
          <w:sz w:val="22"/>
          <w:szCs w:val="22"/>
          <w:lang w:val="en-US"/>
        </w:rPr>
        <w:t>about disclosures that was intended only for banks and similar financial institutions. This means that</w:t>
      </w:r>
      <w:r w:rsidR="005B31F6" w:rsidRPr="00337C97">
        <w:rPr>
          <w:rFonts w:asciiTheme="minorHAnsi" w:hAnsiTheme="minorHAnsi" w:cs="Times New Roman"/>
          <w:sz w:val="22"/>
          <w:szCs w:val="22"/>
          <w:lang w:val="en-US"/>
        </w:rPr>
        <w:t xml:space="preserve"> since the introduction of IFRS 7</w:t>
      </w:r>
      <w:r w:rsidR="00EE1985" w:rsidRPr="00337C97">
        <w:rPr>
          <w:rFonts w:asciiTheme="minorHAnsi" w:hAnsiTheme="minorHAnsi" w:cs="Times New Roman"/>
          <w:sz w:val="22"/>
          <w:szCs w:val="22"/>
          <w:lang w:val="en-US"/>
        </w:rPr>
        <w:t xml:space="preserve"> all financial instruments disclosure requirements are located in a single stand</w:t>
      </w:r>
      <w:r w:rsidR="005B31F6" w:rsidRPr="00337C97">
        <w:rPr>
          <w:rFonts w:asciiTheme="minorHAnsi" w:hAnsiTheme="minorHAnsi" w:cs="Times New Roman"/>
          <w:sz w:val="22"/>
          <w:szCs w:val="22"/>
          <w:lang w:val="en-US"/>
        </w:rPr>
        <w:t>ard for all types of c</w:t>
      </w:r>
      <w:r w:rsidR="00787B22" w:rsidRPr="00337C97">
        <w:rPr>
          <w:rFonts w:asciiTheme="minorHAnsi" w:hAnsiTheme="minorHAnsi" w:cs="Times New Roman"/>
          <w:sz w:val="22"/>
          <w:szCs w:val="22"/>
          <w:lang w:val="en-US"/>
        </w:rPr>
        <w:t>ompanies (Ernst &amp; Young, 2007</w:t>
      </w:r>
      <w:r w:rsidR="00BD5044" w:rsidRPr="00337C97">
        <w:rPr>
          <w:rFonts w:asciiTheme="minorHAnsi" w:hAnsiTheme="minorHAnsi" w:cs="Times New Roman"/>
          <w:sz w:val="22"/>
          <w:szCs w:val="22"/>
          <w:lang w:val="en-US"/>
        </w:rPr>
        <w:t>, p. 1</w:t>
      </w:r>
      <w:r w:rsidR="00787B22" w:rsidRPr="00337C97">
        <w:rPr>
          <w:rFonts w:asciiTheme="minorHAnsi" w:hAnsiTheme="minorHAnsi" w:cs="Times New Roman"/>
          <w:sz w:val="22"/>
          <w:szCs w:val="22"/>
          <w:lang w:val="en-US"/>
        </w:rPr>
        <w:t>).</w:t>
      </w:r>
      <w:r w:rsidR="00C83BD1" w:rsidRPr="00337C97">
        <w:rPr>
          <w:rFonts w:asciiTheme="minorHAnsi" w:hAnsiTheme="minorHAnsi" w:cs="Times New Roman"/>
          <w:sz w:val="22"/>
          <w:szCs w:val="22"/>
          <w:lang w:val="en-US"/>
        </w:rPr>
        <w:t xml:space="preserve"> The objective of IFRS 7 is “</w:t>
      </w:r>
      <w:r w:rsidR="00C83BD1" w:rsidRPr="00337C97">
        <w:rPr>
          <w:rFonts w:asciiTheme="minorHAnsi" w:hAnsiTheme="minorHAnsi" w:cs="Times New Roman"/>
          <w:i/>
          <w:sz w:val="22"/>
          <w:szCs w:val="22"/>
          <w:lang w:val="en-US"/>
        </w:rPr>
        <w:t>to require entities to provide disclosures in their financial statements, that enable users to evaluate (1) the significance of financial instruments for the entity’s financial position and performance; and (2) the nature and extent of risks arising from financial instruments to which the entity is exposed during the period and at the reporting date, and how the entity manages those risks</w:t>
      </w:r>
      <w:r w:rsidR="00C83BD1" w:rsidRPr="00337C97">
        <w:rPr>
          <w:rFonts w:asciiTheme="minorHAnsi" w:hAnsiTheme="minorHAnsi" w:cs="Times New Roman"/>
          <w:sz w:val="22"/>
          <w:szCs w:val="22"/>
          <w:lang w:val="en-US"/>
        </w:rPr>
        <w:t xml:space="preserve">” (IASB, 2009). Three main risks are mentioned: market risk, credit risk and liquidity risk (PwC, 2006, p. 4). </w:t>
      </w:r>
    </w:p>
    <w:p w:rsidR="005B31F6" w:rsidRPr="00337C97" w:rsidRDefault="005B31F6" w:rsidP="00775DB0">
      <w:pPr>
        <w:spacing w:line="360" w:lineRule="auto"/>
        <w:jc w:val="both"/>
        <w:rPr>
          <w:rFonts w:asciiTheme="minorHAnsi" w:hAnsiTheme="minorHAnsi" w:cs="Times New Roman"/>
          <w:sz w:val="22"/>
          <w:szCs w:val="22"/>
          <w:lang w:val="en-US"/>
        </w:rPr>
      </w:pPr>
    </w:p>
    <w:p w:rsidR="005B31F6" w:rsidRPr="00337C97" w:rsidRDefault="005B31F6"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IFRS 7 disclosure requirements require both qualitative narrative descriptions and specific quantitative data. The level of detail of such disclosures should not overburden users with excessive detail, but equally should not obscure significant information as a result of excessive aggregation. Risk disclosures, according to IFRS 7, do not have to be given in the financial statements, but may either be provided in the financial statements or incorporated into the financial statements by reference from another statement, for example the management commentary or a separate risk report. However, as the risk disclosures are required by IFRS, they will be subject </w:t>
      </w:r>
      <w:r w:rsidR="00787B22" w:rsidRPr="00337C97">
        <w:rPr>
          <w:rFonts w:asciiTheme="minorHAnsi" w:hAnsiTheme="minorHAnsi" w:cs="Times New Roman"/>
          <w:sz w:val="22"/>
          <w:szCs w:val="22"/>
          <w:lang w:val="en-US"/>
        </w:rPr>
        <w:t>to audit (Ernst &amp; Young, 2007</w:t>
      </w:r>
      <w:r w:rsidR="002D6530" w:rsidRPr="00337C97">
        <w:rPr>
          <w:rFonts w:asciiTheme="minorHAnsi" w:hAnsiTheme="minorHAnsi" w:cs="Times New Roman"/>
          <w:sz w:val="22"/>
          <w:szCs w:val="22"/>
          <w:lang w:val="en-US"/>
        </w:rPr>
        <w:t xml:space="preserve">, p. </w:t>
      </w:r>
      <w:r w:rsidR="00BD5044" w:rsidRPr="00337C97">
        <w:rPr>
          <w:rFonts w:asciiTheme="minorHAnsi" w:hAnsiTheme="minorHAnsi" w:cs="Times New Roman"/>
          <w:sz w:val="22"/>
          <w:szCs w:val="22"/>
          <w:lang w:val="en-US"/>
        </w:rPr>
        <w:t>1</w:t>
      </w:r>
      <w:r w:rsidR="00787B22" w:rsidRPr="00337C97">
        <w:rPr>
          <w:rFonts w:asciiTheme="minorHAnsi" w:hAnsiTheme="minorHAnsi" w:cs="Times New Roman"/>
          <w:sz w:val="22"/>
          <w:szCs w:val="22"/>
          <w:lang w:val="en-US"/>
        </w:rPr>
        <w:t>).</w:t>
      </w:r>
    </w:p>
    <w:p w:rsidR="00BD5044" w:rsidRPr="00337C97" w:rsidRDefault="00BD5044" w:rsidP="00775DB0">
      <w:pPr>
        <w:spacing w:line="360" w:lineRule="auto"/>
        <w:jc w:val="both"/>
        <w:rPr>
          <w:rFonts w:asciiTheme="minorHAnsi" w:hAnsiTheme="minorHAnsi" w:cs="Times New Roman"/>
          <w:sz w:val="22"/>
          <w:szCs w:val="22"/>
          <w:lang w:val="en-US"/>
        </w:rPr>
      </w:pPr>
    </w:p>
    <w:p w:rsidR="00286719" w:rsidRPr="00337C97" w:rsidRDefault="00286719"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requirements to provide quantitative and qualitative market risk disclosures are new and may represent a significant challenge for many companies (PwC, 2006</w:t>
      </w:r>
      <w:r w:rsidR="00E60B42" w:rsidRPr="00337C97">
        <w:rPr>
          <w:rFonts w:asciiTheme="minorHAnsi" w:hAnsiTheme="minorHAnsi" w:cs="Times New Roman"/>
          <w:sz w:val="22"/>
          <w:szCs w:val="22"/>
          <w:lang w:val="en-US"/>
        </w:rPr>
        <w:t>, p. 2</w:t>
      </w:r>
      <w:r w:rsidRPr="00337C97">
        <w:rPr>
          <w:rFonts w:asciiTheme="minorHAnsi" w:hAnsiTheme="minorHAnsi" w:cs="Times New Roman"/>
          <w:sz w:val="22"/>
          <w:szCs w:val="22"/>
          <w:lang w:val="en-US"/>
        </w:rPr>
        <w:t xml:space="preserve">). The IASB defines the qualitative disclosures </w:t>
      </w:r>
      <w:r w:rsidR="00172E01" w:rsidRPr="00337C97">
        <w:rPr>
          <w:rFonts w:asciiTheme="minorHAnsi" w:hAnsiTheme="minorHAnsi" w:cs="Times New Roman"/>
          <w:sz w:val="22"/>
          <w:szCs w:val="22"/>
          <w:lang w:val="en-US"/>
        </w:rPr>
        <w:t>as management’s objectives, policies and processes for managing those risks. The quantitative disclosures has to provide information about the extent to which the entity is exposed to risk, based on information provided internally to the entity’s key management personnel</w:t>
      </w:r>
      <w:r w:rsidR="00917060" w:rsidRPr="00337C97">
        <w:rPr>
          <w:rFonts w:asciiTheme="minorHAnsi" w:hAnsiTheme="minorHAnsi" w:cs="Times New Roman"/>
          <w:sz w:val="22"/>
          <w:szCs w:val="22"/>
          <w:lang w:val="en-US"/>
        </w:rPr>
        <w:t xml:space="preserve"> (IASB,</w:t>
      </w:r>
      <w:r w:rsidR="001B2C77" w:rsidRPr="00337C97">
        <w:rPr>
          <w:rFonts w:asciiTheme="minorHAnsi" w:hAnsiTheme="minorHAnsi" w:cs="Times New Roman"/>
          <w:sz w:val="22"/>
          <w:szCs w:val="22"/>
          <w:lang w:val="en-US"/>
        </w:rPr>
        <w:t xml:space="preserve"> </w:t>
      </w:r>
      <w:r w:rsidR="00917060" w:rsidRPr="00337C97">
        <w:rPr>
          <w:rFonts w:asciiTheme="minorHAnsi" w:hAnsiTheme="minorHAnsi" w:cs="Times New Roman"/>
          <w:sz w:val="22"/>
          <w:szCs w:val="22"/>
          <w:lang w:val="en-US"/>
        </w:rPr>
        <w:t>200</w:t>
      </w:r>
      <w:r w:rsidR="006035C1" w:rsidRPr="00337C97">
        <w:rPr>
          <w:rFonts w:asciiTheme="minorHAnsi" w:hAnsiTheme="minorHAnsi" w:cs="Times New Roman"/>
          <w:sz w:val="22"/>
          <w:szCs w:val="22"/>
          <w:lang w:val="en-US"/>
        </w:rPr>
        <w:t>9</w:t>
      </w:r>
      <w:r w:rsidR="00917060" w:rsidRPr="00337C97">
        <w:rPr>
          <w:rFonts w:asciiTheme="minorHAnsi" w:hAnsiTheme="minorHAnsi" w:cs="Times New Roman"/>
          <w:sz w:val="22"/>
          <w:szCs w:val="22"/>
          <w:lang w:val="en-US"/>
        </w:rPr>
        <w:t>). As a result</w:t>
      </w:r>
      <w:r w:rsidR="002E615A" w:rsidRPr="00337C97">
        <w:rPr>
          <w:rFonts w:asciiTheme="minorHAnsi" w:hAnsiTheme="minorHAnsi" w:cs="Times New Roman"/>
          <w:sz w:val="22"/>
          <w:szCs w:val="22"/>
          <w:lang w:val="en-US"/>
        </w:rPr>
        <w:t>,</w:t>
      </w:r>
      <w:r w:rsidR="00917060" w:rsidRPr="00337C97">
        <w:rPr>
          <w:rFonts w:asciiTheme="minorHAnsi" w:hAnsiTheme="minorHAnsi" w:cs="Times New Roman"/>
          <w:sz w:val="22"/>
          <w:szCs w:val="22"/>
          <w:lang w:val="en-US"/>
        </w:rPr>
        <w:t xml:space="preserve"> this standard </w:t>
      </w:r>
      <w:r w:rsidR="00C312BE" w:rsidRPr="00337C97">
        <w:rPr>
          <w:rFonts w:asciiTheme="minorHAnsi" w:hAnsiTheme="minorHAnsi" w:cs="Times New Roman"/>
          <w:sz w:val="22"/>
          <w:szCs w:val="22"/>
          <w:lang w:val="en-US"/>
        </w:rPr>
        <w:t>should improve transparency and assist investors in assessing how comp</w:t>
      </w:r>
      <w:r w:rsidR="00787B22" w:rsidRPr="00337C97">
        <w:rPr>
          <w:rFonts w:asciiTheme="minorHAnsi" w:hAnsiTheme="minorHAnsi" w:cs="Times New Roman"/>
          <w:sz w:val="22"/>
          <w:szCs w:val="22"/>
          <w:lang w:val="en-US"/>
        </w:rPr>
        <w:t>anies are managing their risks.</w:t>
      </w:r>
    </w:p>
    <w:p w:rsidR="00C312BE" w:rsidRPr="00337C97" w:rsidRDefault="00C312BE" w:rsidP="00775DB0">
      <w:pPr>
        <w:spacing w:line="360" w:lineRule="auto"/>
        <w:jc w:val="both"/>
        <w:rPr>
          <w:rFonts w:asciiTheme="minorHAnsi" w:hAnsiTheme="minorHAnsi" w:cs="Times New Roman"/>
          <w:sz w:val="22"/>
          <w:szCs w:val="22"/>
          <w:lang w:val="en-US"/>
        </w:rPr>
      </w:pPr>
    </w:p>
    <w:p w:rsidR="00C312BE" w:rsidRPr="00337C97" w:rsidRDefault="00C312BE"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IFRS 7 applies to all entities, from a manufacturing company whose only financial instruments are accounts receivable and accounts payable</w:t>
      </w:r>
      <w:r w:rsidR="00A4161B"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to a financial institution most of whose assets and liabilities are financial instruments </w:t>
      </w:r>
      <w:r w:rsidR="00B41A5E" w:rsidRPr="00337C97">
        <w:rPr>
          <w:rFonts w:asciiTheme="minorHAnsi" w:hAnsiTheme="minorHAnsi" w:cs="Times New Roman"/>
          <w:sz w:val="22"/>
          <w:szCs w:val="22"/>
          <w:lang w:val="en-US"/>
        </w:rPr>
        <w:t>(IASB, 200</w:t>
      </w:r>
      <w:r w:rsidR="006035C1" w:rsidRPr="00337C97">
        <w:rPr>
          <w:rFonts w:asciiTheme="minorHAnsi" w:hAnsiTheme="minorHAnsi" w:cs="Times New Roman"/>
          <w:sz w:val="22"/>
          <w:szCs w:val="22"/>
          <w:lang w:val="en-US"/>
        </w:rPr>
        <w:t>9</w:t>
      </w:r>
      <w:r w:rsidR="00B41A5E"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 xml:space="preserve">It is </w:t>
      </w:r>
      <w:r w:rsidR="005007D2" w:rsidRPr="00337C97">
        <w:rPr>
          <w:rFonts w:asciiTheme="minorHAnsi" w:hAnsiTheme="minorHAnsi" w:cs="Times New Roman"/>
          <w:sz w:val="22"/>
          <w:szCs w:val="22"/>
          <w:lang w:val="en-US"/>
        </w:rPr>
        <w:t>obvious</w:t>
      </w:r>
      <w:r w:rsidRPr="00337C97">
        <w:rPr>
          <w:rFonts w:asciiTheme="minorHAnsi" w:hAnsiTheme="minorHAnsi" w:cs="Times New Roman"/>
          <w:sz w:val="22"/>
          <w:szCs w:val="22"/>
          <w:lang w:val="en-US"/>
        </w:rPr>
        <w:t xml:space="preserve"> that for banks the </w:t>
      </w:r>
      <w:r w:rsidR="005007D2" w:rsidRPr="00337C97">
        <w:rPr>
          <w:rFonts w:asciiTheme="minorHAnsi" w:hAnsiTheme="minorHAnsi" w:cs="Times New Roman"/>
          <w:sz w:val="22"/>
          <w:szCs w:val="22"/>
          <w:lang w:val="en-US"/>
        </w:rPr>
        <w:t xml:space="preserve">IFRS 7 </w:t>
      </w:r>
      <w:r w:rsidRPr="00337C97">
        <w:rPr>
          <w:rFonts w:asciiTheme="minorHAnsi" w:hAnsiTheme="minorHAnsi" w:cs="Times New Roman"/>
          <w:sz w:val="22"/>
          <w:szCs w:val="22"/>
          <w:lang w:val="en-US"/>
        </w:rPr>
        <w:t xml:space="preserve">disclosures will be </w:t>
      </w:r>
      <w:r w:rsidR="005007D2" w:rsidRPr="00337C97">
        <w:rPr>
          <w:rFonts w:asciiTheme="minorHAnsi" w:hAnsiTheme="minorHAnsi" w:cs="Times New Roman"/>
          <w:sz w:val="22"/>
          <w:szCs w:val="22"/>
          <w:lang w:val="en-US"/>
        </w:rPr>
        <w:t xml:space="preserve">substantially </w:t>
      </w:r>
      <w:r w:rsidR="00B41A5E" w:rsidRPr="00337C97">
        <w:rPr>
          <w:rFonts w:asciiTheme="minorHAnsi" w:hAnsiTheme="minorHAnsi" w:cs="Times New Roman"/>
          <w:sz w:val="22"/>
          <w:szCs w:val="22"/>
          <w:lang w:val="en-US"/>
        </w:rPr>
        <w:t>significant, since they are heavy users of financial instruments.</w:t>
      </w:r>
    </w:p>
    <w:p w:rsidR="00B41A5E" w:rsidRPr="00337C97" w:rsidRDefault="00B41A5E" w:rsidP="00775DB0">
      <w:pPr>
        <w:spacing w:line="360" w:lineRule="auto"/>
        <w:jc w:val="both"/>
        <w:rPr>
          <w:rFonts w:asciiTheme="minorHAnsi" w:hAnsiTheme="minorHAnsi" w:cs="Times New Roman"/>
          <w:sz w:val="22"/>
          <w:szCs w:val="22"/>
          <w:lang w:val="en-US"/>
        </w:rPr>
      </w:pPr>
    </w:p>
    <w:p w:rsidR="00C87587" w:rsidRPr="00337C97" w:rsidRDefault="00C87587" w:rsidP="00411AD6">
      <w:pPr>
        <w:spacing w:line="360" w:lineRule="auto"/>
        <w:jc w:val="both"/>
        <w:outlineLvl w:val="2"/>
        <w:rPr>
          <w:rFonts w:asciiTheme="minorHAnsi" w:hAnsiTheme="minorHAnsi" w:cs="Times New Roman"/>
          <w:i/>
          <w:sz w:val="22"/>
          <w:szCs w:val="22"/>
          <w:lang w:val="en-US"/>
        </w:rPr>
      </w:pPr>
      <w:bookmarkStart w:id="88" w:name="_Toc241658893"/>
      <w:bookmarkStart w:id="89" w:name="_Toc242584765"/>
      <w:bookmarkStart w:id="90" w:name="_Toc242697401"/>
      <w:bookmarkStart w:id="91" w:name="_Toc242697636"/>
      <w:bookmarkStart w:id="92" w:name="_Toc245187873"/>
      <w:bookmarkStart w:id="93" w:name="_Toc269658917"/>
      <w:r w:rsidRPr="00337C97">
        <w:rPr>
          <w:rFonts w:asciiTheme="minorHAnsi" w:hAnsiTheme="minorHAnsi" w:cs="Times New Roman"/>
          <w:i/>
          <w:sz w:val="22"/>
          <w:szCs w:val="22"/>
          <w:lang w:val="en-US"/>
        </w:rPr>
        <w:t>2.3.3</w:t>
      </w:r>
      <w:r w:rsidRPr="00337C97">
        <w:rPr>
          <w:rFonts w:asciiTheme="minorHAnsi" w:hAnsiTheme="minorHAnsi" w:cs="Times New Roman"/>
          <w:i/>
          <w:sz w:val="22"/>
          <w:szCs w:val="22"/>
          <w:lang w:val="en-US"/>
        </w:rPr>
        <w:tab/>
        <w:t>Regulatory risk reporting</w:t>
      </w:r>
      <w:bookmarkEnd w:id="88"/>
      <w:bookmarkEnd w:id="89"/>
      <w:bookmarkEnd w:id="90"/>
      <w:bookmarkEnd w:id="91"/>
      <w:bookmarkEnd w:id="92"/>
      <w:bookmarkEnd w:id="93"/>
    </w:p>
    <w:p w:rsidR="00A32028" w:rsidRPr="00337C97" w:rsidRDefault="00C94AEC" w:rsidP="002E61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status of current regulation of risk reporting</w:t>
      </w:r>
      <w:r w:rsidR="00C83BD1" w:rsidRPr="00337C97">
        <w:rPr>
          <w:rFonts w:asciiTheme="minorHAnsi" w:hAnsiTheme="minorHAnsi" w:cs="Times New Roman"/>
          <w:sz w:val="22"/>
          <w:szCs w:val="22"/>
          <w:lang w:val="en-US"/>
        </w:rPr>
        <w:t xml:space="preserve"> under IFRSs</w:t>
      </w:r>
      <w:r w:rsidRPr="00337C97">
        <w:rPr>
          <w:rFonts w:asciiTheme="minorHAnsi" w:hAnsiTheme="minorHAnsi" w:cs="Times New Roman"/>
          <w:sz w:val="22"/>
          <w:szCs w:val="22"/>
          <w:lang w:val="en-US"/>
        </w:rPr>
        <w:t xml:space="preserve"> is</w:t>
      </w:r>
      <w:r w:rsidR="002E615A" w:rsidRPr="00337C97">
        <w:rPr>
          <w:rFonts w:asciiTheme="minorHAnsi" w:hAnsiTheme="minorHAnsi" w:cs="Times New Roman"/>
          <w:sz w:val="22"/>
          <w:szCs w:val="22"/>
          <w:lang w:val="en-US"/>
        </w:rPr>
        <w:t xml:space="preserve"> </w:t>
      </w:r>
      <w:r w:rsidR="00C83BD1" w:rsidRPr="00337C97">
        <w:rPr>
          <w:rFonts w:asciiTheme="minorHAnsi" w:hAnsiTheme="minorHAnsi" w:cs="Times New Roman"/>
          <w:sz w:val="22"/>
          <w:szCs w:val="22"/>
          <w:lang w:val="en-US"/>
        </w:rPr>
        <w:t>predominantly focused on the market risk associated with the use of financial derivatives</w:t>
      </w:r>
      <w:r w:rsidR="002E615A" w:rsidRPr="00337C97">
        <w:rPr>
          <w:rFonts w:asciiTheme="minorHAnsi" w:hAnsiTheme="minorHAnsi" w:cs="Times New Roman"/>
          <w:sz w:val="22"/>
          <w:szCs w:val="22"/>
          <w:lang w:val="en-US"/>
        </w:rPr>
        <w:t xml:space="preserve">, as described in the previous paragraph. </w:t>
      </w:r>
      <w:r w:rsidR="00C83BD1" w:rsidRPr="00337C97">
        <w:rPr>
          <w:rFonts w:asciiTheme="minorHAnsi" w:hAnsiTheme="minorHAnsi" w:cs="Times New Roman"/>
          <w:sz w:val="22"/>
          <w:szCs w:val="22"/>
          <w:lang w:val="en-US"/>
        </w:rPr>
        <w:t>According to Beretta and Bozzolan (2004, p. 267) and Cabedo and Tirado (2004, p.</w:t>
      </w:r>
      <w:r w:rsidR="002E615A" w:rsidRPr="00337C97">
        <w:rPr>
          <w:rFonts w:asciiTheme="minorHAnsi" w:hAnsiTheme="minorHAnsi" w:cs="Times New Roman"/>
          <w:sz w:val="22"/>
          <w:szCs w:val="22"/>
          <w:lang w:val="en-US"/>
        </w:rPr>
        <w:t xml:space="preserve"> 181), this also holds for the accounting standards system in the US, the so-called US GAAP (Generally Accepted Accounting Principles). </w:t>
      </w:r>
      <w:r w:rsidR="00280D3D" w:rsidRPr="00337C97">
        <w:rPr>
          <w:rFonts w:asciiTheme="minorHAnsi" w:hAnsiTheme="minorHAnsi" w:cs="Times New Roman"/>
          <w:sz w:val="22"/>
          <w:szCs w:val="22"/>
          <w:lang w:val="en-US"/>
        </w:rPr>
        <w:t xml:space="preserve">SFAC No. 133 establishes the compulsory disclosure of market risks arising from the use of financial assets. </w:t>
      </w:r>
      <w:r w:rsidR="002E615A" w:rsidRPr="00337C97">
        <w:rPr>
          <w:rFonts w:asciiTheme="minorHAnsi" w:hAnsiTheme="minorHAnsi" w:cs="Times New Roman"/>
          <w:sz w:val="22"/>
          <w:szCs w:val="22"/>
          <w:lang w:val="en-US"/>
        </w:rPr>
        <w:t xml:space="preserve">Furthermore, </w:t>
      </w:r>
      <w:r w:rsidR="00401DCC" w:rsidRPr="00337C97">
        <w:rPr>
          <w:rFonts w:asciiTheme="minorHAnsi" w:hAnsiTheme="minorHAnsi" w:cs="Times New Roman"/>
          <w:sz w:val="22"/>
          <w:szCs w:val="22"/>
          <w:lang w:val="en-US"/>
        </w:rPr>
        <w:t>Financial R</w:t>
      </w:r>
      <w:r w:rsidR="00241435" w:rsidRPr="00337C97">
        <w:rPr>
          <w:rFonts w:asciiTheme="minorHAnsi" w:hAnsiTheme="minorHAnsi" w:cs="Times New Roman"/>
          <w:sz w:val="22"/>
          <w:szCs w:val="22"/>
          <w:lang w:val="en-US"/>
        </w:rPr>
        <w:t>eporting Release No. 48 (FRR 48, 1997) requires SEC registrants to disclose both qualitative and quantitat</w:t>
      </w:r>
      <w:r w:rsidR="00280D3D" w:rsidRPr="00337C97">
        <w:rPr>
          <w:rFonts w:asciiTheme="minorHAnsi" w:hAnsiTheme="minorHAnsi" w:cs="Times New Roman"/>
          <w:sz w:val="22"/>
          <w:szCs w:val="22"/>
          <w:lang w:val="en-US"/>
        </w:rPr>
        <w:t xml:space="preserve">ive information on market risks arising from adverse changes in interest and foreign exchange rates and in stock and commodity prices (Cabedo and Tirado, 2004, p. 183). </w:t>
      </w:r>
      <w:r w:rsidR="00C63EBF" w:rsidRPr="00337C97">
        <w:rPr>
          <w:rFonts w:asciiTheme="minorHAnsi" w:hAnsiTheme="minorHAnsi" w:cs="Times New Roman"/>
          <w:sz w:val="22"/>
          <w:szCs w:val="22"/>
          <w:lang w:val="en-US"/>
        </w:rPr>
        <w:t>This</w:t>
      </w:r>
      <w:r w:rsidR="00280D3D" w:rsidRPr="00337C97">
        <w:rPr>
          <w:rFonts w:asciiTheme="minorHAnsi" w:hAnsiTheme="minorHAnsi" w:cs="Times New Roman"/>
          <w:sz w:val="22"/>
          <w:szCs w:val="22"/>
          <w:lang w:val="en-US"/>
        </w:rPr>
        <w:t xml:space="preserve"> </w:t>
      </w:r>
      <w:r w:rsidR="002E615A" w:rsidRPr="00337C97">
        <w:rPr>
          <w:rFonts w:asciiTheme="minorHAnsi" w:hAnsiTheme="minorHAnsi" w:cs="Times New Roman"/>
          <w:sz w:val="22"/>
          <w:szCs w:val="22"/>
          <w:lang w:val="en-US"/>
        </w:rPr>
        <w:t xml:space="preserve">information </w:t>
      </w:r>
      <w:r w:rsidR="00280D3D" w:rsidRPr="00337C97">
        <w:rPr>
          <w:rFonts w:asciiTheme="minorHAnsi" w:hAnsiTheme="minorHAnsi" w:cs="Times New Roman"/>
          <w:sz w:val="22"/>
          <w:szCs w:val="22"/>
          <w:lang w:val="en-US"/>
        </w:rPr>
        <w:t>need</w:t>
      </w:r>
      <w:r w:rsidR="00A4161B" w:rsidRPr="00337C97">
        <w:rPr>
          <w:rFonts w:asciiTheme="minorHAnsi" w:hAnsiTheme="minorHAnsi" w:cs="Times New Roman"/>
          <w:sz w:val="22"/>
          <w:szCs w:val="22"/>
          <w:lang w:val="en-US"/>
        </w:rPr>
        <w:t>s</w:t>
      </w:r>
      <w:r w:rsidR="00280D3D" w:rsidRPr="00337C97">
        <w:rPr>
          <w:rFonts w:asciiTheme="minorHAnsi" w:hAnsiTheme="minorHAnsi" w:cs="Times New Roman"/>
          <w:sz w:val="22"/>
          <w:szCs w:val="22"/>
          <w:lang w:val="en-US"/>
        </w:rPr>
        <w:t xml:space="preserve"> to be disclosed </w:t>
      </w:r>
      <w:r w:rsidR="00241435" w:rsidRPr="00337C97">
        <w:rPr>
          <w:rFonts w:asciiTheme="minorHAnsi" w:hAnsiTheme="minorHAnsi" w:cs="Times New Roman"/>
          <w:sz w:val="22"/>
          <w:szCs w:val="22"/>
          <w:lang w:val="en-US"/>
        </w:rPr>
        <w:t>in the notes to the accounts and also in the management, discussion and analysis (MDA) section. The same regulatory principles are applied in Canada. In the UK, the operating and financial review (OFR</w:t>
      </w:r>
      <w:r w:rsidR="005007D2" w:rsidRPr="00337C97">
        <w:rPr>
          <w:rFonts w:asciiTheme="minorHAnsi" w:hAnsiTheme="minorHAnsi" w:cs="Times New Roman"/>
          <w:sz w:val="22"/>
          <w:szCs w:val="22"/>
          <w:lang w:val="en-US"/>
        </w:rPr>
        <w:t xml:space="preserve"> can be seen as</w:t>
      </w:r>
      <w:r w:rsidR="00241435" w:rsidRPr="00337C97">
        <w:rPr>
          <w:rFonts w:asciiTheme="minorHAnsi" w:hAnsiTheme="minorHAnsi" w:cs="Times New Roman"/>
          <w:sz w:val="22"/>
          <w:szCs w:val="22"/>
          <w:lang w:val="en-US"/>
        </w:rPr>
        <w:t xml:space="preserve"> the equivalent of MDA), was introduced in 1993 for listed companies and is still non-mandatory. </w:t>
      </w:r>
      <w:r w:rsidR="004F57A7" w:rsidRPr="00337C97">
        <w:rPr>
          <w:rFonts w:asciiTheme="minorHAnsi" w:hAnsiTheme="minorHAnsi" w:cs="Times New Roman"/>
          <w:sz w:val="22"/>
          <w:szCs w:val="22"/>
          <w:lang w:val="en-US"/>
        </w:rPr>
        <w:t>In this review, c</w:t>
      </w:r>
      <w:r w:rsidR="00241435" w:rsidRPr="00337C97">
        <w:rPr>
          <w:rFonts w:asciiTheme="minorHAnsi" w:hAnsiTheme="minorHAnsi" w:cs="Times New Roman"/>
          <w:sz w:val="22"/>
          <w:szCs w:val="22"/>
          <w:lang w:val="en-US"/>
        </w:rPr>
        <w:t>ompanies are recommended to disclose</w:t>
      </w:r>
      <w:r w:rsidR="004F57A7" w:rsidRPr="00337C97">
        <w:rPr>
          <w:rFonts w:asciiTheme="minorHAnsi" w:hAnsiTheme="minorHAnsi" w:cs="Times New Roman"/>
          <w:sz w:val="22"/>
          <w:szCs w:val="22"/>
          <w:lang w:val="en-US"/>
        </w:rPr>
        <w:t xml:space="preserve"> its review of key risks and it strongly encourages the inclusion of a clear discussion of trends affecting the future. In Germany, GAS5 requires information on risks to be presented in a separate s</w:t>
      </w:r>
      <w:r w:rsidR="004C42FC" w:rsidRPr="00337C97">
        <w:rPr>
          <w:rFonts w:asciiTheme="minorHAnsi" w:hAnsiTheme="minorHAnsi" w:cs="Times New Roman"/>
          <w:sz w:val="22"/>
          <w:szCs w:val="22"/>
          <w:lang w:val="en-US"/>
        </w:rPr>
        <w:t>ection of the management report</w:t>
      </w:r>
      <w:r w:rsidR="004F57A7" w:rsidRPr="00337C97">
        <w:rPr>
          <w:rFonts w:asciiTheme="minorHAnsi" w:hAnsiTheme="minorHAnsi" w:cs="Times New Roman"/>
          <w:sz w:val="22"/>
          <w:szCs w:val="22"/>
          <w:lang w:val="en-US"/>
        </w:rPr>
        <w:t xml:space="preserve"> </w:t>
      </w:r>
      <w:r w:rsidR="00C83BD1" w:rsidRPr="00337C97">
        <w:rPr>
          <w:rFonts w:asciiTheme="minorHAnsi" w:hAnsiTheme="minorHAnsi" w:cs="Times New Roman"/>
          <w:sz w:val="22"/>
          <w:szCs w:val="22"/>
          <w:lang w:val="en-US"/>
        </w:rPr>
        <w:t xml:space="preserve">(Amran et al., 2009, p. 41). </w:t>
      </w:r>
    </w:p>
    <w:p w:rsidR="00A32028" w:rsidRPr="00337C97" w:rsidRDefault="00A32028" w:rsidP="00775DB0">
      <w:pPr>
        <w:spacing w:line="360" w:lineRule="auto"/>
        <w:jc w:val="both"/>
        <w:rPr>
          <w:rFonts w:asciiTheme="minorHAnsi" w:hAnsiTheme="minorHAnsi" w:cs="Times New Roman"/>
          <w:sz w:val="22"/>
          <w:szCs w:val="22"/>
          <w:lang w:val="en-US"/>
        </w:rPr>
      </w:pPr>
    </w:p>
    <w:p w:rsidR="00697666" w:rsidRPr="00337C97" w:rsidRDefault="00271961" w:rsidP="00757FC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Although the basic disclosure requirements are comparable, additional </w:t>
      </w:r>
      <w:r w:rsidR="00757FC0" w:rsidRPr="00337C97">
        <w:rPr>
          <w:rFonts w:asciiTheme="minorHAnsi" w:hAnsiTheme="minorHAnsi" w:cs="Times New Roman"/>
          <w:sz w:val="22"/>
          <w:szCs w:val="22"/>
          <w:lang w:val="en-US"/>
        </w:rPr>
        <w:t>regulation per country results</w:t>
      </w:r>
      <w:r w:rsidRPr="00337C97">
        <w:rPr>
          <w:rFonts w:asciiTheme="minorHAnsi" w:hAnsiTheme="minorHAnsi" w:cs="Times New Roman"/>
          <w:sz w:val="22"/>
          <w:szCs w:val="22"/>
          <w:lang w:val="en-US"/>
        </w:rPr>
        <w:t xml:space="preserve"> </w:t>
      </w:r>
      <w:r w:rsidR="00757FC0" w:rsidRPr="00337C97">
        <w:rPr>
          <w:rFonts w:asciiTheme="minorHAnsi" w:hAnsiTheme="minorHAnsi" w:cs="Times New Roman"/>
          <w:sz w:val="22"/>
          <w:szCs w:val="22"/>
          <w:lang w:val="en-US"/>
        </w:rPr>
        <w:t>in</w:t>
      </w:r>
      <w:r w:rsidRPr="00337C97">
        <w:rPr>
          <w:rFonts w:asciiTheme="minorHAnsi" w:hAnsiTheme="minorHAnsi" w:cs="Times New Roman"/>
          <w:sz w:val="22"/>
          <w:szCs w:val="22"/>
          <w:lang w:val="en-US"/>
        </w:rPr>
        <w:t xml:space="preserve"> significant differences in regulation regarding risk reporting. To illustrate this variation </w:t>
      </w:r>
      <w:r w:rsidR="00A32028" w:rsidRPr="00337C97">
        <w:rPr>
          <w:rFonts w:asciiTheme="minorHAnsi" w:hAnsiTheme="minorHAnsi" w:cs="Times New Roman"/>
          <w:sz w:val="22"/>
          <w:szCs w:val="22"/>
          <w:lang w:val="en-US"/>
        </w:rPr>
        <w:t>a</w:t>
      </w:r>
      <w:r w:rsidR="009866E5" w:rsidRPr="00337C97">
        <w:rPr>
          <w:rFonts w:asciiTheme="minorHAnsi" w:hAnsiTheme="minorHAnsi" w:cs="Times New Roman"/>
          <w:sz w:val="22"/>
          <w:szCs w:val="22"/>
          <w:lang w:val="en-US"/>
        </w:rPr>
        <w:t xml:space="preserve">ppendix A shows a comparison of risk reporting requirements in the United States of America, according to IFRSs and in Germany. </w:t>
      </w:r>
      <w:r w:rsidR="00A32028" w:rsidRPr="00337C97">
        <w:rPr>
          <w:rFonts w:asciiTheme="minorHAnsi" w:hAnsiTheme="minorHAnsi" w:cs="Times New Roman"/>
          <w:sz w:val="22"/>
          <w:szCs w:val="22"/>
          <w:lang w:val="en-US"/>
        </w:rPr>
        <w:t xml:space="preserve">Most regimes </w:t>
      </w:r>
      <w:r w:rsidRPr="00337C97">
        <w:rPr>
          <w:rFonts w:asciiTheme="minorHAnsi" w:hAnsiTheme="minorHAnsi" w:cs="Times New Roman"/>
          <w:sz w:val="22"/>
          <w:szCs w:val="22"/>
          <w:lang w:val="en-US"/>
        </w:rPr>
        <w:t xml:space="preserve">including IFRS and US GAAP </w:t>
      </w:r>
      <w:r w:rsidR="00A32028" w:rsidRPr="00337C97">
        <w:rPr>
          <w:rFonts w:asciiTheme="minorHAnsi" w:hAnsiTheme="minorHAnsi" w:cs="Times New Roman"/>
          <w:sz w:val="22"/>
          <w:szCs w:val="22"/>
          <w:lang w:val="en-US"/>
        </w:rPr>
        <w:t>follow a piecemeal approach. They mandate selected risk-related disclosures referring to specific categories of risks</w:t>
      </w:r>
      <w:r w:rsidR="00D44872" w:rsidRPr="00337C97">
        <w:rPr>
          <w:rFonts w:asciiTheme="minorHAnsi" w:hAnsiTheme="minorHAnsi" w:cs="Times New Roman"/>
          <w:sz w:val="22"/>
          <w:szCs w:val="22"/>
          <w:lang w:val="en-US"/>
        </w:rPr>
        <w:t xml:space="preserve"> and miss therefore a comprehensive and systematic approach on the reporting of relevant risks (Meijer, 2003, p. 110).</w:t>
      </w:r>
      <w:r w:rsidR="00A32028" w:rsidRPr="00337C97">
        <w:rPr>
          <w:rFonts w:asciiTheme="minorHAnsi" w:hAnsiTheme="minorHAnsi" w:cs="Times New Roman"/>
          <w:sz w:val="22"/>
          <w:szCs w:val="22"/>
          <w:lang w:val="en-US"/>
        </w:rPr>
        <w:t xml:space="preserve"> An exception is </w:t>
      </w:r>
      <w:r w:rsidR="00D44872" w:rsidRPr="00337C97">
        <w:rPr>
          <w:rFonts w:asciiTheme="minorHAnsi" w:hAnsiTheme="minorHAnsi" w:cs="Times New Roman"/>
          <w:sz w:val="22"/>
          <w:szCs w:val="22"/>
          <w:lang w:val="en-US"/>
        </w:rPr>
        <w:t>Germany that</w:t>
      </w:r>
      <w:r w:rsidR="00A32028" w:rsidRPr="00337C97">
        <w:rPr>
          <w:rFonts w:asciiTheme="minorHAnsi" w:hAnsiTheme="minorHAnsi" w:cs="Times New Roman"/>
          <w:sz w:val="22"/>
          <w:szCs w:val="22"/>
          <w:lang w:val="en-US"/>
        </w:rPr>
        <w:t xml:space="preserve"> has a separate standard (GAS 5) on comprehensive risk reporting. The risk reporting requirements of US GAAP and IFRSs are however roughly comparable (Dobler, 2008, p. 185).</w:t>
      </w:r>
    </w:p>
    <w:p w:rsidR="00697666" w:rsidRDefault="00697666">
      <w:pPr>
        <w:rPr>
          <w:rFonts w:asciiTheme="minorHAnsi" w:hAnsiTheme="minorHAnsi" w:cs="Times New Roman"/>
          <w:b/>
          <w:sz w:val="22"/>
          <w:szCs w:val="22"/>
          <w:lang w:val="en-US"/>
        </w:rPr>
      </w:pPr>
      <w:bookmarkStart w:id="94" w:name="_Toc236565316"/>
      <w:bookmarkStart w:id="95" w:name="_Toc241658894"/>
      <w:bookmarkStart w:id="96" w:name="_Toc242584766"/>
      <w:bookmarkStart w:id="97" w:name="_Toc242697402"/>
      <w:bookmarkStart w:id="98" w:name="_Toc242697637"/>
      <w:bookmarkStart w:id="99" w:name="_Toc245187874"/>
      <w:r>
        <w:rPr>
          <w:rFonts w:asciiTheme="minorHAnsi" w:hAnsiTheme="minorHAnsi" w:cs="Times New Roman"/>
          <w:b/>
          <w:sz w:val="22"/>
          <w:szCs w:val="22"/>
          <w:lang w:val="en-US"/>
        </w:rPr>
        <w:br w:type="page"/>
      </w:r>
    </w:p>
    <w:p w:rsidR="007E61C9" w:rsidRPr="00337C97" w:rsidRDefault="00F63E26" w:rsidP="00AF177B">
      <w:pPr>
        <w:spacing w:line="360" w:lineRule="auto"/>
        <w:jc w:val="both"/>
        <w:outlineLvl w:val="1"/>
        <w:rPr>
          <w:rFonts w:asciiTheme="minorHAnsi" w:hAnsiTheme="minorHAnsi" w:cs="Times New Roman"/>
          <w:b/>
          <w:sz w:val="22"/>
          <w:szCs w:val="22"/>
          <w:lang w:val="en-US"/>
        </w:rPr>
      </w:pPr>
      <w:bookmarkStart w:id="100" w:name="_Toc269658918"/>
      <w:r w:rsidRPr="00337C97">
        <w:rPr>
          <w:rFonts w:asciiTheme="minorHAnsi" w:hAnsiTheme="minorHAnsi" w:cs="Times New Roman"/>
          <w:b/>
          <w:sz w:val="22"/>
          <w:szCs w:val="22"/>
          <w:lang w:val="en-US"/>
        </w:rPr>
        <w:lastRenderedPageBreak/>
        <w:t>2.</w:t>
      </w:r>
      <w:r w:rsidR="0028441A" w:rsidRPr="00337C97">
        <w:rPr>
          <w:rFonts w:asciiTheme="minorHAnsi" w:hAnsiTheme="minorHAnsi" w:cs="Times New Roman"/>
          <w:b/>
          <w:sz w:val="22"/>
          <w:szCs w:val="22"/>
          <w:lang w:val="en-US"/>
        </w:rPr>
        <w:t>4</w:t>
      </w:r>
      <w:r w:rsidRPr="00337C97">
        <w:rPr>
          <w:rFonts w:asciiTheme="minorHAnsi" w:hAnsiTheme="minorHAnsi" w:cs="Times New Roman"/>
          <w:b/>
          <w:sz w:val="22"/>
          <w:szCs w:val="22"/>
          <w:lang w:val="en-US"/>
        </w:rPr>
        <w:tab/>
        <w:t xml:space="preserve">Basel </w:t>
      </w:r>
      <w:r w:rsidR="00A01176" w:rsidRPr="00337C97">
        <w:rPr>
          <w:rFonts w:asciiTheme="minorHAnsi" w:hAnsiTheme="minorHAnsi" w:cs="Times New Roman"/>
          <w:b/>
          <w:sz w:val="22"/>
          <w:szCs w:val="22"/>
          <w:lang w:val="en-US"/>
        </w:rPr>
        <w:t>Accords</w:t>
      </w:r>
      <w:bookmarkEnd w:id="94"/>
      <w:bookmarkEnd w:id="95"/>
      <w:bookmarkEnd w:id="96"/>
      <w:bookmarkEnd w:id="97"/>
      <w:bookmarkEnd w:id="98"/>
      <w:bookmarkEnd w:id="99"/>
      <w:bookmarkEnd w:id="100"/>
    </w:p>
    <w:p w:rsidR="00F63E26" w:rsidRPr="00337C97" w:rsidRDefault="00F63E26"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Bank for International Settlements</w:t>
      </w:r>
      <w:r w:rsidR="009858C0" w:rsidRPr="00337C97">
        <w:rPr>
          <w:rFonts w:asciiTheme="minorHAnsi" w:hAnsiTheme="minorHAnsi" w:cs="Times New Roman"/>
          <w:sz w:val="22"/>
          <w:szCs w:val="22"/>
          <w:lang w:val="en-US"/>
        </w:rPr>
        <w:t xml:space="preserve"> (BIS)</w:t>
      </w:r>
      <w:r w:rsidRPr="00337C97">
        <w:rPr>
          <w:rFonts w:asciiTheme="minorHAnsi" w:hAnsiTheme="minorHAnsi" w:cs="Times New Roman"/>
          <w:sz w:val="22"/>
          <w:szCs w:val="22"/>
          <w:lang w:val="en-US"/>
        </w:rPr>
        <w:t xml:space="preserve">, headed in Switzerland, is an international </w:t>
      </w:r>
      <w:r w:rsidR="00B7732F" w:rsidRPr="00337C97">
        <w:rPr>
          <w:rFonts w:asciiTheme="minorHAnsi" w:hAnsiTheme="minorHAnsi" w:cs="Times New Roman"/>
          <w:sz w:val="22"/>
          <w:szCs w:val="22"/>
          <w:lang w:val="en-US"/>
        </w:rPr>
        <w:t>organization</w:t>
      </w:r>
      <w:r w:rsidRPr="00337C97">
        <w:rPr>
          <w:rFonts w:asciiTheme="minorHAnsi" w:hAnsiTheme="minorHAnsi" w:cs="Times New Roman"/>
          <w:sz w:val="22"/>
          <w:szCs w:val="22"/>
          <w:lang w:val="en-US"/>
        </w:rPr>
        <w:t xml:space="preserve"> which fosters international monetary and financial cooperation and serves as a bank for central banks. One of the key objectives is to promote monetary and financial stability in the banking sector. For this reason a special committee was appointed in 1974 to enhance understanding of key supervisory issues and improve the quality of banking supervision worldwide, called the Basel Committee on Banking Supervision (BIS</w:t>
      </w:r>
      <w:r w:rsidR="00935665" w:rsidRPr="00337C97">
        <w:rPr>
          <w:rFonts w:asciiTheme="minorHAnsi" w:hAnsiTheme="minorHAnsi" w:cs="Times New Roman"/>
          <w:sz w:val="22"/>
          <w:szCs w:val="22"/>
          <w:lang w:val="en-US"/>
        </w:rPr>
        <w:t>, 2009).</w:t>
      </w:r>
    </w:p>
    <w:p w:rsidR="00B4675C" w:rsidRPr="00337C97" w:rsidRDefault="00B4675C" w:rsidP="00775DB0">
      <w:pPr>
        <w:spacing w:line="360" w:lineRule="auto"/>
        <w:jc w:val="both"/>
        <w:rPr>
          <w:rFonts w:asciiTheme="minorHAnsi" w:hAnsiTheme="minorHAnsi" w:cs="Times New Roman"/>
          <w:sz w:val="22"/>
          <w:szCs w:val="22"/>
          <w:lang w:val="en-US"/>
        </w:rPr>
      </w:pPr>
    </w:p>
    <w:p w:rsidR="00D1179A" w:rsidRPr="00337C97" w:rsidRDefault="00B4675C"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w:t>
      </w:r>
      <w:r w:rsidR="00F63E26" w:rsidRPr="00337C97">
        <w:rPr>
          <w:rFonts w:asciiTheme="minorHAnsi" w:hAnsiTheme="minorHAnsi" w:cs="Times New Roman"/>
          <w:sz w:val="22"/>
          <w:szCs w:val="22"/>
          <w:lang w:val="en-US"/>
        </w:rPr>
        <w:t xml:space="preserve">he Basel Committee </w:t>
      </w:r>
      <w:r w:rsidRPr="00337C97">
        <w:rPr>
          <w:rFonts w:asciiTheme="minorHAnsi" w:hAnsiTheme="minorHAnsi" w:cs="Times New Roman"/>
          <w:sz w:val="22"/>
          <w:szCs w:val="22"/>
          <w:lang w:val="en-US"/>
        </w:rPr>
        <w:t xml:space="preserve">does not possess any formal supranational supervisory authority. Rather, the committee </w:t>
      </w:r>
      <w:r w:rsidR="00F63E26" w:rsidRPr="00337C97">
        <w:rPr>
          <w:rFonts w:asciiTheme="minorHAnsi" w:hAnsiTheme="minorHAnsi" w:cs="Times New Roman"/>
          <w:sz w:val="22"/>
          <w:szCs w:val="22"/>
          <w:lang w:val="en-US"/>
        </w:rPr>
        <w:t>formulates broad supervisory standards and guidelines</w:t>
      </w:r>
      <w:r w:rsidR="000C2515" w:rsidRPr="00337C97">
        <w:rPr>
          <w:rFonts w:asciiTheme="minorHAnsi" w:hAnsiTheme="minorHAnsi" w:cs="Times New Roman"/>
          <w:sz w:val="22"/>
          <w:szCs w:val="22"/>
          <w:lang w:val="en-US"/>
        </w:rPr>
        <w:t xml:space="preserve">. It also </w:t>
      </w:r>
      <w:r w:rsidR="00F63E26" w:rsidRPr="00337C97">
        <w:rPr>
          <w:rFonts w:asciiTheme="minorHAnsi" w:hAnsiTheme="minorHAnsi" w:cs="Times New Roman"/>
          <w:sz w:val="22"/>
          <w:szCs w:val="22"/>
          <w:lang w:val="en-US"/>
        </w:rPr>
        <w:t xml:space="preserve">recommends statements of best practice in banking supervision in the expectation that </w:t>
      </w:r>
      <w:r w:rsidR="000C2515" w:rsidRPr="00337C97">
        <w:rPr>
          <w:rFonts w:asciiTheme="minorHAnsi" w:hAnsiTheme="minorHAnsi" w:cs="Times New Roman"/>
          <w:sz w:val="22"/>
          <w:szCs w:val="22"/>
          <w:lang w:val="en-US"/>
        </w:rPr>
        <w:t xml:space="preserve">the national authorities of their members </w:t>
      </w:r>
      <w:r w:rsidR="00F63E26" w:rsidRPr="00337C97">
        <w:rPr>
          <w:rFonts w:asciiTheme="minorHAnsi" w:hAnsiTheme="minorHAnsi" w:cs="Times New Roman"/>
          <w:sz w:val="22"/>
          <w:szCs w:val="22"/>
          <w:lang w:val="en-US"/>
        </w:rPr>
        <w:t xml:space="preserve">will take steps to implement </w:t>
      </w:r>
      <w:r w:rsidR="000C2515" w:rsidRPr="00337C97">
        <w:rPr>
          <w:rFonts w:asciiTheme="minorHAnsi" w:hAnsiTheme="minorHAnsi" w:cs="Times New Roman"/>
          <w:sz w:val="22"/>
          <w:szCs w:val="22"/>
          <w:lang w:val="en-US"/>
        </w:rPr>
        <w:t>those</w:t>
      </w:r>
      <w:r w:rsidRPr="00337C97">
        <w:rPr>
          <w:rFonts w:asciiTheme="minorHAnsi" w:hAnsiTheme="minorHAnsi" w:cs="Times New Roman"/>
          <w:sz w:val="22"/>
          <w:szCs w:val="22"/>
          <w:lang w:val="en-US"/>
        </w:rPr>
        <w:t xml:space="preserve"> (BIS, 2009).</w:t>
      </w:r>
      <w:r w:rsidR="006C294C"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Their work resulted in the Basel Accords,</w:t>
      </w:r>
      <w:r w:rsidR="006C294C" w:rsidRPr="00337C97">
        <w:rPr>
          <w:rFonts w:asciiTheme="minorHAnsi" w:hAnsiTheme="minorHAnsi" w:cs="Times New Roman"/>
          <w:sz w:val="22"/>
          <w:szCs w:val="22"/>
          <w:lang w:val="en-US"/>
        </w:rPr>
        <w:t xml:space="preserve"> which are some of the most influential agreements in modern international finance. Drafted in 1988 and 2004, Basel I and II have ushered in a new era of international banking cooperation. Both accords have helped harmonize banking supervision, regulation and capital adequacy standards</w:t>
      </w:r>
      <w:r w:rsidR="002477AC" w:rsidRPr="00337C97">
        <w:rPr>
          <w:rFonts w:asciiTheme="minorHAnsi" w:hAnsiTheme="minorHAnsi" w:cs="Times New Roman"/>
          <w:sz w:val="22"/>
          <w:szCs w:val="22"/>
          <w:lang w:val="en-US"/>
        </w:rPr>
        <w:t xml:space="preserve"> (Balin, 2008, p. 1). </w:t>
      </w:r>
      <w:r w:rsidR="00D6519A" w:rsidRPr="00337C97">
        <w:rPr>
          <w:rFonts w:asciiTheme="minorHAnsi" w:hAnsiTheme="minorHAnsi" w:cs="Times New Roman"/>
          <w:sz w:val="22"/>
          <w:szCs w:val="22"/>
          <w:lang w:val="en-US"/>
        </w:rPr>
        <w:t xml:space="preserve">In January 2007 </w:t>
      </w:r>
      <w:r w:rsidR="000C2515" w:rsidRPr="00337C97">
        <w:rPr>
          <w:rFonts w:asciiTheme="minorHAnsi" w:hAnsiTheme="minorHAnsi" w:cs="Times New Roman"/>
          <w:sz w:val="22"/>
          <w:szCs w:val="22"/>
          <w:lang w:val="en-US"/>
        </w:rPr>
        <w:t xml:space="preserve">the Basel II Accord </w:t>
      </w:r>
      <w:r w:rsidR="00D6519A" w:rsidRPr="00337C97">
        <w:rPr>
          <w:rFonts w:asciiTheme="minorHAnsi" w:hAnsiTheme="minorHAnsi" w:cs="Times New Roman"/>
          <w:sz w:val="22"/>
          <w:szCs w:val="22"/>
          <w:lang w:val="en-US"/>
        </w:rPr>
        <w:t>was implemented in the European Union via the Capital Requirements Directive (CRD)</w:t>
      </w:r>
      <w:r w:rsidR="003957D0" w:rsidRPr="00337C97">
        <w:rPr>
          <w:rStyle w:val="Voetnootmarkering"/>
          <w:rFonts w:asciiTheme="minorHAnsi" w:hAnsiTheme="minorHAnsi" w:cs="Times New Roman"/>
          <w:sz w:val="22"/>
          <w:szCs w:val="22"/>
          <w:lang w:val="en-US"/>
        </w:rPr>
        <w:footnoteReference w:id="2"/>
      </w:r>
      <w:r w:rsidR="00D6519A" w:rsidRPr="00337C97">
        <w:rPr>
          <w:rFonts w:asciiTheme="minorHAnsi" w:hAnsiTheme="minorHAnsi" w:cs="Times New Roman"/>
          <w:sz w:val="22"/>
          <w:szCs w:val="22"/>
          <w:lang w:val="en-US"/>
        </w:rPr>
        <w:t>, which is legally binding fo</w:t>
      </w:r>
      <w:r w:rsidR="00935665" w:rsidRPr="00337C97">
        <w:rPr>
          <w:rFonts w:asciiTheme="minorHAnsi" w:hAnsiTheme="minorHAnsi" w:cs="Times New Roman"/>
          <w:sz w:val="22"/>
          <w:szCs w:val="22"/>
          <w:lang w:val="en-US"/>
        </w:rPr>
        <w:t>r every member state of the EU.</w:t>
      </w:r>
      <w:r w:rsidR="003957D0" w:rsidRPr="00337C97">
        <w:rPr>
          <w:rFonts w:asciiTheme="minorHAnsi" w:hAnsiTheme="minorHAnsi" w:cs="Times New Roman"/>
          <w:sz w:val="22"/>
          <w:szCs w:val="22"/>
          <w:lang w:val="en-US"/>
        </w:rPr>
        <w:t xml:space="preserve"> T</w:t>
      </w:r>
      <w:r w:rsidR="0099568A" w:rsidRPr="00337C97">
        <w:rPr>
          <w:rFonts w:asciiTheme="minorHAnsi" w:hAnsiTheme="minorHAnsi" w:cs="Times New Roman"/>
          <w:sz w:val="22"/>
          <w:szCs w:val="22"/>
          <w:lang w:val="en-US"/>
        </w:rPr>
        <w:t xml:space="preserve">he </w:t>
      </w:r>
      <w:r w:rsidR="003957D0" w:rsidRPr="00337C97">
        <w:rPr>
          <w:rFonts w:asciiTheme="minorHAnsi" w:hAnsiTheme="minorHAnsi" w:cs="Times New Roman"/>
          <w:sz w:val="22"/>
          <w:szCs w:val="22"/>
          <w:lang w:val="en-US"/>
        </w:rPr>
        <w:t xml:space="preserve">CRD gave </w:t>
      </w:r>
      <w:r w:rsidR="0099568A" w:rsidRPr="00337C97">
        <w:rPr>
          <w:rFonts w:asciiTheme="minorHAnsi" w:hAnsiTheme="minorHAnsi" w:cs="Times New Roman"/>
          <w:sz w:val="22"/>
          <w:szCs w:val="22"/>
          <w:lang w:val="en-US"/>
        </w:rPr>
        <w:t xml:space="preserve">financial institutions the </w:t>
      </w:r>
      <w:r w:rsidR="003957D0" w:rsidRPr="00337C97">
        <w:rPr>
          <w:rFonts w:asciiTheme="minorHAnsi" w:hAnsiTheme="minorHAnsi" w:cs="Times New Roman"/>
          <w:sz w:val="22"/>
          <w:szCs w:val="22"/>
          <w:lang w:val="en-US"/>
        </w:rPr>
        <w:t>option</w:t>
      </w:r>
      <w:r w:rsidR="0099568A" w:rsidRPr="00337C97">
        <w:rPr>
          <w:rFonts w:asciiTheme="minorHAnsi" w:hAnsiTheme="minorHAnsi" w:cs="Times New Roman"/>
          <w:sz w:val="22"/>
          <w:szCs w:val="22"/>
          <w:lang w:val="en-US"/>
        </w:rPr>
        <w:t xml:space="preserve"> </w:t>
      </w:r>
      <w:r w:rsidR="003957D0" w:rsidRPr="00337C97">
        <w:rPr>
          <w:rFonts w:asciiTheme="minorHAnsi" w:hAnsiTheme="minorHAnsi" w:cs="Times New Roman"/>
          <w:sz w:val="22"/>
          <w:szCs w:val="22"/>
          <w:lang w:val="en-US"/>
        </w:rPr>
        <w:t xml:space="preserve">whether </w:t>
      </w:r>
      <w:r w:rsidR="0099568A" w:rsidRPr="00337C97">
        <w:rPr>
          <w:rFonts w:asciiTheme="minorHAnsi" w:hAnsiTheme="minorHAnsi" w:cs="Times New Roman"/>
          <w:sz w:val="22"/>
          <w:szCs w:val="22"/>
          <w:lang w:val="en-US"/>
        </w:rPr>
        <w:t xml:space="preserve">to apply the </w:t>
      </w:r>
      <w:r w:rsidR="001E6627" w:rsidRPr="00337C97">
        <w:rPr>
          <w:rFonts w:asciiTheme="minorHAnsi" w:hAnsiTheme="minorHAnsi" w:cs="Times New Roman"/>
          <w:sz w:val="22"/>
          <w:szCs w:val="22"/>
          <w:lang w:val="en-US"/>
        </w:rPr>
        <w:t>old Basel I rules or the revised</w:t>
      </w:r>
      <w:r w:rsidR="003957D0" w:rsidRPr="00337C97">
        <w:rPr>
          <w:rFonts w:asciiTheme="minorHAnsi" w:hAnsiTheme="minorHAnsi" w:cs="Times New Roman"/>
          <w:sz w:val="22"/>
          <w:szCs w:val="22"/>
          <w:lang w:val="en-US"/>
        </w:rPr>
        <w:t xml:space="preserve"> Basel II rules </w:t>
      </w:r>
      <w:r w:rsidR="0099568A" w:rsidRPr="00337C97">
        <w:rPr>
          <w:rFonts w:asciiTheme="minorHAnsi" w:hAnsiTheme="minorHAnsi" w:cs="Times New Roman"/>
          <w:sz w:val="22"/>
          <w:szCs w:val="22"/>
          <w:lang w:val="en-US"/>
        </w:rPr>
        <w:t xml:space="preserve">during 2007. </w:t>
      </w:r>
      <w:r w:rsidR="003957D0" w:rsidRPr="00337C97">
        <w:rPr>
          <w:rFonts w:asciiTheme="minorHAnsi" w:hAnsiTheme="minorHAnsi" w:cs="Times New Roman"/>
          <w:sz w:val="22"/>
          <w:szCs w:val="22"/>
          <w:lang w:val="en-US"/>
        </w:rPr>
        <w:t>However</w:t>
      </w:r>
      <w:r w:rsidR="0099568A" w:rsidRPr="00337C97">
        <w:rPr>
          <w:rFonts w:asciiTheme="minorHAnsi" w:hAnsiTheme="minorHAnsi" w:cs="Times New Roman"/>
          <w:sz w:val="22"/>
          <w:szCs w:val="22"/>
          <w:lang w:val="en-US"/>
        </w:rPr>
        <w:t xml:space="preserve">, </w:t>
      </w:r>
      <w:r w:rsidR="003957D0" w:rsidRPr="00337C97">
        <w:rPr>
          <w:rFonts w:asciiTheme="minorHAnsi" w:hAnsiTheme="minorHAnsi" w:cs="Times New Roman"/>
          <w:sz w:val="22"/>
          <w:szCs w:val="22"/>
          <w:lang w:val="en-US"/>
        </w:rPr>
        <w:t xml:space="preserve">as of </w:t>
      </w:r>
      <w:r w:rsidR="0099568A" w:rsidRPr="00337C97">
        <w:rPr>
          <w:rFonts w:asciiTheme="minorHAnsi" w:hAnsiTheme="minorHAnsi" w:cs="Times New Roman"/>
          <w:sz w:val="22"/>
          <w:szCs w:val="22"/>
          <w:lang w:val="en-US"/>
        </w:rPr>
        <w:t xml:space="preserve">1 January 2008 </w:t>
      </w:r>
      <w:r w:rsidR="003957D0" w:rsidRPr="00337C97">
        <w:rPr>
          <w:rFonts w:asciiTheme="minorHAnsi" w:hAnsiTheme="minorHAnsi" w:cs="Times New Roman"/>
          <w:sz w:val="22"/>
          <w:szCs w:val="22"/>
          <w:lang w:val="en-US"/>
        </w:rPr>
        <w:t xml:space="preserve">institutions have to follow the revised rules of Basel II </w:t>
      </w:r>
      <w:r w:rsidR="0099568A" w:rsidRPr="00337C97">
        <w:rPr>
          <w:rFonts w:asciiTheme="minorHAnsi" w:hAnsiTheme="minorHAnsi" w:cs="Times New Roman"/>
          <w:sz w:val="22"/>
          <w:szCs w:val="22"/>
          <w:lang w:val="en-US"/>
        </w:rPr>
        <w:t>(De Nederlandsche Bank, 2</w:t>
      </w:r>
      <w:r w:rsidR="003957D0" w:rsidRPr="00337C97">
        <w:rPr>
          <w:rFonts w:asciiTheme="minorHAnsi" w:hAnsiTheme="minorHAnsi" w:cs="Times New Roman"/>
          <w:sz w:val="22"/>
          <w:szCs w:val="22"/>
          <w:lang w:val="en-US"/>
        </w:rPr>
        <w:t>007).</w:t>
      </w:r>
    </w:p>
    <w:p w:rsidR="00FF75A7" w:rsidRPr="00337C97" w:rsidRDefault="00FF75A7" w:rsidP="00775DB0">
      <w:pPr>
        <w:spacing w:line="360" w:lineRule="auto"/>
        <w:jc w:val="both"/>
        <w:rPr>
          <w:rFonts w:asciiTheme="minorHAnsi" w:hAnsiTheme="minorHAnsi" w:cs="Times New Roman"/>
          <w:sz w:val="22"/>
          <w:szCs w:val="22"/>
          <w:lang w:val="en-US"/>
        </w:rPr>
      </w:pPr>
    </w:p>
    <w:p w:rsidR="00882965" w:rsidRPr="00337C97" w:rsidRDefault="00D1179A"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w:t>
      </w:r>
      <w:r w:rsidR="000C432E" w:rsidRPr="00337C97">
        <w:rPr>
          <w:rFonts w:asciiTheme="minorHAnsi" w:hAnsiTheme="minorHAnsi" w:cs="Times New Roman"/>
          <w:sz w:val="22"/>
          <w:szCs w:val="22"/>
          <w:lang w:val="en-US"/>
        </w:rPr>
        <w:t>e principal purpose of the framework is to create a more stable banking system, based upon three complementary pillars:</w:t>
      </w:r>
      <w:r w:rsidR="00882965" w:rsidRPr="00337C97">
        <w:rPr>
          <w:rFonts w:asciiTheme="minorHAnsi" w:hAnsiTheme="minorHAnsi" w:cs="Times New Roman"/>
          <w:sz w:val="22"/>
          <w:szCs w:val="22"/>
          <w:lang w:val="en-US"/>
        </w:rPr>
        <w:t xml:space="preserve"> (1) capital adequacy requirements, (2) supervisory review and (3) market discipline.</w:t>
      </w:r>
      <w:r w:rsidR="000C432E" w:rsidRPr="00337C97">
        <w:rPr>
          <w:rFonts w:asciiTheme="minorHAnsi" w:hAnsiTheme="minorHAnsi" w:cs="Times New Roman"/>
          <w:sz w:val="22"/>
          <w:szCs w:val="22"/>
          <w:lang w:val="en-US"/>
        </w:rPr>
        <w:t xml:space="preserve"> Pillar 1 </w:t>
      </w:r>
      <w:r w:rsidR="000C2515" w:rsidRPr="00337C97">
        <w:rPr>
          <w:rFonts w:asciiTheme="minorHAnsi" w:hAnsiTheme="minorHAnsi" w:cs="Times New Roman"/>
          <w:sz w:val="22"/>
          <w:szCs w:val="22"/>
          <w:lang w:val="en-US"/>
        </w:rPr>
        <w:t xml:space="preserve">formulates </w:t>
      </w:r>
      <w:r w:rsidR="000C432E" w:rsidRPr="00337C97">
        <w:rPr>
          <w:rFonts w:asciiTheme="minorHAnsi" w:hAnsiTheme="minorHAnsi" w:cs="Times New Roman"/>
          <w:sz w:val="22"/>
          <w:szCs w:val="22"/>
          <w:lang w:val="en-US"/>
        </w:rPr>
        <w:t>guidelines for the calculation of a bank’s minimum capital requirements and pillar 2 sets out the roles and responsibilities of supervisors in reviewing banks’ assessments of their risks and capital requirements. Pillar 3 is the part of the new accord that has the greatest significance for this thesis, as it sets out the risk disclosures required to ensure that the market discipline mechanism can work effectively (Linsley and Shrives, 2005</w:t>
      </w:r>
      <w:r w:rsidR="00074637" w:rsidRPr="00337C97">
        <w:rPr>
          <w:rFonts w:asciiTheme="minorHAnsi" w:hAnsiTheme="minorHAnsi" w:cs="Times New Roman"/>
          <w:sz w:val="22"/>
          <w:szCs w:val="22"/>
          <w:lang w:val="en-US"/>
        </w:rPr>
        <w:t>a</w:t>
      </w:r>
      <w:r w:rsidR="002D6530" w:rsidRPr="00337C97">
        <w:rPr>
          <w:rFonts w:asciiTheme="minorHAnsi" w:hAnsiTheme="minorHAnsi" w:cs="Times New Roman"/>
          <w:sz w:val="22"/>
          <w:szCs w:val="22"/>
          <w:lang w:val="en-US"/>
        </w:rPr>
        <w:t>, p. 207</w:t>
      </w:r>
      <w:r w:rsidR="000C432E" w:rsidRPr="00337C97">
        <w:rPr>
          <w:rFonts w:asciiTheme="minorHAnsi" w:hAnsiTheme="minorHAnsi" w:cs="Times New Roman"/>
          <w:sz w:val="22"/>
          <w:szCs w:val="22"/>
          <w:lang w:val="en-US"/>
        </w:rPr>
        <w:t>).</w:t>
      </w:r>
      <w:r w:rsidR="00F9629A" w:rsidRPr="00337C97">
        <w:rPr>
          <w:rFonts w:asciiTheme="minorHAnsi" w:hAnsiTheme="minorHAnsi" w:cs="Times New Roman"/>
          <w:sz w:val="22"/>
          <w:szCs w:val="22"/>
          <w:lang w:val="en-US"/>
        </w:rPr>
        <w:t xml:space="preserve"> Appendix</w:t>
      </w:r>
      <w:r w:rsidR="009866E5" w:rsidRPr="00337C97">
        <w:rPr>
          <w:rFonts w:asciiTheme="minorHAnsi" w:hAnsiTheme="minorHAnsi" w:cs="Times New Roman"/>
          <w:sz w:val="22"/>
          <w:szCs w:val="22"/>
          <w:lang w:val="en-US"/>
        </w:rPr>
        <w:t xml:space="preserve"> B</w:t>
      </w:r>
      <w:r w:rsidR="00F9629A" w:rsidRPr="00337C97">
        <w:rPr>
          <w:rFonts w:asciiTheme="minorHAnsi" w:hAnsiTheme="minorHAnsi" w:cs="Times New Roman"/>
          <w:sz w:val="22"/>
          <w:szCs w:val="22"/>
          <w:lang w:val="en-US"/>
        </w:rPr>
        <w:t xml:space="preserve"> shows</w:t>
      </w:r>
      <w:r w:rsidR="008E3533" w:rsidRPr="00337C97">
        <w:rPr>
          <w:rFonts w:asciiTheme="minorHAnsi" w:hAnsiTheme="minorHAnsi" w:cs="Times New Roman"/>
          <w:sz w:val="22"/>
          <w:szCs w:val="22"/>
          <w:lang w:val="en-US"/>
        </w:rPr>
        <w:t xml:space="preserve"> a summary of</w:t>
      </w:r>
      <w:r w:rsidR="00F9629A" w:rsidRPr="00337C97">
        <w:rPr>
          <w:rFonts w:asciiTheme="minorHAnsi" w:hAnsiTheme="minorHAnsi" w:cs="Times New Roman"/>
          <w:sz w:val="22"/>
          <w:szCs w:val="22"/>
          <w:lang w:val="en-US"/>
        </w:rPr>
        <w:t xml:space="preserve"> the disclosure requirements in the 2004 framework, including quantitati</w:t>
      </w:r>
      <w:r w:rsidR="00A4557F" w:rsidRPr="00337C97">
        <w:rPr>
          <w:rFonts w:asciiTheme="minorHAnsi" w:hAnsiTheme="minorHAnsi" w:cs="Times New Roman"/>
          <w:sz w:val="22"/>
          <w:szCs w:val="22"/>
          <w:lang w:val="en-US"/>
        </w:rPr>
        <w:t>ve and qualitative disclosures.</w:t>
      </w:r>
    </w:p>
    <w:p w:rsidR="000C432E" w:rsidRPr="00337C97" w:rsidRDefault="000C432E" w:rsidP="00775DB0">
      <w:pPr>
        <w:spacing w:line="360" w:lineRule="auto"/>
        <w:jc w:val="both"/>
        <w:rPr>
          <w:rFonts w:asciiTheme="minorHAnsi" w:hAnsiTheme="minorHAnsi" w:cs="Times New Roman"/>
          <w:sz w:val="22"/>
          <w:szCs w:val="22"/>
          <w:lang w:val="en-US"/>
        </w:rPr>
      </w:pPr>
    </w:p>
    <w:p w:rsidR="004B5D81" w:rsidRPr="00337C97" w:rsidRDefault="004E03EE" w:rsidP="00775D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third pillar of Basel II provides a framework whereby banks’ risk exposures will be disclosed to the marketplace under a common, </w:t>
      </w:r>
      <w:r w:rsidR="000A061E" w:rsidRPr="00337C97">
        <w:rPr>
          <w:rFonts w:asciiTheme="minorHAnsi" w:hAnsiTheme="minorHAnsi" w:cs="Times New Roman"/>
          <w:sz w:val="22"/>
          <w:szCs w:val="22"/>
          <w:lang w:val="en-US"/>
        </w:rPr>
        <w:t>standardized</w:t>
      </w:r>
      <w:r w:rsidRPr="00337C97">
        <w:rPr>
          <w:rFonts w:asciiTheme="minorHAnsi" w:hAnsiTheme="minorHAnsi" w:cs="Times New Roman"/>
          <w:sz w:val="22"/>
          <w:szCs w:val="22"/>
          <w:lang w:val="en-US"/>
        </w:rPr>
        <w:t xml:space="preserve"> approach (Linsley and Shrives, 2005</w:t>
      </w:r>
      <w:r w:rsidR="00074637"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 p. 210). </w:t>
      </w:r>
      <w:r w:rsidR="004B5D81" w:rsidRPr="00337C97">
        <w:rPr>
          <w:rFonts w:asciiTheme="minorHAnsi" w:hAnsiTheme="minorHAnsi" w:cs="Times New Roman"/>
          <w:sz w:val="22"/>
          <w:szCs w:val="22"/>
          <w:lang w:val="en-US"/>
        </w:rPr>
        <w:t xml:space="preserve">Balin </w:t>
      </w:r>
      <w:r w:rsidR="004B5D81" w:rsidRPr="00337C97">
        <w:rPr>
          <w:rFonts w:asciiTheme="minorHAnsi" w:hAnsiTheme="minorHAnsi" w:cs="Times New Roman"/>
          <w:sz w:val="22"/>
          <w:szCs w:val="22"/>
          <w:lang w:val="en-US"/>
        </w:rPr>
        <w:lastRenderedPageBreak/>
        <w:t>(2008</w:t>
      </w:r>
      <w:r w:rsidR="002477AC" w:rsidRPr="00337C97">
        <w:rPr>
          <w:rFonts w:asciiTheme="minorHAnsi" w:hAnsiTheme="minorHAnsi" w:cs="Times New Roman"/>
          <w:sz w:val="22"/>
          <w:szCs w:val="22"/>
          <w:lang w:val="en-US"/>
        </w:rPr>
        <w:t>, p. 12</w:t>
      </w:r>
      <w:r w:rsidR="004B5D81" w:rsidRPr="00337C97">
        <w:rPr>
          <w:rFonts w:asciiTheme="minorHAnsi" w:hAnsiTheme="minorHAnsi" w:cs="Times New Roman"/>
          <w:sz w:val="22"/>
          <w:szCs w:val="22"/>
          <w:lang w:val="en-US"/>
        </w:rPr>
        <w:t>) states</w:t>
      </w:r>
      <w:r w:rsidRPr="00337C97">
        <w:rPr>
          <w:rFonts w:asciiTheme="minorHAnsi" w:hAnsiTheme="minorHAnsi" w:cs="Times New Roman"/>
          <w:sz w:val="22"/>
          <w:szCs w:val="22"/>
          <w:lang w:val="en-US"/>
        </w:rPr>
        <w:t>, in line with Linsley and Shrives (2005</w:t>
      </w:r>
      <w:r w:rsidR="00074637"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w:t>
      </w:r>
      <w:r w:rsidR="004B5D81" w:rsidRPr="00337C97">
        <w:rPr>
          <w:rFonts w:asciiTheme="minorHAnsi" w:hAnsiTheme="minorHAnsi" w:cs="Times New Roman"/>
          <w:sz w:val="22"/>
          <w:szCs w:val="22"/>
          <w:lang w:val="en-US"/>
        </w:rPr>
        <w:t xml:space="preserve"> that </w:t>
      </w:r>
      <w:r w:rsidR="000C2515" w:rsidRPr="00337C97">
        <w:rPr>
          <w:rFonts w:asciiTheme="minorHAnsi" w:hAnsiTheme="minorHAnsi" w:cs="Times New Roman"/>
          <w:sz w:val="22"/>
          <w:szCs w:val="22"/>
          <w:lang w:val="en-US"/>
        </w:rPr>
        <w:t>Pillar 3</w:t>
      </w:r>
      <w:r w:rsidR="004B5D81" w:rsidRPr="00337C97">
        <w:rPr>
          <w:rFonts w:asciiTheme="minorHAnsi" w:hAnsiTheme="minorHAnsi" w:cs="Times New Roman"/>
          <w:sz w:val="22"/>
          <w:szCs w:val="22"/>
          <w:lang w:val="en-US"/>
        </w:rPr>
        <w:t xml:space="preserve"> </w:t>
      </w:r>
      <w:r w:rsidR="000C2515" w:rsidRPr="00337C97">
        <w:rPr>
          <w:rFonts w:asciiTheme="minorHAnsi" w:hAnsiTheme="minorHAnsi" w:cs="Times New Roman"/>
          <w:sz w:val="22"/>
          <w:szCs w:val="22"/>
          <w:lang w:val="en-US"/>
        </w:rPr>
        <w:t>intends</w:t>
      </w:r>
      <w:r w:rsidR="004B5D81" w:rsidRPr="00337C97">
        <w:rPr>
          <w:rFonts w:asciiTheme="minorHAnsi" w:hAnsiTheme="minorHAnsi" w:cs="Times New Roman"/>
          <w:sz w:val="22"/>
          <w:szCs w:val="22"/>
          <w:lang w:val="en-US"/>
        </w:rPr>
        <w:t xml:space="preserve"> to increase the market discipline within a country’s banking sector. The Basel II Accord recommends that disclosures of </w:t>
      </w:r>
      <w:r w:rsidR="00935665" w:rsidRPr="00337C97">
        <w:rPr>
          <w:rFonts w:asciiTheme="minorHAnsi" w:hAnsiTheme="minorHAnsi" w:cs="Times New Roman"/>
          <w:sz w:val="22"/>
          <w:szCs w:val="22"/>
          <w:lang w:val="en-US"/>
        </w:rPr>
        <w:t>a bank’s capital</w:t>
      </w:r>
      <w:r w:rsidR="004B5D81" w:rsidRPr="00337C97">
        <w:rPr>
          <w:rFonts w:asciiTheme="minorHAnsi" w:hAnsiTheme="minorHAnsi" w:cs="Times New Roman"/>
          <w:sz w:val="22"/>
          <w:szCs w:val="22"/>
          <w:lang w:val="en-US"/>
        </w:rPr>
        <w:t xml:space="preserve"> and risk-taking positions</w:t>
      </w:r>
      <w:r w:rsidR="00917060" w:rsidRPr="00337C97">
        <w:rPr>
          <w:rFonts w:asciiTheme="minorHAnsi" w:hAnsiTheme="minorHAnsi" w:cs="Times New Roman"/>
          <w:sz w:val="22"/>
          <w:szCs w:val="22"/>
          <w:lang w:val="en-US"/>
        </w:rPr>
        <w:t>,</w:t>
      </w:r>
      <w:r w:rsidR="004B5D81" w:rsidRPr="00337C97">
        <w:rPr>
          <w:rFonts w:asciiTheme="minorHAnsi" w:hAnsiTheme="minorHAnsi" w:cs="Times New Roman"/>
          <w:sz w:val="22"/>
          <w:szCs w:val="22"/>
          <w:lang w:val="en-US"/>
        </w:rPr>
        <w:t xml:space="preserve"> </w:t>
      </w:r>
      <w:r w:rsidR="00917060" w:rsidRPr="00337C97">
        <w:rPr>
          <w:rFonts w:asciiTheme="minorHAnsi" w:hAnsiTheme="minorHAnsi" w:cs="Times New Roman"/>
          <w:sz w:val="22"/>
          <w:szCs w:val="22"/>
          <w:lang w:val="en-US"/>
        </w:rPr>
        <w:t>which</w:t>
      </w:r>
      <w:r w:rsidR="004B5D81" w:rsidRPr="00337C97">
        <w:rPr>
          <w:rFonts w:asciiTheme="minorHAnsi" w:hAnsiTheme="minorHAnsi" w:cs="Times New Roman"/>
          <w:sz w:val="22"/>
          <w:szCs w:val="22"/>
          <w:lang w:val="en-US"/>
        </w:rPr>
        <w:t xml:space="preserve"> were once only available to </w:t>
      </w:r>
      <w:r w:rsidR="00935665" w:rsidRPr="00337C97">
        <w:rPr>
          <w:rFonts w:asciiTheme="minorHAnsi" w:hAnsiTheme="minorHAnsi" w:cs="Times New Roman"/>
          <w:sz w:val="22"/>
          <w:szCs w:val="22"/>
          <w:lang w:val="en-US"/>
        </w:rPr>
        <w:t>regulators,</w:t>
      </w:r>
      <w:r w:rsidR="004B5D81" w:rsidRPr="00337C97">
        <w:rPr>
          <w:rFonts w:asciiTheme="minorHAnsi" w:hAnsiTheme="minorHAnsi" w:cs="Times New Roman"/>
          <w:sz w:val="22"/>
          <w:szCs w:val="22"/>
          <w:lang w:val="en-US"/>
        </w:rPr>
        <w:t xml:space="preserve"> should be released to the general public. Furthermore, a full description</w:t>
      </w:r>
      <w:r w:rsidR="000C2515" w:rsidRPr="00337C97">
        <w:rPr>
          <w:rFonts w:asciiTheme="minorHAnsi" w:hAnsiTheme="minorHAnsi" w:cs="Times New Roman"/>
          <w:sz w:val="22"/>
          <w:szCs w:val="22"/>
          <w:lang w:val="en-US"/>
        </w:rPr>
        <w:t xml:space="preserve">, including the </w:t>
      </w:r>
      <w:r w:rsidR="004B5D81" w:rsidRPr="00337C97">
        <w:rPr>
          <w:rFonts w:asciiTheme="minorHAnsi" w:hAnsiTheme="minorHAnsi" w:cs="Times New Roman"/>
          <w:sz w:val="22"/>
          <w:szCs w:val="22"/>
          <w:lang w:val="en-US"/>
        </w:rPr>
        <w:t>assumptions</w:t>
      </w:r>
      <w:r w:rsidR="000C2515" w:rsidRPr="00337C97">
        <w:rPr>
          <w:rFonts w:asciiTheme="minorHAnsi" w:hAnsiTheme="minorHAnsi" w:cs="Times New Roman"/>
          <w:sz w:val="22"/>
          <w:szCs w:val="22"/>
          <w:lang w:val="en-US"/>
        </w:rPr>
        <w:t>,</w:t>
      </w:r>
      <w:r w:rsidR="004B5D81" w:rsidRPr="00337C97">
        <w:rPr>
          <w:rFonts w:asciiTheme="minorHAnsi" w:hAnsiTheme="minorHAnsi" w:cs="Times New Roman"/>
          <w:sz w:val="22"/>
          <w:szCs w:val="22"/>
          <w:lang w:val="en-US"/>
        </w:rPr>
        <w:t xml:space="preserve"> of the risk mitigation approaches of a bank </w:t>
      </w:r>
      <w:r w:rsidR="000C2515" w:rsidRPr="00337C97">
        <w:rPr>
          <w:rFonts w:asciiTheme="minorHAnsi" w:hAnsiTheme="minorHAnsi" w:cs="Times New Roman"/>
          <w:sz w:val="22"/>
          <w:szCs w:val="22"/>
          <w:lang w:val="en-US"/>
        </w:rPr>
        <w:t xml:space="preserve">is </w:t>
      </w:r>
      <w:r w:rsidR="004B5D81" w:rsidRPr="00337C97">
        <w:rPr>
          <w:rFonts w:asciiTheme="minorHAnsi" w:hAnsiTheme="minorHAnsi" w:cs="Times New Roman"/>
          <w:sz w:val="22"/>
          <w:szCs w:val="22"/>
          <w:lang w:val="en-US"/>
        </w:rPr>
        <w:t>recommended for quarterly release to the general public. Balin (2008</w:t>
      </w:r>
      <w:r w:rsidR="002477AC" w:rsidRPr="00337C97">
        <w:rPr>
          <w:rFonts w:asciiTheme="minorHAnsi" w:hAnsiTheme="minorHAnsi" w:cs="Times New Roman"/>
          <w:sz w:val="22"/>
          <w:szCs w:val="22"/>
          <w:lang w:val="en-US"/>
        </w:rPr>
        <w:t>, p. 12</w:t>
      </w:r>
      <w:r w:rsidR="004B5D81" w:rsidRPr="00337C97">
        <w:rPr>
          <w:rFonts w:asciiTheme="minorHAnsi" w:hAnsiTheme="minorHAnsi" w:cs="Times New Roman"/>
          <w:sz w:val="22"/>
          <w:szCs w:val="22"/>
          <w:lang w:val="en-US"/>
        </w:rPr>
        <w:t>) point out that Basel II hopes to empower shareholders to enforce discipline in the risk-taking and reserve-holding methods of banks, where banks seen to hold too few reserves and take on too much risk are punished by their own shareholders for doing so. This follows the notion of Linsley and Shrives (2005</w:t>
      </w:r>
      <w:r w:rsidR="00074637" w:rsidRPr="00337C97">
        <w:rPr>
          <w:rFonts w:asciiTheme="minorHAnsi" w:hAnsiTheme="minorHAnsi" w:cs="Times New Roman"/>
          <w:sz w:val="22"/>
          <w:szCs w:val="22"/>
          <w:lang w:val="en-US"/>
        </w:rPr>
        <w:t>a</w:t>
      </w:r>
      <w:r w:rsidR="00AC5FDD" w:rsidRPr="00337C97">
        <w:rPr>
          <w:rFonts w:asciiTheme="minorHAnsi" w:hAnsiTheme="minorHAnsi" w:cs="Times New Roman"/>
          <w:sz w:val="22"/>
          <w:szCs w:val="22"/>
          <w:lang w:val="en-US"/>
        </w:rPr>
        <w:t>, p. 206</w:t>
      </w:r>
      <w:r w:rsidR="004B5D81" w:rsidRPr="00337C97">
        <w:rPr>
          <w:rFonts w:asciiTheme="minorHAnsi" w:hAnsiTheme="minorHAnsi" w:cs="Times New Roman"/>
          <w:sz w:val="22"/>
          <w:szCs w:val="22"/>
          <w:lang w:val="en-US"/>
        </w:rPr>
        <w:t>), who state that</w:t>
      </w:r>
      <w:r w:rsidR="009035AF" w:rsidRPr="00337C97">
        <w:rPr>
          <w:rFonts w:asciiTheme="minorHAnsi" w:hAnsiTheme="minorHAnsi" w:cs="Times New Roman"/>
          <w:sz w:val="22"/>
          <w:szCs w:val="22"/>
          <w:lang w:val="en-US"/>
        </w:rPr>
        <w:t>,</w:t>
      </w:r>
      <w:r w:rsidR="004B5D81" w:rsidRPr="00337C97">
        <w:rPr>
          <w:rFonts w:asciiTheme="minorHAnsi" w:hAnsiTheme="minorHAnsi" w:cs="Times New Roman"/>
          <w:sz w:val="22"/>
          <w:szCs w:val="22"/>
          <w:lang w:val="en-US"/>
        </w:rPr>
        <w:t xml:space="preserve"> following the importance of transparency, participants in the marketplace can sa</w:t>
      </w:r>
      <w:r w:rsidR="009035AF" w:rsidRPr="00337C97">
        <w:rPr>
          <w:rFonts w:asciiTheme="minorHAnsi" w:hAnsiTheme="minorHAnsi" w:cs="Times New Roman"/>
          <w:sz w:val="22"/>
          <w:szCs w:val="22"/>
          <w:lang w:val="en-US"/>
        </w:rPr>
        <w:t>n</w:t>
      </w:r>
      <w:r w:rsidR="004B5D81" w:rsidRPr="00337C97">
        <w:rPr>
          <w:rFonts w:asciiTheme="minorHAnsi" w:hAnsiTheme="minorHAnsi" w:cs="Times New Roman"/>
          <w:sz w:val="22"/>
          <w:szCs w:val="22"/>
          <w:lang w:val="en-US"/>
        </w:rPr>
        <w:t>ction banks whose financial condition or risk profile is considered, in some sense, un</w:t>
      </w:r>
      <w:r w:rsidR="00583D97" w:rsidRPr="00337C97">
        <w:rPr>
          <w:rFonts w:asciiTheme="minorHAnsi" w:hAnsiTheme="minorHAnsi" w:cs="Times New Roman"/>
          <w:sz w:val="22"/>
          <w:szCs w:val="22"/>
          <w:lang w:val="en-US"/>
        </w:rPr>
        <w:t>satisfactory.</w:t>
      </w:r>
    </w:p>
    <w:p w:rsidR="00882965" w:rsidRPr="00337C97" w:rsidRDefault="00882965" w:rsidP="00775DB0">
      <w:pPr>
        <w:spacing w:line="360" w:lineRule="auto"/>
        <w:jc w:val="both"/>
        <w:rPr>
          <w:rFonts w:asciiTheme="minorHAnsi" w:hAnsiTheme="minorHAnsi" w:cs="Times New Roman"/>
          <w:sz w:val="22"/>
          <w:szCs w:val="22"/>
          <w:lang w:val="en-US"/>
        </w:rPr>
      </w:pPr>
    </w:p>
    <w:p w:rsidR="00BD6C2E" w:rsidRPr="00337C97" w:rsidRDefault="0014400F" w:rsidP="0014400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final version of the Basel II framework was published in July 2006 and, as said before, became legally binding for every member state of the EU as of January 2007. Basel II was developed to meet some serious shortcomings in Basel I and greatly expanded the scope, technicality and depth of the original Basel Accord (Balin, 2008, p. 6).</w:t>
      </w:r>
      <w:r w:rsidR="00AD279C" w:rsidRPr="00337C97">
        <w:rPr>
          <w:rFonts w:asciiTheme="minorHAnsi" w:hAnsiTheme="minorHAnsi" w:cs="Times New Roman"/>
          <w:sz w:val="22"/>
          <w:szCs w:val="22"/>
          <w:lang w:val="en-US"/>
        </w:rPr>
        <w:t xml:space="preserve"> </w:t>
      </w:r>
      <w:r w:rsidR="00B75FED" w:rsidRPr="00337C97">
        <w:rPr>
          <w:rFonts w:asciiTheme="minorHAnsi" w:hAnsiTheme="minorHAnsi" w:cs="Times New Roman"/>
          <w:sz w:val="22"/>
          <w:szCs w:val="22"/>
          <w:lang w:val="en-US"/>
        </w:rPr>
        <w:t>However, Basel II was criticized</w:t>
      </w:r>
      <w:r w:rsidR="0083159F" w:rsidRPr="00337C97">
        <w:rPr>
          <w:rFonts w:asciiTheme="minorHAnsi" w:hAnsiTheme="minorHAnsi" w:cs="Times New Roman"/>
          <w:sz w:val="22"/>
          <w:szCs w:val="22"/>
          <w:lang w:val="en-US"/>
        </w:rPr>
        <w:t xml:space="preserve"> too</w:t>
      </w:r>
      <w:r w:rsidR="00B75FED" w:rsidRPr="00337C97">
        <w:rPr>
          <w:rFonts w:asciiTheme="minorHAnsi" w:hAnsiTheme="minorHAnsi" w:cs="Times New Roman"/>
          <w:sz w:val="22"/>
          <w:szCs w:val="22"/>
          <w:lang w:val="en-US"/>
        </w:rPr>
        <w:t xml:space="preserve">. According to the </w:t>
      </w:r>
      <w:r w:rsidR="0036263C" w:rsidRPr="00337C97">
        <w:rPr>
          <w:rFonts w:asciiTheme="minorHAnsi" w:hAnsiTheme="minorHAnsi" w:cs="Times New Roman"/>
          <w:sz w:val="22"/>
          <w:szCs w:val="22"/>
          <w:lang w:val="en-US"/>
        </w:rPr>
        <w:t xml:space="preserve">former </w:t>
      </w:r>
      <w:r w:rsidR="00B75FED" w:rsidRPr="00337C97">
        <w:rPr>
          <w:rFonts w:asciiTheme="minorHAnsi" w:hAnsiTheme="minorHAnsi" w:cs="Times New Roman"/>
          <w:sz w:val="22"/>
          <w:szCs w:val="22"/>
          <w:lang w:val="en-US"/>
        </w:rPr>
        <w:t xml:space="preserve">general manager of the BIS there are five major criticisms: (1) it is too complex; (2) it reinforces the procyclicality of the financial system; (3) it gives too much weight to the judgments of rating agencies; (4) it </w:t>
      </w:r>
      <w:r w:rsidR="000A061E" w:rsidRPr="00337C97">
        <w:rPr>
          <w:rFonts w:asciiTheme="minorHAnsi" w:hAnsiTheme="minorHAnsi" w:cs="Times New Roman"/>
          <w:sz w:val="22"/>
          <w:szCs w:val="22"/>
          <w:lang w:val="en-US"/>
        </w:rPr>
        <w:t>penalizes</w:t>
      </w:r>
      <w:r w:rsidR="00B75FED" w:rsidRPr="00337C97">
        <w:rPr>
          <w:rFonts w:asciiTheme="minorHAnsi" w:hAnsiTheme="minorHAnsi" w:cs="Times New Roman"/>
          <w:sz w:val="22"/>
          <w:szCs w:val="22"/>
          <w:lang w:val="en-US"/>
        </w:rPr>
        <w:t xml:space="preserve"> small and medium sized enterprises and (5) it does not take adequate account of the special situation and concerns of emerging countries</w:t>
      </w:r>
      <w:r w:rsidR="00BD6C2E" w:rsidRPr="00337C97">
        <w:rPr>
          <w:rFonts w:asciiTheme="minorHAnsi" w:hAnsiTheme="minorHAnsi" w:cs="Times New Roman"/>
          <w:sz w:val="22"/>
          <w:szCs w:val="22"/>
          <w:lang w:val="en-US"/>
        </w:rPr>
        <w:t xml:space="preserve"> (Crockett, 2003). Officially there is no sign of the development of a successor of Basel II. However, already in 2002 Crockett declared: </w:t>
      </w:r>
      <w:r w:rsidR="00BD6C2E" w:rsidRPr="00337C97">
        <w:rPr>
          <w:rFonts w:asciiTheme="minorHAnsi" w:hAnsiTheme="minorHAnsi" w:cs="Times New Roman"/>
          <w:i/>
          <w:sz w:val="22"/>
          <w:szCs w:val="22"/>
          <w:lang w:val="en-US"/>
        </w:rPr>
        <w:t>“</w:t>
      </w:r>
      <w:r w:rsidRPr="00337C97">
        <w:rPr>
          <w:rFonts w:asciiTheme="minorHAnsi" w:hAnsiTheme="minorHAnsi" w:cs="Times New Roman"/>
          <w:i/>
          <w:sz w:val="22"/>
          <w:szCs w:val="22"/>
          <w:lang w:val="en-US" w:eastAsia="en-US" w:bidi="ar-SA"/>
        </w:rPr>
        <w:t>The financial world changes all</w:t>
      </w:r>
      <w:r w:rsidR="00BD6C2E" w:rsidRPr="00337C97">
        <w:rPr>
          <w:rFonts w:asciiTheme="minorHAnsi" w:hAnsiTheme="minorHAnsi" w:cs="Times New Roman"/>
          <w:i/>
          <w:sz w:val="22"/>
          <w:szCs w:val="22"/>
          <w:lang w:val="en-US" w:eastAsia="en-US" w:bidi="ar-SA"/>
        </w:rPr>
        <w:t xml:space="preserve"> </w:t>
      </w:r>
      <w:r w:rsidRPr="00337C97">
        <w:rPr>
          <w:rFonts w:asciiTheme="minorHAnsi" w:hAnsiTheme="minorHAnsi" w:cs="Times New Roman"/>
          <w:i/>
          <w:sz w:val="22"/>
          <w:szCs w:val="22"/>
          <w:lang w:val="en-US" w:eastAsia="en-US" w:bidi="ar-SA"/>
        </w:rPr>
        <w:t>the time and those who supervise and regulate the financial world have to be prepared to</w:t>
      </w:r>
      <w:r w:rsidR="00BD6C2E" w:rsidRPr="00337C97">
        <w:rPr>
          <w:rFonts w:asciiTheme="minorHAnsi" w:hAnsiTheme="minorHAnsi" w:cs="Times New Roman"/>
          <w:i/>
          <w:sz w:val="22"/>
          <w:szCs w:val="22"/>
          <w:lang w:val="en-US" w:eastAsia="en-US" w:bidi="ar-SA"/>
        </w:rPr>
        <w:t xml:space="preserve"> </w:t>
      </w:r>
      <w:r w:rsidRPr="00337C97">
        <w:rPr>
          <w:rFonts w:asciiTheme="minorHAnsi" w:hAnsiTheme="minorHAnsi" w:cs="Times New Roman"/>
          <w:i/>
          <w:sz w:val="22"/>
          <w:szCs w:val="22"/>
          <w:lang w:val="en-US" w:eastAsia="en-US" w:bidi="ar-SA"/>
        </w:rPr>
        <w:t>change too. So I do not have any doubt that soon after Basel II is in place, we will have to</w:t>
      </w:r>
      <w:r w:rsidR="00BD6C2E" w:rsidRPr="00337C97">
        <w:rPr>
          <w:rFonts w:asciiTheme="minorHAnsi" w:hAnsiTheme="minorHAnsi" w:cs="Times New Roman"/>
          <w:i/>
          <w:sz w:val="22"/>
          <w:szCs w:val="22"/>
          <w:lang w:val="en-US" w:eastAsia="en-US" w:bidi="ar-SA"/>
        </w:rPr>
        <w:t xml:space="preserve"> </w:t>
      </w:r>
      <w:r w:rsidRPr="00337C97">
        <w:rPr>
          <w:rFonts w:asciiTheme="minorHAnsi" w:hAnsiTheme="minorHAnsi" w:cs="Times New Roman"/>
          <w:i/>
          <w:sz w:val="22"/>
          <w:szCs w:val="22"/>
          <w:lang w:val="en-US" w:eastAsia="en-US" w:bidi="ar-SA"/>
        </w:rPr>
        <w:t>start to think about Basel III</w:t>
      </w:r>
      <w:r w:rsidR="00CC2AEF" w:rsidRPr="00337C97">
        <w:rPr>
          <w:rFonts w:asciiTheme="minorHAnsi" w:hAnsiTheme="minorHAnsi" w:cs="Times New Roman"/>
          <w:i/>
          <w:sz w:val="22"/>
          <w:szCs w:val="22"/>
          <w:lang w:val="en-US" w:eastAsia="en-US" w:bidi="ar-SA"/>
        </w:rPr>
        <w:t>”</w:t>
      </w:r>
      <w:r w:rsidR="00783973" w:rsidRPr="00337C97">
        <w:rPr>
          <w:rFonts w:asciiTheme="minorHAnsi" w:hAnsiTheme="minorHAnsi" w:cs="Times New Roman"/>
          <w:sz w:val="22"/>
          <w:szCs w:val="22"/>
          <w:lang w:val="en-US" w:eastAsia="en-US" w:bidi="ar-SA"/>
        </w:rPr>
        <w:t xml:space="preserve"> (Crockett, 2002).</w:t>
      </w:r>
      <w:r w:rsidR="00CC2AEF" w:rsidRPr="00337C97">
        <w:rPr>
          <w:rFonts w:asciiTheme="minorHAnsi" w:hAnsiTheme="minorHAnsi" w:cs="Times New Roman"/>
          <w:sz w:val="22"/>
          <w:szCs w:val="22"/>
          <w:lang w:val="en-US" w:eastAsia="en-US" w:bidi="ar-SA"/>
        </w:rPr>
        <w:t xml:space="preserve"> The current financial crisis, which led to an impressive pressure on the financial system worldwide, even more shows an urgent need to develop a new or revised </w:t>
      </w:r>
      <w:r w:rsidR="00EC6E8E" w:rsidRPr="00337C97">
        <w:rPr>
          <w:rFonts w:asciiTheme="minorHAnsi" w:hAnsiTheme="minorHAnsi" w:cs="Times New Roman"/>
          <w:sz w:val="22"/>
          <w:szCs w:val="22"/>
          <w:lang w:val="en-US" w:eastAsia="en-US" w:bidi="ar-SA"/>
        </w:rPr>
        <w:t>framework</w:t>
      </w:r>
      <w:r w:rsidR="00CC2AEF" w:rsidRPr="00337C97">
        <w:rPr>
          <w:rFonts w:asciiTheme="minorHAnsi" w:hAnsiTheme="minorHAnsi" w:cs="Times New Roman"/>
          <w:sz w:val="22"/>
          <w:szCs w:val="22"/>
          <w:lang w:val="en-US" w:eastAsia="en-US" w:bidi="ar-SA"/>
        </w:rPr>
        <w:t>.</w:t>
      </w:r>
      <w:r w:rsidR="00DD5C01" w:rsidRPr="00337C97">
        <w:rPr>
          <w:rFonts w:asciiTheme="minorHAnsi" w:hAnsiTheme="minorHAnsi" w:cs="Times New Roman"/>
          <w:sz w:val="22"/>
          <w:szCs w:val="22"/>
          <w:lang w:val="en-US" w:eastAsia="en-US" w:bidi="ar-SA"/>
        </w:rPr>
        <w:t xml:space="preserve">  At a summit in March 2009, this was recognized by the leaders of the European Union </w:t>
      </w:r>
      <w:r w:rsidR="00F12CA3" w:rsidRPr="00337C97">
        <w:rPr>
          <w:rFonts w:asciiTheme="minorHAnsi" w:hAnsiTheme="minorHAnsi" w:cs="Times New Roman"/>
          <w:sz w:val="22"/>
          <w:szCs w:val="22"/>
          <w:lang w:val="en-US" w:eastAsia="en-US" w:bidi="ar-SA"/>
        </w:rPr>
        <w:t>which</w:t>
      </w:r>
      <w:r w:rsidR="00DD5C01" w:rsidRPr="00337C97">
        <w:rPr>
          <w:rFonts w:asciiTheme="minorHAnsi" w:hAnsiTheme="minorHAnsi" w:cs="Times New Roman"/>
          <w:sz w:val="22"/>
          <w:szCs w:val="22"/>
          <w:lang w:val="en-US" w:eastAsia="en-US" w:bidi="ar-SA"/>
        </w:rPr>
        <w:t xml:space="preserve"> led to an agreement that Basel II needs a thorough revision (</w:t>
      </w:r>
      <w:r w:rsidR="0081192D" w:rsidRPr="00337C97">
        <w:rPr>
          <w:rFonts w:asciiTheme="minorHAnsi" w:hAnsiTheme="minorHAnsi" w:cs="Times New Roman"/>
          <w:sz w:val="22"/>
          <w:szCs w:val="22"/>
          <w:lang w:val="en-US" w:eastAsia="en-US" w:bidi="ar-SA"/>
        </w:rPr>
        <w:t>Visser, 2009</w:t>
      </w:r>
      <w:r w:rsidR="00583D97" w:rsidRPr="00337C97">
        <w:rPr>
          <w:rFonts w:asciiTheme="minorHAnsi" w:hAnsiTheme="minorHAnsi" w:cs="Times New Roman"/>
          <w:sz w:val="22"/>
          <w:szCs w:val="22"/>
          <w:lang w:val="en-US" w:eastAsia="en-US" w:bidi="ar-SA"/>
        </w:rPr>
        <w:t>).</w:t>
      </w:r>
    </w:p>
    <w:p w:rsidR="00DD5C01" w:rsidRPr="00337C97" w:rsidRDefault="00DD5C01" w:rsidP="00775DB0">
      <w:pPr>
        <w:spacing w:line="360" w:lineRule="auto"/>
        <w:jc w:val="both"/>
        <w:rPr>
          <w:rFonts w:asciiTheme="minorHAnsi" w:hAnsiTheme="minorHAnsi" w:cs="Times New Roman"/>
          <w:sz w:val="22"/>
          <w:szCs w:val="22"/>
          <w:lang w:val="en-US"/>
        </w:rPr>
      </w:pPr>
    </w:p>
    <w:p w:rsidR="00AC5FDD" w:rsidRPr="00337C97" w:rsidRDefault="0028441A" w:rsidP="00AF177B">
      <w:pPr>
        <w:spacing w:line="360" w:lineRule="auto"/>
        <w:jc w:val="both"/>
        <w:outlineLvl w:val="1"/>
        <w:rPr>
          <w:rFonts w:asciiTheme="minorHAnsi" w:hAnsiTheme="minorHAnsi" w:cs="Times New Roman"/>
          <w:b/>
          <w:sz w:val="22"/>
          <w:szCs w:val="22"/>
          <w:lang w:val="en-US"/>
        </w:rPr>
      </w:pPr>
      <w:bookmarkStart w:id="101" w:name="_Toc236565317"/>
      <w:bookmarkStart w:id="102" w:name="_Toc241658895"/>
      <w:bookmarkStart w:id="103" w:name="_Toc242584767"/>
      <w:bookmarkStart w:id="104" w:name="_Toc242697403"/>
      <w:bookmarkStart w:id="105" w:name="_Toc242697638"/>
      <w:bookmarkStart w:id="106" w:name="_Toc245187875"/>
      <w:bookmarkStart w:id="107" w:name="_Toc269658919"/>
      <w:r w:rsidRPr="00337C97">
        <w:rPr>
          <w:rFonts w:asciiTheme="minorHAnsi" w:hAnsiTheme="minorHAnsi" w:cs="Times New Roman"/>
          <w:b/>
          <w:sz w:val="22"/>
          <w:szCs w:val="22"/>
          <w:lang w:val="en-US"/>
        </w:rPr>
        <w:t>2.5</w:t>
      </w:r>
      <w:r w:rsidRPr="00337C97">
        <w:rPr>
          <w:rFonts w:asciiTheme="minorHAnsi" w:hAnsiTheme="minorHAnsi" w:cs="Times New Roman"/>
          <w:b/>
          <w:sz w:val="22"/>
          <w:szCs w:val="22"/>
          <w:lang w:val="en-US"/>
        </w:rPr>
        <w:tab/>
      </w:r>
      <w:r w:rsidR="0028137B" w:rsidRPr="00337C97">
        <w:rPr>
          <w:rFonts w:asciiTheme="minorHAnsi" w:hAnsiTheme="minorHAnsi" w:cs="Times New Roman"/>
          <w:b/>
          <w:sz w:val="22"/>
          <w:szCs w:val="22"/>
          <w:lang w:val="en-US"/>
        </w:rPr>
        <w:t>Banking s</w:t>
      </w:r>
      <w:r w:rsidRPr="00337C97">
        <w:rPr>
          <w:rFonts w:asciiTheme="minorHAnsi" w:hAnsiTheme="minorHAnsi" w:cs="Times New Roman"/>
          <w:b/>
          <w:sz w:val="22"/>
          <w:szCs w:val="22"/>
          <w:lang w:val="en-US"/>
        </w:rPr>
        <w:t>upervision</w:t>
      </w:r>
      <w:bookmarkEnd w:id="101"/>
      <w:bookmarkEnd w:id="102"/>
      <w:bookmarkEnd w:id="103"/>
      <w:bookmarkEnd w:id="104"/>
      <w:bookmarkEnd w:id="105"/>
      <w:bookmarkEnd w:id="106"/>
      <w:bookmarkEnd w:id="107"/>
    </w:p>
    <w:p w:rsidR="004911A7" w:rsidRPr="00337C97" w:rsidRDefault="0028441A" w:rsidP="004911A7">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As stated in paragraph</w:t>
      </w:r>
      <w:r w:rsidR="00F12CA3" w:rsidRPr="00337C97">
        <w:rPr>
          <w:rFonts w:asciiTheme="minorHAnsi" w:hAnsiTheme="minorHAnsi" w:cs="Times New Roman"/>
          <w:sz w:val="22"/>
          <w:szCs w:val="22"/>
          <w:lang w:val="en-US"/>
        </w:rPr>
        <w:t xml:space="preserve"> 2.2</w:t>
      </w:r>
      <w:r w:rsidRPr="00337C97">
        <w:rPr>
          <w:rFonts w:asciiTheme="minorHAnsi" w:hAnsiTheme="minorHAnsi" w:cs="Times New Roman"/>
          <w:sz w:val="22"/>
          <w:szCs w:val="22"/>
          <w:lang w:val="en-US"/>
        </w:rPr>
        <w:t>, regulation can be distinguished from supervision</w:t>
      </w:r>
      <w:r w:rsidR="007E61C9" w:rsidRPr="00337C97">
        <w:rPr>
          <w:rFonts w:asciiTheme="minorHAnsi" w:hAnsiTheme="minorHAnsi" w:cs="Times New Roman"/>
          <w:sz w:val="22"/>
          <w:szCs w:val="22"/>
          <w:lang w:val="en-US"/>
        </w:rPr>
        <w:t xml:space="preserve">. Supervision </w:t>
      </w:r>
      <w:r w:rsidRPr="00337C97">
        <w:rPr>
          <w:rFonts w:asciiTheme="minorHAnsi" w:hAnsiTheme="minorHAnsi" w:cs="Times New Roman"/>
          <w:sz w:val="22"/>
          <w:szCs w:val="22"/>
          <w:lang w:val="en-US"/>
        </w:rPr>
        <w:t xml:space="preserve">is the process designed to oversee financial institutions in order to ensure that rules and standards are properly applied (De Larosière, 2009, p. 13). </w:t>
      </w:r>
      <w:r w:rsidR="00986078" w:rsidRPr="00337C97">
        <w:rPr>
          <w:rFonts w:asciiTheme="minorHAnsi" w:hAnsiTheme="minorHAnsi" w:cs="Times New Roman"/>
          <w:sz w:val="22"/>
          <w:szCs w:val="22"/>
          <w:lang w:val="en-US"/>
        </w:rPr>
        <w:t>This means that</w:t>
      </w:r>
      <w:r w:rsidR="004911A7" w:rsidRPr="00337C97">
        <w:rPr>
          <w:rFonts w:asciiTheme="minorHAnsi" w:hAnsiTheme="minorHAnsi" w:cs="Times New Roman"/>
          <w:sz w:val="22"/>
          <w:szCs w:val="22"/>
          <w:lang w:val="en-US"/>
        </w:rPr>
        <w:t xml:space="preserve"> banks are monitored by central banks and financial authorities, because of their important role in today’s economy. </w:t>
      </w:r>
      <w:r w:rsidR="0025046C" w:rsidRPr="00337C97">
        <w:rPr>
          <w:rFonts w:asciiTheme="minorHAnsi" w:hAnsiTheme="minorHAnsi" w:cs="Times New Roman"/>
          <w:sz w:val="22"/>
          <w:szCs w:val="22"/>
          <w:lang w:val="en-US"/>
        </w:rPr>
        <w:t>In some countries in the European Union, banking supervision is carried out by the central bank. In other countries this task is performed by another ins</w:t>
      </w:r>
      <w:r w:rsidR="006C6C46" w:rsidRPr="00337C97">
        <w:rPr>
          <w:rFonts w:asciiTheme="minorHAnsi" w:hAnsiTheme="minorHAnsi" w:cs="Times New Roman"/>
          <w:sz w:val="22"/>
          <w:szCs w:val="22"/>
          <w:lang w:val="en-US"/>
        </w:rPr>
        <w:t>titution, sometimes in close co</w:t>
      </w:r>
      <w:r w:rsidR="0025046C" w:rsidRPr="00337C97">
        <w:rPr>
          <w:rFonts w:asciiTheme="minorHAnsi" w:hAnsiTheme="minorHAnsi" w:cs="Times New Roman"/>
          <w:sz w:val="22"/>
          <w:szCs w:val="22"/>
          <w:lang w:val="en-US"/>
        </w:rPr>
        <w:t xml:space="preserve">operation with the central bank </w:t>
      </w:r>
      <w:r w:rsidR="0025046C" w:rsidRPr="00337C97">
        <w:rPr>
          <w:rFonts w:asciiTheme="minorHAnsi" w:hAnsiTheme="minorHAnsi" w:cs="Times New Roman"/>
          <w:sz w:val="22"/>
          <w:szCs w:val="22"/>
          <w:lang w:val="en-US"/>
        </w:rPr>
        <w:lastRenderedPageBreak/>
        <w:t xml:space="preserve">(Eijffinger, 2005, p. 459). </w:t>
      </w:r>
      <w:r w:rsidR="004911A7" w:rsidRPr="00337C97">
        <w:rPr>
          <w:rFonts w:asciiTheme="minorHAnsi" w:hAnsiTheme="minorHAnsi" w:cs="Times New Roman"/>
          <w:sz w:val="22"/>
          <w:szCs w:val="22"/>
          <w:lang w:val="en-US"/>
        </w:rPr>
        <w:t>Together, central banks and financial authorities ha</w:t>
      </w:r>
      <w:r w:rsidR="00164FC9" w:rsidRPr="00337C97">
        <w:rPr>
          <w:rFonts w:asciiTheme="minorHAnsi" w:hAnsiTheme="minorHAnsi" w:cs="Times New Roman"/>
          <w:sz w:val="22"/>
          <w:szCs w:val="22"/>
          <w:lang w:val="en-US"/>
        </w:rPr>
        <w:t>ve</w:t>
      </w:r>
      <w:r w:rsidR="004911A7" w:rsidRPr="00337C97">
        <w:rPr>
          <w:rFonts w:asciiTheme="minorHAnsi" w:hAnsiTheme="minorHAnsi" w:cs="Times New Roman"/>
          <w:sz w:val="22"/>
          <w:szCs w:val="22"/>
          <w:lang w:val="en-US"/>
        </w:rPr>
        <w:t xml:space="preserve"> the task to supervise the payment system, ensure price stability and pursue the stability of banks (Padoa-Schioppa, 1999</w:t>
      </w:r>
      <w:r w:rsidR="00164FC9" w:rsidRPr="00337C97">
        <w:rPr>
          <w:rFonts w:asciiTheme="minorHAnsi" w:hAnsiTheme="minorHAnsi" w:cs="Times New Roman"/>
          <w:sz w:val="22"/>
          <w:szCs w:val="22"/>
          <w:lang w:val="en-US"/>
        </w:rPr>
        <w:t>, p. 296</w:t>
      </w:r>
      <w:r w:rsidR="004911A7" w:rsidRPr="00337C97">
        <w:rPr>
          <w:rFonts w:asciiTheme="minorHAnsi" w:hAnsiTheme="minorHAnsi" w:cs="Times New Roman"/>
          <w:sz w:val="22"/>
          <w:szCs w:val="22"/>
          <w:lang w:val="en-US"/>
        </w:rPr>
        <w:t>).</w:t>
      </w:r>
    </w:p>
    <w:p w:rsidR="004F57A7" w:rsidRPr="00337C97" w:rsidRDefault="004F57A7" w:rsidP="004911A7">
      <w:pPr>
        <w:spacing w:line="360" w:lineRule="auto"/>
        <w:jc w:val="both"/>
        <w:rPr>
          <w:rFonts w:asciiTheme="minorHAnsi" w:hAnsiTheme="minorHAnsi" w:cs="Times New Roman"/>
          <w:sz w:val="22"/>
          <w:szCs w:val="22"/>
          <w:lang w:val="en-US"/>
        </w:rPr>
      </w:pPr>
    </w:p>
    <w:p w:rsidR="00A77499" w:rsidRPr="00337C97" w:rsidRDefault="00A77499" w:rsidP="00AF177B">
      <w:pPr>
        <w:spacing w:line="360" w:lineRule="auto"/>
        <w:jc w:val="both"/>
        <w:outlineLvl w:val="2"/>
        <w:rPr>
          <w:rFonts w:asciiTheme="minorHAnsi" w:hAnsiTheme="minorHAnsi" w:cs="Times New Roman"/>
          <w:i/>
          <w:sz w:val="22"/>
          <w:szCs w:val="22"/>
          <w:lang w:val="en-US"/>
        </w:rPr>
      </w:pPr>
      <w:bookmarkStart w:id="108" w:name="_Toc236565318"/>
      <w:bookmarkStart w:id="109" w:name="_Toc241658896"/>
      <w:bookmarkStart w:id="110" w:name="_Toc242584768"/>
      <w:bookmarkStart w:id="111" w:name="_Toc242697404"/>
      <w:bookmarkStart w:id="112" w:name="_Toc242697639"/>
      <w:bookmarkStart w:id="113" w:name="_Toc245187876"/>
      <w:bookmarkStart w:id="114" w:name="_Toc269658920"/>
      <w:r w:rsidRPr="00337C97">
        <w:rPr>
          <w:rFonts w:asciiTheme="minorHAnsi" w:hAnsiTheme="minorHAnsi" w:cs="Times New Roman"/>
          <w:i/>
          <w:sz w:val="22"/>
          <w:szCs w:val="22"/>
          <w:lang w:val="en-US"/>
        </w:rPr>
        <w:t>2.5.1</w:t>
      </w:r>
      <w:r w:rsidRPr="00337C97">
        <w:rPr>
          <w:rFonts w:asciiTheme="minorHAnsi" w:hAnsiTheme="minorHAnsi" w:cs="Times New Roman"/>
          <w:i/>
          <w:sz w:val="22"/>
          <w:szCs w:val="22"/>
          <w:lang w:val="en-US"/>
        </w:rPr>
        <w:tab/>
        <w:t>EMU</w:t>
      </w:r>
      <w:bookmarkEnd w:id="108"/>
      <w:bookmarkEnd w:id="109"/>
      <w:bookmarkEnd w:id="110"/>
      <w:bookmarkEnd w:id="111"/>
      <w:bookmarkEnd w:id="112"/>
      <w:bookmarkEnd w:id="113"/>
      <w:bookmarkEnd w:id="114"/>
    </w:p>
    <w:p w:rsidR="0028441A" w:rsidRPr="00337C97" w:rsidRDefault="00C01803" w:rsidP="0028441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European Monetary Union </w:t>
      </w:r>
      <w:r w:rsidR="001B2C77" w:rsidRPr="00337C97">
        <w:rPr>
          <w:rFonts w:asciiTheme="minorHAnsi" w:hAnsiTheme="minorHAnsi" w:cs="Times New Roman"/>
          <w:sz w:val="22"/>
          <w:szCs w:val="22"/>
          <w:lang w:val="en-US"/>
        </w:rPr>
        <w:t xml:space="preserve">(EMU) </w:t>
      </w:r>
      <w:r w:rsidRPr="00337C97">
        <w:rPr>
          <w:rFonts w:asciiTheme="minorHAnsi" w:hAnsiTheme="minorHAnsi" w:cs="Times New Roman"/>
          <w:sz w:val="22"/>
          <w:szCs w:val="22"/>
          <w:lang w:val="en-US"/>
        </w:rPr>
        <w:t xml:space="preserve">is </w:t>
      </w:r>
      <w:r w:rsidR="00741A22"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 single market </w:t>
      </w:r>
      <w:r w:rsidR="007F4A42" w:rsidRPr="00337C97">
        <w:rPr>
          <w:rFonts w:asciiTheme="minorHAnsi" w:hAnsiTheme="minorHAnsi" w:cs="Times New Roman"/>
          <w:sz w:val="22"/>
          <w:szCs w:val="22"/>
          <w:lang w:val="en-US"/>
        </w:rPr>
        <w:t xml:space="preserve">with a common </w:t>
      </w:r>
      <w:r w:rsidRPr="00337C97">
        <w:rPr>
          <w:rFonts w:asciiTheme="minorHAnsi" w:hAnsiTheme="minorHAnsi" w:cs="Times New Roman"/>
          <w:sz w:val="22"/>
          <w:szCs w:val="22"/>
          <w:lang w:val="en-US"/>
        </w:rPr>
        <w:t xml:space="preserve">currency, where most </w:t>
      </w:r>
      <w:r w:rsidR="004D68DA" w:rsidRPr="00337C97">
        <w:rPr>
          <w:rFonts w:asciiTheme="minorHAnsi" w:hAnsiTheme="minorHAnsi" w:cs="Times New Roman"/>
          <w:sz w:val="22"/>
          <w:szCs w:val="22"/>
          <w:lang w:val="en-US"/>
        </w:rPr>
        <w:t xml:space="preserve">(16 out of 27) </w:t>
      </w:r>
      <w:r w:rsidRPr="00337C97">
        <w:rPr>
          <w:rFonts w:asciiTheme="minorHAnsi" w:hAnsiTheme="minorHAnsi" w:cs="Times New Roman"/>
          <w:sz w:val="22"/>
          <w:szCs w:val="22"/>
          <w:lang w:val="en-US"/>
        </w:rPr>
        <w:t xml:space="preserve">European Union states are participating in, thereby adopting the </w:t>
      </w:r>
      <w:r w:rsidR="007F4A42" w:rsidRPr="00337C97">
        <w:rPr>
          <w:rFonts w:asciiTheme="minorHAnsi" w:hAnsiTheme="minorHAnsi" w:cs="Times New Roman"/>
          <w:sz w:val="22"/>
          <w:szCs w:val="22"/>
          <w:lang w:val="en-US"/>
        </w:rPr>
        <w:t xml:space="preserve">euro as their currency. </w:t>
      </w:r>
      <w:r w:rsidR="007907BE" w:rsidRPr="00337C97">
        <w:rPr>
          <w:rFonts w:asciiTheme="minorHAnsi" w:hAnsiTheme="minorHAnsi" w:cs="Times New Roman"/>
          <w:sz w:val="22"/>
          <w:szCs w:val="22"/>
          <w:lang w:val="en-US"/>
        </w:rPr>
        <w:t xml:space="preserve">The remaining countries still use their own currency, including the United Kingdom, Sweden and Denmark. </w:t>
      </w:r>
      <w:r w:rsidR="001B2C77" w:rsidRPr="00337C97">
        <w:rPr>
          <w:rFonts w:asciiTheme="minorHAnsi" w:hAnsiTheme="minorHAnsi" w:cs="Times New Roman"/>
          <w:sz w:val="22"/>
          <w:szCs w:val="22"/>
          <w:lang w:val="en-US"/>
        </w:rPr>
        <w:t xml:space="preserve">According to </w:t>
      </w:r>
      <w:r w:rsidRPr="00337C97">
        <w:rPr>
          <w:rFonts w:asciiTheme="minorHAnsi" w:hAnsiTheme="minorHAnsi" w:cs="Times New Roman"/>
          <w:sz w:val="22"/>
          <w:szCs w:val="22"/>
          <w:lang w:val="en-US"/>
        </w:rPr>
        <w:t>Padoa-Schioppa</w:t>
      </w:r>
      <w:r w:rsidR="00164FC9"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 xml:space="preserve">1999, p. 296), the institutional framework </w:t>
      </w:r>
      <w:r w:rsidR="007907BE" w:rsidRPr="00337C97">
        <w:rPr>
          <w:rFonts w:asciiTheme="minorHAnsi" w:hAnsiTheme="minorHAnsi" w:cs="Times New Roman"/>
          <w:sz w:val="22"/>
          <w:szCs w:val="22"/>
          <w:lang w:val="en-US"/>
        </w:rPr>
        <w:t xml:space="preserve">of banking supervision in </w:t>
      </w:r>
      <w:r w:rsidRPr="00337C97">
        <w:rPr>
          <w:rFonts w:asciiTheme="minorHAnsi" w:hAnsiTheme="minorHAnsi" w:cs="Times New Roman"/>
          <w:sz w:val="22"/>
          <w:szCs w:val="22"/>
          <w:lang w:val="en-US"/>
        </w:rPr>
        <w:t>the E</w:t>
      </w:r>
      <w:r w:rsidR="001B2C77" w:rsidRPr="00337C97">
        <w:rPr>
          <w:rFonts w:asciiTheme="minorHAnsi" w:hAnsiTheme="minorHAnsi" w:cs="Times New Roman"/>
          <w:sz w:val="22"/>
          <w:szCs w:val="22"/>
          <w:lang w:val="en-US"/>
        </w:rPr>
        <w:t>M</w:t>
      </w:r>
      <w:r w:rsidRPr="00337C97">
        <w:rPr>
          <w:rFonts w:asciiTheme="minorHAnsi" w:hAnsiTheme="minorHAnsi" w:cs="Times New Roman"/>
          <w:sz w:val="22"/>
          <w:szCs w:val="22"/>
          <w:lang w:val="en-US"/>
        </w:rPr>
        <w:t xml:space="preserve">U </w:t>
      </w:r>
      <w:r w:rsidR="001B2C77" w:rsidRPr="00337C97">
        <w:rPr>
          <w:rFonts w:asciiTheme="minorHAnsi" w:hAnsiTheme="minorHAnsi" w:cs="Times New Roman"/>
          <w:sz w:val="22"/>
          <w:szCs w:val="22"/>
          <w:lang w:val="en-US"/>
        </w:rPr>
        <w:t xml:space="preserve">consist </w:t>
      </w:r>
      <w:r w:rsidR="00A4161B" w:rsidRPr="00337C97">
        <w:rPr>
          <w:rFonts w:asciiTheme="minorHAnsi" w:hAnsiTheme="minorHAnsi" w:cs="Times New Roman"/>
          <w:sz w:val="22"/>
          <w:szCs w:val="22"/>
          <w:lang w:val="en-US"/>
        </w:rPr>
        <w:t xml:space="preserve">mainly </w:t>
      </w:r>
      <w:r w:rsidR="001B2C77" w:rsidRPr="00337C97">
        <w:rPr>
          <w:rFonts w:asciiTheme="minorHAnsi" w:hAnsiTheme="minorHAnsi" w:cs="Times New Roman"/>
          <w:sz w:val="22"/>
          <w:szCs w:val="22"/>
          <w:lang w:val="en-US"/>
        </w:rPr>
        <w:t xml:space="preserve">of two parts, </w:t>
      </w:r>
      <w:r w:rsidR="001B2C77" w:rsidRPr="00337C97">
        <w:rPr>
          <w:rFonts w:asciiTheme="minorHAnsi" w:hAnsiTheme="minorHAnsi" w:cs="Times New Roman"/>
          <w:i/>
          <w:sz w:val="22"/>
          <w:szCs w:val="22"/>
          <w:lang w:val="en-US"/>
        </w:rPr>
        <w:t xml:space="preserve">national competence </w:t>
      </w:r>
      <w:r w:rsidR="001B2C77" w:rsidRPr="00337C97">
        <w:rPr>
          <w:rFonts w:asciiTheme="minorHAnsi" w:hAnsiTheme="minorHAnsi" w:cs="Times New Roman"/>
          <w:sz w:val="22"/>
          <w:szCs w:val="22"/>
          <w:lang w:val="en-US"/>
        </w:rPr>
        <w:t xml:space="preserve">and </w:t>
      </w:r>
      <w:r w:rsidR="001B2C77" w:rsidRPr="00337C97">
        <w:rPr>
          <w:rFonts w:asciiTheme="minorHAnsi" w:hAnsiTheme="minorHAnsi" w:cs="Times New Roman"/>
          <w:i/>
          <w:sz w:val="22"/>
          <w:szCs w:val="22"/>
          <w:lang w:val="en-US"/>
        </w:rPr>
        <w:t>cooperation</w:t>
      </w:r>
      <w:r w:rsidR="00583D97" w:rsidRPr="00337C97">
        <w:rPr>
          <w:rFonts w:asciiTheme="minorHAnsi" w:hAnsiTheme="minorHAnsi" w:cs="Times New Roman"/>
          <w:sz w:val="22"/>
          <w:szCs w:val="22"/>
          <w:lang w:val="en-US"/>
        </w:rPr>
        <w:t>.</w:t>
      </w:r>
    </w:p>
    <w:p w:rsidR="001B2C77" w:rsidRPr="00337C97" w:rsidRDefault="001B2C77" w:rsidP="0028441A">
      <w:pPr>
        <w:spacing w:line="360" w:lineRule="auto"/>
        <w:jc w:val="both"/>
        <w:rPr>
          <w:rFonts w:asciiTheme="minorHAnsi" w:hAnsiTheme="minorHAnsi" w:cs="Times New Roman"/>
          <w:sz w:val="22"/>
          <w:szCs w:val="22"/>
          <w:lang w:val="en-US"/>
        </w:rPr>
      </w:pPr>
    </w:p>
    <w:p w:rsidR="001B2C77" w:rsidRPr="00337C97" w:rsidRDefault="001B2C77" w:rsidP="0028441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First, </w:t>
      </w:r>
      <w:r w:rsidRPr="00337C97">
        <w:rPr>
          <w:rFonts w:asciiTheme="minorHAnsi" w:hAnsiTheme="minorHAnsi" w:cs="Times New Roman"/>
          <w:i/>
          <w:sz w:val="22"/>
          <w:szCs w:val="22"/>
          <w:lang w:val="en-US"/>
        </w:rPr>
        <w:t>national competence</w:t>
      </w:r>
      <w:r w:rsidRPr="00337C97">
        <w:rPr>
          <w:rFonts w:asciiTheme="minorHAnsi" w:hAnsiTheme="minorHAnsi" w:cs="Times New Roman"/>
          <w:sz w:val="22"/>
          <w:szCs w:val="22"/>
          <w:lang w:val="en-US"/>
        </w:rPr>
        <w:t xml:space="preserve">. According to the ‘single </w:t>
      </w:r>
      <w:r w:rsidR="000A061E" w:rsidRPr="00337C97">
        <w:rPr>
          <w:rFonts w:asciiTheme="minorHAnsi" w:hAnsiTheme="minorHAnsi" w:cs="Times New Roman"/>
          <w:sz w:val="22"/>
          <w:szCs w:val="22"/>
          <w:lang w:val="en-US"/>
        </w:rPr>
        <w:t>license</w:t>
      </w:r>
      <w:r w:rsidRPr="00337C97">
        <w:rPr>
          <w:rFonts w:asciiTheme="minorHAnsi" w:hAnsiTheme="minorHAnsi" w:cs="Times New Roman"/>
          <w:sz w:val="22"/>
          <w:szCs w:val="22"/>
          <w:lang w:val="en-US"/>
        </w:rPr>
        <w:t>’ principle, every bank has the right to do business in the whole area, under the supervision</w:t>
      </w:r>
      <w:r w:rsidR="0036263C" w:rsidRPr="00337C97">
        <w:rPr>
          <w:rFonts w:asciiTheme="minorHAnsi" w:hAnsiTheme="minorHAnsi" w:cs="Times New Roman"/>
          <w:sz w:val="22"/>
          <w:szCs w:val="22"/>
          <w:lang w:val="en-US"/>
        </w:rPr>
        <w:t xml:space="preserve"> and regulation </w:t>
      </w:r>
      <w:r w:rsidRPr="00337C97">
        <w:rPr>
          <w:rFonts w:asciiTheme="minorHAnsi" w:hAnsiTheme="minorHAnsi" w:cs="Times New Roman"/>
          <w:sz w:val="22"/>
          <w:szCs w:val="22"/>
          <w:lang w:val="en-US"/>
        </w:rPr>
        <w:t xml:space="preserve">of the authority that has issued the licence. The full supervisory responsibility thus belongs to the home country. Second, </w:t>
      </w:r>
      <w:r w:rsidRPr="00337C97">
        <w:rPr>
          <w:rFonts w:asciiTheme="minorHAnsi" w:hAnsiTheme="minorHAnsi" w:cs="Times New Roman"/>
          <w:i/>
          <w:sz w:val="22"/>
          <w:szCs w:val="22"/>
          <w:lang w:val="en-US"/>
        </w:rPr>
        <w:t>cooperation</w:t>
      </w:r>
      <w:r w:rsidRPr="00337C97">
        <w:rPr>
          <w:rFonts w:asciiTheme="minorHAnsi" w:hAnsiTheme="minorHAnsi" w:cs="Times New Roman"/>
          <w:sz w:val="22"/>
          <w:szCs w:val="22"/>
          <w:lang w:val="en-US"/>
        </w:rPr>
        <w:t xml:space="preserve">. </w:t>
      </w:r>
      <w:r w:rsidR="0036263C" w:rsidRPr="00337C97">
        <w:rPr>
          <w:rFonts w:asciiTheme="minorHAnsi" w:hAnsiTheme="minorHAnsi" w:cs="Times New Roman"/>
          <w:sz w:val="22"/>
          <w:szCs w:val="22"/>
          <w:lang w:val="en-US"/>
        </w:rPr>
        <w:t xml:space="preserve">The banking industry, a </w:t>
      </w:r>
      <w:r w:rsidR="00741A22" w:rsidRPr="00337C97">
        <w:rPr>
          <w:rFonts w:asciiTheme="minorHAnsi" w:hAnsiTheme="minorHAnsi" w:cs="Times New Roman"/>
          <w:sz w:val="22"/>
          <w:szCs w:val="22"/>
          <w:lang w:val="en-US"/>
        </w:rPr>
        <w:t>highly re</w:t>
      </w:r>
      <w:r w:rsidR="0036263C" w:rsidRPr="00337C97">
        <w:rPr>
          <w:rFonts w:asciiTheme="minorHAnsi" w:hAnsiTheme="minorHAnsi" w:cs="Times New Roman"/>
          <w:sz w:val="22"/>
          <w:szCs w:val="22"/>
          <w:lang w:val="en-US"/>
        </w:rPr>
        <w:t>gu</w:t>
      </w:r>
      <w:r w:rsidR="00741A22" w:rsidRPr="00337C97">
        <w:rPr>
          <w:rFonts w:asciiTheme="minorHAnsi" w:hAnsiTheme="minorHAnsi" w:cs="Times New Roman"/>
          <w:sz w:val="22"/>
          <w:szCs w:val="22"/>
          <w:lang w:val="en-US"/>
        </w:rPr>
        <w:t xml:space="preserve">lated single market that </w:t>
      </w:r>
      <w:r w:rsidR="0036263C" w:rsidRPr="00337C97">
        <w:rPr>
          <w:rFonts w:asciiTheme="minorHAnsi" w:hAnsiTheme="minorHAnsi" w:cs="Times New Roman"/>
          <w:sz w:val="22"/>
          <w:szCs w:val="22"/>
          <w:lang w:val="en-US"/>
        </w:rPr>
        <w:t>retains</w:t>
      </w:r>
      <w:r w:rsidR="00741A22" w:rsidRPr="00337C97">
        <w:rPr>
          <w:rFonts w:asciiTheme="minorHAnsi" w:hAnsiTheme="minorHAnsi" w:cs="Times New Roman"/>
          <w:sz w:val="22"/>
          <w:szCs w:val="22"/>
          <w:lang w:val="en-US"/>
        </w:rPr>
        <w:t xml:space="preserve"> a plurality of national supervisors</w:t>
      </w:r>
      <w:r w:rsidR="0036263C" w:rsidRPr="00337C97">
        <w:rPr>
          <w:rFonts w:asciiTheme="minorHAnsi" w:hAnsiTheme="minorHAnsi" w:cs="Times New Roman"/>
          <w:sz w:val="22"/>
          <w:szCs w:val="22"/>
          <w:lang w:val="en-US"/>
        </w:rPr>
        <w:t xml:space="preserve">, </w:t>
      </w:r>
      <w:r w:rsidR="00741A22" w:rsidRPr="00337C97">
        <w:rPr>
          <w:rFonts w:asciiTheme="minorHAnsi" w:hAnsiTheme="minorHAnsi" w:cs="Times New Roman"/>
          <w:sz w:val="22"/>
          <w:szCs w:val="22"/>
          <w:lang w:val="en-US"/>
        </w:rPr>
        <w:t>requires close cooperation among supervisors to safeguard the public good: namely, openness, competition, safety and sou</w:t>
      </w:r>
      <w:r w:rsidR="00B31641" w:rsidRPr="00337C97">
        <w:rPr>
          <w:rFonts w:asciiTheme="minorHAnsi" w:hAnsiTheme="minorHAnsi" w:cs="Times New Roman"/>
          <w:sz w:val="22"/>
          <w:szCs w:val="22"/>
          <w:lang w:val="en-US"/>
        </w:rPr>
        <w:t>ndness of the b</w:t>
      </w:r>
      <w:r w:rsidR="002F6498" w:rsidRPr="00337C97">
        <w:rPr>
          <w:rFonts w:asciiTheme="minorHAnsi" w:hAnsiTheme="minorHAnsi" w:cs="Times New Roman"/>
          <w:sz w:val="22"/>
          <w:szCs w:val="22"/>
          <w:lang w:val="en-US"/>
        </w:rPr>
        <w:t>anking industry (Padoa-Schioppa, 1999, p. 29</w:t>
      </w:r>
      <w:r w:rsidR="00583D97" w:rsidRPr="00337C97">
        <w:rPr>
          <w:rFonts w:asciiTheme="minorHAnsi" w:hAnsiTheme="minorHAnsi" w:cs="Times New Roman"/>
          <w:sz w:val="22"/>
          <w:szCs w:val="22"/>
          <w:lang w:val="en-US"/>
        </w:rPr>
        <w:t>6).</w:t>
      </w:r>
    </w:p>
    <w:p w:rsidR="004F57A7" w:rsidRPr="00337C97" w:rsidRDefault="004F57A7" w:rsidP="0028441A">
      <w:pPr>
        <w:spacing w:line="360" w:lineRule="auto"/>
        <w:jc w:val="both"/>
        <w:rPr>
          <w:rFonts w:asciiTheme="minorHAnsi" w:hAnsiTheme="minorHAnsi" w:cs="Times New Roman"/>
          <w:sz w:val="22"/>
          <w:szCs w:val="22"/>
          <w:lang w:val="en-US"/>
        </w:rPr>
      </w:pPr>
    </w:p>
    <w:p w:rsidR="00A77499" w:rsidRPr="00337C97" w:rsidRDefault="00A77499" w:rsidP="00AF177B">
      <w:pPr>
        <w:spacing w:line="360" w:lineRule="auto"/>
        <w:jc w:val="both"/>
        <w:outlineLvl w:val="2"/>
        <w:rPr>
          <w:rFonts w:asciiTheme="minorHAnsi" w:hAnsiTheme="minorHAnsi" w:cs="Times New Roman"/>
          <w:i/>
          <w:sz w:val="22"/>
          <w:szCs w:val="22"/>
          <w:lang w:val="en-US"/>
        </w:rPr>
      </w:pPr>
      <w:bookmarkStart w:id="115" w:name="_Toc236565319"/>
      <w:bookmarkStart w:id="116" w:name="_Toc241658897"/>
      <w:bookmarkStart w:id="117" w:name="_Toc242584769"/>
      <w:bookmarkStart w:id="118" w:name="_Toc242697405"/>
      <w:bookmarkStart w:id="119" w:name="_Toc242697640"/>
      <w:bookmarkStart w:id="120" w:name="_Toc245187877"/>
      <w:bookmarkStart w:id="121" w:name="_Toc269658921"/>
      <w:r w:rsidRPr="00337C97">
        <w:rPr>
          <w:rFonts w:asciiTheme="minorHAnsi" w:hAnsiTheme="minorHAnsi" w:cs="Times New Roman"/>
          <w:i/>
          <w:sz w:val="22"/>
          <w:szCs w:val="22"/>
          <w:lang w:val="en-US"/>
        </w:rPr>
        <w:t>2.5.2</w:t>
      </w:r>
      <w:r w:rsidRPr="00337C97">
        <w:rPr>
          <w:rFonts w:asciiTheme="minorHAnsi" w:hAnsiTheme="minorHAnsi" w:cs="Times New Roman"/>
          <w:i/>
          <w:sz w:val="22"/>
          <w:szCs w:val="22"/>
          <w:lang w:val="en-US"/>
        </w:rPr>
        <w:tab/>
        <w:t>Central Bank</w:t>
      </w:r>
      <w:r w:rsidR="00B31641" w:rsidRPr="00337C97">
        <w:rPr>
          <w:rFonts w:asciiTheme="minorHAnsi" w:hAnsiTheme="minorHAnsi" w:cs="Times New Roman"/>
          <w:i/>
          <w:sz w:val="22"/>
          <w:szCs w:val="22"/>
          <w:lang w:val="en-US"/>
        </w:rPr>
        <w:t xml:space="preserve"> and Financial Authorities</w:t>
      </w:r>
      <w:bookmarkEnd w:id="115"/>
      <w:bookmarkEnd w:id="116"/>
      <w:bookmarkEnd w:id="117"/>
      <w:bookmarkEnd w:id="118"/>
      <w:bookmarkEnd w:id="119"/>
      <w:bookmarkEnd w:id="120"/>
      <w:bookmarkEnd w:id="121"/>
    </w:p>
    <w:p w:rsidR="0025046C" w:rsidRPr="00337C97" w:rsidRDefault="0025046C" w:rsidP="0028441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Nowadays, </w:t>
      </w:r>
      <w:r w:rsidR="00AC7670" w:rsidRPr="00337C97">
        <w:rPr>
          <w:rFonts w:asciiTheme="minorHAnsi" w:hAnsiTheme="minorHAnsi" w:cs="Times New Roman"/>
          <w:sz w:val="22"/>
          <w:szCs w:val="22"/>
          <w:lang w:val="en-US"/>
        </w:rPr>
        <w:t>most countries in the European U</w:t>
      </w:r>
      <w:r w:rsidRPr="00337C97">
        <w:rPr>
          <w:rFonts w:asciiTheme="minorHAnsi" w:hAnsiTheme="minorHAnsi" w:cs="Times New Roman"/>
          <w:sz w:val="22"/>
          <w:szCs w:val="22"/>
          <w:lang w:val="en-US"/>
        </w:rPr>
        <w:t xml:space="preserve">nion follow a ‘separation approach’ in banking supervision, which means that the banking supervision has been assigned to a separate institution such as a financial authority, instead of the central bank (Padoa-Schioppa, 1999, p. 256). </w:t>
      </w:r>
      <w:r w:rsidR="00C00563" w:rsidRPr="00337C97">
        <w:rPr>
          <w:rFonts w:asciiTheme="minorHAnsi" w:hAnsiTheme="minorHAnsi" w:cs="Times New Roman"/>
          <w:sz w:val="22"/>
          <w:szCs w:val="22"/>
          <w:lang w:val="en-US"/>
        </w:rPr>
        <w:t>T</w:t>
      </w:r>
      <w:r w:rsidRPr="00337C97">
        <w:rPr>
          <w:rFonts w:asciiTheme="minorHAnsi" w:hAnsiTheme="minorHAnsi" w:cs="Times New Roman"/>
          <w:sz w:val="22"/>
          <w:szCs w:val="22"/>
          <w:lang w:val="en-US"/>
        </w:rPr>
        <w:t xml:space="preserve">his trend for central banks to retreat from supervisory functions </w:t>
      </w:r>
      <w:r w:rsidR="00C55EAC" w:rsidRPr="00337C97">
        <w:rPr>
          <w:rFonts w:asciiTheme="minorHAnsi" w:hAnsiTheme="minorHAnsi" w:cs="Times New Roman"/>
          <w:sz w:val="22"/>
          <w:szCs w:val="22"/>
          <w:lang w:val="en-US"/>
        </w:rPr>
        <w:t>can be explained as follows. First, banking is becoming an increasingly complex business and less clearly defined. Second, new developments in financial supervision increasingly emphasize the role of self-regulation and internal risk management in financial institutions. Finally, there is increasing acceptance that the government, not the central bank, should take responsibility for ultimate financial supp</w:t>
      </w:r>
      <w:r w:rsidR="00583D97" w:rsidRPr="00337C97">
        <w:rPr>
          <w:rFonts w:asciiTheme="minorHAnsi" w:hAnsiTheme="minorHAnsi" w:cs="Times New Roman"/>
          <w:sz w:val="22"/>
          <w:szCs w:val="22"/>
          <w:lang w:val="en-US"/>
        </w:rPr>
        <w:t>ort (Eijffinger, 2005, p. 459).</w:t>
      </w:r>
    </w:p>
    <w:p w:rsidR="0025046C" w:rsidRPr="00337C97" w:rsidRDefault="0025046C" w:rsidP="0028441A">
      <w:pPr>
        <w:spacing w:line="360" w:lineRule="auto"/>
        <w:jc w:val="both"/>
        <w:rPr>
          <w:rFonts w:asciiTheme="minorHAnsi" w:hAnsiTheme="minorHAnsi" w:cs="Times New Roman"/>
          <w:sz w:val="22"/>
          <w:szCs w:val="22"/>
          <w:lang w:val="en-US"/>
        </w:rPr>
      </w:pPr>
    </w:p>
    <w:p w:rsidR="00A77499" w:rsidRPr="00337C97" w:rsidRDefault="00A77499" w:rsidP="00996071">
      <w:pPr>
        <w:spacing w:line="360" w:lineRule="auto"/>
        <w:jc w:val="both"/>
        <w:outlineLvl w:val="1"/>
        <w:rPr>
          <w:rFonts w:asciiTheme="minorHAnsi" w:hAnsiTheme="minorHAnsi" w:cs="Times New Roman"/>
          <w:b/>
          <w:sz w:val="22"/>
          <w:szCs w:val="22"/>
          <w:lang w:val="en-US"/>
        </w:rPr>
      </w:pPr>
      <w:bookmarkStart w:id="122" w:name="_Toc236565320"/>
      <w:bookmarkStart w:id="123" w:name="_Toc241658898"/>
      <w:bookmarkStart w:id="124" w:name="_Toc242584770"/>
      <w:bookmarkStart w:id="125" w:name="_Toc242697406"/>
      <w:bookmarkStart w:id="126" w:name="_Toc242697641"/>
      <w:bookmarkStart w:id="127" w:name="_Toc245187878"/>
      <w:bookmarkStart w:id="128" w:name="_Toc269658922"/>
      <w:r w:rsidRPr="00337C97">
        <w:rPr>
          <w:rFonts w:asciiTheme="minorHAnsi" w:hAnsiTheme="minorHAnsi" w:cs="Times New Roman"/>
          <w:b/>
          <w:sz w:val="22"/>
          <w:szCs w:val="22"/>
          <w:lang w:val="en-US"/>
        </w:rPr>
        <w:t>2.</w:t>
      </w:r>
      <w:r w:rsidR="00996071" w:rsidRPr="00337C97">
        <w:rPr>
          <w:rFonts w:asciiTheme="minorHAnsi" w:hAnsiTheme="minorHAnsi" w:cs="Times New Roman"/>
          <w:b/>
          <w:sz w:val="22"/>
          <w:szCs w:val="22"/>
          <w:lang w:val="en-US"/>
        </w:rPr>
        <w:t>6</w:t>
      </w:r>
      <w:r w:rsidRPr="00337C97">
        <w:rPr>
          <w:rFonts w:asciiTheme="minorHAnsi" w:hAnsiTheme="minorHAnsi" w:cs="Times New Roman"/>
          <w:b/>
          <w:sz w:val="22"/>
          <w:szCs w:val="22"/>
          <w:lang w:val="en-US"/>
        </w:rPr>
        <w:tab/>
      </w:r>
      <w:r w:rsidR="00C55EAC" w:rsidRPr="00337C97">
        <w:rPr>
          <w:rFonts w:asciiTheme="minorHAnsi" w:hAnsiTheme="minorHAnsi" w:cs="Times New Roman"/>
          <w:b/>
          <w:sz w:val="22"/>
          <w:szCs w:val="22"/>
          <w:lang w:val="en-US"/>
        </w:rPr>
        <w:t>R</w:t>
      </w:r>
      <w:r w:rsidR="006529E0" w:rsidRPr="00337C97">
        <w:rPr>
          <w:rFonts w:asciiTheme="minorHAnsi" w:hAnsiTheme="minorHAnsi" w:cs="Times New Roman"/>
          <w:b/>
          <w:sz w:val="22"/>
          <w:szCs w:val="22"/>
          <w:lang w:val="en-US"/>
        </w:rPr>
        <w:t xml:space="preserve">egulation and </w:t>
      </w:r>
      <w:r w:rsidR="002F6498" w:rsidRPr="00337C97">
        <w:rPr>
          <w:rFonts w:asciiTheme="minorHAnsi" w:hAnsiTheme="minorHAnsi" w:cs="Times New Roman"/>
          <w:b/>
          <w:sz w:val="22"/>
          <w:szCs w:val="22"/>
          <w:lang w:val="en-US"/>
        </w:rPr>
        <w:t>supervision</w:t>
      </w:r>
      <w:r w:rsidR="00C55EAC" w:rsidRPr="00337C97">
        <w:rPr>
          <w:rFonts w:asciiTheme="minorHAnsi" w:hAnsiTheme="minorHAnsi" w:cs="Times New Roman"/>
          <w:b/>
          <w:sz w:val="22"/>
          <w:szCs w:val="22"/>
          <w:lang w:val="en-US"/>
        </w:rPr>
        <w:t xml:space="preserve"> and the credit crunch</w:t>
      </w:r>
      <w:bookmarkEnd w:id="122"/>
      <w:bookmarkEnd w:id="123"/>
      <w:bookmarkEnd w:id="124"/>
      <w:bookmarkEnd w:id="125"/>
      <w:bookmarkEnd w:id="126"/>
      <w:bookmarkEnd w:id="127"/>
      <w:bookmarkEnd w:id="128"/>
    </w:p>
    <w:p w:rsidR="00D55FEC" w:rsidRPr="00337C97" w:rsidRDefault="00745A6E" w:rsidP="000527D6">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Regulators and supervisors of the banking industry have met considerable critics on their role in the </w:t>
      </w:r>
      <w:r w:rsidR="00757FC0" w:rsidRPr="00337C97">
        <w:rPr>
          <w:rFonts w:asciiTheme="minorHAnsi" w:hAnsiTheme="minorHAnsi" w:cs="Times New Roman"/>
          <w:sz w:val="22"/>
          <w:szCs w:val="22"/>
          <w:lang w:val="en-US"/>
        </w:rPr>
        <w:t>emergence</w:t>
      </w:r>
      <w:r w:rsidRPr="00337C97">
        <w:rPr>
          <w:rFonts w:asciiTheme="minorHAnsi" w:hAnsiTheme="minorHAnsi" w:cs="Times New Roman"/>
          <w:sz w:val="22"/>
          <w:szCs w:val="22"/>
          <w:lang w:val="en-US"/>
        </w:rPr>
        <w:t xml:space="preserve"> of the credit crunch. Two main critics can be distinguished</w:t>
      </w:r>
      <w:r w:rsidR="00D55FEC" w:rsidRPr="00337C97">
        <w:rPr>
          <w:rFonts w:asciiTheme="minorHAnsi" w:hAnsiTheme="minorHAnsi" w:cs="Times New Roman"/>
          <w:sz w:val="22"/>
          <w:szCs w:val="22"/>
          <w:lang w:val="en-US"/>
        </w:rPr>
        <w:t>, on the requirements of Basel II and on the role of supervisors.</w:t>
      </w:r>
    </w:p>
    <w:p w:rsidR="00D55FEC" w:rsidRPr="00337C97" w:rsidRDefault="00D55FEC" w:rsidP="000527D6">
      <w:pPr>
        <w:spacing w:line="360" w:lineRule="auto"/>
        <w:jc w:val="both"/>
        <w:rPr>
          <w:rFonts w:asciiTheme="minorHAnsi" w:hAnsiTheme="minorHAnsi" w:cs="Times New Roman"/>
          <w:sz w:val="22"/>
          <w:szCs w:val="22"/>
          <w:lang w:val="en-US"/>
        </w:rPr>
      </w:pPr>
    </w:p>
    <w:p w:rsidR="00FF635C" w:rsidRPr="00337C97" w:rsidRDefault="005A7C41" w:rsidP="000527D6">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First, </w:t>
      </w:r>
      <w:r w:rsidR="00DD5C01" w:rsidRPr="00337C97">
        <w:rPr>
          <w:rFonts w:asciiTheme="minorHAnsi" w:hAnsiTheme="minorHAnsi" w:cs="Times New Roman"/>
          <w:sz w:val="22"/>
          <w:szCs w:val="22"/>
          <w:lang w:val="en-US"/>
        </w:rPr>
        <w:t xml:space="preserve">Basel II is </w:t>
      </w:r>
      <w:r w:rsidR="00E66B2F" w:rsidRPr="00337C97">
        <w:rPr>
          <w:rFonts w:asciiTheme="minorHAnsi" w:hAnsiTheme="minorHAnsi" w:cs="Times New Roman"/>
          <w:sz w:val="22"/>
          <w:szCs w:val="22"/>
          <w:lang w:val="en-US"/>
        </w:rPr>
        <w:t xml:space="preserve">a </w:t>
      </w:r>
      <w:r w:rsidR="00B172A2" w:rsidRPr="00337C97">
        <w:rPr>
          <w:rFonts w:asciiTheme="minorHAnsi" w:hAnsiTheme="minorHAnsi" w:cs="Times New Roman"/>
          <w:sz w:val="22"/>
          <w:szCs w:val="22"/>
          <w:lang w:val="en-US"/>
        </w:rPr>
        <w:t>pro</w:t>
      </w:r>
      <w:r w:rsidR="00DD5C01" w:rsidRPr="00337C97">
        <w:rPr>
          <w:rFonts w:asciiTheme="minorHAnsi" w:hAnsiTheme="minorHAnsi" w:cs="Times New Roman"/>
          <w:sz w:val="22"/>
          <w:szCs w:val="22"/>
          <w:lang w:val="en-US"/>
        </w:rPr>
        <w:t>cyclical</w:t>
      </w:r>
      <w:r w:rsidR="00E66B2F" w:rsidRPr="00337C97">
        <w:rPr>
          <w:rFonts w:asciiTheme="minorHAnsi" w:hAnsiTheme="minorHAnsi" w:cs="Times New Roman"/>
          <w:sz w:val="22"/>
          <w:szCs w:val="22"/>
          <w:lang w:val="en-US"/>
        </w:rPr>
        <w:t xml:space="preserve"> system. This means that </w:t>
      </w:r>
      <w:r w:rsidR="00DD5C01" w:rsidRPr="00337C97">
        <w:rPr>
          <w:rFonts w:asciiTheme="minorHAnsi" w:hAnsiTheme="minorHAnsi" w:cs="Times New Roman"/>
          <w:sz w:val="22"/>
          <w:szCs w:val="22"/>
          <w:lang w:val="en-US"/>
        </w:rPr>
        <w:t>bank</w:t>
      </w:r>
      <w:r w:rsidR="00E66B2F" w:rsidRPr="00337C97">
        <w:rPr>
          <w:rFonts w:asciiTheme="minorHAnsi" w:hAnsiTheme="minorHAnsi" w:cs="Times New Roman"/>
          <w:sz w:val="22"/>
          <w:szCs w:val="22"/>
          <w:lang w:val="en-US"/>
        </w:rPr>
        <w:t xml:space="preserve">s facing defaults on credit payments need more capital, which they can hardly attract because of their worsening </w:t>
      </w:r>
      <w:r w:rsidR="00757FC0" w:rsidRPr="00337C97">
        <w:rPr>
          <w:rFonts w:asciiTheme="minorHAnsi" w:hAnsiTheme="minorHAnsi" w:cs="Times New Roman"/>
          <w:sz w:val="22"/>
          <w:szCs w:val="22"/>
          <w:lang w:val="en-US"/>
        </w:rPr>
        <w:t xml:space="preserve">liquidity </w:t>
      </w:r>
      <w:r w:rsidR="00E66B2F" w:rsidRPr="00337C97">
        <w:rPr>
          <w:rFonts w:asciiTheme="minorHAnsi" w:hAnsiTheme="minorHAnsi" w:cs="Times New Roman"/>
          <w:sz w:val="22"/>
          <w:szCs w:val="22"/>
          <w:lang w:val="en-US"/>
        </w:rPr>
        <w:t xml:space="preserve">position. Another </w:t>
      </w:r>
      <w:r w:rsidR="00E66B2F" w:rsidRPr="00337C97">
        <w:rPr>
          <w:rFonts w:asciiTheme="minorHAnsi" w:hAnsiTheme="minorHAnsi" w:cs="Times New Roman"/>
          <w:sz w:val="22"/>
          <w:szCs w:val="22"/>
          <w:lang w:val="en-US"/>
        </w:rPr>
        <w:lastRenderedPageBreak/>
        <w:t xml:space="preserve">problem with Basel II is that banks </w:t>
      </w:r>
      <w:r w:rsidRPr="00337C97">
        <w:rPr>
          <w:rFonts w:asciiTheme="minorHAnsi" w:hAnsiTheme="minorHAnsi" w:cs="Times New Roman"/>
          <w:sz w:val="22"/>
          <w:szCs w:val="22"/>
          <w:lang w:val="en-US"/>
        </w:rPr>
        <w:t>are allowed to</w:t>
      </w:r>
      <w:r w:rsidR="00E66B2F" w:rsidRPr="00337C97">
        <w:rPr>
          <w:rFonts w:asciiTheme="minorHAnsi" w:hAnsiTheme="minorHAnsi" w:cs="Times New Roman"/>
          <w:sz w:val="22"/>
          <w:szCs w:val="22"/>
          <w:lang w:val="en-US"/>
        </w:rPr>
        <w:t xml:space="preserve"> use their own internal risk models to value their investments. </w:t>
      </w:r>
      <w:r w:rsidRPr="00337C97">
        <w:rPr>
          <w:rFonts w:asciiTheme="minorHAnsi" w:hAnsiTheme="minorHAnsi" w:cs="Times New Roman"/>
          <w:sz w:val="22"/>
          <w:szCs w:val="22"/>
          <w:lang w:val="en-US"/>
        </w:rPr>
        <w:t xml:space="preserve">This means that companies are encouraged to make lower risk estimates. </w:t>
      </w:r>
      <w:r w:rsidR="00D55FEC" w:rsidRPr="00337C97">
        <w:rPr>
          <w:rFonts w:asciiTheme="minorHAnsi" w:hAnsiTheme="minorHAnsi" w:cs="Times New Roman"/>
          <w:sz w:val="22"/>
          <w:szCs w:val="22"/>
          <w:lang w:val="en-US"/>
        </w:rPr>
        <w:t>In the preceding years of economic growth, before the</w:t>
      </w:r>
      <w:r w:rsidR="00C60D9D" w:rsidRPr="00337C97">
        <w:rPr>
          <w:rFonts w:asciiTheme="minorHAnsi" w:hAnsiTheme="minorHAnsi" w:cs="Times New Roman"/>
          <w:sz w:val="22"/>
          <w:szCs w:val="22"/>
          <w:lang w:val="en-US"/>
        </w:rPr>
        <w:t xml:space="preserve"> current</w:t>
      </w:r>
      <w:r w:rsidR="00D55FEC" w:rsidRPr="00337C97">
        <w:rPr>
          <w:rFonts w:asciiTheme="minorHAnsi" w:hAnsiTheme="minorHAnsi" w:cs="Times New Roman"/>
          <w:sz w:val="22"/>
          <w:szCs w:val="22"/>
          <w:lang w:val="en-US"/>
        </w:rPr>
        <w:t xml:space="preserve"> credit crunch, this </w:t>
      </w:r>
      <w:r w:rsidR="00FF635C" w:rsidRPr="00337C97">
        <w:rPr>
          <w:rFonts w:asciiTheme="minorHAnsi" w:hAnsiTheme="minorHAnsi" w:cs="Times New Roman"/>
          <w:sz w:val="22"/>
          <w:szCs w:val="22"/>
          <w:lang w:val="en-US"/>
        </w:rPr>
        <w:t xml:space="preserve">has </w:t>
      </w:r>
      <w:r w:rsidR="00D55FEC" w:rsidRPr="00337C97">
        <w:rPr>
          <w:rFonts w:asciiTheme="minorHAnsi" w:hAnsiTheme="minorHAnsi" w:cs="Times New Roman"/>
          <w:sz w:val="22"/>
          <w:szCs w:val="22"/>
          <w:lang w:val="en-US"/>
        </w:rPr>
        <w:t xml:space="preserve">led to a decline in the capital </w:t>
      </w:r>
      <w:r w:rsidR="00FF635C" w:rsidRPr="00337C97">
        <w:rPr>
          <w:rFonts w:asciiTheme="minorHAnsi" w:hAnsiTheme="minorHAnsi" w:cs="Times New Roman"/>
          <w:sz w:val="22"/>
          <w:szCs w:val="22"/>
          <w:lang w:val="en-US"/>
        </w:rPr>
        <w:t xml:space="preserve">hold by banks, making them more vulnerable to </w:t>
      </w:r>
      <w:r w:rsidR="002617B4" w:rsidRPr="00337C97">
        <w:rPr>
          <w:rFonts w:asciiTheme="minorHAnsi" w:hAnsiTheme="minorHAnsi" w:cs="Times New Roman"/>
          <w:sz w:val="22"/>
          <w:szCs w:val="22"/>
          <w:lang w:val="en-US"/>
        </w:rPr>
        <w:t xml:space="preserve">deteriorating economic circumstances. </w:t>
      </w:r>
      <w:r w:rsidR="001612B0" w:rsidRPr="00337C97">
        <w:rPr>
          <w:rFonts w:asciiTheme="minorHAnsi" w:hAnsiTheme="minorHAnsi" w:cs="Times New Roman"/>
          <w:sz w:val="22"/>
          <w:szCs w:val="22"/>
          <w:lang w:val="en-US"/>
        </w:rPr>
        <w:t xml:space="preserve">A third problem is the scope of the Basel II Accords: banks </w:t>
      </w:r>
      <w:r w:rsidR="002617B4" w:rsidRPr="00337C97">
        <w:rPr>
          <w:rFonts w:asciiTheme="minorHAnsi" w:hAnsiTheme="minorHAnsi" w:cs="Times New Roman"/>
          <w:sz w:val="22"/>
          <w:szCs w:val="22"/>
          <w:lang w:val="en-US"/>
        </w:rPr>
        <w:t xml:space="preserve">moved </w:t>
      </w:r>
      <w:r w:rsidR="001612B0" w:rsidRPr="00337C97">
        <w:rPr>
          <w:rFonts w:asciiTheme="minorHAnsi" w:hAnsiTheme="minorHAnsi" w:cs="Times New Roman"/>
          <w:sz w:val="22"/>
          <w:szCs w:val="22"/>
          <w:lang w:val="en-US"/>
        </w:rPr>
        <w:t xml:space="preserve">their riskiest investments </w:t>
      </w:r>
      <w:r w:rsidR="002617B4" w:rsidRPr="00337C97">
        <w:rPr>
          <w:rFonts w:asciiTheme="minorHAnsi" w:hAnsiTheme="minorHAnsi" w:cs="Times New Roman"/>
          <w:sz w:val="22"/>
          <w:szCs w:val="22"/>
          <w:lang w:val="en-US"/>
        </w:rPr>
        <w:t xml:space="preserve">away from the balance sheet and put them </w:t>
      </w:r>
      <w:r w:rsidR="001612B0" w:rsidRPr="00337C97">
        <w:rPr>
          <w:rFonts w:asciiTheme="minorHAnsi" w:hAnsiTheme="minorHAnsi" w:cs="Times New Roman"/>
          <w:sz w:val="22"/>
          <w:szCs w:val="22"/>
          <w:lang w:val="en-US"/>
        </w:rPr>
        <w:t xml:space="preserve">into special </w:t>
      </w:r>
      <w:r w:rsidR="002617B4" w:rsidRPr="00337C97">
        <w:rPr>
          <w:rFonts w:asciiTheme="minorHAnsi" w:hAnsiTheme="minorHAnsi" w:cs="Times New Roman"/>
          <w:sz w:val="22"/>
          <w:szCs w:val="22"/>
          <w:lang w:val="en-US"/>
        </w:rPr>
        <w:t>purpose</w:t>
      </w:r>
      <w:r w:rsidR="001612B0" w:rsidRPr="00337C97">
        <w:rPr>
          <w:rFonts w:asciiTheme="minorHAnsi" w:hAnsiTheme="minorHAnsi" w:cs="Times New Roman"/>
          <w:sz w:val="22"/>
          <w:szCs w:val="22"/>
          <w:lang w:val="en-US"/>
        </w:rPr>
        <w:t xml:space="preserve"> vehicles (S</w:t>
      </w:r>
      <w:r w:rsidR="002617B4" w:rsidRPr="00337C97">
        <w:rPr>
          <w:rFonts w:asciiTheme="minorHAnsi" w:hAnsiTheme="minorHAnsi" w:cs="Times New Roman"/>
          <w:sz w:val="22"/>
          <w:szCs w:val="22"/>
          <w:lang w:val="en-US"/>
        </w:rPr>
        <w:t>P</w:t>
      </w:r>
      <w:r w:rsidR="001612B0" w:rsidRPr="00337C97">
        <w:rPr>
          <w:rFonts w:asciiTheme="minorHAnsi" w:hAnsiTheme="minorHAnsi" w:cs="Times New Roman"/>
          <w:sz w:val="22"/>
          <w:szCs w:val="22"/>
          <w:lang w:val="en-US"/>
        </w:rPr>
        <w:t>V</w:t>
      </w:r>
      <w:r w:rsidR="002617B4" w:rsidRPr="00337C97">
        <w:rPr>
          <w:rFonts w:asciiTheme="minorHAnsi" w:hAnsiTheme="minorHAnsi" w:cs="Times New Roman"/>
          <w:sz w:val="22"/>
          <w:szCs w:val="22"/>
          <w:lang w:val="en-US"/>
        </w:rPr>
        <w:t>s), thereby</w:t>
      </w:r>
      <w:r w:rsidR="001612B0" w:rsidRPr="00337C97">
        <w:rPr>
          <w:rFonts w:asciiTheme="minorHAnsi" w:hAnsiTheme="minorHAnsi" w:cs="Times New Roman"/>
          <w:sz w:val="22"/>
          <w:szCs w:val="22"/>
          <w:lang w:val="en-US"/>
        </w:rPr>
        <w:t xml:space="preserve"> circumvent</w:t>
      </w:r>
      <w:r w:rsidR="002617B4" w:rsidRPr="00337C97">
        <w:rPr>
          <w:rFonts w:asciiTheme="minorHAnsi" w:hAnsiTheme="minorHAnsi" w:cs="Times New Roman"/>
          <w:sz w:val="22"/>
          <w:szCs w:val="22"/>
          <w:lang w:val="en-US"/>
        </w:rPr>
        <w:t>ing</w:t>
      </w:r>
      <w:r w:rsidR="001612B0" w:rsidRPr="00337C97">
        <w:rPr>
          <w:rFonts w:asciiTheme="minorHAnsi" w:hAnsiTheme="minorHAnsi" w:cs="Times New Roman"/>
          <w:sz w:val="22"/>
          <w:szCs w:val="22"/>
          <w:lang w:val="en-US"/>
        </w:rPr>
        <w:t xml:space="preserve"> the requirements (</w:t>
      </w:r>
      <w:r w:rsidR="0081192D" w:rsidRPr="00337C97">
        <w:rPr>
          <w:rFonts w:asciiTheme="minorHAnsi" w:hAnsiTheme="minorHAnsi" w:cs="Times New Roman"/>
          <w:sz w:val="22"/>
          <w:szCs w:val="22"/>
          <w:lang w:val="en-US"/>
        </w:rPr>
        <w:t>Visser, 2009</w:t>
      </w:r>
      <w:r w:rsidR="001612B0" w:rsidRPr="00337C97">
        <w:rPr>
          <w:rFonts w:asciiTheme="minorHAnsi" w:hAnsiTheme="minorHAnsi" w:cs="Times New Roman"/>
          <w:sz w:val="22"/>
          <w:szCs w:val="22"/>
          <w:lang w:val="en-US"/>
        </w:rPr>
        <w:t>).</w:t>
      </w:r>
    </w:p>
    <w:p w:rsidR="00FF635C" w:rsidRPr="00337C97" w:rsidRDefault="00FF635C" w:rsidP="000527D6">
      <w:pPr>
        <w:spacing w:line="360" w:lineRule="auto"/>
        <w:jc w:val="both"/>
        <w:rPr>
          <w:rFonts w:asciiTheme="minorHAnsi" w:hAnsiTheme="minorHAnsi" w:cs="Times New Roman"/>
          <w:sz w:val="22"/>
          <w:szCs w:val="22"/>
          <w:lang w:val="en-US"/>
        </w:rPr>
      </w:pPr>
    </w:p>
    <w:p w:rsidR="003336A4" w:rsidRPr="00337C97" w:rsidRDefault="005A7C41" w:rsidP="000527D6">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Second, t</w:t>
      </w:r>
      <w:r w:rsidR="00745A6E" w:rsidRPr="00337C97">
        <w:rPr>
          <w:rFonts w:asciiTheme="minorHAnsi" w:hAnsiTheme="minorHAnsi" w:cs="Times New Roman"/>
          <w:sz w:val="22"/>
          <w:szCs w:val="22"/>
          <w:lang w:val="en-US"/>
        </w:rPr>
        <w:t xml:space="preserve">he supervision of the banking industry lies primarily at the national central bank and/or </w:t>
      </w:r>
      <w:r w:rsidR="001612B0" w:rsidRPr="00337C97">
        <w:rPr>
          <w:rFonts w:asciiTheme="minorHAnsi" w:hAnsiTheme="minorHAnsi" w:cs="Times New Roman"/>
          <w:sz w:val="22"/>
          <w:szCs w:val="22"/>
          <w:lang w:val="en-US"/>
        </w:rPr>
        <w:t xml:space="preserve">local </w:t>
      </w:r>
      <w:r w:rsidR="00133816" w:rsidRPr="00337C97">
        <w:rPr>
          <w:rFonts w:asciiTheme="minorHAnsi" w:hAnsiTheme="minorHAnsi" w:cs="Times New Roman"/>
          <w:sz w:val="22"/>
          <w:szCs w:val="22"/>
          <w:lang w:val="en-US"/>
        </w:rPr>
        <w:t xml:space="preserve">financial authorities. </w:t>
      </w:r>
      <w:r w:rsidR="00394A87" w:rsidRPr="00337C97">
        <w:rPr>
          <w:rFonts w:asciiTheme="minorHAnsi" w:hAnsiTheme="minorHAnsi" w:cs="Times New Roman"/>
          <w:sz w:val="22"/>
          <w:szCs w:val="22"/>
          <w:lang w:val="en-US"/>
        </w:rPr>
        <w:t>This approach has among certain advantages one major disadvantage related to systemic risk. It was too much focused on the micro-prudential supervision of individual financial institutions and not sufficiently on the macro-systemic risks of a contagion of correlated horizontal shocks. Furthermore, strong international c</w:t>
      </w:r>
      <w:r w:rsidR="00922C20" w:rsidRPr="00337C97">
        <w:rPr>
          <w:rFonts w:asciiTheme="minorHAnsi" w:hAnsiTheme="minorHAnsi" w:cs="Times New Roman"/>
          <w:sz w:val="22"/>
          <w:szCs w:val="22"/>
          <w:lang w:val="en-US"/>
        </w:rPr>
        <w:t>ompetition among financial cent</w:t>
      </w:r>
      <w:r w:rsidR="00394A87" w:rsidRPr="00337C97">
        <w:rPr>
          <w:rFonts w:asciiTheme="minorHAnsi" w:hAnsiTheme="minorHAnsi" w:cs="Times New Roman"/>
          <w:sz w:val="22"/>
          <w:szCs w:val="22"/>
          <w:lang w:val="en-US"/>
        </w:rPr>
        <w:t>e</w:t>
      </w:r>
      <w:r w:rsidR="00922C20" w:rsidRPr="00337C97">
        <w:rPr>
          <w:rFonts w:asciiTheme="minorHAnsi" w:hAnsiTheme="minorHAnsi" w:cs="Times New Roman"/>
          <w:sz w:val="22"/>
          <w:szCs w:val="22"/>
          <w:lang w:val="en-US"/>
        </w:rPr>
        <w:t>r</w:t>
      </w:r>
      <w:r w:rsidR="00394A87" w:rsidRPr="00337C97">
        <w:rPr>
          <w:rFonts w:asciiTheme="minorHAnsi" w:hAnsiTheme="minorHAnsi" w:cs="Times New Roman"/>
          <w:sz w:val="22"/>
          <w:szCs w:val="22"/>
          <w:lang w:val="en-US"/>
        </w:rPr>
        <w:t>s contributed to national regulators and supervisors being reluctant to take unilateral action</w:t>
      </w:r>
      <w:r w:rsidR="00583D97" w:rsidRPr="00337C97">
        <w:rPr>
          <w:rFonts w:asciiTheme="minorHAnsi" w:hAnsiTheme="minorHAnsi" w:cs="Times New Roman"/>
          <w:sz w:val="22"/>
          <w:szCs w:val="22"/>
          <w:lang w:val="en-US"/>
        </w:rPr>
        <w:t>, known as ‘regulatory competition’</w:t>
      </w:r>
      <w:r w:rsidR="00394A87" w:rsidRPr="00337C97">
        <w:rPr>
          <w:rFonts w:asciiTheme="minorHAnsi" w:hAnsiTheme="minorHAnsi" w:cs="Times New Roman"/>
          <w:sz w:val="22"/>
          <w:szCs w:val="22"/>
          <w:lang w:val="en-US"/>
        </w:rPr>
        <w:t xml:space="preserve"> (De Laroisère, 2009, p. 11).</w:t>
      </w:r>
    </w:p>
    <w:p w:rsidR="00394A87" w:rsidRPr="00337C97" w:rsidRDefault="00394A87" w:rsidP="000527D6">
      <w:pPr>
        <w:spacing w:line="360" w:lineRule="auto"/>
        <w:jc w:val="both"/>
        <w:rPr>
          <w:rFonts w:asciiTheme="minorHAnsi" w:hAnsiTheme="minorHAnsi" w:cs="Times New Roman"/>
          <w:sz w:val="22"/>
          <w:szCs w:val="22"/>
          <w:lang w:val="en-US"/>
        </w:rPr>
      </w:pPr>
    </w:p>
    <w:p w:rsidR="00E66B2F" w:rsidRPr="00337C97" w:rsidRDefault="00E66B2F" w:rsidP="00C60D9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However, not all supervisors </w:t>
      </w:r>
      <w:r w:rsidR="003A077A" w:rsidRPr="00337C97">
        <w:rPr>
          <w:rFonts w:asciiTheme="minorHAnsi" w:hAnsiTheme="minorHAnsi" w:cs="Times New Roman"/>
          <w:sz w:val="22"/>
          <w:szCs w:val="22"/>
          <w:lang w:val="en-US"/>
        </w:rPr>
        <w:t>were inadequate in their supervision</w:t>
      </w:r>
      <w:r w:rsidR="003336A4" w:rsidRPr="00337C97">
        <w:rPr>
          <w:rFonts w:asciiTheme="minorHAnsi" w:hAnsiTheme="minorHAnsi" w:cs="Times New Roman"/>
          <w:sz w:val="22"/>
          <w:szCs w:val="22"/>
          <w:lang w:val="en-US"/>
        </w:rPr>
        <w:t xml:space="preserve">. One example can be found in Spain. The supervision, carried out by the Spanish central bank (Banco de España), </w:t>
      </w:r>
      <w:r w:rsidR="005A7C41" w:rsidRPr="00337C97">
        <w:rPr>
          <w:rFonts w:asciiTheme="minorHAnsi" w:hAnsiTheme="minorHAnsi" w:cs="Times New Roman"/>
          <w:sz w:val="22"/>
          <w:szCs w:val="22"/>
          <w:lang w:val="en-US"/>
        </w:rPr>
        <w:t xml:space="preserve">is more conservative and </w:t>
      </w:r>
      <w:r w:rsidR="003336A4" w:rsidRPr="00337C97">
        <w:rPr>
          <w:rFonts w:asciiTheme="minorHAnsi" w:hAnsiTheme="minorHAnsi" w:cs="Times New Roman"/>
          <w:sz w:val="22"/>
          <w:szCs w:val="22"/>
          <w:lang w:val="en-US"/>
        </w:rPr>
        <w:t xml:space="preserve">has more </w:t>
      </w:r>
      <w:r w:rsidR="002A163D" w:rsidRPr="00337C97">
        <w:rPr>
          <w:rFonts w:asciiTheme="minorHAnsi" w:hAnsiTheme="minorHAnsi" w:cs="Times New Roman"/>
          <w:sz w:val="22"/>
          <w:szCs w:val="22"/>
          <w:lang w:val="en-US"/>
        </w:rPr>
        <w:t xml:space="preserve">stringent </w:t>
      </w:r>
      <w:r w:rsidR="003336A4" w:rsidRPr="00337C97">
        <w:rPr>
          <w:rFonts w:asciiTheme="minorHAnsi" w:hAnsiTheme="minorHAnsi" w:cs="Times New Roman"/>
          <w:sz w:val="22"/>
          <w:szCs w:val="22"/>
          <w:lang w:val="en-US"/>
        </w:rPr>
        <w:t xml:space="preserve">requirements than Basel II. The additional requirements have </w:t>
      </w:r>
      <w:r w:rsidR="00B172A2" w:rsidRPr="00337C97">
        <w:rPr>
          <w:rFonts w:asciiTheme="minorHAnsi" w:hAnsiTheme="minorHAnsi" w:cs="Times New Roman"/>
          <w:sz w:val="22"/>
          <w:szCs w:val="22"/>
          <w:lang w:val="en-US"/>
        </w:rPr>
        <w:t>a counter</w:t>
      </w:r>
      <w:r w:rsidR="00D55FEC" w:rsidRPr="00337C97">
        <w:rPr>
          <w:rFonts w:asciiTheme="minorHAnsi" w:hAnsiTheme="minorHAnsi" w:cs="Times New Roman"/>
          <w:sz w:val="22"/>
          <w:szCs w:val="22"/>
          <w:lang w:val="en-US"/>
        </w:rPr>
        <w:t>cyclical</w:t>
      </w:r>
      <w:r w:rsidR="003336A4" w:rsidRPr="00337C97">
        <w:rPr>
          <w:rFonts w:asciiTheme="minorHAnsi" w:hAnsiTheme="minorHAnsi" w:cs="Times New Roman"/>
          <w:sz w:val="22"/>
          <w:szCs w:val="22"/>
          <w:lang w:val="en-US"/>
        </w:rPr>
        <w:t xml:space="preserve"> character, which means that in good times banks are forced t</w:t>
      </w:r>
      <w:r w:rsidR="002A163D" w:rsidRPr="00337C97">
        <w:rPr>
          <w:rFonts w:asciiTheme="minorHAnsi" w:hAnsiTheme="minorHAnsi" w:cs="Times New Roman"/>
          <w:sz w:val="22"/>
          <w:szCs w:val="22"/>
          <w:lang w:val="en-US"/>
        </w:rPr>
        <w:t>o make more provisions</w:t>
      </w:r>
      <w:r w:rsidR="003336A4" w:rsidRPr="00337C97">
        <w:rPr>
          <w:rFonts w:asciiTheme="minorHAnsi" w:hAnsiTheme="minorHAnsi" w:cs="Times New Roman"/>
          <w:sz w:val="22"/>
          <w:szCs w:val="22"/>
          <w:lang w:val="en-US"/>
        </w:rPr>
        <w:t xml:space="preserve">, </w:t>
      </w:r>
      <w:r w:rsidR="001612B0" w:rsidRPr="00337C97">
        <w:rPr>
          <w:rFonts w:asciiTheme="minorHAnsi" w:hAnsiTheme="minorHAnsi" w:cs="Times New Roman"/>
          <w:sz w:val="22"/>
          <w:szCs w:val="22"/>
          <w:lang w:val="en-US"/>
        </w:rPr>
        <w:t xml:space="preserve">to use them </w:t>
      </w:r>
      <w:r w:rsidR="003336A4" w:rsidRPr="00337C97">
        <w:rPr>
          <w:rFonts w:asciiTheme="minorHAnsi" w:hAnsiTheme="minorHAnsi" w:cs="Times New Roman"/>
          <w:sz w:val="22"/>
          <w:szCs w:val="22"/>
          <w:lang w:val="en-US"/>
        </w:rPr>
        <w:t xml:space="preserve">in bad times. </w:t>
      </w:r>
      <w:r w:rsidR="005A7C41" w:rsidRPr="00337C97">
        <w:rPr>
          <w:rFonts w:asciiTheme="minorHAnsi" w:hAnsiTheme="minorHAnsi" w:cs="Times New Roman"/>
          <w:sz w:val="22"/>
          <w:szCs w:val="22"/>
          <w:lang w:val="en-US"/>
        </w:rPr>
        <w:t>B</w:t>
      </w:r>
      <w:r w:rsidR="003336A4" w:rsidRPr="00337C97">
        <w:rPr>
          <w:rFonts w:asciiTheme="minorHAnsi" w:hAnsiTheme="minorHAnsi" w:cs="Times New Roman"/>
          <w:sz w:val="22"/>
          <w:szCs w:val="22"/>
          <w:lang w:val="en-US"/>
        </w:rPr>
        <w:t xml:space="preserve">efore the credit crunch, Spanish banks had </w:t>
      </w:r>
      <w:r w:rsidR="005A7C41" w:rsidRPr="00337C97">
        <w:rPr>
          <w:rFonts w:asciiTheme="minorHAnsi" w:hAnsiTheme="minorHAnsi" w:cs="Times New Roman"/>
          <w:sz w:val="22"/>
          <w:szCs w:val="22"/>
          <w:lang w:val="en-US"/>
        </w:rPr>
        <w:t xml:space="preserve">therefore </w:t>
      </w:r>
      <w:r w:rsidR="003336A4" w:rsidRPr="00337C97">
        <w:rPr>
          <w:rFonts w:asciiTheme="minorHAnsi" w:hAnsiTheme="minorHAnsi" w:cs="Times New Roman"/>
          <w:sz w:val="22"/>
          <w:szCs w:val="22"/>
          <w:lang w:val="en-US"/>
        </w:rPr>
        <w:t xml:space="preserve">a </w:t>
      </w:r>
      <w:r w:rsidR="00D55FEC" w:rsidRPr="00337C97">
        <w:rPr>
          <w:rFonts w:asciiTheme="minorHAnsi" w:hAnsiTheme="minorHAnsi" w:cs="Times New Roman"/>
          <w:sz w:val="22"/>
          <w:szCs w:val="22"/>
          <w:lang w:val="en-US"/>
        </w:rPr>
        <w:t>much stronger capital position than other European Banks (</w:t>
      </w:r>
      <w:r w:rsidR="0081192D" w:rsidRPr="00337C97">
        <w:rPr>
          <w:rFonts w:asciiTheme="minorHAnsi" w:hAnsiTheme="minorHAnsi" w:cs="Times New Roman"/>
          <w:sz w:val="22"/>
          <w:szCs w:val="22"/>
          <w:lang w:val="en-US"/>
        </w:rPr>
        <w:t>Visser, 2009</w:t>
      </w:r>
      <w:r w:rsidR="00D55FEC" w:rsidRPr="00337C97">
        <w:rPr>
          <w:rFonts w:asciiTheme="minorHAnsi" w:hAnsiTheme="minorHAnsi" w:cs="Times New Roman"/>
          <w:sz w:val="22"/>
          <w:szCs w:val="22"/>
          <w:lang w:val="en-US"/>
        </w:rPr>
        <w:t>). Furthermore, the central bank demanded that banks post an 8 pe</w:t>
      </w:r>
      <w:r w:rsidR="00C60D9D" w:rsidRPr="00337C97">
        <w:rPr>
          <w:rFonts w:asciiTheme="minorHAnsi" w:hAnsiTheme="minorHAnsi" w:cs="Times New Roman"/>
          <w:sz w:val="22"/>
          <w:szCs w:val="22"/>
          <w:lang w:val="en-US"/>
        </w:rPr>
        <w:t xml:space="preserve">r cent capital charge against </w:t>
      </w:r>
      <w:r w:rsidR="00D55FEC" w:rsidRPr="00337C97">
        <w:rPr>
          <w:rFonts w:asciiTheme="minorHAnsi" w:hAnsiTheme="minorHAnsi" w:cs="Times New Roman"/>
          <w:sz w:val="22"/>
          <w:szCs w:val="22"/>
          <w:lang w:val="en-US"/>
        </w:rPr>
        <w:t>assets</w:t>
      </w:r>
      <w:r w:rsidR="00C60D9D" w:rsidRPr="00337C97">
        <w:rPr>
          <w:rFonts w:asciiTheme="minorHAnsi" w:hAnsiTheme="minorHAnsi" w:cs="Times New Roman"/>
          <w:sz w:val="22"/>
          <w:szCs w:val="22"/>
          <w:lang w:val="en-US"/>
        </w:rPr>
        <w:t xml:space="preserve"> put in SPVs</w:t>
      </w:r>
      <w:r w:rsidR="00D55FEC" w:rsidRPr="00337C97">
        <w:rPr>
          <w:rFonts w:asciiTheme="minorHAnsi" w:hAnsiTheme="minorHAnsi" w:cs="Times New Roman"/>
          <w:sz w:val="22"/>
          <w:szCs w:val="22"/>
          <w:lang w:val="en-US"/>
        </w:rPr>
        <w:t xml:space="preserve">. That essentially killed </w:t>
      </w:r>
      <w:r w:rsidR="005A7C41" w:rsidRPr="00337C97">
        <w:rPr>
          <w:rFonts w:asciiTheme="minorHAnsi" w:hAnsiTheme="minorHAnsi" w:cs="Times New Roman"/>
          <w:sz w:val="22"/>
          <w:szCs w:val="22"/>
          <w:lang w:val="en-US"/>
        </w:rPr>
        <w:t>this lucrative</w:t>
      </w:r>
      <w:r w:rsidR="00D55FEC" w:rsidRPr="00337C97">
        <w:rPr>
          <w:rFonts w:asciiTheme="minorHAnsi" w:hAnsiTheme="minorHAnsi" w:cs="Times New Roman"/>
          <w:sz w:val="22"/>
          <w:szCs w:val="22"/>
          <w:lang w:val="en-US"/>
        </w:rPr>
        <w:t xml:space="preserve"> business by removing incentives to create these creatures (</w:t>
      </w:r>
      <w:r w:rsidR="0081192D" w:rsidRPr="00337C97">
        <w:rPr>
          <w:rFonts w:asciiTheme="minorHAnsi" w:hAnsiTheme="minorHAnsi" w:cs="Times New Roman"/>
          <w:sz w:val="22"/>
          <w:szCs w:val="22"/>
          <w:lang w:val="en-US"/>
        </w:rPr>
        <w:t xml:space="preserve">Tett, </w:t>
      </w:r>
      <w:r w:rsidR="002A163D" w:rsidRPr="00337C97">
        <w:rPr>
          <w:rFonts w:asciiTheme="minorHAnsi" w:hAnsiTheme="minorHAnsi" w:cs="Times New Roman"/>
          <w:sz w:val="22"/>
          <w:szCs w:val="22"/>
          <w:lang w:val="en-US"/>
        </w:rPr>
        <w:t>2008).</w:t>
      </w:r>
    </w:p>
    <w:p w:rsidR="003336A4" w:rsidRPr="00337C97" w:rsidRDefault="003336A4" w:rsidP="000527D6">
      <w:pPr>
        <w:spacing w:line="360" w:lineRule="auto"/>
        <w:jc w:val="both"/>
        <w:rPr>
          <w:rFonts w:asciiTheme="minorHAnsi" w:hAnsiTheme="minorHAnsi" w:cs="Times New Roman"/>
          <w:sz w:val="22"/>
          <w:szCs w:val="22"/>
          <w:lang w:val="en-US"/>
        </w:rPr>
      </w:pPr>
    </w:p>
    <w:p w:rsidR="00A54716" w:rsidRPr="00337C97" w:rsidRDefault="00D6519A" w:rsidP="00AF177B">
      <w:pPr>
        <w:spacing w:line="360" w:lineRule="auto"/>
        <w:jc w:val="both"/>
        <w:outlineLvl w:val="1"/>
        <w:rPr>
          <w:rFonts w:asciiTheme="minorHAnsi" w:hAnsiTheme="minorHAnsi" w:cs="Times New Roman"/>
          <w:b/>
          <w:sz w:val="22"/>
          <w:szCs w:val="22"/>
          <w:lang w:val="en-US"/>
        </w:rPr>
      </w:pPr>
      <w:bookmarkStart w:id="129" w:name="_Toc236565321"/>
      <w:bookmarkStart w:id="130" w:name="_Toc241658899"/>
      <w:bookmarkStart w:id="131" w:name="_Toc242584771"/>
      <w:bookmarkStart w:id="132" w:name="_Toc242697407"/>
      <w:bookmarkStart w:id="133" w:name="_Toc242697642"/>
      <w:bookmarkStart w:id="134" w:name="_Toc245187879"/>
      <w:bookmarkStart w:id="135" w:name="_Toc269658923"/>
      <w:r w:rsidRPr="00337C97">
        <w:rPr>
          <w:rFonts w:asciiTheme="minorHAnsi" w:hAnsiTheme="minorHAnsi" w:cs="Times New Roman"/>
          <w:b/>
          <w:sz w:val="22"/>
          <w:szCs w:val="22"/>
          <w:lang w:val="en-US"/>
        </w:rPr>
        <w:t>2.</w:t>
      </w:r>
      <w:r w:rsidR="00996071" w:rsidRPr="00337C97">
        <w:rPr>
          <w:rFonts w:asciiTheme="minorHAnsi" w:hAnsiTheme="minorHAnsi" w:cs="Times New Roman"/>
          <w:b/>
          <w:sz w:val="22"/>
          <w:szCs w:val="22"/>
          <w:lang w:val="en-US"/>
        </w:rPr>
        <w:t>7</w:t>
      </w:r>
      <w:r w:rsidRPr="00337C97">
        <w:rPr>
          <w:rFonts w:asciiTheme="minorHAnsi" w:hAnsiTheme="minorHAnsi" w:cs="Times New Roman"/>
          <w:b/>
          <w:sz w:val="22"/>
          <w:szCs w:val="22"/>
          <w:lang w:val="en-US"/>
        </w:rPr>
        <w:t xml:space="preserve"> </w:t>
      </w:r>
      <w:r w:rsidRPr="00337C97">
        <w:rPr>
          <w:rFonts w:asciiTheme="minorHAnsi" w:hAnsiTheme="minorHAnsi" w:cs="Times New Roman"/>
          <w:b/>
          <w:sz w:val="22"/>
          <w:szCs w:val="22"/>
          <w:lang w:val="en-US"/>
        </w:rPr>
        <w:tab/>
      </w:r>
      <w:r w:rsidR="00A54716" w:rsidRPr="00337C97">
        <w:rPr>
          <w:rFonts w:asciiTheme="minorHAnsi" w:hAnsiTheme="minorHAnsi" w:cs="Times New Roman"/>
          <w:b/>
          <w:sz w:val="22"/>
          <w:szCs w:val="22"/>
          <w:lang w:val="en-US"/>
        </w:rPr>
        <w:t>Corporat</w:t>
      </w:r>
      <w:r w:rsidR="00FD48C3" w:rsidRPr="00337C97">
        <w:rPr>
          <w:rFonts w:asciiTheme="minorHAnsi" w:hAnsiTheme="minorHAnsi" w:cs="Times New Roman"/>
          <w:b/>
          <w:sz w:val="22"/>
          <w:szCs w:val="22"/>
          <w:lang w:val="en-US"/>
        </w:rPr>
        <w:t>e governance codes</w:t>
      </w:r>
      <w:bookmarkEnd w:id="129"/>
      <w:bookmarkEnd w:id="130"/>
      <w:bookmarkEnd w:id="131"/>
      <w:bookmarkEnd w:id="132"/>
      <w:bookmarkEnd w:id="133"/>
      <w:bookmarkEnd w:id="134"/>
      <w:bookmarkEnd w:id="135"/>
    </w:p>
    <w:p w:rsidR="001635E6" w:rsidRPr="00337C97" w:rsidRDefault="00B967CB" w:rsidP="00391DB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 recent development in the worldwide corporate business world is the application of corporate governance codes</w:t>
      </w:r>
      <w:r w:rsidR="00380475" w:rsidRPr="00337C97">
        <w:rPr>
          <w:rFonts w:asciiTheme="minorHAnsi" w:hAnsiTheme="minorHAnsi" w:cs="Times New Roman"/>
          <w:sz w:val="22"/>
          <w:szCs w:val="22"/>
          <w:lang w:val="en-US"/>
        </w:rPr>
        <w:t xml:space="preserve"> for public companies</w:t>
      </w:r>
      <w:r w:rsidRPr="00337C97">
        <w:rPr>
          <w:rFonts w:asciiTheme="minorHAnsi" w:hAnsiTheme="minorHAnsi" w:cs="Times New Roman"/>
          <w:sz w:val="22"/>
          <w:szCs w:val="22"/>
          <w:lang w:val="en-US"/>
        </w:rPr>
        <w:t xml:space="preserve"> throughout many western countries. This development was a response to some </w:t>
      </w:r>
      <w:r w:rsidR="00391DB5" w:rsidRPr="00337C97">
        <w:rPr>
          <w:rFonts w:asciiTheme="minorHAnsi" w:hAnsiTheme="minorHAnsi" w:cs="Times New Roman"/>
          <w:sz w:val="22"/>
          <w:szCs w:val="22"/>
          <w:lang w:val="en-US"/>
        </w:rPr>
        <w:t>high-profile accounting</w:t>
      </w:r>
      <w:r w:rsidRPr="00337C97">
        <w:rPr>
          <w:rFonts w:asciiTheme="minorHAnsi" w:hAnsiTheme="minorHAnsi" w:cs="Times New Roman"/>
          <w:sz w:val="22"/>
          <w:szCs w:val="22"/>
          <w:lang w:val="en-US"/>
        </w:rPr>
        <w:t xml:space="preserve"> fraud scandals, </w:t>
      </w:r>
      <w:r w:rsidR="00391DB5" w:rsidRPr="00337C97">
        <w:rPr>
          <w:rFonts w:asciiTheme="minorHAnsi" w:hAnsiTheme="minorHAnsi" w:cs="Times New Roman"/>
          <w:sz w:val="22"/>
          <w:szCs w:val="22"/>
          <w:lang w:val="en-US"/>
        </w:rPr>
        <w:t>involving well-respected companies</w:t>
      </w:r>
      <w:r w:rsidRPr="00337C97">
        <w:rPr>
          <w:rFonts w:asciiTheme="minorHAnsi" w:hAnsiTheme="minorHAnsi" w:cs="Times New Roman"/>
          <w:sz w:val="22"/>
          <w:szCs w:val="22"/>
          <w:lang w:val="en-US"/>
        </w:rPr>
        <w:t xml:space="preserve"> as energy giant Enron (2001) and </w:t>
      </w:r>
      <w:r w:rsidR="00155E92" w:rsidRPr="00337C97">
        <w:rPr>
          <w:rFonts w:asciiTheme="minorHAnsi" w:hAnsiTheme="minorHAnsi" w:cs="Times New Roman"/>
          <w:sz w:val="22"/>
          <w:szCs w:val="22"/>
          <w:lang w:val="en-US"/>
        </w:rPr>
        <w:t>internet company</w:t>
      </w:r>
      <w:r w:rsidRPr="00337C97">
        <w:rPr>
          <w:rFonts w:asciiTheme="minorHAnsi" w:hAnsiTheme="minorHAnsi" w:cs="Times New Roman"/>
          <w:sz w:val="22"/>
          <w:szCs w:val="22"/>
          <w:lang w:val="en-US"/>
        </w:rPr>
        <w:t xml:space="preserve"> WorldCom (2002) in the US.</w:t>
      </w:r>
      <w:r w:rsidR="000C6AC8" w:rsidRPr="00337C97">
        <w:rPr>
          <w:rFonts w:asciiTheme="minorHAnsi" w:hAnsiTheme="minorHAnsi" w:cs="Times New Roman"/>
          <w:sz w:val="22"/>
          <w:szCs w:val="22"/>
          <w:lang w:val="en-US"/>
        </w:rPr>
        <w:t xml:space="preserve"> </w:t>
      </w:r>
      <w:r w:rsidR="0083159F" w:rsidRPr="00337C97">
        <w:rPr>
          <w:rFonts w:asciiTheme="minorHAnsi" w:hAnsiTheme="minorHAnsi" w:cs="Times New Roman"/>
          <w:sz w:val="22"/>
          <w:szCs w:val="22"/>
          <w:lang w:val="en-US"/>
        </w:rPr>
        <w:t>I</w:t>
      </w:r>
      <w:r w:rsidR="000C6AC8" w:rsidRPr="00337C97">
        <w:rPr>
          <w:rFonts w:asciiTheme="minorHAnsi" w:hAnsiTheme="minorHAnsi" w:cs="Times New Roman"/>
          <w:sz w:val="22"/>
          <w:szCs w:val="22"/>
          <w:lang w:val="en-US"/>
        </w:rPr>
        <w:t xml:space="preserve">n Europe, </w:t>
      </w:r>
      <w:r w:rsidR="00155E92" w:rsidRPr="00337C97">
        <w:rPr>
          <w:rFonts w:asciiTheme="minorHAnsi" w:hAnsiTheme="minorHAnsi" w:cs="Times New Roman"/>
          <w:sz w:val="22"/>
          <w:szCs w:val="22"/>
          <w:lang w:val="en-US"/>
        </w:rPr>
        <w:t xml:space="preserve">accounting </w:t>
      </w:r>
      <w:r w:rsidR="000C6AC8" w:rsidRPr="00337C97">
        <w:rPr>
          <w:rFonts w:asciiTheme="minorHAnsi" w:hAnsiTheme="minorHAnsi" w:cs="Times New Roman"/>
          <w:sz w:val="22"/>
          <w:szCs w:val="22"/>
          <w:lang w:val="en-US"/>
        </w:rPr>
        <w:t xml:space="preserve">fraud was discovered at dairy giant Parmalat </w:t>
      </w:r>
      <w:r w:rsidR="00722728" w:rsidRPr="00337C97">
        <w:rPr>
          <w:rFonts w:asciiTheme="minorHAnsi" w:hAnsiTheme="minorHAnsi" w:cs="Times New Roman"/>
          <w:sz w:val="22"/>
          <w:szCs w:val="22"/>
          <w:lang w:val="en-US"/>
        </w:rPr>
        <w:t xml:space="preserve">(2003) </w:t>
      </w:r>
      <w:r w:rsidR="000C6AC8" w:rsidRPr="00337C97">
        <w:rPr>
          <w:rFonts w:asciiTheme="minorHAnsi" w:hAnsiTheme="minorHAnsi" w:cs="Times New Roman"/>
          <w:sz w:val="22"/>
          <w:szCs w:val="22"/>
          <w:lang w:val="en-US"/>
        </w:rPr>
        <w:t xml:space="preserve">in Italy and </w:t>
      </w:r>
      <w:r w:rsidR="00155E92" w:rsidRPr="00337C97">
        <w:rPr>
          <w:rFonts w:asciiTheme="minorHAnsi" w:hAnsiTheme="minorHAnsi" w:cs="Times New Roman"/>
          <w:sz w:val="22"/>
          <w:szCs w:val="22"/>
          <w:lang w:val="en-US"/>
        </w:rPr>
        <w:t xml:space="preserve">international food </w:t>
      </w:r>
      <w:r w:rsidR="000C6AC8" w:rsidRPr="00337C97">
        <w:rPr>
          <w:rFonts w:asciiTheme="minorHAnsi" w:hAnsiTheme="minorHAnsi" w:cs="Times New Roman"/>
          <w:sz w:val="22"/>
          <w:szCs w:val="22"/>
          <w:lang w:val="en-US"/>
        </w:rPr>
        <w:t>retailer A</w:t>
      </w:r>
      <w:r w:rsidR="00D80975" w:rsidRPr="00337C97">
        <w:rPr>
          <w:rFonts w:asciiTheme="minorHAnsi" w:hAnsiTheme="minorHAnsi" w:cs="Times New Roman"/>
          <w:sz w:val="22"/>
          <w:szCs w:val="22"/>
          <w:lang w:val="en-US"/>
        </w:rPr>
        <w:t>hold (2003) in the Netherlands (Mecking, 2008)</w:t>
      </w:r>
      <w:r w:rsidR="000C6AC8" w:rsidRPr="00337C97">
        <w:rPr>
          <w:rFonts w:asciiTheme="minorHAnsi" w:hAnsiTheme="minorHAnsi" w:cs="Times New Roman"/>
          <w:sz w:val="22"/>
          <w:szCs w:val="22"/>
          <w:lang w:val="en-US"/>
        </w:rPr>
        <w:t>.</w:t>
      </w:r>
      <w:r w:rsidR="00D80975" w:rsidRPr="00337C97">
        <w:rPr>
          <w:rFonts w:asciiTheme="minorHAnsi" w:hAnsiTheme="minorHAnsi" w:cs="Times New Roman"/>
          <w:sz w:val="22"/>
          <w:szCs w:val="22"/>
          <w:lang w:val="en-US"/>
        </w:rPr>
        <w:t xml:space="preserve"> </w:t>
      </w:r>
      <w:r w:rsidR="00306498" w:rsidRPr="00337C97">
        <w:rPr>
          <w:rFonts w:asciiTheme="minorHAnsi" w:hAnsiTheme="minorHAnsi" w:cs="Times New Roman"/>
          <w:sz w:val="22"/>
          <w:szCs w:val="22"/>
          <w:lang w:val="en-US"/>
        </w:rPr>
        <w:t>In the wake of these corporate scandals there has been an increased demand for more disclosures</w:t>
      </w:r>
      <w:r w:rsidR="00D80975" w:rsidRPr="00337C97">
        <w:rPr>
          <w:rFonts w:asciiTheme="minorHAnsi" w:hAnsiTheme="minorHAnsi" w:cs="Times New Roman"/>
          <w:sz w:val="22"/>
          <w:szCs w:val="22"/>
          <w:lang w:val="en-US"/>
        </w:rPr>
        <w:t xml:space="preserve"> (Amran et al., 2009, p. 39).</w:t>
      </w:r>
    </w:p>
    <w:p w:rsidR="000C6AC8" w:rsidRPr="00337C97" w:rsidRDefault="000C6AC8" w:rsidP="00513384">
      <w:pPr>
        <w:spacing w:line="360" w:lineRule="auto"/>
        <w:jc w:val="both"/>
        <w:rPr>
          <w:rFonts w:asciiTheme="minorHAnsi" w:hAnsiTheme="minorHAnsi"/>
          <w:sz w:val="22"/>
          <w:szCs w:val="22"/>
          <w:lang w:val="en-US"/>
        </w:rPr>
      </w:pPr>
    </w:p>
    <w:p w:rsidR="00843E4D" w:rsidRPr="00337C97" w:rsidRDefault="009F2159" w:rsidP="00513384">
      <w:pPr>
        <w:spacing w:line="360" w:lineRule="auto"/>
        <w:jc w:val="both"/>
        <w:rPr>
          <w:rFonts w:asciiTheme="minorHAnsi" w:hAnsiTheme="minorHAnsi"/>
          <w:sz w:val="22"/>
          <w:szCs w:val="22"/>
          <w:lang w:val="en-US"/>
        </w:rPr>
      </w:pPr>
      <w:r w:rsidRPr="00337C97">
        <w:rPr>
          <w:rFonts w:asciiTheme="minorHAnsi" w:hAnsiTheme="minorHAnsi"/>
          <w:sz w:val="22"/>
          <w:szCs w:val="22"/>
          <w:lang w:val="en-US"/>
        </w:rPr>
        <w:lastRenderedPageBreak/>
        <w:t xml:space="preserve">Especially regarding </w:t>
      </w:r>
      <w:r w:rsidR="00391DB5" w:rsidRPr="00337C97">
        <w:rPr>
          <w:rFonts w:asciiTheme="minorHAnsi" w:hAnsiTheme="minorHAnsi"/>
          <w:sz w:val="22"/>
          <w:szCs w:val="22"/>
          <w:lang w:val="en-US"/>
        </w:rPr>
        <w:t xml:space="preserve">these scandals, the integrity of financial reporting </w:t>
      </w:r>
      <w:r w:rsidR="00155E92" w:rsidRPr="00337C97">
        <w:rPr>
          <w:rFonts w:asciiTheme="minorHAnsi" w:hAnsiTheme="minorHAnsi"/>
          <w:sz w:val="22"/>
          <w:szCs w:val="22"/>
          <w:lang w:val="en-US"/>
        </w:rPr>
        <w:t>is</w:t>
      </w:r>
      <w:r w:rsidR="00391DB5" w:rsidRPr="00337C97">
        <w:rPr>
          <w:rFonts w:asciiTheme="minorHAnsi" w:hAnsiTheme="minorHAnsi"/>
          <w:sz w:val="22"/>
          <w:szCs w:val="22"/>
          <w:lang w:val="en-US"/>
        </w:rPr>
        <w:t xml:space="preserve"> a consistent concern among regulators and practitioners</w:t>
      </w:r>
      <w:r w:rsidR="00576F69" w:rsidRPr="00337C97">
        <w:rPr>
          <w:rFonts w:asciiTheme="minorHAnsi" w:hAnsiTheme="minorHAnsi"/>
          <w:sz w:val="22"/>
          <w:szCs w:val="22"/>
          <w:lang w:val="en-US"/>
        </w:rPr>
        <w:t xml:space="preserve"> (Chen et al., 2007</w:t>
      </w:r>
      <w:r w:rsidR="000E3074" w:rsidRPr="00337C97">
        <w:rPr>
          <w:rFonts w:asciiTheme="minorHAnsi" w:hAnsiTheme="minorHAnsi"/>
          <w:sz w:val="22"/>
          <w:szCs w:val="22"/>
          <w:lang w:val="en-US"/>
        </w:rPr>
        <w:t xml:space="preserve">, p. </w:t>
      </w:r>
      <w:r w:rsidR="00B13E13" w:rsidRPr="00337C97">
        <w:rPr>
          <w:rFonts w:asciiTheme="minorHAnsi" w:hAnsiTheme="minorHAnsi"/>
          <w:sz w:val="22"/>
          <w:szCs w:val="22"/>
          <w:lang w:val="en-US"/>
        </w:rPr>
        <w:t>3</w:t>
      </w:r>
      <w:r w:rsidR="00576F69" w:rsidRPr="00337C97">
        <w:rPr>
          <w:rFonts w:asciiTheme="minorHAnsi" w:hAnsiTheme="minorHAnsi"/>
          <w:sz w:val="22"/>
          <w:szCs w:val="22"/>
          <w:lang w:val="en-US"/>
        </w:rPr>
        <w:t xml:space="preserve">). As a consequence of these improper practices attention has been focused on the need for strong corporate governance mechanisms within companies (Davidson et al., 2005). </w:t>
      </w:r>
      <w:r w:rsidR="0026118B" w:rsidRPr="00337C97">
        <w:rPr>
          <w:rFonts w:asciiTheme="minorHAnsi" w:hAnsiTheme="minorHAnsi"/>
          <w:sz w:val="22"/>
          <w:szCs w:val="22"/>
          <w:lang w:val="en-US"/>
        </w:rPr>
        <w:t xml:space="preserve">Since 1992, reports, best practices, guidance and codes about corporate governance for public listed companies were published </w:t>
      </w:r>
      <w:r w:rsidR="00FD48C3" w:rsidRPr="00337C97">
        <w:rPr>
          <w:rFonts w:asciiTheme="minorHAnsi" w:hAnsiTheme="minorHAnsi"/>
          <w:sz w:val="22"/>
          <w:szCs w:val="22"/>
          <w:lang w:val="en-US"/>
        </w:rPr>
        <w:t xml:space="preserve">and implemented </w:t>
      </w:r>
      <w:r w:rsidR="0026118B" w:rsidRPr="00337C97">
        <w:rPr>
          <w:rFonts w:asciiTheme="minorHAnsi" w:hAnsiTheme="minorHAnsi"/>
          <w:sz w:val="22"/>
          <w:szCs w:val="22"/>
          <w:lang w:val="en-US"/>
        </w:rPr>
        <w:t>in at least 67 countries worldwide (European Corporate Governance Institute, 2009)</w:t>
      </w:r>
      <w:r w:rsidR="00155E92" w:rsidRPr="00337C97">
        <w:rPr>
          <w:rFonts w:asciiTheme="minorHAnsi" w:hAnsiTheme="minorHAnsi"/>
          <w:sz w:val="22"/>
          <w:szCs w:val="22"/>
          <w:lang w:val="en-US"/>
        </w:rPr>
        <w:t>.</w:t>
      </w:r>
      <w:r w:rsidR="00AA48B1" w:rsidRPr="00337C97">
        <w:rPr>
          <w:rFonts w:asciiTheme="minorHAnsi" w:hAnsiTheme="minorHAnsi"/>
          <w:sz w:val="22"/>
          <w:szCs w:val="22"/>
          <w:lang w:val="en-US"/>
        </w:rPr>
        <w:t xml:space="preserve"> </w:t>
      </w:r>
      <w:r w:rsidR="00AA1067" w:rsidRPr="00337C97">
        <w:rPr>
          <w:rFonts w:asciiTheme="minorHAnsi" w:hAnsiTheme="minorHAnsi"/>
          <w:sz w:val="22"/>
          <w:szCs w:val="22"/>
          <w:lang w:val="en-US"/>
        </w:rPr>
        <w:t>Cabedo and Tirado (2004</w:t>
      </w:r>
      <w:r w:rsidR="00843E4D" w:rsidRPr="00337C97">
        <w:rPr>
          <w:rFonts w:asciiTheme="minorHAnsi" w:hAnsiTheme="minorHAnsi"/>
          <w:sz w:val="22"/>
          <w:szCs w:val="22"/>
          <w:lang w:val="en-US"/>
        </w:rPr>
        <w:t>, p. 183</w:t>
      </w:r>
      <w:r w:rsidR="00AA1067" w:rsidRPr="00337C97">
        <w:rPr>
          <w:rFonts w:asciiTheme="minorHAnsi" w:hAnsiTheme="minorHAnsi"/>
          <w:sz w:val="22"/>
          <w:szCs w:val="22"/>
          <w:lang w:val="en-US"/>
        </w:rPr>
        <w:t xml:space="preserve">) pointed out that </w:t>
      </w:r>
      <w:r w:rsidR="00843E4D" w:rsidRPr="00337C97">
        <w:rPr>
          <w:rFonts w:asciiTheme="minorHAnsi" w:hAnsiTheme="minorHAnsi"/>
          <w:sz w:val="22"/>
          <w:szCs w:val="22"/>
          <w:lang w:val="en-US"/>
        </w:rPr>
        <w:t xml:space="preserve">these documents, among other issues, emphasize on the need to disclose the risks a firm faces, as part of their internal control systems. </w:t>
      </w:r>
    </w:p>
    <w:p w:rsidR="00843E4D" w:rsidRPr="00337C97" w:rsidRDefault="00843E4D" w:rsidP="00513384">
      <w:pPr>
        <w:spacing w:line="360" w:lineRule="auto"/>
        <w:jc w:val="both"/>
        <w:rPr>
          <w:rFonts w:asciiTheme="minorHAnsi" w:hAnsiTheme="minorHAnsi"/>
          <w:sz w:val="22"/>
          <w:szCs w:val="22"/>
          <w:lang w:val="en-US"/>
        </w:rPr>
      </w:pPr>
    </w:p>
    <w:p w:rsidR="00306498" w:rsidRPr="00337C97" w:rsidRDefault="00843E4D" w:rsidP="00654CA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Corporate governance is defined as the set of mechanisms (both institutional and market-based) that induce the self-interested managers of a company to make decisions that maximize the value to its owners, the suppliers of capital (Denis and McConnell, 2003, p. 2). </w:t>
      </w:r>
      <w:r w:rsidR="00B13E13" w:rsidRPr="00337C97">
        <w:rPr>
          <w:rFonts w:asciiTheme="minorHAnsi" w:hAnsiTheme="minorHAnsi"/>
          <w:sz w:val="22"/>
          <w:szCs w:val="22"/>
          <w:lang w:val="en-US"/>
        </w:rPr>
        <w:t xml:space="preserve">The </w:t>
      </w:r>
      <w:r w:rsidR="00926868" w:rsidRPr="00337C97">
        <w:rPr>
          <w:rFonts w:asciiTheme="minorHAnsi" w:hAnsiTheme="minorHAnsi"/>
          <w:sz w:val="22"/>
          <w:szCs w:val="22"/>
          <w:lang w:val="en-US"/>
        </w:rPr>
        <w:t xml:space="preserve">concepts </w:t>
      </w:r>
      <w:r w:rsidR="00B13E13" w:rsidRPr="00337C97">
        <w:rPr>
          <w:rFonts w:asciiTheme="minorHAnsi" w:hAnsiTheme="minorHAnsi"/>
          <w:sz w:val="22"/>
          <w:szCs w:val="22"/>
          <w:lang w:val="en-US"/>
        </w:rPr>
        <w:t>of corporate governance heavily re</w:t>
      </w:r>
      <w:r w:rsidR="00926868" w:rsidRPr="00337C97">
        <w:rPr>
          <w:rFonts w:asciiTheme="minorHAnsi" w:hAnsiTheme="minorHAnsi"/>
          <w:sz w:val="22"/>
          <w:szCs w:val="22"/>
          <w:lang w:val="en-US"/>
        </w:rPr>
        <w:t>ly</w:t>
      </w:r>
      <w:r w:rsidR="00B13E13" w:rsidRPr="00337C97">
        <w:rPr>
          <w:rFonts w:asciiTheme="minorHAnsi" w:hAnsiTheme="minorHAnsi"/>
          <w:sz w:val="22"/>
          <w:szCs w:val="22"/>
          <w:lang w:val="en-US"/>
        </w:rPr>
        <w:t xml:space="preserve"> on the necessity of internal controls. Internal controls help ensure that processes operate as designed and that risk responses in risk management are carried out. </w:t>
      </w:r>
      <w:r w:rsidR="00926868" w:rsidRPr="00337C97">
        <w:rPr>
          <w:rFonts w:asciiTheme="minorHAnsi" w:hAnsiTheme="minorHAnsi"/>
          <w:sz w:val="22"/>
          <w:szCs w:val="22"/>
          <w:lang w:val="en-US"/>
        </w:rPr>
        <w:t xml:space="preserve">The guidance on the Turnbull Report (the </w:t>
      </w:r>
      <w:r w:rsidR="00054012" w:rsidRPr="00337C97">
        <w:rPr>
          <w:rFonts w:asciiTheme="minorHAnsi" w:hAnsiTheme="minorHAnsi"/>
          <w:sz w:val="22"/>
          <w:szCs w:val="22"/>
          <w:lang w:val="en-US"/>
        </w:rPr>
        <w:t xml:space="preserve">UK </w:t>
      </w:r>
      <w:r w:rsidR="00926868" w:rsidRPr="00337C97">
        <w:rPr>
          <w:rFonts w:asciiTheme="minorHAnsi" w:hAnsiTheme="minorHAnsi"/>
          <w:sz w:val="22"/>
          <w:szCs w:val="22"/>
          <w:lang w:val="en-US"/>
        </w:rPr>
        <w:t xml:space="preserve">corporate governance code) states: </w:t>
      </w:r>
      <w:r w:rsidR="00926868" w:rsidRPr="00337C97">
        <w:rPr>
          <w:rFonts w:asciiTheme="minorHAnsi" w:hAnsiTheme="minorHAnsi"/>
          <w:i/>
          <w:sz w:val="22"/>
          <w:szCs w:val="22"/>
          <w:lang w:val="en-US"/>
        </w:rPr>
        <w:t xml:space="preserve">“A company’s system of internal control has a key role in the management of risks that are significant to the fulfilment of its </w:t>
      </w:r>
      <w:r w:rsidR="0001789A" w:rsidRPr="00337C97">
        <w:rPr>
          <w:rFonts w:asciiTheme="minorHAnsi" w:hAnsiTheme="minorHAnsi"/>
          <w:i/>
          <w:sz w:val="22"/>
          <w:szCs w:val="22"/>
          <w:lang w:val="en-US"/>
        </w:rPr>
        <w:t>business objectives</w:t>
      </w:r>
      <w:r w:rsidR="00926868" w:rsidRPr="00337C97">
        <w:rPr>
          <w:rFonts w:asciiTheme="minorHAnsi" w:hAnsiTheme="minorHAnsi"/>
          <w:i/>
          <w:sz w:val="22"/>
          <w:szCs w:val="22"/>
          <w:lang w:val="en-US"/>
        </w:rPr>
        <w:t>”</w:t>
      </w:r>
      <w:r w:rsidR="00926868" w:rsidRPr="00337C97">
        <w:rPr>
          <w:rFonts w:asciiTheme="minorHAnsi" w:hAnsiTheme="minorHAnsi"/>
          <w:sz w:val="22"/>
          <w:szCs w:val="22"/>
          <w:lang w:val="en-US"/>
        </w:rPr>
        <w:t xml:space="preserve"> (Financial Reporting Council, 2005, p. 3)</w:t>
      </w:r>
      <w:r w:rsidR="0001789A" w:rsidRPr="00337C97">
        <w:rPr>
          <w:rFonts w:asciiTheme="minorHAnsi" w:hAnsiTheme="minorHAnsi"/>
          <w:sz w:val="22"/>
          <w:szCs w:val="22"/>
          <w:lang w:val="en-US"/>
        </w:rPr>
        <w:t xml:space="preserve">. </w:t>
      </w:r>
      <w:r w:rsidR="00654CAF" w:rsidRPr="00337C97">
        <w:rPr>
          <w:rFonts w:asciiTheme="minorHAnsi" w:hAnsiTheme="minorHAnsi"/>
          <w:sz w:val="22"/>
          <w:szCs w:val="22"/>
          <w:lang w:val="en-US"/>
        </w:rPr>
        <w:t xml:space="preserve">Transparency will be </w:t>
      </w:r>
      <w:r w:rsidR="0087353B" w:rsidRPr="00337C97">
        <w:rPr>
          <w:rFonts w:asciiTheme="minorHAnsi" w:hAnsiTheme="minorHAnsi"/>
          <w:sz w:val="22"/>
          <w:szCs w:val="22"/>
          <w:lang w:val="en-US"/>
        </w:rPr>
        <w:t>enhanced</w:t>
      </w:r>
      <w:r w:rsidR="00654CAF" w:rsidRPr="00337C97">
        <w:rPr>
          <w:rFonts w:asciiTheme="minorHAnsi" w:hAnsiTheme="minorHAnsi"/>
          <w:sz w:val="22"/>
          <w:szCs w:val="22"/>
          <w:lang w:val="en-US"/>
        </w:rPr>
        <w:t xml:space="preserve"> by improving the disclosure of internal control. That should ultimately lead to improvements in the communication links between investors and their investee co</w:t>
      </w:r>
      <w:r w:rsidR="00FA202A" w:rsidRPr="00337C97">
        <w:rPr>
          <w:rFonts w:asciiTheme="minorHAnsi" w:hAnsiTheme="minorHAnsi"/>
          <w:sz w:val="22"/>
          <w:szCs w:val="22"/>
          <w:lang w:val="en-US"/>
        </w:rPr>
        <w:t>mpanies (Solomon et al., 2000).</w:t>
      </w:r>
    </w:p>
    <w:p w:rsidR="00054012" w:rsidRPr="00337C97" w:rsidRDefault="00054012" w:rsidP="00654CAF">
      <w:pPr>
        <w:spacing w:line="360" w:lineRule="auto"/>
        <w:jc w:val="both"/>
        <w:rPr>
          <w:rFonts w:asciiTheme="minorHAnsi" w:hAnsiTheme="minorHAnsi"/>
          <w:sz w:val="22"/>
          <w:szCs w:val="22"/>
          <w:lang w:val="en-US"/>
        </w:rPr>
      </w:pPr>
    </w:p>
    <w:p w:rsidR="00647826" w:rsidRPr="00337C97" w:rsidRDefault="00054012" w:rsidP="00654CA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A wide variety of organizations in the EU Member States have issued </w:t>
      </w:r>
      <w:r w:rsidR="003E4E8B" w:rsidRPr="00337C97">
        <w:rPr>
          <w:rFonts w:asciiTheme="minorHAnsi" w:hAnsiTheme="minorHAnsi"/>
          <w:sz w:val="22"/>
          <w:szCs w:val="22"/>
          <w:lang w:val="en-US"/>
        </w:rPr>
        <w:t xml:space="preserve">corporate </w:t>
      </w:r>
      <w:r w:rsidRPr="00337C97">
        <w:rPr>
          <w:rFonts w:asciiTheme="minorHAnsi" w:hAnsiTheme="minorHAnsi"/>
          <w:sz w:val="22"/>
          <w:szCs w:val="22"/>
          <w:lang w:val="en-US"/>
        </w:rPr>
        <w:t>governance codes, including governmental or quasi-governmental entities, committees or commissions organized or appointed by governments, stock-exchange-related bodies and business, industry and academic associations. Given the variety of the groups involved in developing codes, compliance mechanisms and the “official” status of codes varies widely. However, all of the codes call for voluntary adoption of their substantive recommendations</w:t>
      </w:r>
      <w:r w:rsidR="003E4E8B" w:rsidRPr="00337C97">
        <w:rPr>
          <w:rFonts w:asciiTheme="minorHAnsi" w:hAnsiTheme="minorHAnsi"/>
          <w:sz w:val="22"/>
          <w:szCs w:val="22"/>
          <w:lang w:val="en-US"/>
        </w:rPr>
        <w:t>.</w:t>
      </w:r>
      <w:r w:rsidRPr="00337C97">
        <w:rPr>
          <w:rFonts w:asciiTheme="minorHAnsi" w:hAnsiTheme="minorHAnsi"/>
          <w:sz w:val="22"/>
          <w:szCs w:val="22"/>
          <w:lang w:val="en-US"/>
        </w:rPr>
        <w:t xml:space="preserve"> </w:t>
      </w:r>
      <w:r w:rsidR="0068149F" w:rsidRPr="00337C97">
        <w:rPr>
          <w:rFonts w:asciiTheme="minorHAnsi" w:hAnsiTheme="minorHAnsi"/>
          <w:sz w:val="22"/>
          <w:szCs w:val="22"/>
          <w:lang w:val="en-US"/>
        </w:rPr>
        <w:t>Some codes advocate or mandate (through linkage to stock exchange listing requirements) disclosure by listed companies of the degree to which they comply with code recommendations, together with an explanation of any areas of non-compliance. Such disclosure against a code is referred to as disclosure on a “comply or explain” basis (Weil, Gotshal &amp; Manges LLP, 2002, p. 2, 16). Despite the divergence of corporate governance practices amongst EU Member States, the European Commission reached the conclusion that a uniform corporate governance code should not be adopted. Alternatively, the European Commission decided to harmonize the codes’ enforcement mechanisms through Directive 2006/46/EC, which introduced the comply-or-explain principle for the first time in European law.</w:t>
      </w:r>
      <w:r w:rsidR="00E60CAB" w:rsidRPr="00337C97">
        <w:rPr>
          <w:rFonts w:asciiTheme="minorHAnsi" w:hAnsiTheme="minorHAnsi"/>
          <w:sz w:val="22"/>
          <w:szCs w:val="22"/>
          <w:lang w:val="en-US"/>
        </w:rPr>
        <w:t xml:space="preserve"> Although the concept of comply-or-</w:t>
      </w:r>
      <w:r w:rsidR="00E60CAB" w:rsidRPr="00337C97">
        <w:rPr>
          <w:rFonts w:asciiTheme="minorHAnsi" w:hAnsiTheme="minorHAnsi"/>
          <w:sz w:val="22"/>
          <w:szCs w:val="22"/>
          <w:lang w:val="en-US"/>
        </w:rPr>
        <w:lastRenderedPageBreak/>
        <w:t>explain had already been in place in many EU Member States, the Directive makes the use of this concept mandatory (RiskM</w:t>
      </w:r>
      <w:r w:rsidR="003E4E8B" w:rsidRPr="00337C97">
        <w:rPr>
          <w:rFonts w:asciiTheme="minorHAnsi" w:hAnsiTheme="minorHAnsi"/>
          <w:sz w:val="22"/>
          <w:szCs w:val="22"/>
          <w:lang w:val="en-US"/>
        </w:rPr>
        <w:t>etrics Group, 2009, p. 11, 27).</w:t>
      </w:r>
    </w:p>
    <w:p w:rsidR="001B6FC2" w:rsidRPr="00337C97" w:rsidRDefault="001B6FC2" w:rsidP="00A56680">
      <w:pPr>
        <w:spacing w:line="360" w:lineRule="auto"/>
        <w:jc w:val="both"/>
        <w:rPr>
          <w:rFonts w:asciiTheme="minorHAnsi" w:hAnsiTheme="minorHAnsi"/>
          <w:sz w:val="22"/>
          <w:szCs w:val="22"/>
          <w:lang w:val="en-US"/>
        </w:rPr>
      </w:pPr>
    </w:p>
    <w:p w:rsidR="00A56680" w:rsidRPr="00337C97" w:rsidRDefault="00844767" w:rsidP="00A56680">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Also </w:t>
      </w:r>
      <w:r w:rsidR="00A56680" w:rsidRPr="00337C97">
        <w:rPr>
          <w:rFonts w:asciiTheme="minorHAnsi" w:hAnsiTheme="minorHAnsi"/>
          <w:sz w:val="22"/>
          <w:szCs w:val="22"/>
          <w:lang w:val="en-US"/>
        </w:rPr>
        <w:t xml:space="preserve">the </w:t>
      </w:r>
      <w:r w:rsidR="00915323" w:rsidRPr="00337C97">
        <w:rPr>
          <w:rFonts w:asciiTheme="minorHAnsi" w:hAnsiTheme="minorHAnsi"/>
          <w:sz w:val="22"/>
          <w:szCs w:val="22"/>
          <w:lang w:val="en-US"/>
        </w:rPr>
        <w:t>Basel Committee on Banking Supervision (BCBS)</w:t>
      </w:r>
      <w:r w:rsidR="00A56680" w:rsidRPr="00337C97">
        <w:rPr>
          <w:rFonts w:asciiTheme="minorHAnsi" w:hAnsiTheme="minorHAnsi"/>
          <w:sz w:val="22"/>
          <w:szCs w:val="22"/>
          <w:lang w:val="en-US"/>
        </w:rPr>
        <w:t xml:space="preserve"> focused attention towards corporate governance and emphasized the urgency of good corporate governance in banks. The bank published a paper in 1999 named: </w:t>
      </w:r>
      <w:r w:rsidRPr="00337C97">
        <w:rPr>
          <w:rFonts w:asciiTheme="minorHAnsi" w:hAnsiTheme="minorHAnsi"/>
          <w:sz w:val="22"/>
          <w:szCs w:val="22"/>
          <w:lang w:val="en-US"/>
        </w:rPr>
        <w:t>‘</w:t>
      </w:r>
      <w:r w:rsidR="00A56680" w:rsidRPr="00337C97">
        <w:rPr>
          <w:rFonts w:asciiTheme="minorHAnsi" w:hAnsiTheme="minorHAnsi"/>
          <w:sz w:val="22"/>
          <w:szCs w:val="22"/>
          <w:lang w:val="en-US"/>
        </w:rPr>
        <w:t>Enhancing corporate gover</w:t>
      </w:r>
      <w:r w:rsidRPr="00337C97">
        <w:rPr>
          <w:rFonts w:asciiTheme="minorHAnsi" w:hAnsiTheme="minorHAnsi"/>
          <w:sz w:val="22"/>
          <w:szCs w:val="22"/>
          <w:lang w:val="en-US"/>
        </w:rPr>
        <w:t>nance for banking organizations’</w:t>
      </w:r>
      <w:r w:rsidR="004A59FB" w:rsidRPr="00337C97">
        <w:rPr>
          <w:rFonts w:asciiTheme="minorHAnsi" w:hAnsiTheme="minorHAnsi"/>
          <w:sz w:val="22"/>
          <w:szCs w:val="22"/>
          <w:lang w:val="en-US"/>
        </w:rPr>
        <w:t xml:space="preserve"> (revised in 2006)</w:t>
      </w:r>
      <w:r w:rsidR="00A56680" w:rsidRPr="00337C97">
        <w:rPr>
          <w:rFonts w:asciiTheme="minorHAnsi" w:hAnsiTheme="minorHAnsi"/>
          <w:sz w:val="22"/>
          <w:szCs w:val="22"/>
          <w:lang w:val="en-US"/>
        </w:rPr>
        <w:t xml:space="preserve">. </w:t>
      </w:r>
      <w:r w:rsidR="00521270" w:rsidRPr="00337C97">
        <w:rPr>
          <w:rFonts w:asciiTheme="minorHAnsi" w:hAnsiTheme="minorHAnsi"/>
          <w:sz w:val="22"/>
          <w:szCs w:val="22"/>
          <w:lang w:val="en-US"/>
        </w:rPr>
        <w:t xml:space="preserve">This paper was issued to supervisory authorities and banking </w:t>
      </w:r>
      <w:r w:rsidR="000A061E" w:rsidRPr="00337C97">
        <w:rPr>
          <w:rFonts w:asciiTheme="minorHAnsi" w:hAnsiTheme="minorHAnsi"/>
          <w:sz w:val="22"/>
          <w:szCs w:val="22"/>
          <w:lang w:val="en-US"/>
        </w:rPr>
        <w:t>organizations</w:t>
      </w:r>
      <w:r w:rsidR="00521270" w:rsidRPr="00337C97">
        <w:rPr>
          <w:rFonts w:asciiTheme="minorHAnsi" w:hAnsiTheme="minorHAnsi"/>
          <w:sz w:val="22"/>
          <w:szCs w:val="22"/>
          <w:lang w:val="en-US"/>
        </w:rPr>
        <w:t xml:space="preserve"> worldwide to help ensure the adoption and implementation of sound corporate governance practices by banking organizations. </w:t>
      </w:r>
      <w:r w:rsidR="00A56680" w:rsidRPr="00337C97">
        <w:rPr>
          <w:rFonts w:asciiTheme="minorHAnsi" w:hAnsiTheme="minorHAnsi"/>
          <w:sz w:val="22"/>
          <w:szCs w:val="22"/>
          <w:lang w:val="en-US"/>
        </w:rPr>
        <w:t>One of the statements is that effective banking supervision is difficult if sound corporate governance is not in place</w:t>
      </w:r>
      <w:r w:rsidR="00915323" w:rsidRPr="00337C97">
        <w:rPr>
          <w:rFonts w:asciiTheme="minorHAnsi" w:hAnsiTheme="minorHAnsi"/>
          <w:sz w:val="22"/>
          <w:szCs w:val="22"/>
          <w:lang w:val="en-US"/>
        </w:rPr>
        <w:t xml:space="preserve"> (BCBS, 1999, I.3)</w:t>
      </w:r>
      <w:r w:rsidR="00A56680" w:rsidRPr="00337C97">
        <w:rPr>
          <w:rFonts w:asciiTheme="minorHAnsi" w:hAnsiTheme="minorHAnsi"/>
          <w:sz w:val="22"/>
          <w:szCs w:val="22"/>
          <w:lang w:val="en-US"/>
        </w:rPr>
        <w:t>. Hence, banking supervisors have a strong interest in ensuring that there is effective corporate governance</w:t>
      </w:r>
      <w:r w:rsidR="000E3074" w:rsidRPr="00337C97">
        <w:rPr>
          <w:rFonts w:asciiTheme="minorHAnsi" w:hAnsiTheme="minorHAnsi"/>
          <w:sz w:val="22"/>
          <w:szCs w:val="22"/>
          <w:lang w:val="en-US"/>
        </w:rPr>
        <w:t xml:space="preserve"> at every banking </w:t>
      </w:r>
      <w:r w:rsidR="000A061E" w:rsidRPr="00337C97">
        <w:rPr>
          <w:rFonts w:asciiTheme="minorHAnsi" w:hAnsiTheme="minorHAnsi"/>
          <w:sz w:val="22"/>
          <w:szCs w:val="22"/>
          <w:lang w:val="en-US"/>
        </w:rPr>
        <w:t>organization</w:t>
      </w:r>
      <w:r w:rsidR="000E3074" w:rsidRPr="00337C97">
        <w:rPr>
          <w:rFonts w:asciiTheme="minorHAnsi" w:hAnsiTheme="minorHAnsi"/>
          <w:sz w:val="22"/>
          <w:szCs w:val="22"/>
          <w:lang w:val="en-US"/>
        </w:rPr>
        <w:t xml:space="preserve">. </w:t>
      </w:r>
      <w:r w:rsidR="00521270" w:rsidRPr="00337C97">
        <w:rPr>
          <w:rFonts w:asciiTheme="minorHAnsi" w:hAnsiTheme="minorHAnsi"/>
          <w:sz w:val="22"/>
          <w:szCs w:val="22"/>
          <w:lang w:val="en-US"/>
        </w:rPr>
        <w:t xml:space="preserve">The crucial importance of strong corporate governance is </w:t>
      </w:r>
      <w:r w:rsidR="000E3074" w:rsidRPr="00337C97">
        <w:rPr>
          <w:rFonts w:asciiTheme="minorHAnsi" w:hAnsiTheme="minorHAnsi"/>
          <w:sz w:val="22"/>
          <w:szCs w:val="22"/>
          <w:lang w:val="en-US"/>
        </w:rPr>
        <w:t>underscored by the fact that banking is virtually universally a regulated industry and that banks have access t</w:t>
      </w:r>
      <w:r w:rsidR="004A1200" w:rsidRPr="00337C97">
        <w:rPr>
          <w:rFonts w:asciiTheme="minorHAnsi" w:hAnsiTheme="minorHAnsi"/>
          <w:sz w:val="22"/>
          <w:szCs w:val="22"/>
          <w:lang w:val="en-US"/>
        </w:rPr>
        <w:t>o government safety nets (B</w:t>
      </w:r>
      <w:r w:rsidR="000E3074" w:rsidRPr="00337C97">
        <w:rPr>
          <w:rFonts w:asciiTheme="minorHAnsi" w:hAnsiTheme="minorHAnsi"/>
          <w:sz w:val="22"/>
          <w:szCs w:val="22"/>
          <w:lang w:val="en-US"/>
        </w:rPr>
        <w:t>CBS, 1999</w:t>
      </w:r>
      <w:r w:rsidR="00915323" w:rsidRPr="00337C97">
        <w:rPr>
          <w:rFonts w:asciiTheme="minorHAnsi" w:hAnsiTheme="minorHAnsi"/>
          <w:sz w:val="22"/>
          <w:szCs w:val="22"/>
          <w:lang w:val="en-US"/>
        </w:rPr>
        <w:t>, II.7</w:t>
      </w:r>
      <w:r w:rsidR="000E3074" w:rsidRPr="00337C97">
        <w:rPr>
          <w:rFonts w:asciiTheme="minorHAnsi" w:hAnsiTheme="minorHAnsi"/>
          <w:sz w:val="22"/>
          <w:szCs w:val="22"/>
          <w:lang w:val="en-US"/>
        </w:rPr>
        <w:t>)</w:t>
      </w:r>
      <w:r w:rsidR="00521270" w:rsidRPr="00337C97">
        <w:rPr>
          <w:rFonts w:asciiTheme="minorHAnsi" w:hAnsiTheme="minorHAnsi"/>
          <w:sz w:val="22"/>
          <w:szCs w:val="22"/>
          <w:lang w:val="en-US"/>
        </w:rPr>
        <w:t>.</w:t>
      </w:r>
      <w:r w:rsidR="000E6D4F" w:rsidRPr="00337C97">
        <w:rPr>
          <w:rFonts w:asciiTheme="minorHAnsi" w:hAnsiTheme="minorHAnsi"/>
          <w:sz w:val="22"/>
          <w:szCs w:val="22"/>
          <w:lang w:val="en-US"/>
        </w:rPr>
        <w:t xml:space="preserve"> The relation between corporate governance, transparency and risk disclosures will be discussed </w:t>
      </w:r>
      <w:r w:rsidR="001B6FC2" w:rsidRPr="00337C97">
        <w:rPr>
          <w:rFonts w:asciiTheme="minorHAnsi" w:hAnsiTheme="minorHAnsi"/>
          <w:sz w:val="22"/>
          <w:szCs w:val="22"/>
          <w:lang w:val="en-US"/>
        </w:rPr>
        <w:t xml:space="preserve">further </w:t>
      </w:r>
      <w:r w:rsidR="000E6D4F" w:rsidRPr="00337C97">
        <w:rPr>
          <w:rFonts w:asciiTheme="minorHAnsi" w:hAnsiTheme="minorHAnsi"/>
          <w:sz w:val="22"/>
          <w:szCs w:val="22"/>
          <w:lang w:val="en-US"/>
        </w:rPr>
        <w:t>in paragraph 3.3</w:t>
      </w:r>
      <w:r w:rsidRPr="00337C97">
        <w:rPr>
          <w:rFonts w:asciiTheme="minorHAnsi" w:hAnsiTheme="minorHAnsi"/>
          <w:sz w:val="22"/>
          <w:szCs w:val="22"/>
          <w:lang w:val="en-US"/>
        </w:rPr>
        <w:t xml:space="preserve"> and beyond</w:t>
      </w:r>
      <w:r w:rsidR="000E6D4F" w:rsidRPr="00337C97">
        <w:rPr>
          <w:rFonts w:asciiTheme="minorHAnsi" w:hAnsiTheme="minorHAnsi"/>
          <w:sz w:val="22"/>
          <w:szCs w:val="22"/>
          <w:lang w:val="en-US"/>
        </w:rPr>
        <w:t>.</w:t>
      </w:r>
    </w:p>
    <w:p w:rsidR="00A56680" w:rsidRPr="00337C97" w:rsidRDefault="00A56680" w:rsidP="00513384">
      <w:pPr>
        <w:spacing w:line="360" w:lineRule="auto"/>
        <w:jc w:val="both"/>
        <w:rPr>
          <w:rFonts w:asciiTheme="minorHAnsi" w:hAnsiTheme="minorHAnsi"/>
          <w:sz w:val="22"/>
          <w:szCs w:val="22"/>
          <w:lang w:val="en-US"/>
        </w:rPr>
      </w:pPr>
    </w:p>
    <w:p w:rsidR="00935BF2" w:rsidRPr="00337C97" w:rsidRDefault="00521270" w:rsidP="00513384">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Another important notion in </w:t>
      </w:r>
      <w:r w:rsidR="000E6D4F" w:rsidRPr="00337C97">
        <w:rPr>
          <w:rFonts w:asciiTheme="minorHAnsi" w:hAnsiTheme="minorHAnsi"/>
          <w:sz w:val="22"/>
          <w:szCs w:val="22"/>
          <w:lang w:val="en-US"/>
        </w:rPr>
        <w:t xml:space="preserve">the </w:t>
      </w:r>
      <w:r w:rsidR="00DE4292" w:rsidRPr="00337C97">
        <w:rPr>
          <w:rFonts w:asciiTheme="minorHAnsi" w:hAnsiTheme="minorHAnsi"/>
          <w:sz w:val="22"/>
          <w:szCs w:val="22"/>
          <w:lang w:val="en-US"/>
        </w:rPr>
        <w:t>BCBS 1999</w:t>
      </w:r>
      <w:r w:rsidRPr="00337C97">
        <w:rPr>
          <w:rFonts w:asciiTheme="minorHAnsi" w:hAnsiTheme="minorHAnsi"/>
          <w:sz w:val="22"/>
          <w:szCs w:val="22"/>
          <w:lang w:val="en-US"/>
        </w:rPr>
        <w:t xml:space="preserve"> paper is t</w:t>
      </w:r>
      <w:r w:rsidR="00935BF2" w:rsidRPr="00337C97">
        <w:rPr>
          <w:rFonts w:asciiTheme="minorHAnsi" w:hAnsiTheme="minorHAnsi"/>
          <w:sz w:val="22"/>
          <w:szCs w:val="22"/>
          <w:lang w:val="en-US"/>
        </w:rPr>
        <w:t xml:space="preserve">hat there are no universally correct answers to structural issues and that laws need not </w:t>
      </w:r>
      <w:r w:rsidR="00A57B86" w:rsidRPr="00337C97">
        <w:rPr>
          <w:rFonts w:asciiTheme="minorHAnsi" w:hAnsiTheme="minorHAnsi"/>
          <w:sz w:val="22"/>
          <w:szCs w:val="22"/>
          <w:lang w:val="en-US"/>
        </w:rPr>
        <w:t xml:space="preserve">to </w:t>
      </w:r>
      <w:r w:rsidR="00935BF2" w:rsidRPr="00337C97">
        <w:rPr>
          <w:rFonts w:asciiTheme="minorHAnsi" w:hAnsiTheme="minorHAnsi"/>
          <w:sz w:val="22"/>
          <w:szCs w:val="22"/>
          <w:lang w:val="en-US"/>
        </w:rPr>
        <w:t xml:space="preserve">be consistent from country to country, due to various corporate governance structures in different countries. The paper therefore states that sound governance can be </w:t>
      </w:r>
      <w:r w:rsidR="009127EC" w:rsidRPr="00337C97">
        <w:rPr>
          <w:rFonts w:asciiTheme="minorHAnsi" w:hAnsiTheme="minorHAnsi"/>
          <w:sz w:val="22"/>
          <w:szCs w:val="22"/>
          <w:lang w:val="en-US"/>
        </w:rPr>
        <w:t>practiced</w:t>
      </w:r>
      <w:r w:rsidR="00935BF2" w:rsidRPr="00337C97">
        <w:rPr>
          <w:rFonts w:asciiTheme="minorHAnsi" w:hAnsiTheme="minorHAnsi"/>
          <w:sz w:val="22"/>
          <w:szCs w:val="22"/>
          <w:lang w:val="en-US"/>
        </w:rPr>
        <w:t xml:space="preserve"> regardless of the form used by a banking </w:t>
      </w:r>
      <w:r w:rsidR="009127EC" w:rsidRPr="00337C97">
        <w:rPr>
          <w:rFonts w:asciiTheme="minorHAnsi" w:hAnsiTheme="minorHAnsi"/>
          <w:sz w:val="22"/>
          <w:szCs w:val="22"/>
          <w:lang w:val="en-US"/>
        </w:rPr>
        <w:t>organization</w:t>
      </w:r>
      <w:r w:rsidR="00993261" w:rsidRPr="00337C97">
        <w:rPr>
          <w:rFonts w:asciiTheme="minorHAnsi" w:hAnsiTheme="minorHAnsi"/>
          <w:sz w:val="22"/>
          <w:szCs w:val="22"/>
          <w:lang w:val="en-US"/>
        </w:rPr>
        <w:t xml:space="preserve"> (</w:t>
      </w:r>
      <w:r w:rsidR="004A1200" w:rsidRPr="00337C97">
        <w:rPr>
          <w:rFonts w:asciiTheme="minorHAnsi" w:hAnsiTheme="minorHAnsi"/>
          <w:sz w:val="22"/>
          <w:szCs w:val="22"/>
          <w:lang w:val="en-US"/>
        </w:rPr>
        <w:t>BCBS</w:t>
      </w:r>
      <w:r w:rsidR="00993261" w:rsidRPr="00337C97">
        <w:rPr>
          <w:rFonts w:asciiTheme="minorHAnsi" w:hAnsiTheme="minorHAnsi"/>
          <w:sz w:val="22"/>
          <w:szCs w:val="22"/>
          <w:lang w:val="en-US"/>
        </w:rPr>
        <w:t>, 1999).</w:t>
      </w:r>
      <w:r w:rsidR="00935BF2" w:rsidRPr="00337C97">
        <w:rPr>
          <w:rFonts w:asciiTheme="minorHAnsi" w:hAnsiTheme="minorHAnsi"/>
          <w:sz w:val="22"/>
          <w:szCs w:val="22"/>
          <w:lang w:val="en-US"/>
        </w:rPr>
        <w:t xml:space="preserve"> Regarding to this research, it is therefore </w:t>
      </w:r>
      <w:r w:rsidR="00993261" w:rsidRPr="00337C97">
        <w:rPr>
          <w:rFonts w:asciiTheme="minorHAnsi" w:hAnsiTheme="minorHAnsi"/>
          <w:sz w:val="22"/>
          <w:szCs w:val="22"/>
          <w:lang w:val="en-US"/>
        </w:rPr>
        <w:t>complex</w:t>
      </w:r>
      <w:r w:rsidR="00935BF2" w:rsidRPr="00337C97">
        <w:rPr>
          <w:rFonts w:asciiTheme="minorHAnsi" w:hAnsiTheme="minorHAnsi"/>
          <w:sz w:val="22"/>
          <w:szCs w:val="22"/>
          <w:lang w:val="en-US"/>
        </w:rPr>
        <w:t xml:space="preserve"> to investigate relationships between risk disclosures and corporate governance variables</w:t>
      </w:r>
      <w:r w:rsidR="00A4557F" w:rsidRPr="00337C97">
        <w:rPr>
          <w:rFonts w:asciiTheme="minorHAnsi" w:hAnsiTheme="minorHAnsi"/>
          <w:sz w:val="22"/>
          <w:szCs w:val="22"/>
          <w:lang w:val="en-US"/>
        </w:rPr>
        <w:t>.</w:t>
      </w:r>
    </w:p>
    <w:p w:rsidR="001C12EC" w:rsidRPr="00337C97" w:rsidRDefault="001C12EC" w:rsidP="00391DB5">
      <w:pPr>
        <w:spacing w:line="360" w:lineRule="auto"/>
        <w:jc w:val="both"/>
        <w:rPr>
          <w:rFonts w:asciiTheme="minorHAnsi" w:hAnsiTheme="minorHAnsi" w:cs="Times New Roman"/>
          <w:sz w:val="22"/>
          <w:szCs w:val="22"/>
          <w:lang w:val="en-US"/>
        </w:rPr>
      </w:pPr>
    </w:p>
    <w:p w:rsidR="00D6519A" w:rsidRPr="00337C97" w:rsidRDefault="00D6519A" w:rsidP="00AF177B">
      <w:pPr>
        <w:spacing w:line="360" w:lineRule="auto"/>
        <w:jc w:val="both"/>
        <w:outlineLvl w:val="1"/>
        <w:rPr>
          <w:rFonts w:asciiTheme="minorHAnsi" w:hAnsiTheme="minorHAnsi" w:cs="Times New Roman"/>
          <w:b/>
          <w:sz w:val="22"/>
          <w:szCs w:val="22"/>
          <w:lang w:val="en-US"/>
        </w:rPr>
      </w:pPr>
      <w:bookmarkStart w:id="136" w:name="_Toc236565322"/>
      <w:bookmarkStart w:id="137" w:name="_Toc241658900"/>
      <w:bookmarkStart w:id="138" w:name="_Toc242584772"/>
      <w:bookmarkStart w:id="139" w:name="_Toc242697408"/>
      <w:bookmarkStart w:id="140" w:name="_Toc242697643"/>
      <w:bookmarkStart w:id="141" w:name="_Toc245187880"/>
      <w:bookmarkStart w:id="142" w:name="_Toc269658924"/>
      <w:r w:rsidRPr="00337C97">
        <w:rPr>
          <w:rFonts w:asciiTheme="minorHAnsi" w:hAnsiTheme="minorHAnsi" w:cs="Times New Roman"/>
          <w:b/>
          <w:sz w:val="22"/>
          <w:szCs w:val="22"/>
          <w:lang w:val="en-US"/>
        </w:rPr>
        <w:t>2.</w:t>
      </w:r>
      <w:r w:rsidR="00996071" w:rsidRPr="00337C97">
        <w:rPr>
          <w:rFonts w:asciiTheme="minorHAnsi" w:hAnsiTheme="minorHAnsi" w:cs="Times New Roman"/>
          <w:b/>
          <w:sz w:val="22"/>
          <w:szCs w:val="22"/>
          <w:lang w:val="en-US"/>
        </w:rPr>
        <w:t>8</w:t>
      </w:r>
      <w:r w:rsidRPr="00337C97">
        <w:rPr>
          <w:rFonts w:asciiTheme="minorHAnsi" w:hAnsiTheme="minorHAnsi" w:cs="Times New Roman"/>
          <w:b/>
          <w:sz w:val="22"/>
          <w:szCs w:val="22"/>
          <w:lang w:val="en-US"/>
        </w:rPr>
        <w:tab/>
      </w:r>
      <w:r w:rsidR="00A12F62" w:rsidRPr="00337C97">
        <w:rPr>
          <w:rFonts w:asciiTheme="minorHAnsi" w:hAnsiTheme="minorHAnsi" w:cs="Times New Roman"/>
          <w:b/>
          <w:sz w:val="22"/>
          <w:szCs w:val="22"/>
          <w:lang w:val="en-US"/>
        </w:rPr>
        <w:t>Conclusion</w:t>
      </w:r>
      <w:bookmarkEnd w:id="136"/>
      <w:bookmarkEnd w:id="137"/>
      <w:bookmarkEnd w:id="138"/>
      <w:bookmarkEnd w:id="139"/>
      <w:bookmarkEnd w:id="140"/>
      <w:bookmarkEnd w:id="141"/>
      <w:bookmarkEnd w:id="142"/>
    </w:p>
    <w:p w:rsidR="0028170A" w:rsidRPr="00337C97" w:rsidRDefault="000E6D4F" w:rsidP="00391DB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This chapter investigate</w:t>
      </w:r>
      <w:r w:rsidR="001A088C" w:rsidRPr="00337C97">
        <w:rPr>
          <w:rFonts w:asciiTheme="minorHAnsi" w:hAnsiTheme="minorHAnsi" w:cs="Times New Roman"/>
          <w:sz w:val="22"/>
          <w:szCs w:val="22"/>
          <w:lang w:val="en-US"/>
        </w:rPr>
        <w:t>d</w:t>
      </w:r>
      <w:r w:rsidRPr="00337C97">
        <w:rPr>
          <w:rFonts w:asciiTheme="minorHAnsi" w:hAnsiTheme="minorHAnsi" w:cs="Times New Roman"/>
          <w:sz w:val="22"/>
          <w:szCs w:val="22"/>
          <w:lang w:val="en-US"/>
        </w:rPr>
        <w:t xml:space="preserve"> the institutional framework of risk disclosures, in the context of relevant law and regulation. For public listed banks in the European Union this includes the accounting standards IFRS, in particular IFRS 7 (Disclosures of Financial Instruments)</w:t>
      </w:r>
      <w:r w:rsidR="00BC075B"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and the </w:t>
      </w:r>
      <w:r w:rsidR="00BC075B" w:rsidRPr="00337C97">
        <w:rPr>
          <w:rFonts w:asciiTheme="minorHAnsi" w:hAnsiTheme="minorHAnsi" w:cs="Times New Roman"/>
          <w:sz w:val="22"/>
          <w:szCs w:val="22"/>
          <w:lang w:val="en-US"/>
        </w:rPr>
        <w:t xml:space="preserve">Basel Accords, containing recommendations on banking laws, regulation and supervision. </w:t>
      </w:r>
      <w:r w:rsidR="002E615A" w:rsidRPr="00337C97">
        <w:rPr>
          <w:rFonts w:asciiTheme="minorHAnsi" w:hAnsiTheme="minorHAnsi" w:cs="Times New Roman"/>
          <w:sz w:val="22"/>
          <w:szCs w:val="22"/>
          <w:lang w:val="en-US"/>
        </w:rPr>
        <w:t>Furthermore, additional regulation can vary per individual country. In addition</w:t>
      </w:r>
      <w:r w:rsidR="00276D21" w:rsidRPr="00337C97">
        <w:rPr>
          <w:rFonts w:asciiTheme="minorHAnsi" w:hAnsiTheme="minorHAnsi" w:cs="Times New Roman"/>
          <w:sz w:val="22"/>
          <w:szCs w:val="22"/>
          <w:lang w:val="en-US"/>
        </w:rPr>
        <w:t xml:space="preserve">, </w:t>
      </w:r>
      <w:r w:rsidR="008D7610" w:rsidRPr="00337C97">
        <w:rPr>
          <w:rFonts w:asciiTheme="minorHAnsi" w:hAnsiTheme="minorHAnsi" w:cs="Times New Roman"/>
          <w:sz w:val="22"/>
          <w:szCs w:val="22"/>
          <w:lang w:val="en-US"/>
        </w:rPr>
        <w:t xml:space="preserve">there has been </w:t>
      </w:r>
      <w:r w:rsidR="00276D21" w:rsidRPr="00337C97">
        <w:rPr>
          <w:rFonts w:asciiTheme="minorHAnsi" w:hAnsiTheme="minorHAnsi" w:cs="Times New Roman"/>
          <w:sz w:val="22"/>
          <w:szCs w:val="22"/>
          <w:lang w:val="en-US"/>
        </w:rPr>
        <w:t>increased attention towards cor</w:t>
      </w:r>
      <w:r w:rsidR="008D7610" w:rsidRPr="00337C97">
        <w:rPr>
          <w:rFonts w:asciiTheme="minorHAnsi" w:hAnsiTheme="minorHAnsi" w:cs="Times New Roman"/>
          <w:sz w:val="22"/>
          <w:szCs w:val="22"/>
          <w:lang w:val="en-US"/>
        </w:rPr>
        <w:t xml:space="preserve">porate governance in </w:t>
      </w:r>
      <w:r w:rsidR="0083159F" w:rsidRPr="00337C97">
        <w:rPr>
          <w:rFonts w:asciiTheme="minorHAnsi" w:hAnsiTheme="minorHAnsi" w:cs="Times New Roman"/>
          <w:sz w:val="22"/>
          <w:szCs w:val="22"/>
          <w:lang w:val="en-US"/>
        </w:rPr>
        <w:t xml:space="preserve">organizations including banks. </w:t>
      </w:r>
      <w:r w:rsidR="00BC075B" w:rsidRPr="00337C97">
        <w:rPr>
          <w:rFonts w:asciiTheme="minorHAnsi" w:hAnsiTheme="minorHAnsi" w:cs="Times New Roman"/>
          <w:sz w:val="22"/>
          <w:szCs w:val="22"/>
          <w:lang w:val="en-US"/>
        </w:rPr>
        <w:t>One conclusion is that the regulation mainly has been harmonized throughout the European Union. The execution of banking supervision is however primarily national oriented, by the national central b</w:t>
      </w:r>
      <w:r w:rsidR="0028170A" w:rsidRPr="00337C97">
        <w:rPr>
          <w:rFonts w:asciiTheme="minorHAnsi" w:hAnsiTheme="minorHAnsi" w:cs="Times New Roman"/>
          <w:sz w:val="22"/>
          <w:szCs w:val="22"/>
          <w:lang w:val="en-US"/>
        </w:rPr>
        <w:t>ank and/or finan</w:t>
      </w:r>
      <w:r w:rsidR="002065A1" w:rsidRPr="00337C97">
        <w:rPr>
          <w:rFonts w:asciiTheme="minorHAnsi" w:hAnsiTheme="minorHAnsi" w:cs="Times New Roman"/>
          <w:sz w:val="22"/>
          <w:szCs w:val="22"/>
          <w:lang w:val="en-US"/>
        </w:rPr>
        <w:t>cial authority.</w:t>
      </w:r>
      <w:r w:rsidR="007D795E" w:rsidRPr="00337C97">
        <w:rPr>
          <w:rFonts w:asciiTheme="minorHAnsi" w:hAnsiTheme="minorHAnsi" w:cs="Times New Roman"/>
          <w:sz w:val="22"/>
          <w:szCs w:val="22"/>
          <w:lang w:val="en-US"/>
        </w:rPr>
        <w:t xml:space="preserve"> Using the information in this chapter, </w:t>
      </w:r>
      <w:r w:rsidR="00922C20" w:rsidRPr="00337C97">
        <w:rPr>
          <w:rFonts w:asciiTheme="minorHAnsi" w:hAnsiTheme="minorHAnsi" w:cs="Times New Roman"/>
          <w:sz w:val="22"/>
          <w:szCs w:val="22"/>
          <w:lang w:val="en-US"/>
        </w:rPr>
        <w:t xml:space="preserve">a figure has been drawn </w:t>
      </w:r>
      <w:r w:rsidR="007D795E" w:rsidRPr="00337C97">
        <w:rPr>
          <w:rFonts w:asciiTheme="minorHAnsi" w:hAnsiTheme="minorHAnsi" w:cs="Times New Roman"/>
          <w:sz w:val="22"/>
          <w:szCs w:val="22"/>
          <w:lang w:val="en-US"/>
        </w:rPr>
        <w:t>which summarizes the situation of a public listed bank in the European Union (s</w:t>
      </w:r>
      <w:r w:rsidR="00172672" w:rsidRPr="00337C97">
        <w:rPr>
          <w:rFonts w:asciiTheme="minorHAnsi" w:hAnsiTheme="minorHAnsi" w:cs="Times New Roman"/>
          <w:sz w:val="22"/>
          <w:szCs w:val="22"/>
          <w:lang w:val="en-US"/>
        </w:rPr>
        <w:t xml:space="preserve">ee figure </w:t>
      </w:r>
      <w:r w:rsidR="002065A1" w:rsidRPr="00337C97">
        <w:rPr>
          <w:rFonts w:asciiTheme="minorHAnsi" w:hAnsiTheme="minorHAnsi" w:cs="Times New Roman"/>
          <w:sz w:val="22"/>
          <w:szCs w:val="22"/>
          <w:lang w:val="en-US"/>
        </w:rPr>
        <w:t>1</w:t>
      </w:r>
      <w:r w:rsidR="007D795E" w:rsidRPr="00337C97">
        <w:rPr>
          <w:rFonts w:asciiTheme="minorHAnsi" w:hAnsiTheme="minorHAnsi" w:cs="Times New Roman"/>
          <w:sz w:val="22"/>
          <w:szCs w:val="22"/>
          <w:lang w:val="en-US"/>
        </w:rPr>
        <w:t>).</w:t>
      </w:r>
    </w:p>
    <w:p w:rsidR="007D795E" w:rsidRPr="00337C97" w:rsidRDefault="007D795E" w:rsidP="00391DB5">
      <w:pPr>
        <w:spacing w:line="360" w:lineRule="auto"/>
        <w:jc w:val="both"/>
        <w:rPr>
          <w:rFonts w:asciiTheme="minorHAnsi" w:hAnsiTheme="minorHAnsi" w:cs="Times New Roman"/>
          <w:sz w:val="22"/>
          <w:szCs w:val="22"/>
          <w:lang w:val="en-US"/>
        </w:rPr>
      </w:pPr>
    </w:p>
    <w:p w:rsidR="000E6D4F" w:rsidRPr="00337C97" w:rsidRDefault="00BC075B" w:rsidP="00391DB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The recent credit crunch revealed </w:t>
      </w:r>
      <w:r w:rsidR="0049274F" w:rsidRPr="00337C97">
        <w:rPr>
          <w:rFonts w:asciiTheme="minorHAnsi" w:hAnsiTheme="minorHAnsi" w:cs="Times New Roman"/>
          <w:sz w:val="22"/>
          <w:szCs w:val="22"/>
          <w:lang w:val="en-US"/>
        </w:rPr>
        <w:t xml:space="preserve">two </w:t>
      </w:r>
      <w:r w:rsidRPr="00337C97">
        <w:rPr>
          <w:rFonts w:asciiTheme="minorHAnsi" w:hAnsiTheme="minorHAnsi" w:cs="Times New Roman"/>
          <w:sz w:val="22"/>
          <w:szCs w:val="22"/>
          <w:lang w:val="en-US"/>
        </w:rPr>
        <w:t xml:space="preserve">major </w:t>
      </w:r>
      <w:r w:rsidR="0049274F" w:rsidRPr="00337C97">
        <w:rPr>
          <w:rFonts w:asciiTheme="minorHAnsi" w:hAnsiTheme="minorHAnsi" w:cs="Times New Roman"/>
          <w:sz w:val="22"/>
          <w:szCs w:val="22"/>
          <w:lang w:val="en-US"/>
        </w:rPr>
        <w:t>weakness</w:t>
      </w:r>
      <w:r w:rsidR="00D80975" w:rsidRPr="00337C97">
        <w:rPr>
          <w:rFonts w:asciiTheme="minorHAnsi" w:hAnsiTheme="minorHAnsi" w:cs="Times New Roman"/>
          <w:sz w:val="22"/>
          <w:szCs w:val="22"/>
          <w:lang w:val="en-US"/>
        </w:rPr>
        <w:t>es</w:t>
      </w:r>
      <w:r w:rsidR="0049274F" w:rsidRPr="00337C97">
        <w:rPr>
          <w:rFonts w:asciiTheme="minorHAnsi" w:hAnsiTheme="minorHAnsi" w:cs="Times New Roman"/>
          <w:sz w:val="22"/>
          <w:szCs w:val="22"/>
          <w:lang w:val="en-US"/>
        </w:rPr>
        <w:t xml:space="preserve"> of this system. First, the regulation was blamed to be to</w:t>
      </w:r>
      <w:r w:rsidR="00276D21" w:rsidRPr="00337C97">
        <w:rPr>
          <w:rFonts w:asciiTheme="minorHAnsi" w:hAnsiTheme="minorHAnsi" w:cs="Times New Roman"/>
          <w:sz w:val="22"/>
          <w:szCs w:val="22"/>
          <w:lang w:val="en-US"/>
        </w:rPr>
        <w:t>o</w:t>
      </w:r>
      <w:r w:rsidR="0049274F" w:rsidRPr="00337C97">
        <w:rPr>
          <w:rFonts w:asciiTheme="minorHAnsi" w:hAnsiTheme="minorHAnsi" w:cs="Times New Roman"/>
          <w:sz w:val="22"/>
          <w:szCs w:val="22"/>
          <w:lang w:val="en-US"/>
        </w:rPr>
        <w:t xml:space="preserve"> procyclical and second, </w:t>
      </w:r>
      <w:r w:rsidR="00276D21" w:rsidRPr="00337C97">
        <w:rPr>
          <w:rFonts w:asciiTheme="minorHAnsi" w:hAnsiTheme="minorHAnsi" w:cs="Times New Roman"/>
          <w:sz w:val="22"/>
          <w:szCs w:val="22"/>
          <w:lang w:val="en-US"/>
        </w:rPr>
        <w:t>the supervision was not sufficiently focused on macro-systemic risks. Not surprisingly, the crisis evoked a discussion about the current status of the whole banking regulation and supervision system, and therefore a reform</w:t>
      </w:r>
      <w:r w:rsidR="00A36D03" w:rsidRPr="00337C97">
        <w:rPr>
          <w:rFonts w:asciiTheme="minorHAnsi" w:hAnsiTheme="minorHAnsi" w:cs="Times New Roman"/>
          <w:sz w:val="22"/>
          <w:szCs w:val="22"/>
          <w:lang w:val="en-US"/>
        </w:rPr>
        <w:t xml:space="preserve"> (in the direction of stricter regulation and more supervision)</w:t>
      </w:r>
      <w:r w:rsidR="00922C20" w:rsidRPr="00337C97">
        <w:rPr>
          <w:rFonts w:asciiTheme="minorHAnsi" w:hAnsiTheme="minorHAnsi" w:cs="Times New Roman"/>
          <w:sz w:val="22"/>
          <w:szCs w:val="22"/>
          <w:lang w:val="en-US"/>
        </w:rPr>
        <w:t xml:space="preserve"> can be definitely expected.</w:t>
      </w:r>
    </w:p>
    <w:p w:rsidR="00276D21" w:rsidRPr="00337C97" w:rsidRDefault="00276D21" w:rsidP="00391DB5">
      <w:pPr>
        <w:spacing w:line="360" w:lineRule="auto"/>
        <w:jc w:val="both"/>
        <w:rPr>
          <w:rFonts w:asciiTheme="minorHAnsi" w:hAnsiTheme="minorHAnsi" w:cs="Times New Roman"/>
          <w:sz w:val="22"/>
          <w:szCs w:val="22"/>
          <w:lang w:val="en-US"/>
        </w:rPr>
      </w:pPr>
    </w:p>
    <w:p w:rsidR="008635AA" w:rsidRPr="00337C97" w:rsidRDefault="009F60B1" w:rsidP="00FF49D7">
      <w:pPr>
        <w:spacing w:line="360" w:lineRule="auto"/>
        <w:ind w:firstLine="720"/>
        <w:jc w:val="both"/>
        <w:rPr>
          <w:rFonts w:asciiTheme="minorHAnsi" w:hAnsiTheme="minorHAnsi" w:cs="Times New Roman"/>
          <w:sz w:val="22"/>
          <w:szCs w:val="22"/>
          <w:lang w:val="en-US"/>
        </w:rPr>
      </w:pPr>
      <w:r w:rsidRPr="00337C97">
        <w:rPr>
          <w:rFonts w:asciiTheme="minorHAnsi" w:hAnsiTheme="minorHAnsi" w:cs="Times New Roman"/>
          <w:noProof/>
          <w:sz w:val="22"/>
          <w:szCs w:val="22"/>
          <w:lang w:val="nl-NL" w:eastAsia="nl-NL" w:bidi="ar-SA"/>
        </w:rPr>
        <w:drawing>
          <wp:inline distT="0" distB="0" distL="0" distR="0">
            <wp:extent cx="5270500" cy="2829560"/>
            <wp:effectExtent l="19050" t="0" r="6350" b="0"/>
            <wp:docPr id="1" name="Afbeelding 1" descr="inst 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t fw"/>
                    <pic:cNvPicPr>
                      <a:picLocks noChangeAspect="1" noChangeArrowheads="1"/>
                    </pic:cNvPicPr>
                  </pic:nvPicPr>
                  <pic:blipFill>
                    <a:blip r:embed="rId7" cstate="print"/>
                    <a:srcRect/>
                    <a:stretch>
                      <a:fillRect/>
                    </a:stretch>
                  </pic:blipFill>
                  <pic:spPr bwMode="auto">
                    <a:xfrm>
                      <a:off x="0" y="0"/>
                      <a:ext cx="5270500" cy="2829560"/>
                    </a:xfrm>
                    <a:prstGeom prst="rect">
                      <a:avLst/>
                    </a:prstGeom>
                    <a:noFill/>
                    <a:ln w="9525">
                      <a:noFill/>
                      <a:miter lim="800000"/>
                      <a:headEnd/>
                      <a:tailEnd/>
                    </a:ln>
                  </pic:spPr>
                </pic:pic>
              </a:graphicData>
            </a:graphic>
          </wp:inline>
        </w:drawing>
      </w:r>
    </w:p>
    <w:p w:rsidR="009C6622" w:rsidRPr="00337C97" w:rsidRDefault="008635AA" w:rsidP="00DB7046">
      <w:pPr>
        <w:spacing w:line="360" w:lineRule="auto"/>
        <w:ind w:firstLine="720"/>
        <w:jc w:val="both"/>
        <w:rPr>
          <w:rFonts w:asciiTheme="minorHAnsi" w:hAnsiTheme="minorHAnsi" w:cs="Times New Roman"/>
          <w:b/>
          <w:sz w:val="20"/>
          <w:szCs w:val="20"/>
          <w:lang w:val="en-US"/>
        </w:rPr>
      </w:pPr>
      <w:r w:rsidRPr="00337C97">
        <w:rPr>
          <w:rFonts w:asciiTheme="minorHAnsi" w:hAnsiTheme="minorHAnsi" w:cs="Times New Roman"/>
          <w:b/>
          <w:sz w:val="20"/>
          <w:szCs w:val="20"/>
          <w:lang w:val="en-US"/>
        </w:rPr>
        <w:t>Figur</w:t>
      </w:r>
      <w:r w:rsidR="0028170A" w:rsidRPr="00337C97">
        <w:rPr>
          <w:rFonts w:asciiTheme="minorHAnsi" w:hAnsiTheme="minorHAnsi" w:cs="Times New Roman"/>
          <w:b/>
          <w:sz w:val="20"/>
          <w:szCs w:val="20"/>
          <w:lang w:val="en-US"/>
        </w:rPr>
        <w:t>e</w:t>
      </w:r>
      <w:r w:rsidR="00172672" w:rsidRPr="00337C97">
        <w:rPr>
          <w:rFonts w:asciiTheme="minorHAnsi" w:hAnsiTheme="minorHAnsi" w:cs="Times New Roman"/>
          <w:b/>
          <w:sz w:val="20"/>
          <w:szCs w:val="20"/>
          <w:lang w:val="en-US"/>
        </w:rPr>
        <w:t xml:space="preserve"> </w:t>
      </w:r>
      <w:r w:rsidRPr="00337C97">
        <w:rPr>
          <w:rFonts w:asciiTheme="minorHAnsi" w:hAnsiTheme="minorHAnsi" w:cs="Times New Roman"/>
          <w:b/>
          <w:sz w:val="20"/>
          <w:szCs w:val="20"/>
          <w:lang w:val="en-US"/>
        </w:rPr>
        <w:t>1</w:t>
      </w:r>
      <w:r w:rsidR="00817EB6" w:rsidRPr="00337C97">
        <w:rPr>
          <w:rFonts w:asciiTheme="minorHAnsi" w:hAnsiTheme="minorHAnsi" w:cs="Times New Roman"/>
          <w:b/>
          <w:sz w:val="20"/>
          <w:szCs w:val="20"/>
          <w:lang w:val="en-US"/>
        </w:rPr>
        <w:t xml:space="preserve"> </w:t>
      </w:r>
      <w:r w:rsidRPr="00337C97">
        <w:rPr>
          <w:rFonts w:asciiTheme="minorHAnsi" w:hAnsiTheme="minorHAnsi" w:cs="Times New Roman"/>
          <w:sz w:val="20"/>
          <w:szCs w:val="20"/>
          <w:lang w:val="en-US"/>
        </w:rPr>
        <w:t>The institutional framework of a</w:t>
      </w:r>
      <w:r w:rsidR="00B736CD" w:rsidRPr="00337C97">
        <w:rPr>
          <w:rFonts w:asciiTheme="minorHAnsi" w:hAnsiTheme="minorHAnsi" w:cs="Times New Roman"/>
          <w:sz w:val="20"/>
          <w:szCs w:val="20"/>
          <w:lang w:val="en-US"/>
        </w:rPr>
        <w:t xml:space="preserve"> </w:t>
      </w:r>
      <w:r w:rsidRPr="00337C97">
        <w:rPr>
          <w:rFonts w:asciiTheme="minorHAnsi" w:hAnsiTheme="minorHAnsi" w:cs="Times New Roman"/>
          <w:sz w:val="20"/>
          <w:szCs w:val="20"/>
          <w:lang w:val="en-US"/>
        </w:rPr>
        <w:t>public listed bank</w:t>
      </w:r>
      <w:r w:rsidR="0028170A" w:rsidRPr="00337C97">
        <w:rPr>
          <w:rFonts w:asciiTheme="minorHAnsi" w:hAnsiTheme="minorHAnsi" w:cs="Times New Roman"/>
          <w:sz w:val="20"/>
          <w:szCs w:val="20"/>
          <w:lang w:val="en-US"/>
        </w:rPr>
        <w:t xml:space="preserve"> in the European Union</w:t>
      </w:r>
    </w:p>
    <w:p w:rsidR="009F2F43" w:rsidRPr="00337C97" w:rsidRDefault="009F2F43" w:rsidP="009F2F43">
      <w:pPr>
        <w:spacing w:line="360" w:lineRule="auto"/>
        <w:jc w:val="both"/>
        <w:rPr>
          <w:rFonts w:asciiTheme="minorHAnsi" w:hAnsiTheme="minorHAnsi" w:cs="Times New Roman"/>
          <w:sz w:val="22"/>
          <w:szCs w:val="20"/>
          <w:lang w:val="en-US"/>
        </w:rPr>
      </w:pPr>
    </w:p>
    <w:p w:rsidR="00D205C7" w:rsidRPr="00337C97" w:rsidRDefault="00307D4A" w:rsidP="0070028A">
      <w:pPr>
        <w:spacing w:line="360" w:lineRule="auto"/>
        <w:jc w:val="both"/>
        <w:outlineLvl w:val="0"/>
        <w:rPr>
          <w:rFonts w:asciiTheme="minorHAnsi" w:hAnsiTheme="minorHAnsi" w:cs="Times New Roman"/>
          <w:b/>
          <w:sz w:val="28"/>
          <w:szCs w:val="22"/>
          <w:lang w:val="en-US"/>
        </w:rPr>
      </w:pPr>
      <w:r w:rsidRPr="00337C97">
        <w:rPr>
          <w:rFonts w:asciiTheme="minorHAnsi" w:hAnsiTheme="minorHAnsi" w:cs="Times New Roman"/>
          <w:b/>
          <w:sz w:val="22"/>
          <w:szCs w:val="22"/>
          <w:lang w:val="en-US"/>
        </w:rPr>
        <w:br w:type="page"/>
      </w:r>
      <w:bookmarkStart w:id="143" w:name="_Toc236565323"/>
      <w:bookmarkStart w:id="144" w:name="_Toc241658901"/>
      <w:bookmarkStart w:id="145" w:name="_Toc242584773"/>
      <w:bookmarkStart w:id="146" w:name="_Toc242697409"/>
      <w:bookmarkStart w:id="147" w:name="_Toc242697644"/>
      <w:bookmarkStart w:id="148" w:name="_Toc245187881"/>
      <w:bookmarkStart w:id="149" w:name="_Toc269658925"/>
      <w:r w:rsidR="00D205C7" w:rsidRPr="00337C97">
        <w:rPr>
          <w:rFonts w:asciiTheme="minorHAnsi" w:hAnsiTheme="minorHAnsi" w:cs="Times New Roman"/>
          <w:b/>
          <w:sz w:val="28"/>
          <w:szCs w:val="22"/>
          <w:lang w:val="en-US"/>
        </w:rPr>
        <w:lastRenderedPageBreak/>
        <w:t>3</w:t>
      </w:r>
      <w:r w:rsidR="00FE2D9A" w:rsidRPr="00337C97">
        <w:rPr>
          <w:rFonts w:asciiTheme="minorHAnsi" w:hAnsiTheme="minorHAnsi" w:cs="Times New Roman"/>
          <w:b/>
          <w:sz w:val="28"/>
          <w:szCs w:val="22"/>
          <w:lang w:val="en-US"/>
        </w:rPr>
        <w:tab/>
      </w:r>
      <w:r w:rsidR="00D205C7" w:rsidRPr="00337C97">
        <w:rPr>
          <w:rFonts w:asciiTheme="minorHAnsi" w:hAnsiTheme="minorHAnsi" w:cs="Times New Roman"/>
          <w:b/>
          <w:sz w:val="28"/>
          <w:szCs w:val="22"/>
          <w:lang w:val="en-US"/>
        </w:rPr>
        <w:t>Theoretical Framework</w:t>
      </w:r>
      <w:bookmarkEnd w:id="143"/>
      <w:bookmarkEnd w:id="144"/>
      <w:bookmarkEnd w:id="145"/>
      <w:bookmarkEnd w:id="146"/>
      <w:bookmarkEnd w:id="147"/>
      <w:bookmarkEnd w:id="148"/>
      <w:bookmarkEnd w:id="149"/>
    </w:p>
    <w:p w:rsidR="00D205C7" w:rsidRPr="00337C97" w:rsidRDefault="00D205C7" w:rsidP="00950BBC">
      <w:pPr>
        <w:spacing w:line="360" w:lineRule="auto"/>
        <w:jc w:val="both"/>
        <w:rPr>
          <w:rFonts w:asciiTheme="minorHAnsi" w:hAnsiTheme="minorHAnsi" w:cs="Times New Roman"/>
          <w:b/>
          <w:sz w:val="22"/>
          <w:szCs w:val="22"/>
          <w:lang w:val="en-US"/>
        </w:rPr>
      </w:pPr>
    </w:p>
    <w:p w:rsidR="00AC026C" w:rsidRPr="00337C97" w:rsidRDefault="00AC026C" w:rsidP="00411AD6">
      <w:pPr>
        <w:spacing w:line="360" w:lineRule="auto"/>
        <w:jc w:val="both"/>
        <w:outlineLvl w:val="1"/>
        <w:rPr>
          <w:rFonts w:asciiTheme="minorHAnsi" w:hAnsiTheme="minorHAnsi" w:cs="Times New Roman"/>
          <w:b/>
          <w:sz w:val="22"/>
          <w:szCs w:val="22"/>
          <w:lang w:val="en-US"/>
        </w:rPr>
      </w:pPr>
      <w:bookmarkStart w:id="150" w:name="_Toc241658902"/>
      <w:bookmarkStart w:id="151" w:name="_Toc242584774"/>
      <w:bookmarkStart w:id="152" w:name="_Toc242697410"/>
      <w:bookmarkStart w:id="153" w:name="_Toc242697645"/>
      <w:bookmarkStart w:id="154" w:name="_Toc245187882"/>
      <w:bookmarkStart w:id="155" w:name="_Toc269658926"/>
      <w:r w:rsidRPr="00337C97">
        <w:rPr>
          <w:rFonts w:asciiTheme="minorHAnsi" w:hAnsiTheme="minorHAnsi" w:cs="Times New Roman"/>
          <w:b/>
          <w:sz w:val="22"/>
          <w:szCs w:val="22"/>
          <w:lang w:val="en-US"/>
        </w:rPr>
        <w:t>3.1</w:t>
      </w:r>
      <w:r w:rsidRPr="00337C97">
        <w:rPr>
          <w:rFonts w:asciiTheme="minorHAnsi" w:hAnsiTheme="minorHAnsi" w:cs="Times New Roman"/>
          <w:b/>
          <w:sz w:val="22"/>
          <w:szCs w:val="22"/>
          <w:lang w:val="en-US"/>
        </w:rPr>
        <w:tab/>
        <w:t>Introduction</w:t>
      </w:r>
      <w:bookmarkEnd w:id="150"/>
      <w:bookmarkEnd w:id="151"/>
      <w:bookmarkEnd w:id="152"/>
      <w:bookmarkEnd w:id="153"/>
      <w:bookmarkEnd w:id="154"/>
      <w:bookmarkEnd w:id="155"/>
    </w:p>
    <w:p w:rsidR="00AC026C" w:rsidRPr="00337C97" w:rsidRDefault="00917060" w:rsidP="00950BB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chapter discusses the theoretical framework regarding risk disclosures in the annual report. The following question will be discussed: </w:t>
      </w:r>
    </w:p>
    <w:p w:rsidR="00917060" w:rsidRPr="00337C97" w:rsidRDefault="00917060" w:rsidP="00950BBC">
      <w:pPr>
        <w:spacing w:line="360" w:lineRule="auto"/>
        <w:jc w:val="both"/>
        <w:rPr>
          <w:rFonts w:asciiTheme="minorHAnsi" w:hAnsiTheme="minorHAnsi" w:cs="Times New Roman"/>
          <w:sz w:val="22"/>
          <w:szCs w:val="22"/>
          <w:lang w:val="en-US"/>
        </w:rPr>
      </w:pPr>
    </w:p>
    <w:p w:rsidR="00AC026C" w:rsidRPr="00337C97" w:rsidRDefault="00AC026C" w:rsidP="00145A44">
      <w:pPr>
        <w:spacing w:line="360" w:lineRule="auto"/>
        <w:ind w:firstLine="720"/>
        <w:jc w:val="both"/>
        <w:rPr>
          <w:rFonts w:asciiTheme="minorHAnsi" w:hAnsiTheme="minorHAnsi" w:cs="Times New Roman"/>
          <w:i/>
          <w:sz w:val="22"/>
          <w:szCs w:val="22"/>
          <w:lang w:val="en-US"/>
        </w:rPr>
      </w:pPr>
      <w:r w:rsidRPr="00337C97">
        <w:rPr>
          <w:rFonts w:asciiTheme="minorHAnsi" w:hAnsiTheme="minorHAnsi" w:cs="Times New Roman"/>
          <w:i/>
          <w:sz w:val="22"/>
          <w:szCs w:val="22"/>
          <w:lang w:val="en-US"/>
        </w:rPr>
        <w:t>Which economic theories can explain the occurrence and extent of risk disclosure?</w:t>
      </w:r>
    </w:p>
    <w:p w:rsidR="00AC026C" w:rsidRPr="00337C97" w:rsidRDefault="00AC026C" w:rsidP="00950BBC">
      <w:pPr>
        <w:spacing w:line="360" w:lineRule="auto"/>
        <w:jc w:val="both"/>
        <w:rPr>
          <w:rFonts w:asciiTheme="minorHAnsi" w:hAnsiTheme="minorHAnsi" w:cs="Times New Roman"/>
          <w:sz w:val="22"/>
          <w:szCs w:val="22"/>
          <w:lang w:val="en-US"/>
        </w:rPr>
      </w:pPr>
    </w:p>
    <w:p w:rsidR="009C299D" w:rsidRPr="00337C97" w:rsidRDefault="009C299D" w:rsidP="00886FF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Positive Accounting Theory is discussed in the second paragraph. Another applicable economic theory is the agency theory, which is discussed in the third paragraph. The emphasis lies upon the information asymmetry between the agent and the principle. Information that is disclosed in the annual report is a major tool to overcome this information asymmetry. The role of disclosure</w:t>
      </w:r>
      <w:r w:rsidR="00EF4AAC" w:rsidRPr="00337C97">
        <w:rPr>
          <w:rFonts w:asciiTheme="minorHAnsi" w:hAnsiTheme="minorHAnsi" w:cs="Times New Roman"/>
          <w:sz w:val="22"/>
          <w:szCs w:val="22"/>
          <w:lang w:val="en-US"/>
        </w:rPr>
        <w:t xml:space="preserve"> and risk disclosure in specific</w:t>
      </w:r>
      <w:r w:rsidRPr="00337C97">
        <w:rPr>
          <w:rFonts w:asciiTheme="minorHAnsi" w:hAnsiTheme="minorHAnsi" w:cs="Times New Roman"/>
          <w:sz w:val="22"/>
          <w:szCs w:val="22"/>
          <w:lang w:val="en-US"/>
        </w:rPr>
        <w:t xml:space="preserve"> is therefore discussed in the fourth paragraph. </w:t>
      </w:r>
      <w:r w:rsidR="00EF4AAC" w:rsidRPr="00337C97">
        <w:rPr>
          <w:rFonts w:asciiTheme="minorHAnsi" w:hAnsiTheme="minorHAnsi" w:cs="Times New Roman"/>
          <w:sz w:val="22"/>
          <w:szCs w:val="22"/>
          <w:lang w:val="en-US"/>
        </w:rPr>
        <w:t xml:space="preserve">Information plays an essential role in financial markets and for that reason the efficient market hypothesis is discussed in the fifth paragraph. </w:t>
      </w:r>
      <w:r w:rsidRPr="00337C97">
        <w:rPr>
          <w:rFonts w:asciiTheme="minorHAnsi" w:hAnsiTheme="minorHAnsi" w:cs="Times New Roman"/>
          <w:sz w:val="22"/>
          <w:szCs w:val="22"/>
          <w:lang w:val="en-US"/>
        </w:rPr>
        <w:t xml:space="preserve">The </w:t>
      </w:r>
      <w:r w:rsidR="00EF4AAC" w:rsidRPr="00337C97">
        <w:rPr>
          <w:rFonts w:asciiTheme="minorHAnsi" w:hAnsiTheme="minorHAnsi" w:cs="Times New Roman"/>
          <w:sz w:val="22"/>
          <w:szCs w:val="22"/>
          <w:lang w:val="en-US"/>
        </w:rPr>
        <w:t xml:space="preserve">sixth </w:t>
      </w:r>
      <w:r w:rsidRPr="00337C97">
        <w:rPr>
          <w:rFonts w:asciiTheme="minorHAnsi" w:hAnsiTheme="minorHAnsi" w:cs="Times New Roman"/>
          <w:sz w:val="22"/>
          <w:szCs w:val="22"/>
          <w:lang w:val="en-US"/>
        </w:rPr>
        <w:t xml:space="preserve">paragraph starts with describing the concept of risk and </w:t>
      </w:r>
      <w:r w:rsidR="00EF4AAC" w:rsidRPr="00337C97">
        <w:rPr>
          <w:rFonts w:asciiTheme="minorHAnsi" w:hAnsiTheme="minorHAnsi" w:cs="Times New Roman"/>
          <w:sz w:val="22"/>
          <w:szCs w:val="22"/>
          <w:lang w:val="en-US"/>
        </w:rPr>
        <w:t xml:space="preserve">the process of risk management. The next paragraph explains the most common banking risks. </w:t>
      </w:r>
      <w:r w:rsidRPr="00337C97">
        <w:rPr>
          <w:rFonts w:asciiTheme="minorHAnsi" w:hAnsiTheme="minorHAnsi" w:cs="Times New Roman"/>
          <w:sz w:val="22"/>
          <w:szCs w:val="22"/>
          <w:lang w:val="en-US"/>
        </w:rPr>
        <w:t xml:space="preserve">In the </w:t>
      </w:r>
      <w:r w:rsidR="00F01283" w:rsidRPr="00337C97">
        <w:rPr>
          <w:rFonts w:asciiTheme="minorHAnsi" w:hAnsiTheme="minorHAnsi" w:cs="Times New Roman"/>
          <w:sz w:val="22"/>
          <w:szCs w:val="22"/>
          <w:lang w:val="en-US"/>
        </w:rPr>
        <w:t>eighth</w:t>
      </w:r>
      <w:r w:rsidRPr="00337C97">
        <w:rPr>
          <w:rFonts w:asciiTheme="minorHAnsi" w:hAnsiTheme="minorHAnsi" w:cs="Times New Roman"/>
          <w:sz w:val="22"/>
          <w:szCs w:val="22"/>
          <w:lang w:val="en-US"/>
        </w:rPr>
        <w:t xml:space="preserve"> paragraph a brief </w:t>
      </w:r>
      <w:r w:rsidR="00EF4AAC" w:rsidRPr="00337C97">
        <w:rPr>
          <w:rFonts w:asciiTheme="minorHAnsi" w:hAnsiTheme="minorHAnsi" w:cs="Times New Roman"/>
          <w:sz w:val="22"/>
          <w:szCs w:val="22"/>
          <w:lang w:val="en-US"/>
        </w:rPr>
        <w:t xml:space="preserve">development </w:t>
      </w:r>
      <w:r w:rsidRPr="00337C97">
        <w:rPr>
          <w:rFonts w:asciiTheme="minorHAnsi" w:hAnsiTheme="minorHAnsi" w:cs="Times New Roman"/>
          <w:sz w:val="22"/>
          <w:szCs w:val="22"/>
          <w:lang w:val="en-US"/>
        </w:rPr>
        <w:t xml:space="preserve">of </w:t>
      </w:r>
      <w:r w:rsidR="00EF4AAC" w:rsidRPr="00337C97">
        <w:rPr>
          <w:rFonts w:asciiTheme="minorHAnsi" w:hAnsiTheme="minorHAnsi" w:cs="Times New Roman"/>
          <w:sz w:val="22"/>
          <w:szCs w:val="22"/>
          <w:lang w:val="en-US"/>
        </w:rPr>
        <w:t>risk disclosure is given and attention is drawn to some issues arising out of the risk disclosure debate.</w:t>
      </w:r>
      <w:r w:rsidR="00F01283" w:rsidRPr="00337C97">
        <w:rPr>
          <w:rFonts w:asciiTheme="minorHAnsi" w:hAnsiTheme="minorHAnsi" w:cs="Times New Roman"/>
          <w:sz w:val="22"/>
          <w:szCs w:val="22"/>
          <w:lang w:val="en-US"/>
        </w:rPr>
        <w:t xml:space="preserve"> The chapter ends with a conclusion.</w:t>
      </w:r>
    </w:p>
    <w:p w:rsidR="009C299D" w:rsidRPr="00337C97" w:rsidRDefault="009C299D" w:rsidP="00950BBC">
      <w:pPr>
        <w:spacing w:line="360" w:lineRule="auto"/>
        <w:jc w:val="both"/>
        <w:rPr>
          <w:rFonts w:asciiTheme="minorHAnsi" w:hAnsiTheme="minorHAnsi" w:cs="Times New Roman"/>
          <w:sz w:val="22"/>
          <w:szCs w:val="22"/>
          <w:lang w:val="en-US"/>
        </w:rPr>
      </w:pPr>
    </w:p>
    <w:p w:rsidR="009C299D" w:rsidRPr="00337C97" w:rsidRDefault="009C299D" w:rsidP="00411AD6">
      <w:pPr>
        <w:spacing w:line="360" w:lineRule="auto"/>
        <w:jc w:val="both"/>
        <w:outlineLvl w:val="1"/>
        <w:rPr>
          <w:rFonts w:asciiTheme="minorHAnsi" w:hAnsiTheme="minorHAnsi" w:cs="Times New Roman"/>
          <w:b/>
          <w:bCs/>
          <w:sz w:val="22"/>
          <w:szCs w:val="22"/>
          <w:lang w:val="en-US"/>
        </w:rPr>
      </w:pPr>
      <w:bookmarkStart w:id="156" w:name="_Toc241658903"/>
      <w:bookmarkStart w:id="157" w:name="_Toc242584775"/>
      <w:bookmarkStart w:id="158" w:name="_Toc242697411"/>
      <w:bookmarkStart w:id="159" w:name="_Toc242697646"/>
      <w:bookmarkStart w:id="160" w:name="_Toc245187883"/>
      <w:bookmarkStart w:id="161" w:name="_Toc269658927"/>
      <w:r w:rsidRPr="00337C97">
        <w:rPr>
          <w:rFonts w:asciiTheme="minorHAnsi" w:hAnsiTheme="minorHAnsi" w:cs="Times New Roman"/>
          <w:b/>
          <w:bCs/>
          <w:sz w:val="22"/>
          <w:szCs w:val="22"/>
          <w:lang w:val="en-US"/>
        </w:rPr>
        <w:t>3.2</w:t>
      </w:r>
      <w:r w:rsidRPr="00337C97">
        <w:rPr>
          <w:rFonts w:asciiTheme="minorHAnsi" w:hAnsiTheme="minorHAnsi" w:cs="Times New Roman"/>
          <w:b/>
          <w:bCs/>
          <w:sz w:val="22"/>
          <w:szCs w:val="22"/>
          <w:lang w:val="en-US"/>
        </w:rPr>
        <w:tab/>
        <w:t>Positive Accounting Theory</w:t>
      </w:r>
      <w:bookmarkEnd w:id="156"/>
      <w:bookmarkEnd w:id="157"/>
      <w:bookmarkEnd w:id="158"/>
      <w:bookmarkEnd w:id="159"/>
      <w:bookmarkEnd w:id="160"/>
      <w:bookmarkEnd w:id="161"/>
    </w:p>
    <w:p w:rsidR="00915ED0" w:rsidRPr="00337C97" w:rsidRDefault="009C299D" w:rsidP="00107C5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preparation of the financial statements is generally the responsibility of the </w:t>
      </w:r>
      <w:r w:rsidR="0070028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board of</w:t>
      </w:r>
      <w:r w:rsidR="0070028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directors</w:t>
      </w:r>
      <w:r w:rsidR="00FA202A" w:rsidRPr="00337C97">
        <w:rPr>
          <w:rFonts w:asciiTheme="minorHAnsi" w:hAnsiTheme="minorHAnsi" w:cs="Times New Roman"/>
          <w:sz w:val="22"/>
          <w:szCs w:val="22"/>
          <w:lang w:val="en-US"/>
        </w:rPr>
        <w:t xml:space="preserve"> (Abraham and Cox, 2007, p. </w:t>
      </w:r>
      <w:r w:rsidR="00693555" w:rsidRPr="00337C97">
        <w:rPr>
          <w:rFonts w:asciiTheme="minorHAnsi" w:hAnsiTheme="minorHAnsi" w:cs="Times New Roman"/>
          <w:sz w:val="22"/>
          <w:szCs w:val="22"/>
          <w:lang w:val="en-US"/>
        </w:rPr>
        <w:t>231</w:t>
      </w:r>
      <w:r w:rsidR="00070B63"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w:t>
      </w:r>
      <w:r w:rsidR="00107C5D" w:rsidRPr="00337C97">
        <w:rPr>
          <w:rFonts w:asciiTheme="minorHAnsi" w:hAnsiTheme="minorHAnsi" w:cs="Times New Roman"/>
          <w:sz w:val="22"/>
          <w:szCs w:val="22"/>
          <w:lang w:val="en-US"/>
        </w:rPr>
        <w:t>Withi</w:t>
      </w:r>
      <w:r w:rsidRPr="00337C97">
        <w:rPr>
          <w:rFonts w:asciiTheme="minorHAnsi" w:hAnsiTheme="minorHAnsi" w:cs="Times New Roman"/>
          <w:sz w:val="22"/>
          <w:szCs w:val="22"/>
          <w:lang w:val="en-US"/>
        </w:rPr>
        <w:t xml:space="preserve">n the overall process of corporate governance, they make accounting policy choices and determine to which extent information such as risk disclosure is disclosed or not. The Positive </w:t>
      </w:r>
      <w:r w:rsidR="00890952"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ccounting </w:t>
      </w:r>
      <w:r w:rsidR="00890952" w:rsidRPr="00337C97">
        <w:rPr>
          <w:rFonts w:asciiTheme="minorHAnsi" w:hAnsiTheme="minorHAnsi" w:cs="Times New Roman"/>
          <w:sz w:val="22"/>
          <w:szCs w:val="22"/>
          <w:lang w:val="en-US"/>
        </w:rPr>
        <w:t>T</w:t>
      </w:r>
      <w:r w:rsidRPr="00337C97">
        <w:rPr>
          <w:rFonts w:asciiTheme="minorHAnsi" w:hAnsiTheme="minorHAnsi" w:cs="Times New Roman"/>
          <w:sz w:val="22"/>
          <w:szCs w:val="22"/>
          <w:lang w:val="en-US"/>
        </w:rPr>
        <w:t>heory (PAT)</w:t>
      </w:r>
      <w:r w:rsidR="00922C20" w:rsidRPr="00337C97">
        <w:rPr>
          <w:rFonts w:asciiTheme="minorHAnsi" w:hAnsiTheme="minorHAnsi" w:cs="Times New Roman"/>
          <w:sz w:val="22"/>
          <w:szCs w:val="22"/>
          <w:lang w:val="en-US"/>
        </w:rPr>
        <w:t>,</w:t>
      </w:r>
      <w:r w:rsidR="006A403B" w:rsidRPr="00337C97">
        <w:rPr>
          <w:rFonts w:asciiTheme="minorHAnsi" w:hAnsiTheme="minorHAnsi" w:cs="Times New Roman"/>
          <w:sz w:val="22"/>
          <w:szCs w:val="22"/>
          <w:lang w:val="en-US"/>
        </w:rPr>
        <w:t xml:space="preserve"> pop</w:t>
      </w:r>
      <w:r w:rsidR="00922C20" w:rsidRPr="00337C97">
        <w:rPr>
          <w:rFonts w:asciiTheme="minorHAnsi" w:hAnsiTheme="minorHAnsi" w:cs="Times New Roman"/>
          <w:sz w:val="22"/>
          <w:szCs w:val="22"/>
          <w:lang w:val="en-US"/>
        </w:rPr>
        <w:t xml:space="preserve">ularized by Watts and Zimmerman, </w:t>
      </w:r>
      <w:r w:rsidRPr="00337C97">
        <w:rPr>
          <w:rFonts w:asciiTheme="minorHAnsi" w:hAnsiTheme="minorHAnsi" w:cs="Times New Roman"/>
          <w:sz w:val="22"/>
          <w:szCs w:val="22"/>
          <w:lang w:val="en-US"/>
        </w:rPr>
        <w:t>studies managers’ accounting policy choices and is therefo</w:t>
      </w:r>
      <w:r w:rsidR="00746907" w:rsidRPr="00337C97">
        <w:rPr>
          <w:rFonts w:asciiTheme="minorHAnsi" w:hAnsiTheme="minorHAnsi" w:cs="Times New Roman"/>
          <w:sz w:val="22"/>
          <w:szCs w:val="22"/>
          <w:lang w:val="en-US"/>
        </w:rPr>
        <w:t>re important for this research.</w:t>
      </w:r>
    </w:p>
    <w:p w:rsidR="009D6B23" w:rsidRPr="00337C97" w:rsidRDefault="009D6B23" w:rsidP="00107C5D">
      <w:pPr>
        <w:spacing w:line="360" w:lineRule="auto"/>
        <w:jc w:val="both"/>
        <w:rPr>
          <w:rFonts w:asciiTheme="minorHAnsi" w:hAnsiTheme="minorHAnsi" w:cs="Times New Roman"/>
          <w:sz w:val="22"/>
          <w:szCs w:val="22"/>
          <w:lang w:val="en-US"/>
        </w:rPr>
      </w:pPr>
    </w:p>
    <w:p w:rsidR="00EF77D7" w:rsidRPr="00337C97" w:rsidRDefault="00107C5D" w:rsidP="006A3DF7">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According to Scott (2006, p. 240), PAT is </w:t>
      </w:r>
      <w:r w:rsidR="00C459C1" w:rsidRPr="00337C97">
        <w:rPr>
          <w:rFonts w:asciiTheme="minorHAnsi" w:hAnsiTheme="minorHAnsi" w:cs="Times New Roman"/>
          <w:sz w:val="22"/>
          <w:szCs w:val="22"/>
          <w:lang w:val="en-US"/>
        </w:rPr>
        <w:t>“</w:t>
      </w:r>
      <w:r w:rsidRPr="00337C97">
        <w:rPr>
          <w:rFonts w:asciiTheme="minorHAnsi" w:hAnsiTheme="minorHAnsi" w:cs="Times New Roman"/>
          <w:i/>
          <w:sz w:val="22"/>
          <w:szCs w:val="22"/>
          <w:lang w:val="en-US"/>
        </w:rPr>
        <w:t>concerned with predicting such actions as the choices of accounting policies by firm managers (…)</w:t>
      </w:r>
      <w:r w:rsidR="00C459C1"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w:t>
      </w:r>
      <w:r w:rsidR="006A3DF7" w:rsidRPr="00337C97">
        <w:rPr>
          <w:rFonts w:asciiTheme="minorHAnsi" w:hAnsiTheme="minorHAnsi" w:cs="Times New Roman"/>
          <w:sz w:val="22"/>
          <w:szCs w:val="22"/>
          <w:lang w:val="en-US"/>
        </w:rPr>
        <w:t xml:space="preserve">Viewing a firm as a nexus of contracts, </w:t>
      </w:r>
      <w:r w:rsidR="007E266F" w:rsidRPr="00337C97">
        <w:rPr>
          <w:rFonts w:asciiTheme="minorHAnsi" w:hAnsiTheme="minorHAnsi" w:cs="Times New Roman"/>
          <w:sz w:val="22"/>
          <w:szCs w:val="22"/>
          <w:lang w:val="en-US"/>
        </w:rPr>
        <w:t>PAT asserts that accounting policy choice is part of the firm’s overall need to minimize its cost of capital and other contracting costs</w:t>
      </w:r>
      <w:r w:rsidR="006A3DF7" w:rsidRPr="00337C97">
        <w:rPr>
          <w:rFonts w:asciiTheme="minorHAnsi" w:hAnsiTheme="minorHAnsi" w:cs="Times New Roman"/>
          <w:sz w:val="22"/>
          <w:szCs w:val="22"/>
          <w:lang w:val="en-US"/>
        </w:rPr>
        <w:t xml:space="preserve"> (Scott, 2006, p. 252). </w:t>
      </w:r>
      <w:r w:rsidR="00996228" w:rsidRPr="00337C97">
        <w:rPr>
          <w:rFonts w:asciiTheme="minorHAnsi" w:hAnsiTheme="minorHAnsi" w:cs="Times New Roman"/>
          <w:sz w:val="22"/>
          <w:szCs w:val="22"/>
          <w:lang w:val="en-US"/>
        </w:rPr>
        <w:t xml:space="preserve">Many of these contracts involve accounting variables. Giving management flexibility to choose from a set of accounting policies opens up the possibility of opportunistic </w:t>
      </w:r>
      <w:r w:rsidR="000A061E" w:rsidRPr="00337C97">
        <w:rPr>
          <w:rFonts w:asciiTheme="minorHAnsi" w:hAnsiTheme="minorHAnsi" w:cs="Times New Roman"/>
          <w:sz w:val="22"/>
          <w:szCs w:val="22"/>
          <w:lang w:val="en-US"/>
        </w:rPr>
        <w:t>behavior</w:t>
      </w:r>
      <w:r w:rsidR="00996228" w:rsidRPr="00337C97">
        <w:rPr>
          <w:rFonts w:asciiTheme="minorHAnsi" w:hAnsiTheme="minorHAnsi" w:cs="Times New Roman"/>
          <w:sz w:val="22"/>
          <w:szCs w:val="22"/>
          <w:lang w:val="en-US"/>
        </w:rPr>
        <w:t xml:space="preserve">. This means that managers may choose accounting policies from the set for their own purposes, thereby reducing contract efficiency. </w:t>
      </w:r>
      <w:r w:rsidR="001C7CDB" w:rsidRPr="00337C97">
        <w:rPr>
          <w:rFonts w:asciiTheme="minorHAnsi" w:hAnsiTheme="minorHAnsi" w:cs="Times New Roman"/>
          <w:sz w:val="22"/>
          <w:szCs w:val="22"/>
          <w:lang w:val="en-US"/>
        </w:rPr>
        <w:t>The reason for that is the assumption</w:t>
      </w:r>
      <w:r w:rsidR="00886FF5" w:rsidRPr="00337C97">
        <w:rPr>
          <w:rFonts w:asciiTheme="minorHAnsi" w:hAnsiTheme="minorHAnsi" w:cs="Times New Roman"/>
          <w:sz w:val="22"/>
          <w:szCs w:val="22"/>
          <w:lang w:val="en-US"/>
        </w:rPr>
        <w:t xml:space="preserve"> that managers are rational (like investors) and </w:t>
      </w:r>
      <w:r w:rsidR="00996228" w:rsidRPr="00337C97">
        <w:rPr>
          <w:rFonts w:asciiTheme="minorHAnsi" w:hAnsiTheme="minorHAnsi" w:cs="Times New Roman"/>
          <w:sz w:val="22"/>
          <w:szCs w:val="22"/>
          <w:lang w:val="en-US"/>
        </w:rPr>
        <w:t xml:space="preserve">are therefore expected to </w:t>
      </w:r>
      <w:r w:rsidR="00886FF5" w:rsidRPr="00337C97">
        <w:rPr>
          <w:rFonts w:asciiTheme="minorHAnsi" w:hAnsiTheme="minorHAnsi" w:cs="Times New Roman"/>
          <w:sz w:val="22"/>
          <w:szCs w:val="22"/>
          <w:lang w:val="en-US"/>
        </w:rPr>
        <w:t xml:space="preserve">choose accounting policies in </w:t>
      </w:r>
      <w:r w:rsidR="00886FF5" w:rsidRPr="00337C97">
        <w:rPr>
          <w:rFonts w:asciiTheme="minorHAnsi" w:hAnsiTheme="minorHAnsi" w:cs="Times New Roman"/>
          <w:sz w:val="22"/>
          <w:szCs w:val="22"/>
          <w:lang w:val="en-US"/>
        </w:rPr>
        <w:lastRenderedPageBreak/>
        <w:t>their own best interests if able to do so</w:t>
      </w:r>
      <w:r w:rsidR="001C7CDB" w:rsidRPr="00337C97">
        <w:rPr>
          <w:rFonts w:asciiTheme="minorHAnsi" w:hAnsiTheme="minorHAnsi" w:cs="Times New Roman"/>
          <w:sz w:val="22"/>
          <w:szCs w:val="22"/>
          <w:lang w:val="en-US"/>
        </w:rPr>
        <w:t xml:space="preserve"> (Scott, 2006, p. 240-243). As a solution, PAT predicts that contractual arrangements will be put in place to align the interests of the various self-interested parties (Deegan and Unerman, 2006, p. 252).</w:t>
      </w:r>
    </w:p>
    <w:p w:rsidR="000C7E7C" w:rsidRPr="00337C97" w:rsidRDefault="000C7E7C" w:rsidP="007E266F">
      <w:pPr>
        <w:spacing w:line="360" w:lineRule="auto"/>
        <w:jc w:val="both"/>
        <w:rPr>
          <w:rFonts w:asciiTheme="minorHAnsi" w:hAnsiTheme="minorHAnsi" w:cs="Times New Roman"/>
          <w:sz w:val="22"/>
          <w:szCs w:val="22"/>
          <w:lang w:val="en-US"/>
        </w:rPr>
      </w:pPr>
    </w:p>
    <w:p w:rsidR="006A403B" w:rsidRPr="00337C97" w:rsidRDefault="00886FF5" w:rsidP="007E266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predictions made by PAT are largely organized around three hypot</w:t>
      </w:r>
      <w:r w:rsidR="00996228" w:rsidRPr="00337C97">
        <w:rPr>
          <w:rFonts w:asciiTheme="minorHAnsi" w:hAnsiTheme="minorHAnsi" w:cs="Times New Roman"/>
          <w:sz w:val="22"/>
          <w:szCs w:val="22"/>
          <w:lang w:val="en-US"/>
        </w:rPr>
        <w:t>heses</w:t>
      </w:r>
      <w:r w:rsidR="00245FFC" w:rsidRPr="00337C97">
        <w:rPr>
          <w:rFonts w:asciiTheme="minorHAnsi" w:hAnsiTheme="minorHAnsi" w:cs="Times New Roman"/>
          <w:sz w:val="22"/>
          <w:szCs w:val="22"/>
          <w:lang w:val="en-US"/>
        </w:rPr>
        <w:t>.</w:t>
      </w:r>
      <w:r w:rsidR="00996228" w:rsidRPr="00337C97">
        <w:rPr>
          <w:rFonts w:asciiTheme="minorHAnsi" w:hAnsiTheme="minorHAnsi" w:cs="Times New Roman"/>
          <w:sz w:val="22"/>
          <w:szCs w:val="22"/>
          <w:lang w:val="en-US"/>
        </w:rPr>
        <w:t xml:space="preserve"> </w:t>
      </w:r>
      <w:r w:rsidR="00570E4A" w:rsidRPr="00337C97">
        <w:rPr>
          <w:rFonts w:asciiTheme="minorHAnsi" w:hAnsiTheme="minorHAnsi" w:cs="Times New Roman"/>
          <w:sz w:val="22"/>
          <w:szCs w:val="22"/>
          <w:lang w:val="en-US"/>
        </w:rPr>
        <w:t>First, t</w:t>
      </w:r>
      <w:r w:rsidR="00996228" w:rsidRPr="00337C97">
        <w:rPr>
          <w:rFonts w:asciiTheme="minorHAnsi" w:hAnsiTheme="minorHAnsi" w:cs="Times New Roman"/>
          <w:sz w:val="22"/>
          <w:szCs w:val="22"/>
          <w:lang w:val="en-US"/>
        </w:rPr>
        <w:t xml:space="preserve">he </w:t>
      </w:r>
      <w:r w:rsidR="00996228" w:rsidRPr="00337C97">
        <w:rPr>
          <w:rFonts w:asciiTheme="minorHAnsi" w:hAnsiTheme="minorHAnsi" w:cs="Times New Roman"/>
          <w:i/>
          <w:iCs/>
          <w:sz w:val="22"/>
          <w:szCs w:val="22"/>
          <w:lang w:val="en-US"/>
        </w:rPr>
        <w:t>bonus plan hypothesis</w:t>
      </w:r>
      <w:r w:rsidR="0097464C" w:rsidRPr="00337C97">
        <w:rPr>
          <w:rFonts w:asciiTheme="minorHAnsi" w:hAnsiTheme="minorHAnsi" w:cs="Times New Roman"/>
          <w:sz w:val="22"/>
          <w:szCs w:val="22"/>
          <w:lang w:val="en-US"/>
        </w:rPr>
        <w:t xml:space="preserve"> </w:t>
      </w:r>
      <w:r w:rsidR="00570E4A" w:rsidRPr="00337C97">
        <w:rPr>
          <w:rFonts w:asciiTheme="minorHAnsi" w:hAnsiTheme="minorHAnsi" w:cs="Times New Roman"/>
          <w:sz w:val="22"/>
          <w:szCs w:val="22"/>
          <w:lang w:val="en-US"/>
        </w:rPr>
        <w:t>predicts that m</w:t>
      </w:r>
      <w:r w:rsidR="00996228" w:rsidRPr="00337C97">
        <w:rPr>
          <w:rFonts w:asciiTheme="minorHAnsi" w:hAnsiTheme="minorHAnsi" w:cs="Times New Roman"/>
          <w:sz w:val="22"/>
          <w:szCs w:val="22"/>
          <w:lang w:val="en-US"/>
        </w:rPr>
        <w:t>anagers of firms with bonus plans are more likely to choose accounting procedures that shift reported earnings from future</w:t>
      </w:r>
      <w:r w:rsidR="00570E4A" w:rsidRPr="00337C97">
        <w:rPr>
          <w:rFonts w:asciiTheme="minorHAnsi" w:hAnsiTheme="minorHAnsi" w:cs="Times New Roman"/>
          <w:sz w:val="22"/>
          <w:szCs w:val="22"/>
          <w:lang w:val="en-US"/>
        </w:rPr>
        <w:t xml:space="preserve"> periods to the current period.  Second, the </w:t>
      </w:r>
      <w:r w:rsidR="00570E4A" w:rsidRPr="00337C97">
        <w:rPr>
          <w:rFonts w:asciiTheme="minorHAnsi" w:hAnsiTheme="minorHAnsi" w:cs="Times New Roman"/>
          <w:i/>
          <w:iCs/>
          <w:sz w:val="22"/>
          <w:szCs w:val="22"/>
          <w:lang w:val="en-US"/>
        </w:rPr>
        <w:t>debt covenant hypothesis</w:t>
      </w:r>
      <w:r w:rsidR="00570E4A" w:rsidRPr="00337C97">
        <w:rPr>
          <w:rFonts w:asciiTheme="minorHAnsi" w:hAnsiTheme="minorHAnsi" w:cs="Times New Roman"/>
          <w:sz w:val="22"/>
          <w:szCs w:val="22"/>
          <w:lang w:val="en-US"/>
        </w:rPr>
        <w:t xml:space="preserve"> predicts that the closer a firm is to violation of accounting-based debt covenants, the more likely the firm manager is to select accounting procedures that shift reported earnings from future periods to the current period. Third, the </w:t>
      </w:r>
      <w:r w:rsidR="00570E4A" w:rsidRPr="00337C97">
        <w:rPr>
          <w:rFonts w:asciiTheme="minorHAnsi" w:hAnsiTheme="minorHAnsi" w:cs="Times New Roman"/>
          <w:i/>
          <w:iCs/>
          <w:sz w:val="22"/>
          <w:szCs w:val="22"/>
          <w:lang w:val="en-US"/>
        </w:rPr>
        <w:t>political cost hypothesis</w:t>
      </w:r>
      <w:r w:rsidR="00570E4A" w:rsidRPr="00337C97">
        <w:rPr>
          <w:rFonts w:asciiTheme="minorHAnsi" w:hAnsiTheme="minorHAnsi" w:cs="Times New Roman"/>
          <w:sz w:val="22"/>
          <w:szCs w:val="22"/>
          <w:lang w:val="en-US"/>
        </w:rPr>
        <w:t xml:space="preserve"> predicts that the greater the political costs faced by a firm, the more likely the manager is to choose accounting procedures that defer reported earnings from current to future periods. This hypothesis introduces a political dimension into accounting policy choice. Political costs can be imposed by high profitability, which may attract media and consumer attention. </w:t>
      </w:r>
      <w:r w:rsidR="007E266F" w:rsidRPr="00337C97">
        <w:rPr>
          <w:rFonts w:asciiTheme="minorHAnsi" w:hAnsiTheme="minorHAnsi" w:cs="Times New Roman"/>
          <w:sz w:val="22"/>
          <w:szCs w:val="22"/>
          <w:lang w:val="en-US"/>
        </w:rPr>
        <w:t>Such attention can quickly translate into political pressure on the firm as politicians may respond with taxes or other regula</w:t>
      </w:r>
      <w:r w:rsidR="00BC7EEF" w:rsidRPr="00337C97">
        <w:rPr>
          <w:rFonts w:asciiTheme="minorHAnsi" w:hAnsiTheme="minorHAnsi" w:cs="Times New Roman"/>
          <w:sz w:val="22"/>
          <w:szCs w:val="22"/>
          <w:lang w:val="en-US"/>
        </w:rPr>
        <w:t>tion (Scott, 2006, p. 243-244).</w:t>
      </w:r>
    </w:p>
    <w:p w:rsidR="006A403B" w:rsidRPr="00337C97" w:rsidRDefault="006A403B" w:rsidP="007E266F">
      <w:pPr>
        <w:spacing w:line="360" w:lineRule="auto"/>
        <w:jc w:val="both"/>
        <w:rPr>
          <w:rFonts w:asciiTheme="minorHAnsi" w:hAnsiTheme="minorHAnsi" w:cs="Times New Roman"/>
          <w:sz w:val="22"/>
          <w:szCs w:val="22"/>
          <w:lang w:val="en-US"/>
        </w:rPr>
      </w:pPr>
    </w:p>
    <w:p w:rsidR="00996228" w:rsidRPr="00337C97" w:rsidRDefault="00F4425D" w:rsidP="00962252">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w:t>
      </w:r>
      <w:r w:rsidR="006A403B" w:rsidRPr="00337C97">
        <w:rPr>
          <w:rFonts w:asciiTheme="minorHAnsi" w:hAnsiTheme="minorHAnsi" w:cs="Times New Roman"/>
          <w:sz w:val="22"/>
          <w:szCs w:val="22"/>
          <w:lang w:val="en-US"/>
        </w:rPr>
        <w:t xml:space="preserve">political cost </w:t>
      </w:r>
      <w:r w:rsidRPr="00337C97">
        <w:rPr>
          <w:rFonts w:asciiTheme="minorHAnsi" w:hAnsiTheme="minorHAnsi" w:cs="Times New Roman"/>
          <w:sz w:val="22"/>
          <w:szCs w:val="22"/>
          <w:lang w:val="en-US"/>
        </w:rPr>
        <w:t>hyp</w:t>
      </w:r>
      <w:r w:rsidR="006A403B" w:rsidRPr="00337C97">
        <w:rPr>
          <w:rFonts w:asciiTheme="minorHAnsi" w:hAnsiTheme="minorHAnsi" w:cs="Times New Roman"/>
          <w:sz w:val="22"/>
          <w:szCs w:val="22"/>
          <w:lang w:val="en-US"/>
        </w:rPr>
        <w:t xml:space="preserve">othesis has been suggested to </w:t>
      </w:r>
      <w:r w:rsidRPr="00337C97">
        <w:rPr>
          <w:rFonts w:asciiTheme="minorHAnsi" w:hAnsiTheme="minorHAnsi" w:cs="Times New Roman"/>
          <w:sz w:val="22"/>
          <w:szCs w:val="22"/>
          <w:lang w:val="en-US"/>
        </w:rPr>
        <w:t>explain why firms make social disclosures. Numerous empirical studies have directly sought to establish evidence for the political cost hypothesis as an explanation for firms’ social disclosures (Milne, 2001, p. 1)</w:t>
      </w:r>
      <w:r w:rsidR="00EF77D7" w:rsidRPr="00337C97">
        <w:rPr>
          <w:rFonts w:asciiTheme="minorHAnsi" w:hAnsiTheme="minorHAnsi" w:cs="Times New Roman"/>
          <w:sz w:val="22"/>
          <w:szCs w:val="22"/>
          <w:lang w:val="en-US"/>
        </w:rPr>
        <w:t>.</w:t>
      </w:r>
      <w:r w:rsidR="006A403B" w:rsidRPr="00337C97">
        <w:rPr>
          <w:rFonts w:asciiTheme="minorHAnsi" w:hAnsiTheme="minorHAnsi" w:cs="Times New Roman"/>
          <w:sz w:val="22"/>
          <w:szCs w:val="22"/>
          <w:lang w:val="en-US"/>
        </w:rPr>
        <w:t xml:space="preserve"> Milne </w:t>
      </w:r>
      <w:r w:rsidR="00922C20" w:rsidRPr="00337C97">
        <w:rPr>
          <w:rFonts w:asciiTheme="minorHAnsi" w:hAnsiTheme="minorHAnsi" w:cs="Times New Roman"/>
          <w:sz w:val="22"/>
          <w:szCs w:val="22"/>
          <w:lang w:val="en-US"/>
        </w:rPr>
        <w:t xml:space="preserve">explains that, </w:t>
      </w:r>
      <w:r w:rsidR="006A403B" w:rsidRPr="00337C97">
        <w:rPr>
          <w:rFonts w:asciiTheme="minorHAnsi" w:hAnsiTheme="minorHAnsi" w:cs="Times New Roman"/>
          <w:sz w:val="22"/>
          <w:szCs w:val="22"/>
          <w:lang w:val="en-US"/>
        </w:rPr>
        <w:t>according to Watts and Zimmerman’s theory</w:t>
      </w:r>
      <w:r w:rsidR="003314B9" w:rsidRPr="00337C97">
        <w:rPr>
          <w:rFonts w:asciiTheme="minorHAnsi" w:hAnsiTheme="minorHAnsi" w:cs="Times New Roman"/>
          <w:sz w:val="22"/>
          <w:szCs w:val="22"/>
          <w:lang w:val="en-US"/>
        </w:rPr>
        <w:t>, the answer why managers make social disclosures is because it is in their interests to do so.</w:t>
      </w:r>
      <w:r w:rsidR="00F44CF5" w:rsidRPr="00337C97">
        <w:rPr>
          <w:rFonts w:asciiTheme="minorHAnsi" w:hAnsiTheme="minorHAnsi" w:cs="Times New Roman"/>
          <w:sz w:val="22"/>
          <w:szCs w:val="22"/>
          <w:lang w:val="en-US"/>
        </w:rPr>
        <w:t xml:space="preserve"> </w:t>
      </w:r>
      <w:r w:rsidR="00962252" w:rsidRPr="00337C97">
        <w:rPr>
          <w:rFonts w:asciiTheme="minorHAnsi" w:hAnsiTheme="minorHAnsi" w:cs="Times New Roman"/>
          <w:sz w:val="22"/>
          <w:szCs w:val="22"/>
          <w:lang w:val="en-US"/>
        </w:rPr>
        <w:t xml:space="preserve">In my opinion, this </w:t>
      </w:r>
      <w:r w:rsidR="0083159F" w:rsidRPr="00337C97">
        <w:rPr>
          <w:rFonts w:asciiTheme="minorHAnsi" w:hAnsiTheme="minorHAnsi" w:cs="Times New Roman"/>
          <w:sz w:val="22"/>
          <w:szCs w:val="22"/>
          <w:lang w:val="en-US"/>
        </w:rPr>
        <w:t>reasoning can also be applied</w:t>
      </w:r>
      <w:r w:rsidR="00962252" w:rsidRPr="00337C97">
        <w:rPr>
          <w:rFonts w:asciiTheme="minorHAnsi" w:hAnsiTheme="minorHAnsi" w:cs="Times New Roman"/>
          <w:sz w:val="22"/>
          <w:szCs w:val="22"/>
          <w:lang w:val="en-US"/>
        </w:rPr>
        <w:t xml:space="preserve"> </w:t>
      </w:r>
      <w:r w:rsidR="0083159F" w:rsidRPr="00337C97">
        <w:rPr>
          <w:rFonts w:asciiTheme="minorHAnsi" w:hAnsiTheme="minorHAnsi" w:cs="Times New Roman"/>
          <w:sz w:val="22"/>
          <w:szCs w:val="22"/>
          <w:lang w:val="en-US"/>
        </w:rPr>
        <w:t xml:space="preserve">to </w:t>
      </w:r>
      <w:r w:rsidR="00962252" w:rsidRPr="00337C97">
        <w:rPr>
          <w:rFonts w:asciiTheme="minorHAnsi" w:hAnsiTheme="minorHAnsi" w:cs="Times New Roman"/>
          <w:sz w:val="22"/>
          <w:szCs w:val="22"/>
          <w:lang w:val="en-US"/>
        </w:rPr>
        <w:t xml:space="preserve">(voluntary) </w:t>
      </w:r>
      <w:r w:rsidR="006E167E" w:rsidRPr="00337C97">
        <w:rPr>
          <w:rFonts w:asciiTheme="minorHAnsi" w:hAnsiTheme="minorHAnsi" w:cs="Times New Roman"/>
          <w:sz w:val="22"/>
          <w:szCs w:val="22"/>
          <w:lang w:val="en-US"/>
        </w:rPr>
        <w:t>risk disclosures. Large profits could for example be explained by disclosing information about superior risk management.</w:t>
      </w:r>
    </w:p>
    <w:p w:rsidR="00F44CF5" w:rsidRPr="00337C97" w:rsidRDefault="00F44CF5" w:rsidP="00107C5D">
      <w:pPr>
        <w:spacing w:line="360" w:lineRule="auto"/>
        <w:jc w:val="both"/>
        <w:rPr>
          <w:rFonts w:asciiTheme="minorHAnsi" w:hAnsiTheme="minorHAnsi" w:cs="Times New Roman"/>
          <w:sz w:val="22"/>
          <w:szCs w:val="22"/>
          <w:lang w:val="en-US"/>
        </w:rPr>
      </w:pPr>
    </w:p>
    <w:p w:rsidR="00F358EB" w:rsidRPr="00337C97" w:rsidRDefault="00F358EB" w:rsidP="00411AD6">
      <w:pPr>
        <w:spacing w:line="360" w:lineRule="auto"/>
        <w:jc w:val="both"/>
        <w:outlineLvl w:val="1"/>
        <w:rPr>
          <w:rFonts w:asciiTheme="minorHAnsi" w:hAnsiTheme="minorHAnsi" w:cs="Times New Roman"/>
          <w:b/>
          <w:sz w:val="22"/>
          <w:szCs w:val="22"/>
          <w:lang w:val="en-US"/>
        </w:rPr>
      </w:pPr>
      <w:bookmarkStart w:id="162" w:name="_Toc241658904"/>
      <w:bookmarkStart w:id="163" w:name="_Toc242584776"/>
      <w:bookmarkStart w:id="164" w:name="_Toc242697412"/>
      <w:bookmarkStart w:id="165" w:name="_Toc242697647"/>
      <w:bookmarkStart w:id="166" w:name="_Toc245187884"/>
      <w:bookmarkStart w:id="167" w:name="_Toc269658928"/>
      <w:r w:rsidRPr="00337C97">
        <w:rPr>
          <w:rFonts w:asciiTheme="minorHAnsi" w:hAnsiTheme="minorHAnsi" w:cs="Times New Roman"/>
          <w:b/>
          <w:sz w:val="22"/>
          <w:szCs w:val="22"/>
          <w:lang w:val="en-US"/>
        </w:rPr>
        <w:t>3.</w:t>
      </w:r>
      <w:r w:rsidR="009D588E" w:rsidRPr="00337C97">
        <w:rPr>
          <w:rFonts w:asciiTheme="minorHAnsi" w:hAnsiTheme="minorHAnsi" w:cs="Times New Roman"/>
          <w:b/>
          <w:sz w:val="22"/>
          <w:szCs w:val="22"/>
          <w:lang w:val="en-US"/>
        </w:rPr>
        <w:t>3</w:t>
      </w:r>
      <w:r w:rsidRPr="00337C97">
        <w:rPr>
          <w:rFonts w:asciiTheme="minorHAnsi" w:hAnsiTheme="minorHAnsi" w:cs="Times New Roman"/>
          <w:b/>
          <w:sz w:val="22"/>
          <w:szCs w:val="22"/>
          <w:lang w:val="en-US"/>
        </w:rPr>
        <w:tab/>
        <w:t>Agency theory</w:t>
      </w:r>
      <w:bookmarkEnd w:id="162"/>
      <w:bookmarkEnd w:id="163"/>
      <w:bookmarkEnd w:id="164"/>
      <w:bookmarkEnd w:id="165"/>
      <w:bookmarkEnd w:id="166"/>
      <w:bookmarkEnd w:id="167"/>
    </w:p>
    <w:p w:rsidR="00997816" w:rsidRPr="00337C97" w:rsidRDefault="00BC7EEF" w:rsidP="00BC7EE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To study the process of contracting</w:t>
      </w:r>
      <w:r w:rsidR="00A05582" w:rsidRPr="00337C97">
        <w:rPr>
          <w:rFonts w:asciiTheme="minorHAnsi" w:hAnsiTheme="minorHAnsi" w:cs="Times New Roman"/>
          <w:sz w:val="22"/>
          <w:szCs w:val="22"/>
          <w:lang w:val="en-US"/>
        </w:rPr>
        <w:t xml:space="preserve"> (as emphasized by the PAT)</w:t>
      </w:r>
      <w:r w:rsidRPr="00337C97">
        <w:rPr>
          <w:rFonts w:asciiTheme="minorHAnsi" w:hAnsiTheme="minorHAnsi" w:cs="Times New Roman"/>
          <w:sz w:val="22"/>
          <w:szCs w:val="22"/>
          <w:lang w:val="en-US"/>
        </w:rPr>
        <w:t xml:space="preserve"> the agency theory is very useful. The agency theory models the process of contracting between two or more persons (Scott, 2006, p. 259). The theory was first developed by Jensen and Meckling (1976) and pro</w:t>
      </w:r>
      <w:r w:rsidR="00861CF0" w:rsidRPr="00337C97">
        <w:rPr>
          <w:rFonts w:asciiTheme="minorHAnsi" w:hAnsiTheme="minorHAnsi" w:cs="Times New Roman"/>
          <w:sz w:val="22"/>
          <w:szCs w:val="22"/>
          <w:lang w:val="en-US"/>
        </w:rPr>
        <w:t>pose</w:t>
      </w:r>
      <w:r w:rsidR="001C7CDB" w:rsidRPr="00337C97">
        <w:rPr>
          <w:rFonts w:asciiTheme="minorHAnsi" w:hAnsiTheme="minorHAnsi" w:cs="Times New Roman"/>
          <w:sz w:val="22"/>
          <w:szCs w:val="22"/>
          <w:lang w:val="en-US"/>
        </w:rPr>
        <w:t>s</w:t>
      </w:r>
      <w:r w:rsidR="00861CF0" w:rsidRPr="00337C97">
        <w:rPr>
          <w:rFonts w:asciiTheme="minorHAnsi" w:hAnsiTheme="minorHAnsi" w:cs="Times New Roman"/>
          <w:sz w:val="22"/>
          <w:szCs w:val="22"/>
          <w:lang w:val="en-US"/>
        </w:rPr>
        <w:t xml:space="preserve"> that within the joint stock company the interests of managers diverge from those of the owners</w:t>
      </w:r>
      <w:r w:rsidR="008C51D1" w:rsidRPr="00337C97">
        <w:rPr>
          <w:rFonts w:asciiTheme="minorHAnsi" w:hAnsiTheme="minorHAnsi" w:cs="Times New Roman"/>
          <w:sz w:val="22"/>
          <w:szCs w:val="22"/>
          <w:lang w:val="en-US"/>
        </w:rPr>
        <w:t xml:space="preserve">. </w:t>
      </w:r>
      <w:r w:rsidR="00EB423C" w:rsidRPr="00337C97">
        <w:rPr>
          <w:rFonts w:asciiTheme="minorHAnsi" w:hAnsiTheme="minorHAnsi" w:cs="Times New Roman"/>
          <w:sz w:val="22"/>
          <w:szCs w:val="22"/>
          <w:lang w:val="en-US"/>
        </w:rPr>
        <w:t>The principals</w:t>
      </w:r>
      <w:r w:rsidR="00C44A18" w:rsidRPr="00337C97">
        <w:rPr>
          <w:rFonts w:asciiTheme="minorHAnsi" w:hAnsiTheme="minorHAnsi" w:cs="Times New Roman"/>
          <w:sz w:val="22"/>
          <w:szCs w:val="22"/>
          <w:lang w:val="en-US"/>
        </w:rPr>
        <w:t xml:space="preserve"> </w:t>
      </w:r>
      <w:r w:rsidR="008A0C4C" w:rsidRPr="00337C97">
        <w:rPr>
          <w:rFonts w:asciiTheme="minorHAnsi" w:hAnsiTheme="minorHAnsi" w:cs="Times New Roman"/>
          <w:sz w:val="22"/>
          <w:szCs w:val="22"/>
          <w:lang w:val="en-US"/>
        </w:rPr>
        <w:t xml:space="preserve">(owners) </w:t>
      </w:r>
      <w:r w:rsidR="00C44A18" w:rsidRPr="00337C97">
        <w:rPr>
          <w:rFonts w:asciiTheme="minorHAnsi" w:hAnsiTheme="minorHAnsi" w:cs="Times New Roman"/>
          <w:sz w:val="22"/>
          <w:szCs w:val="22"/>
          <w:lang w:val="en-US"/>
        </w:rPr>
        <w:t>will assume that the agent</w:t>
      </w:r>
      <w:r w:rsidR="00EB423C" w:rsidRPr="00337C97">
        <w:rPr>
          <w:rFonts w:asciiTheme="minorHAnsi" w:hAnsiTheme="minorHAnsi" w:cs="Times New Roman"/>
          <w:sz w:val="22"/>
          <w:szCs w:val="22"/>
          <w:lang w:val="en-US"/>
        </w:rPr>
        <w:t>s</w:t>
      </w:r>
      <w:r w:rsidR="00C44A18" w:rsidRPr="00337C97">
        <w:rPr>
          <w:rFonts w:asciiTheme="minorHAnsi" w:hAnsiTheme="minorHAnsi" w:cs="Times New Roman"/>
          <w:sz w:val="22"/>
          <w:szCs w:val="22"/>
          <w:lang w:val="en-US"/>
        </w:rPr>
        <w:t xml:space="preserve"> </w:t>
      </w:r>
      <w:r w:rsidR="008A0C4C" w:rsidRPr="00337C97">
        <w:rPr>
          <w:rFonts w:asciiTheme="minorHAnsi" w:hAnsiTheme="minorHAnsi" w:cs="Times New Roman"/>
          <w:sz w:val="22"/>
          <w:szCs w:val="22"/>
          <w:lang w:val="en-US"/>
        </w:rPr>
        <w:t xml:space="preserve">(managers) </w:t>
      </w:r>
      <w:r w:rsidR="00C44A18" w:rsidRPr="00337C97">
        <w:rPr>
          <w:rFonts w:asciiTheme="minorHAnsi" w:hAnsiTheme="minorHAnsi" w:cs="Times New Roman"/>
          <w:sz w:val="22"/>
          <w:szCs w:val="22"/>
          <w:lang w:val="en-US"/>
        </w:rPr>
        <w:t>will be driven by self-inter</w:t>
      </w:r>
      <w:r w:rsidR="008C51D1" w:rsidRPr="00337C97">
        <w:rPr>
          <w:rFonts w:asciiTheme="minorHAnsi" w:hAnsiTheme="minorHAnsi" w:cs="Times New Roman"/>
          <w:sz w:val="22"/>
          <w:szCs w:val="22"/>
          <w:lang w:val="en-US"/>
        </w:rPr>
        <w:t>est. T</w:t>
      </w:r>
      <w:r w:rsidR="00EB423C" w:rsidRPr="00337C97">
        <w:rPr>
          <w:rFonts w:asciiTheme="minorHAnsi" w:hAnsiTheme="minorHAnsi" w:cs="Times New Roman"/>
          <w:sz w:val="22"/>
          <w:szCs w:val="22"/>
          <w:lang w:val="en-US"/>
        </w:rPr>
        <w:t>herefore the principals</w:t>
      </w:r>
      <w:r w:rsidR="00C44A18" w:rsidRPr="00337C97">
        <w:rPr>
          <w:rFonts w:asciiTheme="minorHAnsi" w:hAnsiTheme="minorHAnsi" w:cs="Times New Roman"/>
          <w:sz w:val="22"/>
          <w:szCs w:val="22"/>
          <w:lang w:val="en-US"/>
        </w:rPr>
        <w:t xml:space="preserve"> will anticipate that the </w:t>
      </w:r>
      <w:r w:rsidR="00EB423C" w:rsidRPr="00337C97">
        <w:rPr>
          <w:rFonts w:asciiTheme="minorHAnsi" w:hAnsiTheme="minorHAnsi" w:cs="Times New Roman"/>
          <w:sz w:val="22"/>
          <w:szCs w:val="22"/>
          <w:lang w:val="en-US"/>
        </w:rPr>
        <w:t>agents</w:t>
      </w:r>
      <w:r w:rsidR="00C44A18" w:rsidRPr="00337C97">
        <w:rPr>
          <w:rFonts w:asciiTheme="minorHAnsi" w:hAnsiTheme="minorHAnsi" w:cs="Times New Roman"/>
          <w:sz w:val="22"/>
          <w:szCs w:val="22"/>
          <w:lang w:val="en-US"/>
        </w:rPr>
        <w:t xml:space="preserve"> will undertake self-serving activities that could be detrimental to the economic welfare of the principals (Deegan and Unerman, 2006, p. 213-214). </w:t>
      </w:r>
      <w:r w:rsidR="00997816" w:rsidRPr="00337C97">
        <w:rPr>
          <w:rFonts w:asciiTheme="minorHAnsi" w:hAnsiTheme="minorHAnsi" w:cs="Times New Roman"/>
          <w:sz w:val="22"/>
          <w:szCs w:val="22"/>
          <w:lang w:val="en-US"/>
        </w:rPr>
        <w:t xml:space="preserve">In this research, the principals </w:t>
      </w:r>
      <w:r w:rsidR="00A05582" w:rsidRPr="00337C97">
        <w:rPr>
          <w:rFonts w:asciiTheme="minorHAnsi" w:hAnsiTheme="minorHAnsi" w:cs="Times New Roman"/>
          <w:sz w:val="22"/>
          <w:szCs w:val="22"/>
          <w:lang w:val="en-US"/>
        </w:rPr>
        <w:t>can be defined as the shareholders and/or users of the financial statements and the agents are the managers of</w:t>
      </w:r>
      <w:r w:rsidR="00997816" w:rsidRPr="00337C97">
        <w:rPr>
          <w:rFonts w:asciiTheme="minorHAnsi" w:hAnsiTheme="minorHAnsi" w:cs="Times New Roman"/>
          <w:sz w:val="22"/>
          <w:szCs w:val="22"/>
          <w:lang w:val="en-US"/>
        </w:rPr>
        <w:t xml:space="preserve"> the </w:t>
      </w:r>
      <w:r w:rsidR="00991B11" w:rsidRPr="00337C97">
        <w:rPr>
          <w:rFonts w:asciiTheme="minorHAnsi" w:hAnsiTheme="minorHAnsi" w:cs="Times New Roman"/>
          <w:sz w:val="22"/>
          <w:szCs w:val="22"/>
          <w:lang w:val="en-US"/>
        </w:rPr>
        <w:t>banks.</w:t>
      </w:r>
    </w:p>
    <w:p w:rsidR="00991B11" w:rsidRPr="00337C97" w:rsidRDefault="008A0C4C" w:rsidP="00991B11">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According to Prat (2005</w:t>
      </w:r>
      <w:r w:rsidR="005307F9" w:rsidRPr="00337C97">
        <w:rPr>
          <w:rFonts w:asciiTheme="minorHAnsi" w:hAnsiTheme="minorHAnsi" w:cs="Times New Roman"/>
          <w:sz w:val="22"/>
          <w:szCs w:val="22"/>
          <w:lang w:val="en-US"/>
        </w:rPr>
        <w:t>, p. 862</w:t>
      </w:r>
      <w:r w:rsidRPr="00337C97">
        <w:rPr>
          <w:rFonts w:asciiTheme="minorHAnsi" w:hAnsiTheme="minorHAnsi" w:cs="Times New Roman"/>
          <w:sz w:val="22"/>
          <w:szCs w:val="22"/>
          <w:lang w:val="en-US"/>
        </w:rPr>
        <w:t>)</w:t>
      </w:r>
      <w:r w:rsidR="00C25292"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there is a widespread </w:t>
      </w:r>
      <w:r w:rsidR="00783973" w:rsidRPr="00337C97">
        <w:rPr>
          <w:rFonts w:asciiTheme="minorHAnsi" w:hAnsiTheme="minorHAnsi" w:cs="Times New Roman"/>
          <w:sz w:val="22"/>
          <w:szCs w:val="22"/>
          <w:lang w:val="en-US"/>
        </w:rPr>
        <w:t>consensus</w:t>
      </w:r>
      <w:r w:rsidRPr="00337C97">
        <w:rPr>
          <w:rFonts w:asciiTheme="minorHAnsi" w:hAnsiTheme="minorHAnsi" w:cs="Times New Roman"/>
          <w:sz w:val="22"/>
          <w:szCs w:val="22"/>
          <w:lang w:val="en-US"/>
        </w:rPr>
        <w:t xml:space="preserve"> that </w:t>
      </w:r>
      <w:r w:rsidR="00221622" w:rsidRPr="00337C97">
        <w:rPr>
          <w:rFonts w:asciiTheme="minorHAnsi" w:hAnsiTheme="minorHAnsi" w:cs="Times New Roman"/>
          <w:sz w:val="22"/>
          <w:szCs w:val="22"/>
          <w:lang w:val="en-US"/>
        </w:rPr>
        <w:t>principal-agent</w:t>
      </w:r>
      <w:r w:rsidRPr="00337C97">
        <w:rPr>
          <w:rFonts w:asciiTheme="minorHAnsi" w:hAnsiTheme="minorHAnsi" w:cs="Times New Roman"/>
          <w:sz w:val="22"/>
          <w:szCs w:val="22"/>
          <w:lang w:val="en-US"/>
        </w:rPr>
        <w:t xml:space="preserve"> relationships should be transparent as possible. </w:t>
      </w:r>
      <w:r w:rsidR="004A1595" w:rsidRPr="00337C97">
        <w:rPr>
          <w:rFonts w:asciiTheme="minorHAnsi" w:hAnsiTheme="minorHAnsi" w:cs="Times New Roman"/>
          <w:sz w:val="22"/>
          <w:szCs w:val="22"/>
          <w:lang w:val="en-US"/>
        </w:rPr>
        <w:t>If agency relationships are not transparent, some parties have an information advantage over others, which i</w:t>
      </w:r>
      <w:r w:rsidR="00E91F95" w:rsidRPr="00337C97">
        <w:rPr>
          <w:rFonts w:asciiTheme="minorHAnsi" w:hAnsiTheme="minorHAnsi" w:cs="Times New Roman"/>
          <w:sz w:val="22"/>
          <w:szCs w:val="22"/>
          <w:lang w:val="en-US"/>
        </w:rPr>
        <w:t xml:space="preserve">s called information asymmetry. This is caused by the position of the agents within the firm where they will have access to information not available to the principals (Deegan and Unerman, 2006, p. 224). </w:t>
      </w:r>
      <w:r w:rsidR="004A1595" w:rsidRPr="00337C97">
        <w:rPr>
          <w:rFonts w:asciiTheme="minorHAnsi" w:hAnsiTheme="minorHAnsi" w:cs="Times New Roman"/>
          <w:sz w:val="22"/>
          <w:szCs w:val="22"/>
          <w:lang w:val="en-US"/>
        </w:rPr>
        <w:t xml:space="preserve">This information asymmetry between the agent and the principal </w:t>
      </w:r>
      <w:r w:rsidR="00991B11" w:rsidRPr="00337C97">
        <w:rPr>
          <w:rFonts w:asciiTheme="minorHAnsi" w:hAnsiTheme="minorHAnsi" w:cs="Times New Roman"/>
          <w:sz w:val="22"/>
          <w:szCs w:val="22"/>
          <w:lang w:val="en-US"/>
        </w:rPr>
        <w:t xml:space="preserve">can be effectively mitigated if the firm is able to provide better levels of transparency and disclosure (Chen et al., 2007, p. 658). </w:t>
      </w:r>
      <w:r w:rsidR="00081B4A" w:rsidRPr="00337C97">
        <w:rPr>
          <w:rFonts w:asciiTheme="minorHAnsi" w:hAnsiTheme="minorHAnsi" w:cs="Times New Roman"/>
          <w:sz w:val="22"/>
          <w:szCs w:val="22"/>
          <w:lang w:val="en-US"/>
        </w:rPr>
        <w:t>In this theoretical framework, t</w:t>
      </w:r>
      <w:r w:rsidR="00991B11" w:rsidRPr="00337C97">
        <w:rPr>
          <w:rFonts w:asciiTheme="minorHAnsi" w:hAnsiTheme="minorHAnsi" w:cs="Times New Roman"/>
          <w:sz w:val="22"/>
          <w:szCs w:val="22"/>
          <w:lang w:val="en-US"/>
        </w:rPr>
        <w:t>ransparency is defined as “</w:t>
      </w:r>
      <w:r w:rsidR="00991B11" w:rsidRPr="00337C97">
        <w:rPr>
          <w:rFonts w:asciiTheme="minorHAnsi" w:hAnsiTheme="minorHAnsi" w:cs="Times New Roman"/>
          <w:i/>
          <w:sz w:val="22"/>
          <w:szCs w:val="22"/>
          <w:lang w:val="en-US"/>
        </w:rPr>
        <w:t xml:space="preserve">the ability of the principal to observe how the agent behaves and the consequences of the agent’s </w:t>
      </w:r>
      <w:r w:rsidR="000A061E" w:rsidRPr="00337C97">
        <w:rPr>
          <w:rFonts w:asciiTheme="minorHAnsi" w:hAnsiTheme="minorHAnsi" w:cs="Times New Roman"/>
          <w:i/>
          <w:sz w:val="22"/>
          <w:szCs w:val="22"/>
          <w:lang w:val="en-US"/>
        </w:rPr>
        <w:t>behavior</w:t>
      </w:r>
      <w:r w:rsidR="00991B11" w:rsidRPr="00337C97">
        <w:rPr>
          <w:rFonts w:asciiTheme="minorHAnsi" w:hAnsiTheme="minorHAnsi" w:cs="Times New Roman"/>
          <w:sz w:val="22"/>
          <w:szCs w:val="22"/>
          <w:lang w:val="en-US"/>
        </w:rPr>
        <w:t>” (Prat, 2005, p. 862). Prat argues that transparency improves accountability, which in turn aligns the interests of the agent with the interests of the principal.</w:t>
      </w:r>
    </w:p>
    <w:p w:rsidR="00B679C2" w:rsidRPr="00337C97" w:rsidRDefault="00B679C2" w:rsidP="00B679C2">
      <w:pPr>
        <w:spacing w:line="360" w:lineRule="auto"/>
        <w:rPr>
          <w:rFonts w:asciiTheme="minorHAnsi" w:hAnsiTheme="minorHAnsi" w:cs="Times New Roman"/>
          <w:sz w:val="22"/>
          <w:szCs w:val="22"/>
          <w:lang w:val="en-US"/>
        </w:rPr>
      </w:pPr>
    </w:p>
    <w:p w:rsidR="00B51A7B" w:rsidRPr="00337C97" w:rsidRDefault="009272D2" w:rsidP="00F358E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Related to the banking sector, Linsley and Shrives (2005</w:t>
      </w:r>
      <w:r w:rsidR="00074637"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 p. 206) argue that the importance of transparency is that if relevant information is </w:t>
      </w:r>
      <w:r w:rsidR="00B679C2" w:rsidRPr="00337C97">
        <w:rPr>
          <w:rFonts w:asciiTheme="minorHAnsi" w:hAnsiTheme="minorHAnsi" w:cs="Times New Roman"/>
          <w:sz w:val="22"/>
          <w:szCs w:val="22"/>
          <w:lang w:val="en-US"/>
        </w:rPr>
        <w:t>released</w:t>
      </w:r>
      <w:r w:rsidRPr="00337C97">
        <w:rPr>
          <w:rFonts w:asciiTheme="minorHAnsi" w:hAnsiTheme="minorHAnsi" w:cs="Times New Roman"/>
          <w:sz w:val="22"/>
          <w:szCs w:val="22"/>
          <w:lang w:val="en-US"/>
        </w:rPr>
        <w:t xml:space="preserve"> into the public domain</w:t>
      </w:r>
      <w:r w:rsidR="003517C9"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then participants in the market</w:t>
      </w:r>
      <w:r w:rsidR="00B679C2" w:rsidRPr="00337C97">
        <w:rPr>
          <w:rFonts w:asciiTheme="minorHAnsi" w:hAnsiTheme="minorHAnsi" w:cs="Times New Roman"/>
          <w:sz w:val="22"/>
          <w:szCs w:val="22"/>
          <w:lang w:val="en-US"/>
        </w:rPr>
        <w:t xml:space="preserve">place can sanction banks whose financial condition or risk profile is considered unsatisfactory. On the contrary, banks whose financial condition or risk profile indicates that they are well managed can benefit from disclosing appropriate information </w:t>
      </w:r>
      <w:r w:rsidR="0001358F" w:rsidRPr="00337C97">
        <w:rPr>
          <w:rFonts w:asciiTheme="minorHAnsi" w:hAnsiTheme="minorHAnsi" w:cs="Times New Roman"/>
          <w:sz w:val="22"/>
          <w:szCs w:val="22"/>
          <w:lang w:val="en-US"/>
        </w:rPr>
        <w:t>since</w:t>
      </w:r>
      <w:r w:rsidR="00B679C2" w:rsidRPr="00337C97">
        <w:rPr>
          <w:rFonts w:asciiTheme="minorHAnsi" w:hAnsiTheme="minorHAnsi" w:cs="Times New Roman"/>
          <w:sz w:val="22"/>
          <w:szCs w:val="22"/>
          <w:lang w:val="en-US"/>
        </w:rPr>
        <w:t xml:space="preserve"> the market’s disciplining mechanism can offer incentives </w:t>
      </w:r>
      <w:r w:rsidR="00554252" w:rsidRPr="00337C97">
        <w:rPr>
          <w:rFonts w:asciiTheme="minorHAnsi" w:hAnsiTheme="minorHAnsi" w:cs="Times New Roman"/>
          <w:sz w:val="22"/>
          <w:szCs w:val="22"/>
          <w:lang w:val="en-US"/>
        </w:rPr>
        <w:t>as well as sanctions.</w:t>
      </w:r>
    </w:p>
    <w:p w:rsidR="00B51A7B" w:rsidRPr="00337C97" w:rsidRDefault="00B51A7B" w:rsidP="00F358EB">
      <w:pPr>
        <w:spacing w:line="360" w:lineRule="auto"/>
        <w:jc w:val="both"/>
        <w:rPr>
          <w:rFonts w:asciiTheme="minorHAnsi" w:hAnsiTheme="minorHAnsi" w:cs="Times New Roman"/>
          <w:sz w:val="22"/>
          <w:szCs w:val="22"/>
          <w:lang w:val="en-US"/>
        </w:rPr>
      </w:pPr>
    </w:p>
    <w:p w:rsidR="00F4400A" w:rsidRPr="00337C97" w:rsidRDefault="00F4400A" w:rsidP="0060646F">
      <w:pPr>
        <w:spacing w:line="360" w:lineRule="auto"/>
        <w:jc w:val="both"/>
        <w:outlineLvl w:val="1"/>
        <w:rPr>
          <w:rFonts w:asciiTheme="minorHAnsi" w:hAnsiTheme="minorHAnsi" w:cs="Times New Roman"/>
          <w:sz w:val="22"/>
          <w:szCs w:val="22"/>
          <w:lang w:val="en-US"/>
        </w:rPr>
      </w:pPr>
      <w:bookmarkStart w:id="168" w:name="_Toc242697413"/>
      <w:bookmarkStart w:id="169" w:name="_Toc242697648"/>
      <w:bookmarkStart w:id="170" w:name="_Toc245187885"/>
      <w:bookmarkStart w:id="171" w:name="_Toc269658929"/>
      <w:r w:rsidRPr="00337C97">
        <w:rPr>
          <w:rFonts w:asciiTheme="minorHAnsi" w:hAnsiTheme="minorHAnsi" w:cs="Times New Roman"/>
          <w:b/>
          <w:sz w:val="22"/>
          <w:szCs w:val="22"/>
          <w:lang w:val="en-US"/>
        </w:rPr>
        <w:t>3.4</w:t>
      </w:r>
      <w:r w:rsidRPr="00337C97">
        <w:rPr>
          <w:rFonts w:asciiTheme="minorHAnsi" w:hAnsiTheme="minorHAnsi" w:cs="Times New Roman"/>
          <w:b/>
          <w:sz w:val="22"/>
          <w:szCs w:val="22"/>
          <w:lang w:val="en-US"/>
        </w:rPr>
        <w:tab/>
        <w:t>Stakeholder theory</w:t>
      </w:r>
      <w:bookmarkEnd w:id="168"/>
      <w:bookmarkEnd w:id="169"/>
      <w:bookmarkEnd w:id="170"/>
      <w:bookmarkEnd w:id="171"/>
    </w:p>
    <w:p w:rsidR="00D866E5" w:rsidRPr="00337C97" w:rsidRDefault="00245FFC" w:rsidP="00F358E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Another positive theory</w:t>
      </w:r>
      <w:r w:rsidR="009C27BE" w:rsidRPr="00337C97">
        <w:rPr>
          <w:rStyle w:val="Voetnootmarkering"/>
          <w:rFonts w:asciiTheme="minorHAnsi" w:hAnsiTheme="minorHAnsi" w:cs="Times New Roman"/>
          <w:sz w:val="22"/>
          <w:szCs w:val="22"/>
          <w:lang w:val="en-US"/>
        </w:rPr>
        <w:footnoteReference w:id="3"/>
      </w:r>
      <w:r w:rsidRPr="00337C97">
        <w:rPr>
          <w:rFonts w:asciiTheme="minorHAnsi" w:hAnsiTheme="minorHAnsi" w:cs="Times New Roman"/>
          <w:sz w:val="22"/>
          <w:szCs w:val="22"/>
          <w:lang w:val="en-US"/>
        </w:rPr>
        <w:t xml:space="preserve"> is the stakeholder theory. This theory </w:t>
      </w:r>
      <w:r w:rsidR="00F4400A" w:rsidRPr="00337C97">
        <w:rPr>
          <w:rFonts w:asciiTheme="minorHAnsi" w:hAnsiTheme="minorHAnsi" w:cs="Times New Roman"/>
          <w:sz w:val="22"/>
          <w:szCs w:val="22"/>
          <w:lang w:val="en-US"/>
        </w:rPr>
        <w:t>provides alternative explanations (alternative to PAT) about what drives an organization</w:t>
      </w:r>
      <w:r w:rsidRPr="00337C97">
        <w:rPr>
          <w:rFonts w:asciiTheme="minorHAnsi" w:hAnsiTheme="minorHAnsi" w:cs="Times New Roman"/>
          <w:sz w:val="22"/>
          <w:szCs w:val="22"/>
          <w:lang w:val="en-US"/>
        </w:rPr>
        <w:t xml:space="preserve"> to make particular disclosures (Deegan and Unerman (2006, p. 258). </w:t>
      </w:r>
      <w:r w:rsidR="0064369C" w:rsidRPr="00337C97">
        <w:rPr>
          <w:rFonts w:asciiTheme="minorHAnsi" w:hAnsiTheme="minorHAnsi" w:cs="Times New Roman"/>
          <w:sz w:val="22"/>
          <w:szCs w:val="22"/>
          <w:lang w:val="en-US"/>
        </w:rPr>
        <w:t>Furthermore</w:t>
      </w:r>
      <w:r w:rsidRPr="00337C97">
        <w:rPr>
          <w:rFonts w:asciiTheme="minorHAnsi" w:hAnsiTheme="minorHAnsi" w:cs="Times New Roman"/>
          <w:sz w:val="22"/>
          <w:szCs w:val="22"/>
          <w:lang w:val="en-US"/>
        </w:rPr>
        <w:t>, this theory is strong in explaining the interrelatedness of a company and its stakeholders and has been used in mu</w:t>
      </w:r>
      <w:r w:rsidR="00A5751C" w:rsidRPr="00337C97">
        <w:rPr>
          <w:rFonts w:asciiTheme="minorHAnsi" w:hAnsiTheme="minorHAnsi" w:cs="Times New Roman"/>
          <w:sz w:val="22"/>
          <w:szCs w:val="22"/>
          <w:lang w:val="en-US"/>
        </w:rPr>
        <w:t>ltiple other disclosure studies</w:t>
      </w:r>
      <w:r w:rsidRPr="00337C97">
        <w:rPr>
          <w:rFonts w:asciiTheme="minorHAnsi" w:hAnsiTheme="minorHAnsi" w:cs="Times New Roman"/>
          <w:sz w:val="22"/>
          <w:szCs w:val="22"/>
          <w:lang w:val="en-US"/>
        </w:rPr>
        <w:t xml:space="preserve"> </w:t>
      </w:r>
      <w:r w:rsidR="00A5751C" w:rsidRPr="00337C97">
        <w:rPr>
          <w:rFonts w:asciiTheme="minorHAnsi" w:hAnsiTheme="minorHAnsi" w:cs="Times New Roman"/>
          <w:sz w:val="22"/>
          <w:szCs w:val="22"/>
          <w:lang w:val="en-US"/>
        </w:rPr>
        <w:t>(Amran et al. (2009, p. 44).</w:t>
      </w:r>
      <w:r w:rsidR="00D866E5" w:rsidRPr="00337C97">
        <w:rPr>
          <w:rFonts w:asciiTheme="minorHAnsi" w:hAnsiTheme="minorHAnsi" w:cs="Times New Roman"/>
          <w:sz w:val="22"/>
          <w:szCs w:val="22"/>
          <w:lang w:val="en-US"/>
        </w:rPr>
        <w:t xml:space="preserve"> </w:t>
      </w:r>
      <w:r w:rsidR="00906FC0" w:rsidRPr="00337C97">
        <w:rPr>
          <w:rFonts w:asciiTheme="minorHAnsi" w:hAnsiTheme="minorHAnsi" w:cs="Times New Roman"/>
          <w:sz w:val="22"/>
          <w:szCs w:val="22"/>
          <w:lang w:val="en-US"/>
        </w:rPr>
        <w:t>Developed by Freeman, a stakeholder is defined as “</w:t>
      </w:r>
      <w:r w:rsidR="00BB14E0" w:rsidRPr="00337C97">
        <w:rPr>
          <w:rFonts w:asciiTheme="minorHAnsi" w:hAnsiTheme="minorHAnsi" w:cs="Times New Roman"/>
          <w:i/>
          <w:sz w:val="22"/>
          <w:szCs w:val="22"/>
          <w:lang w:val="en-US"/>
        </w:rPr>
        <w:t xml:space="preserve">(…) </w:t>
      </w:r>
      <w:r w:rsidR="00906FC0" w:rsidRPr="00337C97">
        <w:rPr>
          <w:rFonts w:asciiTheme="minorHAnsi" w:hAnsiTheme="minorHAnsi" w:cs="Times New Roman"/>
          <w:i/>
          <w:sz w:val="22"/>
          <w:szCs w:val="22"/>
          <w:lang w:val="en-US"/>
        </w:rPr>
        <w:t>any group or individual who can affect or is affected by the achievements of an organisation’s objectives</w:t>
      </w:r>
      <w:r w:rsidR="00906FC0" w:rsidRPr="00337C97">
        <w:rPr>
          <w:rFonts w:asciiTheme="minorHAnsi" w:hAnsiTheme="minorHAnsi" w:cs="Times New Roman"/>
          <w:sz w:val="22"/>
          <w:szCs w:val="22"/>
          <w:lang w:val="en-US"/>
        </w:rPr>
        <w:t xml:space="preserve">” (Freeman, 1984, p. 46). </w:t>
      </w:r>
    </w:p>
    <w:p w:rsidR="00D866E5" w:rsidRPr="00337C97" w:rsidRDefault="00D866E5" w:rsidP="00F358EB">
      <w:pPr>
        <w:spacing w:line="360" w:lineRule="auto"/>
        <w:jc w:val="both"/>
        <w:rPr>
          <w:rFonts w:asciiTheme="minorHAnsi" w:hAnsiTheme="minorHAnsi" w:cs="Times New Roman"/>
          <w:sz w:val="22"/>
          <w:szCs w:val="22"/>
          <w:lang w:val="en-US"/>
        </w:rPr>
      </w:pPr>
    </w:p>
    <w:p w:rsidR="00245FFC" w:rsidRDefault="00245FFC" w:rsidP="00F358E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Essentially, stakeholder theory is about the dynamic and complex relationship between the org</w:t>
      </w:r>
      <w:r w:rsidR="00AF2542" w:rsidRPr="00337C97">
        <w:rPr>
          <w:rFonts w:asciiTheme="minorHAnsi" w:hAnsiTheme="minorHAnsi" w:cs="Times New Roman"/>
          <w:sz w:val="22"/>
          <w:szCs w:val="22"/>
          <w:lang w:val="en-US"/>
        </w:rPr>
        <w:t>anization and its surroundings (Amran et al., 2009, p. 44). The organization is considered to be part of a wider social system.</w:t>
      </w:r>
      <w:r w:rsidR="005C4AC2" w:rsidRPr="00337C97">
        <w:rPr>
          <w:rFonts w:asciiTheme="minorHAnsi" w:hAnsiTheme="minorHAnsi" w:cs="Times New Roman"/>
          <w:sz w:val="22"/>
          <w:szCs w:val="22"/>
          <w:lang w:val="en-US"/>
        </w:rPr>
        <w:t xml:space="preserve"> Moreover, it is assumed that the expectations of the various stakeholder groups will impact on the operating and disclosure policies of the organization. </w:t>
      </w:r>
      <w:r w:rsidR="00E0482D" w:rsidRPr="00337C97">
        <w:rPr>
          <w:rFonts w:asciiTheme="minorHAnsi" w:hAnsiTheme="minorHAnsi" w:cs="Times New Roman"/>
          <w:sz w:val="22"/>
          <w:szCs w:val="22"/>
          <w:lang w:val="en-US"/>
        </w:rPr>
        <w:t>The organization will not respond to all stakeholders equally, but rather, will respond to those that are deemed to be powerful</w:t>
      </w:r>
      <w:r w:rsidR="0060646F" w:rsidRPr="00337C97">
        <w:rPr>
          <w:rFonts w:asciiTheme="minorHAnsi" w:hAnsiTheme="minorHAnsi" w:cs="Times New Roman"/>
          <w:sz w:val="22"/>
          <w:szCs w:val="22"/>
          <w:lang w:val="en-US"/>
        </w:rPr>
        <w:t xml:space="preserve"> (Deegan and Unerman, 2006, p. 289).</w:t>
      </w:r>
      <w:r w:rsidR="0036305B" w:rsidRPr="00337C97">
        <w:rPr>
          <w:rFonts w:asciiTheme="minorHAnsi" w:hAnsiTheme="minorHAnsi" w:cs="Times New Roman"/>
          <w:sz w:val="22"/>
          <w:szCs w:val="22"/>
          <w:lang w:val="en-US"/>
        </w:rPr>
        <w:t xml:space="preserve"> </w:t>
      </w:r>
      <w:r w:rsidR="0060646F" w:rsidRPr="00337C97">
        <w:rPr>
          <w:rFonts w:asciiTheme="minorHAnsi" w:hAnsiTheme="minorHAnsi" w:cs="Times New Roman"/>
          <w:sz w:val="22"/>
          <w:szCs w:val="22"/>
          <w:lang w:val="en-US"/>
        </w:rPr>
        <w:t xml:space="preserve">As a result, the organization will tend to satisfy the information demands of those stakeholders who are important to the organization’s </w:t>
      </w:r>
      <w:r w:rsidR="0060646F" w:rsidRPr="00337C97">
        <w:rPr>
          <w:rFonts w:asciiTheme="minorHAnsi" w:hAnsiTheme="minorHAnsi" w:cs="Times New Roman"/>
          <w:sz w:val="22"/>
          <w:szCs w:val="22"/>
          <w:lang w:val="en-US"/>
        </w:rPr>
        <w:lastRenderedPageBreak/>
        <w:t>ongoing survival. The disclosure of information is considered to represent an important strategy in managing stakeholders (Deegan and Unerman, 2006, 299).</w:t>
      </w:r>
      <w:r w:rsidR="00D866E5" w:rsidRPr="00337C97">
        <w:rPr>
          <w:rFonts w:asciiTheme="minorHAnsi" w:hAnsiTheme="minorHAnsi" w:cs="Times New Roman"/>
          <w:sz w:val="22"/>
          <w:szCs w:val="22"/>
          <w:lang w:val="en-US"/>
        </w:rPr>
        <w:t xml:space="preserve"> For example, </w:t>
      </w:r>
      <w:r w:rsidR="00CB2C11" w:rsidRPr="00337C97">
        <w:rPr>
          <w:rFonts w:asciiTheme="minorHAnsi" w:hAnsiTheme="minorHAnsi" w:cs="Times New Roman"/>
          <w:sz w:val="22"/>
          <w:szCs w:val="22"/>
          <w:lang w:val="en-US"/>
        </w:rPr>
        <w:t>Linsley and Shrives (2005b, p. 302) point out that the positive relationship between company size and number of disclosures is thought to be hold because larger companies have greater numbers of stakeholders to whom they are accountable and as a consequence, they must provide more information</w:t>
      </w:r>
      <w:r w:rsidR="00C1695D" w:rsidRPr="00337C97">
        <w:rPr>
          <w:rFonts w:asciiTheme="minorHAnsi" w:hAnsiTheme="minorHAnsi" w:cs="Times New Roman"/>
          <w:sz w:val="22"/>
          <w:szCs w:val="22"/>
          <w:lang w:val="en-US"/>
        </w:rPr>
        <w:t>.</w:t>
      </w:r>
      <w:r w:rsidR="00C1695D" w:rsidRPr="00337C97">
        <w:rPr>
          <w:rStyle w:val="Voetnootmarkering"/>
          <w:rFonts w:asciiTheme="minorHAnsi" w:hAnsiTheme="minorHAnsi" w:cs="Times New Roman"/>
          <w:sz w:val="22"/>
          <w:szCs w:val="22"/>
          <w:lang w:val="en-US"/>
        </w:rPr>
        <w:footnoteReference w:id="4"/>
      </w:r>
    </w:p>
    <w:p w:rsidR="00697666" w:rsidRPr="00337C97" w:rsidRDefault="00697666" w:rsidP="00F358EB">
      <w:pPr>
        <w:spacing w:line="360" w:lineRule="auto"/>
        <w:jc w:val="both"/>
        <w:rPr>
          <w:rFonts w:asciiTheme="minorHAnsi" w:hAnsiTheme="minorHAnsi" w:cs="Times New Roman"/>
          <w:sz w:val="22"/>
          <w:szCs w:val="22"/>
          <w:lang w:val="en-US"/>
        </w:rPr>
      </w:pPr>
    </w:p>
    <w:p w:rsidR="002A0C14" w:rsidRPr="00337C97" w:rsidRDefault="00993261" w:rsidP="0070028A">
      <w:pPr>
        <w:spacing w:line="360" w:lineRule="auto"/>
        <w:jc w:val="both"/>
        <w:outlineLvl w:val="1"/>
        <w:rPr>
          <w:rFonts w:asciiTheme="minorHAnsi" w:hAnsiTheme="minorHAnsi" w:cs="Times New Roman"/>
          <w:b/>
          <w:sz w:val="22"/>
          <w:szCs w:val="22"/>
          <w:lang w:val="en-US"/>
        </w:rPr>
      </w:pPr>
      <w:bookmarkStart w:id="172" w:name="_Toc241658905"/>
      <w:bookmarkStart w:id="173" w:name="_Toc242584777"/>
      <w:bookmarkStart w:id="174" w:name="_Toc242697414"/>
      <w:bookmarkStart w:id="175" w:name="_Toc242697649"/>
      <w:bookmarkStart w:id="176" w:name="_Toc245187886"/>
      <w:bookmarkStart w:id="177" w:name="_Toc269658930"/>
      <w:r w:rsidRPr="00337C97">
        <w:rPr>
          <w:rFonts w:asciiTheme="minorHAnsi" w:hAnsiTheme="minorHAnsi" w:cs="Times New Roman"/>
          <w:b/>
          <w:sz w:val="22"/>
          <w:szCs w:val="22"/>
          <w:lang w:val="en-US"/>
        </w:rPr>
        <w:t>3.</w:t>
      </w:r>
      <w:r w:rsidR="0060646F" w:rsidRPr="00337C97">
        <w:rPr>
          <w:rFonts w:asciiTheme="minorHAnsi" w:hAnsiTheme="minorHAnsi" w:cs="Times New Roman"/>
          <w:b/>
          <w:sz w:val="22"/>
          <w:szCs w:val="22"/>
          <w:lang w:val="en-US"/>
        </w:rPr>
        <w:t>5</w:t>
      </w:r>
      <w:r w:rsidRPr="00337C97">
        <w:rPr>
          <w:rFonts w:asciiTheme="minorHAnsi" w:hAnsiTheme="minorHAnsi" w:cs="Times New Roman"/>
          <w:b/>
          <w:sz w:val="22"/>
          <w:szCs w:val="22"/>
          <w:lang w:val="en-US"/>
        </w:rPr>
        <w:tab/>
        <w:t>The role of disclosure</w:t>
      </w:r>
      <w:bookmarkEnd w:id="172"/>
      <w:bookmarkEnd w:id="173"/>
      <w:bookmarkEnd w:id="174"/>
      <w:bookmarkEnd w:id="175"/>
      <w:bookmarkEnd w:id="176"/>
      <w:bookmarkEnd w:id="177"/>
    </w:p>
    <w:p w:rsidR="004A4AEF" w:rsidRPr="00337C97" w:rsidRDefault="004A4AEF" w:rsidP="00F358E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Corporate disclosure is critical for the functioning of an efficient capital market. Firms are providing disclosure through regulated financial reports, including financial statements, footnotes and other regulatory filings. The demand for financial reporting and disclosure arises from information asymmetry and agency conflicts between managers and outside </w:t>
      </w:r>
      <w:r w:rsidR="00C940A1" w:rsidRPr="00337C97">
        <w:rPr>
          <w:rFonts w:asciiTheme="minorHAnsi" w:hAnsiTheme="minorHAnsi" w:cs="Times New Roman"/>
          <w:sz w:val="22"/>
          <w:szCs w:val="22"/>
          <w:lang w:val="en-US"/>
        </w:rPr>
        <w:t>shareholders</w:t>
      </w:r>
      <w:r w:rsidRPr="00337C97">
        <w:rPr>
          <w:rFonts w:asciiTheme="minorHAnsi" w:hAnsiTheme="minorHAnsi" w:cs="Times New Roman"/>
          <w:sz w:val="22"/>
          <w:szCs w:val="22"/>
          <w:lang w:val="en-US"/>
        </w:rPr>
        <w:t xml:space="preserve">. </w:t>
      </w:r>
      <w:r w:rsidR="00E625E1" w:rsidRPr="00337C97">
        <w:rPr>
          <w:rFonts w:asciiTheme="minorHAnsi" w:hAnsiTheme="minorHAnsi" w:cs="Times New Roman"/>
          <w:sz w:val="22"/>
          <w:szCs w:val="22"/>
          <w:lang w:val="en-US"/>
        </w:rPr>
        <w:t xml:space="preserve">The disclosure of relevant information enables </w:t>
      </w:r>
      <w:r w:rsidR="00C940A1" w:rsidRPr="00337C97">
        <w:rPr>
          <w:rFonts w:asciiTheme="minorHAnsi" w:hAnsiTheme="minorHAnsi" w:cs="Times New Roman"/>
          <w:sz w:val="22"/>
          <w:szCs w:val="22"/>
          <w:lang w:val="en-US"/>
        </w:rPr>
        <w:t xml:space="preserve">shareholders </w:t>
      </w:r>
      <w:r w:rsidR="00E625E1" w:rsidRPr="00337C97">
        <w:rPr>
          <w:rFonts w:asciiTheme="minorHAnsi" w:hAnsiTheme="minorHAnsi" w:cs="Times New Roman"/>
          <w:sz w:val="22"/>
          <w:szCs w:val="22"/>
          <w:lang w:val="en-US"/>
        </w:rPr>
        <w:t>to evaluate the performance of the managers (Healy and Palepu, 2001, p. 406, 412).</w:t>
      </w:r>
      <w:r w:rsidR="00353A49" w:rsidRPr="00337C97">
        <w:rPr>
          <w:rFonts w:asciiTheme="minorHAnsi" w:hAnsiTheme="minorHAnsi" w:cs="Times New Roman"/>
          <w:sz w:val="22"/>
          <w:szCs w:val="22"/>
          <w:lang w:val="en-US"/>
        </w:rPr>
        <w:t xml:space="preserve"> This view is shared by the Basel Committee on Banking Supervision: “</w:t>
      </w:r>
      <w:r w:rsidR="00353A49" w:rsidRPr="00337C97">
        <w:rPr>
          <w:rFonts w:asciiTheme="minorHAnsi" w:hAnsiTheme="minorHAnsi" w:cs="Times New Roman"/>
          <w:i/>
          <w:sz w:val="22"/>
          <w:szCs w:val="22"/>
          <w:lang w:val="en-US"/>
        </w:rPr>
        <w:t>Transparency of information related to existing conditions, decisions and actions is integrally related to accountability in that it gives market participants sufficient information with which to judge the management of a bank</w:t>
      </w:r>
      <w:r w:rsidR="00353A49" w:rsidRPr="00337C97">
        <w:rPr>
          <w:rFonts w:asciiTheme="minorHAnsi" w:hAnsiTheme="minorHAnsi" w:cs="Times New Roman"/>
          <w:sz w:val="22"/>
          <w:szCs w:val="22"/>
          <w:lang w:val="en-US"/>
        </w:rPr>
        <w:t>” (BCBS, 1999).</w:t>
      </w:r>
      <w:r w:rsidR="00F72926" w:rsidRPr="00337C97">
        <w:rPr>
          <w:rFonts w:asciiTheme="minorHAnsi" w:hAnsiTheme="minorHAnsi" w:cs="Times New Roman"/>
          <w:sz w:val="22"/>
          <w:szCs w:val="22"/>
          <w:lang w:val="en-US"/>
        </w:rPr>
        <w:t xml:space="preserve"> </w:t>
      </w:r>
      <w:r w:rsidR="005C242E" w:rsidRPr="00337C97">
        <w:rPr>
          <w:rFonts w:asciiTheme="minorHAnsi" w:hAnsiTheme="minorHAnsi" w:cs="Times New Roman"/>
          <w:sz w:val="22"/>
          <w:szCs w:val="22"/>
          <w:lang w:val="en-US"/>
        </w:rPr>
        <w:t>In addition</w:t>
      </w:r>
      <w:r w:rsidR="00490AB6" w:rsidRPr="00337C97">
        <w:rPr>
          <w:rFonts w:asciiTheme="minorHAnsi" w:hAnsiTheme="minorHAnsi" w:cs="Times New Roman"/>
          <w:sz w:val="22"/>
          <w:szCs w:val="22"/>
          <w:lang w:val="en-US"/>
        </w:rPr>
        <w:t xml:space="preserve"> to mandatory disclosures</w:t>
      </w:r>
      <w:r w:rsidR="005C242E" w:rsidRPr="00337C97">
        <w:rPr>
          <w:rFonts w:asciiTheme="minorHAnsi" w:hAnsiTheme="minorHAnsi" w:cs="Times New Roman"/>
          <w:sz w:val="22"/>
          <w:szCs w:val="22"/>
          <w:lang w:val="en-US"/>
        </w:rPr>
        <w:t xml:space="preserve">, </w:t>
      </w:r>
      <w:r w:rsidR="00F72926" w:rsidRPr="00337C97">
        <w:rPr>
          <w:rFonts w:asciiTheme="minorHAnsi" w:hAnsiTheme="minorHAnsi" w:cs="Times New Roman"/>
          <w:sz w:val="22"/>
          <w:szCs w:val="22"/>
          <w:lang w:val="en-US"/>
        </w:rPr>
        <w:t>firms engage</w:t>
      </w:r>
      <w:r w:rsidR="00353A49" w:rsidRPr="00337C97">
        <w:rPr>
          <w:rFonts w:asciiTheme="minorHAnsi" w:hAnsiTheme="minorHAnsi" w:cs="Times New Roman"/>
          <w:sz w:val="22"/>
          <w:szCs w:val="22"/>
          <w:lang w:val="en-US"/>
        </w:rPr>
        <w:t xml:space="preserve"> more or less</w:t>
      </w:r>
      <w:r w:rsidR="00F72926" w:rsidRPr="00337C97">
        <w:rPr>
          <w:rFonts w:asciiTheme="minorHAnsi" w:hAnsiTheme="minorHAnsi" w:cs="Times New Roman"/>
          <w:sz w:val="22"/>
          <w:szCs w:val="22"/>
          <w:lang w:val="en-US"/>
        </w:rPr>
        <w:t xml:space="preserve"> in voluntary communication.</w:t>
      </w:r>
      <w:r w:rsidR="005C242E" w:rsidRPr="00337C97">
        <w:rPr>
          <w:rFonts w:asciiTheme="minorHAnsi" w:hAnsiTheme="minorHAnsi" w:cs="Times New Roman"/>
          <w:sz w:val="22"/>
          <w:szCs w:val="22"/>
          <w:lang w:val="en-US"/>
        </w:rPr>
        <w:t xml:space="preserve"> According to Dia and Zeghal (2008, p. 237), </w:t>
      </w:r>
      <w:r w:rsidR="00F72926" w:rsidRPr="00337C97">
        <w:rPr>
          <w:rFonts w:asciiTheme="minorHAnsi" w:hAnsiTheme="minorHAnsi" w:cs="Times New Roman"/>
          <w:sz w:val="22"/>
          <w:szCs w:val="22"/>
          <w:lang w:val="en-US"/>
        </w:rPr>
        <w:t>voluntary information disclosure by management targets the lack of informational symmetry between manage</w:t>
      </w:r>
      <w:r w:rsidR="005C242E" w:rsidRPr="00337C97">
        <w:rPr>
          <w:rFonts w:asciiTheme="minorHAnsi" w:hAnsiTheme="minorHAnsi" w:cs="Times New Roman"/>
          <w:sz w:val="22"/>
          <w:szCs w:val="22"/>
          <w:lang w:val="en-US"/>
        </w:rPr>
        <w:t xml:space="preserve">rs and </w:t>
      </w:r>
      <w:r w:rsidR="00554252" w:rsidRPr="00337C97">
        <w:rPr>
          <w:rFonts w:asciiTheme="minorHAnsi" w:hAnsiTheme="minorHAnsi" w:cs="Times New Roman"/>
          <w:sz w:val="22"/>
          <w:szCs w:val="22"/>
          <w:lang w:val="en-US"/>
        </w:rPr>
        <w:t>shareholders.</w:t>
      </w:r>
    </w:p>
    <w:p w:rsidR="004A4AEF" w:rsidRPr="00337C97" w:rsidRDefault="004A4AEF" w:rsidP="00F358EB">
      <w:pPr>
        <w:spacing w:line="360" w:lineRule="auto"/>
        <w:jc w:val="both"/>
        <w:rPr>
          <w:rFonts w:asciiTheme="minorHAnsi" w:hAnsiTheme="minorHAnsi" w:cs="Times New Roman"/>
          <w:sz w:val="22"/>
          <w:szCs w:val="22"/>
          <w:lang w:val="en-US"/>
        </w:rPr>
      </w:pPr>
    </w:p>
    <w:p w:rsidR="00B679C2" w:rsidRPr="00337C97" w:rsidRDefault="00472BD1" w:rsidP="001257C4">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Regarding the market’s disciplining mechanism</w:t>
      </w:r>
      <w:r w:rsidR="00FA202A" w:rsidRPr="00337C97">
        <w:rPr>
          <w:rFonts w:asciiTheme="minorHAnsi" w:hAnsiTheme="minorHAnsi" w:cs="Times New Roman"/>
          <w:sz w:val="22"/>
          <w:szCs w:val="22"/>
          <w:lang w:val="en-US"/>
        </w:rPr>
        <w:t xml:space="preserve"> as described in </w:t>
      </w:r>
      <w:r w:rsidR="004A4AEF" w:rsidRPr="00337C97">
        <w:rPr>
          <w:rFonts w:asciiTheme="minorHAnsi" w:hAnsiTheme="minorHAnsi" w:cs="Times New Roman"/>
          <w:sz w:val="22"/>
          <w:szCs w:val="22"/>
          <w:lang w:val="en-US"/>
        </w:rPr>
        <w:t>paragraph</w:t>
      </w:r>
      <w:r w:rsidR="00FA202A" w:rsidRPr="00337C97">
        <w:rPr>
          <w:rFonts w:asciiTheme="minorHAnsi" w:hAnsiTheme="minorHAnsi" w:cs="Times New Roman"/>
          <w:sz w:val="22"/>
          <w:szCs w:val="22"/>
          <w:lang w:val="en-US"/>
        </w:rPr>
        <w:t xml:space="preserve"> 3.3</w:t>
      </w:r>
      <w:r w:rsidRPr="00337C97">
        <w:rPr>
          <w:rFonts w:asciiTheme="minorHAnsi" w:hAnsiTheme="minorHAnsi" w:cs="Times New Roman"/>
          <w:sz w:val="22"/>
          <w:szCs w:val="22"/>
          <w:lang w:val="en-US"/>
        </w:rPr>
        <w:t xml:space="preserve">, it is argued that banks that disclose greater amounts of useful risk information should benefit from a reduction in their cost of </w:t>
      </w:r>
      <w:r w:rsidR="002645B2" w:rsidRPr="00337C97">
        <w:rPr>
          <w:rFonts w:asciiTheme="minorHAnsi" w:hAnsiTheme="minorHAnsi" w:cs="Times New Roman"/>
          <w:sz w:val="22"/>
          <w:szCs w:val="22"/>
          <w:lang w:val="en-US"/>
        </w:rPr>
        <w:t>capital</w:t>
      </w:r>
      <w:r w:rsidRPr="00337C97">
        <w:rPr>
          <w:rFonts w:asciiTheme="minorHAnsi" w:hAnsiTheme="minorHAnsi" w:cs="Times New Roman"/>
          <w:sz w:val="22"/>
          <w:szCs w:val="22"/>
          <w:lang w:val="en-US"/>
        </w:rPr>
        <w:t>. After all, the providers of funds will be better positioned to judge the bank’s risk level and this will remove the need for them to incorporate a risk premium within the cost of capital. On the other hand, banks that are reluctant to disclose risk information may not experience more expensive funding but also that these are more difficult to access (Linsley and Shrives, 2005</w:t>
      </w:r>
      <w:r w:rsidR="00D43711"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p. 206).</w:t>
      </w:r>
      <w:r w:rsidR="00295EBB" w:rsidRPr="00337C97">
        <w:rPr>
          <w:rFonts w:asciiTheme="minorHAnsi" w:hAnsiTheme="minorHAnsi" w:cs="Times New Roman"/>
          <w:sz w:val="22"/>
          <w:szCs w:val="22"/>
          <w:lang w:val="en-US"/>
        </w:rPr>
        <w:t xml:space="preserve"> Engels (2008) </w:t>
      </w:r>
      <w:r w:rsidR="00556ED9" w:rsidRPr="00337C97">
        <w:rPr>
          <w:rFonts w:asciiTheme="minorHAnsi" w:hAnsiTheme="minorHAnsi" w:cs="Times New Roman"/>
          <w:sz w:val="22"/>
          <w:szCs w:val="22"/>
          <w:lang w:val="en-US"/>
        </w:rPr>
        <w:t>confirms</w:t>
      </w:r>
      <w:r w:rsidR="00295EBB" w:rsidRPr="00337C97">
        <w:rPr>
          <w:rFonts w:asciiTheme="minorHAnsi" w:hAnsiTheme="minorHAnsi" w:cs="Times New Roman"/>
          <w:sz w:val="22"/>
          <w:szCs w:val="22"/>
          <w:lang w:val="en-US"/>
        </w:rPr>
        <w:t xml:space="preserve"> this view and states that higher disclosure quality and </w:t>
      </w:r>
      <w:r w:rsidR="00556ED9" w:rsidRPr="00337C97">
        <w:rPr>
          <w:rFonts w:asciiTheme="minorHAnsi" w:hAnsiTheme="minorHAnsi" w:cs="Times New Roman"/>
          <w:sz w:val="22"/>
          <w:szCs w:val="22"/>
          <w:lang w:val="en-US"/>
        </w:rPr>
        <w:t xml:space="preserve">stricter </w:t>
      </w:r>
      <w:r w:rsidR="00295EBB" w:rsidRPr="00337C97">
        <w:rPr>
          <w:rFonts w:asciiTheme="minorHAnsi" w:hAnsiTheme="minorHAnsi" w:cs="Times New Roman"/>
          <w:sz w:val="22"/>
          <w:szCs w:val="22"/>
          <w:lang w:val="en-US"/>
        </w:rPr>
        <w:t xml:space="preserve">disclosure </w:t>
      </w:r>
      <w:r w:rsidR="001257C4" w:rsidRPr="00337C97">
        <w:rPr>
          <w:rFonts w:asciiTheme="minorHAnsi" w:hAnsiTheme="minorHAnsi" w:cs="Times New Roman"/>
          <w:sz w:val="22"/>
          <w:szCs w:val="22"/>
          <w:lang w:val="en-US"/>
        </w:rPr>
        <w:t>requirements (regarding the introduction of IFRS 7) could lead to less information asymmetry and previous literature suggest that this will ultimately lead to a lowe</w:t>
      </w:r>
      <w:r w:rsidR="00746907" w:rsidRPr="00337C97">
        <w:rPr>
          <w:rFonts w:asciiTheme="minorHAnsi" w:hAnsiTheme="minorHAnsi" w:cs="Times New Roman"/>
          <w:sz w:val="22"/>
          <w:szCs w:val="22"/>
          <w:lang w:val="en-US"/>
        </w:rPr>
        <w:t>r cos</w:t>
      </w:r>
      <w:r w:rsidR="00556ED9" w:rsidRPr="00337C97">
        <w:rPr>
          <w:rFonts w:asciiTheme="minorHAnsi" w:hAnsiTheme="minorHAnsi" w:cs="Times New Roman"/>
          <w:sz w:val="22"/>
          <w:szCs w:val="22"/>
          <w:lang w:val="en-US"/>
        </w:rPr>
        <w:t>t of capital.</w:t>
      </w:r>
    </w:p>
    <w:p w:rsidR="00295EBB" w:rsidRPr="00337C97" w:rsidRDefault="00295EBB" w:rsidP="00F358EB">
      <w:pPr>
        <w:spacing w:line="360" w:lineRule="auto"/>
        <w:jc w:val="both"/>
        <w:rPr>
          <w:rFonts w:asciiTheme="minorHAnsi" w:hAnsiTheme="minorHAnsi" w:cs="Times New Roman"/>
          <w:sz w:val="22"/>
          <w:szCs w:val="22"/>
          <w:lang w:val="en-US"/>
        </w:rPr>
      </w:pPr>
    </w:p>
    <w:p w:rsidR="00EF27CA" w:rsidRPr="00337C97" w:rsidRDefault="00EF27CA" w:rsidP="00EF27C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Linsley and Shrives (2005</w:t>
      </w:r>
      <w:r w:rsidR="00074637"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 p. 206) mention another aspect of risk disclosure. They argue that increased risk disclosure can help bank supervisors to be more effective in their monitoring as they are better positioned to foresee potential problems and therefore can act earlier. Furthermore, </w:t>
      </w:r>
      <w:r w:rsidR="00556ED9" w:rsidRPr="00337C97">
        <w:rPr>
          <w:rFonts w:asciiTheme="minorHAnsi" w:hAnsiTheme="minorHAnsi" w:cs="Times New Roman"/>
          <w:sz w:val="22"/>
          <w:szCs w:val="22"/>
          <w:lang w:val="en-US"/>
        </w:rPr>
        <w:t xml:space="preserve">risk </w:t>
      </w:r>
      <w:r w:rsidR="00556ED9" w:rsidRPr="00337C97">
        <w:rPr>
          <w:rFonts w:asciiTheme="minorHAnsi" w:hAnsiTheme="minorHAnsi" w:cs="Times New Roman"/>
          <w:sz w:val="22"/>
          <w:szCs w:val="22"/>
          <w:lang w:val="en-US"/>
        </w:rPr>
        <w:lastRenderedPageBreak/>
        <w:t>disclosure has disciplining effects. I</w:t>
      </w:r>
      <w:r w:rsidRPr="00337C97">
        <w:rPr>
          <w:rFonts w:asciiTheme="minorHAnsi" w:hAnsiTheme="minorHAnsi" w:cs="Times New Roman"/>
          <w:sz w:val="22"/>
          <w:szCs w:val="22"/>
          <w:lang w:val="en-US"/>
        </w:rPr>
        <w:t>f banks recognize that they need to disclose risk information, then an incentive exists for them to improve their risk management capabilities as they will not want to be viewed as inferior to other banks in this respect. This rise in risk management abilities across the banking sector will, in turn, create more stability within the industry, hence reducing systemic risk.</w:t>
      </w:r>
    </w:p>
    <w:p w:rsidR="00EF27CA" w:rsidRPr="00337C97" w:rsidRDefault="00EF27CA" w:rsidP="00EF27CA">
      <w:pPr>
        <w:spacing w:line="360" w:lineRule="auto"/>
        <w:jc w:val="both"/>
        <w:rPr>
          <w:rFonts w:asciiTheme="minorHAnsi" w:hAnsiTheme="minorHAnsi" w:cs="Times New Roman"/>
          <w:sz w:val="22"/>
          <w:szCs w:val="22"/>
          <w:lang w:val="en-US"/>
        </w:rPr>
      </w:pPr>
    </w:p>
    <w:p w:rsidR="00E11D59" w:rsidRPr="00337C97" w:rsidRDefault="0096793F" w:rsidP="009866E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Chen et al. (2007</w:t>
      </w:r>
      <w:r w:rsidR="005307F9" w:rsidRPr="00337C97">
        <w:rPr>
          <w:rFonts w:asciiTheme="minorHAnsi" w:hAnsiTheme="minorHAnsi" w:cs="Times New Roman"/>
          <w:sz w:val="22"/>
          <w:szCs w:val="22"/>
          <w:lang w:val="en-US"/>
        </w:rPr>
        <w:t>, p. 644</w:t>
      </w:r>
      <w:r w:rsidRPr="00337C97">
        <w:rPr>
          <w:rFonts w:asciiTheme="minorHAnsi" w:hAnsiTheme="minorHAnsi" w:cs="Times New Roman"/>
          <w:sz w:val="22"/>
          <w:szCs w:val="22"/>
          <w:lang w:val="en-US"/>
        </w:rPr>
        <w:t xml:space="preserve">) </w:t>
      </w:r>
      <w:r w:rsidR="00280C26" w:rsidRPr="00337C97">
        <w:rPr>
          <w:rFonts w:asciiTheme="minorHAnsi" w:hAnsiTheme="minorHAnsi" w:cs="Times New Roman"/>
          <w:sz w:val="22"/>
          <w:szCs w:val="22"/>
          <w:lang w:val="en-US"/>
        </w:rPr>
        <w:t xml:space="preserve">argue that </w:t>
      </w:r>
      <w:r w:rsidRPr="00337C97">
        <w:rPr>
          <w:rFonts w:asciiTheme="minorHAnsi" w:hAnsiTheme="minorHAnsi" w:cs="Times New Roman"/>
          <w:sz w:val="22"/>
          <w:szCs w:val="22"/>
          <w:lang w:val="en-US"/>
        </w:rPr>
        <w:t xml:space="preserve">financial transparency and information disclosure </w:t>
      </w:r>
      <w:r w:rsidR="00280C26" w:rsidRPr="00337C97">
        <w:rPr>
          <w:rFonts w:asciiTheme="minorHAnsi" w:hAnsiTheme="minorHAnsi" w:cs="Times New Roman"/>
          <w:sz w:val="22"/>
          <w:szCs w:val="22"/>
          <w:lang w:val="en-US"/>
        </w:rPr>
        <w:t>are crucial elements of good corporate governance. Within firms that adopt poor financial transparency and information disclosure practices, managers are more likely to use their information advantage to pursue a private benefit of control. Ultimately this will lead to an increase in the agency cost, faced by shareholders. According to Chen et al. (2007</w:t>
      </w:r>
      <w:r w:rsidR="005307F9" w:rsidRPr="00337C97">
        <w:rPr>
          <w:rFonts w:asciiTheme="minorHAnsi" w:hAnsiTheme="minorHAnsi" w:cs="Times New Roman"/>
          <w:sz w:val="22"/>
          <w:szCs w:val="22"/>
          <w:lang w:val="en-US"/>
        </w:rPr>
        <w:t>, p. 644</w:t>
      </w:r>
      <w:r w:rsidR="00280C26" w:rsidRPr="00337C97">
        <w:rPr>
          <w:rFonts w:asciiTheme="minorHAnsi" w:hAnsiTheme="minorHAnsi" w:cs="Times New Roman"/>
          <w:sz w:val="22"/>
          <w:szCs w:val="22"/>
          <w:lang w:val="en-US"/>
        </w:rPr>
        <w:t>), disclosure practices can be viewed as effective mechanisms for the protection of the rights of outsiders. Therefore, an improved level of transparency and disclosure practices ultimately leads to better corporate governance</w:t>
      </w:r>
      <w:r w:rsidR="00D83285" w:rsidRPr="00337C97">
        <w:rPr>
          <w:rFonts w:asciiTheme="minorHAnsi" w:hAnsiTheme="minorHAnsi" w:cs="Times New Roman"/>
          <w:sz w:val="22"/>
          <w:szCs w:val="22"/>
          <w:lang w:val="en-US"/>
        </w:rPr>
        <w:t xml:space="preserve"> (Linsley and Shrives, 2005, p. 303)</w:t>
      </w:r>
      <w:r w:rsidR="00280C26" w:rsidRPr="00337C97">
        <w:rPr>
          <w:rFonts w:asciiTheme="minorHAnsi" w:hAnsiTheme="minorHAnsi" w:cs="Times New Roman"/>
          <w:sz w:val="22"/>
          <w:szCs w:val="22"/>
          <w:lang w:val="en-US"/>
        </w:rPr>
        <w:t xml:space="preserve">. </w:t>
      </w:r>
      <w:r w:rsidR="00E11D59" w:rsidRPr="00337C97">
        <w:rPr>
          <w:rFonts w:asciiTheme="minorHAnsi" w:hAnsiTheme="minorHAnsi" w:cs="Times New Roman"/>
          <w:sz w:val="22"/>
          <w:szCs w:val="22"/>
          <w:lang w:val="en-US"/>
        </w:rPr>
        <w:t>Hence, good corporate governance is acknowledged to be a solution to the agency problem (O’Sullivan</w:t>
      </w:r>
      <w:r w:rsidR="009F2F43" w:rsidRPr="00337C97">
        <w:rPr>
          <w:rFonts w:asciiTheme="minorHAnsi" w:hAnsiTheme="minorHAnsi" w:cs="Times New Roman"/>
          <w:sz w:val="22"/>
          <w:szCs w:val="22"/>
          <w:lang w:val="en-US"/>
        </w:rPr>
        <w:t>, 2000</w:t>
      </w:r>
      <w:r w:rsidR="00E11D59" w:rsidRPr="00337C97">
        <w:rPr>
          <w:rFonts w:asciiTheme="minorHAnsi" w:hAnsiTheme="minorHAnsi" w:cs="Times New Roman"/>
          <w:sz w:val="22"/>
          <w:szCs w:val="22"/>
          <w:lang w:val="en-US"/>
        </w:rPr>
        <w:t xml:space="preserve">). </w:t>
      </w:r>
      <w:r w:rsidR="00280C26" w:rsidRPr="00337C97">
        <w:rPr>
          <w:rFonts w:asciiTheme="minorHAnsi" w:hAnsiTheme="minorHAnsi" w:cs="Times New Roman"/>
          <w:sz w:val="22"/>
          <w:szCs w:val="22"/>
          <w:lang w:val="en-US"/>
        </w:rPr>
        <w:t xml:space="preserve">After all, better transparency and disclosure practices can help shareholders to gain a better understanding </w:t>
      </w:r>
      <w:r w:rsidR="005307F9" w:rsidRPr="00337C97">
        <w:rPr>
          <w:rFonts w:asciiTheme="minorHAnsi" w:hAnsiTheme="minorHAnsi" w:cs="Times New Roman"/>
          <w:sz w:val="22"/>
          <w:szCs w:val="22"/>
          <w:lang w:val="en-US"/>
        </w:rPr>
        <w:t>of firms’ management practices and thereby help to reduce the information a</w:t>
      </w:r>
      <w:r w:rsidR="00D272AD" w:rsidRPr="00337C97">
        <w:rPr>
          <w:rFonts w:asciiTheme="minorHAnsi" w:hAnsiTheme="minorHAnsi" w:cs="Times New Roman"/>
          <w:sz w:val="22"/>
          <w:szCs w:val="22"/>
          <w:lang w:val="en-US"/>
        </w:rPr>
        <w:t>symmetry faced by shareholders</w:t>
      </w:r>
      <w:r w:rsidR="00C1695D" w:rsidRPr="00337C97">
        <w:rPr>
          <w:rFonts w:asciiTheme="minorHAnsi" w:hAnsiTheme="minorHAnsi" w:cs="Times New Roman"/>
          <w:sz w:val="22"/>
          <w:szCs w:val="22"/>
          <w:lang w:val="en-US"/>
        </w:rPr>
        <w:t>.</w:t>
      </w:r>
      <w:r w:rsidR="00C1695D" w:rsidRPr="00337C97">
        <w:rPr>
          <w:rStyle w:val="Voetnootmarkering"/>
          <w:rFonts w:asciiTheme="minorHAnsi" w:hAnsiTheme="minorHAnsi" w:cs="Times New Roman"/>
          <w:sz w:val="22"/>
          <w:szCs w:val="22"/>
          <w:lang w:val="en-US"/>
        </w:rPr>
        <w:footnoteReference w:id="5"/>
      </w:r>
    </w:p>
    <w:p w:rsidR="00E11D59" w:rsidRPr="00337C97" w:rsidRDefault="00E11D59" w:rsidP="009866E5">
      <w:pPr>
        <w:spacing w:line="360" w:lineRule="auto"/>
        <w:jc w:val="both"/>
        <w:rPr>
          <w:rFonts w:asciiTheme="minorHAnsi" w:hAnsiTheme="minorHAnsi" w:cs="Times New Roman"/>
          <w:sz w:val="22"/>
          <w:szCs w:val="22"/>
          <w:lang w:val="en-US"/>
        </w:rPr>
      </w:pPr>
    </w:p>
    <w:p w:rsidR="009866E5" w:rsidRPr="00337C97" w:rsidRDefault="009866E5" w:rsidP="009866E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It is obvious to conclude that higher amounts of disclosures, whether or not combined with a higher quality, lead to higher levels of transparency. However, Linsley and Shrives (2005</w:t>
      </w:r>
      <w:r w:rsidR="00074637"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p. 206) point out that only disclosure of ‘useful’ information will create transparency. The Basel Committee (BCBS, 1998, p. 15) states that the fundamentally important qualitative characteristics that will contribute to transparency are: timeliness, comprehensiveness, reliability, relevance, comparability and materiality. Furthermore, Morgan (2002) states that high quality disclosures by banks may not necessarily result in reduced levels of information asymmetry if these banks are not transparent in the first place. However, Brown and Hillegeist (2007) found evidence that there is a negative relationship between disclosure quality and information asymmetry.</w:t>
      </w:r>
    </w:p>
    <w:p w:rsidR="0017466A" w:rsidRPr="00337C97" w:rsidRDefault="0017466A" w:rsidP="0017466A">
      <w:pPr>
        <w:spacing w:line="360" w:lineRule="auto"/>
        <w:jc w:val="both"/>
        <w:rPr>
          <w:rFonts w:asciiTheme="minorHAnsi" w:hAnsiTheme="minorHAnsi" w:cs="Times New Roman"/>
          <w:sz w:val="22"/>
          <w:szCs w:val="22"/>
          <w:lang w:val="en-US"/>
        </w:rPr>
      </w:pPr>
    </w:p>
    <w:p w:rsidR="00017A9A" w:rsidRPr="00337C97" w:rsidRDefault="0060646F" w:rsidP="00411AD6">
      <w:pPr>
        <w:spacing w:line="360" w:lineRule="auto"/>
        <w:jc w:val="both"/>
        <w:outlineLvl w:val="1"/>
        <w:rPr>
          <w:rFonts w:asciiTheme="minorHAnsi" w:hAnsiTheme="minorHAnsi" w:cs="Times New Roman"/>
          <w:b/>
          <w:sz w:val="22"/>
          <w:szCs w:val="22"/>
          <w:lang w:val="en-US"/>
        </w:rPr>
      </w:pPr>
      <w:bookmarkStart w:id="178" w:name="_Toc241658906"/>
      <w:bookmarkStart w:id="179" w:name="_Toc242584778"/>
      <w:bookmarkStart w:id="180" w:name="_Toc242697415"/>
      <w:bookmarkStart w:id="181" w:name="_Toc242697650"/>
      <w:bookmarkStart w:id="182" w:name="_Toc245187887"/>
      <w:bookmarkStart w:id="183" w:name="_Toc269658931"/>
      <w:r w:rsidRPr="00337C97">
        <w:rPr>
          <w:rFonts w:asciiTheme="minorHAnsi" w:hAnsiTheme="minorHAnsi" w:cs="Times New Roman"/>
          <w:b/>
          <w:sz w:val="22"/>
          <w:szCs w:val="22"/>
          <w:lang w:val="en-US"/>
        </w:rPr>
        <w:t>3.6</w:t>
      </w:r>
      <w:r w:rsidR="00017A9A" w:rsidRPr="00337C97">
        <w:rPr>
          <w:rFonts w:asciiTheme="minorHAnsi" w:hAnsiTheme="minorHAnsi" w:cs="Times New Roman"/>
          <w:b/>
          <w:sz w:val="22"/>
          <w:szCs w:val="22"/>
          <w:lang w:val="en-US"/>
        </w:rPr>
        <w:tab/>
        <w:t>E</w:t>
      </w:r>
      <w:r w:rsidR="00490AB6" w:rsidRPr="00337C97">
        <w:rPr>
          <w:rFonts w:asciiTheme="minorHAnsi" w:hAnsiTheme="minorHAnsi" w:cs="Times New Roman"/>
          <w:b/>
          <w:sz w:val="22"/>
          <w:szCs w:val="22"/>
          <w:lang w:val="en-US"/>
        </w:rPr>
        <w:t xml:space="preserve">fficient </w:t>
      </w:r>
      <w:r w:rsidR="001C7CDB" w:rsidRPr="00337C97">
        <w:rPr>
          <w:rFonts w:asciiTheme="minorHAnsi" w:hAnsiTheme="minorHAnsi" w:cs="Times New Roman"/>
          <w:b/>
          <w:sz w:val="22"/>
          <w:szCs w:val="22"/>
          <w:lang w:val="en-US"/>
        </w:rPr>
        <w:t>market hypothesis</w:t>
      </w:r>
      <w:bookmarkEnd w:id="178"/>
      <w:bookmarkEnd w:id="179"/>
      <w:bookmarkEnd w:id="180"/>
      <w:bookmarkEnd w:id="181"/>
      <w:bookmarkEnd w:id="182"/>
      <w:bookmarkEnd w:id="183"/>
    </w:p>
    <w:p w:rsidR="00890952" w:rsidRPr="00337C97" w:rsidRDefault="008B38D3" w:rsidP="00D17F18">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As said in the previous paragraph, disclosure is critical for the functioning of an efficient capital market. According to Scott (2006, p. </w:t>
      </w:r>
      <w:r w:rsidR="00890952" w:rsidRPr="00337C97">
        <w:rPr>
          <w:rFonts w:asciiTheme="minorHAnsi" w:hAnsiTheme="minorHAnsi" w:cs="Times New Roman"/>
          <w:sz w:val="22"/>
          <w:szCs w:val="22"/>
          <w:lang w:val="en-US"/>
        </w:rPr>
        <w:t xml:space="preserve">88), efficiency implies that </w:t>
      </w:r>
      <w:r w:rsidRPr="00337C97">
        <w:rPr>
          <w:rFonts w:asciiTheme="minorHAnsi" w:hAnsiTheme="minorHAnsi" w:cs="Times New Roman"/>
          <w:sz w:val="22"/>
          <w:szCs w:val="22"/>
          <w:lang w:val="en-US"/>
        </w:rPr>
        <w:t xml:space="preserve">the information content of </w:t>
      </w:r>
      <w:r w:rsidR="00360044" w:rsidRPr="00337C97">
        <w:rPr>
          <w:rFonts w:asciiTheme="minorHAnsi" w:hAnsiTheme="minorHAnsi" w:cs="Times New Roman"/>
          <w:sz w:val="22"/>
          <w:szCs w:val="22"/>
          <w:lang w:val="en-US"/>
        </w:rPr>
        <w:t>disclosure is</w:t>
      </w:r>
      <w:r w:rsidRPr="00337C97">
        <w:rPr>
          <w:rFonts w:asciiTheme="minorHAnsi" w:hAnsiTheme="minorHAnsi" w:cs="Times New Roman"/>
          <w:sz w:val="22"/>
          <w:szCs w:val="22"/>
          <w:lang w:val="en-US"/>
        </w:rPr>
        <w:t xml:space="preserve"> valued by the market. </w:t>
      </w:r>
      <w:r w:rsidR="00360044" w:rsidRPr="00337C97">
        <w:rPr>
          <w:rFonts w:asciiTheme="minorHAnsi" w:hAnsiTheme="minorHAnsi" w:cs="Times New Roman"/>
          <w:sz w:val="22"/>
          <w:szCs w:val="22"/>
          <w:lang w:val="en-US"/>
        </w:rPr>
        <w:t>Theory about efficient securities market indicates</w:t>
      </w:r>
      <w:r w:rsidRPr="00337C97">
        <w:rPr>
          <w:rFonts w:asciiTheme="minorHAnsi" w:hAnsiTheme="minorHAnsi" w:cs="Times New Roman"/>
          <w:sz w:val="22"/>
          <w:szCs w:val="22"/>
          <w:lang w:val="en-US"/>
        </w:rPr>
        <w:t xml:space="preserve"> what the primary reason for the existence of accounting</w:t>
      </w:r>
      <w:r w:rsidR="00360044" w:rsidRPr="00337C97">
        <w:rPr>
          <w:rFonts w:asciiTheme="minorHAnsi" w:hAnsiTheme="minorHAnsi" w:cs="Times New Roman"/>
          <w:sz w:val="22"/>
          <w:szCs w:val="22"/>
          <w:lang w:val="en-US"/>
        </w:rPr>
        <w:t xml:space="preserve"> is</w:t>
      </w:r>
      <w:r w:rsidRPr="00337C97">
        <w:rPr>
          <w:rFonts w:asciiTheme="minorHAnsi" w:hAnsiTheme="minorHAnsi" w:cs="Times New Roman"/>
          <w:sz w:val="22"/>
          <w:szCs w:val="22"/>
          <w:lang w:val="en-US"/>
        </w:rPr>
        <w:t xml:space="preserve">, namely information asymmetry (see also paragraph 2.2). </w:t>
      </w:r>
      <w:r w:rsidR="005B26FD" w:rsidRPr="00337C97">
        <w:rPr>
          <w:rFonts w:asciiTheme="minorHAnsi" w:hAnsiTheme="minorHAnsi" w:cs="Times New Roman"/>
          <w:sz w:val="22"/>
          <w:szCs w:val="22"/>
          <w:lang w:val="en-US"/>
        </w:rPr>
        <w:t xml:space="preserve">Market efficiency does not guarantee that security prices fully reflect real firm value. It does suggest, </w:t>
      </w:r>
      <w:r w:rsidR="005B26FD" w:rsidRPr="00337C97">
        <w:rPr>
          <w:rFonts w:asciiTheme="minorHAnsi" w:hAnsiTheme="minorHAnsi" w:cs="Times New Roman"/>
          <w:sz w:val="22"/>
          <w:szCs w:val="22"/>
          <w:lang w:val="en-US"/>
        </w:rPr>
        <w:lastRenderedPageBreak/>
        <w:t xml:space="preserve">however, that prices are unbiased relative to publicly available information and will react quickly to new or revised information. </w:t>
      </w:r>
      <w:r w:rsidR="00890952" w:rsidRPr="00337C97">
        <w:rPr>
          <w:rFonts w:asciiTheme="minorHAnsi" w:hAnsiTheme="minorHAnsi" w:cs="Times New Roman"/>
          <w:sz w:val="22"/>
          <w:szCs w:val="22"/>
          <w:lang w:val="en-US"/>
        </w:rPr>
        <w:t xml:space="preserve">Deegan and Unerman (2006, p. 210) acknowledge the development of the Efficient Markets Hypothesis (EMH) crucial to the development of </w:t>
      </w:r>
      <w:r w:rsidR="00022F0A" w:rsidRPr="00337C97">
        <w:rPr>
          <w:rFonts w:asciiTheme="minorHAnsi" w:hAnsiTheme="minorHAnsi" w:cs="Times New Roman"/>
          <w:sz w:val="22"/>
          <w:szCs w:val="22"/>
          <w:lang w:val="en-US"/>
        </w:rPr>
        <w:t>the Positive Accounting Theory.</w:t>
      </w:r>
    </w:p>
    <w:p w:rsidR="00825EF3" w:rsidRPr="00337C97" w:rsidRDefault="00825EF3" w:rsidP="0017466A">
      <w:pPr>
        <w:spacing w:line="360" w:lineRule="auto"/>
        <w:jc w:val="both"/>
        <w:rPr>
          <w:rFonts w:asciiTheme="minorHAnsi" w:hAnsiTheme="minorHAnsi" w:cs="Times New Roman"/>
          <w:sz w:val="22"/>
          <w:szCs w:val="22"/>
          <w:lang w:val="en-US"/>
        </w:rPr>
      </w:pPr>
    </w:p>
    <w:p w:rsidR="00890952" w:rsidRPr="00337C97" w:rsidRDefault="00890952" w:rsidP="00857008">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EMH is based on the assumption that capital markets react in an efficient and unbiased manner to publicly available information. The perspective taken is that security prices reflect the information content of publicly available information, </w:t>
      </w:r>
      <w:r w:rsidR="00B7589E" w:rsidRPr="00337C97">
        <w:rPr>
          <w:rFonts w:asciiTheme="minorHAnsi" w:hAnsiTheme="minorHAnsi" w:cs="Times New Roman"/>
          <w:sz w:val="22"/>
          <w:szCs w:val="22"/>
          <w:lang w:val="en-US"/>
        </w:rPr>
        <w:t>which is not restricted to accounting disclosures (Dee</w:t>
      </w:r>
      <w:r w:rsidR="00597A8E" w:rsidRPr="00337C97">
        <w:rPr>
          <w:rFonts w:asciiTheme="minorHAnsi" w:hAnsiTheme="minorHAnsi" w:cs="Times New Roman"/>
          <w:sz w:val="22"/>
          <w:szCs w:val="22"/>
          <w:lang w:val="en-US"/>
        </w:rPr>
        <w:t xml:space="preserve">gan and Unerman (2006, p. 210). There are three forms of EMH and each is becoming successively stronger in implication. As market prices correctly represent all the information contained in the record of past prices and trading volume, then the </w:t>
      </w:r>
      <w:r w:rsidR="00597A8E" w:rsidRPr="00337C97">
        <w:rPr>
          <w:rFonts w:asciiTheme="minorHAnsi" w:hAnsiTheme="minorHAnsi" w:cs="Times New Roman"/>
          <w:i/>
          <w:iCs/>
          <w:sz w:val="22"/>
          <w:szCs w:val="22"/>
          <w:lang w:val="en-US"/>
        </w:rPr>
        <w:t>weak</w:t>
      </w:r>
      <w:r w:rsidR="00597A8E" w:rsidRPr="00337C97">
        <w:rPr>
          <w:rFonts w:asciiTheme="minorHAnsi" w:hAnsiTheme="minorHAnsi" w:cs="Times New Roman"/>
          <w:sz w:val="22"/>
          <w:szCs w:val="22"/>
          <w:lang w:val="en-US"/>
        </w:rPr>
        <w:t xml:space="preserve"> form of EMH can be applied. If market prices also rapidly adapt to new information and present </w:t>
      </w:r>
      <w:r w:rsidR="00DF137D" w:rsidRPr="00337C97">
        <w:rPr>
          <w:rFonts w:asciiTheme="minorHAnsi" w:hAnsiTheme="minorHAnsi" w:cs="Times New Roman"/>
          <w:sz w:val="22"/>
          <w:szCs w:val="22"/>
          <w:lang w:val="en-US"/>
        </w:rPr>
        <w:t xml:space="preserve">public </w:t>
      </w:r>
      <w:r w:rsidR="00597A8E" w:rsidRPr="00337C97">
        <w:rPr>
          <w:rFonts w:asciiTheme="minorHAnsi" w:hAnsiTheme="minorHAnsi" w:cs="Times New Roman"/>
          <w:sz w:val="22"/>
          <w:szCs w:val="22"/>
          <w:lang w:val="en-US"/>
        </w:rPr>
        <w:t xml:space="preserve">information currently widely known, the </w:t>
      </w:r>
      <w:r w:rsidR="00597A8E" w:rsidRPr="00337C97">
        <w:rPr>
          <w:rFonts w:asciiTheme="minorHAnsi" w:hAnsiTheme="minorHAnsi" w:cs="Times New Roman"/>
          <w:i/>
          <w:iCs/>
          <w:sz w:val="22"/>
          <w:szCs w:val="22"/>
          <w:lang w:val="en-US"/>
        </w:rPr>
        <w:t>semi-strong</w:t>
      </w:r>
      <w:r w:rsidR="00597A8E" w:rsidRPr="00337C97">
        <w:rPr>
          <w:rFonts w:asciiTheme="minorHAnsi" w:hAnsiTheme="minorHAnsi" w:cs="Times New Roman"/>
          <w:sz w:val="22"/>
          <w:szCs w:val="22"/>
          <w:lang w:val="en-US"/>
        </w:rPr>
        <w:t xml:space="preserve"> form of EMH </w:t>
      </w:r>
      <w:r w:rsidR="00857008" w:rsidRPr="00337C97">
        <w:rPr>
          <w:rFonts w:asciiTheme="minorHAnsi" w:hAnsiTheme="minorHAnsi" w:cs="Times New Roman"/>
          <w:sz w:val="22"/>
          <w:szCs w:val="22"/>
          <w:lang w:val="en-US"/>
        </w:rPr>
        <w:t xml:space="preserve">can be applied. The </w:t>
      </w:r>
      <w:r w:rsidR="00857008" w:rsidRPr="00337C97">
        <w:rPr>
          <w:rFonts w:asciiTheme="minorHAnsi" w:hAnsiTheme="minorHAnsi" w:cs="Times New Roman"/>
          <w:i/>
          <w:iCs/>
          <w:sz w:val="22"/>
          <w:szCs w:val="22"/>
          <w:lang w:val="en-US"/>
        </w:rPr>
        <w:t xml:space="preserve">strong </w:t>
      </w:r>
      <w:r w:rsidR="00857008" w:rsidRPr="00337C97">
        <w:rPr>
          <w:rFonts w:asciiTheme="minorHAnsi" w:hAnsiTheme="minorHAnsi" w:cs="Times New Roman"/>
          <w:sz w:val="22"/>
          <w:szCs w:val="22"/>
          <w:lang w:val="en-US"/>
        </w:rPr>
        <w:t>form of EMH can be applied if, besides the previous two, the market prices also accurately represent predicted future information</w:t>
      </w:r>
      <w:r w:rsidR="00DF137D" w:rsidRPr="00337C97">
        <w:rPr>
          <w:rFonts w:asciiTheme="minorHAnsi" w:hAnsiTheme="minorHAnsi" w:cs="Times New Roman"/>
          <w:sz w:val="22"/>
          <w:szCs w:val="22"/>
          <w:lang w:val="en-US"/>
        </w:rPr>
        <w:t>, which includes private information</w:t>
      </w:r>
      <w:r w:rsidR="00C021D2" w:rsidRPr="00337C97">
        <w:rPr>
          <w:rFonts w:asciiTheme="minorHAnsi" w:hAnsiTheme="minorHAnsi" w:cs="Times New Roman"/>
          <w:sz w:val="22"/>
          <w:szCs w:val="22"/>
          <w:lang w:val="en-US"/>
        </w:rPr>
        <w:t xml:space="preserve"> (Douglas, 2007, p. 1-</w:t>
      </w:r>
      <w:r w:rsidR="00857008" w:rsidRPr="00337C97">
        <w:rPr>
          <w:rFonts w:asciiTheme="minorHAnsi" w:hAnsiTheme="minorHAnsi" w:cs="Times New Roman"/>
          <w:sz w:val="22"/>
          <w:szCs w:val="22"/>
          <w:lang w:val="en-US"/>
        </w:rPr>
        <w:t>2).</w:t>
      </w:r>
    </w:p>
    <w:p w:rsidR="00890952" w:rsidRPr="00337C97" w:rsidRDefault="00890952" w:rsidP="0017466A">
      <w:pPr>
        <w:spacing w:line="360" w:lineRule="auto"/>
        <w:jc w:val="both"/>
        <w:rPr>
          <w:rFonts w:asciiTheme="minorHAnsi" w:hAnsiTheme="minorHAnsi" w:cs="Times New Roman"/>
          <w:sz w:val="22"/>
          <w:szCs w:val="22"/>
          <w:lang w:val="en-US"/>
        </w:rPr>
      </w:pPr>
    </w:p>
    <w:p w:rsidR="00857008" w:rsidRPr="00337C97" w:rsidRDefault="00857008" w:rsidP="005B26F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Scott (2006, p. 239) suggest the existence of an anomaly regarding the EMH. The efficient securities market theory predicts no price reaction to accounting policy changes that do not impact underlying profitability and cash flows. Consequently, if there is no share price reaction, it is unclear why management and regulators should be particularly concerned about the acco</w:t>
      </w:r>
      <w:r w:rsidR="00F57379" w:rsidRPr="00337C97">
        <w:rPr>
          <w:rFonts w:asciiTheme="minorHAnsi" w:hAnsiTheme="minorHAnsi" w:cs="Times New Roman"/>
          <w:sz w:val="22"/>
          <w:szCs w:val="22"/>
          <w:lang w:val="en-US"/>
        </w:rPr>
        <w:t>unting policies that firms use. Efficient markets theory implies the importance of full disclosure, including disclosure of accounting policies.</w:t>
      </w:r>
      <w:r w:rsidR="000C07BB" w:rsidRPr="00337C97">
        <w:rPr>
          <w:rFonts w:asciiTheme="minorHAnsi" w:hAnsiTheme="minorHAnsi" w:cs="Times New Roman"/>
          <w:sz w:val="22"/>
          <w:szCs w:val="22"/>
          <w:lang w:val="en-US"/>
        </w:rPr>
        <w:t xml:space="preserve"> </w:t>
      </w:r>
      <w:r w:rsidR="00DF137D" w:rsidRPr="00337C97">
        <w:rPr>
          <w:rFonts w:asciiTheme="minorHAnsi" w:hAnsiTheme="minorHAnsi" w:cs="Times New Roman"/>
          <w:sz w:val="22"/>
          <w:szCs w:val="22"/>
          <w:lang w:val="en-US"/>
        </w:rPr>
        <w:t>However, once full disclosure of accounting policies is made, the market will interpret the value of the shares in the light of the polici</w:t>
      </w:r>
      <w:r w:rsidR="005B26FD" w:rsidRPr="00337C97">
        <w:rPr>
          <w:rFonts w:asciiTheme="minorHAnsi" w:hAnsiTheme="minorHAnsi" w:cs="Times New Roman"/>
          <w:sz w:val="22"/>
          <w:szCs w:val="22"/>
          <w:lang w:val="en-US"/>
        </w:rPr>
        <w:t>e</w:t>
      </w:r>
      <w:r w:rsidR="00DF137D" w:rsidRPr="00337C97">
        <w:rPr>
          <w:rFonts w:asciiTheme="minorHAnsi" w:hAnsiTheme="minorHAnsi" w:cs="Times New Roman"/>
          <w:sz w:val="22"/>
          <w:szCs w:val="22"/>
          <w:lang w:val="en-US"/>
        </w:rPr>
        <w:t>s used and will not be fooled by variations in accounting numbers that arise solely from diff</w:t>
      </w:r>
      <w:r w:rsidR="00022F0A" w:rsidRPr="00337C97">
        <w:rPr>
          <w:rFonts w:asciiTheme="minorHAnsi" w:hAnsiTheme="minorHAnsi" w:cs="Times New Roman"/>
          <w:sz w:val="22"/>
          <w:szCs w:val="22"/>
          <w:lang w:val="en-US"/>
        </w:rPr>
        <w:t>erences in accounting policies.</w:t>
      </w:r>
    </w:p>
    <w:p w:rsidR="00C85B80" w:rsidRPr="00337C97" w:rsidRDefault="00C85B80" w:rsidP="00411AD6">
      <w:pPr>
        <w:spacing w:line="360" w:lineRule="auto"/>
        <w:jc w:val="both"/>
        <w:outlineLvl w:val="1"/>
        <w:rPr>
          <w:rFonts w:asciiTheme="minorHAnsi" w:hAnsiTheme="minorHAnsi" w:cs="Times New Roman"/>
          <w:sz w:val="22"/>
          <w:szCs w:val="22"/>
          <w:lang w:val="en-US"/>
        </w:rPr>
      </w:pPr>
      <w:bookmarkStart w:id="184" w:name="_Toc241658907"/>
      <w:bookmarkStart w:id="185" w:name="_Toc242584779"/>
      <w:bookmarkStart w:id="186" w:name="_Toc242697416"/>
      <w:bookmarkStart w:id="187" w:name="_Toc242697651"/>
      <w:bookmarkStart w:id="188" w:name="_Toc245187888"/>
    </w:p>
    <w:p w:rsidR="00617E22" w:rsidRPr="00337C97" w:rsidRDefault="00017A9A" w:rsidP="00411AD6">
      <w:pPr>
        <w:spacing w:line="360" w:lineRule="auto"/>
        <w:jc w:val="both"/>
        <w:outlineLvl w:val="1"/>
        <w:rPr>
          <w:rFonts w:asciiTheme="minorHAnsi" w:hAnsiTheme="minorHAnsi" w:cs="Times New Roman"/>
          <w:b/>
          <w:sz w:val="22"/>
          <w:szCs w:val="22"/>
          <w:lang w:val="en-US"/>
        </w:rPr>
      </w:pPr>
      <w:bookmarkStart w:id="189" w:name="_Toc269658932"/>
      <w:r w:rsidRPr="00337C97">
        <w:rPr>
          <w:rFonts w:asciiTheme="minorHAnsi" w:hAnsiTheme="minorHAnsi" w:cs="Times New Roman"/>
          <w:b/>
          <w:sz w:val="22"/>
          <w:szCs w:val="22"/>
          <w:lang w:val="en-US"/>
        </w:rPr>
        <w:t>3.</w:t>
      </w:r>
      <w:r w:rsidR="0060646F" w:rsidRPr="00337C97">
        <w:rPr>
          <w:rFonts w:asciiTheme="minorHAnsi" w:hAnsiTheme="minorHAnsi" w:cs="Times New Roman"/>
          <w:b/>
          <w:sz w:val="22"/>
          <w:szCs w:val="22"/>
          <w:lang w:val="en-US"/>
        </w:rPr>
        <w:t>7</w:t>
      </w:r>
      <w:r w:rsidR="00617E22" w:rsidRPr="00337C97">
        <w:rPr>
          <w:rFonts w:asciiTheme="minorHAnsi" w:hAnsiTheme="minorHAnsi" w:cs="Times New Roman"/>
          <w:b/>
          <w:sz w:val="22"/>
          <w:szCs w:val="22"/>
          <w:lang w:val="en-US"/>
        </w:rPr>
        <w:tab/>
        <w:t>Risk and risk management</w:t>
      </w:r>
      <w:bookmarkEnd w:id="184"/>
      <w:bookmarkEnd w:id="185"/>
      <w:bookmarkEnd w:id="186"/>
      <w:bookmarkEnd w:id="187"/>
      <w:bookmarkEnd w:id="188"/>
      <w:bookmarkEnd w:id="189"/>
    </w:p>
    <w:p w:rsidR="005307F9" w:rsidRPr="00337C97" w:rsidRDefault="005307F9" w:rsidP="009C4CF6">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Risk </w:t>
      </w:r>
      <w:r w:rsidR="005152FA" w:rsidRPr="00337C97">
        <w:rPr>
          <w:rFonts w:asciiTheme="minorHAnsi" w:hAnsiTheme="minorHAnsi"/>
          <w:sz w:val="22"/>
          <w:szCs w:val="22"/>
          <w:lang w:val="en-US"/>
        </w:rPr>
        <w:t xml:space="preserve">is an inescapable element of any business venture. </w:t>
      </w:r>
      <w:r w:rsidR="005B26FD" w:rsidRPr="00337C97">
        <w:rPr>
          <w:rFonts w:asciiTheme="minorHAnsi" w:hAnsiTheme="minorHAnsi"/>
          <w:sz w:val="22"/>
          <w:szCs w:val="22"/>
          <w:lang w:val="en-US"/>
        </w:rPr>
        <w:t xml:space="preserve">The concept of risk relates to a distribution of future outcomes. </w:t>
      </w:r>
      <w:r w:rsidR="00D272AD" w:rsidRPr="00337C97">
        <w:rPr>
          <w:rFonts w:asciiTheme="minorHAnsi" w:hAnsiTheme="minorHAnsi"/>
          <w:sz w:val="22"/>
          <w:szCs w:val="22"/>
          <w:lang w:val="en-US"/>
        </w:rPr>
        <w:t>In a business context, risk can be driven by various external and internal factors or sources. Risk factors comprise, for example, politics, regulation, market, finance</w:t>
      </w:r>
      <w:r w:rsidR="00D81388" w:rsidRPr="00337C97">
        <w:rPr>
          <w:rFonts w:asciiTheme="minorHAnsi" w:hAnsiTheme="minorHAnsi"/>
          <w:sz w:val="22"/>
          <w:szCs w:val="22"/>
          <w:lang w:val="en-US"/>
        </w:rPr>
        <w:t>,</w:t>
      </w:r>
      <w:r w:rsidR="00D272AD" w:rsidRPr="00337C97">
        <w:rPr>
          <w:rFonts w:asciiTheme="minorHAnsi" w:hAnsiTheme="minorHAnsi"/>
          <w:sz w:val="22"/>
          <w:szCs w:val="22"/>
          <w:lang w:val="en-US"/>
        </w:rPr>
        <w:t xml:space="preserve"> business process and personnel. All of them potentially affect an entity’s future performance (Dobler, 2008, p. </w:t>
      </w:r>
      <w:r w:rsidR="00D81388" w:rsidRPr="00337C97">
        <w:rPr>
          <w:rFonts w:asciiTheme="minorHAnsi" w:hAnsiTheme="minorHAnsi"/>
          <w:sz w:val="22"/>
          <w:szCs w:val="22"/>
          <w:lang w:val="en-US"/>
        </w:rPr>
        <w:t>187).</w:t>
      </w:r>
      <w:r w:rsidR="009C4CF6" w:rsidRPr="00337C97">
        <w:rPr>
          <w:rFonts w:asciiTheme="minorHAnsi" w:hAnsiTheme="minorHAnsi"/>
          <w:sz w:val="22"/>
          <w:szCs w:val="22"/>
          <w:lang w:val="en-US"/>
        </w:rPr>
        <w:t xml:space="preserve"> Since risk is mostly associated with losses, Amran et al (2009, p. 40)</w:t>
      </w:r>
      <w:r w:rsidR="00D81388" w:rsidRPr="00337C97">
        <w:rPr>
          <w:rFonts w:asciiTheme="minorHAnsi" w:hAnsiTheme="minorHAnsi"/>
          <w:sz w:val="22"/>
          <w:szCs w:val="22"/>
          <w:lang w:val="en-US"/>
        </w:rPr>
        <w:t xml:space="preserve"> </w:t>
      </w:r>
      <w:r w:rsidR="009C4CF6" w:rsidRPr="00337C97">
        <w:rPr>
          <w:rFonts w:asciiTheme="minorHAnsi" w:hAnsiTheme="minorHAnsi"/>
          <w:sz w:val="22"/>
          <w:szCs w:val="22"/>
          <w:lang w:val="en-US"/>
        </w:rPr>
        <w:t xml:space="preserve">defines risks as conditions that can adversely </w:t>
      </w:r>
      <w:r w:rsidR="005152FA" w:rsidRPr="00337C97">
        <w:rPr>
          <w:rFonts w:asciiTheme="minorHAnsi" w:hAnsiTheme="minorHAnsi"/>
          <w:sz w:val="22"/>
          <w:szCs w:val="22"/>
          <w:lang w:val="en-US"/>
        </w:rPr>
        <w:t>affect the conditions of a company and moreover the price of its securities. Hence,</w:t>
      </w:r>
      <w:r w:rsidR="000600FA" w:rsidRPr="00337C97">
        <w:rPr>
          <w:rFonts w:asciiTheme="minorHAnsi" w:hAnsiTheme="minorHAnsi"/>
          <w:sz w:val="22"/>
          <w:szCs w:val="22"/>
          <w:lang w:val="en-US"/>
        </w:rPr>
        <w:t xml:space="preserve"> it is in the interest of the shar</w:t>
      </w:r>
      <w:r w:rsidR="005152FA" w:rsidRPr="00337C97">
        <w:rPr>
          <w:rFonts w:asciiTheme="minorHAnsi" w:hAnsiTheme="minorHAnsi"/>
          <w:sz w:val="22"/>
          <w:szCs w:val="22"/>
          <w:lang w:val="en-US"/>
        </w:rPr>
        <w:t>eholder that risk</w:t>
      </w:r>
      <w:r w:rsidR="002D1E53" w:rsidRPr="00337C97">
        <w:rPr>
          <w:rFonts w:asciiTheme="minorHAnsi" w:hAnsiTheme="minorHAnsi"/>
          <w:sz w:val="22"/>
          <w:szCs w:val="22"/>
          <w:lang w:val="en-US"/>
        </w:rPr>
        <w:t xml:space="preserve"> related information</w:t>
      </w:r>
      <w:r w:rsidR="005152FA" w:rsidRPr="00337C97">
        <w:rPr>
          <w:rFonts w:asciiTheme="minorHAnsi" w:hAnsiTheme="minorHAnsi"/>
          <w:sz w:val="22"/>
          <w:szCs w:val="22"/>
          <w:lang w:val="en-US"/>
        </w:rPr>
        <w:t xml:space="preserve"> is disclosed in a timely man</w:t>
      </w:r>
      <w:r w:rsidR="00F3731F" w:rsidRPr="00337C97">
        <w:rPr>
          <w:rFonts w:asciiTheme="minorHAnsi" w:hAnsiTheme="minorHAnsi"/>
          <w:sz w:val="22"/>
          <w:szCs w:val="22"/>
          <w:lang w:val="en-US"/>
        </w:rPr>
        <w:t>ner</w:t>
      </w:r>
      <w:r w:rsidR="009C4CF6" w:rsidRPr="00337C97">
        <w:rPr>
          <w:rFonts w:asciiTheme="minorHAnsi" w:hAnsiTheme="minorHAnsi"/>
          <w:sz w:val="22"/>
          <w:szCs w:val="22"/>
          <w:lang w:val="en-US"/>
        </w:rPr>
        <w:t>.</w:t>
      </w:r>
    </w:p>
    <w:p w:rsidR="005152FA" w:rsidRPr="00337C97" w:rsidRDefault="005152FA" w:rsidP="005307F9">
      <w:pPr>
        <w:spacing w:line="360" w:lineRule="auto"/>
        <w:jc w:val="both"/>
        <w:rPr>
          <w:rFonts w:asciiTheme="minorHAnsi" w:hAnsiTheme="minorHAnsi"/>
          <w:sz w:val="22"/>
          <w:szCs w:val="22"/>
          <w:lang w:val="en-US"/>
        </w:rPr>
      </w:pPr>
    </w:p>
    <w:p w:rsidR="002E23F9" w:rsidRPr="00337C97" w:rsidRDefault="002E23F9" w:rsidP="005307F9">
      <w:pPr>
        <w:spacing w:line="360" w:lineRule="auto"/>
        <w:jc w:val="both"/>
        <w:rPr>
          <w:rFonts w:asciiTheme="minorHAnsi" w:hAnsiTheme="minorHAnsi"/>
          <w:sz w:val="22"/>
          <w:szCs w:val="22"/>
          <w:lang w:val="en-US"/>
        </w:rPr>
      </w:pPr>
      <w:r w:rsidRPr="00337C97">
        <w:rPr>
          <w:rFonts w:asciiTheme="minorHAnsi" w:hAnsiTheme="minorHAnsi"/>
          <w:sz w:val="22"/>
          <w:szCs w:val="22"/>
          <w:lang w:val="en-US"/>
        </w:rPr>
        <w:lastRenderedPageBreak/>
        <w:t>Financial institutions operate within increasingly unpredictable and unstable external environments</w:t>
      </w:r>
      <w:r w:rsidR="00FB441A" w:rsidRPr="00337C97">
        <w:rPr>
          <w:rFonts w:asciiTheme="minorHAnsi" w:hAnsiTheme="minorHAnsi"/>
          <w:sz w:val="22"/>
          <w:szCs w:val="22"/>
          <w:lang w:val="en-US"/>
        </w:rPr>
        <w:t>, while</w:t>
      </w:r>
      <w:r w:rsidR="00746907" w:rsidRPr="00337C97">
        <w:rPr>
          <w:rFonts w:asciiTheme="minorHAnsi" w:hAnsiTheme="minorHAnsi"/>
          <w:sz w:val="22"/>
          <w:szCs w:val="22"/>
          <w:lang w:val="en-US"/>
        </w:rPr>
        <w:t xml:space="preserve"> at the same time being at the forefront of advances in risk management techniques, </w:t>
      </w:r>
      <w:r w:rsidRPr="00337C97">
        <w:rPr>
          <w:rFonts w:asciiTheme="minorHAnsi" w:hAnsiTheme="minorHAnsi"/>
          <w:sz w:val="22"/>
          <w:szCs w:val="22"/>
          <w:lang w:val="en-US"/>
        </w:rPr>
        <w:t>according to Linsley and Shrives (2005</w:t>
      </w:r>
      <w:r w:rsidR="00074637" w:rsidRPr="00337C97">
        <w:rPr>
          <w:rFonts w:asciiTheme="minorHAnsi" w:hAnsiTheme="minorHAnsi"/>
          <w:sz w:val="22"/>
          <w:szCs w:val="22"/>
          <w:lang w:val="en-US"/>
        </w:rPr>
        <w:t>a</w:t>
      </w:r>
      <w:r w:rsidRPr="00337C97">
        <w:rPr>
          <w:rFonts w:asciiTheme="minorHAnsi" w:hAnsiTheme="minorHAnsi"/>
          <w:sz w:val="22"/>
          <w:szCs w:val="22"/>
          <w:lang w:val="en-US"/>
        </w:rPr>
        <w:t xml:space="preserve">, p. 205). Amran et al. (2009, p. 40) </w:t>
      </w:r>
      <w:r w:rsidR="0001358F" w:rsidRPr="00337C97">
        <w:rPr>
          <w:rFonts w:asciiTheme="minorHAnsi" w:hAnsiTheme="minorHAnsi"/>
          <w:sz w:val="22"/>
          <w:szCs w:val="22"/>
          <w:lang w:val="en-US"/>
        </w:rPr>
        <w:t>acknowledge</w:t>
      </w:r>
      <w:r w:rsidRPr="00337C97">
        <w:rPr>
          <w:rFonts w:asciiTheme="minorHAnsi" w:hAnsiTheme="minorHAnsi"/>
          <w:sz w:val="22"/>
          <w:szCs w:val="22"/>
          <w:lang w:val="en-US"/>
        </w:rPr>
        <w:t xml:space="preserve"> the increasing complexity of doing business</w:t>
      </w:r>
      <w:r w:rsidR="00554252" w:rsidRPr="00337C97">
        <w:rPr>
          <w:rFonts w:asciiTheme="minorHAnsi" w:hAnsiTheme="minorHAnsi"/>
          <w:sz w:val="22"/>
          <w:szCs w:val="22"/>
          <w:lang w:val="en-US"/>
        </w:rPr>
        <w:t xml:space="preserve">, which </w:t>
      </w:r>
      <w:r w:rsidRPr="00337C97">
        <w:rPr>
          <w:rFonts w:asciiTheme="minorHAnsi" w:hAnsiTheme="minorHAnsi"/>
          <w:sz w:val="22"/>
          <w:szCs w:val="22"/>
          <w:lang w:val="en-US"/>
        </w:rPr>
        <w:t>has evoked a situation in which risk management has become an important and integral part of the company’s internal control and governance in order to achieve its plans and objectives. Amran et al. (2009, p. 40) define risk management as “the methods and processes used by organizations to manage risks (or seize opportunities) related to the achie</w:t>
      </w:r>
      <w:r w:rsidR="00F3731F" w:rsidRPr="00337C97">
        <w:rPr>
          <w:rFonts w:asciiTheme="minorHAnsi" w:hAnsiTheme="minorHAnsi"/>
          <w:sz w:val="22"/>
          <w:szCs w:val="22"/>
          <w:lang w:val="en-US"/>
        </w:rPr>
        <w:t>vement of their objectives”.</w:t>
      </w:r>
      <w:r w:rsidR="003A5045" w:rsidRPr="00337C97">
        <w:rPr>
          <w:rFonts w:asciiTheme="minorHAnsi" w:hAnsiTheme="minorHAnsi"/>
          <w:sz w:val="22"/>
          <w:szCs w:val="22"/>
          <w:lang w:val="en-US"/>
        </w:rPr>
        <w:t xml:space="preserve"> Risk management is, according to Solomon et al</w:t>
      </w:r>
      <w:r w:rsidR="0025190E" w:rsidRPr="00337C97">
        <w:rPr>
          <w:rFonts w:asciiTheme="minorHAnsi" w:hAnsiTheme="minorHAnsi"/>
          <w:sz w:val="22"/>
          <w:szCs w:val="22"/>
          <w:lang w:val="en-US"/>
        </w:rPr>
        <w:t>.</w:t>
      </w:r>
      <w:r w:rsidR="003A5045" w:rsidRPr="00337C97">
        <w:rPr>
          <w:rFonts w:asciiTheme="minorHAnsi" w:hAnsiTheme="minorHAnsi"/>
          <w:sz w:val="22"/>
          <w:szCs w:val="22"/>
          <w:lang w:val="en-US"/>
        </w:rPr>
        <w:t xml:space="preserve"> (2000, p. 448), essential for the maximization of shareholders’ wealth as it aims to maximize profitability while at the same time reducing the probability of financial failure.</w:t>
      </w:r>
    </w:p>
    <w:p w:rsidR="00B11D76" w:rsidRPr="00337C97" w:rsidRDefault="00B11D76" w:rsidP="005307F9">
      <w:pPr>
        <w:spacing w:line="360" w:lineRule="auto"/>
        <w:jc w:val="both"/>
        <w:rPr>
          <w:rFonts w:asciiTheme="minorHAnsi" w:hAnsiTheme="minorHAnsi"/>
          <w:sz w:val="22"/>
          <w:szCs w:val="22"/>
          <w:lang w:val="en-US"/>
        </w:rPr>
      </w:pPr>
    </w:p>
    <w:p w:rsidR="00B7768D" w:rsidRPr="00337C97" w:rsidRDefault="00B11D76" w:rsidP="005307F9">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Risk management and internal control evidently overlap. The objectives of a company, its internal </w:t>
      </w:r>
      <w:r w:rsidR="00FB441A" w:rsidRPr="00337C97">
        <w:rPr>
          <w:rFonts w:asciiTheme="minorHAnsi" w:hAnsiTheme="minorHAnsi"/>
          <w:sz w:val="22"/>
          <w:szCs w:val="22"/>
          <w:lang w:val="en-US"/>
        </w:rPr>
        <w:t>organization</w:t>
      </w:r>
      <w:r w:rsidRPr="00337C97">
        <w:rPr>
          <w:rFonts w:asciiTheme="minorHAnsi" w:hAnsiTheme="minorHAnsi"/>
          <w:sz w:val="22"/>
          <w:szCs w:val="22"/>
          <w:lang w:val="en-US"/>
        </w:rPr>
        <w:t xml:space="preserve"> and the environment in which it operates are continually evolving and, as a result, the risks it faces are continually changing. A sound system of internal control therefore depends on a thorough and regular evaluation </w:t>
      </w:r>
      <w:r w:rsidR="006B1A80" w:rsidRPr="00337C97">
        <w:rPr>
          <w:rFonts w:asciiTheme="minorHAnsi" w:hAnsiTheme="minorHAnsi"/>
          <w:sz w:val="22"/>
          <w:szCs w:val="22"/>
          <w:lang w:val="en-US"/>
        </w:rPr>
        <w:t>of the nature and extent of the risks t</w:t>
      </w:r>
      <w:r w:rsidR="00B7768D" w:rsidRPr="00337C97">
        <w:rPr>
          <w:rFonts w:asciiTheme="minorHAnsi" w:hAnsiTheme="minorHAnsi"/>
          <w:sz w:val="22"/>
          <w:szCs w:val="22"/>
          <w:lang w:val="en-US"/>
        </w:rPr>
        <w:t>o which the company is exposed. Indeed, profits are more or less the reward for successful risk-taking in business and the purpose of internal control is to help manage and control risk appropriately rather than to eliminate it</w:t>
      </w:r>
      <w:r w:rsidR="00A055AD" w:rsidRPr="00337C97">
        <w:rPr>
          <w:rFonts w:asciiTheme="minorHAnsi" w:hAnsiTheme="minorHAnsi"/>
          <w:sz w:val="22"/>
          <w:szCs w:val="22"/>
          <w:lang w:val="en-US"/>
        </w:rPr>
        <w:t xml:space="preserve"> (Financial Reporting Council, 2005, p. 3).</w:t>
      </w:r>
    </w:p>
    <w:p w:rsidR="00A055AD" w:rsidRPr="00337C97" w:rsidRDefault="00A055AD" w:rsidP="005307F9">
      <w:pPr>
        <w:spacing w:line="360" w:lineRule="auto"/>
        <w:jc w:val="both"/>
        <w:rPr>
          <w:rFonts w:asciiTheme="minorHAnsi" w:hAnsiTheme="minorHAnsi"/>
          <w:sz w:val="22"/>
          <w:szCs w:val="22"/>
          <w:lang w:val="en-US"/>
        </w:rPr>
      </w:pPr>
    </w:p>
    <w:p w:rsidR="00086276" w:rsidRPr="00337C97" w:rsidRDefault="00F72926" w:rsidP="005307F9">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Lajili and Zeghal (2005) describe a </w:t>
      </w:r>
      <w:r w:rsidR="00567CE3" w:rsidRPr="00337C97">
        <w:rPr>
          <w:rFonts w:asciiTheme="minorHAnsi" w:hAnsiTheme="minorHAnsi"/>
          <w:sz w:val="22"/>
          <w:szCs w:val="22"/>
          <w:lang w:val="en-US"/>
        </w:rPr>
        <w:t xml:space="preserve">typical </w:t>
      </w:r>
      <w:r w:rsidRPr="00337C97">
        <w:rPr>
          <w:rFonts w:asciiTheme="minorHAnsi" w:hAnsiTheme="minorHAnsi"/>
          <w:sz w:val="22"/>
          <w:szCs w:val="22"/>
          <w:lang w:val="en-US"/>
        </w:rPr>
        <w:t>risk management framework</w:t>
      </w:r>
      <w:r w:rsidR="00567CE3" w:rsidRPr="00337C97">
        <w:rPr>
          <w:rFonts w:asciiTheme="minorHAnsi" w:hAnsiTheme="minorHAnsi"/>
          <w:sz w:val="22"/>
          <w:szCs w:val="22"/>
          <w:lang w:val="en-US"/>
        </w:rPr>
        <w:t xml:space="preserve"> involving a few processes. First</w:t>
      </w:r>
      <w:r w:rsidR="0001358F" w:rsidRPr="00337C97">
        <w:rPr>
          <w:rFonts w:asciiTheme="minorHAnsi" w:hAnsiTheme="minorHAnsi"/>
          <w:sz w:val="22"/>
          <w:szCs w:val="22"/>
          <w:lang w:val="en-US"/>
        </w:rPr>
        <w:t>ly</w:t>
      </w:r>
      <w:r w:rsidR="00567CE3" w:rsidRPr="00337C97">
        <w:rPr>
          <w:rFonts w:asciiTheme="minorHAnsi" w:hAnsiTheme="minorHAnsi"/>
          <w:sz w:val="22"/>
          <w:szCs w:val="22"/>
          <w:lang w:val="en-US"/>
        </w:rPr>
        <w:t>, there is the identification, measurement and assessment of risk types that a company might face. Second</w:t>
      </w:r>
      <w:r w:rsidR="0001358F" w:rsidRPr="00337C97">
        <w:rPr>
          <w:rFonts w:asciiTheme="minorHAnsi" w:hAnsiTheme="minorHAnsi"/>
          <w:sz w:val="22"/>
          <w:szCs w:val="22"/>
          <w:lang w:val="en-US"/>
        </w:rPr>
        <w:t>ly</w:t>
      </w:r>
      <w:r w:rsidR="00567CE3" w:rsidRPr="00337C97">
        <w:rPr>
          <w:rFonts w:asciiTheme="minorHAnsi" w:hAnsiTheme="minorHAnsi"/>
          <w:sz w:val="22"/>
          <w:szCs w:val="22"/>
          <w:lang w:val="en-US"/>
        </w:rPr>
        <w:t xml:space="preserve">, a response model has to be formulated to tackle risks. The risk bearing capacity, risk reduction or mitigation procedures need </w:t>
      </w:r>
      <w:r w:rsidR="001A1C06" w:rsidRPr="00337C97">
        <w:rPr>
          <w:rFonts w:asciiTheme="minorHAnsi" w:hAnsiTheme="minorHAnsi"/>
          <w:sz w:val="22"/>
          <w:szCs w:val="22"/>
          <w:lang w:val="en-US"/>
        </w:rPr>
        <w:t xml:space="preserve">also </w:t>
      </w:r>
      <w:r w:rsidR="00567CE3" w:rsidRPr="00337C97">
        <w:rPr>
          <w:rFonts w:asciiTheme="minorHAnsi" w:hAnsiTheme="minorHAnsi"/>
          <w:sz w:val="22"/>
          <w:szCs w:val="22"/>
          <w:lang w:val="en-US"/>
        </w:rPr>
        <w:t xml:space="preserve">to be determined. Finally, </w:t>
      </w:r>
      <w:r w:rsidR="0001358F" w:rsidRPr="00337C97">
        <w:rPr>
          <w:rFonts w:asciiTheme="minorHAnsi" w:hAnsiTheme="minorHAnsi"/>
          <w:sz w:val="22"/>
          <w:szCs w:val="22"/>
          <w:lang w:val="en-US"/>
        </w:rPr>
        <w:t xml:space="preserve">the implementation of all the actions planned as proposed by the response model needs to be monitored and checked. Amran et al. (2009, p. 41) argue that by identifying and proactively addressing risks and opportunities, the company protects and creates value for their stakeholders. </w:t>
      </w:r>
      <w:r w:rsidR="00086276" w:rsidRPr="00337C97">
        <w:rPr>
          <w:rFonts w:asciiTheme="minorHAnsi" w:hAnsiTheme="minorHAnsi"/>
          <w:sz w:val="22"/>
          <w:szCs w:val="22"/>
          <w:lang w:val="en-US"/>
        </w:rPr>
        <w:t>Such risk management has been mandated to be disclosed by the accounting standard boards in some developed countries. However, risk management disclosure is still very much volunt</w:t>
      </w:r>
      <w:r w:rsidR="00022F0A" w:rsidRPr="00337C97">
        <w:rPr>
          <w:rFonts w:asciiTheme="minorHAnsi" w:hAnsiTheme="minorHAnsi"/>
          <w:sz w:val="22"/>
          <w:szCs w:val="22"/>
          <w:lang w:val="en-US"/>
        </w:rPr>
        <w:t>ary in many parts of the world.</w:t>
      </w:r>
    </w:p>
    <w:p w:rsidR="00273FE3" w:rsidRPr="00337C97" w:rsidRDefault="00273FE3" w:rsidP="00273FE3">
      <w:pPr>
        <w:spacing w:line="360" w:lineRule="auto"/>
        <w:jc w:val="both"/>
        <w:rPr>
          <w:rFonts w:asciiTheme="minorHAnsi" w:hAnsiTheme="minorHAnsi"/>
          <w:sz w:val="22"/>
          <w:szCs w:val="22"/>
          <w:lang w:val="en-US"/>
        </w:rPr>
      </w:pPr>
    </w:p>
    <w:p w:rsidR="003F6500" w:rsidRPr="00337C97" w:rsidRDefault="009F2F43" w:rsidP="003F6500">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In curr</w:t>
      </w:r>
      <w:r w:rsidR="003F6500" w:rsidRPr="00337C97">
        <w:rPr>
          <w:rFonts w:asciiTheme="minorHAnsi" w:hAnsiTheme="minorHAnsi"/>
          <w:sz w:val="22"/>
          <w:szCs w:val="22"/>
          <w:lang w:val="en-US"/>
        </w:rPr>
        <w:t xml:space="preserve">ent risk management practices </w:t>
      </w:r>
      <w:r w:rsidRPr="00337C97">
        <w:rPr>
          <w:rFonts w:asciiTheme="minorHAnsi" w:hAnsiTheme="minorHAnsi"/>
          <w:sz w:val="22"/>
          <w:szCs w:val="22"/>
          <w:lang w:val="en-US"/>
        </w:rPr>
        <w:t>Value-at-Risk</w:t>
      </w:r>
      <w:r w:rsidR="004130AC" w:rsidRPr="00337C97">
        <w:rPr>
          <w:rFonts w:asciiTheme="minorHAnsi" w:hAnsiTheme="minorHAnsi"/>
          <w:sz w:val="22"/>
          <w:szCs w:val="22"/>
          <w:lang w:val="en-US"/>
        </w:rPr>
        <w:t xml:space="preserve"> </w:t>
      </w:r>
      <w:r w:rsidR="003F6500" w:rsidRPr="00337C97">
        <w:rPr>
          <w:rFonts w:asciiTheme="minorHAnsi" w:hAnsiTheme="minorHAnsi"/>
          <w:sz w:val="22"/>
          <w:szCs w:val="22"/>
          <w:lang w:val="en-US"/>
        </w:rPr>
        <w:t>(VaR</w:t>
      </w:r>
      <w:r w:rsidRPr="00337C97">
        <w:rPr>
          <w:rFonts w:asciiTheme="minorHAnsi" w:hAnsiTheme="minorHAnsi"/>
          <w:sz w:val="22"/>
          <w:szCs w:val="22"/>
          <w:lang w:val="en-US"/>
        </w:rPr>
        <w:t>) is a major tool. VaR refers to the maximum likely loss from an exposure for a given time horizon and solvency standard</w:t>
      </w:r>
      <w:r w:rsidR="003F6500" w:rsidRPr="00337C97">
        <w:rPr>
          <w:rFonts w:asciiTheme="minorHAnsi" w:hAnsiTheme="minorHAnsi"/>
          <w:sz w:val="22"/>
          <w:szCs w:val="22"/>
          <w:lang w:val="en-US"/>
        </w:rPr>
        <w:t xml:space="preserve"> and result in information that can be easily disclosed</w:t>
      </w:r>
      <w:r w:rsidRPr="00337C97">
        <w:rPr>
          <w:rFonts w:asciiTheme="minorHAnsi" w:hAnsiTheme="minorHAnsi"/>
          <w:sz w:val="22"/>
          <w:szCs w:val="22"/>
          <w:lang w:val="en-US"/>
        </w:rPr>
        <w:t xml:space="preserve">. </w:t>
      </w:r>
      <w:r w:rsidR="003F6500" w:rsidRPr="00337C97">
        <w:rPr>
          <w:rFonts w:asciiTheme="minorHAnsi" w:hAnsiTheme="minorHAnsi"/>
          <w:sz w:val="22"/>
          <w:szCs w:val="22"/>
          <w:lang w:val="en-US"/>
        </w:rPr>
        <w:t xml:space="preserve">However, a </w:t>
      </w:r>
      <w:r w:rsidR="004130AC" w:rsidRPr="00337C97">
        <w:rPr>
          <w:rFonts w:asciiTheme="minorHAnsi" w:hAnsiTheme="minorHAnsi"/>
          <w:sz w:val="22"/>
          <w:szCs w:val="22"/>
          <w:lang w:val="en-US"/>
        </w:rPr>
        <w:t xml:space="preserve">main </w:t>
      </w:r>
      <w:r w:rsidR="003F6500" w:rsidRPr="00337C97">
        <w:rPr>
          <w:rFonts w:asciiTheme="minorHAnsi" w:hAnsiTheme="minorHAnsi"/>
          <w:sz w:val="22"/>
          <w:szCs w:val="22"/>
          <w:lang w:val="en-US"/>
        </w:rPr>
        <w:t xml:space="preserve">problem with this tool is its scope: the tool applies only to a small proportion of </w:t>
      </w:r>
      <w:r w:rsidR="004130AC" w:rsidRPr="00337C97">
        <w:rPr>
          <w:rFonts w:asciiTheme="minorHAnsi" w:hAnsiTheme="minorHAnsi"/>
          <w:sz w:val="22"/>
          <w:szCs w:val="22"/>
          <w:lang w:val="en-US"/>
        </w:rPr>
        <w:t xml:space="preserve">financial </w:t>
      </w:r>
      <w:r w:rsidR="003F6500" w:rsidRPr="00337C97">
        <w:rPr>
          <w:rFonts w:asciiTheme="minorHAnsi" w:hAnsiTheme="minorHAnsi"/>
          <w:sz w:val="22"/>
          <w:szCs w:val="22"/>
          <w:lang w:val="en-US"/>
        </w:rPr>
        <w:t xml:space="preserve">risk: market risk in trading activities. The assumption of a neutral attitude towards risk, such that large losses with low probability are not penalized in capital </w:t>
      </w:r>
      <w:r w:rsidR="003F6500" w:rsidRPr="00337C97">
        <w:rPr>
          <w:rFonts w:asciiTheme="minorHAnsi" w:hAnsiTheme="minorHAnsi"/>
          <w:sz w:val="22"/>
          <w:szCs w:val="22"/>
          <w:lang w:val="en-US"/>
        </w:rPr>
        <w:lastRenderedPageBreak/>
        <w:t>requirements more than small losses with larger probability of occurrence is problematic as operational risks are underesti</w:t>
      </w:r>
      <w:r w:rsidR="004130AC" w:rsidRPr="00337C97">
        <w:rPr>
          <w:rFonts w:asciiTheme="minorHAnsi" w:hAnsiTheme="minorHAnsi"/>
          <w:sz w:val="22"/>
          <w:szCs w:val="22"/>
          <w:lang w:val="en-US"/>
        </w:rPr>
        <w:t xml:space="preserve">mated (Sundmacher, 2006, p. 3). </w:t>
      </w:r>
      <w:bookmarkStart w:id="190" w:name="_Toc241658908"/>
      <w:bookmarkStart w:id="191" w:name="_Toc242584780"/>
      <w:bookmarkStart w:id="192" w:name="_Toc242697417"/>
      <w:bookmarkStart w:id="193" w:name="_Toc242697652"/>
    </w:p>
    <w:p w:rsidR="004130AC" w:rsidRPr="00337C97" w:rsidRDefault="004130AC" w:rsidP="003F6500">
      <w:pPr>
        <w:spacing w:line="360" w:lineRule="auto"/>
        <w:jc w:val="both"/>
        <w:rPr>
          <w:rFonts w:asciiTheme="minorHAnsi" w:hAnsiTheme="minorHAnsi"/>
          <w:sz w:val="22"/>
          <w:szCs w:val="22"/>
          <w:lang w:val="en-US"/>
        </w:rPr>
      </w:pPr>
    </w:p>
    <w:p w:rsidR="005D0B3B" w:rsidRPr="00337C97" w:rsidRDefault="00293338" w:rsidP="00017C30">
      <w:pPr>
        <w:spacing w:line="360" w:lineRule="auto"/>
        <w:jc w:val="both"/>
        <w:outlineLvl w:val="1"/>
        <w:rPr>
          <w:rFonts w:asciiTheme="minorHAnsi" w:hAnsiTheme="minorHAnsi"/>
          <w:sz w:val="22"/>
          <w:szCs w:val="22"/>
          <w:lang w:val="en-US"/>
        </w:rPr>
      </w:pPr>
      <w:bookmarkStart w:id="194" w:name="_Toc245187889"/>
      <w:bookmarkStart w:id="195" w:name="_Toc269658933"/>
      <w:r w:rsidRPr="00337C97">
        <w:rPr>
          <w:rFonts w:asciiTheme="minorHAnsi" w:hAnsiTheme="minorHAnsi"/>
          <w:b/>
          <w:sz w:val="22"/>
          <w:szCs w:val="22"/>
          <w:lang w:val="en-US"/>
        </w:rPr>
        <w:t>3.</w:t>
      </w:r>
      <w:r w:rsidR="0060646F" w:rsidRPr="00337C97">
        <w:rPr>
          <w:rFonts w:asciiTheme="minorHAnsi" w:hAnsiTheme="minorHAnsi"/>
          <w:b/>
          <w:sz w:val="22"/>
          <w:szCs w:val="22"/>
          <w:lang w:val="en-US"/>
        </w:rPr>
        <w:t>8</w:t>
      </w:r>
      <w:r w:rsidRPr="00337C97">
        <w:rPr>
          <w:rFonts w:asciiTheme="minorHAnsi" w:hAnsiTheme="minorHAnsi"/>
          <w:b/>
          <w:sz w:val="22"/>
          <w:szCs w:val="22"/>
          <w:lang w:val="en-US"/>
        </w:rPr>
        <w:tab/>
        <w:t>Banks and</w:t>
      </w:r>
      <w:r w:rsidR="00993261" w:rsidRPr="00337C97">
        <w:rPr>
          <w:rFonts w:asciiTheme="minorHAnsi" w:hAnsiTheme="minorHAnsi"/>
          <w:b/>
          <w:sz w:val="22"/>
          <w:szCs w:val="22"/>
          <w:lang w:val="en-US"/>
        </w:rPr>
        <w:t xml:space="preserve"> their</w:t>
      </w:r>
      <w:r w:rsidRPr="00337C97">
        <w:rPr>
          <w:rFonts w:asciiTheme="minorHAnsi" w:hAnsiTheme="minorHAnsi"/>
          <w:b/>
          <w:sz w:val="22"/>
          <w:szCs w:val="22"/>
          <w:lang w:val="en-US"/>
        </w:rPr>
        <w:t xml:space="preserve"> </w:t>
      </w:r>
      <w:r w:rsidR="00BE10A0" w:rsidRPr="00337C97">
        <w:rPr>
          <w:rFonts w:asciiTheme="minorHAnsi" w:hAnsiTheme="minorHAnsi"/>
          <w:b/>
          <w:sz w:val="22"/>
          <w:szCs w:val="22"/>
          <w:lang w:val="en-US"/>
        </w:rPr>
        <w:t xml:space="preserve">(specific) </w:t>
      </w:r>
      <w:r w:rsidRPr="00337C97">
        <w:rPr>
          <w:rFonts w:asciiTheme="minorHAnsi" w:hAnsiTheme="minorHAnsi"/>
          <w:b/>
          <w:sz w:val="22"/>
          <w:szCs w:val="22"/>
          <w:lang w:val="en-US"/>
        </w:rPr>
        <w:t>risks</w:t>
      </w:r>
      <w:bookmarkEnd w:id="190"/>
      <w:bookmarkEnd w:id="191"/>
      <w:bookmarkEnd w:id="192"/>
      <w:bookmarkEnd w:id="193"/>
      <w:bookmarkEnd w:id="194"/>
      <w:bookmarkEnd w:id="195"/>
    </w:p>
    <w:p w:rsidR="00665DC5" w:rsidRPr="00337C97" w:rsidRDefault="00792DD4" w:rsidP="00BA528E">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Banks are in the risk business. In the process of providing financial services, they assume va</w:t>
      </w:r>
      <w:r w:rsidR="00D81388" w:rsidRPr="00337C97">
        <w:rPr>
          <w:rFonts w:asciiTheme="minorHAnsi" w:hAnsiTheme="minorHAnsi" w:cs="Times New Roman"/>
          <w:sz w:val="22"/>
          <w:szCs w:val="22"/>
          <w:lang w:val="en-US"/>
        </w:rPr>
        <w:t>rious kinds of financial risks (Santomero, 199</w:t>
      </w:r>
      <w:r w:rsidR="00BA528E" w:rsidRPr="00337C97">
        <w:rPr>
          <w:rFonts w:asciiTheme="minorHAnsi" w:hAnsiTheme="minorHAnsi" w:cs="Times New Roman"/>
          <w:sz w:val="22"/>
          <w:szCs w:val="22"/>
          <w:lang w:val="en-US"/>
        </w:rPr>
        <w:t>7</w:t>
      </w:r>
      <w:r w:rsidR="00D81388" w:rsidRPr="00337C97">
        <w:rPr>
          <w:rFonts w:asciiTheme="minorHAnsi" w:hAnsiTheme="minorHAnsi" w:cs="Times New Roman"/>
          <w:sz w:val="22"/>
          <w:szCs w:val="22"/>
          <w:lang w:val="en-US"/>
        </w:rPr>
        <w:t>, p. 2). The risks associated with the provision of banking services differ by the type of service rendered. For the sector as a whole</w:t>
      </w:r>
      <w:r w:rsidR="00665DC5" w:rsidRPr="00337C97">
        <w:rPr>
          <w:rFonts w:asciiTheme="minorHAnsi" w:hAnsiTheme="minorHAnsi" w:cs="Times New Roman"/>
          <w:sz w:val="22"/>
          <w:szCs w:val="22"/>
          <w:lang w:val="en-US"/>
        </w:rPr>
        <w:t xml:space="preserve">, risks can be classified into </w:t>
      </w:r>
      <w:r w:rsidR="00DE2CC6" w:rsidRPr="00337C97">
        <w:rPr>
          <w:rFonts w:asciiTheme="minorHAnsi" w:hAnsiTheme="minorHAnsi" w:cs="Times New Roman"/>
          <w:sz w:val="22"/>
          <w:szCs w:val="22"/>
          <w:lang w:val="en-US"/>
        </w:rPr>
        <w:t>a number of</w:t>
      </w:r>
      <w:r w:rsidR="00665DC5" w:rsidRPr="00337C97">
        <w:rPr>
          <w:rFonts w:asciiTheme="minorHAnsi" w:hAnsiTheme="minorHAnsi" w:cs="Times New Roman"/>
          <w:sz w:val="22"/>
          <w:szCs w:val="22"/>
          <w:lang w:val="en-US"/>
        </w:rPr>
        <w:t xml:space="preserve"> generic types. Based upon the classifications of S</w:t>
      </w:r>
      <w:r w:rsidR="00BA528E" w:rsidRPr="00337C97">
        <w:rPr>
          <w:rFonts w:asciiTheme="minorHAnsi" w:hAnsiTheme="minorHAnsi" w:cs="Times New Roman"/>
          <w:sz w:val="22"/>
          <w:szCs w:val="22"/>
          <w:lang w:val="en-US"/>
        </w:rPr>
        <w:t>antomero (1997</w:t>
      </w:r>
      <w:r w:rsidR="002D4430" w:rsidRPr="00337C97">
        <w:rPr>
          <w:rFonts w:asciiTheme="minorHAnsi" w:hAnsiTheme="minorHAnsi" w:cs="Times New Roman"/>
          <w:sz w:val="22"/>
          <w:szCs w:val="22"/>
          <w:lang w:val="en-US"/>
        </w:rPr>
        <w:t>, p. 8-10</w:t>
      </w:r>
      <w:r w:rsidR="008E248F" w:rsidRPr="00337C97">
        <w:rPr>
          <w:rFonts w:asciiTheme="minorHAnsi" w:hAnsiTheme="minorHAnsi" w:cs="Times New Roman"/>
          <w:sz w:val="22"/>
          <w:szCs w:val="22"/>
          <w:lang w:val="en-US"/>
        </w:rPr>
        <w:t>) and Pyle (1997</w:t>
      </w:r>
      <w:r w:rsidR="002D4430" w:rsidRPr="00337C97">
        <w:rPr>
          <w:rFonts w:asciiTheme="minorHAnsi" w:hAnsiTheme="minorHAnsi" w:cs="Times New Roman"/>
          <w:sz w:val="22"/>
          <w:szCs w:val="22"/>
          <w:lang w:val="en-US"/>
        </w:rPr>
        <w:t>, p. 3</w:t>
      </w:r>
      <w:r w:rsidR="008E248F" w:rsidRPr="00337C97">
        <w:rPr>
          <w:rFonts w:asciiTheme="minorHAnsi" w:hAnsiTheme="minorHAnsi" w:cs="Times New Roman"/>
          <w:sz w:val="22"/>
          <w:szCs w:val="22"/>
          <w:lang w:val="en-US"/>
        </w:rPr>
        <w:t xml:space="preserve">) the following </w:t>
      </w:r>
      <w:r w:rsidR="0025190E" w:rsidRPr="00337C97">
        <w:rPr>
          <w:rFonts w:asciiTheme="minorHAnsi" w:hAnsiTheme="minorHAnsi" w:cs="Times New Roman"/>
          <w:sz w:val="22"/>
          <w:szCs w:val="22"/>
          <w:lang w:val="en-US"/>
        </w:rPr>
        <w:t xml:space="preserve">major </w:t>
      </w:r>
      <w:r w:rsidR="008E248F" w:rsidRPr="00337C97">
        <w:rPr>
          <w:rFonts w:asciiTheme="minorHAnsi" w:hAnsiTheme="minorHAnsi" w:cs="Times New Roman"/>
          <w:sz w:val="22"/>
          <w:szCs w:val="22"/>
          <w:lang w:val="en-US"/>
        </w:rPr>
        <w:t xml:space="preserve">risks </w:t>
      </w:r>
      <w:r w:rsidR="004130AC" w:rsidRPr="00337C97">
        <w:rPr>
          <w:rFonts w:asciiTheme="minorHAnsi" w:hAnsiTheme="minorHAnsi" w:cs="Times New Roman"/>
          <w:sz w:val="22"/>
          <w:szCs w:val="22"/>
          <w:lang w:val="en-US"/>
        </w:rPr>
        <w:t xml:space="preserve">areas </w:t>
      </w:r>
      <w:r w:rsidR="008E248F" w:rsidRPr="00337C97">
        <w:rPr>
          <w:rFonts w:asciiTheme="minorHAnsi" w:hAnsiTheme="minorHAnsi" w:cs="Times New Roman"/>
          <w:sz w:val="22"/>
          <w:szCs w:val="22"/>
          <w:lang w:val="en-US"/>
        </w:rPr>
        <w:t xml:space="preserve">can be distinguished:  </w:t>
      </w:r>
      <w:r w:rsidR="001702EE" w:rsidRPr="00337C97">
        <w:rPr>
          <w:rFonts w:asciiTheme="minorHAnsi" w:hAnsiTheme="minorHAnsi" w:cs="Times New Roman"/>
          <w:sz w:val="22"/>
          <w:szCs w:val="22"/>
          <w:lang w:val="en-US"/>
        </w:rPr>
        <w:t xml:space="preserve">(1) </w:t>
      </w:r>
      <w:r w:rsidR="001702EE" w:rsidRPr="00337C97">
        <w:rPr>
          <w:rFonts w:asciiTheme="minorHAnsi" w:hAnsiTheme="minorHAnsi" w:cs="Times New Roman"/>
          <w:i/>
          <w:iCs/>
          <w:sz w:val="22"/>
          <w:szCs w:val="22"/>
          <w:lang w:val="en-US"/>
        </w:rPr>
        <w:t>market risk</w:t>
      </w:r>
      <w:r w:rsidR="001702EE" w:rsidRPr="00337C97">
        <w:rPr>
          <w:rFonts w:asciiTheme="minorHAnsi" w:hAnsiTheme="minorHAnsi" w:cs="Times New Roman"/>
          <w:sz w:val="22"/>
          <w:szCs w:val="22"/>
          <w:lang w:val="en-US"/>
        </w:rPr>
        <w:t xml:space="preserve">; (2) </w:t>
      </w:r>
      <w:r w:rsidR="002D4430" w:rsidRPr="00337C97">
        <w:rPr>
          <w:rFonts w:asciiTheme="minorHAnsi" w:hAnsiTheme="minorHAnsi" w:cs="Times New Roman"/>
          <w:i/>
          <w:iCs/>
          <w:sz w:val="22"/>
          <w:szCs w:val="22"/>
          <w:lang w:val="en-US"/>
        </w:rPr>
        <w:t>credit risk</w:t>
      </w:r>
      <w:r w:rsidR="001702EE" w:rsidRPr="00337C97">
        <w:rPr>
          <w:rFonts w:asciiTheme="minorHAnsi" w:hAnsiTheme="minorHAnsi" w:cs="Times New Roman"/>
          <w:sz w:val="22"/>
          <w:szCs w:val="22"/>
          <w:lang w:val="en-US"/>
        </w:rPr>
        <w:t xml:space="preserve">; (3) </w:t>
      </w:r>
      <w:r w:rsidR="002D4430" w:rsidRPr="00337C97">
        <w:rPr>
          <w:rFonts w:asciiTheme="minorHAnsi" w:hAnsiTheme="minorHAnsi" w:cs="Times New Roman"/>
          <w:i/>
          <w:iCs/>
          <w:sz w:val="22"/>
          <w:szCs w:val="22"/>
          <w:lang w:val="en-US"/>
        </w:rPr>
        <w:t>liquidity risk</w:t>
      </w:r>
      <w:r w:rsidR="001702EE" w:rsidRPr="00337C97">
        <w:rPr>
          <w:rFonts w:asciiTheme="minorHAnsi" w:hAnsiTheme="minorHAnsi" w:cs="Times New Roman"/>
          <w:sz w:val="22"/>
          <w:szCs w:val="22"/>
          <w:lang w:val="en-US"/>
        </w:rPr>
        <w:t xml:space="preserve">; </w:t>
      </w:r>
      <w:r w:rsidR="002D4430" w:rsidRPr="00337C97">
        <w:rPr>
          <w:rFonts w:asciiTheme="minorHAnsi" w:hAnsiTheme="minorHAnsi" w:cs="Times New Roman"/>
          <w:sz w:val="22"/>
          <w:szCs w:val="22"/>
          <w:lang w:val="en-US"/>
        </w:rPr>
        <w:t>(4</w:t>
      </w:r>
      <w:r w:rsidR="001702EE" w:rsidRPr="00337C97">
        <w:rPr>
          <w:rFonts w:asciiTheme="minorHAnsi" w:hAnsiTheme="minorHAnsi" w:cs="Times New Roman"/>
          <w:sz w:val="22"/>
          <w:szCs w:val="22"/>
          <w:lang w:val="en-US"/>
        </w:rPr>
        <w:t xml:space="preserve">) </w:t>
      </w:r>
      <w:r w:rsidR="002D4430" w:rsidRPr="00337C97">
        <w:rPr>
          <w:rFonts w:asciiTheme="minorHAnsi" w:hAnsiTheme="minorHAnsi" w:cs="Times New Roman"/>
          <w:i/>
          <w:iCs/>
          <w:sz w:val="22"/>
          <w:szCs w:val="22"/>
          <w:lang w:val="en-US"/>
        </w:rPr>
        <w:t>operational risk</w:t>
      </w:r>
      <w:r w:rsidR="002D4430" w:rsidRPr="00337C97">
        <w:rPr>
          <w:rFonts w:asciiTheme="minorHAnsi" w:hAnsiTheme="minorHAnsi" w:cs="Times New Roman"/>
          <w:sz w:val="22"/>
          <w:szCs w:val="22"/>
          <w:lang w:val="en-US"/>
        </w:rPr>
        <w:t xml:space="preserve"> and (5) </w:t>
      </w:r>
      <w:r w:rsidR="002D4430" w:rsidRPr="00337C97">
        <w:rPr>
          <w:rFonts w:asciiTheme="minorHAnsi" w:hAnsiTheme="minorHAnsi" w:cs="Times New Roman"/>
          <w:i/>
          <w:iCs/>
          <w:sz w:val="22"/>
          <w:szCs w:val="22"/>
          <w:lang w:val="en-US"/>
        </w:rPr>
        <w:t>legal risk</w:t>
      </w:r>
      <w:r w:rsidR="002D4430" w:rsidRPr="00337C97">
        <w:rPr>
          <w:rFonts w:asciiTheme="minorHAnsi" w:hAnsiTheme="minorHAnsi" w:cs="Times New Roman"/>
          <w:sz w:val="22"/>
          <w:szCs w:val="22"/>
          <w:lang w:val="en-US"/>
        </w:rPr>
        <w:t xml:space="preserve">. </w:t>
      </w:r>
      <w:r w:rsidR="002C1AF4" w:rsidRPr="00337C97">
        <w:rPr>
          <w:rFonts w:asciiTheme="minorHAnsi" w:hAnsiTheme="minorHAnsi" w:cs="Times New Roman"/>
          <w:sz w:val="22"/>
          <w:szCs w:val="22"/>
          <w:lang w:val="en-US"/>
        </w:rPr>
        <w:t xml:space="preserve">All financial institutions face all these risks to some extent. </w:t>
      </w:r>
      <w:r w:rsidR="002D4430" w:rsidRPr="00337C97">
        <w:rPr>
          <w:rFonts w:asciiTheme="minorHAnsi" w:hAnsiTheme="minorHAnsi" w:cs="Times New Roman"/>
          <w:sz w:val="22"/>
          <w:szCs w:val="22"/>
          <w:lang w:val="en-US"/>
        </w:rPr>
        <w:t>The next par</w:t>
      </w:r>
      <w:r w:rsidR="00560881" w:rsidRPr="00337C97">
        <w:rPr>
          <w:rFonts w:asciiTheme="minorHAnsi" w:hAnsiTheme="minorHAnsi" w:cs="Times New Roman"/>
          <w:sz w:val="22"/>
          <w:szCs w:val="22"/>
          <w:lang w:val="en-US"/>
        </w:rPr>
        <w:t xml:space="preserve">agraph will explain these risks, as major sources of value loss, </w:t>
      </w:r>
      <w:r w:rsidR="002D4430" w:rsidRPr="00337C97">
        <w:rPr>
          <w:rFonts w:asciiTheme="minorHAnsi" w:hAnsiTheme="minorHAnsi" w:cs="Times New Roman"/>
          <w:sz w:val="22"/>
          <w:szCs w:val="22"/>
          <w:lang w:val="en-US"/>
        </w:rPr>
        <w:t>related to banking activities.</w:t>
      </w:r>
    </w:p>
    <w:p w:rsidR="00665DC5" w:rsidRPr="00337C97" w:rsidRDefault="00665DC5" w:rsidP="00665DC5">
      <w:pPr>
        <w:spacing w:line="360" w:lineRule="auto"/>
        <w:jc w:val="both"/>
        <w:rPr>
          <w:rFonts w:asciiTheme="minorHAnsi" w:hAnsiTheme="minorHAnsi" w:cs="Times New Roman"/>
          <w:sz w:val="22"/>
          <w:szCs w:val="22"/>
          <w:lang w:val="en-US"/>
        </w:rPr>
      </w:pPr>
    </w:p>
    <w:p w:rsidR="00560881" w:rsidRPr="00337C97" w:rsidRDefault="00560881" w:rsidP="007876D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Pyle (1997, p. 3) defines risk in the same way as Amran</w:t>
      </w:r>
      <w:r w:rsidR="007876DA" w:rsidRPr="00337C97">
        <w:rPr>
          <w:rFonts w:asciiTheme="minorHAnsi" w:hAnsiTheme="minorHAnsi" w:cs="Times New Roman"/>
          <w:sz w:val="22"/>
          <w:szCs w:val="22"/>
          <w:lang w:val="en-US"/>
        </w:rPr>
        <w:t xml:space="preserve"> et al.</w:t>
      </w:r>
      <w:r w:rsidRPr="00337C97">
        <w:rPr>
          <w:rFonts w:asciiTheme="minorHAnsi" w:hAnsiTheme="minorHAnsi" w:cs="Times New Roman"/>
          <w:sz w:val="22"/>
          <w:szCs w:val="22"/>
          <w:lang w:val="en-US"/>
        </w:rPr>
        <w:t xml:space="preserve"> (</w:t>
      </w:r>
      <w:r w:rsidR="007876DA" w:rsidRPr="00337C97">
        <w:rPr>
          <w:rFonts w:asciiTheme="minorHAnsi" w:hAnsiTheme="minorHAnsi" w:cs="Times New Roman"/>
          <w:sz w:val="22"/>
          <w:szCs w:val="22"/>
          <w:lang w:val="en-US"/>
        </w:rPr>
        <w:t>see previous paragraph</w:t>
      </w:r>
      <w:r w:rsidRPr="00337C97">
        <w:rPr>
          <w:rFonts w:asciiTheme="minorHAnsi" w:hAnsiTheme="minorHAnsi" w:cs="Times New Roman"/>
          <w:sz w:val="22"/>
          <w:szCs w:val="22"/>
          <w:lang w:val="en-US"/>
        </w:rPr>
        <w:t>).</w:t>
      </w:r>
      <w:r w:rsidR="00346518" w:rsidRPr="00337C97">
        <w:rPr>
          <w:rFonts w:asciiTheme="minorHAnsi" w:hAnsiTheme="minorHAnsi" w:cs="Times New Roman"/>
          <w:sz w:val="22"/>
          <w:szCs w:val="22"/>
          <w:lang w:val="en-US"/>
        </w:rPr>
        <w:t xml:space="preserve"> R</w:t>
      </w:r>
      <w:r w:rsidRPr="00337C97">
        <w:rPr>
          <w:rFonts w:asciiTheme="minorHAnsi" w:hAnsiTheme="minorHAnsi" w:cs="Times New Roman"/>
          <w:sz w:val="22"/>
          <w:szCs w:val="22"/>
          <w:lang w:val="en-US"/>
        </w:rPr>
        <w:t xml:space="preserve">isk </w:t>
      </w:r>
      <w:r w:rsidR="00346518" w:rsidRPr="00337C97">
        <w:rPr>
          <w:rFonts w:asciiTheme="minorHAnsi" w:hAnsiTheme="minorHAnsi" w:cs="Times New Roman"/>
          <w:sz w:val="22"/>
          <w:szCs w:val="22"/>
          <w:lang w:val="en-US"/>
        </w:rPr>
        <w:t xml:space="preserve">in the banking context </w:t>
      </w:r>
      <w:r w:rsidRPr="00337C97">
        <w:rPr>
          <w:rFonts w:asciiTheme="minorHAnsi" w:hAnsiTheme="minorHAnsi" w:cs="Times New Roman"/>
          <w:sz w:val="22"/>
          <w:szCs w:val="22"/>
          <w:lang w:val="en-US"/>
        </w:rPr>
        <w:t xml:space="preserve">can be defined as reductions in firm value due to changes in the business environment. </w:t>
      </w:r>
      <w:r w:rsidRPr="00337C97">
        <w:rPr>
          <w:rFonts w:asciiTheme="minorHAnsi" w:hAnsiTheme="minorHAnsi" w:cs="Times New Roman"/>
          <w:i/>
          <w:iCs/>
          <w:sz w:val="22"/>
          <w:szCs w:val="22"/>
          <w:lang w:val="en-US"/>
        </w:rPr>
        <w:t>Market</w:t>
      </w:r>
      <w:r w:rsidRPr="00337C97">
        <w:rPr>
          <w:rFonts w:asciiTheme="minorHAnsi" w:hAnsiTheme="minorHAnsi" w:cs="Times New Roman"/>
          <w:sz w:val="22"/>
          <w:szCs w:val="22"/>
          <w:lang w:val="en-US"/>
        </w:rPr>
        <w:t xml:space="preserve"> </w:t>
      </w:r>
      <w:r w:rsidRPr="00337C97">
        <w:rPr>
          <w:rFonts w:asciiTheme="minorHAnsi" w:hAnsiTheme="minorHAnsi" w:cs="Times New Roman"/>
          <w:i/>
          <w:iCs/>
          <w:sz w:val="22"/>
          <w:szCs w:val="22"/>
          <w:lang w:val="en-US"/>
        </w:rPr>
        <w:t>risk</w:t>
      </w:r>
      <w:r w:rsidR="007477CA" w:rsidRPr="00337C97">
        <w:rPr>
          <w:rFonts w:asciiTheme="minorHAnsi" w:hAnsiTheme="minorHAnsi" w:cs="Times New Roman"/>
          <w:sz w:val="22"/>
          <w:szCs w:val="22"/>
          <w:lang w:val="en-US"/>
        </w:rPr>
        <w:t xml:space="preserve"> (1)</w:t>
      </w:r>
      <w:r w:rsidRPr="00337C97">
        <w:rPr>
          <w:rFonts w:asciiTheme="minorHAnsi" w:hAnsiTheme="minorHAnsi" w:cs="Times New Roman"/>
          <w:i/>
          <w:iCs/>
          <w:sz w:val="22"/>
          <w:szCs w:val="22"/>
          <w:lang w:val="en-US"/>
        </w:rPr>
        <w:t xml:space="preserve"> </w:t>
      </w:r>
      <w:r w:rsidRPr="00337C97">
        <w:rPr>
          <w:rFonts w:asciiTheme="minorHAnsi" w:hAnsiTheme="minorHAnsi" w:cs="Times New Roman"/>
          <w:sz w:val="22"/>
          <w:szCs w:val="22"/>
          <w:lang w:val="en-US"/>
        </w:rPr>
        <w:t>is the change in net asset value due to changes in underlying economic factors such as interest rates, exchange rates and equity and commodity prices (Pyle, 1997, p. 3). Santomero (199</w:t>
      </w:r>
      <w:r w:rsidR="00BA528E" w:rsidRPr="00337C97">
        <w:rPr>
          <w:rFonts w:asciiTheme="minorHAnsi" w:hAnsiTheme="minorHAnsi" w:cs="Times New Roman"/>
          <w:sz w:val="22"/>
          <w:szCs w:val="22"/>
          <w:lang w:val="en-US"/>
        </w:rPr>
        <w:t>7</w:t>
      </w:r>
      <w:r w:rsidRPr="00337C97">
        <w:rPr>
          <w:rFonts w:asciiTheme="minorHAnsi" w:hAnsiTheme="minorHAnsi" w:cs="Times New Roman"/>
          <w:sz w:val="22"/>
          <w:szCs w:val="22"/>
          <w:lang w:val="en-US"/>
        </w:rPr>
        <w:t xml:space="preserve">, p. 8) classifies market risk </w:t>
      </w:r>
      <w:r w:rsidR="00582E06" w:rsidRPr="00337C97">
        <w:rPr>
          <w:rFonts w:asciiTheme="minorHAnsi" w:hAnsiTheme="minorHAnsi" w:cs="Times New Roman"/>
          <w:sz w:val="22"/>
          <w:szCs w:val="22"/>
          <w:lang w:val="en-US"/>
        </w:rPr>
        <w:t>somewhat different under</w:t>
      </w:r>
      <w:r w:rsidRPr="00337C97">
        <w:rPr>
          <w:rFonts w:asciiTheme="minorHAnsi" w:hAnsiTheme="minorHAnsi" w:cs="Times New Roman"/>
          <w:sz w:val="22"/>
          <w:szCs w:val="22"/>
          <w:lang w:val="en-US"/>
        </w:rPr>
        <w:t xml:space="preserve"> </w:t>
      </w:r>
      <w:r w:rsidRPr="00337C97">
        <w:rPr>
          <w:rFonts w:asciiTheme="minorHAnsi" w:hAnsiTheme="minorHAnsi" w:cs="Times New Roman"/>
          <w:i/>
          <w:iCs/>
          <w:sz w:val="22"/>
          <w:szCs w:val="22"/>
          <w:lang w:val="en-US"/>
        </w:rPr>
        <w:t>systematic risk</w:t>
      </w:r>
      <w:r w:rsidRPr="00337C97">
        <w:rPr>
          <w:rFonts w:asciiTheme="minorHAnsi" w:hAnsiTheme="minorHAnsi" w:cs="Times New Roman"/>
          <w:sz w:val="22"/>
          <w:szCs w:val="22"/>
          <w:lang w:val="en-US"/>
        </w:rPr>
        <w:t>. All investors assume this type of risk, whenever assets own</w:t>
      </w:r>
      <w:r w:rsidR="00697582" w:rsidRPr="00337C97">
        <w:rPr>
          <w:rFonts w:asciiTheme="minorHAnsi" w:hAnsiTheme="minorHAnsi" w:cs="Times New Roman"/>
          <w:sz w:val="22"/>
          <w:szCs w:val="22"/>
          <w:lang w:val="en-US"/>
        </w:rPr>
        <w:t xml:space="preserve">ed or claims issued can change in value as a result of broad economic factors. For the banking sector, Santomero mentions two factors of greatest concern, namely variations in the general level of interest rates and the relative value of currencies. </w:t>
      </w:r>
      <w:r w:rsidR="00647EFB" w:rsidRPr="00337C97">
        <w:rPr>
          <w:rFonts w:asciiTheme="minorHAnsi" w:hAnsiTheme="minorHAnsi" w:cs="Times New Roman"/>
          <w:sz w:val="22"/>
          <w:szCs w:val="22"/>
          <w:lang w:val="en-US"/>
        </w:rPr>
        <w:t>Banks try to estimate the impact of these particular systematic risks on performance, attempt to hedge against them and thus limit the sensitivity to variations in these factors (Santomero, 199</w:t>
      </w:r>
      <w:r w:rsidR="00BA528E" w:rsidRPr="00337C97">
        <w:rPr>
          <w:rFonts w:asciiTheme="minorHAnsi" w:hAnsiTheme="minorHAnsi" w:cs="Times New Roman"/>
          <w:sz w:val="22"/>
          <w:szCs w:val="22"/>
          <w:lang w:val="en-US"/>
        </w:rPr>
        <w:t>7</w:t>
      </w:r>
      <w:r w:rsidR="00647EFB" w:rsidRPr="00337C97">
        <w:rPr>
          <w:rFonts w:asciiTheme="minorHAnsi" w:hAnsiTheme="minorHAnsi" w:cs="Times New Roman"/>
          <w:sz w:val="22"/>
          <w:szCs w:val="22"/>
          <w:lang w:val="en-US"/>
        </w:rPr>
        <w:t>, p. 8)</w:t>
      </w:r>
      <w:r w:rsidR="00346518" w:rsidRPr="00337C97">
        <w:rPr>
          <w:rFonts w:asciiTheme="minorHAnsi" w:hAnsiTheme="minorHAnsi" w:cs="Times New Roman"/>
          <w:sz w:val="22"/>
          <w:szCs w:val="22"/>
          <w:lang w:val="en-US"/>
        </w:rPr>
        <w:t>.</w:t>
      </w:r>
    </w:p>
    <w:p w:rsidR="00560881" w:rsidRPr="00337C97" w:rsidRDefault="00560881" w:rsidP="00560881">
      <w:pPr>
        <w:spacing w:line="360" w:lineRule="auto"/>
        <w:jc w:val="both"/>
        <w:rPr>
          <w:rFonts w:asciiTheme="minorHAnsi" w:hAnsiTheme="minorHAnsi" w:cs="Times New Roman"/>
          <w:sz w:val="22"/>
          <w:szCs w:val="22"/>
          <w:lang w:val="en-US"/>
        </w:rPr>
      </w:pPr>
    </w:p>
    <w:p w:rsidR="00582E06" w:rsidRPr="00337C97" w:rsidRDefault="00560881" w:rsidP="00BA528E">
      <w:pPr>
        <w:spacing w:line="360" w:lineRule="auto"/>
        <w:jc w:val="both"/>
        <w:rPr>
          <w:rFonts w:asciiTheme="minorHAnsi" w:hAnsiTheme="minorHAnsi" w:cs="Times New Roman"/>
          <w:sz w:val="22"/>
          <w:szCs w:val="22"/>
          <w:lang w:val="en-US"/>
        </w:rPr>
      </w:pPr>
      <w:r w:rsidRPr="00337C97">
        <w:rPr>
          <w:rFonts w:asciiTheme="minorHAnsi" w:hAnsiTheme="minorHAnsi" w:cs="Times New Roman"/>
          <w:i/>
          <w:iCs/>
          <w:sz w:val="22"/>
          <w:szCs w:val="22"/>
          <w:lang w:val="en-US"/>
        </w:rPr>
        <w:t>Credit risk</w:t>
      </w:r>
      <w:r w:rsidR="007477CA" w:rsidRPr="00337C97">
        <w:rPr>
          <w:rFonts w:asciiTheme="minorHAnsi" w:hAnsiTheme="minorHAnsi" w:cs="Times New Roman"/>
          <w:sz w:val="22"/>
          <w:szCs w:val="22"/>
          <w:lang w:val="en-US"/>
        </w:rPr>
        <w:t xml:space="preserve"> (2)</w:t>
      </w:r>
      <w:r w:rsidRPr="00337C97">
        <w:rPr>
          <w:rFonts w:asciiTheme="minorHAnsi" w:hAnsiTheme="minorHAnsi" w:cs="Times New Roman"/>
          <w:i/>
          <w:iCs/>
          <w:sz w:val="22"/>
          <w:szCs w:val="22"/>
          <w:lang w:val="en-US"/>
        </w:rPr>
        <w:t xml:space="preserve"> </w:t>
      </w:r>
      <w:r w:rsidRPr="00337C97">
        <w:rPr>
          <w:rFonts w:asciiTheme="minorHAnsi" w:hAnsiTheme="minorHAnsi" w:cs="Times New Roman"/>
          <w:sz w:val="22"/>
          <w:szCs w:val="22"/>
          <w:lang w:val="en-US"/>
        </w:rPr>
        <w:t xml:space="preserve">is the change in net asset value due to changes </w:t>
      </w:r>
      <w:r w:rsidR="00346518" w:rsidRPr="00337C97">
        <w:rPr>
          <w:rFonts w:asciiTheme="minorHAnsi" w:hAnsiTheme="minorHAnsi" w:cs="Times New Roman"/>
          <w:sz w:val="22"/>
          <w:szCs w:val="22"/>
          <w:lang w:val="en-US"/>
        </w:rPr>
        <w:t xml:space="preserve">in </w:t>
      </w:r>
      <w:r w:rsidRPr="00337C97">
        <w:rPr>
          <w:rFonts w:asciiTheme="minorHAnsi" w:hAnsiTheme="minorHAnsi" w:cs="Times New Roman"/>
          <w:sz w:val="22"/>
          <w:szCs w:val="22"/>
          <w:lang w:val="en-US"/>
        </w:rPr>
        <w:t>the perceived ability of counterparties to meet their contractual obligatio</w:t>
      </w:r>
      <w:r w:rsidR="00346518" w:rsidRPr="00337C97">
        <w:rPr>
          <w:rFonts w:asciiTheme="minorHAnsi" w:hAnsiTheme="minorHAnsi" w:cs="Times New Roman"/>
          <w:sz w:val="22"/>
          <w:szCs w:val="22"/>
          <w:lang w:val="en-US"/>
        </w:rPr>
        <w:t xml:space="preserve">ns (Pyle, 1997, p. 3). It arises from non-performance by a borrower and may arise from either an inability or an unwillingness to perform in the pre-committed contract manner. The real risk from credit is the deviation of portfolio performance from its expected value. As such, credit risk is diversifiable, but difficult to eliminate completely. </w:t>
      </w:r>
      <w:r w:rsidR="00582E06" w:rsidRPr="00337C97">
        <w:rPr>
          <w:rFonts w:asciiTheme="minorHAnsi" w:hAnsiTheme="minorHAnsi" w:cs="Times New Roman"/>
          <w:sz w:val="22"/>
          <w:szCs w:val="22"/>
          <w:lang w:val="en-US"/>
        </w:rPr>
        <w:t>In fact</w:t>
      </w:r>
      <w:r w:rsidR="00346518" w:rsidRPr="00337C97">
        <w:rPr>
          <w:rFonts w:asciiTheme="minorHAnsi" w:hAnsiTheme="minorHAnsi" w:cs="Times New Roman"/>
          <w:sz w:val="22"/>
          <w:szCs w:val="22"/>
          <w:lang w:val="en-US"/>
        </w:rPr>
        <w:t>, a portion of the default risk may result from the systematic risk outlined</w:t>
      </w:r>
      <w:r w:rsidR="00582E06" w:rsidRPr="00337C97">
        <w:rPr>
          <w:rFonts w:asciiTheme="minorHAnsi" w:hAnsiTheme="minorHAnsi" w:cs="Times New Roman"/>
          <w:sz w:val="22"/>
          <w:szCs w:val="22"/>
          <w:lang w:val="en-US"/>
        </w:rPr>
        <w:t xml:space="preserve"> above. </w:t>
      </w:r>
      <w:r w:rsidR="00582E06" w:rsidRPr="00337C97">
        <w:rPr>
          <w:rFonts w:asciiTheme="minorHAnsi" w:hAnsiTheme="minorHAnsi" w:cs="Times New Roman"/>
          <w:i/>
          <w:iCs/>
          <w:sz w:val="22"/>
          <w:szCs w:val="22"/>
          <w:lang w:val="en-US"/>
        </w:rPr>
        <w:t>Counterparty risk</w:t>
      </w:r>
      <w:r w:rsidR="00582E06" w:rsidRPr="00337C97">
        <w:rPr>
          <w:rFonts w:asciiTheme="minorHAnsi" w:hAnsiTheme="minorHAnsi" w:cs="Times New Roman"/>
          <w:sz w:val="22"/>
          <w:szCs w:val="22"/>
          <w:lang w:val="en-US"/>
        </w:rPr>
        <w:t xml:space="preserve"> can be seen as a form of credit risk, as it comes from non-performance of a trading partner. However, Santomero points out that counterparty risk is generally viewed as a more transient financial risk associated with trading than standard creditor default risk (Santomero, 199</w:t>
      </w:r>
      <w:r w:rsidR="00BA528E" w:rsidRPr="00337C97">
        <w:rPr>
          <w:rFonts w:asciiTheme="minorHAnsi" w:hAnsiTheme="minorHAnsi" w:cs="Times New Roman"/>
          <w:sz w:val="22"/>
          <w:szCs w:val="22"/>
          <w:lang w:val="en-US"/>
        </w:rPr>
        <w:t>7</w:t>
      </w:r>
      <w:r w:rsidR="00582E06" w:rsidRPr="00337C97">
        <w:rPr>
          <w:rFonts w:asciiTheme="minorHAnsi" w:hAnsiTheme="minorHAnsi" w:cs="Times New Roman"/>
          <w:sz w:val="22"/>
          <w:szCs w:val="22"/>
          <w:lang w:val="en-US"/>
        </w:rPr>
        <w:t xml:space="preserve">, p. </w:t>
      </w:r>
      <w:r w:rsidR="007477CA" w:rsidRPr="00337C97">
        <w:rPr>
          <w:rFonts w:asciiTheme="minorHAnsi" w:hAnsiTheme="minorHAnsi" w:cs="Times New Roman"/>
          <w:sz w:val="22"/>
          <w:szCs w:val="22"/>
          <w:lang w:val="en-US"/>
        </w:rPr>
        <w:t>9</w:t>
      </w:r>
      <w:r w:rsidR="00582E06" w:rsidRPr="00337C97">
        <w:rPr>
          <w:rFonts w:asciiTheme="minorHAnsi" w:hAnsiTheme="minorHAnsi" w:cs="Times New Roman"/>
          <w:sz w:val="22"/>
          <w:szCs w:val="22"/>
          <w:lang w:val="en-US"/>
        </w:rPr>
        <w:t>).</w:t>
      </w:r>
    </w:p>
    <w:p w:rsidR="000632AC" w:rsidRPr="00337C97" w:rsidRDefault="000632AC" w:rsidP="00DE2CC6">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Leenaars (2003, p. 341) </w:t>
      </w:r>
      <w:r w:rsidR="00235F17" w:rsidRPr="00337C97">
        <w:rPr>
          <w:rFonts w:asciiTheme="minorHAnsi" w:hAnsiTheme="minorHAnsi" w:cs="Times New Roman"/>
          <w:sz w:val="22"/>
          <w:szCs w:val="22"/>
          <w:lang w:val="en-US"/>
        </w:rPr>
        <w:t>asserts</w:t>
      </w:r>
      <w:r w:rsidRPr="00337C97">
        <w:rPr>
          <w:rFonts w:asciiTheme="minorHAnsi" w:hAnsiTheme="minorHAnsi" w:cs="Times New Roman"/>
          <w:sz w:val="22"/>
          <w:szCs w:val="22"/>
          <w:lang w:val="en-US"/>
        </w:rPr>
        <w:t xml:space="preserve"> that </w:t>
      </w:r>
      <w:r w:rsidRPr="00337C97">
        <w:rPr>
          <w:rFonts w:asciiTheme="minorHAnsi" w:hAnsiTheme="minorHAnsi" w:cs="Times New Roman"/>
          <w:i/>
          <w:sz w:val="22"/>
          <w:szCs w:val="22"/>
          <w:lang w:val="en-US"/>
        </w:rPr>
        <w:t>liquidity risk</w:t>
      </w:r>
      <w:r w:rsidRPr="00337C97">
        <w:rPr>
          <w:rFonts w:asciiTheme="minorHAnsi" w:hAnsiTheme="minorHAnsi" w:cs="Times New Roman"/>
          <w:sz w:val="22"/>
          <w:szCs w:val="22"/>
          <w:lang w:val="en-US"/>
        </w:rPr>
        <w:t xml:space="preserve"> (3) has three perspectives: the inability of the bank to (re)finance against normal costs, the liquidity risk of the market and the liquidity risk of the type of assets. </w:t>
      </w:r>
      <w:r w:rsidR="00601F1A" w:rsidRPr="00337C97">
        <w:rPr>
          <w:rFonts w:asciiTheme="minorHAnsi" w:hAnsiTheme="minorHAnsi" w:cs="Times New Roman"/>
          <w:sz w:val="22"/>
          <w:szCs w:val="22"/>
          <w:lang w:val="en-US"/>
        </w:rPr>
        <w:t xml:space="preserve">Santomero (1997, p. 10) describes liquidity risk as the risk of a funding crisis. </w:t>
      </w:r>
      <w:r w:rsidR="007477CA" w:rsidRPr="00337C97">
        <w:rPr>
          <w:rFonts w:asciiTheme="minorHAnsi" w:hAnsiTheme="minorHAnsi" w:cs="Times New Roman"/>
          <w:sz w:val="22"/>
          <w:szCs w:val="22"/>
          <w:lang w:val="en-US"/>
        </w:rPr>
        <w:t>Such a situation would inevitably be associated with an unexpected event, such as a large charge off, loss of confidence or a crisis of national proportion. The recent credit crunch is an example of a funding crisis. Risk management activities need to focus on liquidity faci</w:t>
      </w:r>
      <w:r w:rsidRPr="00337C97">
        <w:rPr>
          <w:rFonts w:asciiTheme="minorHAnsi" w:hAnsiTheme="minorHAnsi" w:cs="Times New Roman"/>
          <w:sz w:val="22"/>
          <w:szCs w:val="22"/>
          <w:lang w:val="en-US"/>
        </w:rPr>
        <w:t>lities and portfolio structure.</w:t>
      </w:r>
    </w:p>
    <w:p w:rsidR="000632AC" w:rsidRPr="00337C97" w:rsidRDefault="000632AC" w:rsidP="00DE2CC6">
      <w:pPr>
        <w:spacing w:line="360" w:lineRule="auto"/>
        <w:jc w:val="both"/>
        <w:rPr>
          <w:rFonts w:asciiTheme="minorHAnsi" w:hAnsiTheme="minorHAnsi" w:cs="Times New Roman"/>
          <w:sz w:val="22"/>
          <w:szCs w:val="22"/>
          <w:lang w:val="en-US"/>
        </w:rPr>
      </w:pPr>
    </w:p>
    <w:p w:rsidR="007477CA" w:rsidRPr="00337C97" w:rsidRDefault="007477CA" w:rsidP="00DE2CC6">
      <w:pPr>
        <w:spacing w:line="360" w:lineRule="auto"/>
        <w:jc w:val="both"/>
        <w:rPr>
          <w:rFonts w:asciiTheme="minorHAnsi" w:hAnsiTheme="minorHAnsi" w:cs="Times New Roman"/>
          <w:sz w:val="22"/>
          <w:szCs w:val="22"/>
          <w:lang w:val="en-US"/>
        </w:rPr>
      </w:pPr>
      <w:r w:rsidRPr="00337C97">
        <w:rPr>
          <w:rFonts w:asciiTheme="minorHAnsi" w:hAnsiTheme="minorHAnsi" w:cs="Times New Roman"/>
          <w:i/>
          <w:iCs/>
          <w:sz w:val="22"/>
          <w:szCs w:val="22"/>
          <w:lang w:val="en-US"/>
        </w:rPr>
        <w:t>Operational risk</w:t>
      </w:r>
      <w:r w:rsidRPr="00337C97">
        <w:rPr>
          <w:rFonts w:asciiTheme="minorHAnsi" w:hAnsiTheme="minorHAnsi" w:cs="Times New Roman"/>
          <w:sz w:val="22"/>
          <w:szCs w:val="22"/>
          <w:lang w:val="en-US"/>
        </w:rPr>
        <w:t xml:space="preserve"> (4) arises from costs incurred through mistakes made in processing, settling, and taking or making delivery on trades in exchange for cash. It also arises in record keeping, processing system failures and compliance with various regulations (Santomero, 199</w:t>
      </w:r>
      <w:r w:rsidR="00BA528E" w:rsidRPr="00337C97">
        <w:rPr>
          <w:rFonts w:asciiTheme="minorHAnsi" w:hAnsiTheme="minorHAnsi" w:cs="Times New Roman"/>
          <w:sz w:val="22"/>
          <w:szCs w:val="22"/>
          <w:lang w:val="en-US"/>
        </w:rPr>
        <w:t>7</w:t>
      </w:r>
      <w:r w:rsidRPr="00337C97">
        <w:rPr>
          <w:rFonts w:asciiTheme="minorHAnsi" w:hAnsiTheme="minorHAnsi" w:cs="Times New Roman"/>
          <w:sz w:val="22"/>
          <w:szCs w:val="22"/>
          <w:lang w:val="en-US"/>
        </w:rPr>
        <w:t>, p. 10)</w:t>
      </w:r>
      <w:r w:rsidR="00601F1A" w:rsidRPr="00337C97">
        <w:rPr>
          <w:rFonts w:asciiTheme="minorHAnsi" w:hAnsiTheme="minorHAnsi" w:cs="Times New Roman"/>
          <w:sz w:val="22"/>
          <w:szCs w:val="22"/>
          <w:lang w:val="en-US"/>
        </w:rPr>
        <w:t xml:space="preserve">. </w:t>
      </w:r>
      <w:r w:rsidR="00272265" w:rsidRPr="00337C97">
        <w:rPr>
          <w:rFonts w:asciiTheme="minorHAnsi" w:hAnsiTheme="minorHAnsi" w:cs="Times New Roman"/>
          <w:sz w:val="22"/>
          <w:szCs w:val="22"/>
          <w:lang w:val="en-US"/>
        </w:rPr>
        <w:t>Operational risk is clearly a multitude</w:t>
      </w:r>
      <w:r w:rsidR="00006EBA" w:rsidRPr="00337C97">
        <w:rPr>
          <w:rFonts w:asciiTheme="minorHAnsi" w:hAnsiTheme="minorHAnsi" w:cs="Times New Roman"/>
          <w:sz w:val="22"/>
          <w:szCs w:val="22"/>
          <w:lang w:val="en-US"/>
        </w:rPr>
        <w:t xml:space="preserve"> of different risks that, if preferred, separately can be appointed (Leenaars, 2003, p. 346).</w:t>
      </w:r>
    </w:p>
    <w:p w:rsidR="00006EBA" w:rsidRPr="00337C97" w:rsidRDefault="00006EBA" w:rsidP="002C1AF4">
      <w:pPr>
        <w:spacing w:line="360" w:lineRule="auto"/>
        <w:jc w:val="both"/>
        <w:rPr>
          <w:rFonts w:asciiTheme="minorHAnsi" w:hAnsiTheme="minorHAnsi" w:cs="Courier New"/>
          <w:color w:val="000000"/>
          <w:lang w:val="en-US" w:eastAsia="nl-NL" w:bidi="ar-SA"/>
        </w:rPr>
      </w:pPr>
    </w:p>
    <w:p w:rsidR="00DE2CC6" w:rsidRPr="00337C97" w:rsidRDefault="00DE2CC6" w:rsidP="002C1AF4">
      <w:pPr>
        <w:spacing w:line="360" w:lineRule="auto"/>
        <w:jc w:val="both"/>
        <w:rPr>
          <w:rFonts w:asciiTheme="minorHAnsi" w:hAnsiTheme="minorHAnsi" w:cs="Times New Roman"/>
          <w:sz w:val="22"/>
          <w:szCs w:val="22"/>
          <w:lang w:val="en-US"/>
        </w:rPr>
      </w:pPr>
      <w:r w:rsidRPr="00337C97">
        <w:rPr>
          <w:rFonts w:asciiTheme="minorHAnsi" w:hAnsiTheme="minorHAnsi" w:cs="Times New Roman"/>
          <w:i/>
          <w:iCs/>
          <w:sz w:val="22"/>
          <w:szCs w:val="22"/>
          <w:lang w:val="en-US"/>
        </w:rPr>
        <w:t xml:space="preserve">Legal risks </w:t>
      </w:r>
      <w:r w:rsidRPr="00337C97">
        <w:rPr>
          <w:rFonts w:asciiTheme="minorHAnsi" w:hAnsiTheme="minorHAnsi" w:cs="Times New Roman"/>
          <w:sz w:val="22"/>
          <w:szCs w:val="22"/>
          <w:lang w:val="en-US"/>
        </w:rPr>
        <w:t>(5) are endemic in financial contracting and are separate from legal ramifications of credit, counterparty and operational risks. New statutes, tax legislation and regulations can put formerly well-established transaction into contention even when al parties have previously performed adequately and are fully able to perform in the future. A second type of legal risk arises from inside the company. Fraud, violation of regulations or laws and other actions by management or employees</w:t>
      </w:r>
      <w:r w:rsidR="007D795E" w:rsidRPr="00337C97">
        <w:rPr>
          <w:rFonts w:asciiTheme="minorHAnsi" w:hAnsiTheme="minorHAnsi" w:cs="Times New Roman"/>
          <w:sz w:val="22"/>
          <w:szCs w:val="22"/>
          <w:lang w:val="en-US"/>
        </w:rPr>
        <w:t xml:space="preserve"> can lead to catastrophic loss (Santomero, 1997, p. 10)</w:t>
      </w:r>
      <w:r w:rsidR="00022F0A" w:rsidRPr="00337C97">
        <w:rPr>
          <w:rFonts w:asciiTheme="minorHAnsi" w:hAnsiTheme="minorHAnsi" w:cs="Times New Roman"/>
          <w:sz w:val="22"/>
          <w:szCs w:val="22"/>
          <w:lang w:val="en-US"/>
        </w:rPr>
        <w:t>.</w:t>
      </w:r>
    </w:p>
    <w:p w:rsidR="0007637F" w:rsidRPr="00337C97" w:rsidRDefault="0007637F" w:rsidP="00273FE3">
      <w:pPr>
        <w:spacing w:line="360" w:lineRule="auto"/>
        <w:jc w:val="both"/>
        <w:rPr>
          <w:rFonts w:asciiTheme="minorHAnsi" w:hAnsiTheme="minorHAnsi"/>
          <w:sz w:val="22"/>
          <w:szCs w:val="22"/>
          <w:lang w:val="en-US"/>
        </w:rPr>
      </w:pPr>
    </w:p>
    <w:p w:rsidR="00273FE3" w:rsidRPr="00337C97" w:rsidRDefault="00293338" w:rsidP="00411AD6">
      <w:pPr>
        <w:spacing w:line="360" w:lineRule="auto"/>
        <w:jc w:val="both"/>
        <w:outlineLvl w:val="1"/>
        <w:rPr>
          <w:rFonts w:asciiTheme="minorHAnsi" w:hAnsiTheme="minorHAnsi"/>
          <w:b/>
          <w:sz w:val="22"/>
          <w:szCs w:val="22"/>
          <w:lang w:val="en-US"/>
        </w:rPr>
      </w:pPr>
      <w:bookmarkStart w:id="196" w:name="_Toc241658909"/>
      <w:bookmarkStart w:id="197" w:name="_Toc242584781"/>
      <w:bookmarkStart w:id="198" w:name="_Toc242697418"/>
      <w:bookmarkStart w:id="199" w:name="_Toc242697653"/>
      <w:bookmarkStart w:id="200" w:name="_Toc245187890"/>
      <w:bookmarkStart w:id="201" w:name="_Toc269658934"/>
      <w:r w:rsidRPr="00337C97">
        <w:rPr>
          <w:rFonts w:asciiTheme="minorHAnsi" w:hAnsiTheme="minorHAnsi"/>
          <w:b/>
          <w:sz w:val="22"/>
          <w:szCs w:val="22"/>
          <w:lang w:val="en-US"/>
        </w:rPr>
        <w:t>3.</w:t>
      </w:r>
      <w:r w:rsidR="0060646F" w:rsidRPr="00337C97">
        <w:rPr>
          <w:rFonts w:asciiTheme="minorHAnsi" w:hAnsiTheme="minorHAnsi"/>
          <w:b/>
          <w:sz w:val="22"/>
          <w:szCs w:val="22"/>
          <w:lang w:val="en-US"/>
        </w:rPr>
        <w:t>9</w:t>
      </w:r>
      <w:r w:rsidR="00273FE3" w:rsidRPr="00337C97">
        <w:rPr>
          <w:rFonts w:asciiTheme="minorHAnsi" w:hAnsiTheme="minorHAnsi"/>
          <w:b/>
          <w:sz w:val="22"/>
          <w:szCs w:val="22"/>
          <w:lang w:val="en-US"/>
        </w:rPr>
        <w:tab/>
      </w:r>
      <w:r w:rsidR="00F358EB" w:rsidRPr="00337C97">
        <w:rPr>
          <w:rFonts w:asciiTheme="minorHAnsi" w:hAnsiTheme="minorHAnsi"/>
          <w:b/>
          <w:sz w:val="22"/>
          <w:szCs w:val="22"/>
          <w:lang w:val="en-US"/>
        </w:rPr>
        <w:t>R</w:t>
      </w:r>
      <w:r w:rsidR="00273FE3" w:rsidRPr="00337C97">
        <w:rPr>
          <w:rFonts w:asciiTheme="minorHAnsi" w:hAnsiTheme="minorHAnsi"/>
          <w:b/>
          <w:sz w:val="22"/>
          <w:szCs w:val="22"/>
          <w:lang w:val="en-US"/>
        </w:rPr>
        <w:t>isk disclosure</w:t>
      </w:r>
      <w:r w:rsidR="00A73406" w:rsidRPr="00337C97">
        <w:rPr>
          <w:rFonts w:asciiTheme="minorHAnsi" w:hAnsiTheme="minorHAnsi"/>
          <w:b/>
          <w:sz w:val="22"/>
          <w:szCs w:val="22"/>
          <w:lang w:val="en-US"/>
        </w:rPr>
        <w:t xml:space="preserve">: </w:t>
      </w:r>
      <w:r w:rsidR="00F358EB" w:rsidRPr="00337C97">
        <w:rPr>
          <w:rFonts w:asciiTheme="minorHAnsi" w:hAnsiTheme="minorHAnsi"/>
          <w:b/>
          <w:sz w:val="22"/>
          <w:szCs w:val="22"/>
          <w:lang w:val="en-US"/>
        </w:rPr>
        <w:t>development</w:t>
      </w:r>
      <w:bookmarkEnd w:id="196"/>
      <w:r w:rsidR="00A73406" w:rsidRPr="00337C97">
        <w:rPr>
          <w:rFonts w:asciiTheme="minorHAnsi" w:hAnsiTheme="minorHAnsi"/>
          <w:b/>
          <w:sz w:val="22"/>
          <w:szCs w:val="22"/>
          <w:lang w:val="en-US"/>
        </w:rPr>
        <w:t xml:space="preserve"> and discussion</w:t>
      </w:r>
      <w:bookmarkEnd w:id="197"/>
      <w:bookmarkEnd w:id="198"/>
      <w:bookmarkEnd w:id="199"/>
      <w:bookmarkEnd w:id="200"/>
      <w:bookmarkEnd w:id="201"/>
    </w:p>
    <w:p w:rsidR="00086276" w:rsidRPr="00337C97" w:rsidRDefault="00086276" w:rsidP="00746907">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Though acknowledging the increase in risk management practices within </w:t>
      </w:r>
      <w:r w:rsidR="00746907" w:rsidRPr="00337C97">
        <w:rPr>
          <w:rFonts w:asciiTheme="minorHAnsi" w:hAnsiTheme="minorHAnsi" w:cs="Times New Roman"/>
          <w:sz w:val="22"/>
          <w:szCs w:val="22"/>
          <w:lang w:val="en-US"/>
        </w:rPr>
        <w:t>financial institutions</w:t>
      </w:r>
      <w:r w:rsidRPr="00337C97">
        <w:rPr>
          <w:rFonts w:asciiTheme="minorHAnsi" w:hAnsiTheme="minorHAnsi" w:cs="Times New Roman"/>
          <w:sz w:val="22"/>
          <w:szCs w:val="22"/>
          <w:lang w:val="en-US"/>
        </w:rPr>
        <w:t>, Linsley and Shrives (2005</w:t>
      </w:r>
      <w:r w:rsidR="00074637"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 p. 206) argue that the increase in awareness of risk and risk management did not (yet) led to an increase in the release of risk-related information. </w:t>
      </w:r>
      <w:r w:rsidR="00C87587" w:rsidRPr="00337C97">
        <w:rPr>
          <w:rFonts w:asciiTheme="minorHAnsi" w:hAnsiTheme="minorHAnsi" w:cs="Times New Roman"/>
          <w:sz w:val="22"/>
          <w:szCs w:val="22"/>
          <w:lang w:val="en-US"/>
        </w:rPr>
        <w:t>Furthermore, current annual reports do provide some form of risk disclosure, but not in a comprehensible manner for</w:t>
      </w:r>
      <w:r w:rsidR="00295EBB" w:rsidRPr="00337C97">
        <w:rPr>
          <w:rFonts w:asciiTheme="minorHAnsi" w:hAnsiTheme="minorHAnsi" w:cs="Times New Roman"/>
          <w:sz w:val="22"/>
          <w:szCs w:val="22"/>
          <w:lang w:val="en-US"/>
        </w:rPr>
        <w:t xml:space="preserve"> the stakeholders to understa</w:t>
      </w:r>
      <w:r w:rsidR="00746907" w:rsidRPr="00337C97">
        <w:rPr>
          <w:rFonts w:asciiTheme="minorHAnsi" w:hAnsiTheme="minorHAnsi" w:cs="Times New Roman"/>
          <w:sz w:val="22"/>
          <w:szCs w:val="22"/>
          <w:lang w:val="en-US"/>
        </w:rPr>
        <w:t>nd (Linsley and Shrives, 2006).</w:t>
      </w:r>
      <w:r w:rsidR="004E03EE" w:rsidRPr="00337C97">
        <w:rPr>
          <w:rFonts w:asciiTheme="minorHAnsi" w:hAnsiTheme="minorHAnsi" w:cs="Times New Roman"/>
          <w:sz w:val="22"/>
          <w:szCs w:val="22"/>
          <w:lang w:val="en-US"/>
        </w:rPr>
        <w:t xml:space="preserve"> </w:t>
      </w:r>
      <w:r w:rsidR="00202C73" w:rsidRPr="00337C97">
        <w:rPr>
          <w:rFonts w:asciiTheme="minorHAnsi" w:hAnsiTheme="minorHAnsi" w:cs="Times New Roman"/>
          <w:sz w:val="22"/>
          <w:szCs w:val="22"/>
          <w:lang w:val="en-US"/>
        </w:rPr>
        <w:t xml:space="preserve">In addition, </w:t>
      </w:r>
      <w:r w:rsidR="004E03EE" w:rsidRPr="00337C97">
        <w:rPr>
          <w:rFonts w:asciiTheme="minorHAnsi" w:hAnsiTheme="minorHAnsi" w:cs="Times New Roman"/>
          <w:sz w:val="22"/>
          <w:szCs w:val="22"/>
          <w:lang w:val="en-US"/>
        </w:rPr>
        <w:t xml:space="preserve">Engels (2008) states that research on the quality of disclosures of the banking sector </w:t>
      </w:r>
      <w:r w:rsidR="00022F0A" w:rsidRPr="00337C97">
        <w:rPr>
          <w:rFonts w:asciiTheme="minorHAnsi" w:hAnsiTheme="minorHAnsi" w:cs="Times New Roman"/>
          <w:sz w:val="22"/>
          <w:szCs w:val="22"/>
          <w:lang w:val="en-US"/>
        </w:rPr>
        <w:t>suggest</w:t>
      </w:r>
      <w:r w:rsidR="004E03EE" w:rsidRPr="00337C97">
        <w:rPr>
          <w:rFonts w:asciiTheme="minorHAnsi" w:hAnsiTheme="minorHAnsi" w:cs="Times New Roman"/>
          <w:sz w:val="22"/>
          <w:szCs w:val="22"/>
          <w:lang w:val="en-US"/>
        </w:rPr>
        <w:t xml:space="preserve"> that these disclosures, especially r</w:t>
      </w:r>
      <w:r w:rsidR="00202C73" w:rsidRPr="00337C97">
        <w:rPr>
          <w:rFonts w:asciiTheme="minorHAnsi" w:hAnsiTheme="minorHAnsi" w:cs="Times New Roman"/>
          <w:sz w:val="22"/>
          <w:szCs w:val="22"/>
          <w:lang w:val="en-US"/>
        </w:rPr>
        <w:t>isk disclosures are indistinct.</w:t>
      </w:r>
      <w:r w:rsidR="00E14061" w:rsidRPr="00337C97">
        <w:rPr>
          <w:rFonts w:asciiTheme="minorHAnsi" w:hAnsiTheme="minorHAnsi" w:cs="Times New Roman"/>
          <w:sz w:val="22"/>
          <w:szCs w:val="22"/>
          <w:lang w:val="en-US"/>
        </w:rPr>
        <w:t xml:space="preserve"> This is also noticed at</w:t>
      </w:r>
      <w:r w:rsidR="00460B45" w:rsidRPr="00337C97">
        <w:rPr>
          <w:rFonts w:asciiTheme="minorHAnsi" w:hAnsiTheme="minorHAnsi" w:cs="Times New Roman"/>
          <w:sz w:val="22"/>
          <w:szCs w:val="22"/>
          <w:lang w:val="en-US"/>
        </w:rPr>
        <w:t xml:space="preserve"> firms in common: the risk information as it currently stands is too brief, not sufficiently forward looking and not wholly adequate for decision-making purposes (Beretta and Bozzolan, 2004; Cabedo and Tirado, 2004</w:t>
      </w:r>
      <w:r w:rsidR="00E14061" w:rsidRPr="00337C97">
        <w:rPr>
          <w:rFonts w:asciiTheme="minorHAnsi" w:hAnsiTheme="minorHAnsi" w:cs="Times New Roman"/>
          <w:sz w:val="22"/>
          <w:szCs w:val="22"/>
          <w:lang w:val="en-US"/>
        </w:rPr>
        <w:t>, p. 183</w:t>
      </w:r>
      <w:r w:rsidR="00460B45" w:rsidRPr="00337C97">
        <w:rPr>
          <w:rFonts w:asciiTheme="minorHAnsi" w:hAnsiTheme="minorHAnsi" w:cs="Times New Roman"/>
          <w:sz w:val="22"/>
          <w:szCs w:val="22"/>
          <w:lang w:val="en-US"/>
        </w:rPr>
        <w:t>)</w:t>
      </w:r>
      <w:r w:rsidR="00E14061" w:rsidRPr="00337C97">
        <w:rPr>
          <w:rFonts w:asciiTheme="minorHAnsi" w:hAnsiTheme="minorHAnsi" w:cs="Times New Roman"/>
          <w:sz w:val="22"/>
          <w:szCs w:val="22"/>
          <w:lang w:val="en-US"/>
        </w:rPr>
        <w:t>.</w:t>
      </w:r>
    </w:p>
    <w:p w:rsidR="003C7E49" w:rsidRPr="00337C97" w:rsidRDefault="003C7E49" w:rsidP="003C7E49">
      <w:pPr>
        <w:spacing w:line="360" w:lineRule="auto"/>
        <w:jc w:val="both"/>
        <w:rPr>
          <w:rFonts w:asciiTheme="minorHAnsi" w:hAnsiTheme="minorHAnsi"/>
          <w:sz w:val="22"/>
          <w:szCs w:val="22"/>
          <w:lang w:val="en-US"/>
        </w:rPr>
      </w:pPr>
    </w:p>
    <w:p w:rsidR="00440C2B" w:rsidRPr="00337C97" w:rsidRDefault="003C7E49" w:rsidP="009F786E">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Research around the millennium change carried out by the Basel Committee on Banking Supervision (2001, 2002, and 2003) observed a general trend that banks are disclosing more information. However, according to Linsley and Shrives (2005</w:t>
      </w:r>
      <w:r w:rsidR="00074637" w:rsidRPr="00337C97">
        <w:rPr>
          <w:rFonts w:asciiTheme="minorHAnsi" w:hAnsiTheme="minorHAnsi"/>
          <w:sz w:val="22"/>
          <w:szCs w:val="22"/>
          <w:lang w:val="en-US"/>
        </w:rPr>
        <w:t>a</w:t>
      </w:r>
      <w:r w:rsidRPr="00337C97">
        <w:rPr>
          <w:rFonts w:asciiTheme="minorHAnsi" w:hAnsiTheme="minorHAnsi"/>
          <w:sz w:val="22"/>
          <w:szCs w:val="22"/>
          <w:lang w:val="en-US"/>
        </w:rPr>
        <w:t>, p. 210) there is still a need for greater disclosure if Pillar 3 compliance is to be achieved.</w:t>
      </w:r>
      <w:r w:rsidR="004C42FC" w:rsidRPr="00337C97">
        <w:rPr>
          <w:rFonts w:asciiTheme="minorHAnsi" w:hAnsiTheme="minorHAnsi"/>
          <w:sz w:val="22"/>
          <w:szCs w:val="22"/>
          <w:lang w:val="en-US"/>
        </w:rPr>
        <w:t xml:space="preserve"> </w:t>
      </w:r>
      <w:r w:rsidR="00930320" w:rsidRPr="00337C97">
        <w:rPr>
          <w:rFonts w:asciiTheme="minorHAnsi" w:hAnsiTheme="minorHAnsi"/>
          <w:sz w:val="22"/>
          <w:szCs w:val="22"/>
          <w:lang w:val="en-US"/>
        </w:rPr>
        <w:t xml:space="preserve">A recent paper of </w:t>
      </w:r>
      <w:r w:rsidRPr="00337C97">
        <w:rPr>
          <w:rFonts w:asciiTheme="minorHAnsi" w:hAnsiTheme="minorHAnsi" w:cs="Times New Roman"/>
          <w:sz w:val="22"/>
          <w:szCs w:val="22"/>
          <w:lang w:val="en-US"/>
        </w:rPr>
        <w:t xml:space="preserve">KPMG (2008) investigates financial risk </w:t>
      </w:r>
      <w:r w:rsidRPr="00337C97">
        <w:rPr>
          <w:rFonts w:asciiTheme="minorHAnsi" w:hAnsiTheme="minorHAnsi" w:cs="Times New Roman"/>
          <w:sz w:val="22"/>
          <w:szCs w:val="22"/>
          <w:lang w:val="en-US"/>
        </w:rPr>
        <w:lastRenderedPageBreak/>
        <w:t xml:space="preserve">disclosure of financial institutions </w:t>
      </w:r>
      <w:r w:rsidR="00930320" w:rsidRPr="00337C97">
        <w:rPr>
          <w:rFonts w:asciiTheme="minorHAnsi" w:hAnsiTheme="minorHAnsi" w:cs="Times New Roman"/>
          <w:sz w:val="22"/>
          <w:szCs w:val="22"/>
          <w:lang w:val="en-US"/>
        </w:rPr>
        <w:t xml:space="preserve">among the European Union </w:t>
      </w:r>
      <w:r w:rsidRPr="00337C97">
        <w:rPr>
          <w:rFonts w:asciiTheme="minorHAnsi" w:hAnsiTheme="minorHAnsi" w:cs="Times New Roman"/>
          <w:sz w:val="22"/>
          <w:szCs w:val="22"/>
          <w:lang w:val="en-US"/>
        </w:rPr>
        <w:t xml:space="preserve">and emphasizes on the importance of transparency. </w:t>
      </w:r>
      <w:r w:rsidRPr="00337C97">
        <w:rPr>
          <w:rFonts w:asciiTheme="minorHAnsi" w:hAnsiTheme="minorHAnsi"/>
          <w:sz w:val="22"/>
          <w:szCs w:val="22"/>
          <w:lang w:val="en-US"/>
        </w:rPr>
        <w:t>Companies operating in financial services are often exposed to complex risks that are very hard for an investor to evaluate. Lack of transparency is therefore widely seen as a major reason for valuation gaps between financial sector companies and other companies. The paper concludes that risk disclosure can be improved significantly with limited effort. The overall level of disclosure at most institutions is suffering due to “black holes”. In other words, a comprehensive approach on disclosing risk</w:t>
      </w:r>
      <w:r w:rsidR="001C211C" w:rsidRPr="00337C97">
        <w:rPr>
          <w:rFonts w:asciiTheme="minorHAnsi" w:hAnsiTheme="minorHAnsi"/>
          <w:sz w:val="22"/>
          <w:szCs w:val="22"/>
          <w:lang w:val="en-US"/>
        </w:rPr>
        <w:t>s</w:t>
      </w:r>
      <w:r w:rsidRPr="00337C97">
        <w:rPr>
          <w:rFonts w:asciiTheme="minorHAnsi" w:hAnsiTheme="minorHAnsi"/>
          <w:sz w:val="22"/>
          <w:szCs w:val="22"/>
          <w:lang w:val="en-US"/>
        </w:rPr>
        <w:t xml:space="preserve"> is missing. Relevant pieces of risk information are missing in annual reports, according to KPMG (2008, p. 5).</w:t>
      </w:r>
      <w:r w:rsidR="00B95BF0" w:rsidRPr="00337C97">
        <w:rPr>
          <w:rFonts w:asciiTheme="minorHAnsi" w:hAnsiTheme="minorHAnsi"/>
          <w:sz w:val="22"/>
          <w:szCs w:val="22"/>
          <w:lang w:val="en-US"/>
        </w:rPr>
        <w:t xml:space="preserve"> </w:t>
      </w:r>
      <w:r w:rsidR="00440C2B" w:rsidRPr="00337C97">
        <w:rPr>
          <w:rFonts w:asciiTheme="minorHAnsi" w:hAnsiTheme="minorHAnsi"/>
          <w:sz w:val="22"/>
          <w:szCs w:val="22"/>
          <w:lang w:val="en-US"/>
        </w:rPr>
        <w:t xml:space="preserve">The Basel </w:t>
      </w:r>
      <w:r w:rsidR="00A03863" w:rsidRPr="00337C97">
        <w:rPr>
          <w:rFonts w:asciiTheme="minorHAnsi" w:hAnsiTheme="minorHAnsi"/>
          <w:sz w:val="22"/>
          <w:szCs w:val="22"/>
          <w:lang w:val="en-US"/>
        </w:rPr>
        <w:t xml:space="preserve">II </w:t>
      </w:r>
      <w:r w:rsidR="00440C2B" w:rsidRPr="00337C97">
        <w:rPr>
          <w:rFonts w:asciiTheme="minorHAnsi" w:hAnsiTheme="minorHAnsi"/>
          <w:sz w:val="22"/>
          <w:szCs w:val="22"/>
          <w:lang w:val="en-US"/>
        </w:rPr>
        <w:t>Accord ha</w:t>
      </w:r>
      <w:r w:rsidR="00A03863" w:rsidRPr="00337C97">
        <w:rPr>
          <w:rFonts w:asciiTheme="minorHAnsi" w:hAnsiTheme="minorHAnsi"/>
          <w:sz w:val="22"/>
          <w:szCs w:val="22"/>
          <w:lang w:val="en-US"/>
        </w:rPr>
        <w:t xml:space="preserve">s however led to an increase in the level of risk and capital management related </w:t>
      </w:r>
      <w:r w:rsidR="00440C2B" w:rsidRPr="00337C97">
        <w:rPr>
          <w:rFonts w:asciiTheme="minorHAnsi" w:hAnsiTheme="minorHAnsi"/>
          <w:sz w:val="22"/>
          <w:szCs w:val="22"/>
          <w:lang w:val="en-US"/>
        </w:rPr>
        <w:t>disclosure</w:t>
      </w:r>
      <w:r w:rsidR="00A03863" w:rsidRPr="00337C97">
        <w:rPr>
          <w:rFonts w:asciiTheme="minorHAnsi" w:hAnsiTheme="minorHAnsi"/>
          <w:sz w:val="22"/>
          <w:szCs w:val="22"/>
          <w:lang w:val="en-US"/>
        </w:rPr>
        <w:t>.</w:t>
      </w:r>
      <w:r w:rsidR="00440C2B" w:rsidRPr="00337C97">
        <w:rPr>
          <w:rFonts w:asciiTheme="minorHAnsi" w:hAnsiTheme="minorHAnsi"/>
          <w:sz w:val="22"/>
          <w:szCs w:val="22"/>
          <w:lang w:val="en-US"/>
        </w:rPr>
        <w:t xml:space="preserve"> The implementation of Basel II via the Capital Requirements Directive (CRD) has resulted in some banks publishing a separate Pillar 3 document in connection with the annual report</w:t>
      </w:r>
      <w:r w:rsidR="00A03863" w:rsidRPr="00337C97">
        <w:rPr>
          <w:rFonts w:asciiTheme="minorHAnsi" w:hAnsiTheme="minorHAnsi"/>
          <w:sz w:val="22"/>
          <w:szCs w:val="22"/>
          <w:lang w:val="en-US"/>
        </w:rPr>
        <w:t xml:space="preserve"> (KPMG, 2008, p. 9)</w:t>
      </w:r>
      <w:r w:rsidR="00440C2B" w:rsidRPr="00337C97">
        <w:rPr>
          <w:rFonts w:asciiTheme="minorHAnsi" w:hAnsiTheme="minorHAnsi"/>
          <w:sz w:val="22"/>
          <w:szCs w:val="22"/>
          <w:lang w:val="en-US"/>
        </w:rPr>
        <w:t xml:space="preserve">. </w:t>
      </w:r>
      <w:r w:rsidR="00A03863" w:rsidRPr="00337C97">
        <w:rPr>
          <w:rFonts w:asciiTheme="minorHAnsi" w:hAnsiTheme="minorHAnsi"/>
          <w:sz w:val="22"/>
          <w:szCs w:val="22"/>
          <w:lang w:val="en-US"/>
        </w:rPr>
        <w:t>The next chapter will discuss the results of these studies in more detail.</w:t>
      </w:r>
    </w:p>
    <w:p w:rsidR="00440C2B" w:rsidRPr="00337C97" w:rsidRDefault="00440C2B" w:rsidP="009F786E">
      <w:pPr>
        <w:spacing w:line="360" w:lineRule="auto"/>
        <w:jc w:val="both"/>
        <w:rPr>
          <w:rFonts w:asciiTheme="minorHAnsi" w:hAnsiTheme="minorHAnsi"/>
          <w:sz w:val="22"/>
          <w:szCs w:val="22"/>
          <w:lang w:val="en-US"/>
        </w:rPr>
      </w:pPr>
    </w:p>
    <w:p w:rsidR="00930320" w:rsidRPr="00337C97" w:rsidRDefault="00A73406" w:rsidP="009F786E">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Opposed to the call for more </w:t>
      </w:r>
      <w:r w:rsidR="007B1422" w:rsidRPr="00337C97">
        <w:rPr>
          <w:rFonts w:asciiTheme="minorHAnsi" w:hAnsiTheme="minorHAnsi" w:cs="Times New Roman"/>
          <w:sz w:val="22"/>
          <w:szCs w:val="22"/>
          <w:lang w:val="en-US"/>
        </w:rPr>
        <w:t>risk-related information, some pose crit</w:t>
      </w:r>
      <w:r w:rsidR="001A62D7" w:rsidRPr="00337C97">
        <w:rPr>
          <w:rFonts w:asciiTheme="minorHAnsi" w:hAnsiTheme="minorHAnsi" w:cs="Times New Roman"/>
          <w:sz w:val="22"/>
          <w:szCs w:val="22"/>
          <w:lang w:val="en-US"/>
        </w:rPr>
        <w:t xml:space="preserve">ical notes. </w:t>
      </w:r>
      <w:r w:rsidR="007B1422" w:rsidRPr="00337C97">
        <w:rPr>
          <w:rFonts w:asciiTheme="minorHAnsi" w:hAnsiTheme="minorHAnsi" w:cs="Times New Roman"/>
          <w:sz w:val="22"/>
          <w:szCs w:val="22"/>
          <w:lang w:val="en-US"/>
        </w:rPr>
        <w:t xml:space="preserve">The first issue is that managers can be reluctant to provide detailed risk and risk management information if they consider it to be commercially sensitive and therefore of potential value to competitors. </w:t>
      </w:r>
      <w:r w:rsidRPr="00337C97">
        <w:rPr>
          <w:rFonts w:asciiTheme="minorHAnsi" w:hAnsiTheme="minorHAnsi" w:cs="Times New Roman"/>
          <w:sz w:val="22"/>
          <w:szCs w:val="22"/>
          <w:lang w:val="en-US"/>
        </w:rPr>
        <w:t>Linsley et al. (2006</w:t>
      </w:r>
      <w:r w:rsidR="001C211C" w:rsidRPr="00337C97">
        <w:rPr>
          <w:rFonts w:asciiTheme="minorHAnsi" w:hAnsiTheme="minorHAnsi" w:cs="Times New Roman"/>
          <w:sz w:val="22"/>
          <w:szCs w:val="22"/>
          <w:lang w:val="en-US"/>
        </w:rPr>
        <w:t>, p. 269</w:t>
      </w:r>
      <w:r w:rsidRPr="00337C97">
        <w:rPr>
          <w:rFonts w:asciiTheme="minorHAnsi" w:hAnsiTheme="minorHAnsi" w:cs="Times New Roman"/>
          <w:sz w:val="22"/>
          <w:szCs w:val="22"/>
          <w:lang w:val="en-US"/>
        </w:rPr>
        <w:t xml:space="preserve">) mention this </w:t>
      </w:r>
      <w:r w:rsidR="007B1422" w:rsidRPr="00337C97">
        <w:rPr>
          <w:rFonts w:asciiTheme="minorHAnsi" w:hAnsiTheme="minorHAnsi" w:cs="Times New Roman"/>
          <w:sz w:val="22"/>
          <w:szCs w:val="22"/>
          <w:lang w:val="en-US"/>
        </w:rPr>
        <w:t xml:space="preserve">problem </w:t>
      </w:r>
      <w:r w:rsidR="000848AD" w:rsidRPr="00337C97">
        <w:rPr>
          <w:rFonts w:asciiTheme="minorHAnsi" w:hAnsiTheme="minorHAnsi" w:cs="Times New Roman"/>
          <w:sz w:val="22"/>
          <w:szCs w:val="22"/>
          <w:lang w:val="en-US"/>
        </w:rPr>
        <w:t xml:space="preserve">as the problem </w:t>
      </w:r>
      <w:r w:rsidR="007B1422" w:rsidRPr="00337C97">
        <w:rPr>
          <w:rFonts w:asciiTheme="minorHAnsi" w:hAnsiTheme="minorHAnsi" w:cs="Times New Roman"/>
          <w:sz w:val="22"/>
          <w:szCs w:val="22"/>
          <w:lang w:val="en-US"/>
        </w:rPr>
        <w:t>of proprietary information. The second issue concerns the disclosure of forw</w:t>
      </w:r>
      <w:r w:rsidRPr="00337C97">
        <w:rPr>
          <w:rFonts w:asciiTheme="minorHAnsi" w:hAnsiTheme="minorHAnsi" w:cs="Times New Roman"/>
          <w:sz w:val="22"/>
          <w:szCs w:val="22"/>
          <w:lang w:val="en-US"/>
        </w:rPr>
        <w:t>ard-looking risk information. A paper of the Institute of Chartered Accountants in England and Wales (ICAEW, 1998)</w:t>
      </w:r>
      <w:r w:rsidR="00EF27CA" w:rsidRPr="00337C97">
        <w:rPr>
          <w:rFonts w:asciiTheme="minorHAnsi" w:hAnsiTheme="minorHAnsi" w:cs="Times New Roman"/>
          <w:sz w:val="22"/>
          <w:szCs w:val="22"/>
          <w:lang w:val="en-US"/>
        </w:rPr>
        <w:t xml:space="preserve"> states</w:t>
      </w:r>
      <w:r w:rsidRPr="00337C97">
        <w:rPr>
          <w:rFonts w:asciiTheme="minorHAnsi" w:hAnsiTheme="minorHAnsi" w:cs="Times New Roman"/>
          <w:sz w:val="22"/>
          <w:szCs w:val="22"/>
          <w:lang w:val="en-US"/>
        </w:rPr>
        <w:t xml:space="preserve"> that companies should be providing forward-looking risk information and not only historical information. Forward-looking information is much more useful for decision-making. It is</w:t>
      </w:r>
      <w:r w:rsidR="00EF27CA" w:rsidRPr="00337C97">
        <w:rPr>
          <w:rFonts w:asciiTheme="minorHAnsi" w:hAnsiTheme="minorHAnsi" w:cs="Times New Roman"/>
          <w:sz w:val="22"/>
          <w:szCs w:val="22"/>
          <w:lang w:val="en-US"/>
        </w:rPr>
        <w:t xml:space="preserve"> however</w:t>
      </w:r>
      <w:r w:rsidRPr="00337C97">
        <w:rPr>
          <w:rFonts w:asciiTheme="minorHAnsi" w:hAnsiTheme="minorHAnsi" w:cs="Times New Roman"/>
          <w:sz w:val="22"/>
          <w:szCs w:val="22"/>
          <w:lang w:val="en-US"/>
        </w:rPr>
        <w:t xml:space="preserve"> understandable that managers can be reluctant to publish information of this type, as it is inherently unreliable and could leave managers open to potential claims from investors who ha</w:t>
      </w:r>
      <w:r w:rsidR="00CB536A" w:rsidRPr="00337C97">
        <w:rPr>
          <w:rFonts w:asciiTheme="minorHAnsi" w:hAnsiTheme="minorHAnsi" w:cs="Times New Roman"/>
          <w:sz w:val="22"/>
          <w:szCs w:val="22"/>
          <w:lang w:val="en-US"/>
        </w:rPr>
        <w:t>ve acted upon this information. Linsley and Shrives (2005</w:t>
      </w:r>
      <w:r w:rsidR="00074637" w:rsidRPr="00337C97">
        <w:rPr>
          <w:rFonts w:asciiTheme="minorHAnsi" w:hAnsiTheme="minorHAnsi" w:cs="Times New Roman"/>
          <w:sz w:val="22"/>
          <w:szCs w:val="22"/>
          <w:lang w:val="en-US"/>
        </w:rPr>
        <w:t>a</w:t>
      </w:r>
      <w:r w:rsidR="000848AD" w:rsidRPr="00337C97">
        <w:rPr>
          <w:rFonts w:asciiTheme="minorHAnsi" w:hAnsiTheme="minorHAnsi" w:cs="Times New Roman"/>
          <w:sz w:val="22"/>
          <w:szCs w:val="22"/>
          <w:lang w:val="en-US"/>
        </w:rPr>
        <w:t>, p. 210</w:t>
      </w:r>
      <w:r w:rsidR="00CB536A" w:rsidRPr="00337C97">
        <w:rPr>
          <w:rFonts w:asciiTheme="minorHAnsi" w:hAnsiTheme="minorHAnsi" w:cs="Times New Roman"/>
          <w:sz w:val="22"/>
          <w:szCs w:val="22"/>
          <w:lang w:val="en-US"/>
        </w:rPr>
        <w:t xml:space="preserve">) elaborates further on this issue and point out that there is a tension between relevance and reliability. Forward-looking risk information is potentially of great relevance, but also inherently unreliable. </w:t>
      </w:r>
    </w:p>
    <w:p w:rsidR="00A73406" w:rsidRPr="00337C97" w:rsidRDefault="00A73406" w:rsidP="009F786E">
      <w:pPr>
        <w:spacing w:line="360" w:lineRule="auto"/>
        <w:jc w:val="both"/>
        <w:rPr>
          <w:rFonts w:asciiTheme="minorHAnsi" w:hAnsiTheme="minorHAnsi" w:cs="Times New Roman"/>
          <w:sz w:val="22"/>
          <w:szCs w:val="22"/>
          <w:lang w:val="en-US"/>
        </w:rPr>
      </w:pPr>
    </w:p>
    <w:p w:rsidR="00031730" w:rsidRPr="00337C97" w:rsidRDefault="0060646F" w:rsidP="00411AD6">
      <w:pPr>
        <w:spacing w:line="360" w:lineRule="auto"/>
        <w:outlineLvl w:val="1"/>
        <w:rPr>
          <w:rFonts w:asciiTheme="minorHAnsi" w:hAnsiTheme="minorHAnsi" w:cs="Times New Roman"/>
          <w:b/>
          <w:bCs/>
          <w:sz w:val="22"/>
          <w:szCs w:val="22"/>
          <w:lang w:val="en-US"/>
        </w:rPr>
      </w:pPr>
      <w:bookmarkStart w:id="202" w:name="_Toc241658910"/>
      <w:bookmarkStart w:id="203" w:name="_Toc242584782"/>
      <w:bookmarkStart w:id="204" w:name="_Toc242697419"/>
      <w:bookmarkStart w:id="205" w:name="_Toc242697654"/>
      <w:bookmarkStart w:id="206" w:name="_Toc245187891"/>
      <w:bookmarkStart w:id="207" w:name="_Toc269658935"/>
      <w:r w:rsidRPr="00337C97">
        <w:rPr>
          <w:rFonts w:asciiTheme="minorHAnsi" w:hAnsiTheme="minorHAnsi" w:cs="Times New Roman"/>
          <w:b/>
          <w:bCs/>
          <w:sz w:val="22"/>
          <w:szCs w:val="22"/>
          <w:lang w:val="en-US"/>
        </w:rPr>
        <w:t>3.10</w:t>
      </w:r>
      <w:r w:rsidR="00746907" w:rsidRPr="00337C97">
        <w:rPr>
          <w:rFonts w:asciiTheme="minorHAnsi" w:hAnsiTheme="minorHAnsi" w:cs="Times New Roman"/>
          <w:b/>
          <w:bCs/>
          <w:sz w:val="22"/>
          <w:szCs w:val="22"/>
          <w:lang w:val="en-US"/>
        </w:rPr>
        <w:tab/>
      </w:r>
      <w:r w:rsidR="00031730" w:rsidRPr="00337C97">
        <w:rPr>
          <w:rFonts w:asciiTheme="minorHAnsi" w:hAnsiTheme="minorHAnsi" w:cs="Times New Roman"/>
          <w:b/>
          <w:bCs/>
          <w:sz w:val="22"/>
          <w:szCs w:val="22"/>
          <w:lang w:val="en-US"/>
        </w:rPr>
        <w:t>Conclusion</w:t>
      </w:r>
      <w:bookmarkEnd w:id="202"/>
      <w:bookmarkEnd w:id="203"/>
      <w:bookmarkEnd w:id="204"/>
      <w:bookmarkEnd w:id="205"/>
      <w:bookmarkEnd w:id="206"/>
      <w:bookmarkEnd w:id="207"/>
    </w:p>
    <w:p w:rsidR="00924D61" w:rsidRPr="00337C97" w:rsidRDefault="00682B93" w:rsidP="0003173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chapter discusses the theoretical framework </w:t>
      </w:r>
      <w:r w:rsidR="00127A63" w:rsidRPr="00337C97">
        <w:rPr>
          <w:rFonts w:asciiTheme="minorHAnsi" w:hAnsiTheme="minorHAnsi" w:cs="Times New Roman"/>
          <w:sz w:val="22"/>
          <w:szCs w:val="22"/>
          <w:lang w:val="en-US"/>
        </w:rPr>
        <w:t xml:space="preserve">and has focused on economic theories that can explain the occurrence </w:t>
      </w:r>
      <w:r w:rsidR="005B1183" w:rsidRPr="00337C97">
        <w:rPr>
          <w:rFonts w:asciiTheme="minorHAnsi" w:hAnsiTheme="minorHAnsi" w:cs="Times New Roman"/>
          <w:sz w:val="22"/>
          <w:szCs w:val="22"/>
          <w:lang w:val="en-US"/>
        </w:rPr>
        <w:t>and extent</w:t>
      </w:r>
      <w:r w:rsidR="00127A63" w:rsidRPr="00337C97">
        <w:rPr>
          <w:rFonts w:asciiTheme="minorHAnsi" w:hAnsiTheme="minorHAnsi" w:cs="Times New Roman"/>
          <w:sz w:val="22"/>
          <w:szCs w:val="22"/>
          <w:lang w:val="en-US"/>
        </w:rPr>
        <w:t xml:space="preserve"> of risk disclosure. </w:t>
      </w:r>
      <w:r w:rsidR="00962252" w:rsidRPr="00337C97">
        <w:rPr>
          <w:rFonts w:asciiTheme="minorHAnsi" w:hAnsiTheme="minorHAnsi" w:cs="Times New Roman"/>
          <w:sz w:val="22"/>
          <w:szCs w:val="22"/>
          <w:lang w:val="en-US"/>
        </w:rPr>
        <w:t xml:space="preserve">The PAT studies managers’ accounting policy choices and is therefore relevant to this research. The political cost hypothesis is suggested to explain why firms make (voluntary) </w:t>
      </w:r>
      <w:r w:rsidR="006E167E" w:rsidRPr="00337C97">
        <w:rPr>
          <w:rFonts w:asciiTheme="minorHAnsi" w:hAnsiTheme="minorHAnsi" w:cs="Times New Roman"/>
          <w:sz w:val="22"/>
          <w:szCs w:val="22"/>
          <w:lang w:val="en-US"/>
        </w:rPr>
        <w:t xml:space="preserve">risk disclosures. Agency theory is useful in study the process of contracting. Principal-agent relationships should be transparent as possible, but this transparency is set back by information asymmetry between the agent and the principal. Providing better levels of transparency and disclosure </w:t>
      </w:r>
      <w:r w:rsidR="00924D61" w:rsidRPr="00337C97">
        <w:rPr>
          <w:rFonts w:asciiTheme="minorHAnsi" w:hAnsiTheme="minorHAnsi" w:cs="Times New Roman"/>
          <w:sz w:val="22"/>
          <w:szCs w:val="22"/>
          <w:lang w:val="en-US"/>
        </w:rPr>
        <w:t>is proposed to be able to</w:t>
      </w:r>
      <w:r w:rsidR="006E167E" w:rsidRPr="00337C97">
        <w:rPr>
          <w:rFonts w:asciiTheme="minorHAnsi" w:hAnsiTheme="minorHAnsi" w:cs="Times New Roman"/>
          <w:sz w:val="22"/>
          <w:szCs w:val="22"/>
          <w:lang w:val="en-US"/>
        </w:rPr>
        <w:t xml:space="preserve"> effectively</w:t>
      </w:r>
      <w:r w:rsidR="00ED0F62" w:rsidRPr="00337C97">
        <w:rPr>
          <w:rFonts w:asciiTheme="minorHAnsi" w:hAnsiTheme="minorHAnsi" w:cs="Times New Roman"/>
          <w:sz w:val="22"/>
          <w:szCs w:val="22"/>
          <w:lang w:val="en-US"/>
        </w:rPr>
        <w:t xml:space="preserve"> mitigate information asymmetry and improve </w:t>
      </w:r>
      <w:r w:rsidR="00D7708C" w:rsidRPr="00337C97">
        <w:rPr>
          <w:rFonts w:asciiTheme="minorHAnsi" w:hAnsiTheme="minorHAnsi" w:cs="Times New Roman"/>
          <w:sz w:val="22"/>
          <w:szCs w:val="22"/>
          <w:lang w:val="en-US"/>
        </w:rPr>
        <w:t>corporate governance</w:t>
      </w:r>
      <w:r w:rsidR="00B608EE" w:rsidRPr="00337C97">
        <w:rPr>
          <w:rFonts w:asciiTheme="minorHAnsi" w:hAnsiTheme="minorHAnsi" w:cs="Times New Roman"/>
          <w:sz w:val="22"/>
          <w:szCs w:val="22"/>
          <w:lang w:val="en-US"/>
        </w:rPr>
        <w:t xml:space="preserve">. </w:t>
      </w:r>
      <w:r w:rsidR="00924D61" w:rsidRPr="00337C97">
        <w:rPr>
          <w:rFonts w:asciiTheme="minorHAnsi" w:hAnsiTheme="minorHAnsi" w:cs="Times New Roman"/>
          <w:sz w:val="22"/>
          <w:szCs w:val="22"/>
          <w:lang w:val="en-US"/>
        </w:rPr>
        <w:t xml:space="preserve">Stakeholder theory provides alternative explanations about </w:t>
      </w:r>
      <w:r w:rsidR="00924D61" w:rsidRPr="00337C97">
        <w:rPr>
          <w:rFonts w:asciiTheme="minorHAnsi" w:hAnsiTheme="minorHAnsi" w:cs="Times New Roman"/>
          <w:sz w:val="22"/>
          <w:szCs w:val="22"/>
          <w:lang w:val="en-US"/>
        </w:rPr>
        <w:lastRenderedPageBreak/>
        <w:t>what drives an organization to make particular disclosure. Large companies (</w:t>
      </w:r>
      <w:r w:rsidR="00ED0F62" w:rsidRPr="00337C97">
        <w:rPr>
          <w:rFonts w:asciiTheme="minorHAnsi" w:hAnsiTheme="minorHAnsi" w:cs="Times New Roman"/>
          <w:sz w:val="22"/>
          <w:szCs w:val="22"/>
          <w:lang w:val="en-US"/>
        </w:rPr>
        <w:t>which listed banks often are)</w:t>
      </w:r>
      <w:r w:rsidR="00924D61" w:rsidRPr="00337C97">
        <w:rPr>
          <w:rFonts w:asciiTheme="minorHAnsi" w:hAnsiTheme="minorHAnsi" w:cs="Times New Roman"/>
          <w:sz w:val="22"/>
          <w:szCs w:val="22"/>
          <w:lang w:val="en-US"/>
        </w:rPr>
        <w:t xml:space="preserve"> must provide more information because they have greater number of stakeholders to whom they are accountable.</w:t>
      </w:r>
      <w:r w:rsidR="00DB7046" w:rsidRPr="00337C97">
        <w:rPr>
          <w:rFonts w:asciiTheme="minorHAnsi" w:hAnsiTheme="minorHAnsi" w:cs="Times New Roman"/>
          <w:sz w:val="22"/>
          <w:szCs w:val="22"/>
          <w:lang w:val="en-US"/>
        </w:rPr>
        <w:t xml:space="preserve"> Figure 2 outlines the situation as illustrated in this chapter.</w:t>
      </w:r>
    </w:p>
    <w:p w:rsidR="00D7708C" w:rsidRPr="00337C97" w:rsidRDefault="00D7708C" w:rsidP="00031730">
      <w:pPr>
        <w:spacing w:line="360" w:lineRule="auto"/>
        <w:jc w:val="both"/>
        <w:rPr>
          <w:rFonts w:asciiTheme="minorHAnsi" w:hAnsiTheme="minorHAnsi" w:cs="Times New Roman"/>
          <w:sz w:val="22"/>
          <w:szCs w:val="22"/>
          <w:lang w:val="en-US"/>
        </w:rPr>
      </w:pPr>
    </w:p>
    <w:p w:rsidR="00DB7046" w:rsidRPr="00337C97" w:rsidRDefault="009F60B1" w:rsidP="00DB7046">
      <w:pPr>
        <w:spacing w:line="360" w:lineRule="auto"/>
        <w:ind w:firstLine="720"/>
        <w:jc w:val="both"/>
        <w:rPr>
          <w:rFonts w:asciiTheme="minorHAnsi" w:hAnsiTheme="minorHAnsi" w:cs="Times New Roman"/>
          <w:sz w:val="22"/>
          <w:szCs w:val="22"/>
          <w:lang w:val="en-US"/>
        </w:rPr>
      </w:pPr>
      <w:r w:rsidRPr="00337C97">
        <w:rPr>
          <w:rFonts w:asciiTheme="minorHAnsi" w:hAnsiTheme="minorHAnsi" w:cs="Times New Roman"/>
          <w:noProof/>
          <w:sz w:val="22"/>
          <w:szCs w:val="22"/>
          <w:lang w:val="nl-NL" w:eastAsia="nl-NL" w:bidi="ar-SA"/>
        </w:rPr>
        <w:drawing>
          <wp:inline distT="0" distB="0" distL="0" distR="0">
            <wp:extent cx="5245100" cy="1475105"/>
            <wp:effectExtent l="19050" t="0" r="0" b="0"/>
            <wp:docPr id="2" name="Afbeelding 2" descr="untitl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ed2"/>
                    <pic:cNvPicPr>
                      <a:picLocks noChangeAspect="1" noChangeArrowheads="1"/>
                    </pic:cNvPicPr>
                  </pic:nvPicPr>
                  <pic:blipFill>
                    <a:blip r:embed="rId8" cstate="print"/>
                    <a:srcRect/>
                    <a:stretch>
                      <a:fillRect/>
                    </a:stretch>
                  </pic:blipFill>
                  <pic:spPr bwMode="auto">
                    <a:xfrm>
                      <a:off x="0" y="0"/>
                      <a:ext cx="5245100" cy="1475105"/>
                    </a:xfrm>
                    <a:prstGeom prst="rect">
                      <a:avLst/>
                    </a:prstGeom>
                    <a:noFill/>
                    <a:ln w="9525">
                      <a:noFill/>
                      <a:miter lim="800000"/>
                      <a:headEnd/>
                      <a:tailEnd/>
                    </a:ln>
                  </pic:spPr>
                </pic:pic>
              </a:graphicData>
            </a:graphic>
          </wp:inline>
        </w:drawing>
      </w:r>
    </w:p>
    <w:p w:rsidR="00DB7046" w:rsidRPr="00337C97" w:rsidRDefault="00DB7046" w:rsidP="00DB7046">
      <w:pPr>
        <w:spacing w:line="360" w:lineRule="auto"/>
        <w:ind w:firstLine="720"/>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t>Figure 2</w:t>
      </w:r>
      <w:r w:rsidRPr="00337C97">
        <w:rPr>
          <w:rFonts w:asciiTheme="minorHAnsi" w:hAnsiTheme="minorHAnsi" w:cs="Times New Roman"/>
          <w:sz w:val="22"/>
          <w:szCs w:val="22"/>
          <w:lang w:val="en-US"/>
        </w:rPr>
        <w:t xml:space="preserve"> The risk disclosure framework</w:t>
      </w:r>
    </w:p>
    <w:p w:rsidR="00DB7046" w:rsidRPr="00337C97" w:rsidRDefault="00DB7046" w:rsidP="00031730">
      <w:pPr>
        <w:spacing w:line="360" w:lineRule="auto"/>
        <w:jc w:val="both"/>
        <w:rPr>
          <w:rFonts w:asciiTheme="minorHAnsi" w:hAnsiTheme="minorHAnsi" w:cs="Times New Roman"/>
          <w:sz w:val="22"/>
          <w:szCs w:val="22"/>
          <w:lang w:val="en-US"/>
        </w:rPr>
      </w:pPr>
    </w:p>
    <w:p w:rsidR="00A30DE4" w:rsidRPr="00337C97" w:rsidRDefault="00D7708C" w:rsidP="0003173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Applying these theories to the banking sector, it can be concluded that </w:t>
      </w:r>
      <w:r w:rsidR="006E167E" w:rsidRPr="00337C97">
        <w:rPr>
          <w:rFonts w:asciiTheme="minorHAnsi" w:hAnsiTheme="minorHAnsi" w:cs="Times New Roman"/>
          <w:sz w:val="22"/>
          <w:szCs w:val="22"/>
          <w:lang w:val="en-US"/>
        </w:rPr>
        <w:t>increas</w:t>
      </w:r>
      <w:r w:rsidRPr="00337C97">
        <w:rPr>
          <w:rFonts w:asciiTheme="minorHAnsi" w:hAnsiTheme="minorHAnsi" w:cs="Times New Roman"/>
          <w:sz w:val="22"/>
          <w:szCs w:val="22"/>
          <w:lang w:val="en-US"/>
        </w:rPr>
        <w:t>ed</w:t>
      </w:r>
      <w:r w:rsidR="006E167E" w:rsidRPr="00337C97">
        <w:rPr>
          <w:rFonts w:asciiTheme="minorHAnsi" w:hAnsiTheme="minorHAnsi" w:cs="Times New Roman"/>
          <w:sz w:val="22"/>
          <w:szCs w:val="22"/>
          <w:lang w:val="en-US"/>
        </w:rPr>
        <w:t xml:space="preserve"> transparency </w:t>
      </w:r>
      <w:r w:rsidR="00924D61" w:rsidRPr="00337C97">
        <w:rPr>
          <w:rFonts w:asciiTheme="minorHAnsi" w:hAnsiTheme="minorHAnsi" w:cs="Times New Roman"/>
          <w:sz w:val="22"/>
          <w:szCs w:val="22"/>
          <w:lang w:val="en-US"/>
        </w:rPr>
        <w:t>would strengthen market discipline. Participants in the market place can sanction banks whose risk profile are considered unsatisfactory but can also reward banks with appropriate risk management. Furthermore,</w:t>
      </w:r>
      <w:r w:rsidRPr="00337C97">
        <w:rPr>
          <w:rFonts w:asciiTheme="minorHAnsi" w:hAnsiTheme="minorHAnsi" w:cs="Times New Roman"/>
          <w:sz w:val="22"/>
          <w:szCs w:val="22"/>
          <w:lang w:val="en-US"/>
        </w:rPr>
        <w:t xml:space="preserve"> better levels of risk disclosure</w:t>
      </w:r>
      <w:r w:rsidR="00924D61" w:rsidRPr="00337C97">
        <w:rPr>
          <w:rFonts w:asciiTheme="minorHAnsi" w:hAnsiTheme="minorHAnsi" w:cs="Times New Roman"/>
          <w:sz w:val="22"/>
          <w:szCs w:val="22"/>
          <w:lang w:val="en-US"/>
        </w:rPr>
        <w:t xml:space="preserve"> should </w:t>
      </w:r>
      <w:r w:rsidRPr="00337C97">
        <w:rPr>
          <w:rFonts w:asciiTheme="minorHAnsi" w:hAnsiTheme="minorHAnsi" w:cs="Times New Roman"/>
          <w:sz w:val="22"/>
          <w:szCs w:val="22"/>
          <w:lang w:val="en-US"/>
        </w:rPr>
        <w:t xml:space="preserve">banks enable to </w:t>
      </w:r>
      <w:r w:rsidR="00924D61" w:rsidRPr="00337C97">
        <w:rPr>
          <w:rFonts w:asciiTheme="minorHAnsi" w:hAnsiTheme="minorHAnsi" w:cs="Times New Roman"/>
          <w:sz w:val="22"/>
          <w:szCs w:val="22"/>
          <w:lang w:val="en-US"/>
        </w:rPr>
        <w:t xml:space="preserve">benefit from a reduction in their cost of capital, </w:t>
      </w:r>
      <w:r w:rsidR="00ED0F62" w:rsidRPr="00337C97">
        <w:rPr>
          <w:rFonts w:asciiTheme="minorHAnsi" w:hAnsiTheme="minorHAnsi" w:cs="Times New Roman"/>
          <w:sz w:val="22"/>
          <w:szCs w:val="22"/>
          <w:lang w:val="en-US"/>
        </w:rPr>
        <w:t xml:space="preserve">paying lower risk premiums, as the providers of funds (often other banks) </w:t>
      </w:r>
      <w:r w:rsidR="00924D61" w:rsidRPr="00337C97">
        <w:rPr>
          <w:rFonts w:asciiTheme="minorHAnsi" w:hAnsiTheme="minorHAnsi" w:cs="Times New Roman"/>
          <w:sz w:val="22"/>
          <w:szCs w:val="22"/>
          <w:lang w:val="en-US"/>
        </w:rPr>
        <w:t>will be better positioned to judge the bank’s risk level.</w:t>
      </w:r>
      <w:r w:rsidR="00B608EE" w:rsidRPr="00337C97">
        <w:rPr>
          <w:rFonts w:asciiTheme="minorHAnsi" w:hAnsiTheme="minorHAnsi" w:cs="Times New Roman"/>
          <w:sz w:val="22"/>
          <w:szCs w:val="22"/>
          <w:lang w:val="en-US"/>
        </w:rPr>
        <w:t xml:space="preserve"> In recent developments, it can be seen that this analysis is followed </w:t>
      </w:r>
      <w:r w:rsidR="00113348" w:rsidRPr="00337C97">
        <w:rPr>
          <w:rFonts w:asciiTheme="minorHAnsi" w:hAnsiTheme="minorHAnsi" w:cs="Times New Roman"/>
          <w:sz w:val="22"/>
          <w:szCs w:val="22"/>
          <w:lang w:val="en-US"/>
        </w:rPr>
        <w:t>by regulators</w:t>
      </w:r>
      <w:r w:rsidR="00ED0F62" w:rsidRPr="00337C97">
        <w:rPr>
          <w:rFonts w:asciiTheme="minorHAnsi" w:hAnsiTheme="minorHAnsi" w:cs="Times New Roman"/>
          <w:sz w:val="22"/>
          <w:szCs w:val="22"/>
          <w:lang w:val="en-US"/>
        </w:rPr>
        <w:t>, since</w:t>
      </w:r>
      <w:r w:rsidR="00B608EE" w:rsidRPr="00337C97">
        <w:rPr>
          <w:rFonts w:asciiTheme="minorHAnsi" w:hAnsiTheme="minorHAnsi" w:cs="Times New Roman"/>
          <w:sz w:val="22"/>
          <w:szCs w:val="22"/>
          <w:lang w:val="en-US"/>
        </w:rPr>
        <w:t xml:space="preserve"> market discipline is a key element in modern regulatory frameworks in the banking sector.</w:t>
      </w:r>
      <w:r w:rsidR="00A30DE4" w:rsidRPr="00337C97">
        <w:rPr>
          <w:rFonts w:asciiTheme="minorHAnsi" w:hAnsiTheme="minorHAnsi" w:cs="Times New Roman"/>
          <w:sz w:val="22"/>
          <w:szCs w:val="22"/>
          <w:lang w:val="en-US"/>
        </w:rPr>
        <w:t xml:space="preserve"> Figure 3 shows the effect</w:t>
      </w:r>
      <w:r w:rsidR="003E08D4" w:rsidRPr="00337C97">
        <w:rPr>
          <w:rFonts w:asciiTheme="minorHAnsi" w:hAnsiTheme="minorHAnsi" w:cs="Times New Roman"/>
          <w:sz w:val="22"/>
          <w:szCs w:val="22"/>
          <w:lang w:val="en-US"/>
        </w:rPr>
        <w:t>s</w:t>
      </w:r>
      <w:r w:rsidR="00A30DE4" w:rsidRPr="00337C97">
        <w:rPr>
          <w:rFonts w:asciiTheme="minorHAnsi" w:hAnsiTheme="minorHAnsi" w:cs="Times New Roman"/>
          <w:sz w:val="22"/>
          <w:szCs w:val="22"/>
          <w:lang w:val="en-US"/>
        </w:rPr>
        <w:t xml:space="preserve"> of improved (quantity and/or quality of) risk disclosure as discussed in this chapter.</w:t>
      </w:r>
    </w:p>
    <w:p w:rsidR="00A30DE4" w:rsidRPr="00337C97" w:rsidRDefault="00A30DE4" w:rsidP="00031730">
      <w:pPr>
        <w:spacing w:line="360" w:lineRule="auto"/>
        <w:jc w:val="both"/>
        <w:rPr>
          <w:rFonts w:asciiTheme="minorHAnsi" w:hAnsiTheme="minorHAnsi" w:cs="Times New Roman"/>
          <w:sz w:val="22"/>
          <w:szCs w:val="22"/>
          <w:lang w:val="en-US"/>
        </w:rPr>
      </w:pPr>
    </w:p>
    <w:p w:rsidR="006E167E" w:rsidRPr="00337C97" w:rsidRDefault="003E08D4" w:rsidP="0003173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b/>
      </w:r>
      <w:r w:rsidR="009F60B1" w:rsidRPr="00337C97">
        <w:rPr>
          <w:rFonts w:asciiTheme="minorHAnsi" w:hAnsiTheme="minorHAnsi" w:cs="Times New Roman"/>
          <w:noProof/>
          <w:sz w:val="22"/>
          <w:szCs w:val="22"/>
          <w:lang w:val="nl-NL" w:eastAsia="nl-NL" w:bidi="ar-SA"/>
        </w:rPr>
        <w:drawing>
          <wp:inline distT="0" distB="0" distL="0" distR="0">
            <wp:extent cx="2346325" cy="2009775"/>
            <wp:effectExtent l="19050" t="0" r="0" b="0"/>
            <wp:docPr id="3" name="Afbeelding 3" descr="improved 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proved rd"/>
                    <pic:cNvPicPr>
                      <a:picLocks noChangeAspect="1" noChangeArrowheads="1"/>
                    </pic:cNvPicPr>
                  </pic:nvPicPr>
                  <pic:blipFill>
                    <a:blip r:embed="rId9" cstate="print"/>
                    <a:srcRect/>
                    <a:stretch>
                      <a:fillRect/>
                    </a:stretch>
                  </pic:blipFill>
                  <pic:spPr bwMode="auto">
                    <a:xfrm>
                      <a:off x="0" y="0"/>
                      <a:ext cx="2346325" cy="2009775"/>
                    </a:xfrm>
                    <a:prstGeom prst="rect">
                      <a:avLst/>
                    </a:prstGeom>
                    <a:noFill/>
                    <a:ln w="9525">
                      <a:noFill/>
                      <a:miter lim="800000"/>
                      <a:headEnd/>
                      <a:tailEnd/>
                    </a:ln>
                  </pic:spPr>
                </pic:pic>
              </a:graphicData>
            </a:graphic>
          </wp:inline>
        </w:drawing>
      </w:r>
    </w:p>
    <w:p w:rsidR="003E08D4" w:rsidRPr="00337C97" w:rsidRDefault="003E08D4" w:rsidP="0003173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b/>
      </w:r>
      <w:r w:rsidRPr="00337C97">
        <w:rPr>
          <w:rFonts w:asciiTheme="minorHAnsi" w:hAnsiTheme="minorHAnsi" w:cs="Times New Roman"/>
          <w:b/>
          <w:sz w:val="22"/>
          <w:szCs w:val="22"/>
          <w:lang w:val="en-US"/>
        </w:rPr>
        <w:t xml:space="preserve">Figure 3 </w:t>
      </w:r>
      <w:r w:rsidRPr="00337C97">
        <w:rPr>
          <w:rFonts w:asciiTheme="minorHAnsi" w:hAnsiTheme="minorHAnsi" w:cs="Times New Roman"/>
          <w:sz w:val="22"/>
          <w:szCs w:val="22"/>
          <w:lang w:val="en-US"/>
        </w:rPr>
        <w:t>The effects of improved risk disclosure</w:t>
      </w:r>
    </w:p>
    <w:p w:rsidR="00682B93" w:rsidRPr="00337C97" w:rsidRDefault="00682B93" w:rsidP="00031730">
      <w:pPr>
        <w:spacing w:line="360" w:lineRule="auto"/>
        <w:jc w:val="both"/>
        <w:rPr>
          <w:rFonts w:asciiTheme="minorHAnsi" w:hAnsiTheme="minorHAnsi" w:cs="Times New Roman"/>
          <w:sz w:val="22"/>
          <w:szCs w:val="22"/>
          <w:lang w:val="en-US"/>
        </w:rPr>
      </w:pPr>
    </w:p>
    <w:p w:rsidR="0081500E" w:rsidRPr="00337C97" w:rsidRDefault="00B608EE" w:rsidP="0081500E">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last parts of this chapter </w:t>
      </w:r>
      <w:r w:rsidR="00D7708C" w:rsidRPr="00337C97">
        <w:rPr>
          <w:rFonts w:asciiTheme="minorHAnsi" w:hAnsiTheme="minorHAnsi" w:cs="Times New Roman"/>
          <w:sz w:val="22"/>
          <w:szCs w:val="22"/>
          <w:lang w:val="en-US"/>
        </w:rPr>
        <w:t xml:space="preserve">covered risk(s), risk management and its development in the banking sector. </w:t>
      </w:r>
      <w:r w:rsidR="00113348" w:rsidRPr="00337C97">
        <w:rPr>
          <w:rFonts w:asciiTheme="minorHAnsi" w:hAnsiTheme="minorHAnsi" w:cs="Times New Roman"/>
          <w:sz w:val="22"/>
          <w:szCs w:val="22"/>
          <w:lang w:val="en-US"/>
        </w:rPr>
        <w:t xml:space="preserve">Risk management practices have increased and </w:t>
      </w:r>
      <w:r w:rsidR="00D7708C" w:rsidRPr="00337C97">
        <w:rPr>
          <w:rFonts w:asciiTheme="minorHAnsi" w:hAnsiTheme="minorHAnsi" w:cs="Times New Roman"/>
          <w:sz w:val="22"/>
          <w:szCs w:val="22"/>
          <w:lang w:val="en-US"/>
        </w:rPr>
        <w:t xml:space="preserve">become even more an integral part of the </w:t>
      </w:r>
      <w:r w:rsidR="00D7708C" w:rsidRPr="00337C97">
        <w:rPr>
          <w:rFonts w:asciiTheme="minorHAnsi" w:hAnsiTheme="minorHAnsi" w:cs="Times New Roman"/>
          <w:sz w:val="22"/>
          <w:szCs w:val="22"/>
          <w:lang w:val="en-US"/>
        </w:rPr>
        <w:lastRenderedPageBreak/>
        <w:t>banks</w:t>
      </w:r>
      <w:r w:rsidR="00113348" w:rsidRPr="00337C97">
        <w:rPr>
          <w:rFonts w:asciiTheme="minorHAnsi" w:hAnsiTheme="minorHAnsi" w:cs="Times New Roman"/>
          <w:sz w:val="22"/>
          <w:szCs w:val="22"/>
          <w:lang w:val="en-US"/>
        </w:rPr>
        <w:t>’</w:t>
      </w:r>
      <w:r w:rsidR="00D7708C" w:rsidRPr="00337C97">
        <w:rPr>
          <w:rFonts w:asciiTheme="minorHAnsi" w:hAnsiTheme="minorHAnsi" w:cs="Times New Roman"/>
          <w:sz w:val="22"/>
          <w:szCs w:val="22"/>
          <w:lang w:val="en-US"/>
        </w:rPr>
        <w:t xml:space="preserve"> business. </w:t>
      </w:r>
      <w:r w:rsidR="00771150" w:rsidRPr="00337C97">
        <w:rPr>
          <w:rFonts w:asciiTheme="minorHAnsi" w:hAnsiTheme="minorHAnsi" w:cs="Times New Roman"/>
          <w:sz w:val="22"/>
          <w:szCs w:val="22"/>
          <w:lang w:val="en-US"/>
        </w:rPr>
        <w:t>Surveys in the financial sector show</w:t>
      </w:r>
      <w:r w:rsidR="00D7708C" w:rsidRPr="00337C97">
        <w:rPr>
          <w:rFonts w:asciiTheme="minorHAnsi" w:hAnsiTheme="minorHAnsi" w:cs="Times New Roman"/>
          <w:sz w:val="22"/>
          <w:szCs w:val="22"/>
          <w:lang w:val="en-US"/>
        </w:rPr>
        <w:t xml:space="preserve"> an increase in the release of risk-related information, but </w:t>
      </w:r>
      <w:r w:rsidR="00771150" w:rsidRPr="00337C97">
        <w:rPr>
          <w:rFonts w:asciiTheme="minorHAnsi" w:hAnsiTheme="minorHAnsi" w:cs="Times New Roman"/>
          <w:sz w:val="22"/>
          <w:szCs w:val="22"/>
          <w:lang w:val="en-US"/>
        </w:rPr>
        <w:t xml:space="preserve">it is still too brief, not sufficiently forward looking and not </w:t>
      </w:r>
      <w:r w:rsidR="00D7708C" w:rsidRPr="00337C97">
        <w:rPr>
          <w:rFonts w:asciiTheme="minorHAnsi" w:hAnsiTheme="minorHAnsi" w:cs="Times New Roman"/>
          <w:sz w:val="22"/>
          <w:szCs w:val="22"/>
          <w:lang w:val="en-US"/>
        </w:rPr>
        <w:t>presented in a comprehensible manner for the stakeholders to understand.</w:t>
      </w:r>
      <w:r w:rsidR="00771150" w:rsidRPr="00337C97">
        <w:rPr>
          <w:rFonts w:asciiTheme="minorHAnsi" w:hAnsiTheme="minorHAnsi" w:cs="Times New Roman"/>
          <w:sz w:val="22"/>
          <w:szCs w:val="22"/>
          <w:lang w:val="en-US"/>
        </w:rPr>
        <w:t xml:space="preserve"> There have been calls for greater and more relevant risk disclosure, but </w:t>
      </w:r>
      <w:r w:rsidR="00113348" w:rsidRPr="00337C97">
        <w:rPr>
          <w:rFonts w:asciiTheme="minorHAnsi" w:hAnsiTheme="minorHAnsi" w:cs="Times New Roman"/>
          <w:sz w:val="22"/>
          <w:szCs w:val="22"/>
          <w:lang w:val="en-US"/>
        </w:rPr>
        <w:t>others</w:t>
      </w:r>
      <w:r w:rsidR="00771150" w:rsidRPr="00337C97">
        <w:rPr>
          <w:rFonts w:asciiTheme="minorHAnsi" w:hAnsiTheme="minorHAnsi" w:cs="Times New Roman"/>
          <w:sz w:val="22"/>
          <w:szCs w:val="22"/>
          <w:lang w:val="en-US"/>
        </w:rPr>
        <w:t xml:space="preserve"> pose critical notes towards these calls</w:t>
      </w:r>
      <w:r w:rsidRPr="00337C97">
        <w:rPr>
          <w:rFonts w:asciiTheme="minorHAnsi" w:hAnsiTheme="minorHAnsi" w:cs="Times New Roman"/>
          <w:sz w:val="22"/>
          <w:szCs w:val="22"/>
          <w:lang w:val="en-US"/>
        </w:rPr>
        <w:t xml:space="preserve"> regarding the problem of proprietary information and the chance </w:t>
      </w:r>
      <w:r w:rsidR="00113348" w:rsidRPr="00337C97">
        <w:rPr>
          <w:rFonts w:asciiTheme="minorHAnsi" w:hAnsiTheme="minorHAnsi" w:cs="Times New Roman"/>
          <w:sz w:val="22"/>
          <w:szCs w:val="22"/>
          <w:lang w:val="en-US"/>
        </w:rPr>
        <w:t>of</w:t>
      </w:r>
      <w:r w:rsidRPr="00337C97">
        <w:rPr>
          <w:rFonts w:asciiTheme="minorHAnsi" w:hAnsiTheme="minorHAnsi" w:cs="Times New Roman"/>
          <w:sz w:val="22"/>
          <w:szCs w:val="22"/>
          <w:lang w:val="en-US"/>
        </w:rPr>
        <w:t xml:space="preserve"> litigation.</w:t>
      </w:r>
    </w:p>
    <w:p w:rsidR="00D205C7" w:rsidRPr="00337C97" w:rsidRDefault="001A088C" w:rsidP="00B12C7B">
      <w:pPr>
        <w:spacing w:line="360" w:lineRule="auto"/>
        <w:jc w:val="both"/>
        <w:outlineLvl w:val="0"/>
        <w:rPr>
          <w:rFonts w:asciiTheme="minorHAnsi" w:hAnsiTheme="minorHAnsi" w:cs="Times New Roman"/>
          <w:sz w:val="22"/>
          <w:szCs w:val="22"/>
          <w:lang w:val="en-US"/>
        </w:rPr>
      </w:pPr>
      <w:r w:rsidRPr="00337C97">
        <w:rPr>
          <w:rFonts w:asciiTheme="minorHAnsi" w:hAnsiTheme="minorHAnsi" w:cs="Times New Roman"/>
          <w:b/>
          <w:sz w:val="22"/>
          <w:szCs w:val="22"/>
          <w:lang w:val="en-US"/>
        </w:rPr>
        <w:br w:type="page"/>
      </w:r>
      <w:bookmarkStart w:id="208" w:name="_Toc242697420"/>
      <w:bookmarkStart w:id="209" w:name="_Toc242697655"/>
      <w:bookmarkStart w:id="210" w:name="_Toc245187892"/>
      <w:bookmarkStart w:id="211" w:name="_Toc269658936"/>
      <w:r w:rsidR="00D3335B" w:rsidRPr="00337C97">
        <w:rPr>
          <w:rFonts w:asciiTheme="minorHAnsi" w:hAnsiTheme="minorHAnsi" w:cs="Times New Roman"/>
          <w:b/>
          <w:sz w:val="28"/>
          <w:szCs w:val="22"/>
          <w:lang w:val="en-US"/>
        </w:rPr>
        <w:lastRenderedPageBreak/>
        <w:t>4</w:t>
      </w:r>
      <w:r w:rsidR="005B2497" w:rsidRPr="00337C97">
        <w:rPr>
          <w:rFonts w:asciiTheme="minorHAnsi" w:hAnsiTheme="minorHAnsi" w:cs="Times New Roman"/>
          <w:b/>
          <w:sz w:val="28"/>
          <w:szCs w:val="22"/>
          <w:lang w:val="en-US"/>
        </w:rPr>
        <w:tab/>
      </w:r>
      <w:r w:rsidR="00D205C7" w:rsidRPr="00337C97">
        <w:rPr>
          <w:rFonts w:asciiTheme="minorHAnsi" w:hAnsiTheme="minorHAnsi" w:cs="Times New Roman"/>
          <w:b/>
          <w:sz w:val="28"/>
          <w:szCs w:val="22"/>
          <w:lang w:val="en-US"/>
        </w:rPr>
        <w:t>Prior Research</w:t>
      </w:r>
      <w:bookmarkEnd w:id="208"/>
      <w:bookmarkEnd w:id="209"/>
      <w:bookmarkEnd w:id="210"/>
      <w:bookmarkEnd w:id="211"/>
    </w:p>
    <w:p w:rsidR="00D205C7" w:rsidRPr="00337C97" w:rsidRDefault="00D205C7" w:rsidP="00950BBC">
      <w:pPr>
        <w:spacing w:line="360" w:lineRule="auto"/>
        <w:rPr>
          <w:rFonts w:asciiTheme="minorHAnsi" w:hAnsiTheme="minorHAnsi" w:cs="Times New Roman"/>
          <w:sz w:val="22"/>
          <w:szCs w:val="22"/>
          <w:lang w:val="en-US"/>
        </w:rPr>
      </w:pPr>
    </w:p>
    <w:p w:rsidR="005B2497" w:rsidRPr="00337C97" w:rsidRDefault="005B2497" w:rsidP="007B6CA0">
      <w:pPr>
        <w:spacing w:line="360" w:lineRule="auto"/>
        <w:outlineLvl w:val="1"/>
        <w:rPr>
          <w:rFonts w:asciiTheme="minorHAnsi" w:hAnsiTheme="minorHAnsi" w:cs="Times New Roman"/>
          <w:b/>
          <w:sz w:val="22"/>
          <w:szCs w:val="22"/>
          <w:lang w:val="en-US"/>
        </w:rPr>
      </w:pPr>
      <w:bookmarkStart w:id="212" w:name="_Toc242697421"/>
      <w:bookmarkStart w:id="213" w:name="_Toc242697656"/>
      <w:bookmarkStart w:id="214" w:name="_Toc245187893"/>
      <w:bookmarkStart w:id="215" w:name="_Toc269658937"/>
      <w:r w:rsidRPr="00337C97">
        <w:rPr>
          <w:rFonts w:asciiTheme="minorHAnsi" w:hAnsiTheme="minorHAnsi" w:cs="Times New Roman"/>
          <w:b/>
          <w:sz w:val="22"/>
          <w:szCs w:val="22"/>
          <w:lang w:val="en-US"/>
        </w:rPr>
        <w:t>4.1</w:t>
      </w:r>
      <w:r w:rsidRPr="00337C97">
        <w:rPr>
          <w:rFonts w:asciiTheme="minorHAnsi" w:hAnsiTheme="minorHAnsi" w:cs="Times New Roman"/>
          <w:b/>
          <w:sz w:val="22"/>
          <w:szCs w:val="22"/>
          <w:lang w:val="en-US"/>
        </w:rPr>
        <w:tab/>
        <w:t>Introduction</w:t>
      </w:r>
      <w:bookmarkEnd w:id="212"/>
      <w:bookmarkEnd w:id="213"/>
      <w:bookmarkEnd w:id="214"/>
      <w:bookmarkEnd w:id="215"/>
    </w:p>
    <w:p w:rsidR="005B2497" w:rsidRPr="00337C97" w:rsidRDefault="001E1DA6" w:rsidP="003D0674">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There has been extensive research in the developed countries to examine the corporate disclosure in financial and non-financial companies. The focus of this chapter</w:t>
      </w:r>
      <w:r w:rsidR="003D0674" w:rsidRPr="00337C97">
        <w:rPr>
          <w:rFonts w:asciiTheme="minorHAnsi" w:hAnsiTheme="minorHAnsi" w:cs="Times New Roman"/>
          <w:sz w:val="22"/>
          <w:szCs w:val="22"/>
          <w:lang w:val="en-US"/>
        </w:rPr>
        <w:t xml:space="preserve"> lies upon prior research on risk disclosure</w:t>
      </w:r>
      <w:r w:rsidR="001A088C" w:rsidRPr="00337C97">
        <w:rPr>
          <w:rFonts w:asciiTheme="minorHAnsi" w:hAnsiTheme="minorHAnsi" w:cs="Times New Roman"/>
          <w:sz w:val="22"/>
          <w:szCs w:val="22"/>
          <w:lang w:val="en-US"/>
        </w:rPr>
        <w:t xml:space="preserve"> in </w:t>
      </w:r>
      <w:r w:rsidR="00237362" w:rsidRPr="00337C97">
        <w:rPr>
          <w:rFonts w:asciiTheme="minorHAnsi" w:hAnsiTheme="minorHAnsi" w:cs="Times New Roman"/>
          <w:sz w:val="22"/>
          <w:szCs w:val="22"/>
          <w:lang w:val="en-US"/>
        </w:rPr>
        <w:t>(</w:t>
      </w:r>
      <w:r w:rsidR="001A088C" w:rsidRPr="00337C97">
        <w:rPr>
          <w:rFonts w:asciiTheme="minorHAnsi" w:hAnsiTheme="minorHAnsi" w:cs="Times New Roman"/>
          <w:sz w:val="22"/>
          <w:szCs w:val="22"/>
          <w:lang w:val="en-US"/>
        </w:rPr>
        <w:t>financial</w:t>
      </w:r>
      <w:r w:rsidR="00237362" w:rsidRPr="00337C97">
        <w:rPr>
          <w:rFonts w:asciiTheme="minorHAnsi" w:hAnsiTheme="minorHAnsi" w:cs="Times New Roman"/>
          <w:sz w:val="22"/>
          <w:szCs w:val="22"/>
          <w:lang w:val="en-US"/>
        </w:rPr>
        <w:t>)</w:t>
      </w:r>
      <w:r w:rsidR="001A088C" w:rsidRPr="00337C97">
        <w:rPr>
          <w:rFonts w:asciiTheme="minorHAnsi" w:hAnsiTheme="minorHAnsi" w:cs="Times New Roman"/>
          <w:sz w:val="22"/>
          <w:szCs w:val="22"/>
          <w:lang w:val="en-US"/>
        </w:rPr>
        <w:t xml:space="preserve"> companies</w:t>
      </w:r>
      <w:r w:rsidR="003D0674" w:rsidRPr="00337C97">
        <w:rPr>
          <w:rFonts w:asciiTheme="minorHAnsi" w:hAnsiTheme="minorHAnsi" w:cs="Times New Roman"/>
          <w:sz w:val="22"/>
          <w:szCs w:val="22"/>
          <w:lang w:val="en-US"/>
        </w:rPr>
        <w:t xml:space="preserve">. The </w:t>
      </w:r>
      <w:r w:rsidR="005B2497" w:rsidRPr="00337C97">
        <w:rPr>
          <w:rFonts w:asciiTheme="minorHAnsi" w:hAnsiTheme="minorHAnsi" w:cs="Times New Roman"/>
          <w:sz w:val="22"/>
          <w:szCs w:val="22"/>
          <w:lang w:val="en-US"/>
        </w:rPr>
        <w:t xml:space="preserve">following question will be </w:t>
      </w:r>
      <w:r w:rsidR="00237362" w:rsidRPr="00337C97">
        <w:rPr>
          <w:rFonts w:asciiTheme="minorHAnsi" w:hAnsiTheme="minorHAnsi" w:cs="Times New Roman"/>
          <w:sz w:val="22"/>
          <w:szCs w:val="22"/>
          <w:lang w:val="en-US"/>
        </w:rPr>
        <w:t>answered</w:t>
      </w:r>
      <w:r w:rsidR="005B2497" w:rsidRPr="00337C97">
        <w:rPr>
          <w:rFonts w:asciiTheme="minorHAnsi" w:hAnsiTheme="minorHAnsi" w:cs="Times New Roman"/>
          <w:sz w:val="22"/>
          <w:szCs w:val="22"/>
          <w:lang w:val="en-US"/>
        </w:rPr>
        <w:t xml:space="preserve"> in this chapter:</w:t>
      </w:r>
    </w:p>
    <w:p w:rsidR="005B2497" w:rsidRPr="00337C97" w:rsidRDefault="005B2497" w:rsidP="00101B5A">
      <w:pPr>
        <w:spacing w:line="360" w:lineRule="auto"/>
        <w:jc w:val="both"/>
        <w:rPr>
          <w:rFonts w:asciiTheme="minorHAnsi" w:hAnsiTheme="minorHAnsi" w:cs="Times New Roman"/>
          <w:sz w:val="22"/>
          <w:szCs w:val="22"/>
          <w:lang w:val="en-US"/>
        </w:rPr>
      </w:pPr>
    </w:p>
    <w:p w:rsidR="005B2497" w:rsidRPr="00337C97" w:rsidRDefault="005B2497" w:rsidP="00145A44">
      <w:pPr>
        <w:spacing w:line="360" w:lineRule="auto"/>
        <w:ind w:firstLine="720"/>
        <w:jc w:val="both"/>
        <w:rPr>
          <w:rFonts w:asciiTheme="minorHAnsi" w:hAnsiTheme="minorHAnsi" w:cs="Times New Roman"/>
          <w:i/>
          <w:sz w:val="22"/>
          <w:szCs w:val="22"/>
          <w:lang w:val="en-US"/>
        </w:rPr>
      </w:pPr>
      <w:r w:rsidRPr="00337C97">
        <w:rPr>
          <w:rFonts w:asciiTheme="minorHAnsi" w:hAnsiTheme="minorHAnsi" w:cs="Times New Roman"/>
          <w:i/>
          <w:sz w:val="22"/>
          <w:szCs w:val="22"/>
          <w:lang w:val="en-US"/>
        </w:rPr>
        <w:t>What are the results of prior risk disclosure research?</w:t>
      </w:r>
    </w:p>
    <w:p w:rsidR="005B2497" w:rsidRPr="00337C97" w:rsidRDefault="005B2497" w:rsidP="00101B5A">
      <w:pPr>
        <w:spacing w:line="360" w:lineRule="auto"/>
        <w:jc w:val="both"/>
        <w:rPr>
          <w:rFonts w:asciiTheme="minorHAnsi" w:hAnsiTheme="minorHAnsi" w:cs="Times New Roman"/>
          <w:sz w:val="22"/>
          <w:szCs w:val="22"/>
          <w:lang w:val="en-US"/>
        </w:rPr>
      </w:pPr>
    </w:p>
    <w:p w:rsidR="007C3234" w:rsidRPr="00337C97" w:rsidRDefault="00DE5C81"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second paragraph introduces the research </w:t>
      </w:r>
      <w:r w:rsidR="00911354" w:rsidRPr="00337C97">
        <w:rPr>
          <w:rFonts w:asciiTheme="minorHAnsi" w:hAnsiTheme="minorHAnsi" w:cs="Times New Roman"/>
          <w:sz w:val="22"/>
          <w:szCs w:val="22"/>
          <w:lang w:val="en-US"/>
        </w:rPr>
        <w:t>papers that have</w:t>
      </w:r>
      <w:r w:rsidRPr="00337C97">
        <w:rPr>
          <w:rFonts w:asciiTheme="minorHAnsi" w:hAnsiTheme="minorHAnsi" w:cs="Times New Roman"/>
          <w:sz w:val="22"/>
          <w:szCs w:val="22"/>
          <w:lang w:val="en-US"/>
        </w:rPr>
        <w:t xml:space="preserve"> </w:t>
      </w:r>
      <w:r w:rsidR="00911354" w:rsidRPr="00337C97">
        <w:rPr>
          <w:rFonts w:asciiTheme="minorHAnsi" w:hAnsiTheme="minorHAnsi" w:cs="Times New Roman"/>
          <w:sz w:val="22"/>
          <w:szCs w:val="22"/>
          <w:lang w:val="en-US"/>
        </w:rPr>
        <w:t>evoked the research on risk disclosure</w:t>
      </w:r>
      <w:r w:rsidR="00145A44" w:rsidRPr="00337C97">
        <w:rPr>
          <w:rFonts w:asciiTheme="minorHAnsi" w:hAnsiTheme="minorHAnsi" w:cs="Times New Roman"/>
          <w:sz w:val="22"/>
          <w:szCs w:val="22"/>
          <w:lang w:val="en-US"/>
        </w:rPr>
        <w:t xml:space="preserve"> </w:t>
      </w:r>
      <w:r w:rsidR="00E321A5" w:rsidRPr="00337C97">
        <w:rPr>
          <w:rFonts w:asciiTheme="minorHAnsi" w:hAnsiTheme="minorHAnsi" w:cs="Times New Roman"/>
          <w:sz w:val="22"/>
          <w:szCs w:val="22"/>
          <w:lang w:val="en-US"/>
        </w:rPr>
        <w:t>by</w:t>
      </w:r>
      <w:r w:rsidR="00145A44" w:rsidRPr="00337C97">
        <w:rPr>
          <w:rFonts w:asciiTheme="minorHAnsi" w:hAnsiTheme="minorHAnsi" w:cs="Times New Roman"/>
          <w:sz w:val="22"/>
          <w:szCs w:val="22"/>
          <w:lang w:val="en-US"/>
        </w:rPr>
        <w:t xml:space="preserve"> financial institutions</w:t>
      </w:r>
      <w:r w:rsidR="001665A1" w:rsidRPr="00337C97">
        <w:rPr>
          <w:rFonts w:asciiTheme="minorHAnsi" w:hAnsiTheme="minorHAnsi" w:cs="Times New Roman"/>
          <w:sz w:val="22"/>
          <w:szCs w:val="22"/>
          <w:lang w:val="en-US"/>
        </w:rPr>
        <w:t xml:space="preserve">. </w:t>
      </w:r>
      <w:r w:rsidR="00911354" w:rsidRPr="00337C97">
        <w:rPr>
          <w:rFonts w:asciiTheme="minorHAnsi" w:hAnsiTheme="minorHAnsi" w:cs="Times New Roman"/>
          <w:sz w:val="22"/>
          <w:szCs w:val="22"/>
          <w:lang w:val="en-US"/>
        </w:rPr>
        <w:t xml:space="preserve">In the third paragraph studies on the extent of risk disclosures </w:t>
      </w:r>
      <w:r w:rsidR="001665A1" w:rsidRPr="00337C97">
        <w:rPr>
          <w:rFonts w:asciiTheme="minorHAnsi" w:hAnsiTheme="minorHAnsi" w:cs="Times New Roman"/>
          <w:sz w:val="22"/>
          <w:szCs w:val="22"/>
          <w:lang w:val="en-US"/>
        </w:rPr>
        <w:t xml:space="preserve">are discussed, on both financial and non-financial companies. The fourth paragraph </w:t>
      </w:r>
      <w:r w:rsidR="00376F97" w:rsidRPr="00337C97">
        <w:rPr>
          <w:rFonts w:asciiTheme="minorHAnsi" w:hAnsiTheme="minorHAnsi" w:cs="Times New Roman"/>
          <w:sz w:val="22"/>
          <w:szCs w:val="22"/>
          <w:lang w:val="en-US"/>
        </w:rPr>
        <w:t>continues with studies on the factors that influence risk disclosures. Research on the usefulness of risk disclosure i</w:t>
      </w:r>
      <w:r w:rsidR="00145A44" w:rsidRPr="00337C97">
        <w:rPr>
          <w:rFonts w:asciiTheme="minorHAnsi" w:hAnsiTheme="minorHAnsi" w:cs="Times New Roman"/>
          <w:sz w:val="22"/>
          <w:szCs w:val="22"/>
          <w:lang w:val="en-US"/>
        </w:rPr>
        <w:t xml:space="preserve">s discussed in the fifth paragraph. </w:t>
      </w:r>
      <w:r w:rsidR="007C3234" w:rsidRPr="00337C97">
        <w:rPr>
          <w:rFonts w:asciiTheme="minorHAnsi" w:hAnsiTheme="minorHAnsi" w:cs="Times New Roman"/>
          <w:sz w:val="22"/>
          <w:szCs w:val="22"/>
          <w:lang w:val="en-US"/>
        </w:rPr>
        <w:t xml:space="preserve">Studies examining the association between the volume of risk disclosures made by </w:t>
      </w:r>
      <w:r w:rsidR="007C3234" w:rsidRPr="00337C97">
        <w:rPr>
          <w:rFonts w:asciiTheme="minorHAnsi" w:hAnsiTheme="minorHAnsi" w:cs="Times New Roman"/>
          <w:i/>
          <w:sz w:val="22"/>
          <w:szCs w:val="22"/>
          <w:lang w:val="en-US"/>
        </w:rPr>
        <w:t>banks</w:t>
      </w:r>
      <w:r w:rsidR="007C3234" w:rsidRPr="00337C97">
        <w:rPr>
          <w:rFonts w:asciiTheme="minorHAnsi" w:hAnsiTheme="minorHAnsi" w:cs="Times New Roman"/>
          <w:sz w:val="22"/>
          <w:szCs w:val="22"/>
          <w:lang w:val="en-US"/>
        </w:rPr>
        <w:t xml:space="preserve"> within their annual reports and potentially relevant variables</w:t>
      </w:r>
      <w:r w:rsidR="00C92DB3" w:rsidRPr="00337C97">
        <w:rPr>
          <w:rFonts w:asciiTheme="minorHAnsi" w:hAnsiTheme="minorHAnsi" w:cs="Times New Roman"/>
          <w:sz w:val="22"/>
          <w:szCs w:val="22"/>
          <w:lang w:val="en-US"/>
        </w:rPr>
        <w:t xml:space="preserve"> are very scarce</w:t>
      </w:r>
      <w:r w:rsidR="00237362" w:rsidRPr="00337C97">
        <w:rPr>
          <w:rFonts w:asciiTheme="minorHAnsi" w:hAnsiTheme="minorHAnsi" w:cs="Times New Roman"/>
          <w:sz w:val="22"/>
          <w:szCs w:val="22"/>
          <w:lang w:val="en-US"/>
        </w:rPr>
        <w:t>,</w:t>
      </w:r>
      <w:r w:rsidR="00C92DB3" w:rsidRPr="00337C97">
        <w:rPr>
          <w:rFonts w:asciiTheme="minorHAnsi" w:hAnsiTheme="minorHAnsi" w:cs="Times New Roman"/>
          <w:sz w:val="22"/>
          <w:szCs w:val="22"/>
          <w:lang w:val="en-US"/>
        </w:rPr>
        <w:t xml:space="preserve"> and that is the reason that also studies examining risk disclosure in </w:t>
      </w:r>
      <w:r w:rsidR="00C92DB3" w:rsidRPr="00337C97">
        <w:rPr>
          <w:rFonts w:asciiTheme="minorHAnsi" w:hAnsiTheme="minorHAnsi" w:cs="Times New Roman"/>
          <w:i/>
          <w:sz w:val="22"/>
          <w:szCs w:val="22"/>
          <w:lang w:val="en-US"/>
        </w:rPr>
        <w:t>nonfinancial</w:t>
      </w:r>
      <w:r w:rsidR="00C92DB3" w:rsidRPr="00337C97">
        <w:rPr>
          <w:rFonts w:asciiTheme="minorHAnsi" w:hAnsiTheme="minorHAnsi" w:cs="Times New Roman"/>
          <w:sz w:val="22"/>
          <w:szCs w:val="22"/>
          <w:lang w:val="en-US"/>
        </w:rPr>
        <w:t xml:space="preserve"> firms are reviewed. The literature review in this chapter is used to develop hypotheses in the next chapter.</w:t>
      </w:r>
    </w:p>
    <w:p w:rsidR="007C3234" w:rsidRPr="00337C97" w:rsidRDefault="007C3234" w:rsidP="00101B5A">
      <w:pPr>
        <w:spacing w:line="360" w:lineRule="auto"/>
        <w:jc w:val="both"/>
        <w:rPr>
          <w:rFonts w:asciiTheme="minorHAnsi" w:hAnsiTheme="minorHAnsi" w:cs="Times New Roman"/>
          <w:sz w:val="22"/>
          <w:szCs w:val="22"/>
          <w:lang w:val="en-US"/>
        </w:rPr>
      </w:pPr>
    </w:p>
    <w:p w:rsidR="00031730" w:rsidRPr="00337C97" w:rsidRDefault="005B2497" w:rsidP="007B6CA0">
      <w:pPr>
        <w:spacing w:line="360" w:lineRule="auto"/>
        <w:jc w:val="both"/>
        <w:outlineLvl w:val="1"/>
        <w:rPr>
          <w:rFonts w:asciiTheme="minorHAnsi" w:hAnsiTheme="minorHAnsi" w:cs="Times New Roman"/>
          <w:b/>
          <w:sz w:val="22"/>
          <w:szCs w:val="22"/>
          <w:lang w:val="en-US"/>
        </w:rPr>
      </w:pPr>
      <w:bookmarkStart w:id="216" w:name="_Toc242697422"/>
      <w:bookmarkStart w:id="217" w:name="_Toc242697657"/>
      <w:bookmarkStart w:id="218" w:name="_Toc245187894"/>
      <w:bookmarkStart w:id="219" w:name="_Toc269658938"/>
      <w:r w:rsidRPr="00337C97">
        <w:rPr>
          <w:rFonts w:asciiTheme="minorHAnsi" w:hAnsiTheme="minorHAnsi" w:cs="Times New Roman"/>
          <w:b/>
          <w:sz w:val="22"/>
          <w:szCs w:val="22"/>
          <w:lang w:val="en-US"/>
        </w:rPr>
        <w:t>4.2</w:t>
      </w:r>
      <w:r w:rsidRPr="00337C97">
        <w:rPr>
          <w:rFonts w:asciiTheme="minorHAnsi" w:hAnsiTheme="minorHAnsi" w:cs="Times New Roman"/>
          <w:b/>
          <w:sz w:val="22"/>
          <w:szCs w:val="22"/>
          <w:lang w:val="en-US"/>
        </w:rPr>
        <w:tab/>
      </w:r>
      <w:r w:rsidR="00BF386F" w:rsidRPr="00337C97">
        <w:rPr>
          <w:rFonts w:asciiTheme="minorHAnsi" w:hAnsiTheme="minorHAnsi" w:cs="Times New Roman"/>
          <w:b/>
          <w:sz w:val="22"/>
          <w:szCs w:val="22"/>
          <w:lang w:val="en-US"/>
        </w:rPr>
        <w:t>I</w:t>
      </w:r>
      <w:r w:rsidR="00A24B45" w:rsidRPr="00337C97">
        <w:rPr>
          <w:rFonts w:asciiTheme="minorHAnsi" w:hAnsiTheme="minorHAnsi" w:cs="Times New Roman"/>
          <w:b/>
          <w:sz w:val="22"/>
          <w:szCs w:val="22"/>
          <w:lang w:val="en-US"/>
        </w:rPr>
        <w:t>nitiation of risk disclosure research</w:t>
      </w:r>
      <w:bookmarkEnd w:id="216"/>
      <w:bookmarkEnd w:id="217"/>
      <w:bookmarkEnd w:id="218"/>
      <w:bookmarkEnd w:id="219"/>
    </w:p>
    <w:p w:rsidR="002065A1" w:rsidRPr="00337C97" w:rsidRDefault="002065A1"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A large number of disclosure studies have been performed in the last 30 years but their primary focus has been analyses of corporate disclosures in general. Additionally, the majority of these prior studies have examined the annual reports of non-financial firms. </w:t>
      </w:r>
      <w:r w:rsidR="00C26521" w:rsidRPr="00337C97">
        <w:rPr>
          <w:rFonts w:asciiTheme="minorHAnsi" w:hAnsiTheme="minorHAnsi" w:cs="Times New Roman"/>
          <w:sz w:val="22"/>
          <w:szCs w:val="22"/>
          <w:lang w:val="en-US"/>
        </w:rPr>
        <w:t>The study of Linsley et al. (2006)</w:t>
      </w:r>
      <w:r w:rsidRPr="00337C97">
        <w:rPr>
          <w:rFonts w:asciiTheme="minorHAnsi" w:hAnsiTheme="minorHAnsi" w:cs="Times New Roman"/>
          <w:sz w:val="22"/>
          <w:szCs w:val="22"/>
          <w:lang w:val="en-US"/>
        </w:rPr>
        <w:t xml:space="preserve"> specifically focused on risk and risk management disclosure within the banking sector and had therefore an exploratory a</w:t>
      </w:r>
      <w:r w:rsidR="00C26521" w:rsidRPr="00337C97">
        <w:rPr>
          <w:rFonts w:asciiTheme="minorHAnsi" w:hAnsiTheme="minorHAnsi" w:cs="Times New Roman"/>
          <w:sz w:val="22"/>
          <w:szCs w:val="22"/>
          <w:lang w:val="en-US"/>
        </w:rPr>
        <w:t xml:space="preserve">spect. With their paper, they </w:t>
      </w:r>
      <w:r w:rsidRPr="00337C97">
        <w:rPr>
          <w:rFonts w:asciiTheme="minorHAnsi" w:hAnsiTheme="minorHAnsi" w:cs="Times New Roman"/>
          <w:sz w:val="22"/>
          <w:szCs w:val="22"/>
          <w:lang w:val="en-US"/>
        </w:rPr>
        <w:t xml:space="preserve">intend to initiate risk disclosure research </w:t>
      </w:r>
      <w:r w:rsidR="00C26521" w:rsidRPr="00337C97">
        <w:rPr>
          <w:rFonts w:asciiTheme="minorHAnsi" w:hAnsiTheme="minorHAnsi" w:cs="Times New Roman"/>
          <w:sz w:val="22"/>
          <w:szCs w:val="22"/>
          <w:lang w:val="en-US"/>
        </w:rPr>
        <w:t>in the financial services arena (Linsley et al., 2006, p. 268).</w:t>
      </w:r>
      <w:r w:rsidR="00EE2FF7" w:rsidRPr="00337C97">
        <w:rPr>
          <w:rFonts w:asciiTheme="minorHAnsi" w:hAnsiTheme="minorHAnsi" w:cs="Times New Roman"/>
          <w:sz w:val="22"/>
          <w:szCs w:val="22"/>
          <w:lang w:val="en-US"/>
        </w:rPr>
        <w:t xml:space="preserve"> The results of their study will </w:t>
      </w:r>
      <w:r w:rsidR="003B4369" w:rsidRPr="00337C97">
        <w:rPr>
          <w:rFonts w:asciiTheme="minorHAnsi" w:hAnsiTheme="minorHAnsi" w:cs="Times New Roman"/>
          <w:sz w:val="22"/>
          <w:szCs w:val="22"/>
          <w:lang w:val="en-US"/>
        </w:rPr>
        <w:t xml:space="preserve">be discussed in </w:t>
      </w:r>
      <w:r w:rsidR="00EE2FF7" w:rsidRPr="00337C97">
        <w:rPr>
          <w:rFonts w:asciiTheme="minorHAnsi" w:hAnsiTheme="minorHAnsi" w:cs="Times New Roman"/>
          <w:sz w:val="22"/>
          <w:szCs w:val="22"/>
          <w:lang w:val="en-US"/>
        </w:rPr>
        <w:t>paragraph</w:t>
      </w:r>
      <w:r w:rsidR="003B4369" w:rsidRPr="00337C97">
        <w:rPr>
          <w:rFonts w:asciiTheme="minorHAnsi" w:hAnsiTheme="minorHAnsi" w:cs="Times New Roman"/>
          <w:sz w:val="22"/>
          <w:szCs w:val="22"/>
          <w:lang w:val="en-US"/>
        </w:rPr>
        <w:t xml:space="preserve"> 4.3.2</w:t>
      </w:r>
      <w:r w:rsidR="00EE2FF7" w:rsidRPr="00337C97">
        <w:rPr>
          <w:rFonts w:asciiTheme="minorHAnsi" w:hAnsiTheme="minorHAnsi" w:cs="Times New Roman"/>
          <w:sz w:val="22"/>
          <w:szCs w:val="22"/>
          <w:lang w:val="en-US"/>
        </w:rPr>
        <w:t>.</w:t>
      </w:r>
    </w:p>
    <w:p w:rsidR="00C26521" w:rsidRPr="00337C97" w:rsidRDefault="00C26521" w:rsidP="00101B5A">
      <w:pPr>
        <w:spacing w:line="360" w:lineRule="auto"/>
        <w:jc w:val="both"/>
        <w:rPr>
          <w:rFonts w:asciiTheme="minorHAnsi" w:hAnsiTheme="minorHAnsi" w:cs="Times New Roman"/>
          <w:sz w:val="22"/>
          <w:szCs w:val="22"/>
          <w:lang w:val="en-US"/>
        </w:rPr>
      </w:pPr>
    </w:p>
    <w:p w:rsidR="00101B5A" w:rsidRPr="00337C97" w:rsidRDefault="00C26521"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Before </w:t>
      </w:r>
      <w:r w:rsidR="003C7E49" w:rsidRPr="00337C97">
        <w:rPr>
          <w:rFonts w:asciiTheme="minorHAnsi" w:hAnsiTheme="minorHAnsi" w:cs="Times New Roman"/>
          <w:sz w:val="22"/>
          <w:szCs w:val="22"/>
          <w:lang w:val="en-US"/>
        </w:rPr>
        <w:t xml:space="preserve">academic </w:t>
      </w:r>
      <w:r w:rsidR="00237362" w:rsidRPr="00337C97">
        <w:rPr>
          <w:rFonts w:asciiTheme="minorHAnsi" w:hAnsiTheme="minorHAnsi" w:cs="Times New Roman"/>
          <w:sz w:val="22"/>
          <w:szCs w:val="22"/>
          <w:lang w:val="en-US"/>
        </w:rPr>
        <w:t xml:space="preserve">(empirical) </w:t>
      </w:r>
      <w:r w:rsidR="003C7E49" w:rsidRPr="00337C97">
        <w:rPr>
          <w:rFonts w:asciiTheme="minorHAnsi" w:hAnsiTheme="minorHAnsi" w:cs="Times New Roman"/>
          <w:sz w:val="22"/>
          <w:szCs w:val="22"/>
          <w:lang w:val="en-US"/>
        </w:rPr>
        <w:t xml:space="preserve">research on the </w:t>
      </w:r>
      <w:r w:rsidRPr="00337C97">
        <w:rPr>
          <w:rFonts w:asciiTheme="minorHAnsi" w:hAnsiTheme="minorHAnsi" w:cs="Times New Roman"/>
          <w:sz w:val="22"/>
          <w:szCs w:val="22"/>
          <w:lang w:val="en-US"/>
        </w:rPr>
        <w:t xml:space="preserve">risk disclosure started, </w:t>
      </w:r>
      <w:r w:rsidR="00145A44" w:rsidRPr="00337C97">
        <w:rPr>
          <w:rFonts w:asciiTheme="minorHAnsi" w:hAnsiTheme="minorHAnsi" w:cs="Times New Roman"/>
          <w:sz w:val="22"/>
          <w:szCs w:val="22"/>
          <w:lang w:val="en-US"/>
        </w:rPr>
        <w:t>two</w:t>
      </w:r>
      <w:r w:rsidRPr="00337C97">
        <w:rPr>
          <w:rFonts w:asciiTheme="minorHAnsi" w:hAnsiTheme="minorHAnsi" w:cs="Times New Roman"/>
          <w:sz w:val="22"/>
          <w:szCs w:val="22"/>
          <w:lang w:val="en-US"/>
        </w:rPr>
        <w:t xml:space="preserve"> papers were published in the field of accountancy focusing on risk and risk reporting. In 1998, </w:t>
      </w:r>
      <w:r w:rsidR="00BF183E" w:rsidRPr="00337C97">
        <w:rPr>
          <w:rFonts w:asciiTheme="minorHAnsi" w:hAnsiTheme="minorHAnsi" w:cs="Times New Roman"/>
          <w:sz w:val="22"/>
          <w:szCs w:val="22"/>
          <w:lang w:val="en-US"/>
        </w:rPr>
        <w:t>it was the Institute of Chartered Accountants in England and Wales (ICAEW) that started a debate on the importance of risk reporting, publishing a discussion paper entitled “Financial Reporting of Risk”</w:t>
      </w:r>
      <w:r w:rsidR="003C7E49" w:rsidRPr="00337C97">
        <w:rPr>
          <w:rFonts w:asciiTheme="minorHAnsi" w:hAnsiTheme="minorHAnsi" w:cs="Times New Roman"/>
          <w:sz w:val="22"/>
          <w:szCs w:val="22"/>
          <w:lang w:val="en-US"/>
        </w:rPr>
        <w:t xml:space="preserve">. The paper stated that quoted UK companies should voluntarily undertake to disclose risk information within a separate statement contained within the annual report. Furthermore, it concluded that the annual report did not present </w:t>
      </w:r>
      <w:r w:rsidR="003C7E49" w:rsidRPr="00337C97">
        <w:rPr>
          <w:rFonts w:asciiTheme="minorHAnsi" w:hAnsiTheme="minorHAnsi" w:cs="Times New Roman"/>
          <w:sz w:val="22"/>
          <w:szCs w:val="22"/>
          <w:lang w:val="en-US"/>
        </w:rPr>
        <w:lastRenderedPageBreak/>
        <w:t>a coherent discussion of the risks that challenge the company and the action the directors are un</w:t>
      </w:r>
      <w:r w:rsidR="00F933E3" w:rsidRPr="00337C97">
        <w:rPr>
          <w:rFonts w:asciiTheme="minorHAnsi" w:hAnsiTheme="minorHAnsi" w:cs="Times New Roman"/>
          <w:sz w:val="22"/>
          <w:szCs w:val="22"/>
          <w:lang w:val="en-US"/>
        </w:rPr>
        <w:t>dertaking to manage those risks (Linsley and Shrives, 2005</w:t>
      </w:r>
      <w:r w:rsidR="00074637" w:rsidRPr="00337C97">
        <w:rPr>
          <w:rFonts w:asciiTheme="minorHAnsi" w:hAnsiTheme="minorHAnsi" w:cs="Times New Roman"/>
          <w:sz w:val="22"/>
          <w:szCs w:val="22"/>
          <w:lang w:val="en-US"/>
        </w:rPr>
        <w:t>a</w:t>
      </w:r>
      <w:r w:rsidR="00F933E3" w:rsidRPr="00337C97">
        <w:rPr>
          <w:rFonts w:asciiTheme="minorHAnsi" w:hAnsiTheme="minorHAnsi" w:cs="Times New Roman"/>
          <w:sz w:val="22"/>
          <w:szCs w:val="22"/>
          <w:lang w:val="en-US"/>
        </w:rPr>
        <w:t>, p. 211-212).</w:t>
      </w:r>
    </w:p>
    <w:p w:rsidR="002065A1" w:rsidRPr="00337C97" w:rsidRDefault="002065A1" w:rsidP="00101B5A">
      <w:pPr>
        <w:spacing w:line="360" w:lineRule="auto"/>
        <w:jc w:val="both"/>
        <w:rPr>
          <w:rFonts w:asciiTheme="minorHAnsi" w:hAnsiTheme="minorHAnsi" w:cs="Times New Roman"/>
          <w:sz w:val="22"/>
          <w:szCs w:val="22"/>
          <w:lang w:val="en-US"/>
        </w:rPr>
      </w:pPr>
    </w:p>
    <w:p w:rsidR="00F933E3" w:rsidRPr="00337C97" w:rsidRDefault="00AA7045" w:rsidP="00E321A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second paper (Schrand and Elliot, 1998) summarizes presentations and debates on an AAA/FASB (American Accounting Association / Financial Accounting Standards Board) conference about “Risk and Financial Reporting”. They noted fundamental inadequacies in </w:t>
      </w:r>
      <w:r w:rsidR="0075394A" w:rsidRPr="00337C97">
        <w:rPr>
          <w:rFonts w:asciiTheme="minorHAnsi" w:hAnsiTheme="minorHAnsi" w:cs="Times New Roman"/>
          <w:sz w:val="22"/>
          <w:szCs w:val="22"/>
          <w:lang w:val="en-US"/>
        </w:rPr>
        <w:t xml:space="preserve">regulatory </w:t>
      </w:r>
      <w:r w:rsidRPr="00337C97">
        <w:rPr>
          <w:rFonts w:asciiTheme="minorHAnsi" w:hAnsiTheme="minorHAnsi" w:cs="Times New Roman"/>
          <w:sz w:val="22"/>
          <w:szCs w:val="22"/>
          <w:lang w:val="en-US"/>
        </w:rPr>
        <w:t>requirements regarding risk disclosure</w:t>
      </w:r>
      <w:r w:rsidR="0075394A" w:rsidRPr="00337C97">
        <w:rPr>
          <w:rFonts w:asciiTheme="minorHAnsi" w:hAnsiTheme="minorHAnsi" w:cs="Times New Roman"/>
          <w:sz w:val="22"/>
          <w:szCs w:val="22"/>
          <w:lang w:val="en-US"/>
        </w:rPr>
        <w:t>s and concluded that companies have no incentives for voluntary disclosures about risk. Concurrent to the previous papers, the Basel Committee on Banking Supervision (BCBS</w:t>
      </w:r>
      <w:r w:rsidR="007416FF" w:rsidRPr="00337C97">
        <w:rPr>
          <w:rFonts w:asciiTheme="minorHAnsi" w:hAnsiTheme="minorHAnsi" w:cs="Times New Roman"/>
          <w:sz w:val="22"/>
          <w:szCs w:val="22"/>
          <w:lang w:val="en-US"/>
        </w:rPr>
        <w:t>, 1998</w:t>
      </w:r>
      <w:r w:rsidR="0075394A" w:rsidRPr="00337C97">
        <w:rPr>
          <w:rFonts w:asciiTheme="minorHAnsi" w:hAnsiTheme="minorHAnsi" w:cs="Times New Roman"/>
          <w:sz w:val="22"/>
          <w:szCs w:val="22"/>
          <w:lang w:val="en-US"/>
        </w:rPr>
        <w:t>) issued a paper</w:t>
      </w:r>
      <w:r w:rsidR="00BD500F" w:rsidRPr="00337C97">
        <w:rPr>
          <w:rFonts w:asciiTheme="minorHAnsi" w:hAnsiTheme="minorHAnsi" w:cs="Times New Roman"/>
          <w:sz w:val="22"/>
          <w:szCs w:val="22"/>
          <w:lang w:val="en-US"/>
        </w:rPr>
        <w:t xml:space="preserve"> </w:t>
      </w:r>
      <w:r w:rsidR="00EE2FF7" w:rsidRPr="00337C97">
        <w:rPr>
          <w:rFonts w:asciiTheme="minorHAnsi" w:hAnsiTheme="minorHAnsi" w:cs="Times New Roman"/>
          <w:sz w:val="22"/>
          <w:szCs w:val="22"/>
          <w:lang w:val="en-US"/>
        </w:rPr>
        <w:t xml:space="preserve">‘Enhancing Bank Transparency’ </w:t>
      </w:r>
      <w:r w:rsidR="00BD500F" w:rsidRPr="00337C97">
        <w:rPr>
          <w:rFonts w:asciiTheme="minorHAnsi" w:hAnsiTheme="minorHAnsi" w:cs="Times New Roman"/>
          <w:sz w:val="22"/>
          <w:szCs w:val="22"/>
          <w:lang w:val="en-US"/>
        </w:rPr>
        <w:t>related</w:t>
      </w:r>
      <w:r w:rsidR="0075394A" w:rsidRPr="00337C97">
        <w:rPr>
          <w:rFonts w:asciiTheme="minorHAnsi" w:hAnsiTheme="minorHAnsi" w:cs="Times New Roman"/>
          <w:sz w:val="22"/>
          <w:szCs w:val="22"/>
          <w:lang w:val="en-US"/>
        </w:rPr>
        <w:t xml:space="preserve"> to the disclosure of risk inf</w:t>
      </w:r>
      <w:r w:rsidR="00EE2FF7" w:rsidRPr="00337C97">
        <w:rPr>
          <w:rFonts w:asciiTheme="minorHAnsi" w:hAnsiTheme="minorHAnsi" w:cs="Times New Roman"/>
          <w:sz w:val="22"/>
          <w:szCs w:val="22"/>
          <w:lang w:val="en-US"/>
        </w:rPr>
        <w:t xml:space="preserve">ormation in the banking sector. </w:t>
      </w:r>
      <w:r w:rsidR="0075394A" w:rsidRPr="00337C97">
        <w:rPr>
          <w:rFonts w:asciiTheme="minorHAnsi" w:hAnsiTheme="minorHAnsi" w:cs="Times New Roman"/>
          <w:sz w:val="22"/>
          <w:szCs w:val="22"/>
          <w:lang w:val="en-US"/>
        </w:rPr>
        <w:t>Already mentioned in the first chapter</w:t>
      </w:r>
      <w:r w:rsidR="00BD500F" w:rsidRPr="00337C97">
        <w:rPr>
          <w:rFonts w:asciiTheme="minorHAnsi" w:hAnsiTheme="minorHAnsi" w:cs="Times New Roman"/>
          <w:sz w:val="22"/>
          <w:szCs w:val="22"/>
          <w:lang w:val="en-US"/>
        </w:rPr>
        <w:t xml:space="preserve">, this paper discusses the critical importance of disclosure and transparency within the context of banking supervision. </w:t>
      </w:r>
      <w:r w:rsidR="00EE2FF7" w:rsidRPr="00337C97">
        <w:rPr>
          <w:rFonts w:asciiTheme="minorHAnsi" w:hAnsiTheme="minorHAnsi" w:cs="Times New Roman"/>
          <w:sz w:val="22"/>
          <w:szCs w:val="22"/>
          <w:lang w:val="en-US"/>
        </w:rPr>
        <w:t>It recommended banks to disclose six categories of information within their annual reports. Two of these information categories are risk exposures, and risk management strategies and practices (Lin</w:t>
      </w:r>
      <w:r w:rsidR="00FE4715" w:rsidRPr="00337C97">
        <w:rPr>
          <w:rFonts w:asciiTheme="minorHAnsi" w:hAnsiTheme="minorHAnsi" w:cs="Times New Roman"/>
          <w:sz w:val="22"/>
          <w:szCs w:val="22"/>
          <w:lang w:val="en-US"/>
        </w:rPr>
        <w:t>sley et al., 2006, p. 269-270).</w:t>
      </w:r>
    </w:p>
    <w:p w:rsidR="000B52DB" w:rsidRPr="00337C97" w:rsidRDefault="000B52DB" w:rsidP="00101B5A">
      <w:pPr>
        <w:spacing w:line="360" w:lineRule="auto"/>
        <w:jc w:val="both"/>
        <w:rPr>
          <w:rFonts w:asciiTheme="minorHAnsi" w:hAnsiTheme="minorHAnsi" w:cs="Times New Roman"/>
          <w:sz w:val="22"/>
          <w:szCs w:val="22"/>
          <w:lang w:val="en-US"/>
        </w:rPr>
      </w:pPr>
    </w:p>
    <w:p w:rsidR="009272D2" w:rsidRPr="00337C97" w:rsidRDefault="005B2497" w:rsidP="00CA32F0">
      <w:pPr>
        <w:spacing w:line="360" w:lineRule="auto"/>
        <w:jc w:val="both"/>
        <w:outlineLvl w:val="1"/>
        <w:rPr>
          <w:rFonts w:asciiTheme="minorHAnsi" w:hAnsiTheme="minorHAnsi" w:cs="Times New Roman"/>
          <w:b/>
          <w:sz w:val="22"/>
          <w:szCs w:val="22"/>
          <w:lang w:val="en-US"/>
        </w:rPr>
      </w:pPr>
      <w:bookmarkStart w:id="220" w:name="_Toc242697423"/>
      <w:bookmarkStart w:id="221" w:name="_Toc242697658"/>
      <w:bookmarkStart w:id="222" w:name="_Toc245187895"/>
      <w:bookmarkStart w:id="223" w:name="_Toc269658939"/>
      <w:r w:rsidRPr="00337C97">
        <w:rPr>
          <w:rFonts w:asciiTheme="minorHAnsi" w:hAnsiTheme="minorHAnsi" w:cs="Times New Roman"/>
          <w:b/>
          <w:sz w:val="22"/>
          <w:szCs w:val="22"/>
          <w:lang w:val="en-US"/>
        </w:rPr>
        <w:t>4.3</w:t>
      </w:r>
      <w:r w:rsidRPr="00337C97">
        <w:rPr>
          <w:rFonts w:asciiTheme="minorHAnsi" w:hAnsiTheme="minorHAnsi" w:cs="Times New Roman"/>
          <w:b/>
          <w:sz w:val="22"/>
          <w:szCs w:val="22"/>
          <w:lang w:val="en-US"/>
        </w:rPr>
        <w:tab/>
      </w:r>
      <w:r w:rsidR="00031730" w:rsidRPr="00337C97">
        <w:rPr>
          <w:rFonts w:asciiTheme="minorHAnsi" w:hAnsiTheme="minorHAnsi" w:cs="Times New Roman"/>
          <w:b/>
          <w:sz w:val="22"/>
          <w:szCs w:val="22"/>
          <w:lang w:val="en-US"/>
        </w:rPr>
        <w:t>Extent</w:t>
      </w:r>
      <w:r w:rsidR="00BF386F" w:rsidRPr="00337C97">
        <w:rPr>
          <w:rFonts w:asciiTheme="minorHAnsi" w:hAnsiTheme="minorHAnsi" w:cs="Times New Roman"/>
          <w:b/>
          <w:sz w:val="22"/>
          <w:szCs w:val="22"/>
          <w:lang w:val="en-US"/>
        </w:rPr>
        <w:t xml:space="preserve"> of r</w:t>
      </w:r>
      <w:r w:rsidR="00031730" w:rsidRPr="00337C97">
        <w:rPr>
          <w:rFonts w:asciiTheme="minorHAnsi" w:hAnsiTheme="minorHAnsi" w:cs="Times New Roman"/>
          <w:b/>
          <w:sz w:val="22"/>
          <w:szCs w:val="22"/>
          <w:lang w:val="en-US"/>
        </w:rPr>
        <w:t>isk disclosure</w:t>
      </w:r>
      <w:bookmarkEnd w:id="220"/>
      <w:bookmarkEnd w:id="221"/>
      <w:bookmarkEnd w:id="222"/>
      <w:bookmarkEnd w:id="223"/>
    </w:p>
    <w:p w:rsidR="00BD66A2" w:rsidRPr="00337C97" w:rsidRDefault="00BD66A2" w:rsidP="0064080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paragraph discusses prior research on the extent of risk disclosures. First, the results of </w:t>
      </w:r>
      <w:r w:rsidR="0064080F" w:rsidRPr="00337C97">
        <w:rPr>
          <w:rFonts w:asciiTheme="minorHAnsi" w:hAnsiTheme="minorHAnsi" w:cs="Times New Roman"/>
          <w:sz w:val="22"/>
          <w:szCs w:val="22"/>
          <w:lang w:val="en-US"/>
        </w:rPr>
        <w:t xml:space="preserve">a few </w:t>
      </w:r>
      <w:r w:rsidRPr="00337C97">
        <w:rPr>
          <w:rFonts w:asciiTheme="minorHAnsi" w:hAnsiTheme="minorHAnsi" w:cs="Times New Roman"/>
          <w:sz w:val="22"/>
          <w:szCs w:val="22"/>
          <w:lang w:val="en-US"/>
        </w:rPr>
        <w:t>surveys are shown. Second, studies using content analysis are reviewed. After that, studies using other methods than content analysis are discussed. The paragraph ends with a summarizing table.</w:t>
      </w:r>
    </w:p>
    <w:p w:rsidR="00BD66A2" w:rsidRPr="00337C97" w:rsidRDefault="00BD66A2" w:rsidP="00101B5A">
      <w:pPr>
        <w:spacing w:line="360" w:lineRule="auto"/>
        <w:jc w:val="both"/>
        <w:rPr>
          <w:rFonts w:asciiTheme="minorHAnsi" w:hAnsiTheme="minorHAnsi" w:cs="Times New Roman"/>
          <w:sz w:val="22"/>
          <w:szCs w:val="22"/>
          <w:lang w:val="en-US"/>
        </w:rPr>
      </w:pPr>
    </w:p>
    <w:p w:rsidR="00506B8C" w:rsidRPr="00337C97" w:rsidRDefault="00506B8C" w:rsidP="007D0049">
      <w:pPr>
        <w:spacing w:line="360" w:lineRule="auto"/>
        <w:jc w:val="both"/>
        <w:outlineLvl w:val="2"/>
        <w:rPr>
          <w:rFonts w:asciiTheme="minorHAnsi" w:hAnsiTheme="minorHAnsi" w:cs="Times New Roman"/>
          <w:i/>
          <w:sz w:val="22"/>
          <w:szCs w:val="22"/>
          <w:lang w:val="en-US"/>
        </w:rPr>
      </w:pPr>
      <w:bookmarkStart w:id="224" w:name="_Toc242697424"/>
      <w:bookmarkStart w:id="225" w:name="_Toc242697659"/>
      <w:bookmarkStart w:id="226" w:name="_Toc245187896"/>
      <w:bookmarkStart w:id="227" w:name="_Toc269658940"/>
      <w:r w:rsidRPr="00337C97">
        <w:rPr>
          <w:rFonts w:asciiTheme="minorHAnsi" w:hAnsiTheme="minorHAnsi" w:cs="Times New Roman"/>
          <w:i/>
          <w:sz w:val="22"/>
          <w:szCs w:val="22"/>
          <w:lang w:val="en-US"/>
        </w:rPr>
        <w:t>4.3.1</w:t>
      </w:r>
      <w:r w:rsidRPr="00337C97">
        <w:rPr>
          <w:rFonts w:asciiTheme="minorHAnsi" w:hAnsiTheme="minorHAnsi" w:cs="Times New Roman"/>
          <w:i/>
          <w:sz w:val="22"/>
          <w:szCs w:val="22"/>
          <w:lang w:val="en-US"/>
        </w:rPr>
        <w:tab/>
      </w:r>
      <w:r w:rsidR="00B95BF0" w:rsidRPr="00337C97">
        <w:rPr>
          <w:rFonts w:asciiTheme="minorHAnsi" w:hAnsiTheme="minorHAnsi" w:cs="Times New Roman"/>
          <w:i/>
          <w:sz w:val="22"/>
          <w:szCs w:val="22"/>
          <w:lang w:val="en-US"/>
        </w:rPr>
        <w:t>S</w:t>
      </w:r>
      <w:r w:rsidRPr="00337C97">
        <w:rPr>
          <w:rFonts w:asciiTheme="minorHAnsi" w:hAnsiTheme="minorHAnsi" w:cs="Times New Roman"/>
          <w:i/>
          <w:sz w:val="22"/>
          <w:szCs w:val="22"/>
          <w:lang w:val="en-US"/>
        </w:rPr>
        <w:t>urveys</w:t>
      </w:r>
      <w:bookmarkEnd w:id="224"/>
      <w:bookmarkEnd w:id="225"/>
      <w:bookmarkEnd w:id="226"/>
      <w:bookmarkEnd w:id="227"/>
    </w:p>
    <w:p w:rsidR="009B22C3" w:rsidRPr="00337C97" w:rsidRDefault="009B22C3"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Basel Committee </w:t>
      </w:r>
      <w:r w:rsidR="00483F21" w:rsidRPr="00337C97">
        <w:rPr>
          <w:rFonts w:asciiTheme="minorHAnsi" w:hAnsiTheme="minorHAnsi" w:cs="Times New Roman"/>
          <w:sz w:val="22"/>
          <w:szCs w:val="22"/>
          <w:lang w:val="en-US"/>
        </w:rPr>
        <w:t xml:space="preserve">on Banking Supervision (BCBS) </w:t>
      </w:r>
      <w:r w:rsidRPr="00337C97">
        <w:rPr>
          <w:rFonts w:asciiTheme="minorHAnsi" w:hAnsiTheme="minorHAnsi" w:cs="Times New Roman"/>
          <w:sz w:val="22"/>
          <w:szCs w:val="22"/>
          <w:lang w:val="en-US"/>
        </w:rPr>
        <w:t xml:space="preserve">has published three studies to date (2001, 2002 and 2003) examining bank disclosures in general. </w:t>
      </w:r>
      <w:r w:rsidR="00483F21" w:rsidRPr="00337C97">
        <w:rPr>
          <w:rFonts w:asciiTheme="minorHAnsi" w:hAnsiTheme="minorHAnsi" w:cs="Times New Roman"/>
          <w:sz w:val="22"/>
          <w:szCs w:val="22"/>
          <w:lang w:val="en-US"/>
        </w:rPr>
        <w:t xml:space="preserve">The studies adopted identical research methods, although the number of sampled banks </w:t>
      </w:r>
      <w:r w:rsidR="00C43116" w:rsidRPr="00337C97">
        <w:rPr>
          <w:rFonts w:asciiTheme="minorHAnsi" w:hAnsiTheme="minorHAnsi" w:cs="Times New Roman"/>
          <w:sz w:val="22"/>
          <w:szCs w:val="22"/>
          <w:lang w:val="en-US"/>
        </w:rPr>
        <w:t>differed slightly</w:t>
      </w:r>
      <w:r w:rsidR="00DF294A" w:rsidRPr="00337C97">
        <w:rPr>
          <w:rFonts w:asciiTheme="minorHAnsi" w:hAnsiTheme="minorHAnsi" w:cs="Times New Roman"/>
          <w:sz w:val="22"/>
          <w:szCs w:val="22"/>
          <w:lang w:val="en-US"/>
        </w:rPr>
        <w:t xml:space="preserve"> </w:t>
      </w:r>
      <w:r w:rsidR="00483F21" w:rsidRPr="00337C97">
        <w:rPr>
          <w:rFonts w:asciiTheme="minorHAnsi" w:hAnsiTheme="minorHAnsi" w:cs="Times New Roman"/>
          <w:sz w:val="22"/>
          <w:szCs w:val="22"/>
          <w:lang w:val="en-US"/>
        </w:rPr>
        <w:t xml:space="preserve">between the three years. </w:t>
      </w:r>
      <w:r w:rsidRPr="00337C97">
        <w:rPr>
          <w:rFonts w:asciiTheme="minorHAnsi" w:hAnsiTheme="minorHAnsi" w:cs="Times New Roman"/>
          <w:sz w:val="22"/>
          <w:szCs w:val="22"/>
          <w:lang w:val="en-US"/>
        </w:rPr>
        <w:t xml:space="preserve">The survey instrument comprised a detailed list of 104 questions that the Basel Committee considered useful for their own disclosure review purposes. These questions are grouped into 12 categories. </w:t>
      </w:r>
      <w:r w:rsidR="004C1F11" w:rsidRPr="00337C97">
        <w:rPr>
          <w:rFonts w:asciiTheme="minorHAnsi" w:hAnsiTheme="minorHAnsi" w:cs="Times New Roman"/>
          <w:sz w:val="22"/>
          <w:szCs w:val="22"/>
          <w:lang w:val="en-US"/>
        </w:rPr>
        <w:t>The intention of the</w:t>
      </w:r>
      <w:r w:rsidR="0064080F" w:rsidRPr="00337C97">
        <w:rPr>
          <w:rFonts w:asciiTheme="minorHAnsi" w:hAnsiTheme="minorHAnsi" w:cs="Times New Roman"/>
          <w:sz w:val="22"/>
          <w:szCs w:val="22"/>
          <w:lang w:val="en-US"/>
        </w:rPr>
        <w:t>se</w:t>
      </w:r>
      <w:r w:rsidR="004C1F11" w:rsidRPr="00337C97">
        <w:rPr>
          <w:rFonts w:asciiTheme="minorHAnsi" w:hAnsiTheme="minorHAnsi" w:cs="Times New Roman"/>
          <w:sz w:val="22"/>
          <w:szCs w:val="22"/>
          <w:lang w:val="en-US"/>
        </w:rPr>
        <w:t xml:space="preserve"> </w:t>
      </w:r>
      <w:r w:rsidR="0064080F" w:rsidRPr="00337C97">
        <w:rPr>
          <w:rFonts w:asciiTheme="minorHAnsi" w:hAnsiTheme="minorHAnsi" w:cs="Times New Roman"/>
          <w:sz w:val="22"/>
          <w:szCs w:val="22"/>
          <w:lang w:val="en-US"/>
        </w:rPr>
        <w:t>surveys</w:t>
      </w:r>
      <w:r w:rsidR="004C1F11" w:rsidRPr="00337C97">
        <w:rPr>
          <w:rFonts w:asciiTheme="minorHAnsi" w:hAnsiTheme="minorHAnsi" w:cs="Times New Roman"/>
          <w:sz w:val="22"/>
          <w:szCs w:val="22"/>
          <w:lang w:val="en-US"/>
        </w:rPr>
        <w:t xml:space="preserve"> was to give an impression of the current disclosure practices for comparison with the disclosure proposals of the Committee. </w:t>
      </w:r>
      <w:r w:rsidRPr="00337C97">
        <w:rPr>
          <w:rFonts w:asciiTheme="minorHAnsi" w:hAnsiTheme="minorHAnsi" w:cs="Times New Roman"/>
          <w:sz w:val="22"/>
          <w:szCs w:val="22"/>
          <w:lang w:val="en-US"/>
        </w:rPr>
        <w:t>Generally, there has been an increase in disclosure noted by the bank supervisory authorities. A summary of the results of the three surveys are shown in table 1</w:t>
      </w:r>
      <w:r w:rsidR="00207B2C" w:rsidRPr="00337C97">
        <w:rPr>
          <w:rFonts w:asciiTheme="minorHAnsi" w:hAnsiTheme="minorHAnsi" w:cs="Times New Roman"/>
          <w:sz w:val="22"/>
          <w:szCs w:val="22"/>
          <w:lang w:val="en-US"/>
        </w:rPr>
        <w:t xml:space="preserve"> </w:t>
      </w:r>
      <w:r w:rsidR="00427242" w:rsidRPr="00337C97">
        <w:rPr>
          <w:rFonts w:asciiTheme="minorHAnsi" w:hAnsiTheme="minorHAnsi" w:cs="Times New Roman"/>
          <w:sz w:val="22"/>
          <w:szCs w:val="22"/>
          <w:lang w:val="en-US"/>
        </w:rPr>
        <w:t>(Linsley et al., 2006, p. 271).</w:t>
      </w:r>
    </w:p>
    <w:p w:rsidR="009B22C3" w:rsidRPr="00337C97" w:rsidRDefault="009B22C3" w:rsidP="00101B5A">
      <w:pPr>
        <w:spacing w:line="360" w:lineRule="auto"/>
        <w:jc w:val="both"/>
        <w:rPr>
          <w:rFonts w:asciiTheme="minorHAnsi" w:hAnsiTheme="minorHAnsi" w:cs="Times New Roman"/>
          <w:sz w:val="22"/>
          <w:szCs w:val="22"/>
          <w:lang w:val="en-US"/>
        </w:rPr>
      </w:pPr>
    </w:p>
    <w:p w:rsidR="0064080F" w:rsidRPr="00337C97" w:rsidRDefault="003F47ED" w:rsidP="00A02E78">
      <w:pPr>
        <w:spacing w:line="360" w:lineRule="auto"/>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br w:type="page"/>
      </w:r>
      <w:r w:rsidR="00A02E78" w:rsidRPr="00337C97">
        <w:rPr>
          <w:rFonts w:asciiTheme="minorHAnsi" w:hAnsiTheme="minorHAnsi" w:cs="Times New Roman"/>
          <w:b/>
          <w:sz w:val="22"/>
          <w:szCs w:val="22"/>
          <w:lang w:val="en-US"/>
        </w:rPr>
        <w:lastRenderedPageBreak/>
        <w:t>Table 1</w:t>
      </w:r>
      <w:r w:rsidR="0064080F" w:rsidRPr="00337C97">
        <w:rPr>
          <w:rFonts w:asciiTheme="minorHAnsi" w:hAnsiTheme="minorHAnsi" w:cs="Times New Roman"/>
          <w:b/>
          <w:sz w:val="22"/>
          <w:szCs w:val="22"/>
          <w:lang w:val="en-US"/>
        </w:rPr>
        <w:t xml:space="preserve"> </w:t>
      </w:r>
      <w:r w:rsidR="0064080F" w:rsidRPr="00337C97">
        <w:rPr>
          <w:rFonts w:asciiTheme="minorHAnsi" w:hAnsiTheme="minorHAnsi" w:cs="Times New Roman"/>
          <w:sz w:val="22"/>
          <w:szCs w:val="22"/>
          <w:lang w:val="en-US"/>
        </w:rPr>
        <w:t>Summary of the surveys of the Basel Committee on Banking Supervision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03"/>
        <w:gridCol w:w="1275"/>
        <w:gridCol w:w="1134"/>
        <w:gridCol w:w="1134"/>
        <w:gridCol w:w="1166"/>
      </w:tblGrid>
      <w:tr w:rsidR="00F11F7F" w:rsidRPr="00337C97" w:rsidTr="001E1BA3">
        <w:tc>
          <w:tcPr>
            <w:tcW w:w="4503" w:type="dxa"/>
            <w:vMerge w:val="restart"/>
            <w:shd w:val="clear" w:color="auto" w:fill="7F7F7F"/>
          </w:tcPr>
          <w:p w:rsidR="00A02E78" w:rsidRPr="00337C97" w:rsidRDefault="00A02E78" w:rsidP="001E1BA3">
            <w:pPr>
              <w:jc w:val="both"/>
              <w:rPr>
                <w:rFonts w:asciiTheme="minorHAnsi" w:hAnsiTheme="minorHAnsi" w:cs="Times New Roman"/>
                <w:b/>
                <w:color w:val="FFFFFF"/>
                <w:sz w:val="22"/>
                <w:szCs w:val="22"/>
                <w:lang w:val="en-US"/>
              </w:rPr>
            </w:pPr>
            <w:r w:rsidRPr="00337C97">
              <w:rPr>
                <w:rFonts w:asciiTheme="minorHAnsi" w:hAnsiTheme="minorHAnsi" w:cs="Times New Roman"/>
                <w:b/>
                <w:color w:val="FFFFFF"/>
                <w:sz w:val="22"/>
                <w:szCs w:val="22"/>
                <w:lang w:val="en-US"/>
              </w:rPr>
              <w:t>Disclosure categories</w:t>
            </w:r>
          </w:p>
        </w:tc>
        <w:tc>
          <w:tcPr>
            <w:tcW w:w="1275" w:type="dxa"/>
            <w:vMerge w:val="restart"/>
            <w:shd w:val="clear" w:color="auto" w:fill="7F7F7F"/>
          </w:tcPr>
          <w:p w:rsidR="00A02E78" w:rsidRPr="00337C97" w:rsidRDefault="00A02E78" w:rsidP="001E1BA3">
            <w:pPr>
              <w:jc w:val="both"/>
              <w:rPr>
                <w:rFonts w:asciiTheme="minorHAnsi" w:hAnsiTheme="minorHAnsi" w:cs="Times New Roman"/>
                <w:b/>
                <w:color w:val="FFFFFF"/>
                <w:sz w:val="22"/>
                <w:szCs w:val="22"/>
                <w:lang w:val="en-US"/>
              </w:rPr>
            </w:pPr>
            <w:r w:rsidRPr="00337C97">
              <w:rPr>
                <w:rFonts w:asciiTheme="minorHAnsi" w:hAnsiTheme="minorHAnsi" w:cs="Times New Roman"/>
                <w:b/>
                <w:color w:val="FFFFFF"/>
                <w:sz w:val="22"/>
                <w:szCs w:val="22"/>
                <w:lang w:val="en-US"/>
              </w:rPr>
              <w:t>Number of questions</w:t>
            </w:r>
            <w:r w:rsidR="00F11F7F" w:rsidRPr="00337C97">
              <w:rPr>
                <w:rFonts w:asciiTheme="minorHAnsi" w:hAnsiTheme="minorHAnsi" w:cs="Times New Roman"/>
                <w:b/>
                <w:color w:val="FFFFFF"/>
                <w:sz w:val="22"/>
                <w:szCs w:val="22"/>
                <w:lang w:val="en-US"/>
              </w:rPr>
              <w:t xml:space="preserve"> per category</w:t>
            </w:r>
          </w:p>
        </w:tc>
        <w:tc>
          <w:tcPr>
            <w:tcW w:w="3434" w:type="dxa"/>
            <w:gridSpan w:val="3"/>
            <w:shd w:val="clear" w:color="auto" w:fill="7F7F7F"/>
          </w:tcPr>
          <w:p w:rsidR="00A02E78" w:rsidRPr="00337C97" w:rsidRDefault="00A02E78" w:rsidP="001E1BA3">
            <w:pPr>
              <w:jc w:val="both"/>
              <w:rPr>
                <w:rFonts w:asciiTheme="minorHAnsi" w:hAnsiTheme="minorHAnsi" w:cs="Times New Roman"/>
                <w:b/>
                <w:color w:val="FFFFFF"/>
                <w:sz w:val="22"/>
                <w:szCs w:val="22"/>
                <w:lang w:val="en-US"/>
              </w:rPr>
            </w:pPr>
            <w:r w:rsidRPr="00337C97">
              <w:rPr>
                <w:rFonts w:asciiTheme="minorHAnsi" w:hAnsiTheme="minorHAnsi" w:cs="Times New Roman"/>
                <w:b/>
                <w:color w:val="FFFFFF"/>
                <w:sz w:val="22"/>
                <w:szCs w:val="22"/>
                <w:lang w:val="en-US"/>
              </w:rPr>
              <w:t>Percentage of  ‘yes’ responses compared with ‘no’ responses</w:t>
            </w:r>
          </w:p>
          <w:p w:rsidR="00F11F7F" w:rsidRPr="00337C97" w:rsidRDefault="00F11F7F" w:rsidP="001E1BA3">
            <w:pPr>
              <w:jc w:val="both"/>
              <w:rPr>
                <w:rFonts w:asciiTheme="minorHAnsi" w:hAnsiTheme="minorHAnsi" w:cs="Times New Roman"/>
                <w:b/>
                <w:color w:val="FFFFFF"/>
                <w:sz w:val="22"/>
                <w:szCs w:val="22"/>
                <w:lang w:val="en-US"/>
              </w:rPr>
            </w:pPr>
          </w:p>
        </w:tc>
      </w:tr>
      <w:tr w:rsidR="00A02E78" w:rsidRPr="00337C97" w:rsidTr="0014655E">
        <w:tc>
          <w:tcPr>
            <w:tcW w:w="4503" w:type="dxa"/>
            <w:vMerge/>
            <w:tcBorders>
              <w:bottom w:val="single" w:sz="4" w:space="0" w:color="000000"/>
            </w:tcBorders>
            <w:shd w:val="clear" w:color="auto" w:fill="7F7F7F"/>
          </w:tcPr>
          <w:p w:rsidR="00A02E78" w:rsidRPr="00337C97" w:rsidRDefault="00A02E78" w:rsidP="001E1BA3">
            <w:pPr>
              <w:jc w:val="both"/>
              <w:rPr>
                <w:rFonts w:asciiTheme="minorHAnsi" w:hAnsiTheme="minorHAnsi" w:cs="Times New Roman"/>
                <w:color w:val="FFFFFF"/>
                <w:sz w:val="22"/>
                <w:szCs w:val="22"/>
                <w:lang w:val="en-US"/>
              </w:rPr>
            </w:pPr>
          </w:p>
        </w:tc>
        <w:tc>
          <w:tcPr>
            <w:tcW w:w="1275" w:type="dxa"/>
            <w:vMerge/>
            <w:tcBorders>
              <w:bottom w:val="single" w:sz="4" w:space="0" w:color="000000"/>
            </w:tcBorders>
            <w:shd w:val="clear" w:color="auto" w:fill="7F7F7F"/>
          </w:tcPr>
          <w:p w:rsidR="00A02E78" w:rsidRPr="00337C97" w:rsidRDefault="00A02E78" w:rsidP="001E1BA3">
            <w:pPr>
              <w:jc w:val="both"/>
              <w:rPr>
                <w:rFonts w:asciiTheme="minorHAnsi" w:hAnsiTheme="minorHAnsi" w:cs="Times New Roman"/>
                <w:color w:val="FFFFFF"/>
                <w:sz w:val="22"/>
                <w:szCs w:val="22"/>
                <w:lang w:val="en-US"/>
              </w:rPr>
            </w:pPr>
          </w:p>
        </w:tc>
        <w:tc>
          <w:tcPr>
            <w:tcW w:w="1134" w:type="dxa"/>
            <w:tcBorders>
              <w:bottom w:val="single" w:sz="4" w:space="0" w:color="000000"/>
            </w:tcBorders>
            <w:shd w:val="clear" w:color="auto" w:fill="7F7F7F"/>
          </w:tcPr>
          <w:p w:rsidR="00A02E78" w:rsidRPr="00337C97" w:rsidRDefault="00A02E78" w:rsidP="001E1BA3">
            <w:pPr>
              <w:jc w:val="both"/>
              <w:rPr>
                <w:rFonts w:asciiTheme="minorHAnsi" w:hAnsiTheme="minorHAnsi" w:cs="Times New Roman"/>
                <w:b/>
                <w:color w:val="FFFFFF"/>
                <w:sz w:val="22"/>
                <w:szCs w:val="22"/>
                <w:lang w:val="en-US"/>
              </w:rPr>
            </w:pPr>
            <w:r w:rsidRPr="00337C97">
              <w:rPr>
                <w:rFonts w:asciiTheme="minorHAnsi" w:hAnsiTheme="minorHAnsi" w:cs="Times New Roman"/>
                <w:b/>
                <w:color w:val="FFFFFF"/>
                <w:sz w:val="22"/>
                <w:szCs w:val="22"/>
                <w:lang w:val="en-US"/>
              </w:rPr>
              <w:t>1999 (%)</w:t>
            </w:r>
          </w:p>
        </w:tc>
        <w:tc>
          <w:tcPr>
            <w:tcW w:w="1134" w:type="dxa"/>
            <w:tcBorders>
              <w:bottom w:val="single" w:sz="4" w:space="0" w:color="000000"/>
            </w:tcBorders>
            <w:shd w:val="clear" w:color="auto" w:fill="7F7F7F"/>
          </w:tcPr>
          <w:p w:rsidR="00A02E78" w:rsidRPr="00337C97" w:rsidRDefault="00A02E78" w:rsidP="001E1BA3">
            <w:pPr>
              <w:jc w:val="both"/>
              <w:rPr>
                <w:rFonts w:asciiTheme="minorHAnsi" w:hAnsiTheme="minorHAnsi" w:cs="Times New Roman"/>
                <w:b/>
                <w:color w:val="FFFFFF"/>
                <w:sz w:val="22"/>
                <w:szCs w:val="22"/>
                <w:lang w:val="en-US"/>
              </w:rPr>
            </w:pPr>
            <w:r w:rsidRPr="00337C97">
              <w:rPr>
                <w:rFonts w:asciiTheme="minorHAnsi" w:hAnsiTheme="minorHAnsi" w:cs="Times New Roman"/>
                <w:b/>
                <w:color w:val="FFFFFF"/>
                <w:sz w:val="22"/>
                <w:szCs w:val="22"/>
                <w:lang w:val="en-US"/>
              </w:rPr>
              <w:t>2000 (%)</w:t>
            </w:r>
          </w:p>
        </w:tc>
        <w:tc>
          <w:tcPr>
            <w:tcW w:w="1166" w:type="dxa"/>
            <w:tcBorders>
              <w:bottom w:val="single" w:sz="4" w:space="0" w:color="000000"/>
            </w:tcBorders>
            <w:shd w:val="clear" w:color="auto" w:fill="7F7F7F"/>
          </w:tcPr>
          <w:p w:rsidR="00A02E78" w:rsidRPr="00337C97" w:rsidRDefault="00A02E78" w:rsidP="001E1BA3">
            <w:pPr>
              <w:jc w:val="both"/>
              <w:rPr>
                <w:rFonts w:asciiTheme="minorHAnsi" w:hAnsiTheme="minorHAnsi" w:cs="Times New Roman"/>
                <w:b/>
                <w:color w:val="FFFFFF"/>
                <w:sz w:val="22"/>
                <w:szCs w:val="22"/>
                <w:lang w:val="en-US"/>
              </w:rPr>
            </w:pPr>
            <w:r w:rsidRPr="00337C97">
              <w:rPr>
                <w:rFonts w:asciiTheme="minorHAnsi" w:hAnsiTheme="minorHAnsi" w:cs="Times New Roman"/>
                <w:b/>
                <w:color w:val="FFFFFF"/>
                <w:sz w:val="22"/>
                <w:szCs w:val="22"/>
                <w:lang w:val="en-US"/>
              </w:rPr>
              <w:t>2001 (%)</w:t>
            </w:r>
          </w:p>
        </w:tc>
      </w:tr>
      <w:tr w:rsidR="00A02E78" w:rsidRPr="00337C97" w:rsidTr="0014655E">
        <w:tc>
          <w:tcPr>
            <w:tcW w:w="4503" w:type="dxa"/>
            <w:tcBorders>
              <w:bottom w:val="nil"/>
              <w:right w:val="nil"/>
            </w:tcBorders>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 Capital structure</w:t>
            </w:r>
          </w:p>
        </w:tc>
        <w:tc>
          <w:tcPr>
            <w:tcW w:w="1275" w:type="dxa"/>
            <w:tcBorders>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14</w:t>
            </w:r>
          </w:p>
        </w:tc>
        <w:tc>
          <w:tcPr>
            <w:tcW w:w="1134" w:type="dxa"/>
            <w:tcBorders>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73</w:t>
            </w:r>
          </w:p>
        </w:tc>
        <w:tc>
          <w:tcPr>
            <w:tcW w:w="1134" w:type="dxa"/>
            <w:tcBorders>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78</w:t>
            </w:r>
          </w:p>
        </w:tc>
        <w:tc>
          <w:tcPr>
            <w:tcW w:w="1166" w:type="dxa"/>
            <w:tcBorders>
              <w:left w:val="nil"/>
              <w:bottom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82</w:t>
            </w:r>
          </w:p>
        </w:tc>
      </w:tr>
      <w:tr w:rsidR="00A02E78" w:rsidRPr="00337C97" w:rsidTr="0014655E">
        <w:tc>
          <w:tcPr>
            <w:tcW w:w="4503" w:type="dxa"/>
            <w:tcBorders>
              <w:top w:val="nil"/>
              <w:bottom w:val="nil"/>
              <w:right w:val="nil"/>
            </w:tcBorders>
            <w:shd w:val="clear" w:color="auto" w:fill="F2F2F2"/>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2. Capital adequacy</w:t>
            </w:r>
          </w:p>
        </w:tc>
        <w:tc>
          <w:tcPr>
            <w:tcW w:w="1275"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7</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46</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48</w:t>
            </w:r>
          </w:p>
        </w:tc>
        <w:tc>
          <w:tcPr>
            <w:tcW w:w="1166" w:type="dxa"/>
            <w:tcBorders>
              <w:top w:val="nil"/>
              <w:left w:val="nil"/>
              <w:bottom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55</w:t>
            </w:r>
          </w:p>
        </w:tc>
      </w:tr>
      <w:tr w:rsidR="00A02E78" w:rsidRPr="00337C97" w:rsidTr="0014655E">
        <w:tc>
          <w:tcPr>
            <w:tcW w:w="4503" w:type="dxa"/>
            <w:tcBorders>
              <w:top w:val="nil"/>
              <w:bottom w:val="nil"/>
              <w:right w:val="nil"/>
            </w:tcBorders>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 Market risk and internal modeling</w:t>
            </w:r>
          </w:p>
        </w:tc>
        <w:tc>
          <w:tcPr>
            <w:tcW w:w="1275"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16</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64</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66</w:t>
            </w:r>
          </w:p>
        </w:tc>
        <w:tc>
          <w:tcPr>
            <w:tcW w:w="1166" w:type="dxa"/>
            <w:tcBorders>
              <w:top w:val="nil"/>
              <w:left w:val="nil"/>
              <w:bottom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68</w:t>
            </w:r>
          </w:p>
        </w:tc>
      </w:tr>
      <w:tr w:rsidR="00A02E78" w:rsidRPr="00337C97" w:rsidTr="0014655E">
        <w:tc>
          <w:tcPr>
            <w:tcW w:w="4503" w:type="dxa"/>
            <w:tcBorders>
              <w:top w:val="nil"/>
              <w:bottom w:val="nil"/>
              <w:right w:val="nil"/>
            </w:tcBorders>
            <w:shd w:val="clear" w:color="auto" w:fill="F2F2F2"/>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4. Internal and external ratings</w:t>
            </w:r>
          </w:p>
        </w:tc>
        <w:tc>
          <w:tcPr>
            <w:tcW w:w="1275"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4</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32</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35</w:t>
            </w:r>
          </w:p>
        </w:tc>
        <w:tc>
          <w:tcPr>
            <w:tcW w:w="1166" w:type="dxa"/>
            <w:tcBorders>
              <w:top w:val="nil"/>
              <w:left w:val="nil"/>
              <w:bottom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46</w:t>
            </w:r>
          </w:p>
        </w:tc>
      </w:tr>
      <w:tr w:rsidR="00A02E78" w:rsidRPr="00337C97" w:rsidTr="0014655E">
        <w:tc>
          <w:tcPr>
            <w:tcW w:w="4503" w:type="dxa"/>
            <w:tcBorders>
              <w:top w:val="nil"/>
              <w:bottom w:val="nil"/>
              <w:right w:val="nil"/>
            </w:tcBorders>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 Credit risk modeling</w:t>
            </w:r>
          </w:p>
        </w:tc>
        <w:tc>
          <w:tcPr>
            <w:tcW w:w="1275"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32</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33</w:t>
            </w:r>
          </w:p>
        </w:tc>
        <w:tc>
          <w:tcPr>
            <w:tcW w:w="1166" w:type="dxa"/>
            <w:tcBorders>
              <w:top w:val="nil"/>
              <w:left w:val="nil"/>
              <w:bottom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33</w:t>
            </w:r>
          </w:p>
        </w:tc>
      </w:tr>
      <w:tr w:rsidR="00A02E78" w:rsidRPr="00337C97" w:rsidTr="0014655E">
        <w:tc>
          <w:tcPr>
            <w:tcW w:w="4503" w:type="dxa"/>
            <w:tcBorders>
              <w:top w:val="nil"/>
              <w:bottom w:val="nil"/>
              <w:right w:val="nil"/>
            </w:tcBorders>
            <w:shd w:val="clear" w:color="auto" w:fill="F2F2F2"/>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6. Securitization activities </w:t>
            </w:r>
          </w:p>
        </w:tc>
        <w:tc>
          <w:tcPr>
            <w:tcW w:w="1275"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29</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36</w:t>
            </w:r>
          </w:p>
        </w:tc>
        <w:tc>
          <w:tcPr>
            <w:tcW w:w="1166" w:type="dxa"/>
            <w:tcBorders>
              <w:top w:val="nil"/>
              <w:left w:val="nil"/>
              <w:bottom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45</w:t>
            </w:r>
          </w:p>
        </w:tc>
      </w:tr>
      <w:tr w:rsidR="00A02E78" w:rsidRPr="00337C97" w:rsidTr="0014655E">
        <w:tc>
          <w:tcPr>
            <w:tcW w:w="4503" w:type="dxa"/>
            <w:tcBorders>
              <w:top w:val="nil"/>
              <w:bottom w:val="nil"/>
              <w:right w:val="nil"/>
            </w:tcBorders>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7. Credit risk</w:t>
            </w:r>
          </w:p>
        </w:tc>
        <w:tc>
          <w:tcPr>
            <w:tcW w:w="1275"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13</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55</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56</w:t>
            </w:r>
          </w:p>
        </w:tc>
        <w:tc>
          <w:tcPr>
            <w:tcW w:w="1166" w:type="dxa"/>
            <w:tcBorders>
              <w:top w:val="nil"/>
              <w:left w:val="nil"/>
              <w:bottom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61</w:t>
            </w:r>
          </w:p>
        </w:tc>
      </w:tr>
      <w:tr w:rsidR="00A02E78" w:rsidRPr="00337C97" w:rsidTr="0014655E">
        <w:tc>
          <w:tcPr>
            <w:tcW w:w="4503" w:type="dxa"/>
            <w:tcBorders>
              <w:top w:val="nil"/>
              <w:bottom w:val="nil"/>
              <w:right w:val="nil"/>
            </w:tcBorders>
            <w:shd w:val="clear" w:color="auto" w:fill="F2F2F2"/>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w:t>
            </w:r>
            <w:r w:rsidR="00F11F7F" w:rsidRPr="00337C97">
              <w:rPr>
                <w:rFonts w:asciiTheme="minorHAnsi" w:hAnsiTheme="minorHAnsi" w:cs="Times New Roman"/>
                <w:sz w:val="22"/>
                <w:szCs w:val="22"/>
                <w:lang w:val="en-US"/>
              </w:rPr>
              <w:t xml:space="preserve"> Credit derivatives, </w:t>
            </w:r>
            <w:r w:rsidRPr="00337C97">
              <w:rPr>
                <w:rFonts w:asciiTheme="minorHAnsi" w:hAnsiTheme="minorHAnsi" w:cs="Times New Roman"/>
                <w:sz w:val="22"/>
                <w:szCs w:val="22"/>
                <w:lang w:val="en-US"/>
              </w:rPr>
              <w:t>other credit enhancements</w:t>
            </w:r>
          </w:p>
        </w:tc>
        <w:tc>
          <w:tcPr>
            <w:tcW w:w="1275"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24</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25</w:t>
            </w:r>
          </w:p>
        </w:tc>
        <w:tc>
          <w:tcPr>
            <w:tcW w:w="1166" w:type="dxa"/>
            <w:tcBorders>
              <w:top w:val="nil"/>
              <w:left w:val="nil"/>
              <w:bottom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34</w:t>
            </w:r>
          </w:p>
        </w:tc>
      </w:tr>
      <w:tr w:rsidR="00A02E78" w:rsidRPr="00337C97" w:rsidTr="0014655E">
        <w:tc>
          <w:tcPr>
            <w:tcW w:w="4503" w:type="dxa"/>
            <w:tcBorders>
              <w:top w:val="nil"/>
              <w:bottom w:val="nil"/>
              <w:right w:val="nil"/>
            </w:tcBorders>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9. Derivatives</w:t>
            </w:r>
          </w:p>
        </w:tc>
        <w:tc>
          <w:tcPr>
            <w:tcW w:w="1275"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9</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58</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56</w:t>
            </w:r>
          </w:p>
        </w:tc>
        <w:tc>
          <w:tcPr>
            <w:tcW w:w="1166" w:type="dxa"/>
            <w:tcBorders>
              <w:top w:val="nil"/>
              <w:left w:val="nil"/>
              <w:bottom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62</w:t>
            </w:r>
          </w:p>
        </w:tc>
      </w:tr>
      <w:tr w:rsidR="00A02E78" w:rsidRPr="00337C97" w:rsidTr="0014655E">
        <w:tc>
          <w:tcPr>
            <w:tcW w:w="4503" w:type="dxa"/>
            <w:tcBorders>
              <w:top w:val="nil"/>
              <w:bottom w:val="nil"/>
              <w:right w:val="nil"/>
            </w:tcBorders>
            <w:shd w:val="clear" w:color="auto" w:fill="F2F2F2"/>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10. Geographic and business line diversification</w:t>
            </w:r>
          </w:p>
        </w:tc>
        <w:tc>
          <w:tcPr>
            <w:tcW w:w="1275"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10</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65</w:t>
            </w:r>
          </w:p>
        </w:tc>
        <w:tc>
          <w:tcPr>
            <w:tcW w:w="1134" w:type="dxa"/>
            <w:tcBorders>
              <w:top w:val="nil"/>
              <w:left w:val="nil"/>
              <w:bottom w:val="nil"/>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63</w:t>
            </w:r>
          </w:p>
        </w:tc>
        <w:tc>
          <w:tcPr>
            <w:tcW w:w="1166" w:type="dxa"/>
            <w:tcBorders>
              <w:top w:val="nil"/>
              <w:left w:val="nil"/>
              <w:bottom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65</w:t>
            </w:r>
          </w:p>
        </w:tc>
      </w:tr>
      <w:tr w:rsidR="00A02E78" w:rsidRPr="00337C97" w:rsidTr="0014655E">
        <w:tc>
          <w:tcPr>
            <w:tcW w:w="4503" w:type="dxa"/>
            <w:tcBorders>
              <w:top w:val="nil"/>
              <w:bottom w:val="nil"/>
              <w:right w:val="nil"/>
            </w:tcBorders>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11. Accounting and presentation policies</w:t>
            </w:r>
          </w:p>
        </w:tc>
        <w:tc>
          <w:tcPr>
            <w:tcW w:w="1275"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7</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82</w:t>
            </w:r>
          </w:p>
        </w:tc>
        <w:tc>
          <w:tcPr>
            <w:tcW w:w="1134" w:type="dxa"/>
            <w:tcBorders>
              <w:top w:val="nil"/>
              <w:left w:val="nil"/>
              <w:bottom w:val="nil"/>
              <w:right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84</w:t>
            </w:r>
          </w:p>
        </w:tc>
        <w:tc>
          <w:tcPr>
            <w:tcW w:w="1166" w:type="dxa"/>
            <w:tcBorders>
              <w:top w:val="nil"/>
              <w:left w:val="nil"/>
              <w:bottom w:val="nil"/>
            </w:tcBorders>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84</w:t>
            </w:r>
          </w:p>
        </w:tc>
      </w:tr>
      <w:tr w:rsidR="00A02E78" w:rsidRPr="00337C97" w:rsidTr="0014655E">
        <w:tc>
          <w:tcPr>
            <w:tcW w:w="4503" w:type="dxa"/>
            <w:tcBorders>
              <w:top w:val="nil"/>
              <w:bottom w:val="single" w:sz="4" w:space="0" w:color="000000"/>
              <w:right w:val="nil"/>
            </w:tcBorders>
            <w:shd w:val="clear" w:color="auto" w:fill="F2F2F2"/>
          </w:tcPr>
          <w:p w:rsidR="00A02E78" w:rsidRPr="00337C97" w:rsidRDefault="00A02E78"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12. Other risks</w:t>
            </w:r>
          </w:p>
        </w:tc>
        <w:tc>
          <w:tcPr>
            <w:tcW w:w="1275" w:type="dxa"/>
            <w:tcBorders>
              <w:top w:val="nil"/>
              <w:left w:val="nil"/>
              <w:bottom w:val="single" w:sz="4" w:space="0" w:color="000000"/>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5</w:t>
            </w:r>
          </w:p>
        </w:tc>
        <w:tc>
          <w:tcPr>
            <w:tcW w:w="1134" w:type="dxa"/>
            <w:tcBorders>
              <w:top w:val="nil"/>
              <w:left w:val="nil"/>
              <w:bottom w:val="single" w:sz="4" w:space="0" w:color="000000"/>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62</w:t>
            </w:r>
          </w:p>
        </w:tc>
        <w:tc>
          <w:tcPr>
            <w:tcW w:w="1134" w:type="dxa"/>
            <w:tcBorders>
              <w:top w:val="nil"/>
              <w:left w:val="nil"/>
              <w:bottom w:val="single" w:sz="4" w:space="0" w:color="000000"/>
              <w:right w:val="nil"/>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74</w:t>
            </w:r>
          </w:p>
        </w:tc>
        <w:tc>
          <w:tcPr>
            <w:tcW w:w="1166" w:type="dxa"/>
            <w:tcBorders>
              <w:top w:val="nil"/>
              <w:left w:val="nil"/>
              <w:bottom w:val="single" w:sz="4" w:space="0" w:color="000000"/>
            </w:tcBorders>
            <w:shd w:val="clear" w:color="auto" w:fill="F2F2F2"/>
          </w:tcPr>
          <w:p w:rsidR="00A02E78"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84</w:t>
            </w:r>
          </w:p>
        </w:tc>
      </w:tr>
      <w:tr w:rsidR="00F11F7F" w:rsidRPr="00337C97" w:rsidTr="0014655E">
        <w:tc>
          <w:tcPr>
            <w:tcW w:w="4503" w:type="dxa"/>
            <w:tcBorders>
              <w:top w:val="single" w:sz="4" w:space="0" w:color="000000"/>
              <w:right w:val="nil"/>
            </w:tcBorders>
          </w:tcPr>
          <w:p w:rsidR="00F11F7F"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Total</w:t>
            </w:r>
          </w:p>
        </w:tc>
        <w:tc>
          <w:tcPr>
            <w:tcW w:w="1275" w:type="dxa"/>
            <w:tcBorders>
              <w:top w:val="single" w:sz="4" w:space="0" w:color="000000"/>
              <w:left w:val="nil"/>
              <w:right w:val="nil"/>
            </w:tcBorders>
          </w:tcPr>
          <w:p w:rsidR="00F11F7F" w:rsidRPr="00337C97" w:rsidRDefault="00F11F7F" w:rsidP="001E1BA3">
            <w:pPr>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104</w:t>
            </w:r>
          </w:p>
        </w:tc>
        <w:tc>
          <w:tcPr>
            <w:tcW w:w="1134" w:type="dxa"/>
            <w:tcBorders>
              <w:top w:val="single" w:sz="4" w:space="0" w:color="000000"/>
              <w:left w:val="nil"/>
              <w:right w:val="nil"/>
            </w:tcBorders>
          </w:tcPr>
          <w:p w:rsidR="00F11F7F" w:rsidRPr="00337C97" w:rsidRDefault="00F11F7F" w:rsidP="001E1BA3">
            <w:pPr>
              <w:jc w:val="both"/>
              <w:rPr>
                <w:rFonts w:asciiTheme="minorHAnsi" w:hAnsiTheme="minorHAnsi" w:cs="Times New Roman"/>
                <w:sz w:val="22"/>
                <w:szCs w:val="22"/>
                <w:lang w:val="en-US"/>
              </w:rPr>
            </w:pPr>
          </w:p>
        </w:tc>
        <w:tc>
          <w:tcPr>
            <w:tcW w:w="1134" w:type="dxa"/>
            <w:tcBorders>
              <w:top w:val="single" w:sz="4" w:space="0" w:color="000000"/>
              <w:left w:val="nil"/>
              <w:right w:val="nil"/>
            </w:tcBorders>
          </w:tcPr>
          <w:p w:rsidR="00F11F7F" w:rsidRPr="00337C97" w:rsidRDefault="00F11F7F" w:rsidP="001E1BA3">
            <w:pPr>
              <w:jc w:val="both"/>
              <w:rPr>
                <w:rFonts w:asciiTheme="minorHAnsi" w:hAnsiTheme="minorHAnsi" w:cs="Times New Roman"/>
                <w:sz w:val="22"/>
                <w:szCs w:val="22"/>
                <w:lang w:val="en-US"/>
              </w:rPr>
            </w:pPr>
          </w:p>
        </w:tc>
        <w:tc>
          <w:tcPr>
            <w:tcW w:w="1166" w:type="dxa"/>
            <w:tcBorders>
              <w:top w:val="single" w:sz="4" w:space="0" w:color="000000"/>
              <w:left w:val="nil"/>
            </w:tcBorders>
          </w:tcPr>
          <w:p w:rsidR="00F11F7F" w:rsidRPr="00337C97" w:rsidRDefault="00F11F7F" w:rsidP="001E1BA3">
            <w:pPr>
              <w:jc w:val="both"/>
              <w:rPr>
                <w:rFonts w:asciiTheme="minorHAnsi" w:hAnsiTheme="minorHAnsi" w:cs="Times New Roman"/>
                <w:sz w:val="22"/>
                <w:szCs w:val="22"/>
                <w:lang w:val="en-US"/>
              </w:rPr>
            </w:pPr>
          </w:p>
        </w:tc>
      </w:tr>
    </w:tbl>
    <w:p w:rsidR="00EE14AF" w:rsidRPr="00337C97" w:rsidRDefault="00EE14AF" w:rsidP="00101B5A">
      <w:pPr>
        <w:spacing w:line="360" w:lineRule="auto"/>
        <w:jc w:val="both"/>
        <w:rPr>
          <w:rFonts w:asciiTheme="minorHAnsi" w:hAnsiTheme="minorHAnsi" w:cs="Times New Roman"/>
          <w:sz w:val="22"/>
          <w:szCs w:val="22"/>
          <w:lang w:val="en-US"/>
        </w:rPr>
      </w:pPr>
    </w:p>
    <w:p w:rsidR="009B22C3" w:rsidRPr="00337C97" w:rsidRDefault="0005524E"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Although the</w:t>
      </w:r>
      <w:r w:rsidR="00483F21" w:rsidRPr="00337C97">
        <w:rPr>
          <w:rFonts w:asciiTheme="minorHAnsi" w:hAnsiTheme="minorHAnsi" w:cs="Times New Roman"/>
          <w:sz w:val="22"/>
          <w:szCs w:val="22"/>
          <w:lang w:val="en-US"/>
        </w:rPr>
        <w:t xml:space="preserve"> BCBS</w:t>
      </w:r>
      <w:r w:rsidRPr="00337C97">
        <w:rPr>
          <w:rFonts w:asciiTheme="minorHAnsi" w:hAnsiTheme="minorHAnsi" w:cs="Times New Roman"/>
          <w:sz w:val="22"/>
          <w:szCs w:val="22"/>
          <w:lang w:val="en-US"/>
        </w:rPr>
        <w:t xml:space="preserve"> studies above </w:t>
      </w:r>
      <w:r w:rsidR="00A73EC1" w:rsidRPr="00337C97">
        <w:rPr>
          <w:rFonts w:asciiTheme="minorHAnsi" w:hAnsiTheme="minorHAnsi" w:cs="Times New Roman"/>
          <w:sz w:val="22"/>
          <w:szCs w:val="22"/>
          <w:lang w:val="en-US"/>
        </w:rPr>
        <w:t xml:space="preserve">examined bank disclosures in general, </w:t>
      </w:r>
      <w:r w:rsidR="00A72162" w:rsidRPr="00337C97">
        <w:rPr>
          <w:rFonts w:asciiTheme="minorHAnsi" w:hAnsiTheme="minorHAnsi" w:cs="Times New Roman"/>
          <w:sz w:val="22"/>
          <w:szCs w:val="22"/>
          <w:lang w:val="en-US"/>
        </w:rPr>
        <w:t>their conclusion can also be applied to risk disclosures. The 2003 paper states: “</w:t>
      </w:r>
      <w:r w:rsidR="00A72162" w:rsidRPr="00337C97">
        <w:rPr>
          <w:rFonts w:asciiTheme="minorHAnsi" w:hAnsiTheme="minorHAnsi" w:cs="Times New Roman"/>
          <w:i/>
          <w:sz w:val="22"/>
          <w:szCs w:val="22"/>
          <w:lang w:val="en-US"/>
        </w:rPr>
        <w:t>Banks continued to improve significantly the disclosure on information on liquidity, operational and legal risks as well as interest rate risk in the banking book. This information has now become as commonly disclosed as the basic information on market risk or credit risk</w:t>
      </w:r>
      <w:r w:rsidR="00A72162" w:rsidRPr="00337C97">
        <w:rPr>
          <w:rFonts w:asciiTheme="minorHAnsi" w:hAnsiTheme="minorHAnsi" w:cs="Times New Roman"/>
          <w:sz w:val="22"/>
          <w:szCs w:val="22"/>
          <w:lang w:val="en-US"/>
        </w:rPr>
        <w:t>” (BCBS, 2003, p. 23). The rate of banks disclosing “other risks” (</w:t>
      </w:r>
      <w:r w:rsidR="00506B8C" w:rsidRPr="00337C97">
        <w:rPr>
          <w:rFonts w:asciiTheme="minorHAnsi" w:hAnsiTheme="minorHAnsi" w:cs="Times New Roman"/>
          <w:sz w:val="22"/>
          <w:szCs w:val="22"/>
          <w:lang w:val="en-US"/>
        </w:rPr>
        <w:t xml:space="preserve">operational and legal risks, liquidity risk and </w:t>
      </w:r>
      <w:r w:rsidR="00A72162" w:rsidRPr="00337C97">
        <w:rPr>
          <w:rFonts w:asciiTheme="minorHAnsi" w:hAnsiTheme="minorHAnsi" w:cs="Times New Roman"/>
          <w:sz w:val="22"/>
          <w:szCs w:val="22"/>
          <w:lang w:val="en-US"/>
        </w:rPr>
        <w:t>interest rate risk in the banking book) increased from 65% in 1999 to 84% in 2001.</w:t>
      </w:r>
      <w:r w:rsidR="00506B8C" w:rsidRPr="00337C97">
        <w:rPr>
          <w:rFonts w:asciiTheme="minorHAnsi" w:hAnsiTheme="minorHAnsi" w:cs="Times New Roman"/>
          <w:sz w:val="22"/>
          <w:szCs w:val="22"/>
          <w:lang w:val="en-US"/>
        </w:rPr>
        <w:t xml:space="preserve"> </w:t>
      </w:r>
      <w:r w:rsidR="00490158" w:rsidRPr="00337C97">
        <w:rPr>
          <w:rFonts w:asciiTheme="minorHAnsi" w:hAnsiTheme="minorHAnsi" w:cs="Times New Roman"/>
          <w:sz w:val="22"/>
          <w:szCs w:val="22"/>
          <w:lang w:val="en-US"/>
        </w:rPr>
        <w:t xml:space="preserve">Linsley and Shrives (2005, p. 210) partly attribute this to the considerable increase in awareness of operational risk matters that has occurred during that time. </w:t>
      </w:r>
      <w:r w:rsidR="009F2545" w:rsidRPr="00337C97">
        <w:rPr>
          <w:rFonts w:asciiTheme="minorHAnsi" w:hAnsiTheme="minorHAnsi" w:cs="Times New Roman"/>
          <w:sz w:val="22"/>
          <w:szCs w:val="22"/>
          <w:lang w:val="en-US"/>
        </w:rPr>
        <w:t>Although showing an increase, l</w:t>
      </w:r>
      <w:r w:rsidR="003B1FEE" w:rsidRPr="00337C97">
        <w:rPr>
          <w:rFonts w:asciiTheme="minorHAnsi" w:hAnsiTheme="minorHAnsi" w:cs="Times New Roman"/>
          <w:sz w:val="22"/>
          <w:szCs w:val="22"/>
          <w:lang w:val="en-US"/>
        </w:rPr>
        <w:t>ess widespread were disclosures on credit risk model</w:t>
      </w:r>
      <w:r w:rsidR="00B95BF0" w:rsidRPr="00337C97">
        <w:rPr>
          <w:rFonts w:asciiTheme="minorHAnsi" w:hAnsiTheme="minorHAnsi" w:cs="Times New Roman"/>
          <w:sz w:val="22"/>
          <w:szCs w:val="22"/>
          <w:lang w:val="en-US"/>
        </w:rPr>
        <w:t xml:space="preserve">ing, </w:t>
      </w:r>
      <w:r w:rsidR="003B1FEE" w:rsidRPr="00337C97">
        <w:rPr>
          <w:rFonts w:asciiTheme="minorHAnsi" w:hAnsiTheme="minorHAnsi" w:cs="Times New Roman"/>
          <w:sz w:val="22"/>
          <w:szCs w:val="22"/>
          <w:lang w:val="en-US"/>
        </w:rPr>
        <w:t>credit derivatives</w:t>
      </w:r>
      <w:r w:rsidR="00B95BF0" w:rsidRPr="00337C97">
        <w:rPr>
          <w:rFonts w:asciiTheme="minorHAnsi" w:hAnsiTheme="minorHAnsi" w:cs="Times New Roman"/>
          <w:sz w:val="22"/>
          <w:szCs w:val="22"/>
          <w:lang w:val="en-US"/>
        </w:rPr>
        <w:t xml:space="preserve"> and other credit enhancements</w:t>
      </w:r>
      <w:r w:rsidR="00816B86" w:rsidRPr="00337C97">
        <w:rPr>
          <w:rFonts w:asciiTheme="minorHAnsi" w:hAnsiTheme="minorHAnsi" w:cs="Times New Roman"/>
          <w:sz w:val="22"/>
          <w:szCs w:val="22"/>
          <w:lang w:val="en-US"/>
        </w:rPr>
        <w:t xml:space="preserve"> (from 24% </w:t>
      </w:r>
      <w:r w:rsidR="005C0501" w:rsidRPr="00337C97">
        <w:rPr>
          <w:rFonts w:asciiTheme="minorHAnsi" w:hAnsiTheme="minorHAnsi" w:cs="Times New Roman"/>
          <w:sz w:val="22"/>
          <w:szCs w:val="22"/>
          <w:lang w:val="en-US"/>
        </w:rPr>
        <w:t xml:space="preserve">in 1999 </w:t>
      </w:r>
      <w:r w:rsidR="00816B86" w:rsidRPr="00337C97">
        <w:rPr>
          <w:rFonts w:asciiTheme="minorHAnsi" w:hAnsiTheme="minorHAnsi" w:cs="Times New Roman"/>
          <w:sz w:val="22"/>
          <w:szCs w:val="22"/>
          <w:lang w:val="en-US"/>
        </w:rPr>
        <w:t xml:space="preserve">to </w:t>
      </w:r>
      <w:r w:rsidR="00B95BF0" w:rsidRPr="00337C97">
        <w:rPr>
          <w:rFonts w:asciiTheme="minorHAnsi" w:hAnsiTheme="minorHAnsi" w:cs="Times New Roman"/>
          <w:sz w:val="22"/>
          <w:szCs w:val="22"/>
          <w:lang w:val="en-US"/>
        </w:rPr>
        <w:t>34% in 2001). Disclosure of information on internal risk models was also much more common for market risk than for credit risk (68% versus 33% in 2001).</w:t>
      </w:r>
    </w:p>
    <w:p w:rsidR="00506B8C" w:rsidRPr="00337C97" w:rsidRDefault="00506B8C" w:rsidP="00101B5A">
      <w:pPr>
        <w:spacing w:line="360" w:lineRule="auto"/>
        <w:jc w:val="both"/>
        <w:rPr>
          <w:rFonts w:asciiTheme="minorHAnsi" w:hAnsiTheme="minorHAnsi" w:cs="Times New Roman"/>
          <w:sz w:val="22"/>
          <w:szCs w:val="22"/>
          <w:lang w:val="en-US"/>
        </w:rPr>
      </w:pPr>
    </w:p>
    <w:p w:rsidR="00551C38" w:rsidRPr="00337C97" w:rsidRDefault="00B95BF0"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 recent paper of KPMG (2008) shows the result of a survey among fi</w:t>
      </w:r>
      <w:r w:rsidR="009F2545" w:rsidRPr="00337C97">
        <w:rPr>
          <w:rFonts w:asciiTheme="minorHAnsi" w:hAnsiTheme="minorHAnsi" w:cs="Times New Roman"/>
          <w:sz w:val="22"/>
          <w:szCs w:val="22"/>
          <w:lang w:val="en-US"/>
        </w:rPr>
        <w:t xml:space="preserve">nancial institutions in Europe about financial risk disclosure. </w:t>
      </w:r>
      <w:r w:rsidR="00A6435C" w:rsidRPr="00337C97">
        <w:rPr>
          <w:rFonts w:asciiTheme="minorHAnsi" w:hAnsiTheme="minorHAnsi" w:cs="Times New Roman"/>
          <w:sz w:val="22"/>
          <w:szCs w:val="22"/>
          <w:lang w:val="en-US"/>
        </w:rPr>
        <w:t>In the banking area, KPMG</w:t>
      </w:r>
      <w:r w:rsidR="00E15877" w:rsidRPr="00337C97">
        <w:rPr>
          <w:rFonts w:asciiTheme="minorHAnsi" w:hAnsiTheme="minorHAnsi" w:cs="Times New Roman"/>
          <w:sz w:val="22"/>
          <w:szCs w:val="22"/>
          <w:lang w:val="en-US"/>
        </w:rPr>
        <w:t xml:space="preserve"> (2008, p. 6)</w:t>
      </w:r>
      <w:r w:rsidR="00A6435C" w:rsidRPr="00337C97">
        <w:rPr>
          <w:rFonts w:asciiTheme="minorHAnsi" w:hAnsiTheme="minorHAnsi" w:cs="Times New Roman"/>
          <w:sz w:val="22"/>
          <w:szCs w:val="22"/>
          <w:lang w:val="en-US"/>
        </w:rPr>
        <w:t xml:space="preserve"> assesses six areas of risk disclosure, namely </w:t>
      </w:r>
      <w:r w:rsidR="00427242" w:rsidRPr="00337C97">
        <w:rPr>
          <w:rFonts w:asciiTheme="minorHAnsi" w:hAnsiTheme="minorHAnsi" w:cs="Times New Roman"/>
          <w:sz w:val="22"/>
          <w:szCs w:val="22"/>
          <w:lang w:val="en-US"/>
        </w:rPr>
        <w:t>credit risk</w:t>
      </w:r>
      <w:r w:rsidR="00E15877" w:rsidRPr="00337C97">
        <w:rPr>
          <w:rFonts w:asciiTheme="minorHAnsi" w:hAnsiTheme="minorHAnsi" w:cs="Times New Roman"/>
          <w:sz w:val="22"/>
          <w:szCs w:val="22"/>
          <w:lang w:val="en-US"/>
        </w:rPr>
        <w:t xml:space="preserve"> (1)</w:t>
      </w:r>
      <w:r w:rsidR="00427242" w:rsidRPr="00337C97">
        <w:rPr>
          <w:rFonts w:asciiTheme="minorHAnsi" w:hAnsiTheme="minorHAnsi" w:cs="Times New Roman"/>
          <w:sz w:val="22"/>
          <w:szCs w:val="22"/>
          <w:lang w:val="en-US"/>
        </w:rPr>
        <w:t>, market risk</w:t>
      </w:r>
      <w:r w:rsidR="00E15877" w:rsidRPr="00337C97">
        <w:rPr>
          <w:rFonts w:asciiTheme="minorHAnsi" w:hAnsiTheme="minorHAnsi" w:cs="Times New Roman"/>
          <w:sz w:val="22"/>
          <w:szCs w:val="22"/>
          <w:lang w:val="en-US"/>
        </w:rPr>
        <w:t xml:space="preserve"> (2)</w:t>
      </w:r>
      <w:r w:rsidR="00427242" w:rsidRPr="00337C97">
        <w:rPr>
          <w:rFonts w:asciiTheme="minorHAnsi" w:hAnsiTheme="minorHAnsi" w:cs="Times New Roman"/>
          <w:sz w:val="22"/>
          <w:szCs w:val="22"/>
          <w:lang w:val="en-US"/>
        </w:rPr>
        <w:t>, ALM (asset and liability management) and treasury risk</w:t>
      </w:r>
      <w:r w:rsidR="00E15877" w:rsidRPr="00337C97">
        <w:rPr>
          <w:rFonts w:asciiTheme="minorHAnsi" w:hAnsiTheme="minorHAnsi" w:cs="Times New Roman"/>
          <w:sz w:val="22"/>
          <w:szCs w:val="22"/>
          <w:lang w:val="en-US"/>
        </w:rPr>
        <w:t xml:space="preserve"> (3)</w:t>
      </w:r>
      <w:r w:rsidR="00427242" w:rsidRPr="00337C97">
        <w:rPr>
          <w:rFonts w:asciiTheme="minorHAnsi" w:hAnsiTheme="minorHAnsi" w:cs="Times New Roman"/>
          <w:sz w:val="22"/>
          <w:szCs w:val="22"/>
          <w:lang w:val="en-US"/>
        </w:rPr>
        <w:t>, operational risk</w:t>
      </w:r>
      <w:r w:rsidR="00E15877" w:rsidRPr="00337C97">
        <w:rPr>
          <w:rFonts w:asciiTheme="minorHAnsi" w:hAnsiTheme="minorHAnsi" w:cs="Times New Roman"/>
          <w:sz w:val="22"/>
          <w:szCs w:val="22"/>
          <w:lang w:val="en-US"/>
        </w:rPr>
        <w:t xml:space="preserve"> (4)</w:t>
      </w:r>
      <w:r w:rsidR="00427242" w:rsidRPr="00337C97">
        <w:rPr>
          <w:rFonts w:asciiTheme="minorHAnsi" w:hAnsiTheme="minorHAnsi" w:cs="Times New Roman"/>
          <w:sz w:val="22"/>
          <w:szCs w:val="22"/>
          <w:lang w:val="en-US"/>
        </w:rPr>
        <w:t xml:space="preserve">, business risk </w:t>
      </w:r>
      <w:r w:rsidR="00E15877" w:rsidRPr="00337C97">
        <w:rPr>
          <w:rFonts w:asciiTheme="minorHAnsi" w:hAnsiTheme="minorHAnsi" w:cs="Times New Roman"/>
          <w:sz w:val="22"/>
          <w:szCs w:val="22"/>
          <w:lang w:val="en-US"/>
        </w:rPr>
        <w:t xml:space="preserve">(5) </w:t>
      </w:r>
      <w:r w:rsidR="00427242" w:rsidRPr="00337C97">
        <w:rPr>
          <w:rFonts w:asciiTheme="minorHAnsi" w:hAnsiTheme="minorHAnsi" w:cs="Times New Roman"/>
          <w:sz w:val="22"/>
          <w:szCs w:val="22"/>
          <w:lang w:val="en-US"/>
        </w:rPr>
        <w:t xml:space="preserve">and overall risk </w:t>
      </w:r>
      <w:r w:rsidR="00E15877" w:rsidRPr="00337C97">
        <w:rPr>
          <w:rFonts w:asciiTheme="minorHAnsi" w:hAnsiTheme="minorHAnsi" w:cs="Times New Roman"/>
          <w:sz w:val="22"/>
          <w:szCs w:val="22"/>
          <w:lang w:val="en-US"/>
        </w:rPr>
        <w:t>related to capital strategy and shareholder value (6)</w:t>
      </w:r>
      <w:r w:rsidR="00427242" w:rsidRPr="00337C97">
        <w:rPr>
          <w:rFonts w:asciiTheme="minorHAnsi" w:hAnsiTheme="minorHAnsi" w:cs="Times New Roman"/>
          <w:sz w:val="22"/>
          <w:szCs w:val="22"/>
          <w:lang w:val="en-US"/>
        </w:rPr>
        <w:t xml:space="preserve">. </w:t>
      </w:r>
      <w:r w:rsidR="00381391" w:rsidRPr="00337C97">
        <w:rPr>
          <w:rFonts w:asciiTheme="minorHAnsi" w:hAnsiTheme="minorHAnsi" w:cs="Times New Roman"/>
          <w:sz w:val="22"/>
          <w:szCs w:val="22"/>
          <w:lang w:val="en-US"/>
        </w:rPr>
        <w:t>The findings of the report are that the disclosure of all</w:t>
      </w:r>
      <w:r w:rsidR="005872CE" w:rsidRPr="00337C97">
        <w:rPr>
          <w:rFonts w:asciiTheme="minorHAnsi" w:hAnsiTheme="minorHAnsi" w:cs="Times New Roman"/>
          <w:sz w:val="22"/>
          <w:szCs w:val="22"/>
          <w:lang w:val="en-US"/>
        </w:rPr>
        <w:t xml:space="preserve"> areas, except business risk, </w:t>
      </w:r>
      <w:r w:rsidR="00381391" w:rsidRPr="00337C97">
        <w:rPr>
          <w:rFonts w:asciiTheme="minorHAnsi" w:hAnsiTheme="minorHAnsi" w:cs="Times New Roman"/>
          <w:sz w:val="22"/>
          <w:szCs w:val="22"/>
          <w:lang w:val="en-US"/>
        </w:rPr>
        <w:t>on average</w:t>
      </w:r>
      <w:r w:rsidR="008507E4" w:rsidRPr="00337C97">
        <w:rPr>
          <w:rFonts w:asciiTheme="minorHAnsi" w:hAnsiTheme="minorHAnsi" w:cs="Times New Roman"/>
          <w:sz w:val="22"/>
          <w:szCs w:val="22"/>
          <w:lang w:val="en-US"/>
        </w:rPr>
        <w:t xml:space="preserve"> is</w:t>
      </w:r>
      <w:r w:rsidR="005872CE" w:rsidRPr="00337C97">
        <w:rPr>
          <w:rFonts w:asciiTheme="minorHAnsi" w:hAnsiTheme="minorHAnsi" w:cs="Times New Roman"/>
          <w:sz w:val="22"/>
          <w:szCs w:val="22"/>
          <w:lang w:val="en-US"/>
        </w:rPr>
        <w:t xml:space="preserve"> on a mediocre level.</w:t>
      </w:r>
    </w:p>
    <w:p w:rsidR="00551C38" w:rsidRPr="00337C97" w:rsidRDefault="00551C38" w:rsidP="00101B5A">
      <w:pPr>
        <w:spacing w:line="360" w:lineRule="auto"/>
        <w:jc w:val="both"/>
        <w:rPr>
          <w:rFonts w:asciiTheme="minorHAnsi" w:hAnsiTheme="minorHAnsi" w:cs="Times New Roman"/>
          <w:sz w:val="22"/>
          <w:szCs w:val="22"/>
          <w:lang w:val="en-US"/>
        </w:rPr>
      </w:pPr>
    </w:p>
    <w:p w:rsidR="00E15877" w:rsidRPr="00337C97" w:rsidRDefault="00E15877" w:rsidP="00753AC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Credit risk </w:t>
      </w:r>
      <w:r w:rsidR="00551C38" w:rsidRPr="00337C97">
        <w:rPr>
          <w:rFonts w:asciiTheme="minorHAnsi" w:hAnsiTheme="minorHAnsi" w:cs="Times New Roman"/>
          <w:sz w:val="22"/>
          <w:szCs w:val="22"/>
          <w:lang w:val="en-US"/>
        </w:rPr>
        <w:t xml:space="preserve">(1) </w:t>
      </w:r>
      <w:r w:rsidRPr="00337C97">
        <w:rPr>
          <w:rFonts w:asciiTheme="minorHAnsi" w:hAnsiTheme="minorHAnsi" w:cs="Times New Roman"/>
          <w:sz w:val="22"/>
          <w:szCs w:val="22"/>
          <w:lang w:val="en-US"/>
        </w:rPr>
        <w:t>is the most developed area of disclosure in the banking sector. However, t</w:t>
      </w:r>
      <w:r w:rsidR="00D1179A" w:rsidRPr="00337C97">
        <w:rPr>
          <w:rFonts w:asciiTheme="minorHAnsi" w:hAnsiTheme="minorHAnsi" w:cs="Times New Roman"/>
          <w:sz w:val="22"/>
          <w:szCs w:val="22"/>
          <w:lang w:val="en-US"/>
        </w:rPr>
        <w:t>here still exists room for improvement</w:t>
      </w:r>
      <w:r w:rsidRPr="00337C97">
        <w:rPr>
          <w:rFonts w:asciiTheme="minorHAnsi" w:hAnsiTheme="minorHAnsi" w:cs="Times New Roman"/>
          <w:sz w:val="22"/>
          <w:szCs w:val="22"/>
          <w:lang w:val="en-US"/>
        </w:rPr>
        <w:t xml:space="preserve"> and</w:t>
      </w:r>
      <w:r w:rsidR="00D1179A" w:rsidRPr="00337C97">
        <w:rPr>
          <w:rFonts w:asciiTheme="minorHAnsi" w:hAnsiTheme="minorHAnsi" w:cs="Times New Roman"/>
          <w:sz w:val="22"/>
          <w:szCs w:val="22"/>
          <w:lang w:val="en-US"/>
        </w:rPr>
        <w:t xml:space="preserve"> KPMG relates that to the fact that not all surveyed banks did </w:t>
      </w:r>
      <w:r w:rsidR="005872CE" w:rsidRPr="00337C97">
        <w:rPr>
          <w:rFonts w:asciiTheme="minorHAnsi" w:hAnsiTheme="minorHAnsi" w:cs="Times New Roman"/>
          <w:sz w:val="22"/>
          <w:szCs w:val="22"/>
          <w:lang w:val="en-US"/>
        </w:rPr>
        <w:t xml:space="preserve">yet </w:t>
      </w:r>
      <w:r w:rsidR="00D1179A" w:rsidRPr="00337C97">
        <w:rPr>
          <w:rFonts w:asciiTheme="minorHAnsi" w:hAnsiTheme="minorHAnsi" w:cs="Times New Roman"/>
          <w:sz w:val="22"/>
          <w:szCs w:val="22"/>
          <w:lang w:val="en-US"/>
        </w:rPr>
        <w:t>apply the Basel II regulation.</w:t>
      </w:r>
      <w:r w:rsidR="005C0501" w:rsidRPr="00337C97">
        <w:rPr>
          <w:rFonts w:asciiTheme="minorHAnsi" w:hAnsiTheme="minorHAnsi" w:cs="Times New Roman"/>
          <w:sz w:val="22"/>
          <w:szCs w:val="22"/>
          <w:lang w:val="en-US"/>
        </w:rPr>
        <w:t xml:space="preserve"> Indeed, </w:t>
      </w:r>
      <w:r w:rsidR="003245C3" w:rsidRPr="00337C97">
        <w:rPr>
          <w:rFonts w:asciiTheme="minorHAnsi" w:hAnsiTheme="minorHAnsi" w:cs="Times New Roman"/>
          <w:sz w:val="22"/>
          <w:szCs w:val="22"/>
          <w:lang w:val="en-US"/>
        </w:rPr>
        <w:t xml:space="preserve">the results </w:t>
      </w:r>
      <w:r w:rsidR="005C0501" w:rsidRPr="00337C97">
        <w:rPr>
          <w:rFonts w:asciiTheme="minorHAnsi" w:hAnsiTheme="minorHAnsi" w:cs="Times New Roman"/>
          <w:sz w:val="22"/>
          <w:szCs w:val="22"/>
          <w:lang w:val="en-US"/>
        </w:rPr>
        <w:t xml:space="preserve">show </w:t>
      </w:r>
      <w:r w:rsidRPr="00337C97">
        <w:rPr>
          <w:rFonts w:asciiTheme="minorHAnsi" w:hAnsiTheme="minorHAnsi" w:cs="Times New Roman"/>
          <w:sz w:val="22"/>
          <w:szCs w:val="22"/>
          <w:lang w:val="en-US"/>
        </w:rPr>
        <w:t xml:space="preserve">that financial institutions already applying Basel II have a better quality in both quantitative and qualitative credit risk disclosure. Market risk </w:t>
      </w:r>
      <w:r w:rsidR="00551C38" w:rsidRPr="00337C97">
        <w:rPr>
          <w:rFonts w:asciiTheme="minorHAnsi" w:hAnsiTheme="minorHAnsi" w:cs="Times New Roman"/>
          <w:sz w:val="22"/>
          <w:szCs w:val="22"/>
          <w:lang w:val="en-US"/>
        </w:rPr>
        <w:t xml:space="preserve">(2) </w:t>
      </w:r>
      <w:r w:rsidRPr="00337C97">
        <w:rPr>
          <w:rFonts w:asciiTheme="minorHAnsi" w:hAnsiTheme="minorHAnsi" w:cs="Times New Roman"/>
          <w:sz w:val="22"/>
          <w:szCs w:val="22"/>
          <w:lang w:val="en-US"/>
        </w:rPr>
        <w:t>and ALM and treasury risk</w:t>
      </w:r>
      <w:r w:rsidR="00551C38" w:rsidRPr="00337C97">
        <w:rPr>
          <w:rFonts w:asciiTheme="minorHAnsi" w:hAnsiTheme="minorHAnsi" w:cs="Times New Roman"/>
          <w:sz w:val="22"/>
          <w:szCs w:val="22"/>
          <w:lang w:val="en-US"/>
        </w:rPr>
        <w:t xml:space="preserve"> (3)</w:t>
      </w:r>
      <w:r w:rsidRPr="00337C97">
        <w:rPr>
          <w:rFonts w:asciiTheme="minorHAnsi" w:hAnsiTheme="minorHAnsi" w:cs="Times New Roman"/>
          <w:sz w:val="22"/>
          <w:szCs w:val="22"/>
          <w:lang w:val="en-US"/>
        </w:rPr>
        <w:t xml:space="preserve"> is generally mediocre. Gaps are found in the disclosure of risk concentrations</w:t>
      </w:r>
      <w:r w:rsidR="00551C38" w:rsidRPr="00337C97">
        <w:rPr>
          <w:rFonts w:asciiTheme="minorHAnsi" w:hAnsiTheme="minorHAnsi" w:cs="Times New Roman"/>
          <w:sz w:val="22"/>
          <w:szCs w:val="22"/>
          <w:lang w:val="en-US"/>
        </w:rPr>
        <w:t xml:space="preserve"> and in the disclosure on ALM practice and reporting. Business risk (4) is the least developed risk disclosure area. About half of the banks provide inadequate disclosure of their business risks. Many banks do not disclose whether they identify business risks at all and only a few banks link these risks to their business</w:t>
      </w:r>
      <w:r w:rsidR="002F7ABB" w:rsidRPr="00337C97">
        <w:rPr>
          <w:rFonts w:asciiTheme="minorHAnsi" w:hAnsiTheme="minorHAnsi" w:cs="Times New Roman"/>
          <w:sz w:val="22"/>
          <w:szCs w:val="22"/>
          <w:lang w:val="en-US"/>
        </w:rPr>
        <w:t xml:space="preserve"> strategies. Reputational risk, as stated by Basel II,</w:t>
      </w:r>
      <w:r w:rsidR="00551C38" w:rsidRPr="00337C97">
        <w:rPr>
          <w:rFonts w:asciiTheme="minorHAnsi" w:hAnsiTheme="minorHAnsi" w:cs="Times New Roman"/>
          <w:sz w:val="22"/>
          <w:szCs w:val="22"/>
          <w:lang w:val="en-US"/>
        </w:rPr>
        <w:t xml:space="preserve"> is however fairly well identified as a type of risk, indicating that regulatory requirements by some means drive risk disclosure. The </w:t>
      </w:r>
      <w:r w:rsidR="0092107E" w:rsidRPr="00337C97">
        <w:rPr>
          <w:rFonts w:asciiTheme="minorHAnsi" w:hAnsiTheme="minorHAnsi" w:cs="Times New Roman"/>
          <w:sz w:val="22"/>
          <w:szCs w:val="22"/>
          <w:lang w:val="en-US"/>
        </w:rPr>
        <w:t xml:space="preserve">average operational risk (5) disclosure is also on a low level. Operational risks are on average well defined, but the level of definition is often on a general level. Other deficiencies are related to the disclosure of operational risk management, reporting and mitigation. </w:t>
      </w:r>
      <w:r w:rsidR="005C0501" w:rsidRPr="00337C97">
        <w:rPr>
          <w:rFonts w:asciiTheme="minorHAnsi" w:hAnsiTheme="minorHAnsi" w:cs="Times New Roman"/>
          <w:sz w:val="22"/>
          <w:szCs w:val="22"/>
          <w:lang w:val="en-US"/>
        </w:rPr>
        <w:t>The last disclosure category, disclosure of issues related to risk and capital strategy and shareholder value</w:t>
      </w:r>
      <w:r w:rsidR="002F7ABB" w:rsidRPr="00337C97">
        <w:rPr>
          <w:rFonts w:asciiTheme="minorHAnsi" w:hAnsiTheme="minorHAnsi" w:cs="Times New Roman"/>
          <w:sz w:val="22"/>
          <w:szCs w:val="22"/>
          <w:lang w:val="en-US"/>
        </w:rPr>
        <w:t xml:space="preserve"> (6)</w:t>
      </w:r>
      <w:r w:rsidR="005C0501" w:rsidRPr="00337C97">
        <w:rPr>
          <w:rFonts w:asciiTheme="minorHAnsi" w:hAnsiTheme="minorHAnsi" w:cs="Times New Roman"/>
          <w:sz w:val="22"/>
          <w:szCs w:val="22"/>
          <w:lang w:val="en-US"/>
        </w:rPr>
        <w:t xml:space="preserve"> is in general on a mediocre level. The dispersion of scores between institutions is fairly wide, which means that all institutions disclose some information on the overall risk and capital management, while the best ones provide good disclosure throughout the risk area </w:t>
      </w:r>
      <w:r w:rsidRPr="00337C97">
        <w:rPr>
          <w:rFonts w:asciiTheme="minorHAnsi" w:hAnsiTheme="minorHAnsi" w:cs="Times New Roman"/>
          <w:sz w:val="22"/>
          <w:szCs w:val="22"/>
          <w:lang w:val="en-US"/>
        </w:rPr>
        <w:t>(KPMG, 2008, p. 12-13)</w:t>
      </w:r>
      <w:r w:rsidR="005C0501" w:rsidRPr="00337C97">
        <w:rPr>
          <w:rFonts w:asciiTheme="minorHAnsi" w:hAnsiTheme="minorHAnsi" w:cs="Times New Roman"/>
          <w:sz w:val="22"/>
          <w:szCs w:val="22"/>
          <w:lang w:val="en-US"/>
        </w:rPr>
        <w:t>.</w:t>
      </w:r>
    </w:p>
    <w:p w:rsidR="0092107E" w:rsidRPr="00337C97" w:rsidRDefault="0092107E" w:rsidP="00753ACF">
      <w:pPr>
        <w:spacing w:line="360" w:lineRule="auto"/>
        <w:jc w:val="both"/>
        <w:rPr>
          <w:rFonts w:asciiTheme="minorHAnsi" w:hAnsiTheme="minorHAnsi"/>
          <w:sz w:val="22"/>
          <w:szCs w:val="22"/>
          <w:lang w:val="en-US"/>
        </w:rPr>
      </w:pPr>
    </w:p>
    <w:p w:rsidR="00506B8C" w:rsidRPr="00337C97" w:rsidRDefault="00506B8C" w:rsidP="007D0049">
      <w:pPr>
        <w:spacing w:line="360" w:lineRule="auto"/>
        <w:jc w:val="both"/>
        <w:outlineLvl w:val="2"/>
        <w:rPr>
          <w:rFonts w:asciiTheme="minorHAnsi" w:hAnsiTheme="minorHAnsi"/>
          <w:i/>
          <w:sz w:val="22"/>
          <w:szCs w:val="22"/>
          <w:lang w:val="en-US"/>
        </w:rPr>
      </w:pPr>
      <w:bookmarkStart w:id="228" w:name="_Toc242697425"/>
      <w:bookmarkStart w:id="229" w:name="_Toc242697660"/>
      <w:bookmarkStart w:id="230" w:name="_Toc245187897"/>
      <w:bookmarkStart w:id="231" w:name="_Toc269658941"/>
      <w:r w:rsidRPr="00337C97">
        <w:rPr>
          <w:rFonts w:asciiTheme="minorHAnsi" w:hAnsiTheme="minorHAnsi"/>
          <w:i/>
          <w:sz w:val="22"/>
          <w:szCs w:val="22"/>
          <w:lang w:val="en-US"/>
        </w:rPr>
        <w:t>4.3.2</w:t>
      </w:r>
      <w:r w:rsidRPr="00337C97">
        <w:rPr>
          <w:rFonts w:asciiTheme="minorHAnsi" w:hAnsiTheme="minorHAnsi"/>
          <w:i/>
          <w:sz w:val="22"/>
          <w:szCs w:val="22"/>
          <w:lang w:val="en-US"/>
        </w:rPr>
        <w:tab/>
        <w:t>Content analysis</w:t>
      </w:r>
      <w:bookmarkEnd w:id="228"/>
      <w:bookmarkEnd w:id="229"/>
      <w:bookmarkEnd w:id="230"/>
      <w:bookmarkEnd w:id="231"/>
    </w:p>
    <w:p w:rsidR="000B52DB" w:rsidRPr="00337C97" w:rsidRDefault="00185AA2" w:rsidP="00753AC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Examining risk disclosures is often carried o</w:t>
      </w:r>
      <w:r w:rsidR="000B52DB" w:rsidRPr="00337C97">
        <w:rPr>
          <w:rFonts w:asciiTheme="minorHAnsi" w:hAnsiTheme="minorHAnsi"/>
          <w:sz w:val="22"/>
          <w:szCs w:val="22"/>
          <w:lang w:val="en-US"/>
        </w:rPr>
        <w:t xml:space="preserve">ut by means of content analysis and more specific by means of a sentence analysis. Content analysis is a method to study the content of communication. In studies on risk disclosure, </w:t>
      </w:r>
      <w:r w:rsidR="005F29C8" w:rsidRPr="00337C97">
        <w:rPr>
          <w:rFonts w:asciiTheme="minorHAnsi" w:hAnsiTheme="minorHAnsi"/>
          <w:sz w:val="22"/>
          <w:szCs w:val="22"/>
          <w:lang w:val="en-US"/>
        </w:rPr>
        <w:t xml:space="preserve">generally </w:t>
      </w:r>
      <w:r w:rsidR="000B52DB" w:rsidRPr="00337C97">
        <w:rPr>
          <w:rFonts w:asciiTheme="minorHAnsi" w:hAnsiTheme="minorHAnsi"/>
          <w:sz w:val="22"/>
          <w:szCs w:val="22"/>
          <w:lang w:val="en-US"/>
        </w:rPr>
        <w:t xml:space="preserve">the written text in </w:t>
      </w:r>
      <w:r w:rsidR="001F4699" w:rsidRPr="00337C97">
        <w:rPr>
          <w:rFonts w:asciiTheme="minorHAnsi" w:hAnsiTheme="minorHAnsi"/>
          <w:sz w:val="22"/>
          <w:szCs w:val="22"/>
          <w:lang w:val="en-US"/>
        </w:rPr>
        <w:t>(parts of) the</w:t>
      </w:r>
      <w:r w:rsidR="000B52DB" w:rsidRPr="00337C97">
        <w:rPr>
          <w:rFonts w:asciiTheme="minorHAnsi" w:hAnsiTheme="minorHAnsi"/>
          <w:sz w:val="22"/>
          <w:szCs w:val="22"/>
          <w:lang w:val="en-US"/>
        </w:rPr>
        <w:t xml:space="preserve"> annual report is examined. Studies on non-financial companies are </w:t>
      </w:r>
      <w:r w:rsidR="00884191" w:rsidRPr="00337C97">
        <w:rPr>
          <w:rFonts w:asciiTheme="minorHAnsi" w:hAnsiTheme="minorHAnsi"/>
          <w:sz w:val="22"/>
          <w:szCs w:val="22"/>
          <w:lang w:val="en-US"/>
        </w:rPr>
        <w:t xml:space="preserve">Beretta and Bozzolan (2004), </w:t>
      </w:r>
      <w:r w:rsidR="000B52DB" w:rsidRPr="00337C97">
        <w:rPr>
          <w:rFonts w:asciiTheme="minorHAnsi" w:hAnsiTheme="minorHAnsi"/>
          <w:sz w:val="22"/>
          <w:szCs w:val="22"/>
          <w:lang w:val="en-US"/>
        </w:rPr>
        <w:t>Lajili and Zeghal (2005), Linsley and Shrives (2005b), Linsley and Shrives (2006), Linsley and Lawren</w:t>
      </w:r>
      <w:r w:rsidR="00E72EC4" w:rsidRPr="00337C97">
        <w:rPr>
          <w:rFonts w:asciiTheme="minorHAnsi" w:hAnsiTheme="minorHAnsi"/>
          <w:sz w:val="22"/>
          <w:szCs w:val="22"/>
          <w:lang w:val="en-US"/>
        </w:rPr>
        <w:t xml:space="preserve">ce (2007), </w:t>
      </w:r>
      <w:r w:rsidR="000B52DB" w:rsidRPr="00337C97">
        <w:rPr>
          <w:rFonts w:asciiTheme="minorHAnsi" w:hAnsiTheme="minorHAnsi"/>
          <w:sz w:val="22"/>
          <w:szCs w:val="22"/>
          <w:lang w:val="en-US"/>
        </w:rPr>
        <w:t>Amran et al. (2009)</w:t>
      </w:r>
      <w:r w:rsidR="00E72EC4" w:rsidRPr="00337C97">
        <w:rPr>
          <w:rFonts w:asciiTheme="minorHAnsi" w:hAnsiTheme="minorHAnsi"/>
          <w:sz w:val="22"/>
          <w:szCs w:val="22"/>
          <w:lang w:val="en-US"/>
        </w:rPr>
        <w:t xml:space="preserve"> and Michiels et al. (2009)</w:t>
      </w:r>
      <w:r w:rsidR="000B52DB" w:rsidRPr="00337C97">
        <w:rPr>
          <w:rFonts w:asciiTheme="minorHAnsi" w:hAnsiTheme="minorHAnsi"/>
          <w:sz w:val="22"/>
          <w:szCs w:val="22"/>
          <w:lang w:val="en-US"/>
        </w:rPr>
        <w:t xml:space="preserve">. There is only one study on financial firms using content analysis, by Linsley et al. (2006). This is the most relevant study and </w:t>
      </w:r>
      <w:r w:rsidR="00A3225D" w:rsidRPr="00337C97">
        <w:rPr>
          <w:rFonts w:asciiTheme="minorHAnsi" w:hAnsiTheme="minorHAnsi"/>
          <w:sz w:val="22"/>
          <w:szCs w:val="22"/>
          <w:lang w:val="en-US"/>
        </w:rPr>
        <w:t xml:space="preserve">a main fundament for this study and </w:t>
      </w:r>
      <w:r w:rsidR="009464A1" w:rsidRPr="00337C97">
        <w:rPr>
          <w:rFonts w:asciiTheme="minorHAnsi" w:hAnsiTheme="minorHAnsi"/>
          <w:sz w:val="22"/>
          <w:szCs w:val="22"/>
          <w:lang w:val="en-US"/>
        </w:rPr>
        <w:t>is</w:t>
      </w:r>
      <w:r w:rsidR="00A3225D" w:rsidRPr="00337C97">
        <w:rPr>
          <w:rFonts w:asciiTheme="minorHAnsi" w:hAnsiTheme="minorHAnsi"/>
          <w:sz w:val="22"/>
          <w:szCs w:val="22"/>
          <w:lang w:val="en-US"/>
        </w:rPr>
        <w:t xml:space="preserve"> first discussed.</w:t>
      </w:r>
    </w:p>
    <w:p w:rsidR="00BD66A2" w:rsidRPr="00337C97" w:rsidRDefault="00BD66A2" w:rsidP="00753ACF">
      <w:pPr>
        <w:spacing w:line="360" w:lineRule="auto"/>
        <w:jc w:val="both"/>
        <w:rPr>
          <w:rFonts w:asciiTheme="minorHAnsi" w:hAnsiTheme="minorHAnsi"/>
          <w:sz w:val="22"/>
          <w:szCs w:val="22"/>
          <w:lang w:val="en-US"/>
        </w:rPr>
      </w:pPr>
    </w:p>
    <w:p w:rsidR="00495AC6" w:rsidRPr="00337C97" w:rsidRDefault="00495AC6" w:rsidP="00495AC6">
      <w:pPr>
        <w:spacing w:line="360" w:lineRule="auto"/>
        <w:jc w:val="both"/>
        <w:rPr>
          <w:rFonts w:asciiTheme="minorHAnsi" w:hAnsiTheme="minorHAnsi"/>
          <w:sz w:val="22"/>
          <w:szCs w:val="22"/>
          <w:u w:val="single"/>
          <w:lang w:val="en-US"/>
        </w:rPr>
      </w:pPr>
      <w:r w:rsidRPr="00337C97">
        <w:rPr>
          <w:rFonts w:asciiTheme="minorHAnsi" w:hAnsiTheme="minorHAnsi"/>
          <w:sz w:val="22"/>
          <w:szCs w:val="22"/>
          <w:u w:val="single"/>
          <w:lang w:val="en-US"/>
        </w:rPr>
        <w:t>Linsley et al. (2006)</w:t>
      </w:r>
    </w:p>
    <w:p w:rsidR="00FB34D3" w:rsidRPr="00337C97" w:rsidRDefault="00982FD6" w:rsidP="00753AC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The study of Linsley et al. (2006) </w:t>
      </w:r>
      <w:r w:rsidR="00FD205F" w:rsidRPr="00337C97">
        <w:rPr>
          <w:rFonts w:asciiTheme="minorHAnsi" w:hAnsiTheme="minorHAnsi"/>
          <w:sz w:val="22"/>
          <w:szCs w:val="22"/>
          <w:lang w:val="en-US"/>
        </w:rPr>
        <w:t>examines risk disclosure practices within annual reports of Canadian and UK banks. The</w:t>
      </w:r>
      <w:r w:rsidRPr="00337C97">
        <w:rPr>
          <w:rFonts w:asciiTheme="minorHAnsi" w:hAnsiTheme="minorHAnsi"/>
          <w:sz w:val="22"/>
          <w:szCs w:val="22"/>
          <w:lang w:val="en-US"/>
        </w:rPr>
        <w:t>ir paper analyses</w:t>
      </w:r>
      <w:r w:rsidR="00FD205F" w:rsidRPr="00337C97">
        <w:rPr>
          <w:rFonts w:asciiTheme="minorHAnsi" w:hAnsiTheme="minorHAnsi"/>
          <w:sz w:val="22"/>
          <w:szCs w:val="22"/>
          <w:lang w:val="en-US"/>
        </w:rPr>
        <w:t xml:space="preserve"> and classifies the risk information communicated by the sample banks and discusses the nature of the risk disclosure. A matched pair approach was adopted to match nine Canadian banks listed within the ranking with UK banks of comparable size. Content analysis </w:t>
      </w:r>
      <w:r w:rsidRPr="00337C97">
        <w:rPr>
          <w:rFonts w:asciiTheme="minorHAnsi" w:hAnsiTheme="minorHAnsi"/>
          <w:sz w:val="22"/>
          <w:szCs w:val="22"/>
          <w:lang w:val="en-US"/>
        </w:rPr>
        <w:t>was</w:t>
      </w:r>
      <w:r w:rsidR="00FD205F" w:rsidRPr="00337C97">
        <w:rPr>
          <w:rFonts w:asciiTheme="minorHAnsi" w:hAnsiTheme="minorHAnsi"/>
          <w:sz w:val="22"/>
          <w:szCs w:val="22"/>
          <w:lang w:val="en-US"/>
        </w:rPr>
        <w:t xml:space="preserve"> used to </w:t>
      </w:r>
      <w:r w:rsidR="00C43116" w:rsidRPr="00337C97">
        <w:rPr>
          <w:rFonts w:asciiTheme="minorHAnsi" w:hAnsiTheme="minorHAnsi"/>
          <w:sz w:val="22"/>
          <w:szCs w:val="22"/>
          <w:lang w:val="en-US"/>
        </w:rPr>
        <w:t>analyze</w:t>
      </w:r>
      <w:r w:rsidR="00FD205F" w:rsidRPr="00337C97">
        <w:rPr>
          <w:rFonts w:asciiTheme="minorHAnsi" w:hAnsiTheme="minorHAnsi"/>
          <w:sz w:val="22"/>
          <w:szCs w:val="22"/>
          <w:lang w:val="en-US"/>
        </w:rPr>
        <w:t xml:space="preserve"> and classify the risk disclosures within the annual reports. A total of 3,323 risk sentences were identified wit</w:t>
      </w:r>
      <w:r w:rsidR="00AD31C3" w:rsidRPr="00337C97">
        <w:rPr>
          <w:rFonts w:asciiTheme="minorHAnsi" w:hAnsiTheme="minorHAnsi"/>
          <w:sz w:val="22"/>
          <w:szCs w:val="22"/>
          <w:lang w:val="en-US"/>
        </w:rPr>
        <w:t xml:space="preserve">hin the sample of annual reports. They were categorized in credit risk, market risk, interest rate risk, operational risk, capital adequacy risk and risk management </w:t>
      </w:r>
      <w:r w:rsidR="00AD31C3" w:rsidRPr="00337C97">
        <w:rPr>
          <w:rFonts w:asciiTheme="minorHAnsi" w:hAnsiTheme="minorHAnsi"/>
          <w:sz w:val="22"/>
          <w:szCs w:val="22"/>
          <w:lang w:val="en-US"/>
        </w:rPr>
        <w:lastRenderedPageBreak/>
        <w:t>policies.</w:t>
      </w:r>
      <w:r w:rsidR="00FB34D3" w:rsidRPr="00337C97">
        <w:rPr>
          <w:rFonts w:asciiTheme="minorHAnsi" w:hAnsiTheme="minorHAnsi"/>
          <w:sz w:val="22"/>
          <w:szCs w:val="22"/>
          <w:lang w:val="en-US"/>
        </w:rPr>
        <w:t xml:space="preserve"> Furthermore they were </w:t>
      </w:r>
      <w:r w:rsidR="00C43116" w:rsidRPr="00337C97">
        <w:rPr>
          <w:rFonts w:asciiTheme="minorHAnsi" w:hAnsiTheme="minorHAnsi"/>
          <w:sz w:val="22"/>
          <w:szCs w:val="22"/>
          <w:lang w:val="en-US"/>
        </w:rPr>
        <w:t>characterized</w:t>
      </w:r>
      <w:r w:rsidR="00FB34D3" w:rsidRPr="00337C97">
        <w:rPr>
          <w:rFonts w:asciiTheme="minorHAnsi" w:hAnsiTheme="minorHAnsi"/>
          <w:sz w:val="22"/>
          <w:szCs w:val="22"/>
          <w:lang w:val="en-US"/>
        </w:rPr>
        <w:t xml:space="preserve"> according to form (qualitative or quantitative), period (past or future) and qualification (bad, neutral or good).</w:t>
      </w:r>
    </w:p>
    <w:p w:rsidR="00FB34D3" w:rsidRPr="00337C97" w:rsidRDefault="00FB34D3" w:rsidP="00753ACF">
      <w:pPr>
        <w:spacing w:line="360" w:lineRule="auto"/>
        <w:jc w:val="both"/>
        <w:rPr>
          <w:rFonts w:asciiTheme="minorHAnsi" w:hAnsiTheme="minorHAnsi"/>
          <w:sz w:val="22"/>
          <w:szCs w:val="22"/>
          <w:lang w:val="en-US"/>
        </w:rPr>
      </w:pPr>
    </w:p>
    <w:p w:rsidR="00FB34D3" w:rsidRPr="00337C97" w:rsidRDefault="00FB34D3" w:rsidP="00753AC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The highest numbers of disclosures fa</w:t>
      </w:r>
      <w:r w:rsidR="00FE38FB" w:rsidRPr="00337C97">
        <w:rPr>
          <w:rFonts w:asciiTheme="minorHAnsi" w:hAnsiTheme="minorHAnsi"/>
          <w:sz w:val="22"/>
          <w:szCs w:val="22"/>
          <w:lang w:val="en-US"/>
        </w:rPr>
        <w:t>ll within the credit risk area, followed by market risk and capital adequacy risk. Market risk and credit risk are both financial risks, and it is therefore expected for banks that these risks are dominant in risk disclosures. It differs however from the BCBS 2001 survey, where four other disclosure categories were ranked more highly than credit risk. More consistent with the BCBS 2001 survey are the rankings of market risk and capital adequacy risk.</w:t>
      </w:r>
      <w:r w:rsidR="00385718" w:rsidRPr="00337C97">
        <w:rPr>
          <w:rFonts w:asciiTheme="minorHAnsi" w:hAnsiTheme="minorHAnsi"/>
          <w:sz w:val="22"/>
          <w:szCs w:val="22"/>
          <w:lang w:val="en-US"/>
        </w:rPr>
        <w:t xml:space="preserve"> Furthermore, operational risk disclosures are, on a relative basis, disclosed far less than market risk, credit risk and capital adequacy risk. This result </w:t>
      </w:r>
      <w:r w:rsidR="00013E6A" w:rsidRPr="00337C97">
        <w:rPr>
          <w:rFonts w:asciiTheme="minorHAnsi" w:hAnsiTheme="minorHAnsi"/>
          <w:sz w:val="22"/>
          <w:szCs w:val="22"/>
          <w:lang w:val="en-US"/>
        </w:rPr>
        <w:t xml:space="preserve">appears </w:t>
      </w:r>
      <w:r w:rsidR="005872CE" w:rsidRPr="00337C97">
        <w:rPr>
          <w:rFonts w:asciiTheme="minorHAnsi" w:hAnsiTheme="minorHAnsi"/>
          <w:sz w:val="22"/>
          <w:szCs w:val="22"/>
          <w:lang w:val="en-US"/>
        </w:rPr>
        <w:t xml:space="preserve">to be </w:t>
      </w:r>
      <w:r w:rsidR="00013E6A" w:rsidRPr="00337C97">
        <w:rPr>
          <w:rFonts w:asciiTheme="minorHAnsi" w:hAnsiTheme="minorHAnsi"/>
          <w:sz w:val="22"/>
          <w:szCs w:val="22"/>
          <w:lang w:val="en-US"/>
        </w:rPr>
        <w:t>in contrast with</w:t>
      </w:r>
      <w:r w:rsidR="00385718" w:rsidRPr="00337C97">
        <w:rPr>
          <w:rFonts w:asciiTheme="minorHAnsi" w:hAnsiTheme="minorHAnsi"/>
          <w:sz w:val="22"/>
          <w:szCs w:val="22"/>
          <w:lang w:val="en-US"/>
        </w:rPr>
        <w:t xml:space="preserve"> the findings of the BCBS surveys</w:t>
      </w:r>
      <w:r w:rsidR="00013E6A" w:rsidRPr="00337C97">
        <w:rPr>
          <w:rFonts w:asciiTheme="minorHAnsi" w:hAnsiTheme="minorHAnsi"/>
          <w:sz w:val="22"/>
          <w:szCs w:val="22"/>
          <w:lang w:val="en-US"/>
        </w:rPr>
        <w:t xml:space="preserve"> (2001, 2002 and 2003)</w:t>
      </w:r>
      <w:r w:rsidR="00385718" w:rsidRPr="00337C97">
        <w:rPr>
          <w:rFonts w:asciiTheme="minorHAnsi" w:hAnsiTheme="minorHAnsi"/>
          <w:sz w:val="22"/>
          <w:szCs w:val="22"/>
          <w:lang w:val="en-US"/>
        </w:rPr>
        <w:t>, where a noticeable increase occurred in the disclosure of operational risk.</w:t>
      </w:r>
    </w:p>
    <w:p w:rsidR="00FE38FB" w:rsidRPr="00337C97" w:rsidRDefault="00FE38FB" w:rsidP="00753ACF">
      <w:pPr>
        <w:spacing w:line="360" w:lineRule="auto"/>
        <w:jc w:val="both"/>
        <w:rPr>
          <w:rFonts w:asciiTheme="minorHAnsi" w:hAnsiTheme="minorHAnsi"/>
          <w:sz w:val="22"/>
          <w:szCs w:val="22"/>
          <w:lang w:val="en-US"/>
        </w:rPr>
      </w:pPr>
    </w:p>
    <w:p w:rsidR="002728E9" w:rsidRPr="00337C97" w:rsidRDefault="004E4827" w:rsidP="00753AC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 xml:space="preserve">The sentence characteristic that occurred most frequently is of </w:t>
      </w:r>
      <w:r w:rsidR="00FE38FB" w:rsidRPr="00337C97">
        <w:rPr>
          <w:rFonts w:asciiTheme="minorHAnsi" w:hAnsiTheme="minorHAnsi"/>
          <w:sz w:val="22"/>
          <w:szCs w:val="22"/>
          <w:lang w:val="en-US"/>
        </w:rPr>
        <w:t xml:space="preserve">the </w:t>
      </w:r>
      <w:r w:rsidRPr="00337C97">
        <w:rPr>
          <w:rFonts w:asciiTheme="minorHAnsi" w:hAnsiTheme="minorHAnsi"/>
          <w:sz w:val="22"/>
          <w:szCs w:val="22"/>
          <w:lang w:val="en-US"/>
        </w:rPr>
        <w:t xml:space="preserve">‘qualitative/neutral/future’ type (1,156 sentences). The majority of these disclosures consist of explanations of general risk management policy. </w:t>
      </w:r>
      <w:r w:rsidR="008C1DDB" w:rsidRPr="00337C97">
        <w:rPr>
          <w:rFonts w:asciiTheme="minorHAnsi" w:hAnsiTheme="minorHAnsi"/>
          <w:sz w:val="22"/>
          <w:szCs w:val="22"/>
          <w:lang w:val="en-US"/>
        </w:rPr>
        <w:t xml:space="preserve">Such information does however not provide information about specific risks that the bank faces and nor does it explain the actions the directors have taken to manage that risk. Qualitative disclosures are much more disclosed than quantitative disclosures. Furthermore, </w:t>
      </w:r>
      <w:r w:rsidR="00495AC6" w:rsidRPr="00337C97">
        <w:rPr>
          <w:rFonts w:asciiTheme="minorHAnsi" w:hAnsiTheme="minorHAnsi"/>
          <w:sz w:val="22"/>
          <w:szCs w:val="22"/>
          <w:lang w:val="en-US"/>
        </w:rPr>
        <w:t xml:space="preserve">there are also more </w:t>
      </w:r>
      <w:r w:rsidR="008C1DDB" w:rsidRPr="00337C97">
        <w:rPr>
          <w:rFonts w:asciiTheme="minorHAnsi" w:hAnsiTheme="minorHAnsi"/>
          <w:sz w:val="22"/>
          <w:szCs w:val="22"/>
          <w:lang w:val="en-US"/>
        </w:rPr>
        <w:t xml:space="preserve">future disclosures </w:t>
      </w:r>
      <w:r w:rsidR="00495AC6" w:rsidRPr="00337C97">
        <w:rPr>
          <w:rFonts w:asciiTheme="minorHAnsi" w:hAnsiTheme="minorHAnsi"/>
          <w:sz w:val="22"/>
          <w:szCs w:val="22"/>
          <w:lang w:val="en-US"/>
        </w:rPr>
        <w:t xml:space="preserve">than </w:t>
      </w:r>
      <w:r w:rsidR="008C1DDB" w:rsidRPr="00337C97">
        <w:rPr>
          <w:rFonts w:asciiTheme="minorHAnsi" w:hAnsiTheme="minorHAnsi"/>
          <w:sz w:val="22"/>
          <w:szCs w:val="22"/>
          <w:lang w:val="en-US"/>
        </w:rPr>
        <w:t>past disclosures. This could imply that there is greater di</w:t>
      </w:r>
      <w:r w:rsidR="00495AC6" w:rsidRPr="00337C97">
        <w:rPr>
          <w:rFonts w:asciiTheme="minorHAnsi" w:hAnsiTheme="minorHAnsi"/>
          <w:sz w:val="22"/>
          <w:szCs w:val="22"/>
          <w:lang w:val="en-US"/>
        </w:rPr>
        <w:t>sclosure of future information. However, if we remove the</w:t>
      </w:r>
      <w:r w:rsidR="00AD31C3" w:rsidRPr="00337C97">
        <w:rPr>
          <w:rFonts w:asciiTheme="minorHAnsi" w:hAnsiTheme="minorHAnsi"/>
          <w:sz w:val="22"/>
          <w:szCs w:val="22"/>
          <w:lang w:val="en-US"/>
        </w:rPr>
        <w:t xml:space="preserve"> general risk management policy statements</w:t>
      </w:r>
      <w:r w:rsidR="00495AC6" w:rsidRPr="00337C97">
        <w:rPr>
          <w:rFonts w:asciiTheme="minorHAnsi" w:hAnsiTheme="minorHAnsi"/>
          <w:sz w:val="22"/>
          <w:szCs w:val="22"/>
          <w:lang w:val="en-US"/>
        </w:rPr>
        <w:t xml:space="preserve"> from the ‘qualitative/neutral/future’ type, this causes a reduction from 59% to 21% future disclosures.</w:t>
      </w:r>
      <w:r w:rsidR="00013E6A" w:rsidRPr="00337C97">
        <w:rPr>
          <w:rFonts w:asciiTheme="minorHAnsi" w:hAnsiTheme="minorHAnsi"/>
          <w:sz w:val="22"/>
          <w:szCs w:val="22"/>
          <w:lang w:val="en-US"/>
        </w:rPr>
        <w:t xml:space="preserve"> </w:t>
      </w:r>
      <w:r w:rsidR="00385718" w:rsidRPr="00337C97">
        <w:rPr>
          <w:rFonts w:asciiTheme="minorHAnsi" w:hAnsiTheme="minorHAnsi"/>
          <w:sz w:val="22"/>
          <w:szCs w:val="22"/>
          <w:lang w:val="en-US"/>
        </w:rPr>
        <w:t xml:space="preserve">The level of </w:t>
      </w:r>
      <w:r w:rsidR="00FE38FB" w:rsidRPr="00337C97">
        <w:rPr>
          <w:rFonts w:asciiTheme="minorHAnsi" w:hAnsiTheme="minorHAnsi"/>
          <w:sz w:val="22"/>
          <w:szCs w:val="22"/>
          <w:lang w:val="en-US"/>
        </w:rPr>
        <w:t>‘</w:t>
      </w:r>
      <w:r w:rsidR="00385718" w:rsidRPr="00337C97">
        <w:rPr>
          <w:rFonts w:asciiTheme="minorHAnsi" w:hAnsiTheme="minorHAnsi"/>
          <w:sz w:val="22"/>
          <w:szCs w:val="22"/>
          <w:lang w:val="en-US"/>
        </w:rPr>
        <w:t>q</w:t>
      </w:r>
      <w:r w:rsidR="00FE38FB" w:rsidRPr="00337C97">
        <w:rPr>
          <w:rFonts w:asciiTheme="minorHAnsi" w:hAnsiTheme="minorHAnsi"/>
          <w:sz w:val="22"/>
          <w:szCs w:val="22"/>
          <w:lang w:val="en-US"/>
        </w:rPr>
        <w:t>uantitative/future’ type disclosures is very low and, according to the authors, this is due to the fact that both quantitative and future disclosures are likely to be more sensitive</w:t>
      </w:r>
      <w:r w:rsidR="00385718" w:rsidRPr="00337C97">
        <w:rPr>
          <w:rFonts w:asciiTheme="minorHAnsi" w:hAnsiTheme="minorHAnsi"/>
          <w:sz w:val="22"/>
          <w:szCs w:val="22"/>
          <w:lang w:val="en-US"/>
        </w:rPr>
        <w:t xml:space="preserve"> and therefore subject to higher levels of proprietary cost. Regarding the qualification characteristic, 56% of the disclosures are neutral, 12% relate to bad news and 32% relate to good news. Linsley et al. conclude that Canadian and US banks are willing to disclose some bad risk news, but the difficulty is knowing whether there is further bad news that remains undisclosed.</w:t>
      </w:r>
      <w:r w:rsidR="00235F17" w:rsidRPr="00337C97">
        <w:rPr>
          <w:rFonts w:asciiTheme="minorHAnsi" w:hAnsiTheme="minorHAnsi"/>
          <w:sz w:val="22"/>
          <w:szCs w:val="22"/>
          <w:lang w:val="en-US"/>
        </w:rPr>
        <w:t xml:space="preserve"> A final noteworthy finding is that in a number of cases ‘quantitative and qualitative/bad news/past’ disclosure sentences are immediately followed by ‘qualitative/good news/future’ disclosure sentences. The authors conclude that directors appeared to </w:t>
      </w:r>
      <w:r w:rsidR="00CB2C11" w:rsidRPr="00337C97">
        <w:rPr>
          <w:rFonts w:asciiTheme="minorHAnsi" w:hAnsiTheme="minorHAnsi"/>
          <w:sz w:val="22"/>
          <w:szCs w:val="22"/>
          <w:lang w:val="en-US"/>
        </w:rPr>
        <w:t>want</w:t>
      </w:r>
      <w:r w:rsidR="00235F17" w:rsidRPr="00337C97">
        <w:rPr>
          <w:rFonts w:asciiTheme="minorHAnsi" w:hAnsiTheme="minorHAnsi"/>
          <w:sz w:val="22"/>
          <w:szCs w:val="22"/>
          <w:lang w:val="en-US"/>
        </w:rPr>
        <w:t xml:space="preserve"> to demonstrate that any </w:t>
      </w:r>
      <w:r w:rsidR="00B2497D" w:rsidRPr="00337C97">
        <w:rPr>
          <w:rFonts w:asciiTheme="minorHAnsi" w:hAnsiTheme="minorHAnsi"/>
          <w:sz w:val="22"/>
          <w:szCs w:val="22"/>
          <w:lang w:val="en-US"/>
        </w:rPr>
        <w:t>‘</w:t>
      </w:r>
      <w:r w:rsidR="00235F17" w:rsidRPr="00337C97">
        <w:rPr>
          <w:rFonts w:asciiTheme="minorHAnsi" w:hAnsiTheme="minorHAnsi"/>
          <w:sz w:val="22"/>
          <w:szCs w:val="22"/>
          <w:lang w:val="en-US"/>
        </w:rPr>
        <w:t>past/bad</w:t>
      </w:r>
      <w:r w:rsidR="00B2497D" w:rsidRPr="00337C97">
        <w:rPr>
          <w:rFonts w:asciiTheme="minorHAnsi" w:hAnsiTheme="minorHAnsi"/>
          <w:sz w:val="22"/>
          <w:szCs w:val="22"/>
          <w:lang w:val="en-US"/>
        </w:rPr>
        <w:t>’</w:t>
      </w:r>
      <w:r w:rsidR="00235F17" w:rsidRPr="00337C97">
        <w:rPr>
          <w:rFonts w:asciiTheme="minorHAnsi" w:hAnsiTheme="minorHAnsi"/>
          <w:sz w:val="22"/>
          <w:szCs w:val="22"/>
          <w:lang w:val="en-US"/>
        </w:rPr>
        <w:t xml:space="preserve"> news had been acted upon and converted into good news.</w:t>
      </w:r>
    </w:p>
    <w:p w:rsidR="00A02E78" w:rsidRPr="00337C97" w:rsidRDefault="00A02E78" w:rsidP="00753ACF">
      <w:pPr>
        <w:spacing w:line="360" w:lineRule="auto"/>
        <w:jc w:val="both"/>
        <w:rPr>
          <w:rFonts w:asciiTheme="minorHAnsi" w:hAnsiTheme="minorHAnsi"/>
          <w:sz w:val="22"/>
          <w:szCs w:val="22"/>
          <w:lang w:val="en-US"/>
        </w:rPr>
      </w:pPr>
    </w:p>
    <w:p w:rsidR="00604EF4" w:rsidRPr="00337C97" w:rsidRDefault="00604EF4" w:rsidP="00753ACF">
      <w:pPr>
        <w:spacing w:line="360" w:lineRule="auto"/>
        <w:jc w:val="both"/>
        <w:rPr>
          <w:rFonts w:asciiTheme="minorHAnsi" w:hAnsiTheme="minorHAnsi"/>
          <w:sz w:val="22"/>
          <w:szCs w:val="22"/>
          <w:lang w:val="en-US"/>
        </w:rPr>
      </w:pPr>
      <w:r w:rsidRPr="00337C97">
        <w:rPr>
          <w:rFonts w:asciiTheme="minorHAnsi" w:hAnsiTheme="minorHAnsi"/>
          <w:sz w:val="22"/>
          <w:szCs w:val="22"/>
          <w:lang w:val="en-US"/>
        </w:rPr>
        <w:t>Overall, the authors conclude that the usefulness of current disclosures is questioned as relatively little quantitative risk information is disclosed and there is a very strong bias towards disclosing past rather than future risk-related information.</w:t>
      </w:r>
    </w:p>
    <w:p w:rsidR="00C93B10" w:rsidRPr="00337C97" w:rsidRDefault="00C93B10" w:rsidP="00753ACF">
      <w:pPr>
        <w:spacing w:line="360" w:lineRule="auto"/>
        <w:jc w:val="both"/>
        <w:rPr>
          <w:rFonts w:asciiTheme="minorHAnsi" w:hAnsiTheme="minorHAnsi"/>
          <w:sz w:val="22"/>
          <w:szCs w:val="22"/>
          <w:lang w:val="en-US"/>
        </w:rPr>
      </w:pPr>
    </w:p>
    <w:p w:rsidR="00495AC6" w:rsidRPr="00337C97" w:rsidRDefault="00495AC6" w:rsidP="00753ACF">
      <w:pPr>
        <w:spacing w:line="360" w:lineRule="auto"/>
        <w:jc w:val="both"/>
        <w:rPr>
          <w:rFonts w:asciiTheme="minorHAnsi" w:hAnsiTheme="minorHAnsi"/>
          <w:sz w:val="22"/>
          <w:szCs w:val="22"/>
          <w:u w:val="single"/>
          <w:lang w:val="en-US"/>
        </w:rPr>
      </w:pPr>
      <w:r w:rsidRPr="00337C97">
        <w:rPr>
          <w:rFonts w:asciiTheme="minorHAnsi" w:hAnsiTheme="minorHAnsi"/>
          <w:sz w:val="22"/>
          <w:szCs w:val="22"/>
          <w:u w:val="single"/>
          <w:lang w:val="en-US"/>
        </w:rPr>
        <w:lastRenderedPageBreak/>
        <w:t>Beretta and Bozzolan (2004)</w:t>
      </w:r>
    </w:p>
    <w:p w:rsidR="00884191" w:rsidRDefault="00884191" w:rsidP="00753AC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Pioneers investigating risk disclosure </w:t>
      </w:r>
      <w:r w:rsidR="004E4827" w:rsidRPr="00337C97">
        <w:rPr>
          <w:rFonts w:asciiTheme="minorHAnsi" w:hAnsiTheme="minorHAnsi" w:cs="Times New Roman"/>
          <w:sz w:val="22"/>
          <w:szCs w:val="22"/>
          <w:lang w:val="en-US"/>
        </w:rPr>
        <w:t>were</w:t>
      </w:r>
      <w:r w:rsidRPr="00337C97">
        <w:rPr>
          <w:rFonts w:asciiTheme="minorHAnsi" w:hAnsiTheme="minorHAnsi" w:cs="Times New Roman"/>
          <w:sz w:val="22"/>
          <w:szCs w:val="22"/>
          <w:lang w:val="en-US"/>
        </w:rPr>
        <w:t xml:space="preserve"> Beretta and Bozzolan (2004). They developed a framework for the analysis of risk communication and an index to measure the quality of risk disclosure. Hence, they applied the</w:t>
      </w:r>
      <w:r w:rsidR="00573C33" w:rsidRPr="00337C97">
        <w:rPr>
          <w:rFonts w:asciiTheme="minorHAnsi" w:hAnsiTheme="minorHAnsi" w:cs="Times New Roman"/>
          <w:sz w:val="22"/>
          <w:szCs w:val="22"/>
          <w:lang w:val="en-US"/>
        </w:rPr>
        <w:t>ir</w:t>
      </w:r>
      <w:r w:rsidRPr="00337C97">
        <w:rPr>
          <w:rFonts w:asciiTheme="minorHAnsi" w:hAnsiTheme="minorHAnsi" w:cs="Times New Roman"/>
          <w:sz w:val="22"/>
          <w:szCs w:val="22"/>
          <w:lang w:val="en-US"/>
        </w:rPr>
        <w:t xml:space="preserve"> framework to a sample of nonfinancial companies listed on the Ita</w:t>
      </w:r>
      <w:r w:rsidR="001F4699" w:rsidRPr="00337C97">
        <w:rPr>
          <w:rFonts w:asciiTheme="minorHAnsi" w:hAnsiTheme="minorHAnsi" w:cs="Times New Roman"/>
          <w:sz w:val="22"/>
          <w:szCs w:val="22"/>
          <w:lang w:val="en-US"/>
        </w:rPr>
        <w:t xml:space="preserve">lian Stock Exchange, focusing on the MD&amp;A section only. Even though they identified 75 different risk items being disclosed, they found that companies in general avoid communicating the expected impact in quantitative terms of these risks and the economic direction of the firms. Furthermore, firms are also reluctant to indicate whether the future risks disclosed will </w:t>
      </w:r>
      <w:r w:rsidR="00587CAB" w:rsidRPr="00337C97">
        <w:rPr>
          <w:rFonts w:asciiTheme="minorHAnsi" w:hAnsiTheme="minorHAnsi" w:cs="Times New Roman"/>
          <w:sz w:val="22"/>
          <w:szCs w:val="22"/>
          <w:lang w:val="en-US"/>
        </w:rPr>
        <w:t xml:space="preserve">impact them, either positively or negatively. They are more inclined to report past and </w:t>
      </w:r>
      <w:r w:rsidR="00573C33" w:rsidRPr="00337C97">
        <w:rPr>
          <w:rFonts w:asciiTheme="minorHAnsi" w:hAnsiTheme="minorHAnsi" w:cs="Times New Roman"/>
          <w:sz w:val="22"/>
          <w:szCs w:val="22"/>
          <w:lang w:val="en-US"/>
        </w:rPr>
        <w:t>present risks (Amran et al., 2009, p. 43)</w:t>
      </w:r>
      <w:r w:rsidR="005A5F3D" w:rsidRPr="00337C97">
        <w:rPr>
          <w:rFonts w:asciiTheme="minorHAnsi" w:hAnsiTheme="minorHAnsi" w:cs="Times New Roman"/>
          <w:sz w:val="22"/>
          <w:szCs w:val="22"/>
          <w:lang w:val="en-US"/>
        </w:rPr>
        <w:t>.</w:t>
      </w:r>
    </w:p>
    <w:p w:rsidR="00697666" w:rsidRPr="00337C97" w:rsidRDefault="00697666" w:rsidP="00753ACF">
      <w:pPr>
        <w:spacing w:line="360" w:lineRule="auto"/>
        <w:jc w:val="both"/>
        <w:rPr>
          <w:rFonts w:asciiTheme="minorHAnsi" w:hAnsiTheme="minorHAnsi" w:cs="Times New Roman"/>
          <w:sz w:val="22"/>
          <w:szCs w:val="22"/>
          <w:lang w:val="en-US"/>
        </w:rPr>
      </w:pPr>
    </w:p>
    <w:p w:rsidR="00495AC6" w:rsidRPr="00337C97" w:rsidRDefault="00495AC6" w:rsidP="000B52DB">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Lajili and Zeghal (2005)</w:t>
      </w:r>
    </w:p>
    <w:p w:rsidR="00EB2007" w:rsidRPr="00337C97" w:rsidRDefault="00884191"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study by Lajili and Zeghal (2005) examined </w:t>
      </w:r>
      <w:r w:rsidR="00A067D5" w:rsidRPr="00337C97">
        <w:rPr>
          <w:rFonts w:asciiTheme="minorHAnsi" w:hAnsiTheme="minorHAnsi" w:cs="Times New Roman"/>
          <w:sz w:val="22"/>
          <w:szCs w:val="22"/>
          <w:lang w:val="en-US"/>
        </w:rPr>
        <w:t xml:space="preserve">risk information disclosures in the annual reports of 300 Canadian </w:t>
      </w:r>
      <w:r w:rsidR="00D60109" w:rsidRPr="00337C97">
        <w:rPr>
          <w:rFonts w:asciiTheme="minorHAnsi" w:hAnsiTheme="minorHAnsi" w:cs="Times New Roman"/>
          <w:sz w:val="22"/>
          <w:szCs w:val="22"/>
          <w:lang w:val="en-US"/>
        </w:rPr>
        <w:t xml:space="preserve">nonfinancial </w:t>
      </w:r>
      <w:r w:rsidR="00A067D5" w:rsidRPr="00337C97">
        <w:rPr>
          <w:rFonts w:asciiTheme="minorHAnsi" w:hAnsiTheme="minorHAnsi" w:cs="Times New Roman"/>
          <w:sz w:val="22"/>
          <w:szCs w:val="22"/>
          <w:lang w:val="en-US"/>
        </w:rPr>
        <w:t>companies</w:t>
      </w:r>
      <w:r w:rsidR="00A50C76" w:rsidRPr="00337C97">
        <w:rPr>
          <w:rFonts w:asciiTheme="minorHAnsi" w:hAnsiTheme="minorHAnsi" w:cs="Times New Roman"/>
          <w:sz w:val="22"/>
          <w:szCs w:val="22"/>
          <w:lang w:val="en-US"/>
        </w:rPr>
        <w:t xml:space="preserve"> listed on the Toronto Stock Exchange</w:t>
      </w:r>
      <w:r w:rsidR="00A067D5" w:rsidRPr="00337C97">
        <w:rPr>
          <w:rFonts w:asciiTheme="minorHAnsi" w:hAnsiTheme="minorHAnsi" w:cs="Times New Roman"/>
          <w:sz w:val="22"/>
          <w:szCs w:val="22"/>
          <w:lang w:val="en-US"/>
        </w:rPr>
        <w:t xml:space="preserve">. </w:t>
      </w:r>
      <w:r w:rsidR="00573C33" w:rsidRPr="00337C97">
        <w:rPr>
          <w:rFonts w:asciiTheme="minorHAnsi" w:hAnsiTheme="minorHAnsi" w:cs="Times New Roman"/>
          <w:sz w:val="22"/>
          <w:szCs w:val="22"/>
          <w:lang w:val="en-US"/>
        </w:rPr>
        <w:t>Employing content analysis, t</w:t>
      </w:r>
      <w:r w:rsidR="00A067D5" w:rsidRPr="00337C97">
        <w:rPr>
          <w:rFonts w:asciiTheme="minorHAnsi" w:hAnsiTheme="minorHAnsi" w:cs="Times New Roman"/>
          <w:sz w:val="22"/>
          <w:szCs w:val="22"/>
          <w:lang w:val="en-US"/>
        </w:rPr>
        <w:t xml:space="preserve">hey found a high degree of risk disclosure intensity, both mandatory and voluntary risk management disclosures. However, the analytical power </w:t>
      </w:r>
      <w:r w:rsidR="00744A8C" w:rsidRPr="00337C97">
        <w:rPr>
          <w:rFonts w:asciiTheme="minorHAnsi" w:hAnsiTheme="minorHAnsi" w:cs="Times New Roman"/>
          <w:sz w:val="22"/>
          <w:szCs w:val="22"/>
          <w:lang w:val="en-US"/>
        </w:rPr>
        <w:t>of such disclosures appeared</w:t>
      </w:r>
      <w:r w:rsidR="00A067D5" w:rsidRPr="00337C97">
        <w:rPr>
          <w:rFonts w:asciiTheme="minorHAnsi" w:hAnsiTheme="minorHAnsi" w:cs="Times New Roman"/>
          <w:sz w:val="22"/>
          <w:szCs w:val="22"/>
          <w:lang w:val="en-US"/>
        </w:rPr>
        <w:t xml:space="preserve"> to lack uniformity, c</w:t>
      </w:r>
      <w:r w:rsidR="00744A8C" w:rsidRPr="00337C97">
        <w:rPr>
          <w:rFonts w:asciiTheme="minorHAnsi" w:hAnsiTheme="minorHAnsi" w:cs="Times New Roman"/>
          <w:sz w:val="22"/>
          <w:szCs w:val="22"/>
          <w:lang w:val="en-US"/>
        </w:rPr>
        <w:t>larity and quantification, thus potentially limiting their usefulness.</w:t>
      </w:r>
      <w:r w:rsidR="00A50C76" w:rsidRPr="00337C97">
        <w:rPr>
          <w:rFonts w:asciiTheme="minorHAnsi" w:hAnsiTheme="minorHAnsi" w:cs="Times New Roman"/>
          <w:sz w:val="22"/>
          <w:szCs w:val="22"/>
          <w:lang w:val="en-US"/>
        </w:rPr>
        <w:t xml:space="preserve"> Related to the nature of the disclosed risks, </w:t>
      </w:r>
      <w:r w:rsidR="00573C33" w:rsidRPr="00337C97">
        <w:rPr>
          <w:rFonts w:asciiTheme="minorHAnsi" w:hAnsiTheme="minorHAnsi" w:cs="Times New Roman"/>
          <w:sz w:val="22"/>
          <w:szCs w:val="22"/>
          <w:lang w:val="en-US"/>
        </w:rPr>
        <w:t xml:space="preserve">they found that financial risk was the most frequently disclosed </w:t>
      </w:r>
      <w:r w:rsidR="00A067D5" w:rsidRPr="00337C97">
        <w:rPr>
          <w:rFonts w:asciiTheme="minorHAnsi" w:hAnsiTheme="minorHAnsi" w:cs="Times New Roman"/>
          <w:sz w:val="22"/>
          <w:szCs w:val="22"/>
          <w:lang w:val="en-US"/>
        </w:rPr>
        <w:t xml:space="preserve">risk and include information relating to foreign currencies. </w:t>
      </w:r>
      <w:r w:rsidR="00A50C76" w:rsidRPr="00337C97">
        <w:rPr>
          <w:rFonts w:asciiTheme="minorHAnsi" w:hAnsiTheme="minorHAnsi" w:cs="Times New Roman"/>
          <w:sz w:val="22"/>
          <w:szCs w:val="22"/>
          <w:lang w:val="en-US"/>
        </w:rPr>
        <w:t>Trailing behind</w:t>
      </w:r>
      <w:r w:rsidR="00A067D5" w:rsidRPr="00337C97">
        <w:rPr>
          <w:rFonts w:asciiTheme="minorHAnsi" w:hAnsiTheme="minorHAnsi" w:cs="Times New Roman"/>
          <w:sz w:val="22"/>
          <w:szCs w:val="22"/>
          <w:lang w:val="en-US"/>
        </w:rPr>
        <w:t xml:space="preserve"> financial risk is credit risk, followed by market risk, which deals with companies’ reaction to competition. </w:t>
      </w:r>
      <w:r w:rsidR="00A50C76" w:rsidRPr="00337C97">
        <w:rPr>
          <w:rFonts w:asciiTheme="minorHAnsi" w:hAnsiTheme="minorHAnsi" w:cs="Times New Roman"/>
          <w:sz w:val="22"/>
          <w:szCs w:val="22"/>
          <w:lang w:val="en-US"/>
        </w:rPr>
        <w:t xml:space="preserve">The authors conclude that more formalized and comprehensive risk disclosures might be desirable in the future to effectively reduce information asymmetries between management and stakeholders. </w:t>
      </w:r>
    </w:p>
    <w:p w:rsidR="00EB2007" w:rsidRPr="00337C97" w:rsidRDefault="00EB2007" w:rsidP="00101B5A">
      <w:pPr>
        <w:spacing w:line="360" w:lineRule="auto"/>
        <w:jc w:val="both"/>
        <w:rPr>
          <w:rFonts w:asciiTheme="minorHAnsi" w:hAnsiTheme="minorHAnsi" w:cs="Times New Roman"/>
          <w:sz w:val="22"/>
          <w:szCs w:val="22"/>
          <w:lang w:val="en-US"/>
        </w:rPr>
      </w:pPr>
    </w:p>
    <w:p w:rsidR="00495AC6" w:rsidRPr="00337C97" w:rsidRDefault="00495AC6"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Linsley and Shrives (2005b)</w:t>
      </w:r>
    </w:p>
    <w:p w:rsidR="009E06A3" w:rsidRPr="00337C97" w:rsidRDefault="009E06A3" w:rsidP="00495AC6">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 the UK, Linsley and Shrives (2005b, 2006) conducted two risk disclosures studies in the </w:t>
      </w:r>
      <w:r w:rsidR="00403DAE" w:rsidRPr="00337C97">
        <w:rPr>
          <w:rFonts w:asciiTheme="minorHAnsi" w:hAnsiTheme="minorHAnsi" w:cs="Times New Roman"/>
          <w:sz w:val="22"/>
          <w:szCs w:val="22"/>
          <w:lang w:val="en-US"/>
        </w:rPr>
        <w:t xml:space="preserve">UK </w:t>
      </w:r>
      <w:r w:rsidR="00D70C1D" w:rsidRPr="00337C97">
        <w:rPr>
          <w:rFonts w:asciiTheme="minorHAnsi" w:hAnsiTheme="minorHAnsi" w:cs="Times New Roman"/>
          <w:sz w:val="22"/>
          <w:szCs w:val="22"/>
          <w:lang w:val="en-US"/>
        </w:rPr>
        <w:t xml:space="preserve">(United Kingdom) </w:t>
      </w:r>
      <w:r w:rsidR="00403DAE" w:rsidRPr="00337C97">
        <w:rPr>
          <w:rFonts w:asciiTheme="minorHAnsi" w:hAnsiTheme="minorHAnsi" w:cs="Times New Roman"/>
          <w:sz w:val="22"/>
          <w:szCs w:val="22"/>
          <w:lang w:val="en-US"/>
        </w:rPr>
        <w:t xml:space="preserve">context, by which the second paper was built upon the results of the first study. </w:t>
      </w:r>
      <w:r w:rsidRPr="00337C97">
        <w:rPr>
          <w:rFonts w:asciiTheme="minorHAnsi" w:hAnsiTheme="minorHAnsi" w:cs="Times New Roman"/>
          <w:sz w:val="22"/>
          <w:szCs w:val="22"/>
          <w:lang w:val="en-US"/>
        </w:rPr>
        <w:t xml:space="preserve">The first paper examined risk information disclosed by UK public companies within their annual reports. </w:t>
      </w:r>
      <w:r w:rsidR="00403DAE" w:rsidRPr="00337C97">
        <w:rPr>
          <w:rFonts w:asciiTheme="minorHAnsi" w:hAnsiTheme="minorHAnsi" w:cs="Times New Roman"/>
          <w:sz w:val="22"/>
          <w:szCs w:val="22"/>
          <w:lang w:val="en-US"/>
        </w:rPr>
        <w:t xml:space="preserve">Their sample consisted of 79 nonfinancial companies listed in the FTSE 100 as on 1 January 2001. </w:t>
      </w:r>
      <w:r w:rsidRPr="00337C97">
        <w:rPr>
          <w:rFonts w:asciiTheme="minorHAnsi" w:hAnsiTheme="minorHAnsi" w:cs="Times New Roman"/>
          <w:sz w:val="22"/>
          <w:szCs w:val="22"/>
          <w:lang w:val="en-US"/>
        </w:rPr>
        <w:t xml:space="preserve">Using a sentence-based approach </w:t>
      </w:r>
      <w:r w:rsidR="002261F0" w:rsidRPr="00337C97">
        <w:rPr>
          <w:rFonts w:asciiTheme="minorHAnsi" w:hAnsiTheme="minorHAnsi" w:cs="Times New Roman"/>
          <w:sz w:val="22"/>
          <w:szCs w:val="22"/>
          <w:lang w:val="en-US"/>
        </w:rPr>
        <w:t xml:space="preserve">they identified a total of 6,168 risk sentences. Consistent with the above study by Lajili and Zeghal, financial risk was </w:t>
      </w:r>
      <w:r w:rsidR="000052C5" w:rsidRPr="00337C97">
        <w:rPr>
          <w:rFonts w:asciiTheme="minorHAnsi" w:hAnsiTheme="minorHAnsi" w:cs="Times New Roman"/>
          <w:sz w:val="22"/>
          <w:szCs w:val="22"/>
          <w:lang w:val="en-US"/>
        </w:rPr>
        <w:t xml:space="preserve">a dominant type of disclosure found in the sample, next to strategic risk, which is followed by integrity risk. </w:t>
      </w:r>
      <w:r w:rsidR="002261F0" w:rsidRPr="00337C97">
        <w:rPr>
          <w:rFonts w:asciiTheme="minorHAnsi" w:hAnsiTheme="minorHAnsi" w:cs="Times New Roman"/>
          <w:sz w:val="22"/>
          <w:szCs w:val="22"/>
          <w:lang w:val="en-US"/>
        </w:rPr>
        <w:t>Most of the disclosure is qualitative in nature which is again in line with the results of Lajili and Zeghal.</w:t>
      </w:r>
      <w:r w:rsidR="000052C5" w:rsidRPr="00337C97">
        <w:rPr>
          <w:rFonts w:asciiTheme="minorHAnsi" w:hAnsiTheme="minorHAnsi" w:cs="Times New Roman"/>
          <w:sz w:val="22"/>
          <w:szCs w:val="22"/>
          <w:lang w:val="en-US"/>
        </w:rPr>
        <w:t xml:space="preserve"> An important conclusion is the fact that directors appear to be willing to discuss external risks, but are more reluctant to discuss internal risks.</w:t>
      </w:r>
      <w:r w:rsidR="00D83285" w:rsidRPr="00337C97">
        <w:rPr>
          <w:rFonts w:asciiTheme="minorHAnsi" w:hAnsiTheme="minorHAnsi" w:cs="Times New Roman"/>
          <w:sz w:val="22"/>
          <w:szCs w:val="22"/>
          <w:lang w:val="en-US"/>
        </w:rPr>
        <w:t xml:space="preserve"> Overall, they found that </w:t>
      </w:r>
      <w:r w:rsidRPr="00337C97">
        <w:rPr>
          <w:rFonts w:asciiTheme="minorHAnsi" w:hAnsiTheme="minorHAnsi" w:cs="Times New Roman"/>
          <w:sz w:val="22"/>
          <w:szCs w:val="22"/>
          <w:lang w:val="en-US"/>
        </w:rPr>
        <w:t xml:space="preserve">the companies sampled are not providing a complete picture of the risks they face. Minimal disclosure of quantified risk information is found and a significant proportion </w:t>
      </w:r>
      <w:r w:rsidRPr="00337C97">
        <w:rPr>
          <w:rFonts w:asciiTheme="minorHAnsi" w:hAnsiTheme="minorHAnsi" w:cs="Times New Roman"/>
          <w:sz w:val="22"/>
          <w:szCs w:val="22"/>
          <w:lang w:val="en-US"/>
        </w:rPr>
        <w:lastRenderedPageBreak/>
        <w:t>of risk disclosures consist of generalized statements of risk policy. More useful is the released forward-looking risk i</w:t>
      </w:r>
      <w:r w:rsidR="005A5F3D" w:rsidRPr="00337C97">
        <w:rPr>
          <w:rFonts w:asciiTheme="minorHAnsi" w:hAnsiTheme="minorHAnsi" w:cs="Times New Roman"/>
          <w:sz w:val="22"/>
          <w:szCs w:val="22"/>
          <w:lang w:val="en-US"/>
        </w:rPr>
        <w:t>nformation.</w:t>
      </w:r>
    </w:p>
    <w:p w:rsidR="009E06A3" w:rsidRPr="00337C97" w:rsidRDefault="009E06A3" w:rsidP="00101B5A">
      <w:pPr>
        <w:spacing w:line="360" w:lineRule="auto"/>
        <w:jc w:val="both"/>
        <w:rPr>
          <w:rFonts w:asciiTheme="minorHAnsi" w:hAnsiTheme="minorHAnsi" w:cs="Times New Roman"/>
          <w:sz w:val="22"/>
          <w:szCs w:val="22"/>
          <w:lang w:val="en-US"/>
        </w:rPr>
      </w:pPr>
    </w:p>
    <w:p w:rsidR="00495AC6" w:rsidRPr="00337C97" w:rsidRDefault="00495AC6"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Linsley and Shrives (2006)</w:t>
      </w:r>
    </w:p>
    <w:p w:rsidR="0056246A" w:rsidRPr="00337C97" w:rsidRDefault="0056246A"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 their second paper Linsley and Shrives (2006) </w:t>
      </w:r>
      <w:r w:rsidR="00CE4BFC" w:rsidRPr="00337C97">
        <w:rPr>
          <w:rFonts w:asciiTheme="minorHAnsi" w:hAnsiTheme="minorHAnsi" w:cs="Times New Roman"/>
          <w:sz w:val="22"/>
          <w:szCs w:val="22"/>
          <w:lang w:val="en-US"/>
        </w:rPr>
        <w:t xml:space="preserve">continued with the results from the content analysis of the above described risk disclosure research. </w:t>
      </w:r>
      <w:r w:rsidR="00D8472A" w:rsidRPr="00337C97">
        <w:rPr>
          <w:rFonts w:asciiTheme="minorHAnsi" w:hAnsiTheme="minorHAnsi" w:cs="Times New Roman"/>
          <w:sz w:val="22"/>
          <w:szCs w:val="22"/>
          <w:lang w:val="en-US"/>
        </w:rPr>
        <w:t>T</w:t>
      </w:r>
      <w:r w:rsidR="00CE4BFC" w:rsidRPr="00337C97">
        <w:rPr>
          <w:rFonts w:asciiTheme="minorHAnsi" w:hAnsiTheme="minorHAnsi" w:cs="Times New Roman"/>
          <w:sz w:val="22"/>
          <w:szCs w:val="22"/>
          <w:lang w:val="en-US"/>
        </w:rPr>
        <w:t>hey deepened their investigation into the characteristics of the risk-related sentences</w:t>
      </w:r>
      <w:r w:rsidR="00D8472A" w:rsidRPr="00337C97">
        <w:rPr>
          <w:rFonts w:asciiTheme="minorHAnsi" w:hAnsiTheme="minorHAnsi" w:cs="Times New Roman"/>
          <w:sz w:val="22"/>
          <w:szCs w:val="22"/>
          <w:lang w:val="en-US"/>
        </w:rPr>
        <w:t xml:space="preserve">, </w:t>
      </w:r>
      <w:r w:rsidR="00070B63" w:rsidRPr="00337C97">
        <w:rPr>
          <w:rFonts w:asciiTheme="minorHAnsi" w:hAnsiTheme="minorHAnsi" w:cs="Times New Roman"/>
          <w:sz w:val="22"/>
          <w:szCs w:val="22"/>
          <w:lang w:val="en-US"/>
        </w:rPr>
        <w:t xml:space="preserve">and disaggregated risk disclosure into </w:t>
      </w:r>
      <w:r w:rsidR="00D8472A" w:rsidRPr="00337C97">
        <w:rPr>
          <w:rFonts w:asciiTheme="minorHAnsi" w:hAnsiTheme="minorHAnsi" w:cs="Times New Roman"/>
          <w:sz w:val="22"/>
          <w:szCs w:val="22"/>
          <w:lang w:val="en-US"/>
        </w:rPr>
        <w:t>good/bad, future/past and monetary/non-monetary</w:t>
      </w:r>
      <w:r w:rsidR="00070B63" w:rsidRPr="00337C97">
        <w:rPr>
          <w:rFonts w:asciiTheme="minorHAnsi" w:hAnsiTheme="minorHAnsi" w:cs="Times New Roman"/>
          <w:sz w:val="22"/>
          <w:szCs w:val="22"/>
          <w:lang w:val="en-US"/>
        </w:rPr>
        <w:t xml:space="preserve"> disclosure</w:t>
      </w:r>
      <w:r w:rsidR="00CE4BFC" w:rsidRPr="00337C97">
        <w:rPr>
          <w:rFonts w:asciiTheme="minorHAnsi" w:hAnsiTheme="minorHAnsi" w:cs="Times New Roman"/>
          <w:sz w:val="22"/>
          <w:szCs w:val="22"/>
          <w:lang w:val="en-US"/>
        </w:rPr>
        <w:t xml:space="preserve">. They found very few monetary assessments of risk information, but companies did exhibit a willingness to disclose forward-looking information. </w:t>
      </w:r>
      <w:r w:rsidR="00753ACF" w:rsidRPr="00337C97">
        <w:rPr>
          <w:rFonts w:asciiTheme="minorHAnsi" w:hAnsiTheme="minorHAnsi" w:cs="Times New Roman"/>
          <w:sz w:val="22"/>
          <w:szCs w:val="22"/>
          <w:lang w:val="en-US"/>
        </w:rPr>
        <w:t>Furthermore, statements of general risk management policy dominated and a lack of coherence in the risk narratives was noticed. This implies, according to the authors, that a risk information gap exists and consequently stakeholders are unable to adequately assess the risk profile of a company.</w:t>
      </w:r>
    </w:p>
    <w:p w:rsidR="00EB2007" w:rsidRPr="00337C97" w:rsidRDefault="00EB2007" w:rsidP="00101B5A">
      <w:pPr>
        <w:spacing w:line="360" w:lineRule="auto"/>
        <w:jc w:val="both"/>
        <w:rPr>
          <w:rFonts w:asciiTheme="minorHAnsi" w:hAnsiTheme="minorHAnsi" w:cs="Times New Roman"/>
          <w:sz w:val="22"/>
          <w:szCs w:val="22"/>
          <w:lang w:val="en-US"/>
        </w:rPr>
      </w:pPr>
    </w:p>
    <w:p w:rsidR="00495AC6" w:rsidRPr="00337C97" w:rsidRDefault="00495AC6"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Linsley and Lawrence (2007)</w:t>
      </w:r>
    </w:p>
    <w:p w:rsidR="005A5F3D" w:rsidRPr="00337C97" w:rsidRDefault="007459F6"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 2007, Linsley performed another risk disclosure study </w:t>
      </w:r>
      <w:r w:rsidR="00D70C1D" w:rsidRPr="00337C97">
        <w:rPr>
          <w:rFonts w:asciiTheme="minorHAnsi" w:hAnsiTheme="minorHAnsi" w:cs="Times New Roman"/>
          <w:sz w:val="22"/>
          <w:szCs w:val="22"/>
          <w:lang w:val="en-US"/>
        </w:rPr>
        <w:t xml:space="preserve">in the UK context </w:t>
      </w:r>
      <w:r w:rsidRPr="00337C97">
        <w:rPr>
          <w:rFonts w:asciiTheme="minorHAnsi" w:hAnsiTheme="minorHAnsi" w:cs="Times New Roman"/>
          <w:sz w:val="22"/>
          <w:szCs w:val="22"/>
          <w:lang w:val="en-US"/>
        </w:rPr>
        <w:t>together with Lawrence</w:t>
      </w:r>
      <w:r w:rsidR="00D70C1D" w:rsidRPr="00337C97">
        <w:rPr>
          <w:rFonts w:asciiTheme="minorHAnsi" w:hAnsiTheme="minorHAnsi" w:cs="Times New Roman"/>
          <w:sz w:val="22"/>
          <w:szCs w:val="22"/>
          <w:lang w:val="en-US"/>
        </w:rPr>
        <w:t xml:space="preserve">. </w:t>
      </w:r>
      <w:r w:rsidR="005A5F3D" w:rsidRPr="00337C97">
        <w:rPr>
          <w:rFonts w:asciiTheme="minorHAnsi" w:hAnsiTheme="minorHAnsi" w:cs="Times New Roman"/>
          <w:sz w:val="22"/>
          <w:szCs w:val="22"/>
          <w:lang w:val="en-US"/>
        </w:rPr>
        <w:t>They used content analysis to identify risk disclosures in the annual reports of 2001 of the 25 largest nonfinancial companies listed in the FTSE 100. From the 25 sample reports, they identified a total of 2,770 risk-related sentences.</w:t>
      </w:r>
      <w:r w:rsidR="005C052A" w:rsidRPr="00337C97">
        <w:rPr>
          <w:rFonts w:asciiTheme="minorHAnsi" w:hAnsiTheme="minorHAnsi" w:cs="Times New Roman"/>
          <w:sz w:val="22"/>
          <w:szCs w:val="22"/>
          <w:lang w:val="en-US"/>
        </w:rPr>
        <w:t xml:space="preserve"> Hence, they tested these risk disclosures </w:t>
      </w:r>
      <w:r w:rsidR="0027673D" w:rsidRPr="00337C97">
        <w:rPr>
          <w:rFonts w:asciiTheme="minorHAnsi" w:hAnsiTheme="minorHAnsi" w:cs="Times New Roman"/>
          <w:sz w:val="22"/>
          <w:szCs w:val="22"/>
          <w:lang w:val="en-US"/>
        </w:rPr>
        <w:t xml:space="preserve">for readability and obfuscation. </w:t>
      </w:r>
      <w:r w:rsidR="005C052A" w:rsidRPr="00337C97">
        <w:rPr>
          <w:rFonts w:asciiTheme="minorHAnsi" w:hAnsiTheme="minorHAnsi" w:cs="Times New Roman"/>
          <w:sz w:val="22"/>
          <w:szCs w:val="22"/>
          <w:lang w:val="en-US"/>
        </w:rPr>
        <w:t xml:space="preserve">In common, the level of readability of the risk disclosures is difficult or very difficult. The authors conclude that, if the risk communication has to be improved, there is a need for greater clarity when describing and discussing risks in the annual report. </w:t>
      </w:r>
    </w:p>
    <w:p w:rsidR="00D70C1D" w:rsidRPr="00337C97" w:rsidRDefault="00D70C1D" w:rsidP="00101B5A">
      <w:pPr>
        <w:spacing w:line="360" w:lineRule="auto"/>
        <w:jc w:val="both"/>
        <w:rPr>
          <w:rFonts w:asciiTheme="minorHAnsi" w:hAnsiTheme="minorHAnsi" w:cs="Times New Roman"/>
          <w:sz w:val="22"/>
          <w:szCs w:val="22"/>
          <w:lang w:val="en-US"/>
        </w:rPr>
      </w:pPr>
    </w:p>
    <w:p w:rsidR="00495AC6" w:rsidRPr="00337C97" w:rsidRDefault="00495AC6"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Amran et al. (2009)</w:t>
      </w:r>
    </w:p>
    <w:p w:rsidR="00E32241" w:rsidRPr="00337C97" w:rsidRDefault="00306EE0"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To date, research on risk disclosure has been undertaken mostly in the western setting. </w:t>
      </w:r>
      <w:r w:rsidR="0080703D" w:rsidRPr="00337C97">
        <w:rPr>
          <w:rFonts w:asciiTheme="minorHAnsi" w:hAnsiTheme="minorHAnsi" w:cs="Times New Roman"/>
          <w:sz w:val="22"/>
          <w:szCs w:val="22"/>
          <w:lang w:val="en-US"/>
        </w:rPr>
        <w:t xml:space="preserve">Amran et al. (2009) </w:t>
      </w:r>
      <w:r w:rsidRPr="00337C97">
        <w:rPr>
          <w:rFonts w:asciiTheme="minorHAnsi" w:hAnsiTheme="minorHAnsi" w:cs="Times New Roman"/>
          <w:sz w:val="22"/>
          <w:szCs w:val="22"/>
          <w:lang w:val="en-US"/>
        </w:rPr>
        <w:t xml:space="preserve">provides a study on risk reporting by focusing on the Malaysian experience. </w:t>
      </w:r>
      <w:r w:rsidR="002E3F1F" w:rsidRPr="00337C97">
        <w:rPr>
          <w:rFonts w:asciiTheme="minorHAnsi" w:hAnsiTheme="minorHAnsi" w:cs="Times New Roman"/>
          <w:sz w:val="22"/>
          <w:szCs w:val="22"/>
          <w:lang w:val="en-US"/>
        </w:rPr>
        <w:t xml:space="preserve">Similar to previous studies, they used content analysis to explore the availability of risk disclosure in a total of 100 listed </w:t>
      </w:r>
      <w:r w:rsidR="00D60109" w:rsidRPr="00337C97">
        <w:rPr>
          <w:rFonts w:asciiTheme="minorHAnsi" w:hAnsiTheme="minorHAnsi" w:cs="Times New Roman"/>
          <w:sz w:val="22"/>
          <w:szCs w:val="22"/>
          <w:lang w:val="en-US"/>
        </w:rPr>
        <w:t xml:space="preserve">nonfinancial </w:t>
      </w:r>
      <w:r w:rsidR="002E3F1F" w:rsidRPr="00337C97">
        <w:rPr>
          <w:rFonts w:asciiTheme="minorHAnsi" w:hAnsiTheme="minorHAnsi" w:cs="Times New Roman"/>
          <w:sz w:val="22"/>
          <w:szCs w:val="22"/>
          <w:lang w:val="en-US"/>
        </w:rPr>
        <w:t>companies’</w:t>
      </w:r>
      <w:r w:rsidR="00DF3CC0" w:rsidRPr="00337C97">
        <w:rPr>
          <w:rFonts w:asciiTheme="minorHAnsi" w:hAnsiTheme="minorHAnsi" w:cs="Times New Roman"/>
          <w:sz w:val="22"/>
          <w:szCs w:val="22"/>
          <w:lang w:val="en-US"/>
        </w:rPr>
        <w:t xml:space="preserve"> annual reports. They identified a total of 2,023 risk-related sentences, which consisted mainly of sentences about strategic risk </w:t>
      </w:r>
      <w:r w:rsidR="0027673D" w:rsidRPr="00337C97">
        <w:rPr>
          <w:rFonts w:asciiTheme="minorHAnsi" w:hAnsiTheme="minorHAnsi" w:cs="Times New Roman"/>
          <w:sz w:val="22"/>
          <w:szCs w:val="22"/>
          <w:lang w:val="en-US"/>
        </w:rPr>
        <w:t xml:space="preserve">(647) and operation risk (613). </w:t>
      </w:r>
      <w:r w:rsidR="005B3DCF" w:rsidRPr="00337C97">
        <w:rPr>
          <w:rFonts w:asciiTheme="minorHAnsi" w:hAnsiTheme="minorHAnsi" w:cs="Times New Roman"/>
          <w:sz w:val="22"/>
          <w:szCs w:val="22"/>
          <w:lang w:val="en-US"/>
        </w:rPr>
        <w:t>Financial risk is a much less frequent disclosed risk, which is opposed to the findings of the studies of Lajili and Zeghal (2005) and Linsley and Shrives (2005b). Furthermore, t</w:t>
      </w:r>
      <w:r w:rsidR="0027673D" w:rsidRPr="00337C97">
        <w:rPr>
          <w:rFonts w:asciiTheme="minorHAnsi" w:hAnsiTheme="minorHAnsi" w:cs="Times New Roman"/>
          <w:sz w:val="22"/>
          <w:szCs w:val="22"/>
          <w:lang w:val="en-US"/>
        </w:rPr>
        <w:t xml:space="preserve">he total number of sentences dedicated for discussion of risk information is very much less when compared to the </w:t>
      </w:r>
      <w:r w:rsidR="005B3DCF" w:rsidRPr="00337C97">
        <w:rPr>
          <w:rFonts w:asciiTheme="minorHAnsi" w:hAnsiTheme="minorHAnsi" w:cs="Times New Roman"/>
          <w:sz w:val="22"/>
          <w:szCs w:val="22"/>
          <w:lang w:val="en-US"/>
        </w:rPr>
        <w:t xml:space="preserve">study done by Linsley and </w:t>
      </w:r>
      <w:r w:rsidR="0027673D" w:rsidRPr="00337C97">
        <w:rPr>
          <w:rFonts w:asciiTheme="minorHAnsi" w:hAnsiTheme="minorHAnsi" w:cs="Times New Roman"/>
          <w:sz w:val="22"/>
          <w:szCs w:val="22"/>
          <w:lang w:val="en-US"/>
        </w:rPr>
        <w:t xml:space="preserve">Shrives (2005b). According to </w:t>
      </w:r>
      <w:r w:rsidR="008F2F73" w:rsidRPr="00337C97">
        <w:rPr>
          <w:rFonts w:asciiTheme="minorHAnsi" w:hAnsiTheme="minorHAnsi" w:cs="Times New Roman"/>
          <w:sz w:val="22"/>
          <w:szCs w:val="22"/>
          <w:lang w:val="en-US"/>
        </w:rPr>
        <w:t>the authors,</w:t>
      </w:r>
      <w:r w:rsidR="0027673D" w:rsidRPr="00337C97">
        <w:rPr>
          <w:rFonts w:asciiTheme="minorHAnsi" w:hAnsiTheme="minorHAnsi" w:cs="Times New Roman"/>
          <w:sz w:val="22"/>
          <w:szCs w:val="22"/>
          <w:lang w:val="en-US"/>
        </w:rPr>
        <w:t xml:space="preserve"> this is due to the fact that disclosure reporting by Malaysian companies is still at the infancy stage.</w:t>
      </w:r>
    </w:p>
    <w:p w:rsidR="00DF3CC0" w:rsidRDefault="00DF3CC0" w:rsidP="00101B5A">
      <w:pPr>
        <w:spacing w:line="360" w:lineRule="auto"/>
        <w:jc w:val="both"/>
        <w:rPr>
          <w:rFonts w:asciiTheme="minorHAnsi" w:hAnsiTheme="minorHAnsi" w:cs="Times New Roman"/>
          <w:sz w:val="22"/>
          <w:szCs w:val="22"/>
          <w:lang w:val="en-US"/>
        </w:rPr>
      </w:pPr>
    </w:p>
    <w:p w:rsidR="00697666" w:rsidRPr="00337C97" w:rsidRDefault="00697666" w:rsidP="00101B5A">
      <w:pPr>
        <w:spacing w:line="360" w:lineRule="auto"/>
        <w:jc w:val="both"/>
        <w:rPr>
          <w:rFonts w:asciiTheme="minorHAnsi" w:hAnsiTheme="minorHAnsi" w:cs="Times New Roman"/>
          <w:sz w:val="22"/>
          <w:szCs w:val="22"/>
          <w:lang w:val="en-US"/>
        </w:rPr>
      </w:pPr>
    </w:p>
    <w:p w:rsidR="00495AC6" w:rsidRPr="00337C97" w:rsidRDefault="00495AC6"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lastRenderedPageBreak/>
        <w:t>Michiels et al. (2009)</w:t>
      </w:r>
    </w:p>
    <w:p w:rsidR="004314B0" w:rsidRPr="00337C97" w:rsidRDefault="004314B0"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most recent study on risk reporting is done in the Belgian context by Michiels et al. (2009). They also inve</w:t>
      </w:r>
      <w:r w:rsidR="00D60109" w:rsidRPr="00337C97">
        <w:rPr>
          <w:rFonts w:asciiTheme="minorHAnsi" w:hAnsiTheme="minorHAnsi" w:cs="Times New Roman"/>
          <w:sz w:val="22"/>
          <w:szCs w:val="22"/>
          <w:lang w:val="en-US"/>
        </w:rPr>
        <w:t>stigated risk disclosures using content analysis. Their sample consisted of 46 Belgian listed nonfinancial companies</w:t>
      </w:r>
      <w:r w:rsidR="00C93B10" w:rsidRPr="00337C97">
        <w:rPr>
          <w:rFonts w:asciiTheme="minorHAnsi" w:hAnsiTheme="minorHAnsi" w:cs="Times New Roman"/>
          <w:sz w:val="22"/>
          <w:szCs w:val="22"/>
          <w:lang w:val="en-US"/>
        </w:rPr>
        <w:t xml:space="preserve">. </w:t>
      </w:r>
      <w:r w:rsidR="008F2F73" w:rsidRPr="00337C97">
        <w:rPr>
          <w:rFonts w:asciiTheme="minorHAnsi" w:hAnsiTheme="minorHAnsi" w:cs="Times New Roman"/>
          <w:sz w:val="22"/>
          <w:szCs w:val="22"/>
          <w:lang w:val="en-US"/>
        </w:rPr>
        <w:t>A total of 4,037 risk-</w:t>
      </w:r>
      <w:r w:rsidR="00C93B10" w:rsidRPr="00337C97">
        <w:rPr>
          <w:rFonts w:asciiTheme="minorHAnsi" w:hAnsiTheme="minorHAnsi" w:cs="Times New Roman"/>
          <w:sz w:val="22"/>
          <w:szCs w:val="22"/>
          <w:lang w:val="en-US"/>
        </w:rPr>
        <w:t xml:space="preserve">related sentences </w:t>
      </w:r>
      <w:r w:rsidR="008F2F73" w:rsidRPr="00337C97">
        <w:rPr>
          <w:rFonts w:asciiTheme="minorHAnsi" w:hAnsiTheme="minorHAnsi" w:cs="Times New Roman"/>
          <w:sz w:val="22"/>
          <w:szCs w:val="22"/>
          <w:lang w:val="en-US"/>
        </w:rPr>
        <w:t xml:space="preserve">were derived from </w:t>
      </w:r>
      <w:r w:rsidR="00C93B10" w:rsidRPr="00337C97">
        <w:rPr>
          <w:rFonts w:asciiTheme="minorHAnsi" w:hAnsiTheme="minorHAnsi" w:cs="Times New Roman"/>
          <w:sz w:val="22"/>
          <w:szCs w:val="22"/>
          <w:lang w:val="en-US"/>
        </w:rPr>
        <w:t>the annual report</w:t>
      </w:r>
      <w:r w:rsidR="000846E0" w:rsidRPr="00337C97">
        <w:rPr>
          <w:rFonts w:asciiTheme="minorHAnsi" w:hAnsiTheme="minorHAnsi" w:cs="Times New Roman"/>
          <w:sz w:val="22"/>
          <w:szCs w:val="22"/>
          <w:lang w:val="en-US"/>
        </w:rPr>
        <w:t>s</w:t>
      </w:r>
      <w:r w:rsidR="00C93B10" w:rsidRPr="00337C97">
        <w:rPr>
          <w:rFonts w:asciiTheme="minorHAnsi" w:hAnsiTheme="minorHAnsi" w:cs="Times New Roman"/>
          <w:sz w:val="22"/>
          <w:szCs w:val="22"/>
          <w:lang w:val="en-US"/>
        </w:rPr>
        <w:t xml:space="preserve"> and </w:t>
      </w:r>
      <w:r w:rsidR="008F2F73" w:rsidRPr="00337C97">
        <w:rPr>
          <w:rFonts w:asciiTheme="minorHAnsi" w:hAnsiTheme="minorHAnsi" w:cs="Times New Roman"/>
          <w:sz w:val="22"/>
          <w:szCs w:val="22"/>
          <w:lang w:val="en-US"/>
        </w:rPr>
        <w:t xml:space="preserve">they </w:t>
      </w:r>
      <w:r w:rsidR="00C93B10" w:rsidRPr="00337C97">
        <w:rPr>
          <w:rFonts w:asciiTheme="minorHAnsi" w:hAnsiTheme="minorHAnsi" w:cs="Times New Roman"/>
          <w:sz w:val="22"/>
          <w:szCs w:val="22"/>
          <w:lang w:val="en-US"/>
        </w:rPr>
        <w:t>found financial risk the most frequent disclosed risk, followed by operational risk. Disclosures on business and legal risk are the least frequent disclosed risks.</w:t>
      </w:r>
    </w:p>
    <w:p w:rsidR="00C93B10" w:rsidRPr="00337C97" w:rsidRDefault="00C93B10" w:rsidP="00101B5A">
      <w:pPr>
        <w:spacing w:line="360" w:lineRule="auto"/>
        <w:jc w:val="both"/>
        <w:rPr>
          <w:rFonts w:asciiTheme="minorHAnsi" w:hAnsiTheme="minorHAnsi" w:cs="Times New Roman"/>
          <w:sz w:val="22"/>
          <w:szCs w:val="22"/>
          <w:lang w:val="en-US"/>
        </w:rPr>
      </w:pPr>
    </w:p>
    <w:p w:rsidR="007F7312" w:rsidRPr="00337C97" w:rsidRDefault="007F7312" w:rsidP="007D0049">
      <w:pPr>
        <w:spacing w:line="360" w:lineRule="auto"/>
        <w:jc w:val="both"/>
        <w:outlineLvl w:val="2"/>
        <w:rPr>
          <w:rFonts w:asciiTheme="minorHAnsi" w:hAnsiTheme="minorHAnsi" w:cs="Times New Roman"/>
          <w:i/>
          <w:sz w:val="22"/>
          <w:szCs w:val="22"/>
          <w:lang w:val="en-US"/>
        </w:rPr>
      </w:pPr>
      <w:bookmarkStart w:id="232" w:name="_Toc245187898"/>
      <w:bookmarkStart w:id="233" w:name="_Toc269658942"/>
      <w:r w:rsidRPr="00337C97">
        <w:rPr>
          <w:rFonts w:asciiTheme="minorHAnsi" w:hAnsiTheme="minorHAnsi" w:cs="Times New Roman"/>
          <w:i/>
          <w:sz w:val="22"/>
          <w:szCs w:val="22"/>
          <w:lang w:val="en-US"/>
        </w:rPr>
        <w:t>4.3.3</w:t>
      </w:r>
      <w:r w:rsidR="00CB34A1" w:rsidRPr="00337C97">
        <w:rPr>
          <w:rFonts w:asciiTheme="minorHAnsi" w:hAnsiTheme="minorHAnsi" w:cs="Times New Roman"/>
          <w:i/>
          <w:sz w:val="22"/>
          <w:szCs w:val="22"/>
          <w:lang w:val="en-US"/>
        </w:rPr>
        <w:tab/>
      </w:r>
      <w:r w:rsidR="00B80EE0" w:rsidRPr="00337C97">
        <w:rPr>
          <w:rFonts w:asciiTheme="minorHAnsi" w:hAnsiTheme="minorHAnsi" w:cs="Times New Roman"/>
          <w:i/>
          <w:sz w:val="22"/>
          <w:szCs w:val="22"/>
          <w:lang w:val="en-US"/>
        </w:rPr>
        <w:t>Disclosure index</w:t>
      </w:r>
      <w:bookmarkEnd w:id="232"/>
      <w:bookmarkEnd w:id="233"/>
    </w:p>
    <w:p w:rsidR="00E321A5" w:rsidRPr="00337C97" w:rsidRDefault="00BD34AF" w:rsidP="00115E1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Next to Linsley et al. (2006), </w:t>
      </w:r>
      <w:r w:rsidR="00FB75B3" w:rsidRPr="00337C97">
        <w:rPr>
          <w:rFonts w:asciiTheme="minorHAnsi" w:hAnsiTheme="minorHAnsi" w:cs="Times New Roman"/>
          <w:sz w:val="22"/>
          <w:szCs w:val="22"/>
          <w:lang w:val="en-US"/>
        </w:rPr>
        <w:t xml:space="preserve">two other studies have examined disclosure </w:t>
      </w:r>
      <w:r w:rsidR="00E321A5" w:rsidRPr="00337C97">
        <w:rPr>
          <w:rFonts w:asciiTheme="minorHAnsi" w:hAnsiTheme="minorHAnsi" w:cs="Times New Roman"/>
          <w:sz w:val="22"/>
          <w:szCs w:val="22"/>
          <w:lang w:val="en-US"/>
        </w:rPr>
        <w:t>by</w:t>
      </w:r>
      <w:r w:rsidR="00FB75B3" w:rsidRPr="00337C97">
        <w:rPr>
          <w:rFonts w:asciiTheme="minorHAnsi" w:hAnsiTheme="minorHAnsi" w:cs="Times New Roman"/>
          <w:sz w:val="22"/>
          <w:szCs w:val="22"/>
          <w:lang w:val="en-US"/>
        </w:rPr>
        <w:t xml:space="preserve"> financial firms. Helbok and Wagner (2003) performed an empirical study on </w:t>
      </w:r>
      <w:r w:rsidR="00E321A5" w:rsidRPr="00337C97">
        <w:rPr>
          <w:rFonts w:asciiTheme="minorHAnsi" w:hAnsiTheme="minorHAnsi" w:cs="Times New Roman"/>
          <w:sz w:val="22"/>
          <w:szCs w:val="22"/>
          <w:lang w:val="en-US"/>
        </w:rPr>
        <w:t xml:space="preserve">operational </w:t>
      </w:r>
      <w:r w:rsidR="00FB75B3" w:rsidRPr="00337C97">
        <w:rPr>
          <w:rFonts w:asciiTheme="minorHAnsi" w:hAnsiTheme="minorHAnsi" w:cs="Times New Roman"/>
          <w:sz w:val="22"/>
          <w:szCs w:val="22"/>
          <w:lang w:val="en-US"/>
        </w:rPr>
        <w:t xml:space="preserve">risk disclosure </w:t>
      </w:r>
      <w:r w:rsidR="00E321A5" w:rsidRPr="00337C97">
        <w:rPr>
          <w:rFonts w:asciiTheme="minorHAnsi" w:hAnsiTheme="minorHAnsi" w:cs="Times New Roman"/>
          <w:sz w:val="22"/>
          <w:szCs w:val="22"/>
          <w:lang w:val="en-US"/>
        </w:rPr>
        <w:t xml:space="preserve">and Hossain (2008) investigated the extent of disclosure </w:t>
      </w:r>
      <w:r w:rsidR="00E321A5" w:rsidRPr="00337C97">
        <w:rPr>
          <w:rFonts w:asciiTheme="minorHAnsi" w:hAnsiTheme="minorHAnsi" w:cs="Times New Roman"/>
          <w:i/>
          <w:sz w:val="22"/>
          <w:szCs w:val="22"/>
          <w:lang w:val="en-US"/>
        </w:rPr>
        <w:t>in common</w:t>
      </w:r>
      <w:r w:rsidR="00E321A5" w:rsidRPr="00337C97">
        <w:rPr>
          <w:rFonts w:asciiTheme="minorHAnsi" w:hAnsiTheme="minorHAnsi" w:cs="Times New Roman"/>
          <w:sz w:val="22"/>
          <w:szCs w:val="22"/>
          <w:lang w:val="en-US"/>
        </w:rPr>
        <w:t xml:space="preserve"> in annual reports of banking companies in India.</w:t>
      </w:r>
    </w:p>
    <w:p w:rsidR="00FB75B3" w:rsidRPr="00337C97" w:rsidRDefault="00FB75B3" w:rsidP="00115E10">
      <w:pPr>
        <w:spacing w:line="360" w:lineRule="auto"/>
        <w:jc w:val="both"/>
        <w:rPr>
          <w:rFonts w:asciiTheme="minorHAnsi" w:hAnsiTheme="minorHAnsi" w:cs="Times New Roman"/>
          <w:sz w:val="22"/>
          <w:szCs w:val="22"/>
          <w:lang w:val="en-US"/>
        </w:rPr>
      </w:pPr>
    </w:p>
    <w:p w:rsidR="00FB75B3" w:rsidRPr="00337C97" w:rsidRDefault="00FB75B3" w:rsidP="00115E10">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Helbok and Wagner (2003)</w:t>
      </w:r>
    </w:p>
    <w:p w:rsidR="00115E10" w:rsidRPr="00337C97" w:rsidRDefault="000A1195" w:rsidP="00115E1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They performed a comprehensive study on operational risk</w:t>
      </w:r>
      <w:r w:rsidR="005B2F15" w:rsidRPr="00337C97">
        <w:rPr>
          <w:rFonts w:asciiTheme="minorHAnsi" w:hAnsiTheme="minorHAnsi" w:cs="Times New Roman"/>
          <w:sz w:val="22"/>
          <w:szCs w:val="22"/>
          <w:lang w:val="en-US"/>
        </w:rPr>
        <w:t xml:space="preserve"> and focused on the annual reports of the biggest banks (by total assets) in Europe, Asia and North-America from 1998 to 2001. Their sample consisted of 59 banks and to analyze the annual reports the authors counted words and pages related to operational risk. </w:t>
      </w:r>
      <w:r w:rsidR="00706374" w:rsidRPr="00337C97">
        <w:rPr>
          <w:rFonts w:asciiTheme="minorHAnsi" w:hAnsiTheme="minorHAnsi" w:cs="Times New Roman"/>
          <w:sz w:val="22"/>
          <w:szCs w:val="22"/>
          <w:lang w:val="en-US"/>
        </w:rPr>
        <w:t xml:space="preserve">Next </w:t>
      </w:r>
      <w:r w:rsidR="005B2F15" w:rsidRPr="00337C97">
        <w:rPr>
          <w:rFonts w:asciiTheme="minorHAnsi" w:hAnsiTheme="minorHAnsi" w:cs="Times New Roman"/>
          <w:sz w:val="22"/>
          <w:szCs w:val="22"/>
          <w:lang w:val="en-US"/>
        </w:rPr>
        <w:t xml:space="preserve">a disclosure index </w:t>
      </w:r>
      <w:r w:rsidR="00706374" w:rsidRPr="00337C97">
        <w:rPr>
          <w:rFonts w:asciiTheme="minorHAnsi" w:hAnsiTheme="minorHAnsi" w:cs="Times New Roman"/>
          <w:sz w:val="22"/>
          <w:szCs w:val="22"/>
          <w:lang w:val="en-US"/>
        </w:rPr>
        <w:t xml:space="preserve">was developed to judge about the quality of the disclosure. </w:t>
      </w:r>
      <w:r w:rsidR="00115E10" w:rsidRPr="00337C97">
        <w:rPr>
          <w:rFonts w:asciiTheme="minorHAnsi" w:hAnsiTheme="minorHAnsi" w:cs="Times New Roman"/>
          <w:sz w:val="22"/>
          <w:szCs w:val="22"/>
          <w:lang w:val="en-US"/>
        </w:rPr>
        <w:t xml:space="preserve">Results </w:t>
      </w:r>
      <w:r w:rsidR="007C2315" w:rsidRPr="00337C97">
        <w:rPr>
          <w:rFonts w:asciiTheme="minorHAnsi" w:hAnsiTheme="minorHAnsi" w:cs="Times New Roman"/>
          <w:sz w:val="22"/>
          <w:szCs w:val="22"/>
          <w:lang w:val="en-US"/>
        </w:rPr>
        <w:t xml:space="preserve">show that </w:t>
      </w:r>
      <w:r w:rsidR="009F5945" w:rsidRPr="00337C97">
        <w:rPr>
          <w:rFonts w:asciiTheme="minorHAnsi" w:hAnsiTheme="minorHAnsi" w:cs="Times New Roman"/>
          <w:sz w:val="22"/>
          <w:szCs w:val="22"/>
          <w:lang w:val="en-US"/>
        </w:rPr>
        <w:t xml:space="preserve">both </w:t>
      </w:r>
      <w:r w:rsidR="007C2315" w:rsidRPr="00337C97">
        <w:rPr>
          <w:rFonts w:asciiTheme="minorHAnsi" w:hAnsiTheme="minorHAnsi" w:cs="Times New Roman"/>
          <w:sz w:val="22"/>
          <w:szCs w:val="22"/>
          <w:lang w:val="en-US"/>
        </w:rPr>
        <w:t xml:space="preserve">the extent </w:t>
      </w:r>
      <w:r w:rsidR="005B2F15" w:rsidRPr="00337C97">
        <w:rPr>
          <w:rFonts w:asciiTheme="minorHAnsi" w:hAnsiTheme="minorHAnsi" w:cs="Times New Roman"/>
          <w:sz w:val="22"/>
          <w:szCs w:val="22"/>
          <w:lang w:val="en-US"/>
        </w:rPr>
        <w:t xml:space="preserve">(quantity) </w:t>
      </w:r>
      <w:r w:rsidR="007C2315" w:rsidRPr="00337C97">
        <w:rPr>
          <w:rFonts w:asciiTheme="minorHAnsi" w:hAnsiTheme="minorHAnsi" w:cs="Times New Roman"/>
          <w:sz w:val="22"/>
          <w:szCs w:val="22"/>
          <w:lang w:val="en-US"/>
        </w:rPr>
        <w:t xml:space="preserve">and </w:t>
      </w:r>
      <w:r w:rsidR="009F5945" w:rsidRPr="00337C97">
        <w:rPr>
          <w:rFonts w:asciiTheme="minorHAnsi" w:hAnsiTheme="minorHAnsi" w:cs="Times New Roman"/>
          <w:sz w:val="22"/>
          <w:szCs w:val="22"/>
          <w:lang w:val="en-US"/>
        </w:rPr>
        <w:t xml:space="preserve">the </w:t>
      </w:r>
      <w:r w:rsidR="005B2F15" w:rsidRPr="00337C97">
        <w:rPr>
          <w:rFonts w:asciiTheme="minorHAnsi" w:hAnsiTheme="minorHAnsi" w:cs="Times New Roman"/>
          <w:sz w:val="22"/>
          <w:szCs w:val="22"/>
          <w:lang w:val="en-US"/>
        </w:rPr>
        <w:t>depth (</w:t>
      </w:r>
      <w:r w:rsidR="007C2315" w:rsidRPr="00337C97">
        <w:rPr>
          <w:rFonts w:asciiTheme="minorHAnsi" w:hAnsiTheme="minorHAnsi" w:cs="Times New Roman"/>
          <w:sz w:val="22"/>
          <w:szCs w:val="22"/>
          <w:lang w:val="en-US"/>
        </w:rPr>
        <w:t>quality</w:t>
      </w:r>
      <w:r w:rsidR="005B2F15" w:rsidRPr="00337C97">
        <w:rPr>
          <w:rFonts w:asciiTheme="minorHAnsi" w:hAnsiTheme="minorHAnsi" w:cs="Times New Roman"/>
          <w:sz w:val="22"/>
          <w:szCs w:val="22"/>
          <w:lang w:val="en-US"/>
        </w:rPr>
        <w:t>)</w:t>
      </w:r>
      <w:r w:rsidR="007C2315" w:rsidRPr="00337C97">
        <w:rPr>
          <w:rFonts w:asciiTheme="minorHAnsi" w:hAnsiTheme="minorHAnsi" w:cs="Times New Roman"/>
          <w:sz w:val="22"/>
          <w:szCs w:val="22"/>
          <w:lang w:val="en-US"/>
        </w:rPr>
        <w:t xml:space="preserve"> of </w:t>
      </w:r>
      <w:r w:rsidR="005B2F15" w:rsidRPr="00337C97">
        <w:rPr>
          <w:rFonts w:asciiTheme="minorHAnsi" w:hAnsiTheme="minorHAnsi" w:cs="Times New Roman"/>
          <w:sz w:val="22"/>
          <w:szCs w:val="22"/>
          <w:lang w:val="en-US"/>
        </w:rPr>
        <w:t xml:space="preserve">operational risk </w:t>
      </w:r>
      <w:r w:rsidR="007C2315" w:rsidRPr="00337C97">
        <w:rPr>
          <w:rFonts w:asciiTheme="minorHAnsi" w:hAnsiTheme="minorHAnsi" w:cs="Times New Roman"/>
          <w:sz w:val="22"/>
          <w:szCs w:val="22"/>
          <w:lang w:val="en-US"/>
        </w:rPr>
        <w:t>disclosure had grown. The total number of banks disclosing operational risk showed an enormous growth and rose</w:t>
      </w:r>
      <w:r w:rsidR="00A2689F" w:rsidRPr="00337C97">
        <w:rPr>
          <w:rFonts w:asciiTheme="minorHAnsi" w:hAnsiTheme="minorHAnsi" w:cs="Times New Roman"/>
          <w:sz w:val="22"/>
          <w:szCs w:val="22"/>
          <w:lang w:val="en-US"/>
        </w:rPr>
        <w:t xml:space="preserve"> from 41% (1998) to 92% (2001).</w:t>
      </w:r>
      <w:r w:rsidR="00115E10" w:rsidRPr="00337C97">
        <w:rPr>
          <w:rFonts w:asciiTheme="minorHAnsi" w:hAnsiTheme="minorHAnsi" w:cs="Times New Roman"/>
          <w:sz w:val="22"/>
          <w:szCs w:val="22"/>
          <w:lang w:val="en-US"/>
        </w:rPr>
        <w:t xml:space="preserve"> </w:t>
      </w:r>
      <w:r w:rsidR="009F5945" w:rsidRPr="00337C97">
        <w:rPr>
          <w:rFonts w:asciiTheme="minorHAnsi" w:hAnsiTheme="minorHAnsi" w:cs="Times New Roman"/>
          <w:sz w:val="22"/>
          <w:szCs w:val="22"/>
          <w:lang w:val="en-US"/>
        </w:rPr>
        <w:t xml:space="preserve">Furthermore, the amount of disclosure increased by a factor of four. The </w:t>
      </w:r>
      <w:r w:rsidR="00115E10" w:rsidRPr="00337C97">
        <w:rPr>
          <w:rFonts w:asciiTheme="minorHAnsi" w:hAnsiTheme="minorHAnsi" w:cs="Times New Roman"/>
          <w:sz w:val="22"/>
          <w:szCs w:val="22"/>
          <w:lang w:val="en-US"/>
        </w:rPr>
        <w:t>findings were in line with the results of the BCBS surveys.</w:t>
      </w:r>
    </w:p>
    <w:p w:rsidR="00FB75B3" w:rsidRPr="00337C97" w:rsidRDefault="00FB75B3" w:rsidP="00115E10">
      <w:pPr>
        <w:spacing w:line="360" w:lineRule="auto"/>
        <w:jc w:val="both"/>
        <w:rPr>
          <w:rFonts w:asciiTheme="minorHAnsi" w:hAnsiTheme="minorHAnsi" w:cs="Times New Roman"/>
          <w:sz w:val="22"/>
          <w:szCs w:val="22"/>
          <w:lang w:val="en-US"/>
        </w:rPr>
      </w:pPr>
    </w:p>
    <w:p w:rsidR="00FB75B3" w:rsidRPr="00337C97" w:rsidRDefault="00E321A5" w:rsidP="00115E10">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Hossain (2008)</w:t>
      </w:r>
    </w:p>
    <w:p w:rsidR="00510A9B" w:rsidRPr="00337C97" w:rsidRDefault="00E321A5" w:rsidP="00115E1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study of Hossain focuses on the banking sector in India and investigates the extent of disclosure (both mandatory and voluntary) within the annual report</w:t>
      </w:r>
      <w:r w:rsidR="00510A9B" w:rsidRPr="00337C97">
        <w:rPr>
          <w:rFonts w:asciiTheme="minorHAnsi" w:hAnsiTheme="minorHAnsi" w:cs="Times New Roman"/>
          <w:sz w:val="22"/>
          <w:szCs w:val="22"/>
          <w:lang w:val="en-US"/>
        </w:rPr>
        <w:t>. His sample consisted of 38 listed banks and he investigated the annual reports of 2002 and 2003. To measure the extent of mandatory and voluntary disclosure an unweighted disclosure index was used. Mandatory items were derived from laws and regulation, listing rules and guidelines in the Indian context. Voluntary items were derived from prior research and papers</w:t>
      </w:r>
      <w:r w:rsidR="00DC41EB" w:rsidRPr="00337C97">
        <w:rPr>
          <w:rFonts w:asciiTheme="minorHAnsi" w:hAnsiTheme="minorHAnsi" w:cs="Times New Roman"/>
          <w:sz w:val="22"/>
          <w:szCs w:val="22"/>
          <w:lang w:val="en-US"/>
        </w:rPr>
        <w:t xml:space="preserve"> (guidelines, recommendations)</w:t>
      </w:r>
      <w:r w:rsidR="00510A9B" w:rsidRPr="00337C97">
        <w:rPr>
          <w:rFonts w:asciiTheme="minorHAnsi" w:hAnsiTheme="minorHAnsi" w:cs="Times New Roman"/>
          <w:sz w:val="22"/>
          <w:szCs w:val="22"/>
          <w:lang w:val="en-US"/>
        </w:rPr>
        <w:t xml:space="preserve"> of international financi</w:t>
      </w:r>
      <w:r w:rsidR="00DC41EB" w:rsidRPr="00337C97">
        <w:rPr>
          <w:rFonts w:asciiTheme="minorHAnsi" w:hAnsiTheme="minorHAnsi" w:cs="Times New Roman"/>
          <w:sz w:val="22"/>
          <w:szCs w:val="22"/>
          <w:lang w:val="en-US"/>
        </w:rPr>
        <w:t>al institutions and accounting bodies.</w:t>
      </w:r>
      <w:r w:rsidR="00D313DA" w:rsidRPr="00337C97">
        <w:rPr>
          <w:rFonts w:asciiTheme="minorHAnsi" w:hAnsiTheme="minorHAnsi" w:cs="Times New Roman"/>
          <w:sz w:val="22"/>
          <w:szCs w:val="22"/>
          <w:lang w:val="en-US"/>
        </w:rPr>
        <w:t xml:space="preserve"> It is noteworthy that among the </w:t>
      </w:r>
      <w:r w:rsidR="00D60607" w:rsidRPr="00337C97">
        <w:rPr>
          <w:rFonts w:asciiTheme="minorHAnsi" w:hAnsiTheme="minorHAnsi" w:cs="Times New Roman"/>
          <w:sz w:val="22"/>
          <w:szCs w:val="22"/>
          <w:lang w:val="en-US"/>
        </w:rPr>
        <w:t xml:space="preserve">identified </w:t>
      </w:r>
      <w:r w:rsidR="00D313DA" w:rsidRPr="00337C97">
        <w:rPr>
          <w:rFonts w:asciiTheme="minorHAnsi" w:hAnsiTheme="minorHAnsi" w:cs="Times New Roman"/>
          <w:sz w:val="22"/>
          <w:szCs w:val="22"/>
          <w:lang w:val="en-US"/>
        </w:rPr>
        <w:t xml:space="preserve">voluntary items, </w:t>
      </w:r>
      <w:r w:rsidR="007444C9" w:rsidRPr="00337C97">
        <w:rPr>
          <w:rFonts w:asciiTheme="minorHAnsi" w:hAnsiTheme="minorHAnsi" w:cs="Times New Roman"/>
          <w:sz w:val="22"/>
          <w:szCs w:val="22"/>
          <w:lang w:val="en-US"/>
        </w:rPr>
        <w:t xml:space="preserve">major risk information areas are </w:t>
      </w:r>
      <w:r w:rsidR="00D313DA" w:rsidRPr="00337C97">
        <w:rPr>
          <w:rFonts w:asciiTheme="minorHAnsi" w:hAnsiTheme="minorHAnsi" w:cs="Times New Roman"/>
          <w:sz w:val="22"/>
          <w:szCs w:val="22"/>
          <w:lang w:val="en-US"/>
        </w:rPr>
        <w:t>defined. Examples are disclosure about general risk management, exposure to market, credit and liquidity risk, interest rate risk and currency risk. This implies that main parts of risk disclosure were not mandatory over the research period.</w:t>
      </w:r>
    </w:p>
    <w:p w:rsidR="00D313DA" w:rsidRPr="00337C97" w:rsidRDefault="00D313DA" w:rsidP="00115E10">
      <w:pPr>
        <w:spacing w:line="360" w:lineRule="auto"/>
        <w:jc w:val="both"/>
        <w:rPr>
          <w:rFonts w:asciiTheme="minorHAnsi" w:hAnsiTheme="minorHAnsi" w:cs="Times New Roman"/>
          <w:sz w:val="22"/>
          <w:szCs w:val="22"/>
          <w:lang w:val="en-US"/>
        </w:rPr>
      </w:pPr>
    </w:p>
    <w:p w:rsidR="00510A9B" w:rsidRPr="00337C97" w:rsidRDefault="00510A9B" w:rsidP="00115E1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On average, banks published 60% of the total disclosure </w:t>
      </w:r>
      <w:r w:rsidR="00D313DA" w:rsidRPr="00337C97">
        <w:rPr>
          <w:rFonts w:asciiTheme="minorHAnsi" w:hAnsiTheme="minorHAnsi" w:cs="Times New Roman"/>
          <w:sz w:val="22"/>
          <w:szCs w:val="22"/>
          <w:lang w:val="en-US"/>
        </w:rPr>
        <w:t xml:space="preserve">items </w:t>
      </w:r>
      <w:r w:rsidRPr="00337C97">
        <w:rPr>
          <w:rFonts w:asciiTheme="minorHAnsi" w:hAnsiTheme="minorHAnsi" w:cs="Times New Roman"/>
          <w:sz w:val="22"/>
          <w:szCs w:val="22"/>
          <w:lang w:val="en-US"/>
        </w:rPr>
        <w:t xml:space="preserve">of which 88% </w:t>
      </w:r>
      <w:r w:rsidR="00D313DA" w:rsidRPr="00337C97">
        <w:rPr>
          <w:rFonts w:asciiTheme="minorHAnsi" w:hAnsiTheme="minorHAnsi" w:cs="Times New Roman"/>
          <w:sz w:val="22"/>
          <w:szCs w:val="22"/>
          <w:lang w:val="en-US"/>
        </w:rPr>
        <w:t>were</w:t>
      </w:r>
      <w:r w:rsidRPr="00337C97">
        <w:rPr>
          <w:rFonts w:asciiTheme="minorHAnsi" w:hAnsiTheme="minorHAnsi" w:cs="Times New Roman"/>
          <w:sz w:val="22"/>
          <w:szCs w:val="22"/>
          <w:lang w:val="en-US"/>
        </w:rPr>
        <w:t xml:space="preserve"> mandatory and 25% </w:t>
      </w:r>
      <w:r w:rsidR="00D313DA" w:rsidRPr="00337C97">
        <w:rPr>
          <w:rFonts w:asciiTheme="minorHAnsi" w:hAnsiTheme="minorHAnsi" w:cs="Times New Roman"/>
          <w:sz w:val="22"/>
          <w:szCs w:val="22"/>
          <w:lang w:val="en-US"/>
        </w:rPr>
        <w:t>were</w:t>
      </w:r>
      <w:r w:rsidRPr="00337C97">
        <w:rPr>
          <w:rFonts w:asciiTheme="minorHAnsi" w:hAnsiTheme="minorHAnsi" w:cs="Times New Roman"/>
          <w:sz w:val="22"/>
          <w:szCs w:val="22"/>
          <w:lang w:val="en-US"/>
        </w:rPr>
        <w:t xml:space="preserve"> voluntary items.</w:t>
      </w:r>
      <w:r w:rsidR="00DC41EB" w:rsidRPr="00337C97">
        <w:rPr>
          <w:rFonts w:asciiTheme="minorHAnsi" w:hAnsiTheme="minorHAnsi" w:cs="Times New Roman"/>
          <w:sz w:val="22"/>
          <w:szCs w:val="22"/>
          <w:lang w:val="en-US"/>
        </w:rPr>
        <w:t xml:space="preserve"> The author concluded that</w:t>
      </w:r>
      <w:r w:rsidRPr="00337C97">
        <w:rPr>
          <w:rFonts w:asciiTheme="minorHAnsi" w:hAnsiTheme="minorHAnsi" w:cs="Times New Roman"/>
          <w:sz w:val="22"/>
          <w:szCs w:val="22"/>
          <w:lang w:val="en-US"/>
        </w:rPr>
        <w:t xml:space="preserve"> Indian banks are very compliant with the rules regarding mandatory disclosure, but far behind</w:t>
      </w:r>
      <w:r w:rsidR="00D313DA" w:rsidRPr="00337C97">
        <w:rPr>
          <w:rFonts w:asciiTheme="minorHAnsi" w:hAnsiTheme="minorHAnsi" w:cs="Times New Roman"/>
          <w:sz w:val="22"/>
          <w:szCs w:val="22"/>
          <w:lang w:val="en-US"/>
        </w:rPr>
        <w:t xml:space="preserve"> in disclosing voluntary items. However, some voluntary information, such as corporate social disclosure, corporate governance and risk-related voluntary information, had been disclosed in the annual reports to an acceptable level, in the author’s view. </w:t>
      </w:r>
    </w:p>
    <w:p w:rsidR="00E321A5" w:rsidRPr="00337C97" w:rsidRDefault="00E321A5" w:rsidP="00115E10">
      <w:pPr>
        <w:spacing w:line="360" w:lineRule="auto"/>
        <w:jc w:val="both"/>
        <w:rPr>
          <w:rFonts w:asciiTheme="minorHAnsi" w:hAnsiTheme="minorHAnsi" w:cs="Times New Roman"/>
          <w:sz w:val="22"/>
          <w:szCs w:val="22"/>
          <w:lang w:val="en-US"/>
        </w:rPr>
      </w:pPr>
    </w:p>
    <w:p w:rsidR="00495AC6" w:rsidRPr="00337C97" w:rsidRDefault="007F7312" w:rsidP="007D0049">
      <w:pPr>
        <w:spacing w:line="360" w:lineRule="auto"/>
        <w:jc w:val="both"/>
        <w:outlineLvl w:val="2"/>
        <w:rPr>
          <w:rFonts w:asciiTheme="minorHAnsi" w:hAnsiTheme="minorHAnsi" w:cs="Times New Roman"/>
          <w:i/>
          <w:sz w:val="22"/>
          <w:szCs w:val="22"/>
          <w:lang w:val="en-US"/>
        </w:rPr>
      </w:pPr>
      <w:bookmarkStart w:id="234" w:name="_Toc245187899"/>
      <w:bookmarkStart w:id="235" w:name="_Toc269658943"/>
      <w:r w:rsidRPr="00337C97">
        <w:rPr>
          <w:rFonts w:asciiTheme="minorHAnsi" w:hAnsiTheme="minorHAnsi" w:cs="Times New Roman"/>
          <w:i/>
          <w:sz w:val="22"/>
          <w:szCs w:val="22"/>
          <w:lang w:val="en-US"/>
        </w:rPr>
        <w:t>4.3.4</w:t>
      </w:r>
      <w:r w:rsidR="00495AC6" w:rsidRPr="00337C97">
        <w:rPr>
          <w:rFonts w:asciiTheme="minorHAnsi" w:hAnsiTheme="minorHAnsi" w:cs="Times New Roman"/>
          <w:i/>
          <w:sz w:val="22"/>
          <w:szCs w:val="22"/>
          <w:lang w:val="en-US"/>
        </w:rPr>
        <w:tab/>
        <w:t>Summarizing table</w:t>
      </w:r>
      <w:bookmarkEnd w:id="234"/>
      <w:bookmarkEnd w:id="235"/>
    </w:p>
    <w:p w:rsidR="00C93B10" w:rsidRPr="00337C97" w:rsidRDefault="00C93B10"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Table 2 shows a summary of the above described literature on the extent of risk disclosures. The next paragraph will discuss the literature that relates the extent of risk disclosures to company specific characteristics.</w:t>
      </w:r>
    </w:p>
    <w:p w:rsidR="00FD205F" w:rsidRPr="00337C97" w:rsidRDefault="00FD205F" w:rsidP="00A3225D">
      <w:pPr>
        <w:spacing w:line="360" w:lineRule="auto"/>
        <w:jc w:val="both"/>
        <w:rPr>
          <w:rFonts w:asciiTheme="minorHAnsi" w:hAnsiTheme="minorHAnsi" w:cs="Times New Roman"/>
          <w:sz w:val="22"/>
          <w:szCs w:val="22"/>
          <w:lang w:val="en-US"/>
        </w:rPr>
      </w:pPr>
    </w:p>
    <w:p w:rsidR="00C93B10" w:rsidRPr="00337C97" w:rsidRDefault="00A3225D" w:rsidP="00A3225D">
      <w:pPr>
        <w:spacing w:line="360" w:lineRule="auto"/>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t>Table 2</w:t>
      </w:r>
      <w:r w:rsidR="002728E9" w:rsidRPr="00337C97">
        <w:rPr>
          <w:rFonts w:asciiTheme="minorHAnsi" w:hAnsiTheme="minorHAnsi" w:cs="Times New Roman"/>
          <w:b/>
          <w:sz w:val="22"/>
          <w:szCs w:val="22"/>
          <w:lang w:val="en-US"/>
        </w:rPr>
        <w:t xml:space="preserve"> </w:t>
      </w:r>
      <w:r w:rsidR="002728E9" w:rsidRPr="00337C97">
        <w:rPr>
          <w:rFonts w:asciiTheme="minorHAnsi" w:hAnsiTheme="minorHAnsi" w:cs="Times New Roman"/>
          <w:sz w:val="22"/>
          <w:szCs w:val="22"/>
          <w:lang w:val="en-US"/>
        </w:rPr>
        <w:t>The extent of risk disclosure</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1993"/>
        <w:gridCol w:w="1645"/>
        <w:gridCol w:w="1842"/>
        <w:gridCol w:w="2977"/>
      </w:tblGrid>
      <w:tr w:rsidR="002F322D" w:rsidRPr="00337C97" w:rsidTr="007C4013">
        <w:trPr>
          <w:cantSplit/>
          <w:trHeight w:val="615"/>
        </w:trPr>
        <w:tc>
          <w:tcPr>
            <w:tcW w:w="1101" w:type="dxa"/>
            <w:tcBorders>
              <w:top w:val="single" w:sz="4" w:space="0" w:color="auto"/>
              <w:left w:val="single" w:sz="4" w:space="0" w:color="auto"/>
              <w:bottom w:val="single" w:sz="4" w:space="0" w:color="auto"/>
              <w:right w:val="nil"/>
            </w:tcBorders>
            <w:shd w:val="clear" w:color="auto" w:fill="7F7F7F"/>
          </w:tcPr>
          <w:p w:rsidR="00A3225D" w:rsidRPr="00337C97" w:rsidRDefault="00A3225D" w:rsidP="00A3225D">
            <w:pPr>
              <w:rPr>
                <w:rFonts w:asciiTheme="minorHAnsi" w:eastAsia="Calibri" w:hAnsiTheme="minorHAnsi" w:cs="Times New Roman"/>
                <w:b/>
                <w:color w:val="FFFFFF"/>
                <w:sz w:val="20"/>
                <w:szCs w:val="20"/>
                <w:lang w:val="en-US"/>
              </w:rPr>
            </w:pPr>
            <w:bookmarkStart w:id="236" w:name="_Toc242697426"/>
            <w:bookmarkStart w:id="237" w:name="_Toc242697661"/>
            <w:r w:rsidRPr="00337C97">
              <w:rPr>
                <w:rFonts w:asciiTheme="minorHAnsi" w:hAnsiTheme="minorHAnsi" w:cs="Times New Roman"/>
                <w:b/>
                <w:color w:val="FFFFFF"/>
                <w:sz w:val="20"/>
                <w:szCs w:val="20"/>
                <w:lang w:val="en-US"/>
              </w:rPr>
              <w:t>Author(s)</w:t>
            </w:r>
          </w:p>
        </w:tc>
        <w:tc>
          <w:tcPr>
            <w:tcW w:w="1993" w:type="dxa"/>
            <w:tcBorders>
              <w:top w:val="single" w:sz="4" w:space="0" w:color="auto"/>
              <w:left w:val="nil"/>
              <w:bottom w:val="single" w:sz="4" w:space="0" w:color="auto"/>
              <w:right w:val="nil"/>
            </w:tcBorders>
            <w:shd w:val="clear" w:color="auto" w:fill="7F7F7F"/>
          </w:tcPr>
          <w:p w:rsidR="00A3225D" w:rsidRPr="00337C97" w:rsidRDefault="00A3225D" w:rsidP="00A3225D">
            <w:pPr>
              <w:rPr>
                <w:rFonts w:asciiTheme="minorHAnsi" w:eastAsia="Calibri" w:hAnsiTheme="minorHAnsi" w:cs="Times New Roman"/>
                <w:b/>
                <w:color w:val="FFFFFF"/>
                <w:sz w:val="20"/>
                <w:szCs w:val="20"/>
                <w:lang w:val="en-US"/>
              </w:rPr>
            </w:pPr>
            <w:r w:rsidRPr="00337C97">
              <w:rPr>
                <w:rFonts w:asciiTheme="minorHAnsi" w:hAnsiTheme="minorHAnsi" w:cs="Times New Roman"/>
                <w:b/>
                <w:color w:val="FFFFFF"/>
                <w:sz w:val="20"/>
                <w:szCs w:val="20"/>
                <w:lang w:val="en-US"/>
              </w:rPr>
              <w:t>Object of study</w:t>
            </w:r>
          </w:p>
        </w:tc>
        <w:tc>
          <w:tcPr>
            <w:tcW w:w="1645" w:type="dxa"/>
            <w:tcBorders>
              <w:top w:val="single" w:sz="4" w:space="0" w:color="auto"/>
              <w:left w:val="nil"/>
              <w:bottom w:val="single" w:sz="4" w:space="0" w:color="auto"/>
              <w:right w:val="nil"/>
            </w:tcBorders>
            <w:shd w:val="clear" w:color="auto" w:fill="7F7F7F"/>
          </w:tcPr>
          <w:p w:rsidR="00A3225D" w:rsidRPr="00337C97" w:rsidRDefault="002728E9" w:rsidP="00A3225D">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Sample</w:t>
            </w:r>
          </w:p>
          <w:p w:rsidR="00A3225D" w:rsidRPr="00337C97" w:rsidRDefault="00A3225D" w:rsidP="00A3225D">
            <w:pPr>
              <w:rPr>
                <w:rFonts w:asciiTheme="minorHAnsi" w:eastAsia="Calibri" w:hAnsiTheme="minorHAnsi" w:cs="Times New Roman"/>
                <w:b/>
                <w:color w:val="FFFFFF"/>
                <w:sz w:val="20"/>
                <w:szCs w:val="20"/>
                <w:lang w:val="en-US"/>
              </w:rPr>
            </w:pPr>
            <w:r w:rsidRPr="00337C97">
              <w:rPr>
                <w:rFonts w:asciiTheme="minorHAnsi" w:hAnsiTheme="minorHAnsi" w:cs="Times New Roman"/>
                <w:b/>
                <w:color w:val="FFFFFF"/>
                <w:sz w:val="20"/>
                <w:szCs w:val="20"/>
                <w:lang w:val="en-US"/>
              </w:rPr>
              <w:t>(size, country, period)</w:t>
            </w:r>
          </w:p>
        </w:tc>
        <w:tc>
          <w:tcPr>
            <w:tcW w:w="1842" w:type="dxa"/>
            <w:tcBorders>
              <w:top w:val="single" w:sz="4" w:space="0" w:color="auto"/>
              <w:left w:val="nil"/>
              <w:bottom w:val="single" w:sz="4" w:space="0" w:color="auto"/>
              <w:right w:val="nil"/>
            </w:tcBorders>
            <w:shd w:val="clear" w:color="auto" w:fill="7F7F7F"/>
          </w:tcPr>
          <w:p w:rsidR="00A3225D" w:rsidRPr="00337C97" w:rsidRDefault="00A3225D" w:rsidP="00A3225D">
            <w:pPr>
              <w:rPr>
                <w:rFonts w:asciiTheme="minorHAnsi" w:eastAsia="Calibri" w:hAnsiTheme="minorHAnsi" w:cs="Times New Roman"/>
                <w:b/>
                <w:color w:val="FFFFFF"/>
                <w:sz w:val="20"/>
                <w:szCs w:val="20"/>
                <w:lang w:val="en-US"/>
              </w:rPr>
            </w:pPr>
            <w:r w:rsidRPr="00337C97">
              <w:rPr>
                <w:rFonts w:asciiTheme="minorHAnsi" w:hAnsiTheme="minorHAnsi" w:cs="Times New Roman"/>
                <w:b/>
                <w:color w:val="FFFFFF"/>
                <w:sz w:val="20"/>
                <w:szCs w:val="20"/>
                <w:lang w:val="en-US"/>
              </w:rPr>
              <w:t>Methodology</w:t>
            </w:r>
          </w:p>
        </w:tc>
        <w:tc>
          <w:tcPr>
            <w:tcW w:w="2977" w:type="dxa"/>
            <w:tcBorders>
              <w:top w:val="single" w:sz="4" w:space="0" w:color="auto"/>
              <w:left w:val="nil"/>
              <w:bottom w:val="single" w:sz="4" w:space="0" w:color="auto"/>
              <w:right w:val="single" w:sz="4" w:space="0" w:color="auto"/>
            </w:tcBorders>
            <w:shd w:val="clear" w:color="auto" w:fill="7F7F7F"/>
          </w:tcPr>
          <w:p w:rsidR="00A3225D" w:rsidRPr="00337C97" w:rsidRDefault="00A3225D" w:rsidP="00A3225D">
            <w:pPr>
              <w:rPr>
                <w:rFonts w:asciiTheme="minorHAnsi" w:eastAsia="Calibri" w:hAnsiTheme="minorHAnsi" w:cs="Times New Roman"/>
                <w:b/>
                <w:color w:val="FFFFFF"/>
                <w:sz w:val="20"/>
                <w:szCs w:val="20"/>
                <w:lang w:val="en-US"/>
              </w:rPr>
            </w:pPr>
            <w:r w:rsidRPr="00337C97">
              <w:rPr>
                <w:rFonts w:asciiTheme="minorHAnsi" w:hAnsiTheme="minorHAnsi" w:cs="Times New Roman"/>
                <w:b/>
                <w:color w:val="FFFFFF"/>
                <w:sz w:val="20"/>
                <w:szCs w:val="20"/>
                <w:lang w:val="en-US"/>
              </w:rPr>
              <w:t>Results</w:t>
            </w:r>
          </w:p>
        </w:tc>
      </w:tr>
      <w:tr w:rsidR="000A1195" w:rsidRPr="00337C97" w:rsidTr="007C4013">
        <w:trPr>
          <w:cantSplit/>
          <w:trHeight w:val="220"/>
        </w:trPr>
        <w:tc>
          <w:tcPr>
            <w:tcW w:w="9558" w:type="dxa"/>
            <w:gridSpan w:val="5"/>
            <w:tcBorders>
              <w:top w:val="single" w:sz="4" w:space="0" w:color="auto"/>
              <w:left w:val="single" w:sz="4" w:space="0" w:color="auto"/>
              <w:bottom w:val="single" w:sz="4" w:space="0" w:color="auto"/>
              <w:right w:val="single" w:sz="4" w:space="0" w:color="auto"/>
            </w:tcBorders>
            <w:shd w:val="clear" w:color="auto" w:fill="auto"/>
          </w:tcPr>
          <w:p w:rsidR="000A1195" w:rsidRPr="00337C97" w:rsidRDefault="000A1195" w:rsidP="00B562E7">
            <w:pPr>
              <w:rPr>
                <w:rFonts w:asciiTheme="minorHAnsi" w:hAnsiTheme="minorHAnsi" w:cs="Times New Roman"/>
                <w:b/>
                <w:sz w:val="20"/>
                <w:szCs w:val="20"/>
                <w:lang w:val="en-US"/>
              </w:rPr>
            </w:pPr>
            <w:r w:rsidRPr="00337C97">
              <w:rPr>
                <w:rFonts w:asciiTheme="minorHAnsi" w:hAnsiTheme="minorHAnsi" w:cs="Times New Roman"/>
                <w:b/>
                <w:sz w:val="20"/>
                <w:szCs w:val="20"/>
                <w:lang w:val="en-US"/>
              </w:rPr>
              <w:t>Surveys in the financial sector</w:t>
            </w:r>
          </w:p>
        </w:tc>
      </w:tr>
      <w:tr w:rsidR="005613CC" w:rsidRPr="00337C97" w:rsidTr="007C4013">
        <w:trPr>
          <w:cantSplit/>
          <w:trHeight w:val="411"/>
        </w:trPr>
        <w:tc>
          <w:tcPr>
            <w:tcW w:w="1101" w:type="dxa"/>
            <w:tcBorders>
              <w:top w:val="single" w:sz="4" w:space="0" w:color="auto"/>
              <w:left w:val="single" w:sz="4" w:space="0" w:color="auto"/>
              <w:bottom w:val="single" w:sz="4" w:space="0" w:color="auto"/>
              <w:right w:val="nil"/>
            </w:tcBorders>
            <w:shd w:val="clear" w:color="auto" w:fill="F2F2F2"/>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BCBS (2001)</w:t>
            </w:r>
          </w:p>
        </w:tc>
        <w:tc>
          <w:tcPr>
            <w:tcW w:w="1993" w:type="dxa"/>
            <w:tcBorders>
              <w:top w:val="single" w:sz="4" w:space="0" w:color="auto"/>
              <w:left w:val="nil"/>
              <w:bottom w:val="single" w:sz="4" w:space="0" w:color="auto"/>
              <w:right w:val="nil"/>
            </w:tcBorders>
            <w:shd w:val="clear" w:color="auto" w:fill="F2F2F2"/>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Banks public disclosures</w:t>
            </w:r>
            <w:r w:rsidR="00AF3AC2" w:rsidRPr="00337C97">
              <w:rPr>
                <w:rFonts w:asciiTheme="minorHAnsi" w:hAnsiTheme="minorHAnsi" w:cs="Times New Roman"/>
                <w:sz w:val="20"/>
                <w:szCs w:val="20"/>
                <w:lang w:val="en-US"/>
              </w:rPr>
              <w:t xml:space="preserve"> in the annual report</w:t>
            </w:r>
            <w:r w:rsidR="00AA41F0"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F2F2F2"/>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57 banks;</w:t>
            </w:r>
          </w:p>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member states;</w:t>
            </w:r>
          </w:p>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1999</w:t>
            </w:r>
          </w:p>
        </w:tc>
        <w:tc>
          <w:tcPr>
            <w:tcW w:w="1842" w:type="dxa"/>
            <w:tcBorders>
              <w:top w:val="single" w:sz="4" w:space="0" w:color="auto"/>
              <w:left w:val="nil"/>
              <w:bottom w:val="single" w:sz="4" w:space="0" w:color="auto"/>
              <w:right w:val="nil"/>
            </w:tcBorders>
            <w:shd w:val="clear" w:color="auto" w:fill="F2F2F2"/>
          </w:tcPr>
          <w:p w:rsidR="00E14545"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Survey by means of questionnaire</w:t>
            </w:r>
            <w:r w:rsidR="00B562E7" w:rsidRPr="00337C97">
              <w:rPr>
                <w:rFonts w:asciiTheme="minorHAnsi" w:hAnsiTheme="minorHAnsi" w:cs="Times New Roman"/>
                <w:sz w:val="20"/>
                <w:szCs w:val="20"/>
                <w:lang w:val="en-US"/>
              </w:rPr>
              <w:t xml:space="preserve"> </w:t>
            </w:r>
          </w:p>
          <w:p w:rsidR="000751A1" w:rsidRPr="00337C97" w:rsidRDefault="00B562E7"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(104 questions)</w:t>
            </w:r>
            <w:r w:rsidR="00B2497D" w:rsidRPr="00337C97">
              <w:rPr>
                <w:rFonts w:asciiTheme="minorHAnsi" w:hAnsiTheme="minorHAnsi" w:cs="Times New Roman"/>
                <w:sz w:val="20"/>
                <w:szCs w:val="20"/>
                <w:lang w:val="en-US"/>
              </w:rPr>
              <w:t>.</w:t>
            </w:r>
          </w:p>
        </w:tc>
        <w:tc>
          <w:tcPr>
            <w:tcW w:w="2977" w:type="dxa"/>
            <w:vMerge w:val="restart"/>
            <w:tcBorders>
              <w:top w:val="single" w:sz="4" w:space="0" w:color="auto"/>
              <w:left w:val="nil"/>
              <w:bottom w:val="single" w:sz="4" w:space="0" w:color="auto"/>
              <w:right w:val="single" w:sz="4" w:space="0" w:color="auto"/>
            </w:tcBorders>
            <w:shd w:val="clear" w:color="auto" w:fill="F2F2F2"/>
          </w:tcPr>
          <w:p w:rsidR="000751A1" w:rsidRPr="00337C97" w:rsidRDefault="00B562E7" w:rsidP="00B562E7">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In general, an increase in disclosures is noticed. </w:t>
            </w:r>
            <w:r w:rsidR="000751A1" w:rsidRPr="00337C97">
              <w:rPr>
                <w:rFonts w:asciiTheme="minorHAnsi" w:hAnsiTheme="minorHAnsi" w:cs="Times New Roman"/>
                <w:sz w:val="20"/>
                <w:szCs w:val="20"/>
                <w:lang w:val="en-US"/>
              </w:rPr>
              <w:t>Disclosure on liquidity, operational and legal risks increased significantly. Less prevalent were disclosures on credit risk modeling, credit derivatives and other credit enhancements.</w:t>
            </w:r>
          </w:p>
        </w:tc>
      </w:tr>
      <w:tr w:rsidR="002F322D" w:rsidRPr="00337C97" w:rsidTr="007C4013">
        <w:trPr>
          <w:cantSplit/>
          <w:trHeight w:val="411"/>
        </w:trPr>
        <w:tc>
          <w:tcPr>
            <w:tcW w:w="1101" w:type="dxa"/>
            <w:tcBorders>
              <w:top w:val="single" w:sz="4" w:space="0" w:color="auto"/>
              <w:left w:val="single" w:sz="4" w:space="0" w:color="auto"/>
              <w:bottom w:val="single" w:sz="4" w:space="0" w:color="auto"/>
              <w:right w:val="nil"/>
            </w:tcBorders>
            <w:shd w:val="clear" w:color="auto" w:fill="auto"/>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BCBS (2002)</w:t>
            </w:r>
          </w:p>
        </w:tc>
        <w:tc>
          <w:tcPr>
            <w:tcW w:w="1993" w:type="dxa"/>
            <w:tcBorders>
              <w:top w:val="single" w:sz="4" w:space="0" w:color="auto"/>
              <w:left w:val="nil"/>
              <w:bottom w:val="single" w:sz="4" w:space="0" w:color="auto"/>
              <w:right w:val="nil"/>
            </w:tcBorders>
            <w:shd w:val="clear" w:color="auto" w:fill="auto"/>
          </w:tcPr>
          <w:p w:rsidR="000751A1" w:rsidRPr="00337C97" w:rsidRDefault="000751A1" w:rsidP="000751A1">
            <w:pPr>
              <w:rPr>
                <w:rFonts w:asciiTheme="minorHAnsi" w:hAnsiTheme="minorHAnsi" w:cs="Times New Roman"/>
                <w:sz w:val="20"/>
                <w:szCs w:val="20"/>
                <w:lang w:val="en-US"/>
              </w:rPr>
            </w:pPr>
            <w:r w:rsidRPr="00337C97">
              <w:rPr>
                <w:rFonts w:asciiTheme="minorHAnsi" w:hAnsiTheme="minorHAnsi" w:cs="Times New Roman"/>
                <w:sz w:val="20"/>
                <w:szCs w:val="20"/>
                <w:lang w:val="en-US"/>
              </w:rPr>
              <w:t>Banks public disclosures</w:t>
            </w:r>
            <w:r w:rsidR="00AF3AC2" w:rsidRPr="00337C97">
              <w:rPr>
                <w:rFonts w:asciiTheme="minorHAnsi" w:hAnsiTheme="minorHAnsi" w:cs="Times New Roman"/>
                <w:sz w:val="20"/>
                <w:szCs w:val="20"/>
                <w:lang w:val="en-US"/>
              </w:rPr>
              <w:t xml:space="preserve"> in the annual report</w:t>
            </w:r>
            <w:r w:rsidR="00AA41F0"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auto"/>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55 banks;</w:t>
            </w:r>
          </w:p>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member states;</w:t>
            </w:r>
          </w:p>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2000</w:t>
            </w:r>
          </w:p>
        </w:tc>
        <w:tc>
          <w:tcPr>
            <w:tcW w:w="1842" w:type="dxa"/>
            <w:tcBorders>
              <w:top w:val="single" w:sz="4" w:space="0" w:color="auto"/>
              <w:left w:val="nil"/>
              <w:bottom w:val="single" w:sz="4" w:space="0" w:color="auto"/>
              <w:right w:val="nil"/>
            </w:tcBorders>
            <w:shd w:val="clear" w:color="auto" w:fill="auto"/>
          </w:tcPr>
          <w:p w:rsidR="00E14545"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Survey by means of questionnaire</w:t>
            </w:r>
            <w:r w:rsidR="00B562E7" w:rsidRPr="00337C97">
              <w:rPr>
                <w:rFonts w:asciiTheme="minorHAnsi" w:hAnsiTheme="minorHAnsi" w:cs="Times New Roman"/>
                <w:sz w:val="20"/>
                <w:szCs w:val="20"/>
                <w:lang w:val="en-US"/>
              </w:rPr>
              <w:t xml:space="preserve"> </w:t>
            </w:r>
          </w:p>
          <w:p w:rsidR="000751A1" w:rsidRPr="00337C97" w:rsidRDefault="00B562E7"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(104 questions)</w:t>
            </w:r>
            <w:r w:rsidR="00B2497D" w:rsidRPr="00337C97">
              <w:rPr>
                <w:rFonts w:asciiTheme="minorHAnsi" w:hAnsiTheme="minorHAnsi" w:cs="Times New Roman"/>
                <w:sz w:val="20"/>
                <w:szCs w:val="20"/>
                <w:lang w:val="en-US"/>
              </w:rPr>
              <w:t>.</w:t>
            </w:r>
          </w:p>
        </w:tc>
        <w:tc>
          <w:tcPr>
            <w:tcW w:w="2977" w:type="dxa"/>
            <w:vMerge/>
            <w:tcBorders>
              <w:top w:val="single" w:sz="4" w:space="0" w:color="auto"/>
              <w:left w:val="nil"/>
              <w:bottom w:val="single" w:sz="4" w:space="0" w:color="auto"/>
              <w:right w:val="single" w:sz="4" w:space="0" w:color="auto"/>
            </w:tcBorders>
            <w:shd w:val="clear" w:color="auto" w:fill="auto"/>
          </w:tcPr>
          <w:p w:rsidR="000751A1" w:rsidRPr="00337C97" w:rsidRDefault="000751A1" w:rsidP="00A3225D">
            <w:pPr>
              <w:rPr>
                <w:rFonts w:asciiTheme="minorHAnsi" w:hAnsiTheme="minorHAnsi" w:cs="Times New Roman"/>
                <w:sz w:val="20"/>
                <w:szCs w:val="20"/>
                <w:lang w:val="en-US"/>
              </w:rPr>
            </w:pPr>
          </w:p>
        </w:tc>
      </w:tr>
      <w:tr w:rsidR="005613CC" w:rsidRPr="00337C97" w:rsidTr="007C4013">
        <w:trPr>
          <w:cantSplit/>
          <w:trHeight w:val="411"/>
        </w:trPr>
        <w:tc>
          <w:tcPr>
            <w:tcW w:w="1101" w:type="dxa"/>
            <w:tcBorders>
              <w:top w:val="single" w:sz="4" w:space="0" w:color="auto"/>
              <w:left w:val="single" w:sz="4" w:space="0" w:color="auto"/>
              <w:bottom w:val="single" w:sz="4" w:space="0" w:color="auto"/>
              <w:right w:val="nil"/>
            </w:tcBorders>
            <w:shd w:val="clear" w:color="auto" w:fill="F2F2F2"/>
          </w:tcPr>
          <w:p w:rsidR="000751A1" w:rsidRPr="00337C97" w:rsidRDefault="000751A1" w:rsidP="000751A1">
            <w:pPr>
              <w:rPr>
                <w:rFonts w:asciiTheme="minorHAnsi" w:hAnsiTheme="minorHAnsi" w:cs="Times New Roman"/>
                <w:sz w:val="20"/>
                <w:szCs w:val="20"/>
                <w:lang w:val="en-US"/>
              </w:rPr>
            </w:pPr>
            <w:r w:rsidRPr="00337C97">
              <w:rPr>
                <w:rFonts w:asciiTheme="minorHAnsi" w:hAnsiTheme="minorHAnsi" w:cs="Times New Roman"/>
                <w:sz w:val="20"/>
                <w:szCs w:val="20"/>
                <w:lang w:val="en-US"/>
              </w:rPr>
              <w:t>BCBS (2003)</w:t>
            </w:r>
          </w:p>
        </w:tc>
        <w:tc>
          <w:tcPr>
            <w:tcW w:w="1993" w:type="dxa"/>
            <w:tcBorders>
              <w:top w:val="single" w:sz="4" w:space="0" w:color="auto"/>
              <w:left w:val="nil"/>
              <w:bottom w:val="single" w:sz="4" w:space="0" w:color="auto"/>
              <w:right w:val="nil"/>
            </w:tcBorders>
            <w:shd w:val="clear" w:color="auto" w:fill="F2F2F2"/>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Banks public disclosures</w:t>
            </w:r>
            <w:r w:rsidR="00AF3AC2" w:rsidRPr="00337C97">
              <w:rPr>
                <w:rFonts w:asciiTheme="minorHAnsi" w:hAnsiTheme="minorHAnsi" w:cs="Times New Roman"/>
                <w:sz w:val="20"/>
                <w:szCs w:val="20"/>
                <w:lang w:val="en-US"/>
              </w:rPr>
              <w:t xml:space="preserve"> in the annual report</w:t>
            </w:r>
            <w:r w:rsidR="00AA41F0"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F2F2F2"/>
          </w:tcPr>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54 banks; </w:t>
            </w:r>
          </w:p>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member states;</w:t>
            </w:r>
          </w:p>
          <w:p w:rsidR="000751A1"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2001</w:t>
            </w:r>
          </w:p>
        </w:tc>
        <w:tc>
          <w:tcPr>
            <w:tcW w:w="1842" w:type="dxa"/>
            <w:tcBorders>
              <w:top w:val="single" w:sz="4" w:space="0" w:color="auto"/>
              <w:left w:val="nil"/>
              <w:bottom w:val="single" w:sz="4" w:space="0" w:color="auto"/>
              <w:right w:val="nil"/>
            </w:tcBorders>
            <w:shd w:val="clear" w:color="auto" w:fill="F2F2F2"/>
          </w:tcPr>
          <w:p w:rsidR="00E14545" w:rsidRPr="00337C97" w:rsidRDefault="000751A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Survey by means of questionnaire</w:t>
            </w:r>
            <w:r w:rsidR="00B562E7" w:rsidRPr="00337C97">
              <w:rPr>
                <w:rFonts w:asciiTheme="minorHAnsi" w:hAnsiTheme="minorHAnsi" w:cs="Times New Roman"/>
                <w:sz w:val="20"/>
                <w:szCs w:val="20"/>
                <w:lang w:val="en-US"/>
              </w:rPr>
              <w:t xml:space="preserve"> </w:t>
            </w:r>
          </w:p>
          <w:p w:rsidR="000751A1" w:rsidRPr="00337C97" w:rsidRDefault="00B562E7"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(104 questions)</w:t>
            </w:r>
            <w:r w:rsidR="00B2497D" w:rsidRPr="00337C97">
              <w:rPr>
                <w:rFonts w:asciiTheme="minorHAnsi" w:hAnsiTheme="minorHAnsi" w:cs="Times New Roman"/>
                <w:sz w:val="20"/>
                <w:szCs w:val="20"/>
                <w:lang w:val="en-US"/>
              </w:rPr>
              <w:t>.</w:t>
            </w:r>
          </w:p>
        </w:tc>
        <w:tc>
          <w:tcPr>
            <w:tcW w:w="2977" w:type="dxa"/>
            <w:vMerge/>
            <w:tcBorders>
              <w:top w:val="single" w:sz="4" w:space="0" w:color="auto"/>
              <w:left w:val="nil"/>
              <w:bottom w:val="single" w:sz="4" w:space="0" w:color="auto"/>
              <w:right w:val="single" w:sz="4" w:space="0" w:color="auto"/>
            </w:tcBorders>
            <w:shd w:val="clear" w:color="auto" w:fill="F2F2F2"/>
          </w:tcPr>
          <w:p w:rsidR="000751A1" w:rsidRPr="00337C97" w:rsidRDefault="000751A1" w:rsidP="00A3225D">
            <w:pPr>
              <w:rPr>
                <w:rFonts w:asciiTheme="minorHAnsi" w:hAnsiTheme="minorHAnsi" w:cs="Times New Roman"/>
                <w:sz w:val="20"/>
                <w:szCs w:val="20"/>
                <w:lang w:val="en-US"/>
              </w:rPr>
            </w:pPr>
          </w:p>
        </w:tc>
      </w:tr>
      <w:tr w:rsidR="002F322D" w:rsidRPr="00337C97" w:rsidTr="007C4013">
        <w:trPr>
          <w:cantSplit/>
          <w:trHeight w:val="411"/>
        </w:trPr>
        <w:tc>
          <w:tcPr>
            <w:tcW w:w="1101" w:type="dxa"/>
            <w:tcBorders>
              <w:top w:val="single" w:sz="4" w:space="0" w:color="auto"/>
              <w:left w:val="single" w:sz="4" w:space="0" w:color="auto"/>
              <w:bottom w:val="single" w:sz="4" w:space="0" w:color="auto"/>
              <w:right w:val="nil"/>
            </w:tcBorders>
            <w:shd w:val="clear" w:color="auto" w:fill="auto"/>
          </w:tcPr>
          <w:p w:rsidR="00020B5C" w:rsidRPr="00337C97" w:rsidRDefault="00020B5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KPMG (2008)</w:t>
            </w:r>
          </w:p>
        </w:tc>
        <w:tc>
          <w:tcPr>
            <w:tcW w:w="1993" w:type="dxa"/>
            <w:tcBorders>
              <w:top w:val="single" w:sz="4" w:space="0" w:color="auto"/>
              <w:left w:val="nil"/>
              <w:bottom w:val="single" w:sz="4" w:space="0" w:color="auto"/>
              <w:right w:val="nil"/>
            </w:tcBorders>
            <w:shd w:val="clear" w:color="auto" w:fill="auto"/>
          </w:tcPr>
          <w:p w:rsidR="00020B5C" w:rsidRPr="00337C97" w:rsidRDefault="00C43116" w:rsidP="00C43116">
            <w:pPr>
              <w:rPr>
                <w:rFonts w:asciiTheme="minorHAnsi" w:hAnsiTheme="minorHAnsi" w:cs="Times New Roman"/>
                <w:sz w:val="20"/>
                <w:szCs w:val="20"/>
                <w:lang w:val="en-US"/>
              </w:rPr>
            </w:pPr>
            <w:r w:rsidRPr="00337C97">
              <w:rPr>
                <w:rFonts w:asciiTheme="minorHAnsi" w:hAnsiTheme="minorHAnsi" w:cs="Times New Roman"/>
                <w:sz w:val="20"/>
                <w:szCs w:val="20"/>
                <w:lang w:val="en-US"/>
              </w:rPr>
              <w:t>Analyz</w:t>
            </w:r>
            <w:r w:rsidR="00B562E7" w:rsidRPr="00337C97">
              <w:rPr>
                <w:rFonts w:asciiTheme="minorHAnsi" w:hAnsiTheme="minorHAnsi" w:cs="Times New Roman"/>
                <w:sz w:val="20"/>
                <w:szCs w:val="20"/>
                <w:lang w:val="en-US"/>
              </w:rPr>
              <w:t xml:space="preserve">e </w:t>
            </w:r>
            <w:r w:rsidRPr="00337C97">
              <w:rPr>
                <w:rFonts w:asciiTheme="minorHAnsi" w:hAnsiTheme="minorHAnsi" w:cs="Times New Roman"/>
                <w:sz w:val="20"/>
                <w:szCs w:val="20"/>
                <w:lang w:val="en-US"/>
              </w:rPr>
              <w:t xml:space="preserve">and define </w:t>
            </w:r>
            <w:r w:rsidR="00B562E7" w:rsidRPr="00337C97">
              <w:rPr>
                <w:rFonts w:asciiTheme="minorHAnsi" w:hAnsiTheme="minorHAnsi" w:cs="Times New Roman"/>
                <w:sz w:val="20"/>
                <w:szCs w:val="20"/>
                <w:lang w:val="en-US"/>
              </w:rPr>
              <w:t>components and quality of best practice risk disclosure</w:t>
            </w:r>
            <w:r w:rsidR="00AA41F0"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auto"/>
          </w:tcPr>
          <w:p w:rsidR="00020B5C" w:rsidRPr="00337C97" w:rsidRDefault="00B562E7" w:rsidP="00B562E7">
            <w:pPr>
              <w:rPr>
                <w:rFonts w:asciiTheme="minorHAnsi" w:hAnsiTheme="minorHAnsi" w:cs="Times New Roman"/>
                <w:sz w:val="20"/>
                <w:szCs w:val="20"/>
                <w:lang w:val="en-US"/>
              </w:rPr>
            </w:pPr>
            <w:r w:rsidRPr="00337C97">
              <w:rPr>
                <w:rFonts w:asciiTheme="minorHAnsi" w:hAnsiTheme="minorHAnsi" w:cs="Times New Roman"/>
                <w:sz w:val="20"/>
                <w:szCs w:val="20"/>
                <w:lang w:val="en-US"/>
              </w:rPr>
              <w:t>25 banks and</w:t>
            </w:r>
          </w:p>
          <w:p w:rsidR="00B562E7" w:rsidRPr="00337C97" w:rsidRDefault="00B562E7" w:rsidP="00B562E7">
            <w:pPr>
              <w:rPr>
                <w:rFonts w:asciiTheme="minorHAnsi" w:hAnsiTheme="minorHAnsi" w:cs="Times New Roman"/>
                <w:sz w:val="20"/>
                <w:szCs w:val="20"/>
                <w:lang w:val="en-US"/>
              </w:rPr>
            </w:pPr>
            <w:r w:rsidRPr="00337C97">
              <w:rPr>
                <w:rFonts w:asciiTheme="minorHAnsi" w:hAnsiTheme="minorHAnsi" w:cs="Times New Roman"/>
                <w:sz w:val="20"/>
                <w:szCs w:val="20"/>
                <w:lang w:val="en-US"/>
              </w:rPr>
              <w:t>14 insurance companies;</w:t>
            </w:r>
          </w:p>
          <w:p w:rsidR="00B562E7" w:rsidRPr="00337C97" w:rsidRDefault="00B562E7" w:rsidP="00B562E7">
            <w:pPr>
              <w:rPr>
                <w:rFonts w:asciiTheme="minorHAnsi" w:hAnsiTheme="minorHAnsi" w:cs="Times New Roman"/>
                <w:sz w:val="20"/>
                <w:szCs w:val="20"/>
                <w:lang w:val="en-US"/>
              </w:rPr>
            </w:pPr>
            <w:r w:rsidRPr="00337C97">
              <w:rPr>
                <w:rFonts w:asciiTheme="minorHAnsi" w:hAnsiTheme="minorHAnsi" w:cs="Times New Roman"/>
                <w:sz w:val="20"/>
                <w:szCs w:val="20"/>
                <w:lang w:val="en-US"/>
              </w:rPr>
              <w:t>Europe;</w:t>
            </w:r>
          </w:p>
          <w:p w:rsidR="00B562E7" w:rsidRPr="00337C97" w:rsidRDefault="00B562E7" w:rsidP="00B562E7">
            <w:pPr>
              <w:rPr>
                <w:rFonts w:asciiTheme="minorHAnsi" w:hAnsiTheme="minorHAnsi" w:cs="Times New Roman"/>
                <w:sz w:val="20"/>
                <w:szCs w:val="20"/>
                <w:lang w:val="en-US"/>
              </w:rPr>
            </w:pPr>
            <w:r w:rsidRPr="00337C97">
              <w:rPr>
                <w:rFonts w:asciiTheme="minorHAnsi" w:hAnsiTheme="minorHAnsi" w:cs="Times New Roman"/>
                <w:sz w:val="20"/>
                <w:szCs w:val="20"/>
                <w:lang w:val="en-US"/>
              </w:rPr>
              <w:t>2007</w:t>
            </w:r>
          </w:p>
        </w:tc>
        <w:tc>
          <w:tcPr>
            <w:tcW w:w="1842" w:type="dxa"/>
            <w:tcBorders>
              <w:top w:val="single" w:sz="4" w:space="0" w:color="auto"/>
              <w:left w:val="nil"/>
              <w:bottom w:val="single" w:sz="4" w:space="0" w:color="auto"/>
              <w:right w:val="nil"/>
            </w:tcBorders>
            <w:shd w:val="clear" w:color="auto" w:fill="auto"/>
          </w:tcPr>
          <w:p w:rsidR="00020B5C" w:rsidRPr="00337C97" w:rsidRDefault="000751A1" w:rsidP="00B562E7">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Survey </w:t>
            </w:r>
            <w:r w:rsidR="00B562E7" w:rsidRPr="00337C97">
              <w:rPr>
                <w:rFonts w:asciiTheme="minorHAnsi" w:hAnsiTheme="minorHAnsi" w:cs="Times New Roman"/>
                <w:sz w:val="20"/>
                <w:szCs w:val="20"/>
                <w:lang w:val="en-US"/>
              </w:rPr>
              <w:t>framework: The Best Practice Risk Disclosure framework, developed by KPMG</w:t>
            </w:r>
            <w:r w:rsidR="00AF3AC2" w:rsidRPr="00337C97">
              <w:rPr>
                <w:rFonts w:asciiTheme="minorHAnsi" w:hAnsiTheme="minorHAnsi" w:cs="Times New Roman"/>
                <w:sz w:val="20"/>
                <w:szCs w:val="20"/>
                <w:lang w:val="en-US"/>
              </w:rPr>
              <w:t>.</w:t>
            </w:r>
          </w:p>
        </w:tc>
        <w:tc>
          <w:tcPr>
            <w:tcW w:w="2977" w:type="dxa"/>
            <w:tcBorders>
              <w:top w:val="single" w:sz="4" w:space="0" w:color="auto"/>
              <w:left w:val="nil"/>
              <w:bottom w:val="single" w:sz="4" w:space="0" w:color="auto"/>
              <w:right w:val="single" w:sz="4" w:space="0" w:color="auto"/>
            </w:tcBorders>
            <w:shd w:val="clear" w:color="auto" w:fill="auto"/>
          </w:tcPr>
          <w:p w:rsidR="00020B5C" w:rsidRPr="00337C97" w:rsidRDefault="00C43116" w:rsidP="00C43116">
            <w:pPr>
              <w:rPr>
                <w:rFonts w:asciiTheme="minorHAnsi" w:hAnsiTheme="minorHAnsi" w:cs="Times New Roman"/>
                <w:sz w:val="20"/>
                <w:szCs w:val="20"/>
                <w:lang w:val="en-US"/>
              </w:rPr>
            </w:pPr>
            <w:r w:rsidRPr="00337C97">
              <w:rPr>
                <w:rFonts w:asciiTheme="minorHAnsi" w:hAnsiTheme="minorHAnsi" w:cs="Times New Roman"/>
                <w:sz w:val="20"/>
                <w:szCs w:val="20"/>
                <w:lang w:val="en-US"/>
              </w:rPr>
              <w:t>Disclosure of all risk areas are on an average level, except business risk. Credit risk is the most developed disclosure area. Risk disclosure can be improved significantly with limited effort.</w:t>
            </w:r>
          </w:p>
        </w:tc>
      </w:tr>
      <w:tr w:rsidR="000A1195" w:rsidRPr="00337C97" w:rsidTr="007C4013">
        <w:trPr>
          <w:cantSplit/>
          <w:trHeight w:val="187"/>
        </w:trPr>
        <w:tc>
          <w:tcPr>
            <w:tcW w:w="9558" w:type="dxa"/>
            <w:gridSpan w:val="5"/>
            <w:tcBorders>
              <w:top w:val="single" w:sz="4" w:space="0" w:color="auto"/>
              <w:left w:val="single" w:sz="4" w:space="0" w:color="auto"/>
              <w:bottom w:val="single" w:sz="4" w:space="0" w:color="auto"/>
              <w:right w:val="single" w:sz="4" w:space="0" w:color="auto"/>
            </w:tcBorders>
            <w:shd w:val="clear" w:color="auto" w:fill="F2F2F2"/>
          </w:tcPr>
          <w:p w:rsidR="000A1195" w:rsidRPr="00337C97" w:rsidRDefault="004B7ED6" w:rsidP="00184176">
            <w:pPr>
              <w:rPr>
                <w:rFonts w:asciiTheme="minorHAnsi" w:hAnsiTheme="minorHAnsi" w:cs="Times New Roman"/>
                <w:b/>
                <w:sz w:val="20"/>
                <w:szCs w:val="20"/>
                <w:lang w:val="en-US"/>
              </w:rPr>
            </w:pPr>
            <w:r w:rsidRPr="00337C97">
              <w:rPr>
                <w:rFonts w:asciiTheme="minorHAnsi" w:hAnsiTheme="minorHAnsi" w:cs="Times New Roman"/>
                <w:b/>
                <w:sz w:val="20"/>
                <w:szCs w:val="20"/>
                <w:lang w:val="en-US"/>
              </w:rPr>
              <w:t>Studies on financial firms</w:t>
            </w:r>
          </w:p>
        </w:tc>
      </w:tr>
      <w:tr w:rsidR="002F322D" w:rsidRPr="00337C97" w:rsidTr="007C4013">
        <w:trPr>
          <w:cantSplit/>
          <w:trHeight w:val="411"/>
        </w:trPr>
        <w:tc>
          <w:tcPr>
            <w:tcW w:w="1101" w:type="dxa"/>
            <w:tcBorders>
              <w:top w:val="single" w:sz="4" w:space="0" w:color="auto"/>
              <w:left w:val="single" w:sz="4" w:space="0" w:color="auto"/>
              <w:bottom w:val="single" w:sz="4" w:space="0" w:color="auto"/>
              <w:right w:val="nil"/>
            </w:tcBorders>
            <w:shd w:val="clear" w:color="auto" w:fill="FFFFFF"/>
          </w:tcPr>
          <w:p w:rsidR="002728E9" w:rsidRPr="00337C97" w:rsidRDefault="002728E9"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Linsley,</w:t>
            </w:r>
            <w:r w:rsidR="004E4827" w:rsidRPr="00337C97">
              <w:rPr>
                <w:rFonts w:asciiTheme="minorHAnsi" w:hAnsiTheme="minorHAnsi" w:cs="Times New Roman"/>
                <w:sz w:val="20"/>
                <w:szCs w:val="20"/>
                <w:lang w:val="en-US"/>
              </w:rPr>
              <w:t xml:space="preserve"> </w:t>
            </w:r>
            <w:r w:rsidRPr="00337C97">
              <w:rPr>
                <w:rFonts w:asciiTheme="minorHAnsi" w:hAnsiTheme="minorHAnsi" w:cs="Times New Roman"/>
                <w:sz w:val="20"/>
                <w:szCs w:val="20"/>
                <w:lang w:val="en-US"/>
              </w:rPr>
              <w:t>Shrives</w:t>
            </w:r>
            <w:r w:rsidR="002F322D" w:rsidRPr="00337C97">
              <w:rPr>
                <w:rFonts w:asciiTheme="minorHAnsi" w:hAnsiTheme="minorHAnsi" w:cs="Times New Roman"/>
                <w:sz w:val="20"/>
                <w:szCs w:val="20"/>
                <w:lang w:val="en-US"/>
              </w:rPr>
              <w:t>,</w:t>
            </w:r>
          </w:p>
          <w:p w:rsidR="002728E9" w:rsidRPr="00337C97" w:rsidRDefault="002728E9"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Crumpton</w:t>
            </w:r>
          </w:p>
          <w:p w:rsidR="002728E9" w:rsidRPr="00337C97" w:rsidRDefault="002728E9"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(2006)</w:t>
            </w:r>
          </w:p>
        </w:tc>
        <w:tc>
          <w:tcPr>
            <w:tcW w:w="1993" w:type="dxa"/>
            <w:tcBorders>
              <w:top w:val="single" w:sz="4" w:space="0" w:color="auto"/>
              <w:left w:val="nil"/>
              <w:bottom w:val="single" w:sz="4" w:space="0" w:color="auto"/>
              <w:right w:val="nil"/>
            </w:tcBorders>
            <w:shd w:val="clear" w:color="auto" w:fill="FFFFFF"/>
          </w:tcPr>
          <w:p w:rsidR="00A3225D" w:rsidRPr="00337C97" w:rsidRDefault="00C43116" w:rsidP="00C43116">
            <w:pPr>
              <w:rPr>
                <w:rFonts w:asciiTheme="minorHAnsi" w:hAnsiTheme="minorHAnsi" w:cs="Times New Roman"/>
                <w:sz w:val="20"/>
                <w:szCs w:val="20"/>
                <w:lang w:val="en-US"/>
              </w:rPr>
            </w:pPr>
            <w:r w:rsidRPr="00337C97">
              <w:rPr>
                <w:rFonts w:asciiTheme="minorHAnsi" w:hAnsiTheme="minorHAnsi" w:cs="Times New Roman"/>
                <w:sz w:val="20"/>
                <w:szCs w:val="20"/>
                <w:lang w:val="en-US"/>
              </w:rPr>
              <w:t>Analyze, classify and discuss risk disclosure</w:t>
            </w:r>
            <w:r w:rsidR="00E14545" w:rsidRPr="00337C97">
              <w:rPr>
                <w:rFonts w:asciiTheme="minorHAnsi" w:hAnsiTheme="minorHAnsi" w:cs="Times New Roman"/>
                <w:sz w:val="20"/>
                <w:szCs w:val="20"/>
                <w:lang w:val="en-US"/>
              </w:rPr>
              <w:t>s</w:t>
            </w:r>
            <w:r w:rsidRPr="00337C97">
              <w:rPr>
                <w:rFonts w:asciiTheme="minorHAnsi" w:hAnsiTheme="minorHAnsi" w:cs="Times New Roman"/>
                <w:sz w:val="20"/>
                <w:szCs w:val="20"/>
                <w:lang w:val="en-US"/>
              </w:rPr>
              <w:t xml:space="preserve"> in annual bank reports</w:t>
            </w:r>
            <w:r w:rsidR="00AA41F0"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FFFFFF"/>
          </w:tcPr>
          <w:p w:rsidR="00A3225D" w:rsidRPr="00337C97" w:rsidRDefault="00C43116"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18 </w:t>
            </w:r>
            <w:r w:rsidR="00AA41F0" w:rsidRPr="00337C97">
              <w:rPr>
                <w:rFonts w:asciiTheme="minorHAnsi" w:hAnsiTheme="minorHAnsi" w:cs="Times New Roman"/>
                <w:sz w:val="20"/>
                <w:szCs w:val="20"/>
                <w:lang w:val="en-US"/>
              </w:rPr>
              <w:t xml:space="preserve">public listed </w:t>
            </w:r>
            <w:r w:rsidRPr="00337C97">
              <w:rPr>
                <w:rFonts w:asciiTheme="minorHAnsi" w:hAnsiTheme="minorHAnsi" w:cs="Times New Roman"/>
                <w:sz w:val="20"/>
                <w:szCs w:val="20"/>
                <w:lang w:val="en-US"/>
              </w:rPr>
              <w:t>banks;</w:t>
            </w:r>
          </w:p>
          <w:p w:rsidR="00C43116" w:rsidRPr="00337C97" w:rsidRDefault="00C43116"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UK and Canada;</w:t>
            </w:r>
          </w:p>
          <w:p w:rsidR="00C43116" w:rsidRPr="00337C97" w:rsidRDefault="00AF3AC2"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2001</w:t>
            </w:r>
          </w:p>
        </w:tc>
        <w:tc>
          <w:tcPr>
            <w:tcW w:w="1842" w:type="dxa"/>
            <w:tcBorders>
              <w:top w:val="single" w:sz="4" w:space="0" w:color="auto"/>
              <w:left w:val="nil"/>
              <w:bottom w:val="single" w:sz="4" w:space="0" w:color="auto"/>
              <w:right w:val="nil"/>
            </w:tcBorders>
            <w:shd w:val="clear" w:color="auto" w:fill="FFFFFF"/>
          </w:tcPr>
          <w:p w:rsidR="00A3225D" w:rsidRPr="00337C97" w:rsidRDefault="00AF3AC2" w:rsidP="00AF3AC2">
            <w:pPr>
              <w:rPr>
                <w:rFonts w:asciiTheme="minorHAnsi" w:hAnsiTheme="minorHAnsi" w:cs="Times New Roman"/>
                <w:sz w:val="20"/>
                <w:szCs w:val="20"/>
                <w:lang w:val="en-US"/>
              </w:rPr>
            </w:pPr>
            <w:r w:rsidRPr="00337C97">
              <w:rPr>
                <w:rFonts w:asciiTheme="minorHAnsi" w:hAnsiTheme="minorHAnsi" w:cs="Times New Roman"/>
                <w:sz w:val="20"/>
                <w:szCs w:val="20"/>
                <w:lang w:val="en-US"/>
              </w:rPr>
              <w:t>Matched pair analysis to match UK and Canadian banks. Content analysis to identify risk disclosure</w:t>
            </w:r>
            <w:r w:rsidR="00E14545" w:rsidRPr="00337C97">
              <w:rPr>
                <w:rFonts w:asciiTheme="minorHAnsi" w:hAnsiTheme="minorHAnsi" w:cs="Times New Roman"/>
                <w:sz w:val="20"/>
                <w:szCs w:val="20"/>
                <w:lang w:val="en-US"/>
              </w:rPr>
              <w:t>s</w:t>
            </w:r>
            <w:r w:rsidRPr="00337C97">
              <w:rPr>
                <w:rFonts w:asciiTheme="minorHAnsi" w:hAnsiTheme="minorHAnsi" w:cs="Times New Roman"/>
                <w:sz w:val="20"/>
                <w:szCs w:val="20"/>
                <w:lang w:val="en-US"/>
              </w:rPr>
              <w:t>.</w:t>
            </w:r>
          </w:p>
        </w:tc>
        <w:tc>
          <w:tcPr>
            <w:tcW w:w="2977" w:type="dxa"/>
            <w:tcBorders>
              <w:top w:val="single" w:sz="4" w:space="0" w:color="auto"/>
              <w:left w:val="nil"/>
              <w:bottom w:val="single" w:sz="4" w:space="0" w:color="auto"/>
              <w:right w:val="single" w:sz="4" w:space="0" w:color="auto"/>
            </w:tcBorders>
            <w:shd w:val="clear" w:color="auto" w:fill="FFFFFF"/>
          </w:tcPr>
          <w:p w:rsidR="00A3225D" w:rsidRPr="00337C97" w:rsidRDefault="00AA41F0" w:rsidP="00184176">
            <w:pPr>
              <w:rPr>
                <w:rFonts w:asciiTheme="minorHAnsi" w:hAnsiTheme="minorHAnsi" w:cs="Times New Roman"/>
                <w:sz w:val="20"/>
                <w:szCs w:val="20"/>
                <w:lang w:val="en-US"/>
              </w:rPr>
            </w:pPr>
            <w:r w:rsidRPr="00337C97">
              <w:rPr>
                <w:rFonts w:asciiTheme="minorHAnsi" w:hAnsiTheme="minorHAnsi" w:cs="Times New Roman"/>
                <w:sz w:val="20"/>
                <w:szCs w:val="20"/>
                <w:lang w:val="en-US"/>
              </w:rPr>
              <w:t>Credit risk is the most disclosed risk, followed by market risk and capital risk. The usefulness of current disclosures is questioned as quantitative and future risk information is disclosed much less often than qualitative and past information.</w:t>
            </w:r>
          </w:p>
        </w:tc>
      </w:tr>
      <w:tr w:rsidR="004B7ED6" w:rsidRPr="00337C97" w:rsidTr="007C4013">
        <w:trPr>
          <w:cantSplit/>
          <w:trHeight w:val="402"/>
        </w:trPr>
        <w:tc>
          <w:tcPr>
            <w:tcW w:w="1101" w:type="dxa"/>
            <w:tcBorders>
              <w:top w:val="single" w:sz="4" w:space="0" w:color="auto"/>
              <w:left w:val="single" w:sz="4" w:space="0" w:color="auto"/>
              <w:bottom w:val="single" w:sz="4" w:space="0" w:color="auto"/>
              <w:right w:val="nil"/>
            </w:tcBorders>
            <w:shd w:val="clear" w:color="auto" w:fill="F2F2F2"/>
          </w:tcPr>
          <w:p w:rsidR="004B7ED6" w:rsidRPr="00337C97" w:rsidRDefault="005B4E7A"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Helbok, Wagner (2003)</w:t>
            </w:r>
          </w:p>
        </w:tc>
        <w:tc>
          <w:tcPr>
            <w:tcW w:w="1993" w:type="dxa"/>
            <w:tcBorders>
              <w:top w:val="single" w:sz="4" w:space="0" w:color="auto"/>
              <w:left w:val="nil"/>
              <w:bottom w:val="single" w:sz="4" w:space="0" w:color="auto"/>
              <w:right w:val="nil"/>
            </w:tcBorders>
            <w:shd w:val="clear" w:color="auto" w:fill="F2F2F2"/>
          </w:tcPr>
          <w:p w:rsidR="004B7ED6" w:rsidRPr="00337C97" w:rsidRDefault="003124A3" w:rsidP="003124A3">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Examine the </w:t>
            </w:r>
            <w:r w:rsidR="0081515F" w:rsidRPr="00337C97">
              <w:rPr>
                <w:rFonts w:asciiTheme="minorHAnsi" w:hAnsiTheme="minorHAnsi" w:cs="Times New Roman"/>
                <w:sz w:val="20"/>
                <w:szCs w:val="20"/>
                <w:lang w:val="en-US"/>
              </w:rPr>
              <w:t xml:space="preserve">extent and quality of </w:t>
            </w:r>
            <w:r w:rsidRPr="00337C97">
              <w:rPr>
                <w:rFonts w:asciiTheme="minorHAnsi" w:hAnsiTheme="minorHAnsi" w:cs="Times New Roman"/>
                <w:sz w:val="20"/>
                <w:szCs w:val="20"/>
                <w:lang w:val="en-US"/>
              </w:rPr>
              <w:t>operational risk disclosure in annual bank reports.</w:t>
            </w:r>
          </w:p>
        </w:tc>
        <w:tc>
          <w:tcPr>
            <w:tcW w:w="1645" w:type="dxa"/>
            <w:tcBorders>
              <w:top w:val="single" w:sz="4" w:space="0" w:color="auto"/>
              <w:left w:val="nil"/>
              <w:bottom w:val="single" w:sz="4" w:space="0" w:color="auto"/>
              <w:right w:val="nil"/>
            </w:tcBorders>
            <w:shd w:val="clear" w:color="auto" w:fill="F2F2F2"/>
          </w:tcPr>
          <w:p w:rsidR="004B7ED6" w:rsidRPr="00337C97" w:rsidRDefault="003124A3"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59 banks; Europe, Asia and North-America; 1998-2001</w:t>
            </w:r>
          </w:p>
        </w:tc>
        <w:tc>
          <w:tcPr>
            <w:tcW w:w="1842" w:type="dxa"/>
            <w:tcBorders>
              <w:top w:val="single" w:sz="4" w:space="0" w:color="auto"/>
              <w:left w:val="nil"/>
              <w:bottom w:val="single" w:sz="4" w:space="0" w:color="auto"/>
              <w:right w:val="nil"/>
            </w:tcBorders>
            <w:shd w:val="clear" w:color="auto" w:fill="F2F2F2"/>
          </w:tcPr>
          <w:p w:rsidR="004B7ED6" w:rsidRPr="00337C97" w:rsidRDefault="009F5945" w:rsidP="009F5945">
            <w:pPr>
              <w:autoSpaceDE w:val="0"/>
              <w:autoSpaceDN w:val="0"/>
              <w:adjustRightInd w:val="0"/>
              <w:rPr>
                <w:rFonts w:asciiTheme="minorHAnsi" w:hAnsiTheme="minorHAnsi" w:cs="Times New Roman"/>
                <w:sz w:val="20"/>
                <w:szCs w:val="20"/>
                <w:lang w:val="en-US"/>
              </w:rPr>
            </w:pPr>
            <w:r w:rsidRPr="00337C97">
              <w:rPr>
                <w:rFonts w:asciiTheme="minorHAnsi" w:hAnsiTheme="minorHAnsi" w:cs="Times New Roman"/>
                <w:sz w:val="20"/>
                <w:szCs w:val="20"/>
                <w:lang w:val="en-US"/>
              </w:rPr>
              <w:t>Counting words and pages and a d</w:t>
            </w:r>
            <w:r w:rsidR="005B4E7A" w:rsidRPr="00337C97">
              <w:rPr>
                <w:rFonts w:asciiTheme="minorHAnsi" w:hAnsiTheme="minorHAnsi" w:cs="Times New Roman"/>
                <w:sz w:val="20"/>
                <w:szCs w:val="20"/>
                <w:lang w:val="en-US"/>
              </w:rPr>
              <w:t>isclosure index</w:t>
            </w:r>
            <w:r w:rsidR="003124A3" w:rsidRPr="00337C97">
              <w:rPr>
                <w:rFonts w:asciiTheme="minorHAnsi" w:hAnsiTheme="minorHAnsi" w:cs="Times New Roman"/>
                <w:sz w:val="20"/>
                <w:szCs w:val="20"/>
                <w:lang w:val="en-US"/>
              </w:rPr>
              <w:t xml:space="preserve"> to assess </w:t>
            </w:r>
            <w:r w:rsidRPr="00337C97">
              <w:rPr>
                <w:rFonts w:asciiTheme="minorHAnsi" w:hAnsiTheme="minorHAnsi" w:cs="Times New Roman"/>
                <w:sz w:val="20"/>
                <w:szCs w:val="20"/>
                <w:lang w:val="en-US"/>
              </w:rPr>
              <w:t xml:space="preserve">quantity and </w:t>
            </w:r>
            <w:r w:rsidR="003124A3" w:rsidRPr="00337C97">
              <w:rPr>
                <w:rFonts w:asciiTheme="minorHAnsi" w:hAnsiTheme="minorHAnsi" w:cs="Times New Roman"/>
                <w:sz w:val="20"/>
                <w:szCs w:val="20"/>
                <w:lang w:val="en-US"/>
              </w:rPr>
              <w:t>quality of operational risk disclosure.</w:t>
            </w:r>
          </w:p>
        </w:tc>
        <w:tc>
          <w:tcPr>
            <w:tcW w:w="2977" w:type="dxa"/>
            <w:tcBorders>
              <w:top w:val="single" w:sz="4" w:space="0" w:color="auto"/>
              <w:left w:val="nil"/>
              <w:bottom w:val="single" w:sz="4" w:space="0" w:color="auto"/>
              <w:right w:val="single" w:sz="4" w:space="0" w:color="auto"/>
            </w:tcBorders>
            <w:shd w:val="clear" w:color="auto" w:fill="F2F2F2"/>
          </w:tcPr>
          <w:p w:rsidR="004B7ED6" w:rsidRPr="00337C97" w:rsidRDefault="009F5945" w:rsidP="009F5945">
            <w:pPr>
              <w:rPr>
                <w:rFonts w:asciiTheme="minorHAnsi" w:hAnsiTheme="minorHAnsi" w:cs="Times New Roman"/>
                <w:sz w:val="20"/>
                <w:szCs w:val="20"/>
                <w:lang w:val="en-US"/>
              </w:rPr>
            </w:pPr>
            <w:r w:rsidRPr="00337C97">
              <w:rPr>
                <w:rFonts w:asciiTheme="minorHAnsi" w:hAnsiTheme="minorHAnsi" w:cs="Times New Roman"/>
                <w:sz w:val="20"/>
                <w:szCs w:val="20"/>
                <w:lang w:val="en-US"/>
              </w:rPr>
              <w:t>Quantity</w:t>
            </w:r>
            <w:r w:rsidR="003124A3" w:rsidRPr="00337C97">
              <w:rPr>
                <w:rFonts w:asciiTheme="minorHAnsi" w:hAnsiTheme="minorHAnsi" w:cs="Times New Roman"/>
                <w:sz w:val="20"/>
                <w:szCs w:val="20"/>
                <w:lang w:val="en-US"/>
              </w:rPr>
              <w:t xml:space="preserve"> and quality of operational risk disclosure has grown during the period. </w:t>
            </w:r>
            <w:r w:rsidRPr="00337C97">
              <w:rPr>
                <w:rFonts w:asciiTheme="minorHAnsi" w:hAnsiTheme="minorHAnsi" w:cs="Times New Roman"/>
                <w:sz w:val="20"/>
                <w:szCs w:val="20"/>
                <w:lang w:val="en-US"/>
              </w:rPr>
              <w:t>T</w:t>
            </w:r>
            <w:r w:rsidR="003124A3" w:rsidRPr="00337C97">
              <w:rPr>
                <w:rFonts w:asciiTheme="minorHAnsi" w:hAnsiTheme="minorHAnsi" w:cs="Times New Roman"/>
                <w:sz w:val="20"/>
                <w:szCs w:val="20"/>
                <w:lang w:val="en-US"/>
              </w:rPr>
              <w:t>he number of banks disclosing operational risk doubled during the period.</w:t>
            </w:r>
          </w:p>
        </w:tc>
      </w:tr>
      <w:tr w:rsidR="00FB75B3" w:rsidRPr="00337C97" w:rsidTr="007C4013">
        <w:trPr>
          <w:cantSplit/>
          <w:trHeight w:val="402"/>
        </w:trPr>
        <w:tc>
          <w:tcPr>
            <w:tcW w:w="1101" w:type="dxa"/>
            <w:tcBorders>
              <w:top w:val="single" w:sz="4" w:space="0" w:color="auto"/>
              <w:left w:val="single" w:sz="4" w:space="0" w:color="auto"/>
              <w:bottom w:val="single" w:sz="4" w:space="0" w:color="auto"/>
              <w:right w:val="nil"/>
            </w:tcBorders>
            <w:shd w:val="clear" w:color="auto" w:fill="auto"/>
          </w:tcPr>
          <w:p w:rsidR="00FB75B3" w:rsidRPr="00337C97" w:rsidRDefault="00FB75B3"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lastRenderedPageBreak/>
              <w:t>Hossain (2008)</w:t>
            </w:r>
          </w:p>
        </w:tc>
        <w:tc>
          <w:tcPr>
            <w:tcW w:w="1993" w:type="dxa"/>
            <w:tcBorders>
              <w:top w:val="single" w:sz="4" w:space="0" w:color="auto"/>
              <w:left w:val="nil"/>
              <w:bottom w:val="single" w:sz="4" w:space="0" w:color="auto"/>
              <w:right w:val="nil"/>
            </w:tcBorders>
            <w:shd w:val="clear" w:color="auto" w:fill="auto"/>
          </w:tcPr>
          <w:p w:rsidR="00FB75B3" w:rsidRPr="00337C97" w:rsidRDefault="00E202A6" w:rsidP="003124A3">
            <w:pPr>
              <w:rPr>
                <w:rFonts w:asciiTheme="minorHAnsi" w:hAnsiTheme="minorHAnsi" w:cs="Times New Roman"/>
                <w:sz w:val="20"/>
                <w:szCs w:val="20"/>
                <w:lang w:val="en-US"/>
              </w:rPr>
            </w:pPr>
            <w:r w:rsidRPr="00337C97">
              <w:rPr>
                <w:rFonts w:asciiTheme="minorHAnsi" w:hAnsiTheme="minorHAnsi" w:cs="Times New Roman"/>
                <w:sz w:val="20"/>
                <w:szCs w:val="20"/>
                <w:lang w:val="en-US"/>
              </w:rPr>
              <w:t>Examining the extent of disclosure in annual bank reports.</w:t>
            </w:r>
          </w:p>
        </w:tc>
        <w:tc>
          <w:tcPr>
            <w:tcW w:w="1645" w:type="dxa"/>
            <w:tcBorders>
              <w:top w:val="single" w:sz="4" w:space="0" w:color="auto"/>
              <w:left w:val="nil"/>
              <w:bottom w:val="single" w:sz="4" w:space="0" w:color="auto"/>
              <w:right w:val="nil"/>
            </w:tcBorders>
            <w:shd w:val="clear" w:color="auto" w:fill="auto"/>
          </w:tcPr>
          <w:p w:rsidR="00FB75B3" w:rsidRPr="00337C97" w:rsidRDefault="00E202A6"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38 banks;</w:t>
            </w:r>
          </w:p>
          <w:p w:rsidR="00E202A6" w:rsidRPr="00337C97" w:rsidRDefault="00E202A6"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India;</w:t>
            </w:r>
          </w:p>
          <w:p w:rsidR="00E202A6" w:rsidRPr="00337C97" w:rsidRDefault="00E202A6"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2002-2003</w:t>
            </w:r>
          </w:p>
        </w:tc>
        <w:tc>
          <w:tcPr>
            <w:tcW w:w="1842" w:type="dxa"/>
            <w:tcBorders>
              <w:top w:val="single" w:sz="4" w:space="0" w:color="auto"/>
              <w:left w:val="nil"/>
              <w:bottom w:val="single" w:sz="4" w:space="0" w:color="auto"/>
              <w:right w:val="nil"/>
            </w:tcBorders>
            <w:shd w:val="clear" w:color="auto" w:fill="auto"/>
          </w:tcPr>
          <w:p w:rsidR="00FB75B3" w:rsidRPr="00337C97" w:rsidRDefault="00E202A6" w:rsidP="009F5945">
            <w:pPr>
              <w:autoSpaceDE w:val="0"/>
              <w:autoSpaceDN w:val="0"/>
              <w:adjustRightInd w:val="0"/>
              <w:rPr>
                <w:rFonts w:asciiTheme="minorHAnsi" w:hAnsiTheme="minorHAnsi" w:cs="Times New Roman"/>
                <w:sz w:val="20"/>
                <w:szCs w:val="20"/>
                <w:lang w:val="en-US"/>
              </w:rPr>
            </w:pPr>
            <w:r w:rsidRPr="00337C97">
              <w:rPr>
                <w:rFonts w:asciiTheme="minorHAnsi" w:hAnsiTheme="minorHAnsi" w:cs="Times New Roman"/>
                <w:sz w:val="20"/>
                <w:szCs w:val="20"/>
                <w:lang w:val="en-US"/>
              </w:rPr>
              <w:t>An unweighted disclosure index to assess the extent of disclosure.</w:t>
            </w:r>
          </w:p>
        </w:tc>
        <w:tc>
          <w:tcPr>
            <w:tcW w:w="2977" w:type="dxa"/>
            <w:tcBorders>
              <w:top w:val="single" w:sz="4" w:space="0" w:color="auto"/>
              <w:left w:val="nil"/>
              <w:bottom w:val="single" w:sz="4" w:space="0" w:color="auto"/>
              <w:right w:val="single" w:sz="4" w:space="0" w:color="auto"/>
            </w:tcBorders>
            <w:shd w:val="clear" w:color="auto" w:fill="auto"/>
          </w:tcPr>
          <w:p w:rsidR="00FB75B3" w:rsidRPr="00337C97" w:rsidRDefault="00E202A6" w:rsidP="009F5945">
            <w:pPr>
              <w:rPr>
                <w:rFonts w:asciiTheme="minorHAnsi" w:hAnsiTheme="minorHAnsi" w:cs="Times New Roman"/>
                <w:sz w:val="20"/>
                <w:szCs w:val="20"/>
                <w:lang w:val="en-US"/>
              </w:rPr>
            </w:pPr>
            <w:r w:rsidRPr="00337C97">
              <w:rPr>
                <w:rFonts w:asciiTheme="minorHAnsi" w:hAnsiTheme="minorHAnsi" w:cs="Times New Roman"/>
                <w:sz w:val="20"/>
                <w:szCs w:val="20"/>
                <w:lang w:val="en-US"/>
              </w:rPr>
              <w:t>Indian banks are compliant to mandatory disclosure, but far behind in voluntary disclosure. Risk-related information is however at an acceptable level.</w:t>
            </w:r>
          </w:p>
        </w:tc>
      </w:tr>
      <w:tr w:rsidR="004B7ED6" w:rsidRPr="00337C97" w:rsidTr="007C4013">
        <w:trPr>
          <w:cantSplit/>
          <w:trHeight w:val="138"/>
        </w:trPr>
        <w:tc>
          <w:tcPr>
            <w:tcW w:w="9558" w:type="dxa"/>
            <w:gridSpan w:val="5"/>
            <w:tcBorders>
              <w:top w:val="single" w:sz="4" w:space="0" w:color="auto"/>
              <w:left w:val="single" w:sz="4" w:space="0" w:color="auto"/>
              <w:bottom w:val="single" w:sz="4" w:space="0" w:color="auto"/>
              <w:right w:val="single" w:sz="4" w:space="0" w:color="auto"/>
            </w:tcBorders>
            <w:shd w:val="clear" w:color="auto" w:fill="F2F2F2"/>
          </w:tcPr>
          <w:p w:rsidR="004B7ED6" w:rsidRPr="00337C97" w:rsidRDefault="005B4E7A" w:rsidP="00A3225D">
            <w:pPr>
              <w:rPr>
                <w:rFonts w:asciiTheme="minorHAnsi" w:hAnsiTheme="minorHAnsi" w:cs="Times New Roman"/>
                <w:b/>
                <w:sz w:val="20"/>
                <w:szCs w:val="20"/>
                <w:lang w:val="en-US"/>
              </w:rPr>
            </w:pPr>
            <w:r w:rsidRPr="00337C97">
              <w:rPr>
                <w:rFonts w:asciiTheme="minorHAnsi" w:hAnsiTheme="minorHAnsi" w:cs="Times New Roman"/>
                <w:b/>
                <w:sz w:val="20"/>
                <w:szCs w:val="20"/>
                <w:lang w:val="en-US"/>
              </w:rPr>
              <w:t>Studies on nonfinancial firms</w:t>
            </w:r>
          </w:p>
        </w:tc>
      </w:tr>
      <w:tr w:rsidR="002F322D" w:rsidRPr="00337C97" w:rsidTr="007C4013">
        <w:trPr>
          <w:cantSplit/>
          <w:trHeight w:val="402"/>
        </w:trPr>
        <w:tc>
          <w:tcPr>
            <w:tcW w:w="1101" w:type="dxa"/>
            <w:tcBorders>
              <w:top w:val="single" w:sz="4" w:space="0" w:color="auto"/>
              <w:left w:val="single" w:sz="4" w:space="0" w:color="auto"/>
              <w:bottom w:val="single" w:sz="4" w:space="0" w:color="auto"/>
              <w:right w:val="nil"/>
            </w:tcBorders>
            <w:shd w:val="clear" w:color="auto" w:fill="auto"/>
          </w:tcPr>
          <w:p w:rsidR="00A3225D" w:rsidRPr="00337C97" w:rsidRDefault="002728E9"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Beretta</w:t>
            </w:r>
            <w:r w:rsidR="002F322D" w:rsidRPr="00337C97">
              <w:rPr>
                <w:rFonts w:asciiTheme="minorHAnsi" w:hAnsiTheme="minorHAnsi" w:cs="Times New Roman"/>
                <w:sz w:val="20"/>
                <w:szCs w:val="20"/>
                <w:lang w:val="en-US"/>
              </w:rPr>
              <w:t xml:space="preserve">, </w:t>
            </w:r>
            <w:r w:rsidRPr="00337C97">
              <w:rPr>
                <w:rFonts w:asciiTheme="minorHAnsi" w:hAnsiTheme="minorHAnsi" w:cs="Times New Roman"/>
                <w:sz w:val="20"/>
                <w:szCs w:val="20"/>
                <w:lang w:val="en-US"/>
              </w:rPr>
              <w:t>Bozzolan (2004)</w:t>
            </w:r>
          </w:p>
        </w:tc>
        <w:tc>
          <w:tcPr>
            <w:tcW w:w="1993" w:type="dxa"/>
            <w:tcBorders>
              <w:top w:val="single" w:sz="4" w:space="0" w:color="auto"/>
              <w:left w:val="nil"/>
              <w:bottom w:val="single" w:sz="4" w:space="0" w:color="auto"/>
              <w:right w:val="nil"/>
            </w:tcBorders>
            <w:shd w:val="clear" w:color="auto" w:fill="auto"/>
          </w:tcPr>
          <w:p w:rsidR="00A3225D" w:rsidRPr="00337C97" w:rsidRDefault="007C6EF0" w:rsidP="005613CC">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Propose a </w:t>
            </w:r>
            <w:r w:rsidR="005613CC" w:rsidRPr="00337C97">
              <w:rPr>
                <w:rFonts w:asciiTheme="minorHAnsi" w:hAnsiTheme="minorHAnsi" w:cs="Times New Roman"/>
                <w:sz w:val="20"/>
                <w:szCs w:val="20"/>
                <w:lang w:val="en-US"/>
              </w:rPr>
              <w:t xml:space="preserve">multidimensional </w:t>
            </w:r>
            <w:r w:rsidRPr="00337C97">
              <w:rPr>
                <w:rFonts w:asciiTheme="minorHAnsi" w:hAnsiTheme="minorHAnsi" w:cs="Times New Roman"/>
                <w:sz w:val="20"/>
                <w:szCs w:val="20"/>
                <w:lang w:val="en-US"/>
              </w:rPr>
              <w:t>framework for the analysis of risk communication</w:t>
            </w:r>
            <w:r w:rsidR="00E90FD3" w:rsidRPr="00337C97">
              <w:rPr>
                <w:rFonts w:asciiTheme="minorHAnsi" w:hAnsiTheme="minorHAnsi" w:cs="Times New Roman"/>
                <w:sz w:val="20"/>
                <w:szCs w:val="20"/>
                <w:lang w:val="en-US"/>
              </w:rPr>
              <w:t xml:space="preserve"> and applying </w:t>
            </w:r>
            <w:r w:rsidR="005613CC" w:rsidRPr="00337C97">
              <w:rPr>
                <w:rFonts w:asciiTheme="minorHAnsi" w:hAnsiTheme="minorHAnsi" w:cs="Times New Roman"/>
                <w:sz w:val="20"/>
                <w:szCs w:val="20"/>
                <w:lang w:val="en-US"/>
              </w:rPr>
              <w:t>it.</w:t>
            </w:r>
          </w:p>
        </w:tc>
        <w:tc>
          <w:tcPr>
            <w:tcW w:w="1645" w:type="dxa"/>
            <w:tcBorders>
              <w:top w:val="single" w:sz="4" w:space="0" w:color="auto"/>
              <w:left w:val="nil"/>
              <w:bottom w:val="single" w:sz="4" w:space="0" w:color="auto"/>
              <w:right w:val="nil"/>
            </w:tcBorders>
            <w:shd w:val="clear" w:color="auto" w:fill="auto"/>
          </w:tcPr>
          <w:p w:rsidR="00A3225D" w:rsidRPr="00337C97" w:rsidRDefault="00A94237"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85 n</w:t>
            </w:r>
            <w:r w:rsidR="00E90FD3" w:rsidRPr="00337C97">
              <w:rPr>
                <w:rFonts w:asciiTheme="minorHAnsi" w:hAnsiTheme="minorHAnsi" w:cs="Times New Roman"/>
                <w:sz w:val="20"/>
                <w:szCs w:val="20"/>
                <w:lang w:val="en-US"/>
              </w:rPr>
              <w:t>onfinancial companies listed on the I</w:t>
            </w:r>
            <w:r w:rsidR="005613CC" w:rsidRPr="00337C97">
              <w:rPr>
                <w:rFonts w:asciiTheme="minorHAnsi" w:hAnsiTheme="minorHAnsi" w:cs="Times New Roman"/>
                <w:sz w:val="20"/>
                <w:szCs w:val="20"/>
                <w:lang w:val="en-US"/>
              </w:rPr>
              <w:t>talian Stock Exchange;</w:t>
            </w:r>
          </w:p>
          <w:p w:rsidR="00E90FD3" w:rsidRPr="00337C97" w:rsidRDefault="00E90FD3"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Italy;</w:t>
            </w:r>
          </w:p>
          <w:p w:rsidR="00E90FD3" w:rsidRPr="00337C97" w:rsidRDefault="00E90FD3"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2001</w:t>
            </w:r>
          </w:p>
        </w:tc>
        <w:tc>
          <w:tcPr>
            <w:tcW w:w="1842" w:type="dxa"/>
            <w:tcBorders>
              <w:top w:val="single" w:sz="4" w:space="0" w:color="auto"/>
              <w:left w:val="nil"/>
              <w:bottom w:val="single" w:sz="4" w:space="0" w:color="auto"/>
              <w:right w:val="nil"/>
            </w:tcBorders>
            <w:shd w:val="clear" w:color="auto" w:fill="auto"/>
          </w:tcPr>
          <w:p w:rsidR="00E7560A" w:rsidRPr="00337C97" w:rsidRDefault="00E90FD3" w:rsidP="00E7560A">
            <w:pPr>
              <w:autoSpaceDE w:val="0"/>
              <w:autoSpaceDN w:val="0"/>
              <w:adjustRightInd w:val="0"/>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Content analysis </w:t>
            </w:r>
            <w:r w:rsidR="005613CC" w:rsidRPr="00337C97">
              <w:rPr>
                <w:rFonts w:asciiTheme="minorHAnsi" w:hAnsiTheme="minorHAnsi" w:cs="Times New Roman"/>
                <w:sz w:val="20"/>
                <w:szCs w:val="20"/>
                <w:lang w:val="en-US"/>
              </w:rPr>
              <w:t>to analyze voluntary disclosure in the MD&amp;A</w:t>
            </w:r>
            <w:r w:rsidR="00885347" w:rsidRPr="00337C97">
              <w:rPr>
                <w:rFonts w:asciiTheme="minorHAnsi" w:hAnsiTheme="minorHAnsi" w:cs="Times New Roman"/>
                <w:sz w:val="20"/>
                <w:szCs w:val="20"/>
                <w:lang w:val="en-US"/>
              </w:rPr>
              <w:t xml:space="preserve"> section.</w:t>
            </w:r>
          </w:p>
          <w:p w:rsidR="00A3225D" w:rsidRPr="00337C97" w:rsidRDefault="00A3225D" w:rsidP="00E7560A">
            <w:pPr>
              <w:rPr>
                <w:rFonts w:asciiTheme="minorHAnsi" w:hAnsiTheme="minorHAnsi" w:cs="Times New Roman"/>
                <w:sz w:val="20"/>
                <w:szCs w:val="20"/>
                <w:lang w:val="en-US"/>
              </w:rPr>
            </w:pPr>
          </w:p>
        </w:tc>
        <w:tc>
          <w:tcPr>
            <w:tcW w:w="2977" w:type="dxa"/>
            <w:tcBorders>
              <w:top w:val="single" w:sz="4" w:space="0" w:color="auto"/>
              <w:left w:val="nil"/>
              <w:bottom w:val="single" w:sz="4" w:space="0" w:color="auto"/>
              <w:right w:val="single" w:sz="4" w:space="0" w:color="auto"/>
            </w:tcBorders>
            <w:shd w:val="clear" w:color="auto" w:fill="auto"/>
          </w:tcPr>
          <w:p w:rsidR="00A3225D" w:rsidRPr="00337C97" w:rsidRDefault="0030317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Companies in general avoid communicating the expected impact of risks in quantitative terms. </w:t>
            </w:r>
            <w:r w:rsidR="00E7560A" w:rsidRPr="00337C97">
              <w:rPr>
                <w:rFonts w:asciiTheme="minorHAnsi" w:hAnsiTheme="minorHAnsi" w:cs="Times New Roman"/>
                <w:sz w:val="20"/>
                <w:szCs w:val="20"/>
                <w:lang w:val="en-US"/>
              </w:rPr>
              <w:t xml:space="preserve">Firms focus upon disclosing information on past and present risk, rather than future risks. </w:t>
            </w:r>
            <w:r w:rsidRPr="00337C97">
              <w:rPr>
                <w:rFonts w:asciiTheme="minorHAnsi" w:hAnsiTheme="minorHAnsi" w:cs="Times New Roman"/>
                <w:sz w:val="20"/>
                <w:szCs w:val="20"/>
                <w:lang w:val="en-US"/>
              </w:rPr>
              <w:t>Firms are also reluctant to indicate whether future risks disclosed will impact them, either positively or negatively.</w:t>
            </w:r>
          </w:p>
        </w:tc>
      </w:tr>
      <w:tr w:rsidR="002F322D" w:rsidRPr="00337C97" w:rsidTr="007C4013">
        <w:trPr>
          <w:cantSplit/>
          <w:trHeight w:val="422"/>
        </w:trPr>
        <w:tc>
          <w:tcPr>
            <w:tcW w:w="1101" w:type="dxa"/>
            <w:tcBorders>
              <w:top w:val="single" w:sz="4" w:space="0" w:color="auto"/>
              <w:left w:val="single" w:sz="4" w:space="0" w:color="auto"/>
              <w:bottom w:val="single" w:sz="4" w:space="0" w:color="auto"/>
              <w:right w:val="nil"/>
            </w:tcBorders>
            <w:shd w:val="clear" w:color="auto" w:fill="F2F2F2"/>
          </w:tcPr>
          <w:p w:rsidR="00A3225D" w:rsidRPr="00337C97" w:rsidRDefault="002F322D" w:rsidP="002F322D">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Lajili, </w:t>
            </w:r>
            <w:r w:rsidR="002728E9" w:rsidRPr="00337C97">
              <w:rPr>
                <w:rFonts w:asciiTheme="minorHAnsi" w:hAnsiTheme="minorHAnsi" w:cs="Times New Roman"/>
                <w:sz w:val="20"/>
                <w:szCs w:val="20"/>
                <w:lang w:val="en-US"/>
              </w:rPr>
              <w:t>Zeghal (2005)</w:t>
            </w:r>
          </w:p>
        </w:tc>
        <w:tc>
          <w:tcPr>
            <w:tcW w:w="1993" w:type="dxa"/>
            <w:tcBorders>
              <w:top w:val="single" w:sz="4" w:space="0" w:color="auto"/>
              <w:left w:val="nil"/>
              <w:bottom w:val="single" w:sz="4" w:space="0" w:color="auto"/>
              <w:right w:val="nil"/>
            </w:tcBorders>
            <w:shd w:val="clear" w:color="auto" w:fill="F2F2F2"/>
          </w:tcPr>
          <w:p w:rsidR="00A3225D" w:rsidRPr="00337C97" w:rsidRDefault="0030317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Examine risk information disclosures in the annual reports</w:t>
            </w:r>
            <w:r w:rsidR="00885347"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F2F2F2"/>
          </w:tcPr>
          <w:p w:rsidR="00A3225D" w:rsidRPr="00337C97" w:rsidRDefault="0030317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300 nonfinancial companies;</w:t>
            </w:r>
          </w:p>
          <w:p w:rsidR="0030317C" w:rsidRPr="00337C97" w:rsidRDefault="0030317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Canada;</w:t>
            </w:r>
          </w:p>
          <w:p w:rsidR="0030317C" w:rsidRPr="00337C97" w:rsidRDefault="006E682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1999</w:t>
            </w:r>
          </w:p>
        </w:tc>
        <w:tc>
          <w:tcPr>
            <w:tcW w:w="1842" w:type="dxa"/>
            <w:tcBorders>
              <w:top w:val="single" w:sz="4" w:space="0" w:color="auto"/>
              <w:left w:val="nil"/>
              <w:bottom w:val="single" w:sz="4" w:space="0" w:color="auto"/>
              <w:right w:val="nil"/>
            </w:tcBorders>
            <w:shd w:val="clear" w:color="auto" w:fill="F2F2F2"/>
          </w:tcPr>
          <w:p w:rsidR="00A3225D" w:rsidRPr="00337C97" w:rsidRDefault="0030317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Content analysis to analyze risk information disclosures.</w:t>
            </w:r>
          </w:p>
        </w:tc>
        <w:tc>
          <w:tcPr>
            <w:tcW w:w="2977" w:type="dxa"/>
            <w:tcBorders>
              <w:top w:val="single" w:sz="4" w:space="0" w:color="auto"/>
              <w:left w:val="nil"/>
              <w:bottom w:val="single" w:sz="4" w:space="0" w:color="auto"/>
              <w:right w:val="single" w:sz="4" w:space="0" w:color="auto"/>
            </w:tcBorders>
            <w:shd w:val="clear" w:color="auto" w:fill="F2F2F2"/>
          </w:tcPr>
          <w:p w:rsidR="00A3225D" w:rsidRPr="00337C97" w:rsidRDefault="0030317C"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High degree of risk disclosure intensity, but the usefulness is questioned. Financial risk was most disclosed, followed by credit risk and market risk.</w:t>
            </w:r>
          </w:p>
        </w:tc>
      </w:tr>
      <w:tr w:rsidR="002F322D" w:rsidRPr="00337C97" w:rsidTr="007C4013">
        <w:trPr>
          <w:cantSplit/>
          <w:trHeight w:val="414"/>
        </w:trPr>
        <w:tc>
          <w:tcPr>
            <w:tcW w:w="1101" w:type="dxa"/>
            <w:tcBorders>
              <w:top w:val="single" w:sz="4" w:space="0" w:color="auto"/>
              <w:left w:val="single" w:sz="4" w:space="0" w:color="auto"/>
              <w:bottom w:val="single" w:sz="4" w:space="0" w:color="auto"/>
              <w:right w:val="nil"/>
            </w:tcBorders>
            <w:shd w:val="clear" w:color="auto" w:fill="auto"/>
          </w:tcPr>
          <w:p w:rsidR="00A3225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Linsley, </w:t>
            </w:r>
            <w:r w:rsidR="002728E9" w:rsidRPr="00337C97">
              <w:rPr>
                <w:rFonts w:asciiTheme="minorHAnsi" w:hAnsiTheme="minorHAnsi" w:cs="Times New Roman"/>
                <w:sz w:val="20"/>
                <w:szCs w:val="20"/>
                <w:lang w:val="en-US"/>
              </w:rPr>
              <w:t>Shrives (2005b; 2006)</w:t>
            </w:r>
          </w:p>
        </w:tc>
        <w:tc>
          <w:tcPr>
            <w:tcW w:w="1993" w:type="dxa"/>
            <w:tcBorders>
              <w:top w:val="single" w:sz="4" w:space="0" w:color="auto"/>
              <w:left w:val="nil"/>
              <w:bottom w:val="single" w:sz="4" w:space="0" w:color="auto"/>
              <w:right w:val="nil"/>
            </w:tcBorders>
            <w:shd w:val="clear" w:color="auto" w:fill="auto"/>
          </w:tcPr>
          <w:p w:rsidR="00A3225D" w:rsidRPr="00337C97" w:rsidRDefault="00885347"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Examine risk disclosures in the annual reports.</w:t>
            </w:r>
          </w:p>
          <w:p w:rsidR="00885347" w:rsidRPr="00337C97" w:rsidRDefault="00885347" w:rsidP="00A3225D">
            <w:pPr>
              <w:rPr>
                <w:rFonts w:asciiTheme="minorHAnsi" w:hAnsiTheme="minorHAnsi" w:cs="Times New Roman"/>
                <w:sz w:val="20"/>
                <w:szCs w:val="20"/>
                <w:lang w:val="en-US"/>
              </w:rPr>
            </w:pPr>
          </w:p>
        </w:tc>
        <w:tc>
          <w:tcPr>
            <w:tcW w:w="1645" w:type="dxa"/>
            <w:tcBorders>
              <w:top w:val="single" w:sz="4" w:space="0" w:color="auto"/>
              <w:left w:val="nil"/>
              <w:bottom w:val="single" w:sz="4" w:space="0" w:color="auto"/>
              <w:right w:val="nil"/>
            </w:tcBorders>
            <w:shd w:val="clear" w:color="auto" w:fill="auto"/>
          </w:tcPr>
          <w:p w:rsidR="00A3225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79 non</w:t>
            </w:r>
            <w:r w:rsidR="004C1F11" w:rsidRPr="00337C97">
              <w:rPr>
                <w:rFonts w:asciiTheme="minorHAnsi" w:hAnsiTheme="minorHAnsi" w:cs="Times New Roman"/>
                <w:sz w:val="20"/>
                <w:szCs w:val="20"/>
                <w:lang w:val="en-US"/>
              </w:rPr>
              <w:t>financial companies;</w:t>
            </w:r>
          </w:p>
          <w:p w:rsidR="004C1F11" w:rsidRPr="00337C97" w:rsidRDefault="004C1F1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UK;</w:t>
            </w:r>
          </w:p>
          <w:p w:rsidR="004C1F11" w:rsidRPr="00337C97" w:rsidRDefault="004C1F11"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w:t>
            </w:r>
            <w:r w:rsidR="00777A51" w:rsidRPr="00337C97">
              <w:rPr>
                <w:rFonts w:asciiTheme="minorHAnsi" w:hAnsiTheme="minorHAnsi" w:cs="Times New Roman"/>
                <w:sz w:val="20"/>
                <w:szCs w:val="20"/>
                <w:lang w:val="en-US"/>
              </w:rPr>
              <w:t>0</w:t>
            </w:r>
          </w:p>
        </w:tc>
        <w:tc>
          <w:tcPr>
            <w:tcW w:w="1842" w:type="dxa"/>
            <w:tcBorders>
              <w:top w:val="single" w:sz="4" w:space="0" w:color="auto"/>
              <w:left w:val="nil"/>
              <w:bottom w:val="single" w:sz="4" w:space="0" w:color="auto"/>
              <w:right w:val="nil"/>
            </w:tcBorders>
            <w:shd w:val="clear" w:color="auto" w:fill="auto"/>
          </w:tcPr>
          <w:p w:rsidR="00A3225D" w:rsidRPr="00337C97" w:rsidRDefault="00885347" w:rsidP="00885347">
            <w:pPr>
              <w:rPr>
                <w:rFonts w:asciiTheme="minorHAnsi" w:hAnsiTheme="minorHAnsi" w:cs="Times New Roman"/>
                <w:sz w:val="20"/>
                <w:szCs w:val="20"/>
                <w:lang w:val="en-US"/>
              </w:rPr>
            </w:pPr>
            <w:r w:rsidRPr="00337C97">
              <w:rPr>
                <w:rFonts w:asciiTheme="minorHAnsi" w:hAnsiTheme="minorHAnsi" w:cs="Times New Roman"/>
                <w:sz w:val="20"/>
                <w:szCs w:val="20"/>
                <w:lang w:val="en-US"/>
              </w:rPr>
              <w:t>Content analysis by means of a sentence-based approach to identify risk disclosures.</w:t>
            </w:r>
          </w:p>
        </w:tc>
        <w:tc>
          <w:tcPr>
            <w:tcW w:w="2977" w:type="dxa"/>
            <w:tcBorders>
              <w:top w:val="single" w:sz="4" w:space="0" w:color="auto"/>
              <w:left w:val="nil"/>
              <w:bottom w:val="single" w:sz="4" w:space="0" w:color="auto"/>
              <w:right w:val="single" w:sz="4" w:space="0" w:color="auto"/>
            </w:tcBorders>
            <w:shd w:val="clear" w:color="auto" w:fill="auto"/>
          </w:tcPr>
          <w:p w:rsidR="00A3225D" w:rsidRPr="00337C97" w:rsidRDefault="00885347" w:rsidP="00885347">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Strategic risk and financial risk dominant, followed by integrity risk. Most of the disclosure is qualitative in nature. </w:t>
            </w:r>
            <w:r w:rsidR="002F322D" w:rsidRPr="00337C97">
              <w:rPr>
                <w:rFonts w:asciiTheme="minorHAnsi" w:hAnsiTheme="minorHAnsi" w:cs="Times New Roman"/>
                <w:sz w:val="20"/>
                <w:szCs w:val="20"/>
                <w:lang w:val="en-US"/>
              </w:rPr>
              <w:t xml:space="preserve">Statements of general </w:t>
            </w:r>
            <w:r w:rsidR="00E7560A" w:rsidRPr="00337C97">
              <w:rPr>
                <w:rFonts w:asciiTheme="minorHAnsi" w:hAnsiTheme="minorHAnsi" w:cs="Times New Roman"/>
                <w:sz w:val="20"/>
                <w:szCs w:val="20"/>
                <w:lang w:val="en-US"/>
              </w:rPr>
              <w:t>risk management policy dominate</w:t>
            </w:r>
            <w:r w:rsidR="002F322D" w:rsidRPr="00337C97">
              <w:rPr>
                <w:rFonts w:asciiTheme="minorHAnsi" w:hAnsiTheme="minorHAnsi" w:cs="Times New Roman"/>
                <w:sz w:val="20"/>
                <w:szCs w:val="20"/>
                <w:lang w:val="en-US"/>
              </w:rPr>
              <w:t xml:space="preserve"> and c</w:t>
            </w:r>
            <w:r w:rsidRPr="00337C97">
              <w:rPr>
                <w:rFonts w:asciiTheme="minorHAnsi" w:hAnsiTheme="minorHAnsi" w:cs="Times New Roman"/>
                <w:sz w:val="20"/>
                <w:szCs w:val="20"/>
                <w:lang w:val="en-US"/>
              </w:rPr>
              <w:t xml:space="preserve">ompanies are not providing </w:t>
            </w:r>
            <w:r w:rsidR="002F322D" w:rsidRPr="00337C97">
              <w:rPr>
                <w:rFonts w:asciiTheme="minorHAnsi" w:hAnsiTheme="minorHAnsi" w:cs="Times New Roman"/>
                <w:sz w:val="20"/>
                <w:szCs w:val="20"/>
                <w:lang w:val="en-US"/>
              </w:rPr>
              <w:t>a complete picture of the risks.</w:t>
            </w:r>
          </w:p>
        </w:tc>
      </w:tr>
      <w:tr w:rsidR="002F322D" w:rsidRPr="00337C97" w:rsidTr="007C4013">
        <w:trPr>
          <w:cantSplit/>
          <w:trHeight w:val="420"/>
        </w:trPr>
        <w:tc>
          <w:tcPr>
            <w:tcW w:w="1101" w:type="dxa"/>
            <w:tcBorders>
              <w:top w:val="single" w:sz="4" w:space="0" w:color="auto"/>
              <w:left w:val="single" w:sz="4" w:space="0" w:color="auto"/>
              <w:bottom w:val="single" w:sz="4" w:space="0" w:color="auto"/>
              <w:right w:val="nil"/>
            </w:tcBorders>
            <w:shd w:val="clear" w:color="auto" w:fill="F2F2F2"/>
          </w:tcPr>
          <w:p w:rsidR="002728E9" w:rsidRPr="00337C97" w:rsidRDefault="002728E9" w:rsidP="002F322D">
            <w:pPr>
              <w:rPr>
                <w:rFonts w:asciiTheme="minorHAnsi" w:hAnsiTheme="minorHAnsi" w:cs="Times New Roman"/>
                <w:sz w:val="20"/>
                <w:szCs w:val="20"/>
                <w:lang w:val="en-US"/>
              </w:rPr>
            </w:pPr>
            <w:r w:rsidRPr="00337C97">
              <w:rPr>
                <w:rFonts w:asciiTheme="minorHAnsi" w:hAnsiTheme="minorHAnsi" w:cs="Times New Roman"/>
                <w:sz w:val="20"/>
                <w:szCs w:val="20"/>
                <w:lang w:val="en-US"/>
              </w:rPr>
              <w:t>Linsley</w:t>
            </w:r>
            <w:r w:rsidR="002F322D" w:rsidRPr="00337C97">
              <w:rPr>
                <w:rFonts w:asciiTheme="minorHAnsi" w:hAnsiTheme="minorHAnsi" w:cs="Times New Roman"/>
                <w:sz w:val="20"/>
                <w:szCs w:val="20"/>
                <w:lang w:val="en-US"/>
              </w:rPr>
              <w:t>,</w:t>
            </w:r>
            <w:r w:rsidRPr="00337C97">
              <w:rPr>
                <w:rFonts w:asciiTheme="minorHAnsi" w:hAnsiTheme="minorHAnsi" w:cs="Times New Roman"/>
                <w:sz w:val="20"/>
                <w:szCs w:val="20"/>
                <w:lang w:val="en-US"/>
              </w:rPr>
              <w:t xml:space="preserve"> Lawrence (2007)</w:t>
            </w:r>
          </w:p>
        </w:tc>
        <w:tc>
          <w:tcPr>
            <w:tcW w:w="1993" w:type="dxa"/>
            <w:tcBorders>
              <w:top w:val="single" w:sz="4" w:space="0" w:color="auto"/>
              <w:left w:val="nil"/>
              <w:bottom w:val="single" w:sz="4" w:space="0" w:color="auto"/>
              <w:right w:val="nil"/>
            </w:tcBorders>
            <w:shd w:val="clear" w:color="auto" w:fill="F2F2F2"/>
          </w:tcPr>
          <w:p w:rsidR="00A3225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Examine risk disclosures in the annual reports and test for readability and obfuscation</w:t>
            </w:r>
            <w:r w:rsidR="00A71348" w:rsidRPr="00337C97">
              <w:rPr>
                <w:rFonts w:asciiTheme="minorHAnsi" w:hAnsiTheme="minorHAnsi" w:cs="Times New Roman"/>
                <w:sz w:val="20"/>
                <w:szCs w:val="20"/>
                <w:lang w:val="en-US"/>
              </w:rPr>
              <w:t>.</w:t>
            </w:r>
          </w:p>
        </w:tc>
        <w:tc>
          <w:tcPr>
            <w:tcW w:w="1645" w:type="dxa"/>
            <w:tcBorders>
              <w:top w:val="single" w:sz="4" w:space="0" w:color="auto"/>
              <w:left w:val="nil"/>
              <w:bottom w:val="single" w:sz="4" w:space="0" w:color="auto"/>
              <w:right w:val="nil"/>
            </w:tcBorders>
            <w:shd w:val="clear" w:color="auto" w:fill="F2F2F2"/>
          </w:tcPr>
          <w:p w:rsidR="00A3225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25 largest non-financial companies;</w:t>
            </w:r>
          </w:p>
          <w:p w:rsidR="002F322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UK;</w:t>
            </w:r>
          </w:p>
          <w:p w:rsidR="002F322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w:t>
            </w:r>
            <w:r w:rsidR="00777A51" w:rsidRPr="00337C97">
              <w:rPr>
                <w:rFonts w:asciiTheme="minorHAnsi" w:hAnsiTheme="minorHAnsi" w:cs="Times New Roman"/>
                <w:sz w:val="20"/>
                <w:szCs w:val="20"/>
                <w:lang w:val="en-US"/>
              </w:rPr>
              <w:t>0</w:t>
            </w:r>
          </w:p>
        </w:tc>
        <w:tc>
          <w:tcPr>
            <w:tcW w:w="1842" w:type="dxa"/>
            <w:tcBorders>
              <w:top w:val="single" w:sz="4" w:space="0" w:color="auto"/>
              <w:left w:val="nil"/>
              <w:bottom w:val="single" w:sz="4" w:space="0" w:color="auto"/>
              <w:right w:val="nil"/>
            </w:tcBorders>
            <w:shd w:val="clear" w:color="auto" w:fill="F2F2F2"/>
          </w:tcPr>
          <w:p w:rsidR="00A3225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Content analysis to identify risk disclosures and the Flesch Reading Ease formula to test for readability and obfuscation.</w:t>
            </w:r>
          </w:p>
        </w:tc>
        <w:tc>
          <w:tcPr>
            <w:tcW w:w="2977" w:type="dxa"/>
            <w:tcBorders>
              <w:top w:val="single" w:sz="4" w:space="0" w:color="auto"/>
              <w:left w:val="nil"/>
              <w:bottom w:val="single" w:sz="4" w:space="0" w:color="auto"/>
              <w:right w:val="single" w:sz="4" w:space="0" w:color="auto"/>
            </w:tcBorders>
            <w:shd w:val="clear" w:color="auto" w:fill="F2F2F2"/>
          </w:tcPr>
          <w:p w:rsidR="00A3225D" w:rsidRPr="00337C97" w:rsidRDefault="002F322D"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Level of readability of risk disclosures varies from difficult to very difficult. There is a need for greater clarity when risks are described and discussed in the annual report.</w:t>
            </w:r>
          </w:p>
        </w:tc>
      </w:tr>
      <w:tr w:rsidR="002F322D" w:rsidRPr="00337C97" w:rsidTr="007C4013">
        <w:trPr>
          <w:cantSplit/>
          <w:trHeight w:val="420"/>
        </w:trPr>
        <w:tc>
          <w:tcPr>
            <w:tcW w:w="1101" w:type="dxa"/>
            <w:tcBorders>
              <w:top w:val="single" w:sz="4" w:space="0" w:color="auto"/>
              <w:left w:val="single" w:sz="4" w:space="0" w:color="auto"/>
              <w:bottom w:val="single" w:sz="4" w:space="0" w:color="auto"/>
              <w:right w:val="nil"/>
            </w:tcBorders>
            <w:shd w:val="clear" w:color="auto" w:fill="auto"/>
          </w:tcPr>
          <w:p w:rsidR="002728E9" w:rsidRPr="00337C97" w:rsidRDefault="002728E9"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Amran, Bin and Hassan (2009)</w:t>
            </w:r>
          </w:p>
        </w:tc>
        <w:tc>
          <w:tcPr>
            <w:tcW w:w="1993" w:type="dxa"/>
            <w:tcBorders>
              <w:top w:val="single" w:sz="4" w:space="0" w:color="auto"/>
              <w:left w:val="nil"/>
              <w:bottom w:val="single" w:sz="4" w:space="0" w:color="auto"/>
              <w:right w:val="nil"/>
            </w:tcBorders>
            <w:shd w:val="clear" w:color="auto" w:fill="auto"/>
          </w:tcPr>
          <w:p w:rsidR="002728E9" w:rsidRPr="00337C97" w:rsidRDefault="00A71348"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Explore the availability of risk disclosures</w:t>
            </w:r>
            <w:r w:rsidR="00F040A0" w:rsidRPr="00337C97">
              <w:rPr>
                <w:rFonts w:asciiTheme="minorHAnsi" w:hAnsiTheme="minorHAnsi" w:cs="Times New Roman"/>
                <w:sz w:val="20"/>
                <w:szCs w:val="20"/>
                <w:lang w:val="en-US"/>
              </w:rPr>
              <w:t xml:space="preserve"> in the annual reports.</w:t>
            </w:r>
          </w:p>
        </w:tc>
        <w:tc>
          <w:tcPr>
            <w:tcW w:w="1645" w:type="dxa"/>
            <w:tcBorders>
              <w:top w:val="single" w:sz="4" w:space="0" w:color="auto"/>
              <w:left w:val="nil"/>
              <w:bottom w:val="single" w:sz="4" w:space="0" w:color="auto"/>
              <w:right w:val="nil"/>
            </w:tcBorders>
            <w:shd w:val="clear" w:color="auto" w:fill="auto"/>
          </w:tcPr>
          <w:p w:rsidR="002728E9" w:rsidRPr="00337C97" w:rsidRDefault="00A71348"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100 nonfinancial companies;</w:t>
            </w:r>
          </w:p>
          <w:p w:rsidR="00A71348" w:rsidRPr="00337C97" w:rsidRDefault="00A71348"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Malaysia;</w:t>
            </w:r>
          </w:p>
          <w:p w:rsidR="00A71348" w:rsidRPr="00337C97" w:rsidRDefault="00A71348"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2005</w:t>
            </w:r>
          </w:p>
        </w:tc>
        <w:tc>
          <w:tcPr>
            <w:tcW w:w="1842" w:type="dxa"/>
            <w:tcBorders>
              <w:top w:val="single" w:sz="4" w:space="0" w:color="auto"/>
              <w:left w:val="nil"/>
              <w:bottom w:val="single" w:sz="4" w:space="0" w:color="auto"/>
              <w:right w:val="nil"/>
            </w:tcBorders>
            <w:shd w:val="clear" w:color="auto" w:fill="auto"/>
          </w:tcPr>
          <w:p w:rsidR="002728E9" w:rsidRPr="00337C97" w:rsidRDefault="00A71348" w:rsidP="00A7134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Content analysis </w:t>
            </w:r>
            <w:r w:rsidR="003839DF" w:rsidRPr="00337C97">
              <w:rPr>
                <w:rFonts w:asciiTheme="minorHAnsi" w:hAnsiTheme="minorHAnsi" w:cs="Times New Roman"/>
                <w:sz w:val="20"/>
                <w:szCs w:val="20"/>
                <w:lang w:val="en-US"/>
              </w:rPr>
              <w:t xml:space="preserve">by means of a sentence-based approach </w:t>
            </w:r>
            <w:r w:rsidRPr="00337C97">
              <w:rPr>
                <w:rFonts w:asciiTheme="minorHAnsi" w:hAnsiTheme="minorHAnsi" w:cs="Times New Roman"/>
                <w:sz w:val="20"/>
                <w:szCs w:val="20"/>
                <w:lang w:val="en-US"/>
              </w:rPr>
              <w:t>to identify risk disclosures</w:t>
            </w:r>
            <w:r w:rsidR="00F040A0" w:rsidRPr="00337C97">
              <w:rPr>
                <w:rFonts w:asciiTheme="minorHAnsi" w:hAnsiTheme="minorHAnsi" w:cs="Times New Roman"/>
                <w:sz w:val="20"/>
                <w:szCs w:val="20"/>
                <w:lang w:val="en-US"/>
              </w:rPr>
              <w:t>.</w:t>
            </w:r>
          </w:p>
        </w:tc>
        <w:tc>
          <w:tcPr>
            <w:tcW w:w="2977" w:type="dxa"/>
            <w:tcBorders>
              <w:top w:val="single" w:sz="4" w:space="0" w:color="auto"/>
              <w:left w:val="nil"/>
              <w:bottom w:val="single" w:sz="4" w:space="0" w:color="auto"/>
              <w:right w:val="single" w:sz="4" w:space="0" w:color="auto"/>
            </w:tcBorders>
            <w:shd w:val="clear" w:color="auto" w:fill="auto"/>
          </w:tcPr>
          <w:p w:rsidR="002728E9" w:rsidRPr="00337C97" w:rsidRDefault="00F040A0" w:rsidP="00F040A0">
            <w:pPr>
              <w:rPr>
                <w:rFonts w:asciiTheme="minorHAnsi" w:hAnsiTheme="minorHAnsi" w:cs="Times New Roman"/>
                <w:sz w:val="20"/>
                <w:szCs w:val="20"/>
                <w:lang w:val="en-US"/>
              </w:rPr>
            </w:pPr>
            <w:r w:rsidRPr="00337C97">
              <w:rPr>
                <w:rFonts w:asciiTheme="minorHAnsi" w:hAnsiTheme="minorHAnsi" w:cs="Times New Roman"/>
                <w:sz w:val="20"/>
                <w:szCs w:val="20"/>
                <w:lang w:val="en-US"/>
              </w:rPr>
              <w:t>Strategic risk and operation risk are dominant types of disclosed risk, and financial risk much less. Total risk disclosure is very much less compared to L</w:t>
            </w:r>
            <w:r w:rsidR="00E7560A" w:rsidRPr="00337C97">
              <w:rPr>
                <w:rFonts w:asciiTheme="minorHAnsi" w:hAnsiTheme="minorHAnsi" w:cs="Times New Roman"/>
                <w:sz w:val="20"/>
                <w:szCs w:val="20"/>
                <w:lang w:val="en-US"/>
              </w:rPr>
              <w:t xml:space="preserve">insley and </w:t>
            </w:r>
            <w:r w:rsidRPr="00337C97">
              <w:rPr>
                <w:rFonts w:asciiTheme="minorHAnsi" w:hAnsiTheme="minorHAnsi" w:cs="Times New Roman"/>
                <w:sz w:val="20"/>
                <w:szCs w:val="20"/>
                <w:lang w:val="en-US"/>
              </w:rPr>
              <w:t>S</w:t>
            </w:r>
            <w:r w:rsidR="00E7560A" w:rsidRPr="00337C97">
              <w:rPr>
                <w:rFonts w:asciiTheme="minorHAnsi" w:hAnsiTheme="minorHAnsi" w:cs="Times New Roman"/>
                <w:sz w:val="20"/>
                <w:szCs w:val="20"/>
                <w:lang w:val="en-US"/>
              </w:rPr>
              <w:t>hrives</w:t>
            </w:r>
            <w:r w:rsidRPr="00337C97">
              <w:rPr>
                <w:rFonts w:asciiTheme="minorHAnsi" w:hAnsiTheme="minorHAnsi" w:cs="Times New Roman"/>
                <w:sz w:val="20"/>
                <w:szCs w:val="20"/>
                <w:lang w:val="en-US"/>
              </w:rPr>
              <w:t xml:space="preserve"> (2005b).</w:t>
            </w:r>
          </w:p>
        </w:tc>
      </w:tr>
      <w:tr w:rsidR="002F322D" w:rsidRPr="00337C97" w:rsidTr="007C4013">
        <w:trPr>
          <w:cantSplit/>
          <w:trHeight w:val="420"/>
        </w:trPr>
        <w:tc>
          <w:tcPr>
            <w:tcW w:w="1101" w:type="dxa"/>
            <w:tcBorders>
              <w:top w:val="single" w:sz="4" w:space="0" w:color="auto"/>
              <w:left w:val="single" w:sz="4" w:space="0" w:color="auto"/>
              <w:bottom w:val="single" w:sz="4" w:space="0" w:color="auto"/>
              <w:right w:val="nil"/>
            </w:tcBorders>
            <w:shd w:val="clear" w:color="auto" w:fill="F2F2F2"/>
          </w:tcPr>
          <w:p w:rsidR="002728E9" w:rsidRPr="00337C97" w:rsidRDefault="002728E9" w:rsidP="00F040A0">
            <w:pPr>
              <w:rPr>
                <w:rFonts w:asciiTheme="minorHAnsi" w:hAnsiTheme="minorHAnsi" w:cs="Times New Roman"/>
                <w:sz w:val="20"/>
                <w:szCs w:val="20"/>
                <w:lang w:val="en-US"/>
              </w:rPr>
            </w:pPr>
            <w:r w:rsidRPr="00337C97">
              <w:rPr>
                <w:rFonts w:asciiTheme="minorHAnsi" w:hAnsiTheme="minorHAnsi" w:cs="Times New Roman"/>
                <w:sz w:val="20"/>
                <w:szCs w:val="20"/>
                <w:lang w:val="en-US"/>
              </w:rPr>
              <w:t>Michiels, Vande</w:t>
            </w:r>
            <w:r w:rsidR="00F040A0" w:rsidRPr="00337C97">
              <w:rPr>
                <w:rFonts w:asciiTheme="minorHAnsi" w:hAnsiTheme="minorHAnsi" w:cs="Times New Roman"/>
                <w:sz w:val="20"/>
                <w:szCs w:val="20"/>
                <w:lang w:val="en-US"/>
              </w:rPr>
              <w:t>-</w:t>
            </w:r>
            <w:r w:rsidRPr="00337C97">
              <w:rPr>
                <w:rFonts w:asciiTheme="minorHAnsi" w:hAnsiTheme="minorHAnsi" w:cs="Times New Roman"/>
                <w:sz w:val="20"/>
                <w:szCs w:val="20"/>
                <w:lang w:val="en-US"/>
              </w:rPr>
              <w:t>maele</w:t>
            </w:r>
            <w:r w:rsidR="00F040A0" w:rsidRPr="00337C97">
              <w:rPr>
                <w:rFonts w:asciiTheme="minorHAnsi" w:hAnsiTheme="minorHAnsi" w:cs="Times New Roman"/>
                <w:sz w:val="20"/>
                <w:szCs w:val="20"/>
                <w:lang w:val="en-US"/>
              </w:rPr>
              <w:t>,</w:t>
            </w:r>
            <w:r w:rsidRPr="00337C97">
              <w:rPr>
                <w:rFonts w:asciiTheme="minorHAnsi" w:hAnsiTheme="minorHAnsi" w:cs="Times New Roman"/>
                <w:sz w:val="20"/>
                <w:szCs w:val="20"/>
                <w:lang w:val="en-US"/>
              </w:rPr>
              <w:t xml:space="preserve"> Vergauwen (2009)</w:t>
            </w:r>
          </w:p>
        </w:tc>
        <w:tc>
          <w:tcPr>
            <w:tcW w:w="1993" w:type="dxa"/>
            <w:tcBorders>
              <w:top w:val="single" w:sz="4" w:space="0" w:color="auto"/>
              <w:left w:val="nil"/>
              <w:bottom w:val="single" w:sz="4" w:space="0" w:color="auto"/>
              <w:right w:val="nil"/>
            </w:tcBorders>
            <w:shd w:val="clear" w:color="auto" w:fill="F2F2F2"/>
          </w:tcPr>
          <w:p w:rsidR="002728E9" w:rsidRPr="00337C97" w:rsidRDefault="00F040A0"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Examining risk disclosures in the annual reports.</w:t>
            </w:r>
          </w:p>
        </w:tc>
        <w:tc>
          <w:tcPr>
            <w:tcW w:w="1645" w:type="dxa"/>
            <w:tcBorders>
              <w:top w:val="single" w:sz="4" w:space="0" w:color="auto"/>
              <w:left w:val="nil"/>
              <w:bottom w:val="single" w:sz="4" w:space="0" w:color="auto"/>
              <w:right w:val="nil"/>
            </w:tcBorders>
            <w:shd w:val="clear" w:color="auto" w:fill="F2F2F2"/>
          </w:tcPr>
          <w:p w:rsidR="002728E9" w:rsidRPr="00337C97" w:rsidRDefault="00F040A0"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46 nonfinancial companies;</w:t>
            </w:r>
          </w:p>
          <w:p w:rsidR="00F040A0" w:rsidRPr="00337C97" w:rsidRDefault="00F040A0"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Belgium;</w:t>
            </w:r>
          </w:p>
          <w:p w:rsidR="00F040A0" w:rsidRPr="00337C97" w:rsidRDefault="00F040A0"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2006</w:t>
            </w:r>
          </w:p>
        </w:tc>
        <w:tc>
          <w:tcPr>
            <w:tcW w:w="1842" w:type="dxa"/>
            <w:tcBorders>
              <w:top w:val="single" w:sz="4" w:space="0" w:color="auto"/>
              <w:left w:val="nil"/>
              <w:bottom w:val="single" w:sz="4" w:space="0" w:color="auto"/>
              <w:right w:val="nil"/>
            </w:tcBorders>
            <w:shd w:val="clear" w:color="auto" w:fill="F2F2F2"/>
          </w:tcPr>
          <w:p w:rsidR="002728E9" w:rsidRPr="00337C97" w:rsidRDefault="00F040A0"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Content analysis </w:t>
            </w:r>
            <w:r w:rsidR="003839DF" w:rsidRPr="00337C97">
              <w:rPr>
                <w:rFonts w:asciiTheme="minorHAnsi" w:hAnsiTheme="minorHAnsi" w:cs="Times New Roman"/>
                <w:sz w:val="20"/>
                <w:szCs w:val="20"/>
                <w:lang w:val="en-US"/>
              </w:rPr>
              <w:t xml:space="preserve">by means of a sentence-based approach </w:t>
            </w:r>
            <w:r w:rsidRPr="00337C97">
              <w:rPr>
                <w:rFonts w:asciiTheme="minorHAnsi" w:hAnsiTheme="minorHAnsi" w:cs="Times New Roman"/>
                <w:sz w:val="20"/>
                <w:szCs w:val="20"/>
                <w:lang w:val="en-US"/>
              </w:rPr>
              <w:t>to identify risk disclosures.</w:t>
            </w:r>
          </w:p>
        </w:tc>
        <w:tc>
          <w:tcPr>
            <w:tcW w:w="2977" w:type="dxa"/>
            <w:tcBorders>
              <w:top w:val="single" w:sz="4" w:space="0" w:color="auto"/>
              <w:left w:val="nil"/>
              <w:bottom w:val="single" w:sz="4" w:space="0" w:color="auto"/>
              <w:right w:val="single" w:sz="4" w:space="0" w:color="auto"/>
            </w:tcBorders>
            <w:shd w:val="clear" w:color="auto" w:fill="F2F2F2"/>
          </w:tcPr>
          <w:p w:rsidR="002728E9" w:rsidRPr="00337C97" w:rsidRDefault="00F040A0" w:rsidP="00A3225D">
            <w:pPr>
              <w:rPr>
                <w:rFonts w:asciiTheme="minorHAnsi" w:hAnsiTheme="minorHAnsi" w:cs="Times New Roman"/>
                <w:sz w:val="20"/>
                <w:szCs w:val="20"/>
                <w:lang w:val="en-US"/>
              </w:rPr>
            </w:pPr>
            <w:r w:rsidRPr="00337C97">
              <w:rPr>
                <w:rFonts w:asciiTheme="minorHAnsi" w:hAnsiTheme="minorHAnsi" w:cs="Times New Roman"/>
                <w:sz w:val="20"/>
                <w:szCs w:val="20"/>
                <w:lang w:val="en-US"/>
              </w:rPr>
              <w:t>Financial risk is most disclosed, followed by operational risk. Disclosures on business and legal risks are the least frequent disclosed risks.</w:t>
            </w:r>
          </w:p>
        </w:tc>
      </w:tr>
    </w:tbl>
    <w:p w:rsidR="00A3225D" w:rsidRPr="00337C97" w:rsidRDefault="00A3225D" w:rsidP="00DB7F0E">
      <w:pPr>
        <w:spacing w:line="360" w:lineRule="auto"/>
        <w:rPr>
          <w:rFonts w:asciiTheme="minorHAnsi" w:hAnsiTheme="minorHAnsi" w:cs="Times New Roman"/>
          <w:b/>
          <w:sz w:val="22"/>
          <w:szCs w:val="22"/>
          <w:lang w:val="en-US"/>
        </w:rPr>
      </w:pPr>
    </w:p>
    <w:p w:rsidR="00C93B10" w:rsidRPr="00337C97" w:rsidRDefault="00C93B10" w:rsidP="002558A7">
      <w:pPr>
        <w:spacing w:line="360" w:lineRule="auto"/>
        <w:outlineLvl w:val="1"/>
        <w:rPr>
          <w:rFonts w:asciiTheme="minorHAnsi" w:hAnsiTheme="minorHAnsi" w:cs="Times New Roman"/>
          <w:b/>
          <w:sz w:val="22"/>
          <w:szCs w:val="22"/>
          <w:lang w:val="en-US"/>
        </w:rPr>
      </w:pPr>
      <w:bookmarkStart w:id="238" w:name="_Toc245187900"/>
      <w:bookmarkStart w:id="239" w:name="_Toc269658944"/>
      <w:r w:rsidRPr="00337C97">
        <w:rPr>
          <w:rFonts w:asciiTheme="minorHAnsi" w:hAnsiTheme="minorHAnsi" w:cs="Times New Roman"/>
          <w:b/>
          <w:sz w:val="22"/>
          <w:szCs w:val="22"/>
          <w:lang w:val="en-US"/>
        </w:rPr>
        <w:t>4.4</w:t>
      </w:r>
      <w:r w:rsidRPr="00337C97">
        <w:rPr>
          <w:rFonts w:asciiTheme="minorHAnsi" w:hAnsiTheme="minorHAnsi" w:cs="Times New Roman"/>
          <w:b/>
          <w:sz w:val="22"/>
          <w:szCs w:val="22"/>
          <w:lang w:val="en-US"/>
        </w:rPr>
        <w:tab/>
        <w:t>Factors that influence risk disclosure</w:t>
      </w:r>
      <w:bookmarkEnd w:id="236"/>
      <w:bookmarkEnd w:id="237"/>
      <w:bookmarkEnd w:id="238"/>
      <w:bookmarkEnd w:id="239"/>
    </w:p>
    <w:p w:rsidR="005004E4" w:rsidRPr="00337C97" w:rsidRDefault="002558A7" w:rsidP="002558A7">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This paragraph discusses the literature that relates the extent of risk disclosures to company specific characteristics.</w:t>
      </w:r>
      <w:r w:rsidR="0067227E" w:rsidRPr="00337C97">
        <w:rPr>
          <w:rFonts w:asciiTheme="minorHAnsi" w:hAnsiTheme="minorHAnsi" w:cs="Times New Roman"/>
          <w:sz w:val="22"/>
          <w:szCs w:val="22"/>
          <w:lang w:val="en-US"/>
        </w:rPr>
        <w:t xml:space="preserve"> First, studies on financial firms (Helbok and Wagner</w:t>
      </w:r>
      <w:r w:rsidR="00FB75B3" w:rsidRPr="00337C97">
        <w:rPr>
          <w:rFonts w:asciiTheme="minorHAnsi" w:hAnsiTheme="minorHAnsi" w:cs="Times New Roman"/>
          <w:sz w:val="22"/>
          <w:szCs w:val="22"/>
          <w:lang w:val="en-US"/>
        </w:rPr>
        <w:t>, 2003;</w:t>
      </w:r>
      <w:r w:rsidR="0067227E" w:rsidRPr="00337C97">
        <w:rPr>
          <w:rFonts w:asciiTheme="minorHAnsi" w:hAnsiTheme="minorHAnsi" w:cs="Times New Roman"/>
          <w:sz w:val="22"/>
          <w:szCs w:val="22"/>
          <w:lang w:val="en-US"/>
        </w:rPr>
        <w:t xml:space="preserve"> Linsley et al., 2006</w:t>
      </w:r>
      <w:r w:rsidR="00FB75B3" w:rsidRPr="00337C97">
        <w:rPr>
          <w:rFonts w:asciiTheme="minorHAnsi" w:hAnsiTheme="minorHAnsi" w:cs="Times New Roman"/>
          <w:sz w:val="22"/>
          <w:szCs w:val="22"/>
          <w:lang w:val="en-US"/>
        </w:rPr>
        <w:t xml:space="preserve"> and Hossain, 2008</w:t>
      </w:r>
      <w:r w:rsidR="0067227E" w:rsidRPr="00337C97">
        <w:rPr>
          <w:rFonts w:asciiTheme="minorHAnsi" w:hAnsiTheme="minorHAnsi" w:cs="Times New Roman"/>
          <w:sz w:val="22"/>
          <w:szCs w:val="22"/>
          <w:lang w:val="en-US"/>
        </w:rPr>
        <w:t>)</w:t>
      </w:r>
      <w:r w:rsidR="00FB75B3" w:rsidRPr="00337C97">
        <w:rPr>
          <w:rFonts w:asciiTheme="minorHAnsi" w:hAnsiTheme="minorHAnsi" w:cs="Times New Roman"/>
          <w:sz w:val="22"/>
          <w:szCs w:val="22"/>
          <w:lang w:val="en-US"/>
        </w:rPr>
        <w:t xml:space="preserve"> </w:t>
      </w:r>
      <w:r w:rsidR="005004E4" w:rsidRPr="00337C97">
        <w:rPr>
          <w:rFonts w:asciiTheme="minorHAnsi" w:hAnsiTheme="minorHAnsi" w:cs="Times New Roman"/>
          <w:sz w:val="22"/>
          <w:szCs w:val="22"/>
          <w:lang w:val="en-US"/>
        </w:rPr>
        <w:t xml:space="preserve">are discussed as these are most relevant for this study. Second, studies on </w:t>
      </w:r>
      <w:r w:rsidR="005004E4" w:rsidRPr="00337C97">
        <w:rPr>
          <w:rFonts w:asciiTheme="minorHAnsi" w:hAnsiTheme="minorHAnsi" w:cs="Times New Roman"/>
          <w:sz w:val="22"/>
          <w:szCs w:val="22"/>
          <w:lang w:val="en-US"/>
        </w:rPr>
        <w:lastRenderedPageBreak/>
        <w:t xml:space="preserve">nonfinancial firms </w:t>
      </w:r>
      <w:r w:rsidR="007D0049" w:rsidRPr="00337C97">
        <w:rPr>
          <w:rFonts w:asciiTheme="minorHAnsi" w:hAnsiTheme="minorHAnsi" w:cs="Times New Roman"/>
          <w:sz w:val="22"/>
          <w:szCs w:val="22"/>
          <w:lang w:val="en-US"/>
        </w:rPr>
        <w:t xml:space="preserve">are analyzed. </w:t>
      </w:r>
      <w:r w:rsidR="00E14061" w:rsidRPr="00337C97">
        <w:rPr>
          <w:rFonts w:asciiTheme="minorHAnsi" w:hAnsiTheme="minorHAnsi" w:cs="Times New Roman"/>
          <w:sz w:val="22"/>
          <w:szCs w:val="22"/>
          <w:lang w:val="en-US"/>
        </w:rPr>
        <w:t xml:space="preserve">Some of these studies are already partly addressed in the previous paragraph. </w:t>
      </w:r>
      <w:r w:rsidR="005004E4" w:rsidRPr="00337C97">
        <w:rPr>
          <w:rFonts w:asciiTheme="minorHAnsi" w:hAnsiTheme="minorHAnsi" w:cs="Times New Roman"/>
          <w:sz w:val="22"/>
          <w:szCs w:val="22"/>
          <w:lang w:val="en-US"/>
        </w:rPr>
        <w:t xml:space="preserve">Finally, prior studies are reviewed to search for additional variables that can have a relationship with disclosure in general and risk disclosure in specific. </w:t>
      </w:r>
    </w:p>
    <w:p w:rsidR="00C93B10" w:rsidRPr="00337C97" w:rsidRDefault="00C93B10" w:rsidP="00101B5A">
      <w:pPr>
        <w:spacing w:line="360" w:lineRule="auto"/>
        <w:jc w:val="both"/>
        <w:rPr>
          <w:rFonts w:asciiTheme="minorHAnsi" w:hAnsiTheme="minorHAnsi" w:cs="Times New Roman"/>
          <w:sz w:val="22"/>
          <w:szCs w:val="22"/>
          <w:lang w:val="en-US"/>
        </w:rPr>
      </w:pPr>
    </w:p>
    <w:p w:rsidR="005004E4" w:rsidRPr="00337C97" w:rsidRDefault="005004E4" w:rsidP="007D0049">
      <w:pPr>
        <w:spacing w:line="360" w:lineRule="auto"/>
        <w:jc w:val="both"/>
        <w:outlineLvl w:val="2"/>
        <w:rPr>
          <w:rFonts w:asciiTheme="minorHAnsi" w:hAnsiTheme="minorHAnsi" w:cs="Times New Roman"/>
          <w:i/>
          <w:sz w:val="22"/>
          <w:szCs w:val="22"/>
          <w:lang w:val="en-US"/>
        </w:rPr>
      </w:pPr>
      <w:bookmarkStart w:id="240" w:name="_Toc245187901"/>
      <w:bookmarkStart w:id="241" w:name="_Toc269658945"/>
      <w:r w:rsidRPr="00337C97">
        <w:rPr>
          <w:rFonts w:asciiTheme="minorHAnsi" w:hAnsiTheme="minorHAnsi" w:cs="Times New Roman"/>
          <w:i/>
          <w:sz w:val="22"/>
          <w:szCs w:val="22"/>
          <w:lang w:val="en-US"/>
        </w:rPr>
        <w:t>4.4.1</w:t>
      </w:r>
      <w:r w:rsidRPr="00337C97">
        <w:rPr>
          <w:rFonts w:asciiTheme="minorHAnsi" w:hAnsiTheme="minorHAnsi" w:cs="Times New Roman"/>
          <w:i/>
          <w:sz w:val="22"/>
          <w:szCs w:val="22"/>
          <w:lang w:val="en-US"/>
        </w:rPr>
        <w:tab/>
        <w:t>Studies on financial firms</w:t>
      </w:r>
      <w:bookmarkEnd w:id="240"/>
      <w:bookmarkEnd w:id="241"/>
    </w:p>
    <w:p w:rsidR="008B2E4F" w:rsidRPr="00337C97" w:rsidRDefault="008B2E4F"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Helbok and Wagner (2003)</w:t>
      </w:r>
    </w:p>
    <w:p w:rsidR="0081515F" w:rsidRPr="00337C97" w:rsidRDefault="005324B8"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Next to investigating the extent and quality of operational risk disclosure by banks, Helbok and Wagner tried to answer the question if there a relationship exists between bank characteristics and disclosure. They chose two ratios as bank characteristics, equity ratio</w:t>
      </w:r>
      <w:r w:rsidR="0081515F" w:rsidRPr="00337C97">
        <w:rPr>
          <w:rFonts w:asciiTheme="minorHAnsi" w:hAnsiTheme="minorHAnsi" w:cs="Times New Roman"/>
          <w:sz w:val="22"/>
          <w:szCs w:val="22"/>
          <w:lang w:val="en-US"/>
        </w:rPr>
        <w:t xml:space="preserve"> (equity / total assets</w:t>
      </w:r>
      <w:r w:rsidR="005853B2" w:rsidRPr="00337C97">
        <w:rPr>
          <w:rFonts w:asciiTheme="minorHAnsi" w:hAnsiTheme="minorHAnsi" w:cs="Times New Roman"/>
          <w:sz w:val="22"/>
          <w:szCs w:val="22"/>
          <w:lang w:val="en-US"/>
        </w:rPr>
        <w:t>, capturing leverage</w:t>
      </w:r>
      <w:r w:rsidR="0081515F"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and profitability ratio</w:t>
      </w:r>
      <w:r w:rsidR="0081515F" w:rsidRPr="00337C97">
        <w:rPr>
          <w:rFonts w:asciiTheme="minorHAnsi" w:hAnsiTheme="minorHAnsi" w:cs="Times New Roman"/>
          <w:sz w:val="22"/>
          <w:szCs w:val="22"/>
          <w:lang w:val="en-US"/>
        </w:rPr>
        <w:t xml:space="preserve"> (net profit / total assets) and used descriptive statistics and a logit model to test whether the financial situation of the sampled banks could explain variation in operational risk disclosure. Results show that relatively less well-capitalized (low equity ratio) and less profitable banks (low profitability ratio) tend to disclose more on operational risk over the 1998 to 2001 period. Less capitalized banks have less of a capital cushion to withstand any large losses from operational risk and therefore seem to have stronger incentives to convey to the market that their operational risks are well managed and under control. </w:t>
      </w:r>
    </w:p>
    <w:p w:rsidR="00697666" w:rsidRDefault="00697666" w:rsidP="00101B5A">
      <w:pPr>
        <w:spacing w:line="360" w:lineRule="auto"/>
        <w:jc w:val="both"/>
        <w:rPr>
          <w:rFonts w:asciiTheme="minorHAnsi" w:hAnsiTheme="minorHAnsi" w:cs="Times New Roman"/>
          <w:sz w:val="22"/>
          <w:szCs w:val="22"/>
          <w:u w:val="single"/>
          <w:lang w:val="en-US"/>
        </w:rPr>
      </w:pPr>
    </w:p>
    <w:p w:rsidR="00A94237" w:rsidRPr="00337C97" w:rsidRDefault="00A94237"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Linsley et al. (2006)</w:t>
      </w:r>
    </w:p>
    <w:p w:rsidR="00A94237" w:rsidRPr="00337C97" w:rsidRDefault="00727313" w:rsidP="00B2497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exploratory </w:t>
      </w:r>
      <w:r w:rsidR="00C631E7" w:rsidRPr="00337C97">
        <w:rPr>
          <w:rFonts w:asciiTheme="minorHAnsi" w:hAnsiTheme="minorHAnsi" w:cs="Times New Roman"/>
          <w:sz w:val="22"/>
          <w:szCs w:val="22"/>
          <w:lang w:val="en-US"/>
        </w:rPr>
        <w:t>study of Linsley et al. seeks to examine the association between the volume of risk disclosures made by banks within their annual reports and potentially relevant variables. Potentially relevant variables were identified as company size, relative profitability</w:t>
      </w:r>
      <w:r w:rsidR="00B2497D" w:rsidRPr="00337C97">
        <w:rPr>
          <w:rFonts w:asciiTheme="minorHAnsi" w:hAnsiTheme="minorHAnsi" w:cs="Times New Roman"/>
          <w:sz w:val="22"/>
          <w:szCs w:val="22"/>
          <w:lang w:val="en-US"/>
        </w:rPr>
        <w:t xml:space="preserve">, level of risk </w:t>
      </w:r>
      <w:r w:rsidR="00C631E7" w:rsidRPr="00337C97">
        <w:rPr>
          <w:rFonts w:asciiTheme="minorHAnsi" w:hAnsiTheme="minorHAnsi" w:cs="Times New Roman"/>
          <w:sz w:val="22"/>
          <w:szCs w:val="22"/>
          <w:lang w:val="en-US"/>
        </w:rPr>
        <w:t>and the quantity</w:t>
      </w:r>
      <w:r w:rsidR="005F1BF5" w:rsidRPr="00337C97">
        <w:rPr>
          <w:rFonts w:asciiTheme="minorHAnsi" w:hAnsiTheme="minorHAnsi" w:cs="Times New Roman"/>
          <w:sz w:val="22"/>
          <w:szCs w:val="22"/>
          <w:lang w:val="en-US"/>
        </w:rPr>
        <w:t xml:space="preserve"> of disclosed risk definitions. They chose total a</w:t>
      </w:r>
      <w:r w:rsidR="009D4E84" w:rsidRPr="00337C97">
        <w:rPr>
          <w:rFonts w:asciiTheme="minorHAnsi" w:hAnsiTheme="minorHAnsi" w:cs="Times New Roman"/>
          <w:sz w:val="22"/>
          <w:szCs w:val="22"/>
          <w:lang w:val="en-US"/>
        </w:rPr>
        <w:t>ssets and market capitalization</w:t>
      </w:r>
      <w:r w:rsidR="005F1BF5" w:rsidRPr="00337C97">
        <w:rPr>
          <w:rFonts w:asciiTheme="minorHAnsi" w:hAnsiTheme="minorHAnsi" w:cs="Times New Roman"/>
          <w:sz w:val="22"/>
          <w:szCs w:val="22"/>
          <w:lang w:val="en-US"/>
        </w:rPr>
        <w:t xml:space="preserve"> to measure bank size. All these variables were expected to have a positive association with the level of risk disclosure. Both measures of </w:t>
      </w:r>
      <w:r w:rsidR="00B2497D" w:rsidRPr="00337C97">
        <w:rPr>
          <w:rFonts w:asciiTheme="minorHAnsi" w:hAnsiTheme="minorHAnsi" w:cs="Times New Roman"/>
          <w:sz w:val="22"/>
          <w:szCs w:val="22"/>
          <w:lang w:val="en-US"/>
        </w:rPr>
        <w:t xml:space="preserve">bank </w:t>
      </w:r>
      <w:r w:rsidR="005F1BF5" w:rsidRPr="00337C97">
        <w:rPr>
          <w:rFonts w:asciiTheme="minorHAnsi" w:hAnsiTheme="minorHAnsi" w:cs="Times New Roman"/>
          <w:sz w:val="22"/>
          <w:szCs w:val="22"/>
          <w:lang w:val="en-US"/>
        </w:rPr>
        <w:t>size and the quantity of disclosed risk definitions indeed showed a positive correlation with the number of ri</w:t>
      </w:r>
      <w:r w:rsidR="00B2497D" w:rsidRPr="00337C97">
        <w:rPr>
          <w:rFonts w:asciiTheme="minorHAnsi" w:hAnsiTheme="minorHAnsi" w:cs="Times New Roman"/>
          <w:sz w:val="22"/>
          <w:szCs w:val="22"/>
          <w:lang w:val="en-US"/>
        </w:rPr>
        <w:t xml:space="preserve">sk disclosures. </w:t>
      </w:r>
      <w:r w:rsidR="005F1BF5" w:rsidRPr="00337C97">
        <w:rPr>
          <w:rFonts w:asciiTheme="minorHAnsi" w:hAnsiTheme="minorHAnsi" w:cs="Times New Roman"/>
          <w:sz w:val="22"/>
          <w:szCs w:val="22"/>
          <w:lang w:val="en-US"/>
        </w:rPr>
        <w:t xml:space="preserve">However, </w:t>
      </w:r>
      <w:r w:rsidR="00B2497D" w:rsidRPr="00337C97">
        <w:rPr>
          <w:rFonts w:asciiTheme="minorHAnsi" w:hAnsiTheme="minorHAnsi" w:cs="Times New Roman"/>
          <w:sz w:val="22"/>
          <w:szCs w:val="22"/>
          <w:lang w:val="en-US"/>
        </w:rPr>
        <w:t>there did not appear to be an association between levels of risk disclosure and either bank profitability or the level of risk within the bank.</w:t>
      </w:r>
    </w:p>
    <w:p w:rsidR="007C3234" w:rsidRPr="00337C97" w:rsidRDefault="007C3234" w:rsidP="00101B5A">
      <w:pPr>
        <w:spacing w:line="360" w:lineRule="auto"/>
        <w:jc w:val="both"/>
        <w:rPr>
          <w:rFonts w:asciiTheme="minorHAnsi" w:hAnsiTheme="minorHAnsi" w:cs="Times New Roman"/>
          <w:sz w:val="22"/>
          <w:szCs w:val="22"/>
          <w:lang w:val="en-US"/>
        </w:rPr>
      </w:pPr>
    </w:p>
    <w:p w:rsidR="00E202A6" w:rsidRPr="00337C97" w:rsidRDefault="00E202A6" w:rsidP="00101B5A">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Hossain (2008)</w:t>
      </w:r>
    </w:p>
    <w:p w:rsidR="00E202A6" w:rsidRPr="00337C97" w:rsidRDefault="00F463AF"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study of Hossain also investigates the association between company characteristics and the extent of disclosure. </w:t>
      </w:r>
      <w:r w:rsidR="00130E15" w:rsidRPr="00337C97">
        <w:rPr>
          <w:rFonts w:asciiTheme="minorHAnsi" w:hAnsiTheme="minorHAnsi" w:cs="Times New Roman"/>
          <w:sz w:val="22"/>
          <w:szCs w:val="22"/>
          <w:lang w:val="en-US"/>
        </w:rPr>
        <w:t>The scores on the disclosure index were then tested against age, size and profitability. Furthermore, Hossain tested the scores against the complexity of business (number of subsidiaries) and assets-in-place, which is the proportion of fixed assets. Hossain argues that a higher proportion of fixed assets lead to lower agency costs and consequently to lower disclosure. Finally, board composition (proportion of non-executive directors) and market discipline (</w:t>
      </w:r>
      <w:r w:rsidR="00493AA6" w:rsidRPr="00337C97">
        <w:rPr>
          <w:rFonts w:asciiTheme="minorHAnsi" w:hAnsiTheme="minorHAnsi" w:cs="Times New Roman"/>
          <w:sz w:val="22"/>
          <w:szCs w:val="22"/>
          <w:lang w:val="en-US"/>
        </w:rPr>
        <w:t>proportion of Non-</w:t>
      </w:r>
      <w:r w:rsidR="00493AA6" w:rsidRPr="00337C97">
        <w:rPr>
          <w:rFonts w:asciiTheme="minorHAnsi" w:hAnsiTheme="minorHAnsi" w:cs="Times New Roman"/>
          <w:sz w:val="22"/>
          <w:szCs w:val="22"/>
          <w:lang w:val="en-US"/>
        </w:rPr>
        <w:lastRenderedPageBreak/>
        <w:t>Performing-Assets and le</w:t>
      </w:r>
      <w:r w:rsidR="00DB7F0E" w:rsidRPr="00337C97">
        <w:rPr>
          <w:rFonts w:asciiTheme="minorHAnsi" w:hAnsiTheme="minorHAnsi" w:cs="Times New Roman"/>
          <w:sz w:val="22"/>
          <w:szCs w:val="22"/>
          <w:lang w:val="en-US"/>
        </w:rPr>
        <w:t>vel of Capital-Adequacy-ratio) were tested for an association with the extent of disclosure.</w:t>
      </w:r>
    </w:p>
    <w:p w:rsidR="00493AA6" w:rsidRPr="00337C97" w:rsidRDefault="00493AA6" w:rsidP="00101B5A">
      <w:pPr>
        <w:spacing w:line="360" w:lineRule="auto"/>
        <w:jc w:val="both"/>
        <w:rPr>
          <w:rFonts w:asciiTheme="minorHAnsi" w:hAnsiTheme="minorHAnsi" w:cs="Times New Roman"/>
          <w:sz w:val="22"/>
          <w:szCs w:val="22"/>
          <w:lang w:val="en-US"/>
        </w:rPr>
      </w:pPr>
    </w:p>
    <w:p w:rsidR="005E59D0" w:rsidRPr="00337C97" w:rsidRDefault="005E59D0" w:rsidP="00101B5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To investigate the effect of each variable on the disclosure level, Hossain set up a (OLS) regression model. The multiple regression model is significant and explains 41% (the adjusted R</w:t>
      </w:r>
      <w:r w:rsidRPr="00337C97">
        <w:rPr>
          <w:rFonts w:asciiTheme="minorHAnsi" w:hAnsiTheme="minorHAnsi" w:cs="Times New Roman"/>
          <w:sz w:val="22"/>
          <w:szCs w:val="22"/>
          <w:vertAlign w:val="superscript"/>
          <w:lang w:val="en-US"/>
        </w:rPr>
        <w:t>2</w:t>
      </w:r>
      <w:r w:rsidRPr="00337C97">
        <w:rPr>
          <w:rFonts w:asciiTheme="minorHAnsi" w:hAnsiTheme="minorHAnsi" w:cs="Times New Roman"/>
          <w:sz w:val="22"/>
          <w:szCs w:val="22"/>
          <w:lang w:val="en-US"/>
        </w:rPr>
        <w:t xml:space="preserve"> is 0.411) in the variation of the disclosure level. Age, complexity of business and assets-in-place were however not statistically significant (at 10%). Size and profitability were significant at the 1% level. The latter indicates that more profitable banking companies disclose significantly more financial information than do less profitable ones.</w:t>
      </w:r>
      <w:r w:rsidR="00C5369E" w:rsidRPr="00337C97">
        <w:rPr>
          <w:rFonts w:asciiTheme="minorHAnsi" w:hAnsiTheme="minorHAnsi" w:cs="Times New Roman"/>
          <w:sz w:val="22"/>
          <w:szCs w:val="22"/>
          <w:lang w:val="en-US"/>
        </w:rPr>
        <w:t xml:space="preserve"> Board composition also turned out to be significant. The proportion of non-executive directors on the board was positively related with the disclosure level. </w:t>
      </w:r>
      <w:r w:rsidR="002A0D02" w:rsidRPr="00337C97">
        <w:rPr>
          <w:rFonts w:asciiTheme="minorHAnsi" w:hAnsiTheme="minorHAnsi" w:cs="Times New Roman"/>
          <w:sz w:val="22"/>
          <w:szCs w:val="22"/>
          <w:lang w:val="en-US"/>
        </w:rPr>
        <w:t>The NPA and CAR ratio</w:t>
      </w:r>
      <w:r w:rsidR="00C5369E" w:rsidRPr="00337C97">
        <w:rPr>
          <w:rFonts w:asciiTheme="minorHAnsi" w:hAnsiTheme="minorHAnsi" w:cs="Times New Roman"/>
          <w:sz w:val="22"/>
          <w:szCs w:val="22"/>
          <w:lang w:val="en-US"/>
        </w:rPr>
        <w:t xml:space="preserve"> (as proxy for market discipline)</w:t>
      </w:r>
      <w:r w:rsidR="002A0D02" w:rsidRPr="00337C97">
        <w:rPr>
          <w:rFonts w:asciiTheme="minorHAnsi" w:hAnsiTheme="minorHAnsi" w:cs="Times New Roman"/>
          <w:sz w:val="22"/>
          <w:szCs w:val="22"/>
          <w:lang w:val="en-US"/>
        </w:rPr>
        <w:t xml:space="preserve"> were both significantly negatively related to the level of disclosure. The reason may be the managements’ conservative motives. In order to comply </w:t>
      </w:r>
      <w:r w:rsidR="00C5369E" w:rsidRPr="00337C97">
        <w:rPr>
          <w:rFonts w:asciiTheme="minorHAnsi" w:hAnsiTheme="minorHAnsi" w:cs="Times New Roman"/>
          <w:sz w:val="22"/>
          <w:szCs w:val="22"/>
          <w:lang w:val="en-US"/>
        </w:rPr>
        <w:t>with</w:t>
      </w:r>
      <w:r w:rsidR="002A0D02" w:rsidRPr="00337C97">
        <w:rPr>
          <w:rFonts w:asciiTheme="minorHAnsi" w:hAnsiTheme="minorHAnsi" w:cs="Times New Roman"/>
          <w:sz w:val="22"/>
          <w:szCs w:val="22"/>
          <w:lang w:val="en-US"/>
        </w:rPr>
        <w:t xml:space="preserve"> ratios as set by the guidelines, banks may pursue low return investments in the hope that a reduction in risk may compensate for the lowering of returns. Therefore, banks will unwillingly limit their voluntary disclosure of information. </w:t>
      </w:r>
    </w:p>
    <w:p w:rsidR="005E59D0" w:rsidRPr="00337C97" w:rsidRDefault="005E59D0" w:rsidP="00101B5A">
      <w:pPr>
        <w:spacing w:line="360" w:lineRule="auto"/>
        <w:jc w:val="both"/>
        <w:rPr>
          <w:rFonts w:asciiTheme="minorHAnsi" w:hAnsiTheme="minorHAnsi" w:cs="Times New Roman"/>
          <w:sz w:val="22"/>
          <w:szCs w:val="22"/>
          <w:lang w:val="en-US"/>
        </w:rPr>
      </w:pPr>
    </w:p>
    <w:p w:rsidR="002558A7" w:rsidRPr="00337C97" w:rsidRDefault="005004E4" w:rsidP="001F0B8E">
      <w:pPr>
        <w:spacing w:line="360" w:lineRule="auto"/>
        <w:jc w:val="both"/>
        <w:outlineLvl w:val="2"/>
        <w:rPr>
          <w:rFonts w:asciiTheme="minorHAnsi" w:hAnsiTheme="minorHAnsi" w:cs="Times New Roman"/>
          <w:i/>
          <w:sz w:val="22"/>
          <w:szCs w:val="22"/>
          <w:lang w:val="en-US"/>
        </w:rPr>
      </w:pPr>
      <w:bookmarkStart w:id="242" w:name="_Toc245187902"/>
      <w:bookmarkStart w:id="243" w:name="_Toc269658946"/>
      <w:r w:rsidRPr="00337C97">
        <w:rPr>
          <w:rFonts w:asciiTheme="minorHAnsi" w:hAnsiTheme="minorHAnsi" w:cs="Times New Roman"/>
          <w:i/>
          <w:sz w:val="22"/>
          <w:szCs w:val="22"/>
          <w:lang w:val="en-US"/>
        </w:rPr>
        <w:t>4.4.2</w:t>
      </w:r>
      <w:r w:rsidRPr="00337C97">
        <w:rPr>
          <w:rFonts w:asciiTheme="minorHAnsi" w:hAnsiTheme="minorHAnsi" w:cs="Times New Roman"/>
          <w:i/>
          <w:sz w:val="22"/>
          <w:szCs w:val="22"/>
          <w:lang w:val="en-US"/>
        </w:rPr>
        <w:tab/>
        <w:t>Studies on nonfinancial firms</w:t>
      </w:r>
      <w:bookmarkEnd w:id="242"/>
      <w:bookmarkEnd w:id="243"/>
    </w:p>
    <w:p w:rsidR="00874E27" w:rsidRPr="00337C97" w:rsidRDefault="00874E27" w:rsidP="001F0B8E">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Beretta and Bozzolan (2004)</w:t>
      </w:r>
    </w:p>
    <w:p w:rsidR="00AD2733" w:rsidRPr="00337C97" w:rsidRDefault="009B3751" w:rsidP="001F0B8E">
      <w:pPr>
        <w:spacing w:line="360" w:lineRule="auto"/>
        <w:jc w:val="both"/>
        <w:rPr>
          <w:rFonts w:asciiTheme="minorHAnsi" w:hAnsiTheme="minorHAnsi" w:cs="Times New Roman"/>
          <w:sz w:val="22"/>
          <w:szCs w:val="22"/>
        </w:rPr>
      </w:pPr>
      <w:r w:rsidRPr="00337C97">
        <w:rPr>
          <w:rFonts w:asciiTheme="minorHAnsi" w:hAnsiTheme="minorHAnsi" w:cs="Times New Roman"/>
          <w:sz w:val="22"/>
          <w:szCs w:val="22"/>
          <w:lang w:val="en-US"/>
        </w:rPr>
        <w:t xml:space="preserve">Both company size and industry variables were tested </w:t>
      </w:r>
      <w:r w:rsidR="00670EFD" w:rsidRPr="00337C97">
        <w:rPr>
          <w:rFonts w:asciiTheme="minorHAnsi" w:hAnsiTheme="minorHAnsi" w:cs="Times New Roman"/>
          <w:sz w:val="22"/>
          <w:szCs w:val="22"/>
          <w:lang w:val="en-US"/>
        </w:rPr>
        <w:t>against</w:t>
      </w:r>
      <w:r w:rsidRPr="00337C97">
        <w:rPr>
          <w:rFonts w:asciiTheme="minorHAnsi" w:hAnsiTheme="minorHAnsi" w:cs="Times New Roman"/>
          <w:sz w:val="22"/>
          <w:szCs w:val="22"/>
          <w:lang w:val="en-US"/>
        </w:rPr>
        <w:t xml:space="preserve"> the extent and quality of risk disclosure. Company size was found to be significant, but type of industry was not statistically significant in explaining the amount of disclosure.</w:t>
      </w:r>
      <w:r w:rsidR="00D866E5" w:rsidRPr="00337C97">
        <w:rPr>
          <w:rFonts w:asciiTheme="minorHAnsi" w:hAnsiTheme="minorHAnsi" w:cs="Times New Roman"/>
          <w:sz w:val="22"/>
          <w:szCs w:val="22"/>
          <w:lang w:val="en-US"/>
        </w:rPr>
        <w:t xml:space="preserve"> However, the authors emphasize on the importance of the type of industry, because the technological and market constraints exerted by the competitive, industrial environment on business models significantly influence the risk profile of companies. Moreover, the </w:t>
      </w:r>
      <w:r w:rsidR="00D866E5" w:rsidRPr="00337C97">
        <w:rPr>
          <w:rFonts w:asciiTheme="minorHAnsi" w:hAnsiTheme="minorHAnsi" w:cs="Times New Roman"/>
          <w:sz w:val="22"/>
          <w:szCs w:val="22"/>
        </w:rPr>
        <w:t xml:space="preserve">types of risks a company faces are strictly related to both the unique critical-success factors and to the typical business models of an industry. </w:t>
      </w:r>
    </w:p>
    <w:p w:rsidR="00D866E5" w:rsidRPr="00337C97" w:rsidRDefault="00D866E5" w:rsidP="001F0B8E">
      <w:pPr>
        <w:spacing w:line="360" w:lineRule="auto"/>
        <w:jc w:val="both"/>
        <w:rPr>
          <w:rFonts w:asciiTheme="minorHAnsi" w:hAnsiTheme="minorHAnsi" w:cs="Times New Roman"/>
          <w:sz w:val="22"/>
          <w:szCs w:val="22"/>
        </w:rPr>
      </w:pPr>
    </w:p>
    <w:p w:rsidR="003247B8" w:rsidRPr="00337C97" w:rsidRDefault="003247B8" w:rsidP="001F0B8E">
      <w:pPr>
        <w:spacing w:line="360" w:lineRule="auto"/>
        <w:jc w:val="both"/>
        <w:rPr>
          <w:rFonts w:asciiTheme="minorHAnsi" w:hAnsiTheme="minorHAnsi" w:cs="Times New Roman"/>
          <w:sz w:val="22"/>
          <w:szCs w:val="22"/>
          <w:u w:val="single"/>
        </w:rPr>
      </w:pPr>
      <w:r w:rsidRPr="00337C97">
        <w:rPr>
          <w:rFonts w:asciiTheme="minorHAnsi" w:hAnsiTheme="minorHAnsi" w:cs="Times New Roman"/>
          <w:sz w:val="22"/>
          <w:szCs w:val="22"/>
          <w:u w:val="single"/>
        </w:rPr>
        <w:t>Lajili and Zeghal (2005)</w:t>
      </w:r>
    </w:p>
    <w:p w:rsidR="00434791" w:rsidRPr="00337C97" w:rsidRDefault="00121F67" w:rsidP="00121F67">
      <w:pPr>
        <w:spacing w:line="360" w:lineRule="auto"/>
        <w:jc w:val="both"/>
        <w:rPr>
          <w:rFonts w:asciiTheme="minorHAnsi" w:hAnsiTheme="minorHAnsi" w:cs="Times New Roman"/>
          <w:sz w:val="22"/>
          <w:szCs w:val="22"/>
        </w:rPr>
      </w:pPr>
      <w:r w:rsidRPr="00337C97">
        <w:rPr>
          <w:rFonts w:asciiTheme="minorHAnsi" w:hAnsiTheme="minorHAnsi" w:cs="Times New Roman"/>
          <w:sz w:val="22"/>
          <w:szCs w:val="22"/>
        </w:rPr>
        <w:t>Next to examining compulsory and voluntary risk reporting for a sample of companies listed on the Canadian stock exchange, Lajili and Zeghal also tested for relationships between the quantity of compulsory and voluntary risk reporting and firm-specific characteristics. Performing bivariate tests, no relationship is found between the quantity of compulsory and voluntary risk reporting and firm size</w:t>
      </w:r>
      <w:r w:rsidR="009A61A1" w:rsidRPr="00337C97">
        <w:rPr>
          <w:rFonts w:asciiTheme="minorHAnsi" w:hAnsiTheme="minorHAnsi" w:cs="Times New Roman"/>
          <w:sz w:val="22"/>
          <w:szCs w:val="22"/>
        </w:rPr>
        <w:t xml:space="preserve"> (total assets)</w:t>
      </w:r>
      <w:r w:rsidRPr="00337C97">
        <w:rPr>
          <w:rFonts w:asciiTheme="minorHAnsi" w:hAnsiTheme="minorHAnsi" w:cs="Times New Roman"/>
          <w:sz w:val="22"/>
          <w:szCs w:val="22"/>
        </w:rPr>
        <w:t xml:space="preserve">, </w:t>
      </w:r>
      <w:r w:rsidR="009A61A1" w:rsidRPr="00337C97">
        <w:rPr>
          <w:rFonts w:asciiTheme="minorHAnsi" w:hAnsiTheme="minorHAnsi" w:cs="Times New Roman"/>
          <w:sz w:val="22"/>
          <w:szCs w:val="22"/>
        </w:rPr>
        <w:t>profitability (</w:t>
      </w:r>
      <w:r w:rsidR="00443FAD" w:rsidRPr="00337C97">
        <w:rPr>
          <w:rFonts w:asciiTheme="minorHAnsi" w:hAnsiTheme="minorHAnsi" w:cs="Times New Roman"/>
          <w:sz w:val="22"/>
          <w:szCs w:val="22"/>
        </w:rPr>
        <w:t>profit</w:t>
      </w:r>
      <w:r w:rsidR="009A61A1" w:rsidRPr="00337C97">
        <w:rPr>
          <w:rFonts w:asciiTheme="minorHAnsi" w:hAnsiTheme="minorHAnsi" w:cs="Times New Roman"/>
          <w:sz w:val="22"/>
          <w:szCs w:val="22"/>
        </w:rPr>
        <w:t>s)</w:t>
      </w:r>
      <w:r w:rsidR="00443FAD" w:rsidRPr="00337C97">
        <w:rPr>
          <w:rFonts w:asciiTheme="minorHAnsi" w:hAnsiTheme="minorHAnsi" w:cs="Times New Roman"/>
          <w:sz w:val="22"/>
          <w:szCs w:val="22"/>
        </w:rPr>
        <w:t>, beta (</w:t>
      </w:r>
      <w:r w:rsidR="0078514A" w:rsidRPr="00337C97">
        <w:rPr>
          <w:rFonts w:asciiTheme="minorHAnsi" w:hAnsiTheme="minorHAnsi" w:cs="Times New Roman"/>
          <w:sz w:val="22"/>
          <w:szCs w:val="22"/>
        </w:rPr>
        <w:t>β), or leverage</w:t>
      </w:r>
      <w:r w:rsidR="009A61A1" w:rsidRPr="00337C97">
        <w:rPr>
          <w:rFonts w:asciiTheme="minorHAnsi" w:hAnsiTheme="minorHAnsi" w:cs="Times New Roman"/>
          <w:sz w:val="22"/>
          <w:szCs w:val="22"/>
        </w:rPr>
        <w:t xml:space="preserve"> (debt/equity and debt/total assets)</w:t>
      </w:r>
      <w:r w:rsidR="0078514A" w:rsidRPr="00337C97">
        <w:rPr>
          <w:rFonts w:asciiTheme="minorHAnsi" w:hAnsiTheme="minorHAnsi" w:cs="Times New Roman"/>
          <w:sz w:val="22"/>
          <w:szCs w:val="22"/>
        </w:rPr>
        <w:t xml:space="preserve">. </w:t>
      </w:r>
    </w:p>
    <w:p w:rsidR="00E14061" w:rsidRDefault="00E14061" w:rsidP="001F0B8E">
      <w:pPr>
        <w:spacing w:line="360" w:lineRule="auto"/>
        <w:jc w:val="both"/>
        <w:rPr>
          <w:rFonts w:asciiTheme="minorHAnsi" w:hAnsiTheme="minorHAnsi" w:cs="Times New Roman"/>
          <w:sz w:val="22"/>
          <w:szCs w:val="22"/>
        </w:rPr>
      </w:pPr>
    </w:p>
    <w:p w:rsidR="00697666" w:rsidRDefault="00697666">
      <w:pPr>
        <w:rPr>
          <w:rFonts w:asciiTheme="minorHAnsi" w:hAnsiTheme="minorHAnsi" w:cs="Times New Roman"/>
          <w:sz w:val="22"/>
          <w:szCs w:val="22"/>
          <w:u w:val="single"/>
        </w:rPr>
      </w:pPr>
      <w:r>
        <w:rPr>
          <w:rFonts w:asciiTheme="minorHAnsi" w:hAnsiTheme="minorHAnsi" w:cs="Times New Roman"/>
          <w:sz w:val="22"/>
          <w:szCs w:val="22"/>
          <w:u w:val="single"/>
        </w:rPr>
        <w:br w:type="page"/>
      </w:r>
    </w:p>
    <w:p w:rsidR="00A3225D" w:rsidRPr="00337C97" w:rsidRDefault="008B2E4F" w:rsidP="001F0B8E">
      <w:pPr>
        <w:spacing w:line="360" w:lineRule="auto"/>
        <w:jc w:val="both"/>
        <w:rPr>
          <w:rFonts w:asciiTheme="minorHAnsi" w:hAnsiTheme="minorHAnsi" w:cs="Times New Roman"/>
          <w:sz w:val="22"/>
          <w:szCs w:val="22"/>
          <w:u w:val="single"/>
        </w:rPr>
      </w:pPr>
      <w:r w:rsidRPr="00337C97">
        <w:rPr>
          <w:rFonts w:asciiTheme="minorHAnsi" w:hAnsiTheme="minorHAnsi" w:cs="Times New Roman"/>
          <w:sz w:val="22"/>
          <w:szCs w:val="22"/>
          <w:u w:val="single"/>
        </w:rPr>
        <w:lastRenderedPageBreak/>
        <w:t>Linsley and Shrives (2005b)</w:t>
      </w:r>
    </w:p>
    <w:p w:rsidR="00D866E5" w:rsidRPr="00337C97" w:rsidRDefault="009B3751" w:rsidP="001F0B8E">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rPr>
        <w:t>Linsley and Shrives tested for relationships between the number of risk disclosures within the annual</w:t>
      </w:r>
      <w:r w:rsidRPr="00337C97">
        <w:rPr>
          <w:rFonts w:asciiTheme="minorHAnsi" w:hAnsiTheme="minorHAnsi" w:cs="Times New Roman"/>
          <w:sz w:val="22"/>
          <w:szCs w:val="22"/>
          <w:lang w:val="en-US"/>
        </w:rPr>
        <w:t xml:space="preserve"> report and the level of risk within the company or the size of the company. A major difficulty is determining an appropriate measure for a company’s risk level. </w:t>
      </w:r>
      <w:r w:rsidR="008E6A18" w:rsidRPr="00337C97">
        <w:rPr>
          <w:rFonts w:asciiTheme="minorHAnsi" w:hAnsiTheme="minorHAnsi" w:cs="Times New Roman"/>
          <w:sz w:val="22"/>
          <w:szCs w:val="22"/>
          <w:lang w:val="en-US"/>
        </w:rPr>
        <w:t>Therefore, the authors used five measures although all have limitations and none of them can be justified as superior to any other measure. These measures were: asset cover, gearing ratio, beta factor, ratio of book value of equity to market value of equity and QuiScore</w:t>
      </w:r>
      <w:r w:rsidR="008E6A18" w:rsidRPr="00337C97">
        <w:rPr>
          <w:rStyle w:val="Voetnootmarkering"/>
          <w:rFonts w:asciiTheme="minorHAnsi" w:hAnsiTheme="minorHAnsi" w:cs="Times New Roman"/>
          <w:sz w:val="22"/>
          <w:szCs w:val="22"/>
          <w:lang w:val="en-US"/>
        </w:rPr>
        <w:footnoteReference w:id="6"/>
      </w:r>
      <w:r w:rsidR="008E6A18" w:rsidRPr="00337C97">
        <w:rPr>
          <w:rFonts w:asciiTheme="minorHAnsi" w:hAnsiTheme="minorHAnsi" w:cs="Times New Roman"/>
          <w:sz w:val="22"/>
          <w:szCs w:val="22"/>
          <w:lang w:val="en-US"/>
        </w:rPr>
        <w:t xml:space="preserve">. However, none of the risk measures showed a significant association with the number of risk disclosures. </w:t>
      </w:r>
      <w:r w:rsidR="00D866E5" w:rsidRPr="00337C97">
        <w:rPr>
          <w:rFonts w:asciiTheme="minorHAnsi" w:hAnsiTheme="minorHAnsi" w:cs="Times New Roman"/>
          <w:sz w:val="22"/>
          <w:szCs w:val="22"/>
          <w:lang w:val="en-US"/>
        </w:rPr>
        <w:t xml:space="preserve">Therefore higher risk companies are not naturally disclosing more information in an effort to better explain the causes of their risks or how they are being managed. </w:t>
      </w:r>
    </w:p>
    <w:p w:rsidR="001878C1" w:rsidRPr="00337C97" w:rsidRDefault="001878C1" w:rsidP="001F0B8E">
      <w:pPr>
        <w:spacing w:line="360" w:lineRule="auto"/>
        <w:jc w:val="both"/>
        <w:rPr>
          <w:rFonts w:asciiTheme="minorHAnsi" w:hAnsiTheme="minorHAnsi" w:cs="Times New Roman"/>
          <w:sz w:val="22"/>
          <w:szCs w:val="22"/>
          <w:lang w:val="en-US"/>
        </w:rPr>
      </w:pPr>
    </w:p>
    <w:p w:rsidR="00D866E5" w:rsidRPr="00337C97" w:rsidRDefault="00D866E5" w:rsidP="001F0B8E">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Next to the level of risk, Linsley and Shrives tested for the relationship between level of risk disclosure and the size of the company. This relationship is thought to hold because larger companies have greater numbers of stakeholders</w:t>
      </w:r>
      <w:r w:rsidR="00B25C64" w:rsidRPr="00337C97">
        <w:rPr>
          <w:rFonts w:asciiTheme="minorHAnsi" w:hAnsiTheme="minorHAnsi" w:cs="Times New Roman"/>
          <w:sz w:val="22"/>
          <w:szCs w:val="22"/>
          <w:lang w:val="en-US"/>
        </w:rPr>
        <w:t xml:space="preserve"> to whom they are accountable and as a consequence they must provide more information. To measure company size, Linsley and Shrives used market value and turnover. For both measures there was a statistically significant correlation existing between the number of risk disclosures and the size variables.</w:t>
      </w:r>
    </w:p>
    <w:p w:rsidR="008E6A18" w:rsidRPr="00337C97" w:rsidRDefault="008E6A18" w:rsidP="008E6A18">
      <w:pPr>
        <w:spacing w:line="360" w:lineRule="auto"/>
        <w:jc w:val="both"/>
        <w:rPr>
          <w:rFonts w:asciiTheme="minorHAnsi" w:hAnsiTheme="minorHAnsi" w:cs="Times New Roman"/>
          <w:sz w:val="22"/>
          <w:szCs w:val="22"/>
          <w:lang w:val="en-US"/>
        </w:rPr>
      </w:pPr>
    </w:p>
    <w:p w:rsidR="00A94237" w:rsidRPr="00337C97" w:rsidRDefault="00D866E5" w:rsidP="00A94237">
      <w:pPr>
        <w:spacing w:line="360" w:lineRule="auto"/>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L</w:t>
      </w:r>
      <w:r w:rsidR="00A94237" w:rsidRPr="00337C97">
        <w:rPr>
          <w:rFonts w:asciiTheme="minorHAnsi" w:hAnsiTheme="minorHAnsi" w:cs="Times New Roman"/>
          <w:sz w:val="22"/>
          <w:szCs w:val="22"/>
          <w:u w:val="single"/>
          <w:lang w:val="en-US"/>
        </w:rPr>
        <w:t>insley and Shrives (2006)</w:t>
      </w:r>
    </w:p>
    <w:p w:rsidR="001D3AFC" w:rsidRPr="00337C97" w:rsidRDefault="0000700C" w:rsidP="00D54031">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 2006, Linsley and Shrives performed another analysis on the gathered data in their previous study (2005b). </w:t>
      </w:r>
      <w:r w:rsidR="004C69FE" w:rsidRPr="00337C97">
        <w:rPr>
          <w:rFonts w:asciiTheme="minorHAnsi" w:hAnsiTheme="minorHAnsi" w:cs="Times New Roman"/>
          <w:sz w:val="22"/>
          <w:szCs w:val="22"/>
          <w:lang w:val="en-US"/>
        </w:rPr>
        <w:t xml:space="preserve">Again they tested for relationships between the level of risk disclosure and both company size and level of risk within the company. </w:t>
      </w:r>
      <w:r w:rsidR="00D8472A" w:rsidRPr="00337C97">
        <w:rPr>
          <w:rFonts w:asciiTheme="minorHAnsi" w:hAnsiTheme="minorHAnsi" w:cs="Times New Roman"/>
          <w:sz w:val="22"/>
          <w:szCs w:val="22"/>
          <w:lang w:val="en-US"/>
        </w:rPr>
        <w:t xml:space="preserve">Next to the five measures mentioned in the 2005b research, the authors added two new measures for capturing the level of company risk: </w:t>
      </w:r>
      <w:r w:rsidR="00D54031" w:rsidRPr="00337C97">
        <w:rPr>
          <w:rFonts w:asciiTheme="minorHAnsi" w:hAnsiTheme="minorHAnsi" w:cs="Times New Roman"/>
          <w:sz w:val="22"/>
          <w:szCs w:val="22"/>
          <w:lang w:val="en-US"/>
        </w:rPr>
        <w:t xml:space="preserve">Innovest </w:t>
      </w:r>
      <w:r w:rsidR="00D8472A" w:rsidRPr="00337C97">
        <w:rPr>
          <w:rFonts w:asciiTheme="minorHAnsi" w:hAnsiTheme="minorHAnsi" w:cs="Times New Roman"/>
          <w:sz w:val="22"/>
          <w:szCs w:val="22"/>
          <w:lang w:val="en-US"/>
        </w:rPr>
        <w:t>EcoValue</w:t>
      </w:r>
      <w:r w:rsidR="00D54031" w:rsidRPr="00337C97">
        <w:rPr>
          <w:rFonts w:asciiTheme="minorHAnsi" w:hAnsiTheme="minorHAnsi" w:cs="Times New Roman"/>
          <w:sz w:val="22"/>
          <w:szCs w:val="22"/>
          <w:lang w:val="en-US"/>
        </w:rPr>
        <w:t xml:space="preserve">‘21™ ratings and the BiE (Business in the Community Index of Corporate Environmental Engagement) index score. Both EcoValue‘21™ ratings and BiE Index scores </w:t>
      </w:r>
      <w:r w:rsidR="001D3AFC" w:rsidRPr="00337C97">
        <w:rPr>
          <w:rFonts w:asciiTheme="minorHAnsi" w:hAnsiTheme="minorHAnsi" w:cs="Times New Roman"/>
          <w:sz w:val="22"/>
          <w:szCs w:val="22"/>
          <w:lang w:val="en-US"/>
        </w:rPr>
        <w:t>aim to capture</w:t>
      </w:r>
      <w:r w:rsidR="00D54031" w:rsidRPr="00337C97">
        <w:rPr>
          <w:rFonts w:asciiTheme="minorHAnsi" w:hAnsiTheme="minorHAnsi" w:cs="Times New Roman"/>
          <w:sz w:val="22"/>
          <w:szCs w:val="22"/>
          <w:lang w:val="en-US"/>
        </w:rPr>
        <w:t xml:space="preserve"> the level of environmental risk of individual companies. </w:t>
      </w:r>
      <w:r w:rsidR="001D3AFC" w:rsidRPr="00337C97">
        <w:rPr>
          <w:rFonts w:asciiTheme="minorHAnsi" w:hAnsiTheme="minorHAnsi" w:cs="Times New Roman"/>
          <w:sz w:val="22"/>
          <w:szCs w:val="22"/>
          <w:lang w:val="en-US"/>
        </w:rPr>
        <w:t>For both measures, the authors find a positive correlation with the number of risk disclosures. The authors carefully conclude that this implies that companies with lower levels of environmental risk are disclosing greater amounts of risk information.</w:t>
      </w:r>
    </w:p>
    <w:p w:rsidR="001D3AFC" w:rsidRPr="00337C97" w:rsidRDefault="001D3AFC" w:rsidP="00D54031">
      <w:pPr>
        <w:spacing w:line="360" w:lineRule="auto"/>
        <w:jc w:val="both"/>
        <w:rPr>
          <w:rFonts w:asciiTheme="minorHAnsi" w:hAnsiTheme="minorHAnsi" w:cs="Times New Roman"/>
          <w:sz w:val="22"/>
          <w:szCs w:val="22"/>
          <w:lang w:val="en-US"/>
        </w:rPr>
      </w:pPr>
    </w:p>
    <w:p w:rsidR="00A94237" w:rsidRPr="00337C97" w:rsidRDefault="00A94237" w:rsidP="009866E5">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Abraham and Cox (2007)</w:t>
      </w:r>
    </w:p>
    <w:p w:rsidR="000C20B5" w:rsidRPr="00337C97" w:rsidRDefault="00312C01"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study by Abraham and Cox analyzes the determinants of narrative risk information in UK FTSE 100 annual reports. Ownership, governance and US listing characteristics are related to the extent of risk information. </w:t>
      </w:r>
      <w:r w:rsidR="00A22CC8" w:rsidRPr="00337C97">
        <w:rPr>
          <w:rFonts w:asciiTheme="minorHAnsi" w:hAnsiTheme="minorHAnsi" w:cs="Times New Roman"/>
          <w:sz w:val="22"/>
          <w:szCs w:val="22"/>
          <w:lang w:val="en-US"/>
        </w:rPr>
        <w:t xml:space="preserve">They contributed to the research on risk reporting by identifying ownership and </w:t>
      </w:r>
      <w:r w:rsidR="00A22CC8" w:rsidRPr="00337C97">
        <w:rPr>
          <w:rFonts w:asciiTheme="minorHAnsi" w:hAnsiTheme="minorHAnsi" w:cs="Times New Roman"/>
          <w:sz w:val="22"/>
          <w:szCs w:val="22"/>
          <w:lang w:val="en-US"/>
        </w:rPr>
        <w:lastRenderedPageBreak/>
        <w:t>governance as determinants to risk reporting. Ownership and governance factors may play a vital role in firm’s risk reporting because the annual report is prepared by the directors for share owners. The relationship between risk disclosure and corporate ownership and governance is of interest to regulators because institutional owners and independent directors are expected to reduce agency problems and thus lessen the need for regulatory intervention in corporate reporting.</w:t>
      </w:r>
      <w:r w:rsidR="00320780" w:rsidRPr="00337C97">
        <w:rPr>
          <w:rFonts w:asciiTheme="minorHAnsi" w:hAnsiTheme="minorHAnsi" w:cs="Times New Roman"/>
          <w:sz w:val="22"/>
          <w:szCs w:val="22"/>
          <w:lang w:val="en-US"/>
        </w:rPr>
        <w:t xml:space="preserve"> Finally, Abraham and Cox look whether </w:t>
      </w:r>
      <w:r w:rsidR="000C20B5" w:rsidRPr="00337C97">
        <w:rPr>
          <w:rFonts w:asciiTheme="minorHAnsi" w:hAnsiTheme="minorHAnsi" w:cs="Times New Roman"/>
          <w:sz w:val="22"/>
          <w:szCs w:val="22"/>
          <w:lang w:val="en-US"/>
        </w:rPr>
        <w:t xml:space="preserve">the fact that </w:t>
      </w:r>
      <w:r w:rsidR="00320780" w:rsidRPr="00337C97">
        <w:rPr>
          <w:rFonts w:asciiTheme="minorHAnsi" w:hAnsiTheme="minorHAnsi" w:cs="Times New Roman"/>
          <w:sz w:val="22"/>
          <w:szCs w:val="22"/>
          <w:lang w:val="en-US"/>
        </w:rPr>
        <w:t>UK companies that are dual listed in the US also have influence on the extent of risk information. UK firms with such a listing are required to reconcile financial statements to US accounting standards and submit this via a 20F disclosure to the SEC. US reporting standards require additional risk disclosures compared to the UK regulation and therefore the authors expect that UK firms listed in the US disclose a greater amount of risk disclosure in the UK annual report.</w:t>
      </w:r>
    </w:p>
    <w:p w:rsidR="000C20B5" w:rsidRPr="00337C97" w:rsidRDefault="000C20B5" w:rsidP="00D1629F">
      <w:pPr>
        <w:spacing w:line="360" w:lineRule="auto"/>
        <w:jc w:val="both"/>
        <w:rPr>
          <w:rFonts w:asciiTheme="minorHAnsi" w:hAnsiTheme="minorHAnsi" w:cs="Times New Roman"/>
          <w:sz w:val="22"/>
          <w:szCs w:val="22"/>
          <w:lang w:val="en-US"/>
        </w:rPr>
      </w:pPr>
    </w:p>
    <w:p w:rsidR="006D681D" w:rsidRPr="00337C97" w:rsidRDefault="00765A25"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Their sample consisted of </w:t>
      </w:r>
      <w:r w:rsidR="00812472" w:rsidRPr="00337C97">
        <w:rPr>
          <w:rFonts w:asciiTheme="minorHAnsi" w:hAnsiTheme="minorHAnsi" w:cs="Times New Roman"/>
          <w:sz w:val="22"/>
          <w:szCs w:val="22"/>
          <w:lang w:val="en-US"/>
        </w:rPr>
        <w:t>79</w:t>
      </w:r>
      <w:r w:rsidRPr="00337C97">
        <w:rPr>
          <w:rFonts w:asciiTheme="minorHAnsi" w:hAnsiTheme="minorHAnsi" w:cs="Times New Roman"/>
          <w:sz w:val="22"/>
          <w:szCs w:val="22"/>
          <w:lang w:val="en-US"/>
        </w:rPr>
        <w:t xml:space="preserve"> nonfinancial companies in the UK FTSE 100 index and they investigated the 2002 annual reports</w:t>
      </w:r>
      <w:r w:rsidR="00320780" w:rsidRPr="00337C97">
        <w:rPr>
          <w:rFonts w:asciiTheme="minorHAnsi" w:hAnsiTheme="minorHAnsi" w:cs="Times New Roman"/>
          <w:sz w:val="22"/>
          <w:szCs w:val="22"/>
          <w:lang w:val="en-US"/>
        </w:rPr>
        <w:t xml:space="preserve">. They performed content analysis on three types of narrative risk information, business risk, financial risk and internal control risk. </w:t>
      </w:r>
      <w:r w:rsidR="00312C01" w:rsidRPr="00337C97">
        <w:rPr>
          <w:rFonts w:asciiTheme="minorHAnsi" w:hAnsiTheme="minorHAnsi" w:cs="Times New Roman"/>
          <w:sz w:val="22"/>
          <w:szCs w:val="22"/>
          <w:lang w:val="en-US"/>
        </w:rPr>
        <w:t>T</w:t>
      </w:r>
      <w:r w:rsidR="009127EC" w:rsidRPr="00337C97">
        <w:rPr>
          <w:rFonts w:asciiTheme="minorHAnsi" w:hAnsiTheme="minorHAnsi" w:cs="Times New Roman"/>
          <w:sz w:val="22"/>
          <w:szCs w:val="22"/>
          <w:lang w:val="en-US"/>
        </w:rPr>
        <w:t xml:space="preserve">he results indicated </w:t>
      </w:r>
      <w:r w:rsidR="00312C01" w:rsidRPr="00337C97">
        <w:rPr>
          <w:rFonts w:asciiTheme="minorHAnsi" w:hAnsiTheme="minorHAnsi" w:cs="Times New Roman"/>
          <w:sz w:val="22"/>
          <w:szCs w:val="22"/>
          <w:lang w:val="en-US"/>
        </w:rPr>
        <w:t xml:space="preserve">that corporate risk reporting is negatively related to share ownership by long-term institutions. Therefore the authors conclude that this important class of institutional investor has investment preferences for firms with a lower level of risk disclosure. Concerning governance, Abraham and Cox find both the number of executive and the number of independent directors positively related to the level of corporate risk reporting. This association was not found with the number of </w:t>
      </w:r>
      <w:r w:rsidR="000464FA" w:rsidRPr="00337C97">
        <w:rPr>
          <w:rFonts w:asciiTheme="minorHAnsi" w:hAnsiTheme="minorHAnsi" w:cs="Times New Roman"/>
          <w:sz w:val="22"/>
          <w:szCs w:val="22"/>
          <w:lang w:val="en-US"/>
        </w:rPr>
        <w:t xml:space="preserve">dependent nonexecutive directors. This notion supports the emphasis on the independency of non-executive directors for good corporate governance. </w:t>
      </w:r>
      <w:r w:rsidR="00946277" w:rsidRPr="00337C97">
        <w:rPr>
          <w:rFonts w:asciiTheme="minorHAnsi" w:hAnsiTheme="minorHAnsi" w:cs="Times New Roman"/>
          <w:sz w:val="22"/>
          <w:szCs w:val="22"/>
          <w:lang w:val="en-US"/>
        </w:rPr>
        <w:t>Finally</w:t>
      </w:r>
      <w:r w:rsidR="00396506" w:rsidRPr="00337C97">
        <w:rPr>
          <w:rFonts w:asciiTheme="minorHAnsi" w:hAnsiTheme="minorHAnsi" w:cs="Times New Roman"/>
          <w:sz w:val="22"/>
          <w:szCs w:val="22"/>
          <w:lang w:val="en-US"/>
        </w:rPr>
        <w:t xml:space="preserve">, the study found that UK </w:t>
      </w:r>
      <w:r w:rsidR="006D681D" w:rsidRPr="00337C97">
        <w:rPr>
          <w:rFonts w:asciiTheme="minorHAnsi" w:hAnsiTheme="minorHAnsi" w:cs="Times New Roman"/>
          <w:sz w:val="22"/>
          <w:szCs w:val="22"/>
          <w:lang w:val="en-US"/>
        </w:rPr>
        <w:t>firms</w:t>
      </w:r>
      <w:r w:rsidR="00396506" w:rsidRPr="00337C97">
        <w:rPr>
          <w:rFonts w:asciiTheme="minorHAnsi" w:hAnsiTheme="minorHAnsi" w:cs="Times New Roman"/>
          <w:sz w:val="22"/>
          <w:szCs w:val="22"/>
          <w:lang w:val="en-US"/>
        </w:rPr>
        <w:t xml:space="preserve"> </w:t>
      </w:r>
      <w:r w:rsidR="006D681D" w:rsidRPr="00337C97">
        <w:rPr>
          <w:rFonts w:asciiTheme="minorHAnsi" w:hAnsiTheme="minorHAnsi" w:cs="Times New Roman"/>
          <w:sz w:val="22"/>
          <w:szCs w:val="22"/>
          <w:lang w:val="en-US"/>
        </w:rPr>
        <w:t>with a US stock exchange listing do disclose more risk information within the UK annual report than non-US-listed UK firms.</w:t>
      </w:r>
    </w:p>
    <w:p w:rsidR="00A601B4" w:rsidRPr="00337C97" w:rsidRDefault="00A601B4" w:rsidP="00D1629F">
      <w:pPr>
        <w:spacing w:line="360" w:lineRule="auto"/>
        <w:jc w:val="both"/>
        <w:rPr>
          <w:rFonts w:asciiTheme="minorHAnsi" w:hAnsiTheme="minorHAnsi" w:cs="Times New Roman"/>
          <w:sz w:val="22"/>
          <w:szCs w:val="22"/>
          <w:lang w:val="en-US"/>
        </w:rPr>
      </w:pPr>
    </w:p>
    <w:p w:rsidR="008655F6" w:rsidRPr="00337C97" w:rsidRDefault="008655F6" w:rsidP="00D1629F">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Hassan (2008)</w:t>
      </w:r>
    </w:p>
    <w:p w:rsidR="00396506" w:rsidRPr="00337C97" w:rsidRDefault="00396506"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Hassan performed a study in the United Arab Emirates context and his study seeks to explore the relationship between UAE corporations’ characteristics and the level of corporate risk disclosure</w:t>
      </w:r>
      <w:r w:rsidR="007F5F7F" w:rsidRPr="00337C97">
        <w:rPr>
          <w:rFonts w:asciiTheme="minorHAnsi" w:hAnsiTheme="minorHAnsi" w:cs="Times New Roman"/>
          <w:sz w:val="22"/>
          <w:szCs w:val="22"/>
          <w:lang w:val="en-US"/>
        </w:rPr>
        <w:t xml:space="preserve"> (CRD)</w:t>
      </w:r>
      <w:r w:rsidRPr="00337C97">
        <w:rPr>
          <w:rFonts w:asciiTheme="minorHAnsi" w:hAnsiTheme="minorHAnsi" w:cs="Times New Roman"/>
          <w:sz w:val="22"/>
          <w:szCs w:val="22"/>
          <w:lang w:val="en-US"/>
        </w:rPr>
        <w:t xml:space="preserve">. The </w:t>
      </w:r>
      <w:r w:rsidR="00EB698B" w:rsidRPr="00337C97">
        <w:rPr>
          <w:rFonts w:asciiTheme="minorHAnsi" w:hAnsiTheme="minorHAnsi" w:cs="Times New Roman"/>
          <w:sz w:val="22"/>
          <w:szCs w:val="22"/>
          <w:lang w:val="en-US"/>
        </w:rPr>
        <w:t xml:space="preserve">chosen </w:t>
      </w:r>
      <w:r w:rsidRPr="00337C97">
        <w:rPr>
          <w:rFonts w:asciiTheme="minorHAnsi" w:hAnsiTheme="minorHAnsi" w:cs="Times New Roman"/>
          <w:sz w:val="22"/>
          <w:szCs w:val="22"/>
          <w:lang w:val="en-US"/>
        </w:rPr>
        <w:t xml:space="preserve">firm-specific characteristics are size, level of risk, industry </w:t>
      </w:r>
      <w:r w:rsidR="00D80510" w:rsidRPr="00337C97">
        <w:rPr>
          <w:rFonts w:asciiTheme="minorHAnsi" w:hAnsiTheme="minorHAnsi" w:cs="Times New Roman"/>
          <w:sz w:val="22"/>
          <w:szCs w:val="22"/>
          <w:lang w:val="en-US"/>
        </w:rPr>
        <w:t>type</w:t>
      </w:r>
      <w:r w:rsidRPr="00337C97">
        <w:rPr>
          <w:rFonts w:asciiTheme="minorHAnsi" w:hAnsiTheme="minorHAnsi" w:cs="Times New Roman"/>
          <w:sz w:val="22"/>
          <w:szCs w:val="22"/>
          <w:lang w:val="en-US"/>
        </w:rPr>
        <w:t xml:space="preserve"> and the corporate reserve. Results are drawn upon a sample of 41 corporations</w:t>
      </w:r>
      <w:r w:rsidR="00646047" w:rsidRPr="00337C97">
        <w:rPr>
          <w:rFonts w:asciiTheme="minorHAnsi" w:hAnsiTheme="minorHAnsi" w:cs="Times New Roman"/>
          <w:sz w:val="22"/>
          <w:szCs w:val="22"/>
          <w:lang w:val="en-US"/>
        </w:rPr>
        <w:t xml:space="preserve"> which was divided in a financial sector (24 companies) and a nonfinancial sector (17 companies).</w:t>
      </w:r>
      <w:r w:rsidRPr="00337C97">
        <w:rPr>
          <w:rFonts w:asciiTheme="minorHAnsi" w:hAnsiTheme="minorHAnsi" w:cs="Times New Roman"/>
          <w:sz w:val="22"/>
          <w:szCs w:val="22"/>
          <w:lang w:val="en-US"/>
        </w:rPr>
        <w:t xml:space="preserve"> The level of corporate risk disclosure </w:t>
      </w:r>
      <w:r w:rsidR="00352694" w:rsidRPr="00337C97">
        <w:rPr>
          <w:rFonts w:asciiTheme="minorHAnsi" w:hAnsiTheme="minorHAnsi" w:cs="Times New Roman"/>
          <w:sz w:val="22"/>
          <w:szCs w:val="22"/>
          <w:lang w:val="en-US"/>
        </w:rPr>
        <w:t xml:space="preserve">for each corporation </w:t>
      </w:r>
      <w:r w:rsidRPr="00337C97">
        <w:rPr>
          <w:rFonts w:asciiTheme="minorHAnsi" w:hAnsiTheme="minorHAnsi" w:cs="Times New Roman"/>
          <w:sz w:val="22"/>
          <w:szCs w:val="22"/>
          <w:lang w:val="en-US"/>
        </w:rPr>
        <w:t xml:space="preserve">is captured by </w:t>
      </w:r>
      <w:r w:rsidR="00352694" w:rsidRPr="00337C97">
        <w:rPr>
          <w:rFonts w:asciiTheme="minorHAnsi" w:hAnsiTheme="minorHAnsi" w:cs="Times New Roman"/>
          <w:sz w:val="22"/>
          <w:szCs w:val="22"/>
          <w:lang w:val="en-US"/>
        </w:rPr>
        <w:t xml:space="preserve">a risk disclosure index which is based on accounting standards, professional requirements, prior literature and the UAE regulatory framework. </w:t>
      </w:r>
    </w:p>
    <w:p w:rsidR="007F5F7F" w:rsidRPr="00337C97" w:rsidRDefault="007F5F7F" w:rsidP="00D1629F">
      <w:pPr>
        <w:spacing w:line="360" w:lineRule="auto"/>
        <w:jc w:val="both"/>
        <w:rPr>
          <w:rFonts w:asciiTheme="minorHAnsi" w:hAnsiTheme="minorHAnsi" w:cs="Times New Roman"/>
          <w:sz w:val="22"/>
          <w:szCs w:val="22"/>
          <w:lang w:val="en-US"/>
        </w:rPr>
      </w:pPr>
    </w:p>
    <w:p w:rsidR="007F5F7F" w:rsidRPr="00337C97" w:rsidRDefault="007F5F7F"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empirical findings show that corporate size is not significantly associated with the level of CRD, in contrast with results of prior research. The corporate level of risk and corporate industry </w:t>
      </w:r>
      <w:r w:rsidRPr="00337C97">
        <w:rPr>
          <w:rFonts w:asciiTheme="minorHAnsi" w:hAnsiTheme="minorHAnsi" w:cs="Times New Roman"/>
          <w:sz w:val="22"/>
          <w:szCs w:val="22"/>
          <w:lang w:val="en-US"/>
        </w:rPr>
        <w:lastRenderedPageBreak/>
        <w:t xml:space="preserve">membership are however significant in explaining the variation of CRD. The latter is consistent with previous research, but the level of company risk </w:t>
      </w:r>
      <w:r w:rsidR="00CD10BA" w:rsidRPr="00337C97">
        <w:rPr>
          <w:rFonts w:asciiTheme="minorHAnsi" w:hAnsiTheme="minorHAnsi" w:cs="Times New Roman"/>
          <w:sz w:val="22"/>
          <w:szCs w:val="22"/>
          <w:lang w:val="en-US"/>
        </w:rPr>
        <w:t>is</w:t>
      </w:r>
      <w:r w:rsidRPr="00337C97">
        <w:rPr>
          <w:rFonts w:asciiTheme="minorHAnsi" w:hAnsiTheme="minorHAnsi" w:cs="Times New Roman"/>
          <w:sz w:val="22"/>
          <w:szCs w:val="22"/>
          <w:lang w:val="en-US"/>
        </w:rPr>
        <w:t xml:space="preserve"> only scarcely found to be significant for the extent of risk disclosure. </w:t>
      </w:r>
      <w:r w:rsidR="0072111C" w:rsidRPr="00337C97">
        <w:rPr>
          <w:rFonts w:asciiTheme="minorHAnsi" w:hAnsiTheme="minorHAnsi" w:cs="Times New Roman"/>
          <w:sz w:val="22"/>
          <w:szCs w:val="22"/>
          <w:lang w:val="en-US"/>
        </w:rPr>
        <w:t xml:space="preserve">Finally, corporate reserve is not significantly associated with the level of CRD. </w:t>
      </w:r>
    </w:p>
    <w:p w:rsidR="00D405B0" w:rsidRPr="00337C97" w:rsidRDefault="00D405B0" w:rsidP="00D1629F">
      <w:pPr>
        <w:spacing w:line="360" w:lineRule="auto"/>
        <w:jc w:val="both"/>
        <w:rPr>
          <w:rFonts w:asciiTheme="minorHAnsi" w:hAnsiTheme="minorHAnsi" w:cs="Times New Roman"/>
          <w:b/>
          <w:bCs/>
          <w:sz w:val="20"/>
          <w:szCs w:val="20"/>
          <w:lang w:val="en-US" w:eastAsia="nl-NL" w:bidi="ar-SA"/>
        </w:rPr>
      </w:pPr>
    </w:p>
    <w:p w:rsidR="003B06A2" w:rsidRPr="00337C97" w:rsidRDefault="003B06A2" w:rsidP="00D1629F">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Amran et al. (2009)</w:t>
      </w:r>
    </w:p>
    <w:p w:rsidR="007B640D" w:rsidRPr="00337C97" w:rsidRDefault="00CD10BA"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Besides investigating </w:t>
      </w:r>
      <w:r w:rsidR="009E19AF" w:rsidRPr="00337C97">
        <w:rPr>
          <w:rFonts w:asciiTheme="minorHAnsi" w:hAnsiTheme="minorHAnsi" w:cs="Times New Roman"/>
          <w:sz w:val="22"/>
          <w:szCs w:val="22"/>
          <w:lang w:val="en-US"/>
        </w:rPr>
        <w:t xml:space="preserve">the extent of </w:t>
      </w:r>
      <w:r w:rsidRPr="00337C97">
        <w:rPr>
          <w:rFonts w:asciiTheme="minorHAnsi" w:hAnsiTheme="minorHAnsi" w:cs="Times New Roman"/>
          <w:sz w:val="22"/>
          <w:szCs w:val="22"/>
          <w:lang w:val="en-US"/>
        </w:rPr>
        <w:t>risk management disclosure in Malaysian annual reports, Amran et al. also aim to empirically test the sampled companies’ characteristics agains</w:t>
      </w:r>
      <w:r w:rsidR="00805DF0" w:rsidRPr="00337C97">
        <w:rPr>
          <w:rFonts w:asciiTheme="minorHAnsi" w:hAnsiTheme="minorHAnsi" w:cs="Times New Roman"/>
          <w:sz w:val="22"/>
          <w:szCs w:val="22"/>
          <w:lang w:val="en-US"/>
        </w:rPr>
        <w:t>t the extent of risk disclosure</w:t>
      </w:r>
      <w:r w:rsidRPr="00337C97">
        <w:rPr>
          <w:rFonts w:asciiTheme="minorHAnsi" w:hAnsiTheme="minorHAnsi" w:cs="Times New Roman"/>
          <w:sz w:val="22"/>
          <w:szCs w:val="22"/>
          <w:lang w:val="en-US"/>
        </w:rPr>
        <w:t xml:space="preserve">. </w:t>
      </w:r>
      <w:r w:rsidR="00EF58E0" w:rsidRPr="00337C97">
        <w:rPr>
          <w:rFonts w:asciiTheme="minorHAnsi" w:hAnsiTheme="minorHAnsi" w:cs="Times New Roman"/>
          <w:sz w:val="22"/>
          <w:szCs w:val="22"/>
          <w:lang w:val="en-US"/>
        </w:rPr>
        <w:t xml:space="preserve">The following firm-specific characteristics were identified: product and </w:t>
      </w:r>
      <w:r w:rsidR="007B640D" w:rsidRPr="00337C97">
        <w:rPr>
          <w:rFonts w:asciiTheme="minorHAnsi" w:hAnsiTheme="minorHAnsi" w:cs="Times New Roman"/>
          <w:sz w:val="22"/>
          <w:szCs w:val="22"/>
          <w:lang w:val="en-US"/>
        </w:rPr>
        <w:t>geographical diversification</w:t>
      </w:r>
      <w:r w:rsidR="00EF58E0" w:rsidRPr="00337C97">
        <w:rPr>
          <w:rFonts w:asciiTheme="minorHAnsi" w:hAnsiTheme="minorHAnsi" w:cs="Times New Roman"/>
          <w:sz w:val="22"/>
          <w:szCs w:val="22"/>
          <w:lang w:val="en-US"/>
        </w:rPr>
        <w:t xml:space="preserve">, size, type of industry and </w:t>
      </w:r>
      <w:r w:rsidR="007B640D" w:rsidRPr="00337C97">
        <w:rPr>
          <w:rFonts w:asciiTheme="minorHAnsi" w:hAnsiTheme="minorHAnsi" w:cs="Times New Roman"/>
          <w:sz w:val="22"/>
          <w:szCs w:val="22"/>
          <w:lang w:val="en-US"/>
        </w:rPr>
        <w:t xml:space="preserve">company level of risk. </w:t>
      </w:r>
      <w:r w:rsidR="00A06114" w:rsidRPr="00337C97">
        <w:rPr>
          <w:rFonts w:asciiTheme="minorHAnsi" w:hAnsiTheme="minorHAnsi" w:cs="Times New Roman"/>
          <w:sz w:val="22"/>
          <w:szCs w:val="22"/>
          <w:lang w:val="en-US"/>
        </w:rPr>
        <w:t xml:space="preserve">Performing multivariate analysis, Amran et al.’s chosen variables were able to explain quite </w:t>
      </w:r>
      <w:r w:rsidR="00D522EC" w:rsidRPr="00337C97">
        <w:rPr>
          <w:rFonts w:asciiTheme="minorHAnsi" w:hAnsiTheme="minorHAnsi" w:cs="Times New Roman"/>
          <w:sz w:val="22"/>
          <w:szCs w:val="22"/>
          <w:lang w:val="en-US"/>
        </w:rPr>
        <w:t>a lot</w:t>
      </w:r>
      <w:r w:rsidR="00A06114" w:rsidRPr="00337C97">
        <w:rPr>
          <w:rFonts w:asciiTheme="minorHAnsi" w:hAnsiTheme="minorHAnsi" w:cs="Times New Roman"/>
          <w:sz w:val="22"/>
          <w:szCs w:val="22"/>
          <w:lang w:val="en-US"/>
        </w:rPr>
        <w:t xml:space="preserve"> of the variability in risk management disclosure (the adjusted R</w:t>
      </w:r>
      <w:r w:rsidR="00A06114" w:rsidRPr="00337C97">
        <w:rPr>
          <w:rFonts w:asciiTheme="minorHAnsi" w:hAnsiTheme="minorHAnsi" w:cs="Times New Roman"/>
          <w:sz w:val="22"/>
          <w:szCs w:val="22"/>
          <w:vertAlign w:val="superscript"/>
          <w:lang w:val="en-US"/>
        </w:rPr>
        <w:t>2</w:t>
      </w:r>
      <w:r w:rsidR="00843CC4" w:rsidRPr="00337C97">
        <w:rPr>
          <w:rFonts w:asciiTheme="minorHAnsi" w:hAnsiTheme="minorHAnsi" w:cs="Times New Roman"/>
          <w:sz w:val="22"/>
          <w:szCs w:val="22"/>
          <w:lang w:val="en-US"/>
        </w:rPr>
        <w:t xml:space="preserve"> was 0.433). None of the diversification variables were found to be significant, however they were positively correlated, which is consistent with the hypothesis. The size variable was found significant but leverage was not. This is in line with the results of the previous studies. Finally, two of the eighth industries (infrastructure and technology industries) were found significant, which could be, according to the authors, due to the nature of these industries.</w:t>
      </w:r>
    </w:p>
    <w:p w:rsidR="000846E0" w:rsidRPr="00337C97" w:rsidRDefault="000846E0" w:rsidP="00D1629F">
      <w:pPr>
        <w:spacing w:line="360" w:lineRule="auto"/>
        <w:jc w:val="both"/>
        <w:rPr>
          <w:rFonts w:asciiTheme="minorHAnsi" w:hAnsiTheme="minorHAnsi" w:cs="Times New Roman"/>
          <w:sz w:val="22"/>
          <w:szCs w:val="22"/>
          <w:lang w:val="en-US"/>
        </w:rPr>
      </w:pPr>
    </w:p>
    <w:p w:rsidR="00BF386F" w:rsidRPr="00337C97" w:rsidRDefault="008B2E4F" w:rsidP="00D1629F">
      <w:pPr>
        <w:spacing w:line="360" w:lineRule="auto"/>
        <w:jc w:val="both"/>
        <w:rPr>
          <w:rFonts w:asciiTheme="minorHAnsi" w:hAnsiTheme="minorHAnsi" w:cs="Times New Roman"/>
          <w:sz w:val="22"/>
          <w:szCs w:val="22"/>
          <w:u w:val="single"/>
          <w:lang w:val="en-US"/>
        </w:rPr>
      </w:pPr>
      <w:r w:rsidRPr="00337C97">
        <w:rPr>
          <w:rFonts w:asciiTheme="minorHAnsi" w:hAnsiTheme="minorHAnsi" w:cs="Times New Roman"/>
          <w:sz w:val="22"/>
          <w:szCs w:val="22"/>
          <w:u w:val="single"/>
          <w:lang w:val="en-US"/>
        </w:rPr>
        <w:t>Michiels et al</w:t>
      </w:r>
      <w:r w:rsidR="0012504F" w:rsidRPr="00337C97">
        <w:rPr>
          <w:rFonts w:asciiTheme="minorHAnsi" w:hAnsiTheme="minorHAnsi" w:cs="Times New Roman"/>
          <w:sz w:val="22"/>
          <w:szCs w:val="22"/>
          <w:u w:val="single"/>
          <w:lang w:val="en-US"/>
        </w:rPr>
        <w:t>.</w:t>
      </w:r>
      <w:r w:rsidRPr="00337C97">
        <w:rPr>
          <w:rFonts w:asciiTheme="minorHAnsi" w:hAnsiTheme="minorHAnsi" w:cs="Times New Roman"/>
          <w:sz w:val="22"/>
          <w:szCs w:val="22"/>
          <w:u w:val="single"/>
          <w:lang w:val="en-US"/>
        </w:rPr>
        <w:t xml:space="preserve"> (2009)</w:t>
      </w:r>
    </w:p>
    <w:p w:rsidR="00CD10BA" w:rsidRPr="00337C97" w:rsidRDefault="009974CA"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In the Belgian context, Michiels et al. investigated also firm-specific determinants related to the extent of risk disclosures. The ident</w:t>
      </w:r>
      <w:r w:rsidR="0012504F" w:rsidRPr="00337C97">
        <w:rPr>
          <w:rFonts w:asciiTheme="minorHAnsi" w:hAnsiTheme="minorHAnsi" w:cs="Times New Roman"/>
          <w:sz w:val="22"/>
          <w:szCs w:val="22"/>
          <w:lang w:val="en-US"/>
        </w:rPr>
        <w:t xml:space="preserve">ified variables were company size, profitability, </w:t>
      </w:r>
      <w:r w:rsidR="00216066" w:rsidRPr="00337C97">
        <w:rPr>
          <w:rFonts w:asciiTheme="minorHAnsi" w:hAnsiTheme="minorHAnsi" w:cs="Times New Roman"/>
          <w:sz w:val="22"/>
          <w:szCs w:val="22"/>
          <w:lang w:val="en-US"/>
        </w:rPr>
        <w:t>level of company risk</w:t>
      </w:r>
      <w:r w:rsidR="0012504F" w:rsidRPr="00337C97">
        <w:rPr>
          <w:rFonts w:asciiTheme="minorHAnsi" w:hAnsiTheme="minorHAnsi" w:cs="Times New Roman"/>
          <w:sz w:val="22"/>
          <w:szCs w:val="22"/>
          <w:lang w:val="en-US"/>
        </w:rPr>
        <w:t>, quality of the auditor and the presence of a risk committee and/or manager. Furthermore they tested against the proportion of the number of non-executive directors in the board of directors. Finally they test the extent of risk disclosures against the situations of one-tier and two-tier system regarding the organizational structure.</w:t>
      </w:r>
    </w:p>
    <w:p w:rsidR="00D1629F" w:rsidRPr="00337C97" w:rsidRDefault="00D1629F" w:rsidP="00D1629F">
      <w:pPr>
        <w:spacing w:line="360" w:lineRule="auto"/>
        <w:jc w:val="both"/>
        <w:rPr>
          <w:rFonts w:asciiTheme="minorHAnsi" w:hAnsiTheme="minorHAnsi" w:cs="Times New Roman"/>
          <w:sz w:val="22"/>
          <w:szCs w:val="22"/>
          <w:lang w:val="en-US"/>
        </w:rPr>
      </w:pPr>
    </w:p>
    <w:p w:rsidR="00D1629F" w:rsidRPr="00337C97" w:rsidRDefault="00B0434F"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variables that they found significantly related to the extent </w:t>
      </w:r>
      <w:r w:rsidR="00805DF0" w:rsidRPr="00337C97">
        <w:rPr>
          <w:rFonts w:asciiTheme="minorHAnsi" w:hAnsiTheme="minorHAnsi" w:cs="Times New Roman"/>
          <w:sz w:val="22"/>
          <w:szCs w:val="22"/>
          <w:lang w:val="en-US"/>
        </w:rPr>
        <w:t xml:space="preserve">of </w:t>
      </w:r>
      <w:r w:rsidRPr="00337C97">
        <w:rPr>
          <w:rFonts w:asciiTheme="minorHAnsi" w:hAnsiTheme="minorHAnsi" w:cs="Times New Roman"/>
          <w:sz w:val="22"/>
          <w:szCs w:val="22"/>
          <w:lang w:val="en-US"/>
        </w:rPr>
        <w:t xml:space="preserve">risk reporting are sales (as proxy of size), profitability and beta (as proxy of the company risk level). </w:t>
      </w:r>
      <w:r w:rsidR="00252D84" w:rsidRPr="00337C97">
        <w:rPr>
          <w:rFonts w:asciiTheme="minorHAnsi" w:hAnsiTheme="minorHAnsi" w:cs="Times New Roman"/>
          <w:sz w:val="22"/>
          <w:szCs w:val="22"/>
          <w:lang w:val="en-US"/>
        </w:rPr>
        <w:t>Between size and risk reporting and beta and risk reporting the relationship was positive, which means that companies with big sales volumes and a higher systematic risk beta also release more risk-related information. The relationship between risk reporting and profitability is negative, which is somewhat surprising compared to results from previous research.</w:t>
      </w:r>
    </w:p>
    <w:p w:rsidR="00252D84" w:rsidRPr="00337C97" w:rsidRDefault="00252D84" w:rsidP="00D1629F">
      <w:pPr>
        <w:spacing w:line="360" w:lineRule="auto"/>
        <w:jc w:val="both"/>
        <w:rPr>
          <w:rFonts w:asciiTheme="minorHAnsi" w:hAnsiTheme="minorHAnsi" w:cs="Times New Roman"/>
          <w:sz w:val="22"/>
          <w:szCs w:val="22"/>
          <w:lang w:val="en-US"/>
        </w:rPr>
      </w:pPr>
    </w:p>
    <w:p w:rsidR="005E1740" w:rsidRPr="00337C97" w:rsidRDefault="00252D84" w:rsidP="00D1629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All other variables</w:t>
      </w:r>
      <w:r w:rsidR="00D81AF8" w:rsidRPr="00337C97">
        <w:rPr>
          <w:rFonts w:asciiTheme="minorHAnsi" w:hAnsiTheme="minorHAnsi" w:cs="Times New Roman"/>
          <w:sz w:val="22"/>
          <w:szCs w:val="22"/>
          <w:lang w:val="en-US"/>
        </w:rPr>
        <w:t xml:space="preserve"> were found insignifica</w:t>
      </w:r>
      <w:r w:rsidR="00946277" w:rsidRPr="00337C97">
        <w:rPr>
          <w:rFonts w:asciiTheme="minorHAnsi" w:hAnsiTheme="minorHAnsi" w:cs="Times New Roman"/>
          <w:sz w:val="22"/>
          <w:szCs w:val="22"/>
          <w:lang w:val="en-US"/>
        </w:rPr>
        <w:t xml:space="preserve">ntly related to risk reporting. Although the presence of a risk committee and/or manager was found positively correlated in the Pearson correlation, this relation disappeared in the multivariate regression. According to the authors, this means that the univariate correlation between risk reporting and the presence of a risk manager/committee is driven by </w:t>
      </w:r>
      <w:r w:rsidR="00946277" w:rsidRPr="00337C97">
        <w:rPr>
          <w:rFonts w:asciiTheme="minorHAnsi" w:hAnsiTheme="minorHAnsi" w:cs="Times New Roman"/>
          <w:sz w:val="22"/>
          <w:szCs w:val="22"/>
          <w:lang w:val="en-US"/>
        </w:rPr>
        <w:lastRenderedPageBreak/>
        <w:t>company size. The multivariate regression model does however explain 31% (the adjusted R</w:t>
      </w:r>
      <w:r w:rsidR="00946277" w:rsidRPr="00337C97">
        <w:rPr>
          <w:rFonts w:asciiTheme="minorHAnsi" w:hAnsiTheme="minorHAnsi" w:cs="Times New Roman"/>
          <w:sz w:val="22"/>
          <w:szCs w:val="22"/>
          <w:vertAlign w:val="superscript"/>
          <w:lang w:val="en-US"/>
        </w:rPr>
        <w:t>2</w:t>
      </w:r>
      <w:r w:rsidR="00946277" w:rsidRPr="00337C97">
        <w:rPr>
          <w:rFonts w:asciiTheme="minorHAnsi" w:hAnsiTheme="minorHAnsi" w:cs="Times New Roman"/>
          <w:sz w:val="22"/>
          <w:szCs w:val="22"/>
          <w:lang w:val="en-US"/>
        </w:rPr>
        <w:t xml:space="preserve"> was 0,305) of the variance in the total risk reporting score. </w:t>
      </w:r>
    </w:p>
    <w:p w:rsidR="00777A51" w:rsidRPr="00337C97" w:rsidRDefault="00777A51" w:rsidP="00BF386F">
      <w:pPr>
        <w:spacing w:line="360" w:lineRule="auto"/>
        <w:rPr>
          <w:rFonts w:asciiTheme="minorHAnsi" w:hAnsiTheme="minorHAnsi" w:cs="Times New Roman"/>
          <w:sz w:val="22"/>
          <w:szCs w:val="22"/>
          <w:lang w:val="en-US"/>
        </w:rPr>
      </w:pPr>
    </w:p>
    <w:p w:rsidR="00344F83" w:rsidRPr="00337C97" w:rsidRDefault="00344F83" w:rsidP="007C4013">
      <w:pPr>
        <w:spacing w:line="360" w:lineRule="auto"/>
        <w:outlineLvl w:val="2"/>
        <w:rPr>
          <w:rFonts w:asciiTheme="minorHAnsi" w:hAnsiTheme="minorHAnsi" w:cs="Times New Roman"/>
          <w:i/>
          <w:sz w:val="22"/>
          <w:szCs w:val="22"/>
          <w:lang w:val="en-US"/>
        </w:rPr>
      </w:pPr>
      <w:bookmarkStart w:id="244" w:name="_Toc245187903"/>
      <w:bookmarkStart w:id="245" w:name="_Toc269658947"/>
      <w:r w:rsidRPr="00337C97">
        <w:rPr>
          <w:rFonts w:asciiTheme="minorHAnsi" w:hAnsiTheme="minorHAnsi" w:cs="Times New Roman"/>
          <w:i/>
          <w:sz w:val="22"/>
          <w:szCs w:val="22"/>
          <w:lang w:val="en-US"/>
        </w:rPr>
        <w:t>4.4.3</w:t>
      </w:r>
      <w:r w:rsidRPr="00337C97">
        <w:rPr>
          <w:rFonts w:asciiTheme="minorHAnsi" w:hAnsiTheme="minorHAnsi" w:cs="Times New Roman"/>
          <w:i/>
          <w:sz w:val="22"/>
          <w:szCs w:val="22"/>
          <w:lang w:val="en-US"/>
        </w:rPr>
        <w:tab/>
        <w:t xml:space="preserve">Other </w:t>
      </w:r>
      <w:r w:rsidR="00EE5306" w:rsidRPr="00337C97">
        <w:rPr>
          <w:rFonts w:asciiTheme="minorHAnsi" w:hAnsiTheme="minorHAnsi" w:cs="Times New Roman"/>
          <w:i/>
          <w:sz w:val="22"/>
          <w:szCs w:val="22"/>
          <w:lang w:val="en-US"/>
        </w:rPr>
        <w:t xml:space="preserve">disclosure </w:t>
      </w:r>
      <w:r w:rsidRPr="00337C97">
        <w:rPr>
          <w:rFonts w:asciiTheme="minorHAnsi" w:hAnsiTheme="minorHAnsi" w:cs="Times New Roman"/>
          <w:i/>
          <w:sz w:val="22"/>
          <w:szCs w:val="22"/>
          <w:lang w:val="en-US"/>
        </w:rPr>
        <w:t>studies</w:t>
      </w:r>
      <w:bookmarkEnd w:id="244"/>
      <w:bookmarkEnd w:id="245"/>
    </w:p>
    <w:p w:rsidR="00344F83" w:rsidRPr="00337C97" w:rsidRDefault="00EE5306" w:rsidP="00763F1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Literature on disclosure has developed into a distinct branch of economic and accounting research. There has been extensive research in the advanced and developing countries to measure the corporate disclosure in financial and nonfinancial companies. </w:t>
      </w:r>
      <w:r w:rsidR="00763F1D" w:rsidRPr="00337C97">
        <w:rPr>
          <w:rFonts w:asciiTheme="minorHAnsi" w:hAnsiTheme="minorHAnsi" w:cs="Times New Roman"/>
          <w:sz w:val="22"/>
          <w:szCs w:val="22"/>
          <w:lang w:val="en-US"/>
        </w:rPr>
        <w:t>A few studies will be reviewed to find some additional variables that could influence discl</w:t>
      </w:r>
      <w:r w:rsidR="002C173D" w:rsidRPr="00337C97">
        <w:rPr>
          <w:rFonts w:asciiTheme="minorHAnsi" w:hAnsiTheme="minorHAnsi" w:cs="Times New Roman"/>
          <w:sz w:val="22"/>
          <w:szCs w:val="22"/>
          <w:lang w:val="en-US"/>
        </w:rPr>
        <w:t>osure levels.</w:t>
      </w:r>
    </w:p>
    <w:p w:rsidR="00007A93" w:rsidRPr="00337C97" w:rsidRDefault="00007A93" w:rsidP="00763F1D">
      <w:pPr>
        <w:spacing w:line="360" w:lineRule="auto"/>
        <w:jc w:val="both"/>
        <w:rPr>
          <w:rFonts w:asciiTheme="minorHAnsi" w:hAnsiTheme="minorHAnsi" w:cs="Times New Roman"/>
          <w:sz w:val="22"/>
          <w:szCs w:val="22"/>
          <w:lang w:val="en-US"/>
        </w:rPr>
      </w:pPr>
    </w:p>
    <w:p w:rsidR="004F7C7D" w:rsidRPr="00337C97" w:rsidRDefault="00F466F5" w:rsidP="00763F1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Wallace and Naser (199</w:t>
      </w:r>
      <w:r w:rsidR="00007A93" w:rsidRPr="00337C97">
        <w:rPr>
          <w:rFonts w:asciiTheme="minorHAnsi" w:hAnsiTheme="minorHAnsi" w:cs="Times New Roman"/>
          <w:sz w:val="22"/>
          <w:szCs w:val="22"/>
          <w:lang w:val="en-US"/>
        </w:rPr>
        <w:t xml:space="preserve">5) found </w:t>
      </w:r>
      <w:r w:rsidR="00DD511A" w:rsidRPr="00337C97">
        <w:rPr>
          <w:rFonts w:asciiTheme="minorHAnsi" w:hAnsiTheme="minorHAnsi" w:cs="Times New Roman"/>
          <w:sz w:val="22"/>
          <w:szCs w:val="22"/>
          <w:lang w:val="en-US"/>
        </w:rPr>
        <w:t>type of auditor significant in explaining variation in disclosure indexes, a result that was not found by Michiels et al. (2009). In addition, scope of business was also significantly related to the variation in disclosure levels, which means that firms classified as conglomerates provide more disclosure than firms which are classified as non-conglomerates. Liquidity ratios and outside shareholders’ interests were less useful in explaining v</w:t>
      </w:r>
      <w:r w:rsidR="002C173D" w:rsidRPr="00337C97">
        <w:rPr>
          <w:rFonts w:asciiTheme="minorHAnsi" w:hAnsiTheme="minorHAnsi" w:cs="Times New Roman"/>
          <w:sz w:val="22"/>
          <w:szCs w:val="22"/>
          <w:lang w:val="en-US"/>
        </w:rPr>
        <w:t>ariation in disclosure indexes.</w:t>
      </w:r>
    </w:p>
    <w:p w:rsidR="004F7C7D" w:rsidRPr="00337C97" w:rsidRDefault="004F7C7D" w:rsidP="00763F1D">
      <w:pPr>
        <w:spacing w:line="360" w:lineRule="auto"/>
        <w:jc w:val="both"/>
        <w:rPr>
          <w:rFonts w:asciiTheme="minorHAnsi" w:hAnsiTheme="minorHAnsi" w:cs="Times New Roman"/>
          <w:sz w:val="22"/>
          <w:szCs w:val="22"/>
          <w:lang w:val="en-US"/>
        </w:rPr>
      </w:pPr>
    </w:p>
    <w:p w:rsidR="00DD511A" w:rsidRPr="00337C97" w:rsidRDefault="00DD511A" w:rsidP="00763F1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Jaggi and Low (2000)</w:t>
      </w:r>
      <w:r w:rsidR="00B30AA9" w:rsidRPr="00337C97">
        <w:rPr>
          <w:rFonts w:asciiTheme="minorHAnsi" w:hAnsiTheme="minorHAnsi" w:cs="Times New Roman"/>
          <w:sz w:val="22"/>
          <w:szCs w:val="22"/>
          <w:lang w:val="en-US"/>
        </w:rPr>
        <w:t xml:space="preserve"> examined the impact of culture, market forces and legal system on financial disclosures. Their results indicate that firms from common law countries are associated with higher financial disclosures compared to firms from code la</w:t>
      </w:r>
      <w:r w:rsidR="00C12CED" w:rsidRPr="00337C97">
        <w:rPr>
          <w:rFonts w:asciiTheme="minorHAnsi" w:hAnsiTheme="minorHAnsi" w:cs="Times New Roman"/>
          <w:sz w:val="22"/>
          <w:szCs w:val="22"/>
          <w:lang w:val="en-US"/>
        </w:rPr>
        <w:t>w countries. Cultural values have</w:t>
      </w:r>
      <w:r w:rsidR="00B30AA9" w:rsidRPr="00337C97">
        <w:rPr>
          <w:rFonts w:asciiTheme="minorHAnsi" w:hAnsiTheme="minorHAnsi" w:cs="Times New Roman"/>
          <w:sz w:val="22"/>
          <w:szCs w:val="22"/>
          <w:lang w:val="en-US"/>
        </w:rPr>
        <w:t xml:space="preserve"> however an insignificant impact in common law countries, and mixed result</w:t>
      </w:r>
      <w:r w:rsidR="002C173D" w:rsidRPr="00337C97">
        <w:rPr>
          <w:rFonts w:asciiTheme="minorHAnsi" w:hAnsiTheme="minorHAnsi" w:cs="Times New Roman"/>
          <w:sz w:val="22"/>
          <w:szCs w:val="22"/>
          <w:lang w:val="en-US"/>
        </w:rPr>
        <w:t>s appear in code law countries.</w:t>
      </w:r>
    </w:p>
    <w:p w:rsidR="00B30AA9" w:rsidRPr="00337C97" w:rsidRDefault="00B30AA9" w:rsidP="00763F1D">
      <w:pPr>
        <w:spacing w:line="360" w:lineRule="auto"/>
        <w:jc w:val="both"/>
        <w:rPr>
          <w:rFonts w:asciiTheme="minorHAnsi" w:hAnsiTheme="minorHAnsi" w:cs="Times New Roman"/>
          <w:sz w:val="22"/>
          <w:szCs w:val="22"/>
          <w:lang w:val="en-US"/>
        </w:rPr>
      </w:pPr>
    </w:p>
    <w:p w:rsidR="00D7683F" w:rsidRPr="00337C97" w:rsidRDefault="00A601CF" w:rsidP="00763F1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Haniffa and Cooke (2005) investigated the impact of culture and governance on</w:t>
      </w:r>
      <w:r w:rsidR="00BB5AB0" w:rsidRPr="00337C97">
        <w:rPr>
          <w:rFonts w:asciiTheme="minorHAnsi" w:hAnsiTheme="minorHAnsi" w:cs="Times New Roman"/>
          <w:sz w:val="22"/>
          <w:szCs w:val="22"/>
          <w:lang w:val="en-US"/>
        </w:rPr>
        <w:t xml:space="preserve"> corporate social reporting in the Malaysian context. The ethnic background of directors and shareholders was used as a proxy for culture. Corporate governance characteristics include board composition, multiple directorships and type of shareholders. Their results indicate a significant positive relationship between social disclosure and boards dominated by Malay directors, chair with multiple directorships and foreign share ownership. </w:t>
      </w:r>
      <w:r w:rsidR="004F7C7D" w:rsidRPr="00337C97">
        <w:rPr>
          <w:rFonts w:asciiTheme="minorHAnsi" w:hAnsiTheme="minorHAnsi" w:cs="Times New Roman"/>
          <w:sz w:val="22"/>
          <w:szCs w:val="22"/>
          <w:lang w:val="en-US"/>
        </w:rPr>
        <w:t>The proportion of non-executive directors</w:t>
      </w:r>
      <w:r w:rsidR="00AA5A3E" w:rsidRPr="00337C97">
        <w:rPr>
          <w:rFonts w:asciiTheme="minorHAnsi" w:hAnsiTheme="minorHAnsi" w:cs="Times New Roman"/>
          <w:sz w:val="22"/>
          <w:szCs w:val="22"/>
          <w:lang w:val="en-US"/>
        </w:rPr>
        <w:t xml:space="preserve"> was predicted to be positive, but was found nega</w:t>
      </w:r>
      <w:r w:rsidR="004F7C7D" w:rsidRPr="00337C97">
        <w:rPr>
          <w:rFonts w:asciiTheme="minorHAnsi" w:hAnsiTheme="minorHAnsi" w:cs="Times New Roman"/>
          <w:sz w:val="22"/>
          <w:szCs w:val="22"/>
          <w:lang w:val="en-US"/>
        </w:rPr>
        <w:t xml:space="preserve">tively related to social disclosures. </w:t>
      </w:r>
      <w:r w:rsidR="00BB5AB0" w:rsidRPr="00337C97">
        <w:rPr>
          <w:rFonts w:asciiTheme="minorHAnsi" w:hAnsiTheme="minorHAnsi" w:cs="Times New Roman"/>
          <w:sz w:val="22"/>
          <w:szCs w:val="22"/>
          <w:lang w:val="en-US"/>
        </w:rPr>
        <w:t>Control variables (size, multiple listing and type of industry) were also significantly related</w:t>
      </w:r>
      <w:r w:rsidR="004F7C7D" w:rsidRPr="00337C97">
        <w:rPr>
          <w:rFonts w:asciiTheme="minorHAnsi" w:hAnsiTheme="minorHAnsi" w:cs="Times New Roman"/>
          <w:sz w:val="22"/>
          <w:szCs w:val="22"/>
          <w:lang w:val="en-US"/>
        </w:rPr>
        <w:t xml:space="preserve"> to corporate social disclosure.</w:t>
      </w:r>
    </w:p>
    <w:p w:rsidR="00BB5AB0" w:rsidRPr="00337C97" w:rsidRDefault="00BB5AB0" w:rsidP="006364CF">
      <w:pPr>
        <w:spacing w:line="360" w:lineRule="auto"/>
        <w:outlineLvl w:val="2"/>
        <w:rPr>
          <w:rFonts w:asciiTheme="minorHAnsi" w:hAnsiTheme="minorHAnsi" w:cs="Times New Roman"/>
          <w:sz w:val="22"/>
          <w:szCs w:val="22"/>
          <w:lang w:val="en-US"/>
        </w:rPr>
      </w:pPr>
    </w:p>
    <w:p w:rsidR="005004E4" w:rsidRPr="00337C97" w:rsidRDefault="00EE5306" w:rsidP="006364CF">
      <w:pPr>
        <w:spacing w:line="360" w:lineRule="auto"/>
        <w:outlineLvl w:val="2"/>
        <w:rPr>
          <w:rFonts w:asciiTheme="minorHAnsi" w:hAnsiTheme="minorHAnsi" w:cs="Times New Roman"/>
          <w:i/>
          <w:sz w:val="22"/>
          <w:szCs w:val="22"/>
          <w:lang w:val="en-US"/>
        </w:rPr>
      </w:pPr>
      <w:bookmarkStart w:id="246" w:name="_Toc245187904"/>
      <w:bookmarkStart w:id="247" w:name="_Toc269658948"/>
      <w:r w:rsidRPr="00337C97">
        <w:rPr>
          <w:rFonts w:asciiTheme="minorHAnsi" w:hAnsiTheme="minorHAnsi" w:cs="Times New Roman"/>
          <w:i/>
          <w:sz w:val="22"/>
          <w:szCs w:val="22"/>
          <w:lang w:val="en-US"/>
        </w:rPr>
        <w:t>4.4.4</w:t>
      </w:r>
      <w:r w:rsidR="005004E4" w:rsidRPr="00337C97">
        <w:rPr>
          <w:rFonts w:asciiTheme="minorHAnsi" w:hAnsiTheme="minorHAnsi" w:cs="Times New Roman"/>
          <w:i/>
          <w:sz w:val="22"/>
          <w:szCs w:val="22"/>
          <w:lang w:val="en-US"/>
        </w:rPr>
        <w:tab/>
        <w:t>Summarizing table</w:t>
      </w:r>
      <w:bookmarkEnd w:id="246"/>
      <w:bookmarkEnd w:id="247"/>
    </w:p>
    <w:p w:rsidR="005E1740" w:rsidRPr="00337C97" w:rsidRDefault="00D950F8" w:rsidP="005E174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w:t>
      </w:r>
      <w:r w:rsidR="005E1740" w:rsidRPr="00337C97">
        <w:rPr>
          <w:rFonts w:asciiTheme="minorHAnsi" w:hAnsiTheme="minorHAnsi" w:cs="Times New Roman"/>
          <w:sz w:val="22"/>
          <w:szCs w:val="22"/>
          <w:lang w:val="en-US"/>
        </w:rPr>
        <w:t xml:space="preserve">able </w:t>
      </w:r>
      <w:r w:rsidRPr="00337C97">
        <w:rPr>
          <w:rFonts w:asciiTheme="minorHAnsi" w:hAnsiTheme="minorHAnsi" w:cs="Times New Roman"/>
          <w:sz w:val="22"/>
          <w:szCs w:val="22"/>
          <w:lang w:val="en-US"/>
        </w:rPr>
        <w:t xml:space="preserve">3 </w:t>
      </w:r>
      <w:r w:rsidR="005E1740" w:rsidRPr="00337C97">
        <w:rPr>
          <w:rFonts w:asciiTheme="minorHAnsi" w:hAnsiTheme="minorHAnsi" w:cs="Times New Roman"/>
          <w:sz w:val="22"/>
          <w:szCs w:val="22"/>
          <w:lang w:val="en-US"/>
        </w:rPr>
        <w:t xml:space="preserve">shows </w:t>
      </w:r>
      <w:r w:rsidR="00A349B7" w:rsidRPr="00337C97">
        <w:rPr>
          <w:rFonts w:asciiTheme="minorHAnsi" w:hAnsiTheme="minorHAnsi" w:cs="Times New Roman"/>
          <w:sz w:val="22"/>
          <w:szCs w:val="22"/>
          <w:lang w:val="en-US"/>
        </w:rPr>
        <w:t>an overview of the</w:t>
      </w:r>
      <w:r w:rsidR="00C12CED" w:rsidRPr="00337C97">
        <w:rPr>
          <w:rFonts w:asciiTheme="minorHAnsi" w:hAnsiTheme="minorHAnsi" w:cs="Times New Roman"/>
          <w:sz w:val="22"/>
          <w:szCs w:val="22"/>
          <w:lang w:val="en-US"/>
        </w:rPr>
        <w:t xml:space="preserve"> </w:t>
      </w:r>
      <w:r w:rsidR="005E1740" w:rsidRPr="00337C97">
        <w:rPr>
          <w:rFonts w:asciiTheme="minorHAnsi" w:hAnsiTheme="minorHAnsi" w:cs="Times New Roman"/>
          <w:sz w:val="22"/>
          <w:szCs w:val="22"/>
          <w:lang w:val="en-US"/>
        </w:rPr>
        <w:t xml:space="preserve">discussed </w:t>
      </w:r>
      <w:r w:rsidR="00A349B7" w:rsidRPr="00337C97">
        <w:rPr>
          <w:rFonts w:asciiTheme="minorHAnsi" w:hAnsiTheme="minorHAnsi" w:cs="Times New Roman"/>
          <w:sz w:val="22"/>
          <w:szCs w:val="22"/>
          <w:lang w:val="en-US"/>
        </w:rPr>
        <w:t>literature in this paragraph</w:t>
      </w:r>
      <w:r w:rsidR="00C12CED" w:rsidRPr="00337C97">
        <w:rPr>
          <w:rFonts w:asciiTheme="minorHAnsi" w:hAnsiTheme="minorHAnsi" w:cs="Times New Roman"/>
          <w:sz w:val="22"/>
          <w:szCs w:val="22"/>
          <w:lang w:val="en-US"/>
        </w:rPr>
        <w:t xml:space="preserve"> </w:t>
      </w:r>
      <w:r w:rsidR="004F7C7D" w:rsidRPr="00337C97">
        <w:rPr>
          <w:rFonts w:asciiTheme="minorHAnsi" w:hAnsiTheme="minorHAnsi" w:cs="Times New Roman"/>
          <w:sz w:val="22"/>
          <w:szCs w:val="22"/>
          <w:lang w:val="en-US"/>
        </w:rPr>
        <w:t>(except 4.4.3)</w:t>
      </w:r>
      <w:r w:rsidR="00A349B7" w:rsidRPr="00337C97">
        <w:rPr>
          <w:rFonts w:asciiTheme="minorHAnsi" w:hAnsiTheme="minorHAnsi" w:cs="Times New Roman"/>
          <w:sz w:val="22"/>
          <w:szCs w:val="22"/>
          <w:lang w:val="en-US"/>
        </w:rPr>
        <w:t>, about firm-specific characteristics related to the extent of risk disclosure.</w:t>
      </w:r>
    </w:p>
    <w:p w:rsidR="00697666" w:rsidRDefault="00697666" w:rsidP="00A349B7">
      <w:pPr>
        <w:spacing w:line="360" w:lineRule="auto"/>
        <w:jc w:val="both"/>
        <w:rPr>
          <w:rFonts w:asciiTheme="minorHAnsi" w:hAnsiTheme="minorHAnsi" w:cs="Times New Roman"/>
          <w:b/>
          <w:sz w:val="22"/>
          <w:szCs w:val="22"/>
          <w:lang w:val="en-US"/>
        </w:rPr>
      </w:pPr>
    </w:p>
    <w:p w:rsidR="00697666" w:rsidRDefault="00697666">
      <w:pPr>
        <w:rPr>
          <w:rFonts w:asciiTheme="minorHAnsi" w:hAnsiTheme="minorHAnsi" w:cs="Times New Roman"/>
          <w:b/>
          <w:sz w:val="22"/>
          <w:szCs w:val="22"/>
          <w:lang w:val="en-US"/>
        </w:rPr>
      </w:pPr>
      <w:r>
        <w:rPr>
          <w:rFonts w:asciiTheme="minorHAnsi" w:hAnsiTheme="minorHAnsi" w:cs="Times New Roman"/>
          <w:b/>
          <w:sz w:val="22"/>
          <w:szCs w:val="22"/>
          <w:lang w:val="en-US"/>
        </w:rPr>
        <w:br w:type="page"/>
      </w:r>
    </w:p>
    <w:p w:rsidR="00D950F8" w:rsidRPr="00337C97" w:rsidRDefault="00D950F8" w:rsidP="00A349B7">
      <w:pPr>
        <w:spacing w:line="360" w:lineRule="auto"/>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lastRenderedPageBreak/>
        <w:t>Ta</w:t>
      </w:r>
      <w:r w:rsidR="00A349B7" w:rsidRPr="00337C97">
        <w:rPr>
          <w:rFonts w:asciiTheme="minorHAnsi" w:hAnsiTheme="minorHAnsi" w:cs="Times New Roman"/>
          <w:b/>
          <w:sz w:val="22"/>
          <w:szCs w:val="22"/>
          <w:lang w:val="en-US"/>
        </w:rPr>
        <w:t xml:space="preserve">ble 3 </w:t>
      </w:r>
      <w:r w:rsidR="00A349B7" w:rsidRPr="00337C97">
        <w:rPr>
          <w:rFonts w:asciiTheme="minorHAnsi" w:hAnsiTheme="minorHAnsi" w:cs="Times New Roman"/>
          <w:sz w:val="22"/>
          <w:szCs w:val="22"/>
          <w:lang w:val="en-US"/>
        </w:rPr>
        <w:t>Firm-specific variables and risk reporting</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01"/>
        <w:gridCol w:w="1993"/>
        <w:gridCol w:w="1645"/>
        <w:gridCol w:w="1842"/>
        <w:gridCol w:w="2977"/>
      </w:tblGrid>
      <w:tr w:rsidR="00FF6108" w:rsidRPr="00337C97" w:rsidTr="007C4013">
        <w:trPr>
          <w:cantSplit/>
          <w:trHeight w:val="420"/>
        </w:trPr>
        <w:tc>
          <w:tcPr>
            <w:tcW w:w="1101" w:type="dxa"/>
            <w:tcBorders>
              <w:right w:val="nil"/>
            </w:tcBorders>
            <w:shd w:val="clear" w:color="auto" w:fill="7F7F7F"/>
          </w:tcPr>
          <w:p w:rsidR="00FF6108" w:rsidRPr="00337C97" w:rsidRDefault="00FF6108" w:rsidP="00FF6108">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Author(s)</w:t>
            </w:r>
          </w:p>
        </w:tc>
        <w:tc>
          <w:tcPr>
            <w:tcW w:w="1993" w:type="dxa"/>
            <w:tcBorders>
              <w:left w:val="nil"/>
              <w:right w:val="nil"/>
            </w:tcBorders>
            <w:shd w:val="clear" w:color="auto" w:fill="7F7F7F"/>
          </w:tcPr>
          <w:p w:rsidR="00FF6108" w:rsidRPr="00337C97" w:rsidRDefault="00FF6108" w:rsidP="00FF6108">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Object of study</w:t>
            </w:r>
          </w:p>
        </w:tc>
        <w:tc>
          <w:tcPr>
            <w:tcW w:w="1645" w:type="dxa"/>
            <w:tcBorders>
              <w:left w:val="nil"/>
              <w:right w:val="nil"/>
            </w:tcBorders>
            <w:shd w:val="clear" w:color="auto" w:fill="7F7F7F"/>
          </w:tcPr>
          <w:p w:rsidR="00FF6108" w:rsidRPr="00337C97" w:rsidRDefault="00FF6108" w:rsidP="00FF6108">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 xml:space="preserve">Sample </w:t>
            </w:r>
          </w:p>
          <w:p w:rsidR="00FF6108" w:rsidRPr="00337C97" w:rsidRDefault="00FF6108" w:rsidP="00FF6108">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(size, country, period)</w:t>
            </w:r>
          </w:p>
        </w:tc>
        <w:tc>
          <w:tcPr>
            <w:tcW w:w="1842" w:type="dxa"/>
            <w:tcBorders>
              <w:left w:val="nil"/>
              <w:right w:val="nil"/>
            </w:tcBorders>
            <w:shd w:val="clear" w:color="auto" w:fill="7F7F7F"/>
          </w:tcPr>
          <w:p w:rsidR="00FF6108" w:rsidRPr="00337C97" w:rsidRDefault="00FF6108" w:rsidP="00FF6108">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Methodology</w:t>
            </w:r>
          </w:p>
        </w:tc>
        <w:tc>
          <w:tcPr>
            <w:tcW w:w="2977" w:type="dxa"/>
            <w:tcBorders>
              <w:left w:val="nil"/>
            </w:tcBorders>
            <w:shd w:val="clear" w:color="auto" w:fill="7F7F7F"/>
          </w:tcPr>
          <w:p w:rsidR="00FF6108" w:rsidRPr="00337C97" w:rsidRDefault="00FF6108" w:rsidP="00FF6108">
            <w:pPr>
              <w:rPr>
                <w:rFonts w:asciiTheme="minorHAnsi" w:hAnsiTheme="minorHAnsi" w:cs="Times New Roman"/>
                <w:b/>
                <w:color w:val="FFFFFF"/>
                <w:sz w:val="20"/>
                <w:szCs w:val="20"/>
                <w:lang w:val="en-US"/>
              </w:rPr>
            </w:pPr>
            <w:r w:rsidRPr="00337C97">
              <w:rPr>
                <w:rFonts w:asciiTheme="minorHAnsi" w:hAnsiTheme="minorHAnsi" w:cs="Times New Roman"/>
                <w:b/>
                <w:color w:val="FFFFFF"/>
                <w:sz w:val="20"/>
                <w:szCs w:val="20"/>
                <w:lang w:val="en-US"/>
              </w:rPr>
              <w:t>Results</w:t>
            </w:r>
          </w:p>
        </w:tc>
      </w:tr>
      <w:tr w:rsidR="00455E16" w:rsidRPr="00337C97" w:rsidTr="007C4013">
        <w:trPr>
          <w:cantSplit/>
          <w:trHeight w:val="137"/>
        </w:trPr>
        <w:tc>
          <w:tcPr>
            <w:tcW w:w="9558" w:type="dxa"/>
            <w:gridSpan w:val="5"/>
            <w:tcBorders>
              <w:bottom w:val="single" w:sz="4" w:space="0" w:color="auto"/>
            </w:tcBorders>
            <w:shd w:val="clear" w:color="auto" w:fill="auto"/>
          </w:tcPr>
          <w:p w:rsidR="00455E16" w:rsidRPr="00337C97" w:rsidRDefault="00C5369E" w:rsidP="00213552">
            <w:pPr>
              <w:rPr>
                <w:rFonts w:asciiTheme="minorHAnsi" w:hAnsiTheme="minorHAnsi" w:cs="Times New Roman"/>
                <w:b/>
                <w:sz w:val="20"/>
                <w:szCs w:val="20"/>
                <w:lang w:val="en-US"/>
              </w:rPr>
            </w:pPr>
            <w:r w:rsidRPr="00337C97">
              <w:rPr>
                <w:rFonts w:asciiTheme="minorHAnsi" w:hAnsiTheme="minorHAnsi" w:cs="Times New Roman"/>
                <w:b/>
                <w:sz w:val="20"/>
                <w:szCs w:val="20"/>
                <w:lang w:val="en-US"/>
              </w:rPr>
              <w:t>(</w:t>
            </w:r>
            <w:r w:rsidR="00213552" w:rsidRPr="00337C97">
              <w:rPr>
                <w:rFonts w:asciiTheme="minorHAnsi" w:hAnsiTheme="minorHAnsi" w:cs="Times New Roman"/>
                <w:b/>
                <w:sz w:val="20"/>
                <w:szCs w:val="20"/>
                <w:lang w:val="en-US"/>
              </w:rPr>
              <w:t>Risk</w:t>
            </w:r>
            <w:r w:rsidRPr="00337C97">
              <w:rPr>
                <w:rFonts w:asciiTheme="minorHAnsi" w:hAnsiTheme="minorHAnsi" w:cs="Times New Roman"/>
                <w:b/>
                <w:sz w:val="20"/>
                <w:szCs w:val="20"/>
                <w:lang w:val="en-US"/>
              </w:rPr>
              <w:t>)</w:t>
            </w:r>
            <w:r w:rsidR="00213552" w:rsidRPr="00337C97">
              <w:rPr>
                <w:rFonts w:asciiTheme="minorHAnsi" w:hAnsiTheme="minorHAnsi" w:cs="Times New Roman"/>
                <w:b/>
                <w:sz w:val="20"/>
                <w:szCs w:val="20"/>
                <w:lang w:val="en-US"/>
              </w:rPr>
              <w:t xml:space="preserve"> disclosure s</w:t>
            </w:r>
            <w:r w:rsidR="00455E16" w:rsidRPr="00337C97">
              <w:rPr>
                <w:rFonts w:asciiTheme="minorHAnsi" w:hAnsiTheme="minorHAnsi" w:cs="Times New Roman"/>
                <w:b/>
                <w:sz w:val="20"/>
                <w:szCs w:val="20"/>
                <w:lang w:val="en-US"/>
              </w:rPr>
              <w:t>tudies on financial firms</w:t>
            </w:r>
          </w:p>
        </w:tc>
      </w:tr>
      <w:tr w:rsidR="00FF6108" w:rsidRPr="00337C97" w:rsidTr="007C4013">
        <w:trPr>
          <w:cantSplit/>
          <w:trHeight w:val="420"/>
        </w:trPr>
        <w:tc>
          <w:tcPr>
            <w:tcW w:w="1101" w:type="dxa"/>
            <w:tcBorders>
              <w:bottom w:val="single" w:sz="4" w:space="0" w:color="auto"/>
              <w:right w:val="nil"/>
            </w:tcBorders>
            <w:shd w:val="clear" w:color="auto" w:fill="F2F2F2"/>
          </w:tcPr>
          <w:p w:rsidR="00FF6108" w:rsidRPr="00337C97" w:rsidRDefault="00FF6108"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Helbok, Wagner (2003)</w:t>
            </w:r>
          </w:p>
        </w:tc>
        <w:tc>
          <w:tcPr>
            <w:tcW w:w="1993" w:type="dxa"/>
            <w:tcBorders>
              <w:left w:val="nil"/>
              <w:bottom w:val="single" w:sz="4" w:space="0" w:color="auto"/>
              <w:right w:val="nil"/>
            </w:tcBorders>
            <w:shd w:val="clear" w:color="auto" w:fill="F2F2F2"/>
          </w:tcPr>
          <w:p w:rsidR="00FF6108" w:rsidRPr="00337C97" w:rsidRDefault="00FF6108"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Relationship between bank characteristics and operational risk disclosure.</w:t>
            </w:r>
          </w:p>
        </w:tc>
        <w:tc>
          <w:tcPr>
            <w:tcW w:w="1645" w:type="dxa"/>
            <w:tcBorders>
              <w:left w:val="nil"/>
              <w:bottom w:val="single" w:sz="4" w:space="0" w:color="auto"/>
              <w:right w:val="nil"/>
            </w:tcBorders>
            <w:shd w:val="clear" w:color="auto" w:fill="F2F2F2"/>
          </w:tcPr>
          <w:p w:rsidR="00FF6108" w:rsidRPr="00337C97" w:rsidRDefault="00FF6108"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59 banks;</w:t>
            </w:r>
          </w:p>
          <w:p w:rsidR="00FF6108" w:rsidRPr="00337C97" w:rsidRDefault="00FF6108"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Europe, Asia and North America; 1998-2001</w:t>
            </w:r>
          </w:p>
        </w:tc>
        <w:tc>
          <w:tcPr>
            <w:tcW w:w="1842" w:type="dxa"/>
            <w:tcBorders>
              <w:left w:val="nil"/>
              <w:bottom w:val="single" w:sz="4" w:space="0" w:color="auto"/>
              <w:right w:val="nil"/>
            </w:tcBorders>
            <w:shd w:val="clear" w:color="auto" w:fill="F2F2F2"/>
          </w:tcPr>
          <w:p w:rsidR="00FF6108" w:rsidRPr="00337C97" w:rsidRDefault="00FF6108"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Descriptive statistics and a logit model.</w:t>
            </w:r>
          </w:p>
        </w:tc>
        <w:tc>
          <w:tcPr>
            <w:tcW w:w="2977" w:type="dxa"/>
            <w:tcBorders>
              <w:left w:val="nil"/>
              <w:bottom w:val="single" w:sz="4" w:space="0" w:color="auto"/>
            </w:tcBorders>
            <w:shd w:val="clear" w:color="auto" w:fill="F2F2F2"/>
          </w:tcPr>
          <w:p w:rsidR="00FF6108" w:rsidRPr="00337C97" w:rsidRDefault="00FF6108"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Less well-capitalized and less profitable banks tend to disclose more on operational risks.</w:t>
            </w:r>
          </w:p>
        </w:tc>
      </w:tr>
      <w:tr w:rsidR="00FF6108" w:rsidRPr="00337C97" w:rsidTr="007C4013">
        <w:trPr>
          <w:cantSplit/>
          <w:trHeight w:val="206"/>
        </w:trPr>
        <w:tc>
          <w:tcPr>
            <w:tcW w:w="1101" w:type="dxa"/>
            <w:tcBorders>
              <w:top w:val="single" w:sz="4" w:space="0" w:color="auto"/>
              <w:bottom w:val="single" w:sz="4" w:space="0" w:color="auto"/>
              <w:right w:val="nil"/>
            </w:tcBorders>
            <w:shd w:val="clear" w:color="auto" w:fill="auto"/>
          </w:tcPr>
          <w:p w:rsidR="00FF6108" w:rsidRPr="00337C97" w:rsidRDefault="0034566B"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Linsley, Shrives, Crumpton (2006)</w:t>
            </w:r>
          </w:p>
        </w:tc>
        <w:tc>
          <w:tcPr>
            <w:tcW w:w="1993" w:type="dxa"/>
            <w:tcBorders>
              <w:top w:val="single" w:sz="4" w:space="0" w:color="auto"/>
              <w:left w:val="nil"/>
              <w:bottom w:val="single" w:sz="4" w:space="0" w:color="auto"/>
              <w:right w:val="nil"/>
            </w:tcBorders>
            <w:shd w:val="clear" w:color="auto" w:fill="auto"/>
          </w:tcPr>
          <w:p w:rsidR="00FF6108" w:rsidRPr="00337C97" w:rsidRDefault="00C91BB5"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Association between volume of risk disclosures and potentially relevant variables.</w:t>
            </w:r>
          </w:p>
        </w:tc>
        <w:tc>
          <w:tcPr>
            <w:tcW w:w="1645" w:type="dxa"/>
            <w:tcBorders>
              <w:top w:val="single" w:sz="4" w:space="0" w:color="auto"/>
              <w:left w:val="nil"/>
              <w:bottom w:val="single" w:sz="4" w:space="0" w:color="auto"/>
              <w:right w:val="nil"/>
            </w:tcBorders>
            <w:shd w:val="clear" w:color="auto" w:fill="auto"/>
          </w:tcPr>
          <w:p w:rsidR="00FF6108" w:rsidRPr="00337C97" w:rsidRDefault="00C91BB5"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18 public listed banks;</w:t>
            </w:r>
          </w:p>
          <w:p w:rsidR="00C91BB5" w:rsidRPr="00337C97" w:rsidRDefault="00C91BB5"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UK and Canada; 2001</w:t>
            </w:r>
          </w:p>
        </w:tc>
        <w:tc>
          <w:tcPr>
            <w:tcW w:w="1842" w:type="dxa"/>
            <w:tcBorders>
              <w:top w:val="single" w:sz="4" w:space="0" w:color="auto"/>
              <w:left w:val="nil"/>
              <w:bottom w:val="single" w:sz="4" w:space="0" w:color="auto"/>
              <w:right w:val="nil"/>
            </w:tcBorders>
            <w:shd w:val="clear" w:color="auto" w:fill="auto"/>
          </w:tcPr>
          <w:p w:rsidR="00FF6108" w:rsidRPr="00337C97" w:rsidRDefault="00C91BB5"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Mann-Whitney U-test and Pearson’s rank correlation.</w:t>
            </w:r>
          </w:p>
        </w:tc>
        <w:tc>
          <w:tcPr>
            <w:tcW w:w="2977" w:type="dxa"/>
            <w:tcBorders>
              <w:top w:val="single" w:sz="4" w:space="0" w:color="auto"/>
              <w:left w:val="nil"/>
              <w:bottom w:val="single" w:sz="4" w:space="0" w:color="auto"/>
            </w:tcBorders>
            <w:shd w:val="clear" w:color="auto" w:fill="auto"/>
          </w:tcPr>
          <w:p w:rsidR="00FF6108" w:rsidRPr="00337C97" w:rsidRDefault="00455E16"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Bank size and total quantity of disclosed risk definitions were positively correlated with risk disclosure. No association found between levels of risk disclosure and either profitability or level of risk within the bank.</w:t>
            </w:r>
          </w:p>
        </w:tc>
      </w:tr>
      <w:tr w:rsidR="00C5369E" w:rsidRPr="00337C97" w:rsidTr="007C4013">
        <w:trPr>
          <w:cantSplit/>
          <w:trHeight w:val="206"/>
        </w:trPr>
        <w:tc>
          <w:tcPr>
            <w:tcW w:w="1101" w:type="dxa"/>
            <w:tcBorders>
              <w:top w:val="single" w:sz="4" w:space="0" w:color="auto"/>
              <w:bottom w:val="single" w:sz="4" w:space="0" w:color="auto"/>
              <w:right w:val="nil"/>
            </w:tcBorders>
            <w:shd w:val="clear" w:color="auto" w:fill="F2F2F2"/>
          </w:tcPr>
          <w:p w:rsidR="00C5369E" w:rsidRPr="00337C97" w:rsidRDefault="00C5369E"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Hossain (2008)</w:t>
            </w:r>
          </w:p>
        </w:tc>
        <w:tc>
          <w:tcPr>
            <w:tcW w:w="1993" w:type="dxa"/>
            <w:tcBorders>
              <w:top w:val="single" w:sz="4" w:space="0" w:color="auto"/>
              <w:left w:val="nil"/>
              <w:bottom w:val="single" w:sz="4" w:space="0" w:color="auto"/>
              <w:right w:val="nil"/>
            </w:tcBorders>
            <w:shd w:val="clear" w:color="auto" w:fill="F2F2F2"/>
          </w:tcPr>
          <w:p w:rsidR="00C5369E" w:rsidRPr="00337C97" w:rsidRDefault="00C5369E" w:rsidP="00C5369E">
            <w:pPr>
              <w:rPr>
                <w:rFonts w:asciiTheme="minorHAnsi" w:hAnsiTheme="minorHAnsi" w:cs="Times New Roman"/>
                <w:sz w:val="20"/>
                <w:szCs w:val="20"/>
                <w:lang w:val="en-US"/>
              </w:rPr>
            </w:pPr>
            <w:r w:rsidRPr="00337C97">
              <w:rPr>
                <w:rFonts w:asciiTheme="minorHAnsi" w:hAnsiTheme="minorHAnsi" w:cs="Times New Roman"/>
                <w:sz w:val="20"/>
                <w:szCs w:val="20"/>
                <w:lang w:val="en-US"/>
              </w:rPr>
              <w:t>Association between bank characteristics and the extent of disclosure.</w:t>
            </w:r>
          </w:p>
        </w:tc>
        <w:tc>
          <w:tcPr>
            <w:tcW w:w="1645" w:type="dxa"/>
            <w:tcBorders>
              <w:top w:val="single" w:sz="4" w:space="0" w:color="auto"/>
              <w:left w:val="nil"/>
              <w:bottom w:val="single" w:sz="4" w:space="0" w:color="auto"/>
              <w:right w:val="nil"/>
            </w:tcBorders>
            <w:shd w:val="clear" w:color="auto" w:fill="F2F2F2"/>
          </w:tcPr>
          <w:p w:rsidR="00C5369E" w:rsidRPr="00337C97" w:rsidRDefault="00C5369E"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38 banks; </w:t>
            </w:r>
            <w:r w:rsidRPr="00337C97">
              <w:rPr>
                <w:rFonts w:asciiTheme="minorHAnsi" w:hAnsiTheme="minorHAnsi" w:cs="Times New Roman"/>
                <w:sz w:val="20"/>
                <w:szCs w:val="20"/>
                <w:lang w:val="en-US"/>
              </w:rPr>
              <w:br/>
              <w:t>India</w:t>
            </w:r>
          </w:p>
          <w:p w:rsidR="00C5369E" w:rsidRPr="00337C97" w:rsidRDefault="00C5369E"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2002-2003</w:t>
            </w:r>
          </w:p>
        </w:tc>
        <w:tc>
          <w:tcPr>
            <w:tcW w:w="1842" w:type="dxa"/>
            <w:tcBorders>
              <w:top w:val="single" w:sz="4" w:space="0" w:color="auto"/>
              <w:left w:val="nil"/>
              <w:bottom w:val="single" w:sz="4" w:space="0" w:color="auto"/>
              <w:right w:val="nil"/>
            </w:tcBorders>
            <w:shd w:val="clear" w:color="auto" w:fill="F2F2F2"/>
          </w:tcPr>
          <w:p w:rsidR="00C5369E" w:rsidRPr="00337C97" w:rsidRDefault="00C5369E"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Multiple regression model (OLS).</w:t>
            </w:r>
          </w:p>
        </w:tc>
        <w:tc>
          <w:tcPr>
            <w:tcW w:w="2977" w:type="dxa"/>
            <w:tcBorders>
              <w:top w:val="single" w:sz="4" w:space="0" w:color="auto"/>
              <w:left w:val="nil"/>
              <w:bottom w:val="single" w:sz="4" w:space="0" w:color="auto"/>
            </w:tcBorders>
            <w:shd w:val="clear" w:color="auto" w:fill="F2F2F2"/>
          </w:tcPr>
          <w:p w:rsidR="00C5369E" w:rsidRPr="00337C97" w:rsidRDefault="00C5369E" w:rsidP="00C5369E">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Size, profitability, board composition and market discipline were significantly related, but age, complexity of business and assets-in-place were not. </w:t>
            </w:r>
          </w:p>
        </w:tc>
      </w:tr>
      <w:tr w:rsidR="00420CBD" w:rsidRPr="00337C97" w:rsidTr="007C4013">
        <w:trPr>
          <w:cantSplit/>
          <w:trHeight w:val="206"/>
        </w:trPr>
        <w:tc>
          <w:tcPr>
            <w:tcW w:w="9558" w:type="dxa"/>
            <w:gridSpan w:val="5"/>
            <w:tcBorders>
              <w:bottom w:val="single" w:sz="4" w:space="0" w:color="auto"/>
            </w:tcBorders>
            <w:shd w:val="clear" w:color="auto" w:fill="auto"/>
          </w:tcPr>
          <w:p w:rsidR="00420CBD" w:rsidRPr="00337C97" w:rsidRDefault="00213552" w:rsidP="00FF6108">
            <w:pPr>
              <w:rPr>
                <w:rFonts w:asciiTheme="minorHAnsi" w:hAnsiTheme="minorHAnsi" w:cs="Times New Roman"/>
                <w:b/>
                <w:sz w:val="20"/>
                <w:szCs w:val="20"/>
                <w:lang w:val="en-US"/>
              </w:rPr>
            </w:pPr>
            <w:r w:rsidRPr="00337C97">
              <w:rPr>
                <w:rFonts w:asciiTheme="minorHAnsi" w:hAnsiTheme="minorHAnsi" w:cs="Times New Roman"/>
                <w:b/>
                <w:sz w:val="20"/>
                <w:szCs w:val="20"/>
                <w:lang w:val="en-US"/>
              </w:rPr>
              <w:t>Risk disclosure s</w:t>
            </w:r>
            <w:r w:rsidR="00420CBD" w:rsidRPr="00337C97">
              <w:rPr>
                <w:rFonts w:asciiTheme="minorHAnsi" w:hAnsiTheme="minorHAnsi" w:cs="Times New Roman"/>
                <w:b/>
                <w:sz w:val="20"/>
                <w:szCs w:val="20"/>
                <w:lang w:val="en-US"/>
              </w:rPr>
              <w:t>tudies on nonfinancial firms</w:t>
            </w:r>
          </w:p>
        </w:tc>
      </w:tr>
      <w:tr w:rsidR="00FF6108" w:rsidRPr="00337C97" w:rsidTr="007C4013">
        <w:trPr>
          <w:cantSplit/>
          <w:trHeight w:val="206"/>
        </w:trPr>
        <w:tc>
          <w:tcPr>
            <w:tcW w:w="1101" w:type="dxa"/>
            <w:tcBorders>
              <w:bottom w:val="single" w:sz="4" w:space="0" w:color="auto"/>
              <w:right w:val="nil"/>
            </w:tcBorders>
            <w:shd w:val="clear" w:color="auto" w:fill="F2F2F2"/>
          </w:tcPr>
          <w:p w:rsidR="00FF6108" w:rsidRPr="00337C97" w:rsidRDefault="00670EF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Beretta, Bozzolan</w:t>
            </w:r>
          </w:p>
          <w:p w:rsidR="00670EFD" w:rsidRPr="00337C97" w:rsidRDefault="00670EF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(2004)</w:t>
            </w:r>
          </w:p>
        </w:tc>
        <w:tc>
          <w:tcPr>
            <w:tcW w:w="1993" w:type="dxa"/>
            <w:tcBorders>
              <w:left w:val="nil"/>
              <w:bottom w:val="single" w:sz="4" w:space="0" w:color="auto"/>
              <w:right w:val="nil"/>
            </w:tcBorders>
            <w:shd w:val="clear" w:color="auto" w:fill="F2F2F2"/>
          </w:tcPr>
          <w:p w:rsidR="00FF6108" w:rsidRPr="00337C97" w:rsidRDefault="006C292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Investigating the size and industry effect regarding the quantity of disclosure.</w:t>
            </w:r>
          </w:p>
        </w:tc>
        <w:tc>
          <w:tcPr>
            <w:tcW w:w="1645" w:type="dxa"/>
            <w:tcBorders>
              <w:left w:val="nil"/>
              <w:bottom w:val="single" w:sz="4" w:space="0" w:color="auto"/>
              <w:right w:val="nil"/>
            </w:tcBorders>
            <w:shd w:val="clear" w:color="auto" w:fill="F2F2F2"/>
          </w:tcPr>
          <w:p w:rsidR="00FF6108" w:rsidRPr="00337C97" w:rsidRDefault="006C292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85 nonfinancial companies listed on the Italian Stock Exchange, Italy; </w:t>
            </w:r>
          </w:p>
          <w:p w:rsidR="006C2920" w:rsidRPr="00337C97" w:rsidRDefault="006C292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2001</w:t>
            </w:r>
          </w:p>
        </w:tc>
        <w:tc>
          <w:tcPr>
            <w:tcW w:w="1842" w:type="dxa"/>
            <w:tcBorders>
              <w:left w:val="nil"/>
              <w:bottom w:val="single" w:sz="4" w:space="0" w:color="auto"/>
              <w:right w:val="nil"/>
            </w:tcBorders>
            <w:shd w:val="clear" w:color="auto" w:fill="F2F2F2"/>
          </w:tcPr>
          <w:p w:rsidR="00FF6108" w:rsidRPr="00337C97" w:rsidRDefault="008E0FD2" w:rsidP="00420CBD">
            <w:pPr>
              <w:rPr>
                <w:rFonts w:asciiTheme="minorHAnsi" w:hAnsiTheme="minorHAnsi" w:cs="Times New Roman"/>
                <w:sz w:val="20"/>
                <w:szCs w:val="20"/>
                <w:lang w:val="en-US"/>
              </w:rPr>
            </w:pPr>
            <w:r w:rsidRPr="00337C97">
              <w:rPr>
                <w:rFonts w:asciiTheme="minorHAnsi" w:hAnsiTheme="minorHAnsi" w:cs="Times New Roman"/>
                <w:sz w:val="20"/>
                <w:szCs w:val="20"/>
                <w:lang w:val="en-US"/>
              </w:rPr>
              <w:t>Regression model for relative quantity, using</w:t>
            </w:r>
            <w:r w:rsidR="00420CBD" w:rsidRPr="00337C97">
              <w:rPr>
                <w:rFonts w:asciiTheme="minorHAnsi" w:hAnsiTheme="minorHAnsi" w:cs="Times New Roman"/>
                <w:sz w:val="20"/>
                <w:szCs w:val="20"/>
                <w:lang w:val="en-US"/>
              </w:rPr>
              <w:t xml:space="preserve"> one</w:t>
            </w:r>
            <w:r w:rsidRPr="00337C97">
              <w:rPr>
                <w:rFonts w:asciiTheme="minorHAnsi" w:hAnsiTheme="minorHAnsi" w:cs="Times New Roman"/>
                <w:sz w:val="20"/>
                <w:szCs w:val="20"/>
                <w:lang w:val="en-US"/>
              </w:rPr>
              <w:t xml:space="preserve"> size variable and 6 industry variables</w:t>
            </w:r>
            <w:r w:rsidR="00420CBD" w:rsidRPr="00337C97">
              <w:rPr>
                <w:rFonts w:asciiTheme="minorHAnsi" w:hAnsiTheme="minorHAnsi" w:cs="Times New Roman"/>
                <w:sz w:val="20"/>
                <w:szCs w:val="20"/>
                <w:lang w:val="en-US"/>
              </w:rPr>
              <w:t>.</w:t>
            </w:r>
          </w:p>
        </w:tc>
        <w:tc>
          <w:tcPr>
            <w:tcW w:w="2977" w:type="dxa"/>
            <w:tcBorders>
              <w:left w:val="nil"/>
              <w:bottom w:val="single" w:sz="4" w:space="0" w:color="auto"/>
            </w:tcBorders>
            <w:shd w:val="clear" w:color="auto" w:fill="F2F2F2"/>
          </w:tcPr>
          <w:p w:rsidR="00FF6108" w:rsidRPr="00337C97" w:rsidRDefault="00420CB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Company size was found to be significant positively related. Type of industry was not significantly related in explaining the amount of disclosure.</w:t>
            </w:r>
          </w:p>
        </w:tc>
      </w:tr>
      <w:tr w:rsidR="00FF6108" w:rsidRPr="00337C97" w:rsidTr="007C4013">
        <w:trPr>
          <w:cantSplit/>
          <w:trHeight w:val="206"/>
        </w:trPr>
        <w:tc>
          <w:tcPr>
            <w:tcW w:w="1101" w:type="dxa"/>
            <w:tcBorders>
              <w:bottom w:val="single" w:sz="4" w:space="0" w:color="auto"/>
              <w:right w:val="nil"/>
            </w:tcBorders>
            <w:shd w:val="clear" w:color="auto" w:fill="auto"/>
          </w:tcPr>
          <w:p w:rsidR="00FF6108" w:rsidRPr="00337C97" w:rsidRDefault="00420CB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Lajili, Zeghal (2005)</w:t>
            </w:r>
          </w:p>
        </w:tc>
        <w:tc>
          <w:tcPr>
            <w:tcW w:w="1993" w:type="dxa"/>
            <w:tcBorders>
              <w:left w:val="nil"/>
              <w:bottom w:val="single" w:sz="4" w:space="0" w:color="auto"/>
              <w:right w:val="nil"/>
            </w:tcBorders>
            <w:shd w:val="clear" w:color="auto" w:fill="auto"/>
          </w:tcPr>
          <w:p w:rsidR="00FF6108" w:rsidRPr="00337C97" w:rsidRDefault="00420CBD" w:rsidP="00420CBD">
            <w:pPr>
              <w:rPr>
                <w:rFonts w:asciiTheme="minorHAnsi" w:hAnsiTheme="minorHAnsi" w:cs="Times New Roman"/>
                <w:sz w:val="20"/>
                <w:szCs w:val="20"/>
                <w:lang w:val="en-US"/>
              </w:rPr>
            </w:pPr>
            <w:r w:rsidRPr="00337C97">
              <w:rPr>
                <w:rFonts w:asciiTheme="minorHAnsi" w:hAnsiTheme="minorHAnsi" w:cs="Times New Roman"/>
                <w:sz w:val="20"/>
                <w:szCs w:val="20"/>
                <w:lang w:val="en-US"/>
              </w:rPr>
              <w:t>Relationships between quantity of risk reporting and firm-specific characteristics</w:t>
            </w:r>
            <w:r w:rsidR="00D80510" w:rsidRPr="00337C97">
              <w:rPr>
                <w:rFonts w:asciiTheme="minorHAnsi" w:hAnsiTheme="minorHAnsi" w:cs="Times New Roman"/>
                <w:sz w:val="20"/>
                <w:szCs w:val="20"/>
                <w:lang w:val="en-US"/>
              </w:rPr>
              <w:t>.</w:t>
            </w:r>
          </w:p>
        </w:tc>
        <w:tc>
          <w:tcPr>
            <w:tcW w:w="1645" w:type="dxa"/>
            <w:tcBorders>
              <w:left w:val="nil"/>
              <w:bottom w:val="single" w:sz="4" w:space="0" w:color="auto"/>
              <w:right w:val="nil"/>
            </w:tcBorders>
            <w:shd w:val="clear" w:color="auto" w:fill="auto"/>
          </w:tcPr>
          <w:p w:rsidR="00FF6108" w:rsidRPr="00337C97" w:rsidRDefault="00420CB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300 nonfinancial companies; Canada; </w:t>
            </w:r>
          </w:p>
          <w:p w:rsidR="00420CBD" w:rsidRPr="00337C97" w:rsidRDefault="006E682C"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1999</w:t>
            </w:r>
          </w:p>
        </w:tc>
        <w:tc>
          <w:tcPr>
            <w:tcW w:w="1842" w:type="dxa"/>
            <w:tcBorders>
              <w:left w:val="nil"/>
              <w:bottom w:val="single" w:sz="4" w:space="0" w:color="auto"/>
              <w:right w:val="nil"/>
            </w:tcBorders>
            <w:shd w:val="clear" w:color="auto" w:fill="auto"/>
          </w:tcPr>
          <w:p w:rsidR="00FF6108" w:rsidRPr="00337C97" w:rsidRDefault="00420CB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Bivariate tests on the selected variables.</w:t>
            </w:r>
          </w:p>
        </w:tc>
        <w:tc>
          <w:tcPr>
            <w:tcW w:w="2977" w:type="dxa"/>
            <w:tcBorders>
              <w:left w:val="nil"/>
              <w:bottom w:val="single" w:sz="4" w:space="0" w:color="auto"/>
            </w:tcBorders>
            <w:shd w:val="clear" w:color="auto" w:fill="auto"/>
          </w:tcPr>
          <w:p w:rsidR="00FF6108" w:rsidRPr="00337C97" w:rsidRDefault="00420CB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No relationships found between quantity of compulsory and voluntary risk reporting and firm size, profit, beta or leverage.</w:t>
            </w:r>
          </w:p>
        </w:tc>
      </w:tr>
      <w:tr w:rsidR="00FF6108" w:rsidRPr="00337C97" w:rsidTr="007C4013">
        <w:trPr>
          <w:cantSplit/>
          <w:trHeight w:val="206"/>
        </w:trPr>
        <w:tc>
          <w:tcPr>
            <w:tcW w:w="1101" w:type="dxa"/>
            <w:tcBorders>
              <w:bottom w:val="single" w:sz="4" w:space="0" w:color="auto"/>
              <w:right w:val="nil"/>
            </w:tcBorders>
            <w:shd w:val="clear" w:color="auto" w:fill="F2F2F2"/>
          </w:tcPr>
          <w:p w:rsidR="00FF6108" w:rsidRPr="00337C97" w:rsidRDefault="00420CBD"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Linsley, Shrives (2005b)</w:t>
            </w:r>
          </w:p>
        </w:tc>
        <w:tc>
          <w:tcPr>
            <w:tcW w:w="1993" w:type="dxa"/>
            <w:tcBorders>
              <w:left w:val="nil"/>
              <w:bottom w:val="single" w:sz="4" w:space="0" w:color="auto"/>
              <w:right w:val="nil"/>
            </w:tcBorders>
            <w:shd w:val="clear" w:color="auto" w:fill="F2F2F2"/>
          </w:tcPr>
          <w:p w:rsidR="00FF6108" w:rsidRPr="00337C97" w:rsidRDefault="004A7E83"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Relationship between number of risk disclosures and firm-specific characteristics</w:t>
            </w:r>
            <w:r w:rsidR="00D80510" w:rsidRPr="00337C97">
              <w:rPr>
                <w:rFonts w:asciiTheme="minorHAnsi" w:hAnsiTheme="minorHAnsi" w:cs="Times New Roman"/>
                <w:sz w:val="20"/>
                <w:szCs w:val="20"/>
                <w:lang w:val="en-US"/>
              </w:rPr>
              <w:t>.</w:t>
            </w:r>
          </w:p>
        </w:tc>
        <w:tc>
          <w:tcPr>
            <w:tcW w:w="1645" w:type="dxa"/>
            <w:tcBorders>
              <w:left w:val="nil"/>
              <w:bottom w:val="single" w:sz="4" w:space="0" w:color="auto"/>
              <w:right w:val="nil"/>
            </w:tcBorders>
            <w:shd w:val="clear" w:color="auto" w:fill="F2F2F2"/>
          </w:tcPr>
          <w:p w:rsidR="00FF6108" w:rsidRPr="00337C97" w:rsidRDefault="004A7E83"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79 nonfinancial companies;</w:t>
            </w:r>
          </w:p>
          <w:p w:rsidR="004A7E83" w:rsidRPr="00337C97" w:rsidRDefault="004A7E83"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UK;</w:t>
            </w:r>
          </w:p>
          <w:p w:rsidR="004A7E83" w:rsidRPr="00337C97" w:rsidRDefault="004A7E83"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2000</w:t>
            </w:r>
          </w:p>
        </w:tc>
        <w:tc>
          <w:tcPr>
            <w:tcW w:w="1842" w:type="dxa"/>
            <w:tcBorders>
              <w:left w:val="nil"/>
              <w:bottom w:val="single" w:sz="4" w:space="0" w:color="auto"/>
              <w:right w:val="nil"/>
            </w:tcBorders>
            <w:shd w:val="clear" w:color="auto" w:fill="F2F2F2"/>
          </w:tcPr>
          <w:p w:rsidR="00FF6108" w:rsidRPr="00337C97" w:rsidRDefault="004A7E83"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Pearson correlation coefficients with two variables for size and five for level of risk.</w:t>
            </w:r>
          </w:p>
        </w:tc>
        <w:tc>
          <w:tcPr>
            <w:tcW w:w="2977" w:type="dxa"/>
            <w:tcBorders>
              <w:left w:val="nil"/>
              <w:bottom w:val="single" w:sz="4" w:space="0" w:color="auto"/>
            </w:tcBorders>
            <w:shd w:val="clear" w:color="auto" w:fill="F2F2F2"/>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Both size measures were statistically significant related with the number of risk disclosures. For all risk measures, no association was found.</w:t>
            </w:r>
          </w:p>
        </w:tc>
      </w:tr>
      <w:tr w:rsidR="00FF6108" w:rsidRPr="00337C97" w:rsidTr="007C4013">
        <w:trPr>
          <w:cantSplit/>
          <w:trHeight w:val="206"/>
        </w:trPr>
        <w:tc>
          <w:tcPr>
            <w:tcW w:w="1101" w:type="dxa"/>
            <w:tcBorders>
              <w:bottom w:val="single" w:sz="4" w:space="0" w:color="auto"/>
              <w:right w:val="nil"/>
            </w:tcBorders>
            <w:shd w:val="clear" w:color="auto" w:fill="auto"/>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Linsley, Shrives (2006)</w:t>
            </w:r>
          </w:p>
        </w:tc>
        <w:tc>
          <w:tcPr>
            <w:tcW w:w="1993" w:type="dxa"/>
            <w:tcBorders>
              <w:left w:val="nil"/>
              <w:bottom w:val="single" w:sz="4" w:space="0" w:color="auto"/>
              <w:right w:val="nil"/>
            </w:tcBorders>
            <w:shd w:val="clear" w:color="auto" w:fill="auto"/>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Relationship between number of risk disclosures and environmental risk</w:t>
            </w:r>
            <w:r w:rsidR="00D80510" w:rsidRPr="00337C97">
              <w:rPr>
                <w:rFonts w:asciiTheme="minorHAnsi" w:hAnsiTheme="minorHAnsi" w:cs="Times New Roman"/>
                <w:sz w:val="20"/>
                <w:szCs w:val="20"/>
                <w:lang w:val="en-US"/>
              </w:rPr>
              <w:t>.</w:t>
            </w:r>
          </w:p>
        </w:tc>
        <w:tc>
          <w:tcPr>
            <w:tcW w:w="1645" w:type="dxa"/>
            <w:tcBorders>
              <w:left w:val="nil"/>
              <w:bottom w:val="single" w:sz="4" w:space="0" w:color="auto"/>
              <w:right w:val="nil"/>
            </w:tcBorders>
            <w:shd w:val="clear" w:color="auto" w:fill="auto"/>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79 nonfinancial companies;</w:t>
            </w:r>
          </w:p>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UK;</w:t>
            </w:r>
          </w:p>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2000</w:t>
            </w:r>
          </w:p>
        </w:tc>
        <w:tc>
          <w:tcPr>
            <w:tcW w:w="1842" w:type="dxa"/>
            <w:tcBorders>
              <w:left w:val="nil"/>
              <w:bottom w:val="single" w:sz="4" w:space="0" w:color="auto"/>
              <w:right w:val="nil"/>
            </w:tcBorders>
            <w:shd w:val="clear" w:color="auto" w:fill="auto"/>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Pearson correlation coefficients with two measures of environmental risk</w:t>
            </w:r>
          </w:p>
        </w:tc>
        <w:tc>
          <w:tcPr>
            <w:tcW w:w="2977" w:type="dxa"/>
            <w:tcBorders>
              <w:left w:val="nil"/>
              <w:bottom w:val="single" w:sz="4" w:space="0" w:color="auto"/>
            </w:tcBorders>
            <w:shd w:val="clear" w:color="auto" w:fill="auto"/>
          </w:tcPr>
          <w:p w:rsidR="00FF6108" w:rsidRPr="00337C97" w:rsidRDefault="005F3FE7" w:rsidP="00E974B1">
            <w:pPr>
              <w:rPr>
                <w:rFonts w:asciiTheme="minorHAnsi" w:hAnsiTheme="minorHAnsi" w:cs="Times New Roman"/>
                <w:sz w:val="20"/>
                <w:szCs w:val="20"/>
                <w:lang w:val="en-US"/>
              </w:rPr>
            </w:pPr>
            <w:r w:rsidRPr="00337C97">
              <w:rPr>
                <w:rFonts w:asciiTheme="minorHAnsi" w:hAnsiTheme="minorHAnsi" w:cs="Times New Roman"/>
                <w:sz w:val="20"/>
                <w:szCs w:val="20"/>
                <w:lang w:val="en-US"/>
              </w:rPr>
              <w:t>Both measures show a positive correlation with</w:t>
            </w:r>
            <w:r w:rsidR="00213552" w:rsidRPr="00337C97">
              <w:rPr>
                <w:rFonts w:asciiTheme="minorHAnsi" w:hAnsiTheme="minorHAnsi" w:cs="Times New Roman"/>
                <w:sz w:val="20"/>
                <w:szCs w:val="20"/>
                <w:lang w:val="en-US"/>
              </w:rPr>
              <w:t xml:space="preserve"> the number of risk disclosures, implying that c</w:t>
            </w:r>
            <w:r w:rsidRPr="00337C97">
              <w:rPr>
                <w:rFonts w:asciiTheme="minorHAnsi" w:hAnsiTheme="minorHAnsi" w:cs="Times New Roman"/>
                <w:sz w:val="20"/>
                <w:szCs w:val="20"/>
                <w:lang w:val="en-US"/>
              </w:rPr>
              <w:t xml:space="preserve">ompanies with lower levels of environmental risk are disclosing </w:t>
            </w:r>
            <w:r w:rsidR="00E974B1" w:rsidRPr="00337C97">
              <w:rPr>
                <w:rFonts w:asciiTheme="minorHAnsi" w:hAnsiTheme="minorHAnsi" w:cs="Times New Roman"/>
                <w:sz w:val="20"/>
                <w:szCs w:val="20"/>
                <w:lang w:val="en-US"/>
              </w:rPr>
              <w:t xml:space="preserve">more </w:t>
            </w:r>
            <w:r w:rsidRPr="00337C97">
              <w:rPr>
                <w:rFonts w:asciiTheme="minorHAnsi" w:hAnsiTheme="minorHAnsi" w:cs="Times New Roman"/>
                <w:sz w:val="20"/>
                <w:szCs w:val="20"/>
                <w:lang w:val="en-US"/>
              </w:rPr>
              <w:t>risk information.</w:t>
            </w:r>
          </w:p>
        </w:tc>
      </w:tr>
      <w:tr w:rsidR="005F3FE7" w:rsidRPr="00337C97" w:rsidTr="007C4013">
        <w:trPr>
          <w:cantSplit/>
          <w:trHeight w:val="206"/>
        </w:trPr>
        <w:tc>
          <w:tcPr>
            <w:tcW w:w="1101" w:type="dxa"/>
            <w:tcBorders>
              <w:bottom w:val="single" w:sz="4" w:space="0" w:color="auto"/>
              <w:right w:val="nil"/>
            </w:tcBorders>
            <w:shd w:val="clear" w:color="auto" w:fill="F2F2F2"/>
          </w:tcPr>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Abraham, Cox (2007)</w:t>
            </w:r>
          </w:p>
        </w:tc>
        <w:tc>
          <w:tcPr>
            <w:tcW w:w="1993" w:type="dxa"/>
            <w:tcBorders>
              <w:left w:val="nil"/>
              <w:bottom w:val="single" w:sz="4" w:space="0" w:color="auto"/>
              <w:right w:val="nil"/>
            </w:tcBorders>
            <w:shd w:val="clear" w:color="auto" w:fill="F2F2F2"/>
          </w:tcPr>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Analyzing determinants of narrative risk information in the annual report</w:t>
            </w:r>
            <w:r w:rsidR="00D80510" w:rsidRPr="00337C97">
              <w:rPr>
                <w:rFonts w:asciiTheme="minorHAnsi" w:hAnsiTheme="minorHAnsi" w:cs="Times New Roman"/>
                <w:sz w:val="20"/>
                <w:szCs w:val="20"/>
                <w:lang w:val="en-US"/>
              </w:rPr>
              <w:t>.</w:t>
            </w:r>
          </w:p>
        </w:tc>
        <w:tc>
          <w:tcPr>
            <w:tcW w:w="1645" w:type="dxa"/>
            <w:tcBorders>
              <w:left w:val="nil"/>
              <w:bottom w:val="single" w:sz="4" w:space="0" w:color="auto"/>
              <w:right w:val="nil"/>
            </w:tcBorders>
            <w:shd w:val="clear" w:color="auto" w:fill="F2F2F2"/>
          </w:tcPr>
          <w:p w:rsidR="005F3FE7" w:rsidRPr="00337C97" w:rsidRDefault="00812472"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79 nonfinancial companies;</w:t>
            </w:r>
          </w:p>
          <w:p w:rsidR="00812472" w:rsidRPr="00337C97" w:rsidRDefault="00812472"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UK;</w:t>
            </w:r>
          </w:p>
          <w:p w:rsidR="00812472" w:rsidRPr="00337C97" w:rsidRDefault="00812472"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2000</w:t>
            </w:r>
          </w:p>
        </w:tc>
        <w:tc>
          <w:tcPr>
            <w:tcW w:w="1842" w:type="dxa"/>
            <w:tcBorders>
              <w:left w:val="nil"/>
              <w:bottom w:val="single" w:sz="4" w:space="0" w:color="auto"/>
              <w:right w:val="nil"/>
            </w:tcBorders>
            <w:shd w:val="clear" w:color="auto" w:fill="F2F2F2"/>
          </w:tcPr>
          <w:p w:rsidR="005F3FE7" w:rsidRPr="00337C97" w:rsidRDefault="00812472" w:rsidP="00812472">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Regression model with defined variables regarding ownership, governance and US listing characteristics. </w:t>
            </w:r>
          </w:p>
        </w:tc>
        <w:tc>
          <w:tcPr>
            <w:tcW w:w="2977" w:type="dxa"/>
            <w:tcBorders>
              <w:left w:val="nil"/>
              <w:bottom w:val="single" w:sz="4" w:space="0" w:color="auto"/>
            </w:tcBorders>
            <w:shd w:val="clear" w:color="auto" w:fill="F2F2F2"/>
          </w:tcPr>
          <w:p w:rsidR="005F3FE7" w:rsidRPr="00337C97" w:rsidRDefault="008C777E"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Risk reporting is negatively related to share ownership by long-term institutions. Number of executive and number of independent directors is positively related with risk reporting. Furthermore, US listed UK firms tend to disclose more.</w:t>
            </w:r>
          </w:p>
        </w:tc>
      </w:tr>
      <w:tr w:rsidR="005F3FE7" w:rsidRPr="00337C97" w:rsidTr="007C4013">
        <w:trPr>
          <w:cantSplit/>
          <w:trHeight w:val="206"/>
        </w:trPr>
        <w:tc>
          <w:tcPr>
            <w:tcW w:w="1101" w:type="dxa"/>
            <w:tcBorders>
              <w:bottom w:val="single" w:sz="4" w:space="0" w:color="auto"/>
              <w:right w:val="nil"/>
            </w:tcBorders>
            <w:shd w:val="clear" w:color="auto" w:fill="auto"/>
          </w:tcPr>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lastRenderedPageBreak/>
              <w:t>Hassan (2008)</w:t>
            </w:r>
          </w:p>
        </w:tc>
        <w:tc>
          <w:tcPr>
            <w:tcW w:w="1993" w:type="dxa"/>
            <w:tcBorders>
              <w:left w:val="nil"/>
              <w:bottom w:val="single" w:sz="4" w:space="0" w:color="auto"/>
              <w:right w:val="nil"/>
            </w:tcBorders>
            <w:shd w:val="clear" w:color="auto" w:fill="auto"/>
          </w:tcPr>
          <w:p w:rsidR="005F3FE7" w:rsidRPr="00337C97" w:rsidRDefault="00D8051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Explore relationship between corporate characteristics and the level of corporate risk disclosure.</w:t>
            </w:r>
          </w:p>
        </w:tc>
        <w:tc>
          <w:tcPr>
            <w:tcW w:w="1645" w:type="dxa"/>
            <w:tcBorders>
              <w:left w:val="nil"/>
              <w:bottom w:val="single" w:sz="4" w:space="0" w:color="auto"/>
              <w:right w:val="nil"/>
            </w:tcBorders>
            <w:shd w:val="clear" w:color="auto" w:fill="auto"/>
          </w:tcPr>
          <w:p w:rsidR="005F3FE7" w:rsidRPr="00337C97" w:rsidRDefault="00100352"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24 financial and 17 nonfinancial companies;</w:t>
            </w:r>
          </w:p>
          <w:p w:rsidR="00D80510" w:rsidRPr="00337C97" w:rsidRDefault="00D8051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UAE;</w:t>
            </w:r>
          </w:p>
          <w:p w:rsidR="00D80510" w:rsidRPr="00337C97" w:rsidRDefault="00D8051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2005</w:t>
            </w:r>
          </w:p>
        </w:tc>
        <w:tc>
          <w:tcPr>
            <w:tcW w:w="1842" w:type="dxa"/>
            <w:tcBorders>
              <w:left w:val="nil"/>
              <w:bottom w:val="single" w:sz="4" w:space="0" w:color="auto"/>
              <w:right w:val="nil"/>
            </w:tcBorders>
            <w:shd w:val="clear" w:color="auto" w:fill="auto"/>
          </w:tcPr>
          <w:p w:rsidR="005F3FE7" w:rsidRPr="00337C97" w:rsidRDefault="00D8051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Regression model with the following variables: size, risk level, industry type and level of reserves.</w:t>
            </w:r>
          </w:p>
        </w:tc>
        <w:tc>
          <w:tcPr>
            <w:tcW w:w="2977" w:type="dxa"/>
            <w:tcBorders>
              <w:left w:val="nil"/>
              <w:bottom w:val="single" w:sz="4" w:space="0" w:color="auto"/>
            </w:tcBorders>
            <w:shd w:val="clear" w:color="auto" w:fill="auto"/>
          </w:tcPr>
          <w:p w:rsidR="005F3FE7" w:rsidRPr="00337C97" w:rsidRDefault="00D8051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Corporate size and reserve are not significantly associated with the level of CRD. The level of risk and industry membership are however significant in explaining the variation of CRD.</w:t>
            </w:r>
          </w:p>
        </w:tc>
      </w:tr>
      <w:tr w:rsidR="00FF6108" w:rsidRPr="00337C97" w:rsidTr="007C4013">
        <w:trPr>
          <w:cantSplit/>
          <w:trHeight w:val="238"/>
        </w:trPr>
        <w:tc>
          <w:tcPr>
            <w:tcW w:w="1101" w:type="dxa"/>
            <w:tcBorders>
              <w:bottom w:val="single" w:sz="4" w:space="0" w:color="auto"/>
              <w:right w:val="nil"/>
            </w:tcBorders>
            <w:shd w:val="clear" w:color="auto" w:fill="F2F2F2"/>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Amran, Bin and Hassan (2009)</w:t>
            </w:r>
          </w:p>
        </w:tc>
        <w:tc>
          <w:tcPr>
            <w:tcW w:w="1993" w:type="dxa"/>
            <w:tcBorders>
              <w:left w:val="nil"/>
              <w:bottom w:val="single" w:sz="4" w:space="0" w:color="auto"/>
              <w:right w:val="nil"/>
            </w:tcBorders>
            <w:shd w:val="clear" w:color="auto" w:fill="F2F2F2"/>
          </w:tcPr>
          <w:p w:rsidR="00FF6108" w:rsidRPr="00337C97" w:rsidRDefault="00B55DA4"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Empirically test the sampled companies’ characteristics</w:t>
            </w:r>
            <w:r w:rsidR="00805DF0" w:rsidRPr="00337C97">
              <w:rPr>
                <w:rFonts w:asciiTheme="minorHAnsi" w:hAnsiTheme="minorHAnsi" w:cs="Times New Roman"/>
                <w:sz w:val="20"/>
                <w:szCs w:val="20"/>
                <w:lang w:val="en-US"/>
              </w:rPr>
              <w:t xml:space="preserve"> against the extent of risk disclosure.</w:t>
            </w:r>
          </w:p>
        </w:tc>
        <w:tc>
          <w:tcPr>
            <w:tcW w:w="1645" w:type="dxa"/>
            <w:tcBorders>
              <w:left w:val="nil"/>
              <w:bottom w:val="single" w:sz="4" w:space="0" w:color="auto"/>
              <w:right w:val="nil"/>
            </w:tcBorders>
            <w:shd w:val="clear" w:color="auto" w:fill="F2F2F2"/>
          </w:tcPr>
          <w:p w:rsidR="00FF6108"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100 nonfinancial companies; </w:t>
            </w:r>
            <w:r w:rsidRPr="00337C97">
              <w:rPr>
                <w:rFonts w:asciiTheme="minorHAnsi" w:hAnsiTheme="minorHAnsi" w:cs="Times New Roman"/>
                <w:sz w:val="20"/>
                <w:szCs w:val="20"/>
                <w:lang w:val="en-US"/>
              </w:rPr>
              <w:br/>
              <w:t>Malaysia;</w:t>
            </w:r>
          </w:p>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2005</w:t>
            </w:r>
          </w:p>
        </w:tc>
        <w:tc>
          <w:tcPr>
            <w:tcW w:w="1842" w:type="dxa"/>
            <w:tcBorders>
              <w:left w:val="nil"/>
              <w:bottom w:val="single" w:sz="4" w:space="0" w:color="auto"/>
              <w:right w:val="nil"/>
            </w:tcBorders>
            <w:shd w:val="clear" w:color="auto" w:fill="F2F2F2"/>
          </w:tcPr>
          <w:p w:rsidR="00FF6108" w:rsidRPr="00337C97" w:rsidRDefault="00805DF0" w:rsidP="00805DF0">
            <w:pPr>
              <w:rPr>
                <w:rFonts w:asciiTheme="minorHAnsi" w:hAnsiTheme="minorHAnsi" w:cs="Times New Roman"/>
                <w:sz w:val="20"/>
                <w:szCs w:val="20"/>
                <w:lang w:val="en-US"/>
              </w:rPr>
            </w:pPr>
            <w:r w:rsidRPr="00337C97">
              <w:rPr>
                <w:rFonts w:asciiTheme="minorHAnsi" w:hAnsiTheme="minorHAnsi" w:cs="Times New Roman"/>
                <w:sz w:val="20"/>
                <w:szCs w:val="20"/>
                <w:lang w:val="en-US"/>
              </w:rPr>
              <w:t>Regression model (multivariate analysis) with the following variables: size, type of industry, company risk level and diversification.</w:t>
            </w:r>
          </w:p>
        </w:tc>
        <w:tc>
          <w:tcPr>
            <w:tcW w:w="2977" w:type="dxa"/>
            <w:tcBorders>
              <w:left w:val="nil"/>
              <w:bottom w:val="single" w:sz="4" w:space="0" w:color="auto"/>
            </w:tcBorders>
            <w:shd w:val="clear" w:color="auto" w:fill="F2F2F2"/>
          </w:tcPr>
          <w:p w:rsidR="00FF6108" w:rsidRPr="00337C97" w:rsidRDefault="00805DF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Company size was found significantly but leverage was not. None of the diversification variables were found to be significant. Two out of eight industries were, due to their nature, significant.</w:t>
            </w:r>
          </w:p>
        </w:tc>
      </w:tr>
      <w:tr w:rsidR="005F3FE7" w:rsidRPr="00337C97" w:rsidTr="007C4013">
        <w:trPr>
          <w:cantSplit/>
          <w:trHeight w:val="238"/>
        </w:trPr>
        <w:tc>
          <w:tcPr>
            <w:tcW w:w="1101" w:type="dxa"/>
            <w:tcBorders>
              <w:bottom w:val="single" w:sz="4" w:space="0" w:color="auto"/>
              <w:right w:val="nil"/>
            </w:tcBorders>
            <w:shd w:val="clear" w:color="auto" w:fill="auto"/>
          </w:tcPr>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Michiels, Vande-maele, Vergauwen (2009)</w:t>
            </w:r>
          </w:p>
        </w:tc>
        <w:tc>
          <w:tcPr>
            <w:tcW w:w="1993" w:type="dxa"/>
            <w:tcBorders>
              <w:left w:val="nil"/>
              <w:bottom w:val="single" w:sz="4" w:space="0" w:color="auto"/>
              <w:right w:val="nil"/>
            </w:tcBorders>
            <w:shd w:val="clear" w:color="auto" w:fill="auto"/>
          </w:tcPr>
          <w:p w:rsidR="005F3FE7" w:rsidRPr="00337C97" w:rsidRDefault="00805DF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Firm-specific determinants related to the extent of risk disclosures.</w:t>
            </w:r>
          </w:p>
        </w:tc>
        <w:tc>
          <w:tcPr>
            <w:tcW w:w="1645" w:type="dxa"/>
            <w:tcBorders>
              <w:left w:val="nil"/>
              <w:bottom w:val="single" w:sz="4" w:space="0" w:color="auto"/>
              <w:right w:val="nil"/>
            </w:tcBorders>
            <w:shd w:val="clear" w:color="auto" w:fill="auto"/>
          </w:tcPr>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46 nonfinancial companies; </w:t>
            </w:r>
          </w:p>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Belgium;</w:t>
            </w:r>
          </w:p>
          <w:p w:rsidR="005F3FE7" w:rsidRPr="00337C97" w:rsidRDefault="005F3FE7"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2006</w:t>
            </w:r>
          </w:p>
        </w:tc>
        <w:tc>
          <w:tcPr>
            <w:tcW w:w="1842" w:type="dxa"/>
            <w:tcBorders>
              <w:left w:val="nil"/>
              <w:bottom w:val="single" w:sz="4" w:space="0" w:color="auto"/>
              <w:right w:val="nil"/>
            </w:tcBorders>
            <w:shd w:val="clear" w:color="auto" w:fill="auto"/>
          </w:tcPr>
          <w:p w:rsidR="005F3FE7" w:rsidRPr="00337C97" w:rsidRDefault="00805DF0" w:rsidP="00C5369E">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Regression model </w:t>
            </w:r>
            <w:r w:rsidR="00213552" w:rsidRPr="00337C97">
              <w:rPr>
                <w:rFonts w:asciiTheme="minorHAnsi" w:hAnsiTheme="minorHAnsi" w:cs="Times New Roman"/>
                <w:sz w:val="20"/>
                <w:szCs w:val="20"/>
                <w:lang w:val="en-US"/>
              </w:rPr>
              <w:t xml:space="preserve">and Pearson correlation, </w:t>
            </w:r>
            <w:r w:rsidR="00C5369E" w:rsidRPr="00337C97">
              <w:rPr>
                <w:rFonts w:asciiTheme="minorHAnsi" w:hAnsiTheme="minorHAnsi" w:cs="Times New Roman"/>
                <w:sz w:val="20"/>
                <w:szCs w:val="20"/>
                <w:lang w:val="en-US"/>
              </w:rPr>
              <w:t>with</w:t>
            </w:r>
            <w:r w:rsidRPr="00337C97">
              <w:rPr>
                <w:rFonts w:asciiTheme="minorHAnsi" w:hAnsiTheme="minorHAnsi" w:cs="Times New Roman"/>
                <w:sz w:val="20"/>
                <w:szCs w:val="20"/>
                <w:lang w:val="en-US"/>
              </w:rPr>
              <w:t xml:space="preserve"> size, profitability, risk leve</w:t>
            </w:r>
            <w:r w:rsidR="00EE5306" w:rsidRPr="00337C97">
              <w:rPr>
                <w:rFonts w:asciiTheme="minorHAnsi" w:hAnsiTheme="minorHAnsi" w:cs="Times New Roman"/>
                <w:sz w:val="20"/>
                <w:szCs w:val="20"/>
                <w:lang w:val="en-US"/>
              </w:rPr>
              <w:t xml:space="preserve">l, quality of the auditor and </w:t>
            </w:r>
            <w:r w:rsidR="00C5369E" w:rsidRPr="00337C97">
              <w:rPr>
                <w:rFonts w:asciiTheme="minorHAnsi" w:hAnsiTheme="minorHAnsi" w:cs="Times New Roman"/>
                <w:sz w:val="20"/>
                <w:szCs w:val="20"/>
                <w:lang w:val="en-US"/>
              </w:rPr>
              <w:t>governance</w:t>
            </w:r>
            <w:r w:rsidRPr="00337C97">
              <w:rPr>
                <w:rFonts w:asciiTheme="minorHAnsi" w:hAnsiTheme="minorHAnsi" w:cs="Times New Roman"/>
                <w:sz w:val="20"/>
                <w:szCs w:val="20"/>
                <w:lang w:val="en-US"/>
              </w:rPr>
              <w:t>.</w:t>
            </w:r>
          </w:p>
        </w:tc>
        <w:tc>
          <w:tcPr>
            <w:tcW w:w="2977" w:type="dxa"/>
            <w:tcBorders>
              <w:left w:val="nil"/>
              <w:bottom w:val="single" w:sz="4" w:space="0" w:color="auto"/>
            </w:tcBorders>
            <w:shd w:val="clear" w:color="auto" w:fill="auto"/>
          </w:tcPr>
          <w:p w:rsidR="005F3FE7" w:rsidRPr="00337C97" w:rsidRDefault="00805DF0" w:rsidP="00FF6108">
            <w:pPr>
              <w:rPr>
                <w:rFonts w:asciiTheme="minorHAnsi" w:hAnsiTheme="minorHAnsi" w:cs="Times New Roman"/>
                <w:sz w:val="20"/>
                <w:szCs w:val="20"/>
                <w:lang w:val="en-US"/>
              </w:rPr>
            </w:pPr>
            <w:r w:rsidRPr="00337C97">
              <w:rPr>
                <w:rFonts w:asciiTheme="minorHAnsi" w:hAnsiTheme="minorHAnsi" w:cs="Times New Roman"/>
                <w:sz w:val="20"/>
                <w:szCs w:val="20"/>
                <w:lang w:val="en-US"/>
              </w:rPr>
              <w:t xml:space="preserve">Sales (size), profitability and beta (risk level) were found significantly related to the extent of risk reporting. All other variables were found insignificantly. </w:t>
            </w:r>
          </w:p>
        </w:tc>
      </w:tr>
    </w:tbl>
    <w:p w:rsidR="00FF6108" w:rsidRPr="00337C97" w:rsidRDefault="00FF6108" w:rsidP="00FC7E0A">
      <w:pPr>
        <w:spacing w:line="360" w:lineRule="auto"/>
        <w:jc w:val="both"/>
        <w:rPr>
          <w:rFonts w:asciiTheme="minorHAnsi" w:hAnsiTheme="minorHAnsi" w:cs="Times New Roman"/>
          <w:sz w:val="22"/>
          <w:szCs w:val="22"/>
          <w:lang w:val="en-US"/>
        </w:rPr>
      </w:pPr>
    </w:p>
    <w:p w:rsidR="00337D53" w:rsidRPr="00337C97" w:rsidRDefault="00337D53" w:rsidP="007C4013">
      <w:pPr>
        <w:spacing w:line="360" w:lineRule="auto"/>
        <w:outlineLvl w:val="1"/>
        <w:rPr>
          <w:rFonts w:asciiTheme="minorHAnsi" w:hAnsiTheme="minorHAnsi" w:cs="Times New Roman"/>
          <w:b/>
          <w:sz w:val="22"/>
          <w:szCs w:val="22"/>
          <w:lang w:val="en-US"/>
        </w:rPr>
      </w:pPr>
      <w:bookmarkStart w:id="248" w:name="_Toc242697427"/>
      <w:bookmarkStart w:id="249" w:name="_Toc242697662"/>
      <w:bookmarkStart w:id="250" w:name="_Toc245187905"/>
      <w:bookmarkStart w:id="251" w:name="_Toc269658949"/>
      <w:r w:rsidRPr="00337C97">
        <w:rPr>
          <w:rFonts w:asciiTheme="minorHAnsi" w:hAnsiTheme="minorHAnsi" w:cs="Times New Roman"/>
          <w:b/>
          <w:sz w:val="22"/>
          <w:szCs w:val="22"/>
          <w:lang w:val="en-US"/>
        </w:rPr>
        <w:t>4.5</w:t>
      </w:r>
      <w:r w:rsidRPr="00337C97">
        <w:rPr>
          <w:rFonts w:asciiTheme="minorHAnsi" w:hAnsiTheme="minorHAnsi" w:cs="Times New Roman"/>
          <w:b/>
          <w:sz w:val="22"/>
          <w:szCs w:val="22"/>
          <w:lang w:val="en-US"/>
        </w:rPr>
        <w:tab/>
        <w:t>Usefulness of risk disclosure</w:t>
      </w:r>
      <w:bookmarkEnd w:id="248"/>
      <w:bookmarkEnd w:id="249"/>
      <w:bookmarkEnd w:id="250"/>
      <w:bookmarkEnd w:id="251"/>
    </w:p>
    <w:p w:rsidR="00FC7E0A" w:rsidRPr="00337C97" w:rsidRDefault="00F64B4C" w:rsidP="007C4013">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Besides investigating the extent and drivers of risk reporting, other studies look specifically to the </w:t>
      </w:r>
      <w:r w:rsidRPr="00337C97">
        <w:rPr>
          <w:rFonts w:asciiTheme="minorHAnsi" w:hAnsiTheme="minorHAnsi" w:cs="Times New Roman"/>
          <w:i/>
          <w:sz w:val="22"/>
          <w:szCs w:val="22"/>
          <w:lang w:val="en-US"/>
        </w:rPr>
        <w:t>usefulness</w:t>
      </w:r>
      <w:r w:rsidRPr="00337C97">
        <w:rPr>
          <w:rFonts w:asciiTheme="minorHAnsi" w:hAnsiTheme="minorHAnsi" w:cs="Times New Roman"/>
          <w:sz w:val="22"/>
          <w:szCs w:val="22"/>
          <w:lang w:val="en-US"/>
        </w:rPr>
        <w:t xml:space="preserve"> of risk disclosure. Examples of such studies are Linsmeir et al. (2002) and Venkatachalam (1996). </w:t>
      </w:r>
      <w:r w:rsidR="009F239B" w:rsidRPr="00337C97">
        <w:rPr>
          <w:rFonts w:asciiTheme="minorHAnsi" w:hAnsiTheme="minorHAnsi" w:cs="Times New Roman"/>
          <w:sz w:val="22"/>
          <w:szCs w:val="22"/>
          <w:lang w:val="en-US"/>
        </w:rPr>
        <w:t xml:space="preserve">These studies investigate the relationship between risk disclosure and the interest rates, foreign currency exchange rates and commodity prices. The study by Linsmeir et al. (2002) provides strong evidence of the usage of risk disclosure by investors. The researchers found that </w:t>
      </w:r>
      <w:r w:rsidR="00B329DF" w:rsidRPr="00337C97">
        <w:rPr>
          <w:rFonts w:asciiTheme="minorHAnsi" w:hAnsiTheme="minorHAnsi" w:cs="Times New Roman"/>
          <w:sz w:val="22"/>
          <w:szCs w:val="22"/>
          <w:lang w:val="en-US"/>
        </w:rPr>
        <w:t xml:space="preserve">the </w:t>
      </w:r>
      <w:r w:rsidR="009F239B" w:rsidRPr="00337C97">
        <w:rPr>
          <w:rFonts w:asciiTheme="minorHAnsi" w:hAnsiTheme="minorHAnsi" w:cs="Times New Roman"/>
          <w:sz w:val="22"/>
          <w:szCs w:val="22"/>
          <w:lang w:val="en-US"/>
        </w:rPr>
        <w:t xml:space="preserve">disclosure </w:t>
      </w:r>
      <w:r w:rsidR="00B329DF" w:rsidRPr="00337C97">
        <w:rPr>
          <w:rFonts w:asciiTheme="minorHAnsi" w:hAnsiTheme="minorHAnsi" w:cs="Times New Roman"/>
          <w:sz w:val="22"/>
          <w:szCs w:val="22"/>
          <w:lang w:val="en-US"/>
        </w:rPr>
        <w:t>of information about market risks is useful in taking investments decisions as it reduces the level of investor uncertainty.</w:t>
      </w:r>
    </w:p>
    <w:p w:rsidR="002558A7" w:rsidRPr="00337C97" w:rsidRDefault="002558A7" w:rsidP="007C4013">
      <w:pPr>
        <w:spacing w:line="360" w:lineRule="auto"/>
        <w:rPr>
          <w:rFonts w:asciiTheme="minorHAnsi" w:hAnsiTheme="minorHAnsi" w:cs="Times New Roman"/>
          <w:sz w:val="22"/>
          <w:szCs w:val="22"/>
          <w:lang w:val="en-US"/>
        </w:rPr>
      </w:pPr>
    </w:p>
    <w:p w:rsidR="00751FE9" w:rsidRPr="00337C97" w:rsidRDefault="00751FE9" w:rsidP="007C4013">
      <w:pPr>
        <w:spacing w:line="360" w:lineRule="auto"/>
        <w:outlineLvl w:val="1"/>
        <w:rPr>
          <w:rFonts w:asciiTheme="minorHAnsi" w:hAnsiTheme="minorHAnsi" w:cs="Times New Roman"/>
          <w:b/>
          <w:sz w:val="22"/>
          <w:szCs w:val="22"/>
          <w:lang w:val="en-US"/>
        </w:rPr>
      </w:pPr>
      <w:bookmarkStart w:id="252" w:name="_Toc245187906"/>
      <w:bookmarkStart w:id="253" w:name="_Toc269658950"/>
      <w:r w:rsidRPr="00337C97">
        <w:rPr>
          <w:rFonts w:asciiTheme="minorHAnsi" w:hAnsiTheme="minorHAnsi" w:cs="Times New Roman"/>
          <w:b/>
          <w:sz w:val="22"/>
          <w:szCs w:val="22"/>
          <w:lang w:val="en-US"/>
        </w:rPr>
        <w:t>4.6</w:t>
      </w:r>
      <w:r w:rsidRPr="00337C97">
        <w:rPr>
          <w:rFonts w:asciiTheme="minorHAnsi" w:hAnsiTheme="minorHAnsi" w:cs="Times New Roman"/>
          <w:b/>
          <w:sz w:val="22"/>
          <w:szCs w:val="22"/>
          <w:lang w:val="en-US"/>
        </w:rPr>
        <w:tab/>
        <w:t>Conclusion</w:t>
      </w:r>
      <w:bookmarkEnd w:id="252"/>
      <w:bookmarkEnd w:id="253"/>
    </w:p>
    <w:p w:rsidR="00751FE9" w:rsidRPr="00337C97" w:rsidRDefault="00177A3B" w:rsidP="007C4013">
      <w:pPr>
        <w:pStyle w:val="000"/>
        <w:spacing w:line="360" w:lineRule="auto"/>
        <w:jc w:val="both"/>
        <w:rPr>
          <w:rFonts w:asciiTheme="minorHAnsi" w:hAnsiTheme="minorHAnsi"/>
          <w:b/>
          <w:lang w:val="en-US"/>
        </w:rPr>
      </w:pPr>
      <w:r w:rsidRPr="00337C97">
        <w:rPr>
          <w:rFonts w:asciiTheme="minorHAnsi" w:hAnsiTheme="minorHAnsi"/>
          <w:lang w:val="en-US"/>
        </w:rPr>
        <w:t>The results of prior research on risk disclosure in both financial and nonfinancial firms have been discussed in this chapter. Two streams of literature are important for this research: literature on the extent of risk disclosure and literature on the firm-specific characteristics that can explain the (variation in) the extent of risk disclosure. The most relevant studies within these streams are summarized in table 2 and 3.</w:t>
      </w:r>
    </w:p>
    <w:p w:rsidR="00366AF3" w:rsidRPr="00337C97" w:rsidRDefault="00CA32F0" w:rsidP="001919AE">
      <w:pPr>
        <w:pStyle w:val="000"/>
        <w:spacing w:line="360" w:lineRule="auto"/>
        <w:jc w:val="both"/>
        <w:outlineLvl w:val="0"/>
        <w:rPr>
          <w:rFonts w:asciiTheme="minorHAnsi" w:hAnsiTheme="minorHAnsi"/>
          <w:b/>
          <w:sz w:val="28"/>
          <w:lang w:val="en-US"/>
        </w:rPr>
      </w:pPr>
      <w:r w:rsidRPr="00337C97">
        <w:rPr>
          <w:rFonts w:asciiTheme="minorHAnsi" w:hAnsiTheme="minorHAnsi"/>
          <w:b/>
          <w:lang w:val="en-US"/>
        </w:rPr>
        <w:br w:type="page"/>
      </w:r>
      <w:bookmarkStart w:id="254" w:name="_Toc242697428"/>
      <w:bookmarkStart w:id="255" w:name="_Toc242697663"/>
      <w:bookmarkStart w:id="256" w:name="_Toc245187907"/>
      <w:bookmarkStart w:id="257" w:name="_Toc269658951"/>
      <w:r w:rsidR="00366AF3" w:rsidRPr="00337C97">
        <w:rPr>
          <w:rFonts w:asciiTheme="minorHAnsi" w:hAnsiTheme="minorHAnsi"/>
          <w:b/>
          <w:sz w:val="28"/>
          <w:lang w:val="en-US"/>
        </w:rPr>
        <w:lastRenderedPageBreak/>
        <w:t>5</w:t>
      </w:r>
      <w:r w:rsidR="00366AF3" w:rsidRPr="00337C97">
        <w:rPr>
          <w:rFonts w:asciiTheme="minorHAnsi" w:hAnsiTheme="minorHAnsi"/>
          <w:b/>
          <w:sz w:val="28"/>
          <w:lang w:val="en-US"/>
        </w:rPr>
        <w:tab/>
        <w:t>Research Desig</w:t>
      </w:r>
      <w:bookmarkEnd w:id="254"/>
      <w:bookmarkEnd w:id="255"/>
      <w:r w:rsidR="00434791" w:rsidRPr="00337C97">
        <w:rPr>
          <w:rFonts w:asciiTheme="minorHAnsi" w:hAnsiTheme="minorHAnsi"/>
          <w:b/>
          <w:sz w:val="28"/>
          <w:lang w:val="en-US"/>
        </w:rPr>
        <w:t>n</w:t>
      </w:r>
      <w:bookmarkEnd w:id="256"/>
      <w:bookmarkEnd w:id="257"/>
    </w:p>
    <w:p w:rsidR="00366AF3" w:rsidRPr="00337C97" w:rsidRDefault="00366AF3" w:rsidP="00366AF3">
      <w:pPr>
        <w:pStyle w:val="000"/>
        <w:spacing w:line="360" w:lineRule="auto"/>
        <w:jc w:val="both"/>
        <w:rPr>
          <w:rFonts w:asciiTheme="minorHAnsi" w:hAnsiTheme="minorHAnsi"/>
          <w:b/>
          <w:lang w:val="en-US"/>
        </w:rPr>
      </w:pPr>
    </w:p>
    <w:p w:rsidR="00366AF3" w:rsidRPr="00337C97" w:rsidRDefault="00366AF3" w:rsidP="001919AE">
      <w:pPr>
        <w:pStyle w:val="000"/>
        <w:spacing w:line="360" w:lineRule="auto"/>
        <w:jc w:val="both"/>
        <w:outlineLvl w:val="1"/>
        <w:rPr>
          <w:rFonts w:asciiTheme="minorHAnsi" w:hAnsiTheme="minorHAnsi"/>
          <w:b/>
          <w:lang w:val="en-US"/>
        </w:rPr>
      </w:pPr>
      <w:bookmarkStart w:id="258" w:name="_Toc242697429"/>
      <w:bookmarkStart w:id="259" w:name="_Toc242697664"/>
      <w:bookmarkStart w:id="260" w:name="_Toc245187908"/>
      <w:bookmarkStart w:id="261" w:name="_Toc269658952"/>
      <w:r w:rsidRPr="00337C97">
        <w:rPr>
          <w:rFonts w:asciiTheme="minorHAnsi" w:hAnsiTheme="minorHAnsi"/>
          <w:b/>
          <w:lang w:val="en-US"/>
        </w:rPr>
        <w:t>5.1</w:t>
      </w:r>
      <w:r w:rsidRPr="00337C97">
        <w:rPr>
          <w:rFonts w:asciiTheme="minorHAnsi" w:hAnsiTheme="minorHAnsi"/>
          <w:b/>
          <w:lang w:val="en-US"/>
        </w:rPr>
        <w:tab/>
        <w:t>Introduction</w:t>
      </w:r>
      <w:bookmarkEnd w:id="258"/>
      <w:bookmarkEnd w:id="259"/>
      <w:bookmarkEnd w:id="260"/>
      <w:bookmarkEnd w:id="261"/>
    </w:p>
    <w:p w:rsidR="00C11A73" w:rsidRPr="00337C97" w:rsidRDefault="00366AF3" w:rsidP="00366AF3">
      <w:pPr>
        <w:pStyle w:val="000"/>
        <w:spacing w:line="360" w:lineRule="auto"/>
        <w:jc w:val="both"/>
        <w:rPr>
          <w:rFonts w:asciiTheme="minorHAnsi" w:hAnsiTheme="minorHAnsi"/>
          <w:lang w:val="en-US"/>
        </w:rPr>
      </w:pPr>
      <w:r w:rsidRPr="00337C97">
        <w:rPr>
          <w:rFonts w:asciiTheme="minorHAnsi" w:hAnsiTheme="minorHAnsi"/>
          <w:lang w:val="en-US"/>
        </w:rPr>
        <w:t>In this chapter th</w:t>
      </w:r>
      <w:r w:rsidR="00555379" w:rsidRPr="00337C97">
        <w:rPr>
          <w:rFonts w:asciiTheme="minorHAnsi" w:hAnsiTheme="minorHAnsi"/>
          <w:lang w:val="en-US"/>
        </w:rPr>
        <w:t>e research design is discussed, to begin with</w:t>
      </w:r>
      <w:r w:rsidR="00AA3252" w:rsidRPr="00337C97">
        <w:rPr>
          <w:rFonts w:asciiTheme="minorHAnsi" w:hAnsiTheme="minorHAnsi"/>
          <w:lang w:val="en-US"/>
        </w:rPr>
        <w:t xml:space="preserve"> </w:t>
      </w:r>
      <w:r w:rsidR="0053548C" w:rsidRPr="00337C97">
        <w:rPr>
          <w:rFonts w:asciiTheme="minorHAnsi" w:hAnsiTheme="minorHAnsi"/>
          <w:lang w:val="en-US"/>
        </w:rPr>
        <w:t>the sample selection</w:t>
      </w:r>
      <w:r w:rsidR="00555379" w:rsidRPr="00337C97">
        <w:rPr>
          <w:rFonts w:asciiTheme="minorHAnsi" w:hAnsiTheme="minorHAnsi"/>
          <w:lang w:val="en-US"/>
        </w:rPr>
        <w:t xml:space="preserve"> in the next paragraph</w:t>
      </w:r>
      <w:r w:rsidR="0053548C" w:rsidRPr="00337C97">
        <w:rPr>
          <w:rFonts w:asciiTheme="minorHAnsi" w:hAnsiTheme="minorHAnsi"/>
          <w:lang w:val="en-US"/>
        </w:rPr>
        <w:t xml:space="preserve">. </w:t>
      </w:r>
      <w:r w:rsidR="00C11A73" w:rsidRPr="00337C97">
        <w:rPr>
          <w:rFonts w:asciiTheme="minorHAnsi" w:hAnsiTheme="minorHAnsi"/>
          <w:lang w:val="en-US"/>
        </w:rPr>
        <w:t xml:space="preserve">The research conducted in this study consists of two steps. First, risk </w:t>
      </w:r>
      <w:r w:rsidR="00BE18E9" w:rsidRPr="00337C97">
        <w:rPr>
          <w:rFonts w:asciiTheme="minorHAnsi" w:hAnsiTheme="minorHAnsi"/>
          <w:lang w:val="en-US"/>
        </w:rPr>
        <w:t>disclosures in annual reports are</w:t>
      </w:r>
      <w:r w:rsidR="00C11A73" w:rsidRPr="00337C97">
        <w:rPr>
          <w:rFonts w:asciiTheme="minorHAnsi" w:hAnsiTheme="minorHAnsi"/>
          <w:lang w:val="en-US"/>
        </w:rPr>
        <w:t xml:space="preserve"> examined by means of content analysis to capture the extent and characteristics of information about risk disclosed in the annual report. This method</w:t>
      </w:r>
      <w:r w:rsidR="00963B06" w:rsidRPr="00337C97">
        <w:rPr>
          <w:rFonts w:asciiTheme="minorHAnsi" w:hAnsiTheme="minorHAnsi"/>
          <w:lang w:val="en-US"/>
        </w:rPr>
        <w:t xml:space="preserve">, </w:t>
      </w:r>
      <w:r w:rsidR="00C11A73" w:rsidRPr="00337C97">
        <w:rPr>
          <w:rFonts w:asciiTheme="minorHAnsi" w:hAnsiTheme="minorHAnsi"/>
          <w:lang w:val="en-US"/>
        </w:rPr>
        <w:t xml:space="preserve">its methodology </w:t>
      </w:r>
      <w:r w:rsidR="00963B06" w:rsidRPr="00337C97">
        <w:rPr>
          <w:rFonts w:asciiTheme="minorHAnsi" w:hAnsiTheme="minorHAnsi"/>
          <w:lang w:val="en-US"/>
        </w:rPr>
        <w:t xml:space="preserve">and the reasons why this method is adopted </w:t>
      </w:r>
      <w:r w:rsidR="004208FB" w:rsidRPr="00337C97">
        <w:rPr>
          <w:rFonts w:asciiTheme="minorHAnsi" w:hAnsiTheme="minorHAnsi"/>
          <w:lang w:val="en-US"/>
        </w:rPr>
        <w:t>are</w:t>
      </w:r>
      <w:r w:rsidR="00C11A73" w:rsidRPr="00337C97">
        <w:rPr>
          <w:rFonts w:asciiTheme="minorHAnsi" w:hAnsiTheme="minorHAnsi"/>
          <w:lang w:val="en-US"/>
        </w:rPr>
        <w:t xml:space="preserve"> </w:t>
      </w:r>
      <w:r w:rsidR="0053548C" w:rsidRPr="00337C97">
        <w:rPr>
          <w:rFonts w:asciiTheme="minorHAnsi" w:hAnsiTheme="minorHAnsi"/>
          <w:lang w:val="en-US"/>
        </w:rPr>
        <w:t xml:space="preserve">therefore </w:t>
      </w:r>
      <w:r w:rsidR="00C11A73" w:rsidRPr="00337C97">
        <w:rPr>
          <w:rFonts w:asciiTheme="minorHAnsi" w:hAnsiTheme="minorHAnsi"/>
          <w:lang w:val="en-US"/>
        </w:rPr>
        <w:t xml:space="preserve">discussed in the </w:t>
      </w:r>
      <w:r w:rsidR="0053548C" w:rsidRPr="00337C97">
        <w:rPr>
          <w:rFonts w:asciiTheme="minorHAnsi" w:hAnsiTheme="minorHAnsi"/>
          <w:lang w:val="en-US"/>
        </w:rPr>
        <w:t>third</w:t>
      </w:r>
      <w:r w:rsidR="00C11A73" w:rsidRPr="00337C97">
        <w:rPr>
          <w:rFonts w:asciiTheme="minorHAnsi" w:hAnsiTheme="minorHAnsi"/>
          <w:lang w:val="en-US"/>
        </w:rPr>
        <w:t xml:space="preserve"> paragraph. Second, the gathered data in the first step is examined by means of regression analysis, to test for relationships between the extent of risk disclosure and potential explanatory variables. Therefore the </w:t>
      </w:r>
      <w:r w:rsidR="0053548C" w:rsidRPr="00337C97">
        <w:rPr>
          <w:rFonts w:asciiTheme="minorHAnsi" w:hAnsiTheme="minorHAnsi"/>
          <w:lang w:val="en-US"/>
        </w:rPr>
        <w:t>fourth</w:t>
      </w:r>
      <w:r w:rsidR="00C11A73" w:rsidRPr="00337C97">
        <w:rPr>
          <w:rFonts w:asciiTheme="minorHAnsi" w:hAnsiTheme="minorHAnsi"/>
          <w:lang w:val="en-US"/>
        </w:rPr>
        <w:t xml:space="preserve"> paragraph develops hypotheses about these relationships, the </w:t>
      </w:r>
      <w:r w:rsidR="0053548C" w:rsidRPr="00337C97">
        <w:rPr>
          <w:rFonts w:asciiTheme="minorHAnsi" w:hAnsiTheme="minorHAnsi"/>
          <w:lang w:val="en-US"/>
        </w:rPr>
        <w:t xml:space="preserve">fifth </w:t>
      </w:r>
      <w:r w:rsidR="00C11A73" w:rsidRPr="00337C97">
        <w:rPr>
          <w:rFonts w:asciiTheme="minorHAnsi" w:hAnsiTheme="minorHAnsi"/>
          <w:lang w:val="en-US"/>
        </w:rPr>
        <w:t>paragraph discusses the methodology of regression analysis</w:t>
      </w:r>
      <w:r w:rsidR="000D42D8" w:rsidRPr="00337C97">
        <w:rPr>
          <w:rFonts w:asciiTheme="minorHAnsi" w:hAnsiTheme="minorHAnsi"/>
          <w:lang w:val="en-US"/>
        </w:rPr>
        <w:t xml:space="preserve"> and</w:t>
      </w:r>
      <w:r w:rsidR="00C11A73" w:rsidRPr="00337C97">
        <w:rPr>
          <w:rFonts w:asciiTheme="minorHAnsi" w:hAnsiTheme="minorHAnsi"/>
          <w:lang w:val="en-US"/>
        </w:rPr>
        <w:t xml:space="preserve"> </w:t>
      </w:r>
      <w:r w:rsidR="000D42D8" w:rsidRPr="00337C97">
        <w:rPr>
          <w:rFonts w:asciiTheme="minorHAnsi" w:hAnsiTheme="minorHAnsi"/>
          <w:lang w:val="en-US"/>
        </w:rPr>
        <w:t>presents the regression model. T</w:t>
      </w:r>
      <w:r w:rsidR="003A626C" w:rsidRPr="00337C97">
        <w:rPr>
          <w:rFonts w:asciiTheme="minorHAnsi" w:hAnsiTheme="minorHAnsi"/>
          <w:lang w:val="en-US"/>
        </w:rPr>
        <w:t xml:space="preserve">he </w:t>
      </w:r>
      <w:r w:rsidR="0053548C" w:rsidRPr="00337C97">
        <w:rPr>
          <w:rFonts w:asciiTheme="minorHAnsi" w:hAnsiTheme="minorHAnsi"/>
          <w:lang w:val="en-US"/>
        </w:rPr>
        <w:t xml:space="preserve">last </w:t>
      </w:r>
      <w:r w:rsidR="003A626C" w:rsidRPr="00337C97">
        <w:rPr>
          <w:rFonts w:asciiTheme="minorHAnsi" w:hAnsiTheme="minorHAnsi"/>
          <w:lang w:val="en-US"/>
        </w:rPr>
        <w:t>paragraph discusses the measurement of the independent variables.</w:t>
      </w:r>
    </w:p>
    <w:p w:rsidR="00C11A73" w:rsidRPr="00337C97" w:rsidRDefault="00C11A73" w:rsidP="00366AF3">
      <w:pPr>
        <w:pStyle w:val="000"/>
        <w:spacing w:line="360" w:lineRule="auto"/>
        <w:jc w:val="both"/>
        <w:rPr>
          <w:rFonts w:asciiTheme="minorHAnsi" w:hAnsiTheme="minorHAnsi"/>
          <w:lang w:val="en-US"/>
        </w:rPr>
      </w:pPr>
    </w:p>
    <w:p w:rsidR="0053548C" w:rsidRPr="00337C97" w:rsidRDefault="0053548C" w:rsidP="001919AE">
      <w:pPr>
        <w:spacing w:line="360" w:lineRule="auto"/>
        <w:outlineLvl w:val="1"/>
        <w:rPr>
          <w:rFonts w:asciiTheme="minorHAnsi" w:hAnsiTheme="minorHAnsi" w:cs="Times New Roman"/>
          <w:b/>
          <w:sz w:val="22"/>
          <w:szCs w:val="22"/>
          <w:lang w:val="en-US"/>
        </w:rPr>
      </w:pPr>
      <w:bookmarkStart w:id="262" w:name="_Toc269658953"/>
      <w:r w:rsidRPr="00337C97">
        <w:rPr>
          <w:rFonts w:asciiTheme="minorHAnsi" w:hAnsiTheme="minorHAnsi" w:cs="Times New Roman"/>
          <w:b/>
          <w:sz w:val="22"/>
          <w:szCs w:val="22"/>
          <w:lang w:val="en-US"/>
        </w:rPr>
        <w:t>5.2</w:t>
      </w:r>
      <w:r w:rsidRPr="00337C97">
        <w:rPr>
          <w:rFonts w:asciiTheme="minorHAnsi" w:hAnsiTheme="minorHAnsi" w:cs="Times New Roman"/>
          <w:b/>
          <w:sz w:val="22"/>
          <w:szCs w:val="22"/>
          <w:lang w:val="en-US"/>
        </w:rPr>
        <w:tab/>
        <w:t>Sample selection</w:t>
      </w:r>
      <w:bookmarkEnd w:id="262"/>
    </w:p>
    <w:p w:rsidR="0053548C" w:rsidRPr="00337C97" w:rsidRDefault="0053548C" w:rsidP="007E6E3B">
      <w:pPr>
        <w:pStyle w:val="000"/>
        <w:spacing w:line="360" w:lineRule="auto"/>
        <w:jc w:val="both"/>
        <w:rPr>
          <w:rFonts w:asciiTheme="minorHAnsi" w:hAnsiTheme="minorHAnsi"/>
          <w:lang w:val="en-US"/>
        </w:rPr>
      </w:pPr>
      <w:r w:rsidRPr="00337C97">
        <w:rPr>
          <w:rFonts w:asciiTheme="minorHAnsi" w:hAnsiTheme="minorHAnsi"/>
          <w:lang w:val="en-US"/>
        </w:rPr>
        <w:t xml:space="preserve">To select the banks to be examined in this research, the BankScope Financials database is used (accessible via the Wharton Research database). Removing non-EU, non-listed and non-consolidated bank (reports), a population of 217 banks remained. </w:t>
      </w:r>
      <w:r w:rsidR="00D231A5" w:rsidRPr="00337C97">
        <w:rPr>
          <w:rFonts w:asciiTheme="minorHAnsi" w:hAnsiTheme="minorHAnsi"/>
          <w:lang w:val="en-US"/>
        </w:rPr>
        <w:t xml:space="preserve">BankScope also recognizes different types of specializations for each bank, for example commercial banks or investment banks. Different types of banks can differ in their risk profile and in order to create a homogeneous sample, only three types of specializations are considered: commercial banks (111), cooperative banks (25) and bank holdings and holding companies (31). Other specializations were not </w:t>
      </w:r>
      <w:r w:rsidR="007E0C62" w:rsidRPr="00337C97">
        <w:rPr>
          <w:rFonts w:asciiTheme="minorHAnsi" w:hAnsiTheme="minorHAnsi"/>
          <w:lang w:val="en-US"/>
        </w:rPr>
        <w:t xml:space="preserve">taken into consideration to avoid that they would affect </w:t>
      </w:r>
      <w:r w:rsidR="00D231A5" w:rsidRPr="00337C97">
        <w:rPr>
          <w:rFonts w:asciiTheme="minorHAnsi" w:hAnsiTheme="minorHAnsi"/>
          <w:lang w:val="en-US"/>
        </w:rPr>
        <w:t xml:space="preserve">the results (such as Mortgage banks, Investment banks, Islamic Banks, Governmental Credit Institutions and Securities Firms). </w:t>
      </w:r>
      <w:r w:rsidR="007E0C62" w:rsidRPr="00337C97">
        <w:rPr>
          <w:rFonts w:asciiTheme="minorHAnsi" w:hAnsiTheme="minorHAnsi"/>
          <w:lang w:val="en-US"/>
        </w:rPr>
        <w:t xml:space="preserve">After that, twelve local Crédit Agricole subsidiaries were removed from </w:t>
      </w:r>
      <w:r w:rsidR="001F1D80" w:rsidRPr="00337C97">
        <w:rPr>
          <w:rFonts w:asciiTheme="minorHAnsi" w:hAnsiTheme="minorHAnsi"/>
          <w:lang w:val="en-US"/>
        </w:rPr>
        <w:t xml:space="preserve">the sample, as they are subsidiaries of the French national Crédit Agricole. </w:t>
      </w:r>
      <w:r w:rsidR="00D231A5" w:rsidRPr="00337C97">
        <w:rPr>
          <w:rFonts w:asciiTheme="minorHAnsi" w:hAnsiTheme="minorHAnsi"/>
          <w:lang w:val="en-US"/>
        </w:rPr>
        <w:t xml:space="preserve">Using the Ernst &amp; Young sampling assistant tool in Excel, a number of 40 banks have been selected from the number of </w:t>
      </w:r>
      <w:r w:rsidR="001F1D80" w:rsidRPr="00337C97">
        <w:rPr>
          <w:rFonts w:asciiTheme="minorHAnsi" w:hAnsiTheme="minorHAnsi"/>
          <w:lang w:val="en-US"/>
        </w:rPr>
        <w:t>remaining banks (155</w:t>
      </w:r>
      <w:r w:rsidR="00D231A5" w:rsidRPr="00337C97">
        <w:rPr>
          <w:rFonts w:asciiTheme="minorHAnsi" w:hAnsiTheme="minorHAnsi"/>
          <w:lang w:val="en-US"/>
        </w:rPr>
        <w:t xml:space="preserve">). </w:t>
      </w:r>
      <w:r w:rsidRPr="00337C97">
        <w:rPr>
          <w:rFonts w:asciiTheme="minorHAnsi" w:hAnsiTheme="minorHAnsi"/>
          <w:lang w:val="en-US"/>
        </w:rPr>
        <w:t xml:space="preserve">The list of </w:t>
      </w:r>
      <w:r w:rsidR="00D231A5" w:rsidRPr="00337C97">
        <w:rPr>
          <w:rFonts w:asciiTheme="minorHAnsi" w:hAnsiTheme="minorHAnsi"/>
          <w:lang w:val="en-US"/>
        </w:rPr>
        <w:t xml:space="preserve">the final sample selection </w:t>
      </w:r>
      <w:r w:rsidRPr="00337C97">
        <w:rPr>
          <w:rFonts w:asciiTheme="minorHAnsi" w:hAnsiTheme="minorHAnsi"/>
          <w:lang w:val="en-US"/>
        </w:rPr>
        <w:t xml:space="preserve">is showed in appendix C. </w:t>
      </w:r>
      <w:r w:rsidR="00AA3252" w:rsidRPr="00337C97">
        <w:rPr>
          <w:rFonts w:asciiTheme="minorHAnsi" w:hAnsiTheme="minorHAnsi"/>
          <w:lang w:val="en-US"/>
        </w:rPr>
        <w:t xml:space="preserve">The EU area is chosen because of its harmonized accounting standards system (IFRSs). </w:t>
      </w:r>
      <w:r w:rsidR="00710C81" w:rsidRPr="00337C97">
        <w:rPr>
          <w:rFonts w:asciiTheme="minorHAnsi" w:hAnsiTheme="minorHAnsi"/>
          <w:lang w:val="en-US"/>
        </w:rPr>
        <w:t xml:space="preserve">The year 2007 is chosen because in that year the credit crunch occurred, resulting in </w:t>
      </w:r>
      <w:r w:rsidR="007E6E3B" w:rsidRPr="00337C97">
        <w:rPr>
          <w:rFonts w:asciiTheme="minorHAnsi" w:hAnsiTheme="minorHAnsi"/>
          <w:lang w:val="en-US"/>
        </w:rPr>
        <w:t xml:space="preserve">turbulence on the financial markets and volatility on the </w:t>
      </w:r>
      <w:r w:rsidR="00710C81" w:rsidRPr="00337C97">
        <w:rPr>
          <w:rFonts w:asciiTheme="minorHAnsi" w:hAnsiTheme="minorHAnsi"/>
          <w:lang w:val="en-US"/>
        </w:rPr>
        <w:t>stock market</w:t>
      </w:r>
      <w:r w:rsidR="007E6E3B" w:rsidRPr="00337C97">
        <w:rPr>
          <w:rFonts w:asciiTheme="minorHAnsi" w:hAnsiTheme="minorHAnsi"/>
          <w:lang w:val="en-US"/>
        </w:rPr>
        <w:t>, and thus may coincide with listed firms placing greater value on risk disclosure. Furthermore, the increased regulation of IFRS 7 and Basel II forces banks to disclose more risk information. All annual reports were with a year-end date of 31 December 2007, which ensures comparability of the annual reports that formed the basis for the content analysis.</w:t>
      </w:r>
    </w:p>
    <w:p w:rsidR="003A626C" w:rsidRPr="00337C97" w:rsidRDefault="00AA3252" w:rsidP="001919AE">
      <w:pPr>
        <w:pStyle w:val="000"/>
        <w:spacing w:line="360" w:lineRule="auto"/>
        <w:jc w:val="both"/>
        <w:outlineLvl w:val="1"/>
        <w:rPr>
          <w:rFonts w:asciiTheme="minorHAnsi" w:hAnsiTheme="minorHAnsi"/>
          <w:b/>
          <w:lang w:val="en-US"/>
        </w:rPr>
      </w:pPr>
      <w:bookmarkStart w:id="263" w:name="_Toc269658954"/>
      <w:r w:rsidRPr="00337C97">
        <w:rPr>
          <w:rFonts w:asciiTheme="minorHAnsi" w:hAnsiTheme="minorHAnsi"/>
          <w:b/>
          <w:lang w:val="en-US"/>
        </w:rPr>
        <w:lastRenderedPageBreak/>
        <w:t>5.3</w:t>
      </w:r>
      <w:r w:rsidR="003A626C" w:rsidRPr="00337C97">
        <w:rPr>
          <w:rFonts w:asciiTheme="minorHAnsi" w:hAnsiTheme="minorHAnsi"/>
          <w:b/>
          <w:lang w:val="en-US"/>
        </w:rPr>
        <w:tab/>
        <w:t>Content analysis</w:t>
      </w:r>
      <w:bookmarkEnd w:id="263"/>
    </w:p>
    <w:p w:rsidR="00EB047E" w:rsidRPr="00337C97" w:rsidRDefault="00155296" w:rsidP="0034068C">
      <w:pPr>
        <w:pStyle w:val="000"/>
        <w:spacing w:line="360" w:lineRule="auto"/>
        <w:jc w:val="both"/>
        <w:rPr>
          <w:rFonts w:asciiTheme="minorHAnsi" w:hAnsiTheme="minorHAnsi"/>
          <w:lang w:val="en-US"/>
        </w:rPr>
      </w:pPr>
      <w:r w:rsidRPr="00337C97">
        <w:rPr>
          <w:rFonts w:asciiTheme="minorHAnsi" w:hAnsiTheme="minorHAnsi"/>
          <w:lang w:val="en-US"/>
        </w:rPr>
        <w:t xml:space="preserve">Accounting researchers have increasingly focused their efforts on investigating disclosure, in particular the determinants of disclosure and the capital market consequences of disclosure. According to Beattie </w:t>
      </w:r>
      <w:r w:rsidR="00C853D5" w:rsidRPr="00337C97">
        <w:rPr>
          <w:rFonts w:asciiTheme="minorHAnsi" w:hAnsiTheme="minorHAnsi"/>
          <w:lang w:val="en-US"/>
        </w:rPr>
        <w:t xml:space="preserve">et al. </w:t>
      </w:r>
      <w:r w:rsidRPr="00337C97">
        <w:rPr>
          <w:rFonts w:asciiTheme="minorHAnsi" w:hAnsiTheme="minorHAnsi"/>
          <w:lang w:val="en-US"/>
        </w:rPr>
        <w:t xml:space="preserve">(2004, p. 2), two principal ways of measuring disclosure have been employed. The first approach has been to use </w:t>
      </w:r>
      <w:r w:rsidR="00C853D5" w:rsidRPr="00337C97">
        <w:rPr>
          <w:rFonts w:asciiTheme="minorHAnsi" w:hAnsiTheme="minorHAnsi"/>
          <w:lang w:val="en-US"/>
        </w:rPr>
        <w:t xml:space="preserve">subjective analyst disclosure rankings. This approach is not without conceptual problems, the </w:t>
      </w:r>
      <w:r w:rsidR="002C4879" w:rsidRPr="00337C97">
        <w:rPr>
          <w:rFonts w:asciiTheme="minorHAnsi" w:hAnsiTheme="minorHAnsi"/>
          <w:lang w:val="en-US"/>
        </w:rPr>
        <w:t>practical</w:t>
      </w:r>
      <w:r w:rsidR="00C853D5" w:rsidRPr="00337C97">
        <w:rPr>
          <w:rFonts w:asciiTheme="minorHAnsi" w:hAnsiTheme="minorHAnsi"/>
          <w:lang w:val="en-US"/>
        </w:rPr>
        <w:t xml:space="preserve"> problem is availability. Rankings are scarce and often only available in the United States. The second approach </w:t>
      </w:r>
      <w:r w:rsidR="002C4879" w:rsidRPr="00337C97">
        <w:rPr>
          <w:rFonts w:asciiTheme="minorHAnsi" w:hAnsiTheme="minorHAnsi"/>
          <w:lang w:val="en-US"/>
        </w:rPr>
        <w:t xml:space="preserve">has been to analyze the content of narratives with </w:t>
      </w:r>
      <w:r w:rsidR="00000031" w:rsidRPr="00337C97">
        <w:rPr>
          <w:rFonts w:asciiTheme="minorHAnsi" w:hAnsiTheme="minorHAnsi"/>
          <w:lang w:val="en-US"/>
        </w:rPr>
        <w:t xml:space="preserve">either </w:t>
      </w:r>
      <w:r w:rsidR="002C4879" w:rsidRPr="00337C97">
        <w:rPr>
          <w:rFonts w:asciiTheme="minorHAnsi" w:hAnsiTheme="minorHAnsi"/>
          <w:lang w:val="en-US"/>
        </w:rPr>
        <w:t>researcher</w:t>
      </w:r>
      <w:r w:rsidR="001836A0" w:rsidRPr="00337C97">
        <w:rPr>
          <w:rFonts w:asciiTheme="minorHAnsi" w:hAnsiTheme="minorHAnsi"/>
          <w:lang w:val="en-US"/>
        </w:rPr>
        <w:t>-constructed disclosure indices</w:t>
      </w:r>
      <w:r w:rsidR="00000031" w:rsidRPr="00337C97">
        <w:rPr>
          <w:rFonts w:asciiTheme="minorHAnsi" w:hAnsiTheme="minorHAnsi"/>
          <w:lang w:val="en-US"/>
        </w:rPr>
        <w:t xml:space="preserve"> or content analysis </w:t>
      </w:r>
      <w:r w:rsidR="001836A0" w:rsidRPr="00337C97">
        <w:rPr>
          <w:rFonts w:asciiTheme="minorHAnsi" w:hAnsiTheme="minorHAnsi"/>
          <w:lang w:val="en-US"/>
        </w:rPr>
        <w:t xml:space="preserve">(see </w:t>
      </w:r>
      <w:r w:rsidR="00BE18E9" w:rsidRPr="00337C97">
        <w:rPr>
          <w:rFonts w:asciiTheme="minorHAnsi" w:hAnsiTheme="minorHAnsi"/>
          <w:lang w:val="en-US"/>
        </w:rPr>
        <w:t>for a</w:t>
      </w:r>
      <w:r w:rsidR="001836A0" w:rsidRPr="00337C97">
        <w:rPr>
          <w:rFonts w:asciiTheme="minorHAnsi" w:hAnsiTheme="minorHAnsi"/>
          <w:lang w:val="en-US"/>
        </w:rPr>
        <w:t xml:space="preserve"> discussion of these meth</w:t>
      </w:r>
      <w:r w:rsidR="00EB047E" w:rsidRPr="00337C97">
        <w:rPr>
          <w:rFonts w:asciiTheme="minorHAnsi" w:hAnsiTheme="minorHAnsi"/>
          <w:lang w:val="en-US"/>
        </w:rPr>
        <w:t>ods Beattie et al., 2004, p. 4</w:t>
      </w:r>
      <w:r w:rsidR="00000031" w:rsidRPr="00337C97">
        <w:rPr>
          <w:rFonts w:asciiTheme="minorHAnsi" w:hAnsiTheme="minorHAnsi"/>
          <w:lang w:val="en-US"/>
        </w:rPr>
        <w:t>-9</w:t>
      </w:r>
      <w:r w:rsidR="001836A0" w:rsidRPr="00337C97">
        <w:rPr>
          <w:rFonts w:asciiTheme="minorHAnsi" w:hAnsiTheme="minorHAnsi"/>
          <w:lang w:val="en-US"/>
        </w:rPr>
        <w:t>)</w:t>
      </w:r>
      <w:r w:rsidR="00EB047E" w:rsidRPr="00337C97">
        <w:rPr>
          <w:rFonts w:asciiTheme="minorHAnsi" w:hAnsiTheme="minorHAnsi"/>
          <w:lang w:val="en-US"/>
        </w:rPr>
        <w:t>.</w:t>
      </w:r>
    </w:p>
    <w:p w:rsidR="00EB047E" w:rsidRPr="00337C97" w:rsidRDefault="00EB047E" w:rsidP="0034068C">
      <w:pPr>
        <w:pStyle w:val="000"/>
        <w:spacing w:line="360" w:lineRule="auto"/>
        <w:jc w:val="both"/>
        <w:rPr>
          <w:rFonts w:asciiTheme="minorHAnsi" w:hAnsiTheme="minorHAnsi"/>
          <w:lang w:val="en-US"/>
        </w:rPr>
      </w:pPr>
    </w:p>
    <w:p w:rsidR="00914280" w:rsidRPr="00337C97" w:rsidRDefault="00914280" w:rsidP="00914280">
      <w:pPr>
        <w:pStyle w:val="000"/>
        <w:spacing w:line="360" w:lineRule="auto"/>
        <w:jc w:val="both"/>
        <w:rPr>
          <w:rFonts w:asciiTheme="minorHAnsi" w:hAnsiTheme="minorHAnsi"/>
          <w:lang w:val="en-US"/>
        </w:rPr>
      </w:pPr>
      <w:r w:rsidRPr="00337C97">
        <w:rPr>
          <w:rFonts w:asciiTheme="minorHAnsi" w:hAnsiTheme="minorHAnsi"/>
          <w:lang w:val="en-US"/>
        </w:rPr>
        <w:t xml:space="preserve">Beattie et al. (2004, p. 10) argue that the extant approaches to the analysis of accounting narratives in annual reports suffer from two fundamental limitations. First, they are essentially one-dimensional, whereas disclosure is a complex, multi-faceted concept. To overcome this limitation, this study captures multiple dimensions of risk disclosure. The first dimension to be considered is topic, which in this study consist of the major risk areas. Hence, specific risk information is being nested within the defined risk categories. In addition to this, three type attributes are defined, based upon the following dichotomous descriptors: past/future, quantitative/qualitative and good/neutral/bad. </w:t>
      </w:r>
    </w:p>
    <w:p w:rsidR="00914280" w:rsidRPr="00337C97" w:rsidRDefault="00914280" w:rsidP="00914280">
      <w:pPr>
        <w:pStyle w:val="000"/>
        <w:spacing w:line="360" w:lineRule="auto"/>
        <w:jc w:val="both"/>
        <w:rPr>
          <w:rFonts w:asciiTheme="minorHAnsi" w:hAnsiTheme="minorHAnsi"/>
          <w:lang w:val="en-US"/>
        </w:rPr>
      </w:pPr>
    </w:p>
    <w:p w:rsidR="00AA3252" w:rsidRPr="00337C97" w:rsidRDefault="00914280"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The second limitation is that many extant approaches are partial, either because they examine only selected sections of the annual report or because they focus on particular issues or pre-selected items. In my view, this is not a limitation of the </w:t>
      </w:r>
      <w:r w:rsidRPr="00337C97">
        <w:rPr>
          <w:rFonts w:asciiTheme="minorHAnsi" w:hAnsiTheme="minorHAnsi"/>
          <w:i/>
          <w:lang w:val="en-US"/>
        </w:rPr>
        <w:t>approaches</w:t>
      </w:r>
      <w:r w:rsidRPr="00337C97">
        <w:rPr>
          <w:rFonts w:asciiTheme="minorHAnsi" w:hAnsiTheme="minorHAnsi"/>
          <w:lang w:val="en-US"/>
        </w:rPr>
        <w:t xml:space="preserve"> but a limitation of the </w:t>
      </w:r>
      <w:r w:rsidRPr="00337C97">
        <w:rPr>
          <w:rFonts w:asciiTheme="minorHAnsi" w:hAnsiTheme="minorHAnsi"/>
          <w:i/>
          <w:lang w:val="en-US"/>
        </w:rPr>
        <w:t>respective studies</w:t>
      </w:r>
      <w:r w:rsidRPr="00337C97">
        <w:rPr>
          <w:rFonts w:asciiTheme="minorHAnsi" w:hAnsiTheme="minorHAnsi"/>
          <w:lang w:val="en-US"/>
        </w:rPr>
        <w:t>, caused by the decisions of the researchers. This study is about risk disclosure, so obviously only attention is paid to risk information. Previous literature (see chapter 4) shows that risk information can be find throughout the entire annual report, for example in the notes but also in the management report. Mandatory accounting information is usually disclosed in the notes to the financial statements, but IFRS 7 leaves companies free to choose where to disclose the related risk information. Hence, this study has chosen to analyze the entire content of the annual reports in order to avoid biased results from a too narrow focus.</w:t>
      </w:r>
      <w:r w:rsidR="00AA3252" w:rsidRPr="00337C97">
        <w:rPr>
          <w:rFonts w:asciiTheme="minorHAnsi" w:hAnsiTheme="minorHAnsi"/>
          <w:lang w:val="en-US"/>
        </w:rPr>
        <w:t xml:space="preserve"> Furthermore, the annual report has been defined as the ‘main disclosure vehicle’, concluding that it is the most comprehensive financial report available to the public (Beretta and Bozzolan, 2004, p. 276). In addition, Lang and Lundholm (1993) showed that the disclosure level in annual reports is positively correlated with the amount of corporate disclosure communicated to the market and stakeholders using other media.</w:t>
      </w:r>
    </w:p>
    <w:p w:rsidR="00914280" w:rsidRPr="00337C97" w:rsidRDefault="00914280" w:rsidP="0034068C">
      <w:pPr>
        <w:pStyle w:val="000"/>
        <w:spacing w:line="360" w:lineRule="auto"/>
        <w:jc w:val="both"/>
        <w:rPr>
          <w:rFonts w:asciiTheme="minorHAnsi" w:hAnsiTheme="minorHAnsi"/>
          <w:lang w:val="en-US"/>
        </w:rPr>
      </w:pPr>
    </w:p>
    <w:p w:rsidR="00D25BA1" w:rsidRPr="00337C97" w:rsidRDefault="00D25BA1" w:rsidP="004D5234">
      <w:pPr>
        <w:pStyle w:val="000"/>
        <w:spacing w:line="360" w:lineRule="auto"/>
        <w:jc w:val="both"/>
        <w:rPr>
          <w:rFonts w:asciiTheme="minorHAnsi" w:hAnsiTheme="minorHAnsi"/>
          <w:lang w:val="en-US"/>
        </w:rPr>
      </w:pPr>
      <w:r w:rsidRPr="00337C97">
        <w:rPr>
          <w:rFonts w:asciiTheme="minorHAnsi" w:hAnsiTheme="minorHAnsi"/>
          <w:lang w:val="en-US"/>
        </w:rPr>
        <w:lastRenderedPageBreak/>
        <w:t>Content analysis is a means of categorizing items of text</w:t>
      </w:r>
      <w:r w:rsidR="00AA0125" w:rsidRPr="00337C97">
        <w:rPr>
          <w:rFonts w:asciiTheme="minorHAnsi" w:hAnsiTheme="minorHAnsi"/>
          <w:lang w:val="en-US"/>
        </w:rPr>
        <w:t xml:space="preserve">. For valid inferences to be drawn, it is important that the classification procedure is </w:t>
      </w:r>
      <w:r w:rsidR="00AA0125" w:rsidRPr="00337C97">
        <w:rPr>
          <w:rFonts w:asciiTheme="minorHAnsi" w:hAnsiTheme="minorHAnsi"/>
          <w:i/>
          <w:lang w:val="en-US"/>
        </w:rPr>
        <w:t>reliable</w:t>
      </w:r>
      <w:r w:rsidR="00AA0125" w:rsidRPr="00337C97">
        <w:rPr>
          <w:rFonts w:asciiTheme="minorHAnsi" w:hAnsiTheme="minorHAnsi"/>
          <w:lang w:val="en-US"/>
        </w:rPr>
        <w:t xml:space="preserve"> and </w:t>
      </w:r>
      <w:r w:rsidR="00AA0125" w:rsidRPr="00337C97">
        <w:rPr>
          <w:rFonts w:asciiTheme="minorHAnsi" w:hAnsiTheme="minorHAnsi"/>
          <w:i/>
          <w:lang w:val="en-US"/>
        </w:rPr>
        <w:t>valid</w:t>
      </w:r>
      <w:r w:rsidR="00AA0125" w:rsidRPr="00337C97">
        <w:rPr>
          <w:rFonts w:asciiTheme="minorHAnsi" w:hAnsiTheme="minorHAnsi"/>
          <w:lang w:val="en-US"/>
        </w:rPr>
        <w:t xml:space="preserve">. Reliable means that different people would code the text in the same way, and valid means that the variables generated from the classification procedure represent what the researcher intended it to </w:t>
      </w:r>
      <w:r w:rsidR="00EB047E" w:rsidRPr="00337C97">
        <w:rPr>
          <w:rFonts w:asciiTheme="minorHAnsi" w:hAnsiTheme="minorHAnsi"/>
          <w:lang w:val="en-US"/>
        </w:rPr>
        <w:t xml:space="preserve">represent. Three types of reliability can be identified: </w:t>
      </w:r>
      <w:r w:rsidR="00EB047E" w:rsidRPr="00337C97">
        <w:rPr>
          <w:rFonts w:asciiTheme="minorHAnsi" w:hAnsiTheme="minorHAnsi"/>
          <w:i/>
          <w:lang w:val="en-US"/>
        </w:rPr>
        <w:t>stability</w:t>
      </w:r>
      <w:r w:rsidR="00EB047E" w:rsidRPr="00337C97">
        <w:rPr>
          <w:rFonts w:asciiTheme="minorHAnsi" w:hAnsiTheme="minorHAnsi"/>
          <w:lang w:val="en-US"/>
        </w:rPr>
        <w:t xml:space="preserve"> (the extent to which the same coder is consistent over time when coding the same content); </w:t>
      </w:r>
      <w:r w:rsidR="00EB047E" w:rsidRPr="00337C97">
        <w:rPr>
          <w:rFonts w:asciiTheme="minorHAnsi" w:hAnsiTheme="minorHAnsi"/>
          <w:i/>
          <w:lang w:val="en-US"/>
        </w:rPr>
        <w:t xml:space="preserve">reproducibility </w:t>
      </w:r>
      <w:r w:rsidR="00EB047E" w:rsidRPr="00337C97">
        <w:rPr>
          <w:rFonts w:asciiTheme="minorHAnsi" w:hAnsiTheme="minorHAnsi"/>
          <w:lang w:val="en-US"/>
        </w:rPr>
        <w:t xml:space="preserve">or inter-coder reliability (the extent to which different coders produce the same results when coding the same content); and </w:t>
      </w:r>
      <w:r w:rsidR="00EB047E" w:rsidRPr="00337C97">
        <w:rPr>
          <w:rFonts w:asciiTheme="minorHAnsi" w:hAnsiTheme="minorHAnsi"/>
          <w:i/>
          <w:lang w:val="en-US"/>
        </w:rPr>
        <w:t>accuracy</w:t>
      </w:r>
      <w:r w:rsidR="00EB047E" w:rsidRPr="00337C97">
        <w:rPr>
          <w:rFonts w:asciiTheme="minorHAnsi" w:hAnsiTheme="minorHAnsi"/>
          <w:lang w:val="en-US"/>
        </w:rPr>
        <w:t xml:space="preserve"> (the extent to which the classification of texts corresponds to a standard or norm) (Krippendorf, 1980, p. 130-132).</w:t>
      </w:r>
      <w:r w:rsidRPr="00337C97">
        <w:rPr>
          <w:rFonts w:asciiTheme="minorHAnsi" w:hAnsiTheme="minorHAnsi"/>
          <w:lang w:val="en-US"/>
        </w:rPr>
        <w:t xml:space="preserve"> </w:t>
      </w:r>
      <w:r w:rsidR="004C345F" w:rsidRPr="00337C97">
        <w:rPr>
          <w:rFonts w:asciiTheme="minorHAnsi" w:hAnsiTheme="minorHAnsi"/>
          <w:lang w:val="en-US"/>
        </w:rPr>
        <w:t>To improve reliability of content analysis, previous studies usually use more than one coder for at least a part of the sample.</w:t>
      </w:r>
    </w:p>
    <w:p w:rsidR="00DD1520" w:rsidRPr="00337C97" w:rsidRDefault="00DD1520" w:rsidP="0034068C">
      <w:pPr>
        <w:pStyle w:val="000"/>
        <w:spacing w:line="360" w:lineRule="auto"/>
        <w:jc w:val="both"/>
        <w:rPr>
          <w:rFonts w:asciiTheme="minorHAnsi" w:hAnsiTheme="minorHAnsi"/>
          <w:lang w:val="en-US"/>
        </w:rPr>
      </w:pPr>
    </w:p>
    <w:p w:rsidR="00D25BA1" w:rsidRPr="00337C97" w:rsidRDefault="00D25BA1" w:rsidP="0034068C">
      <w:pPr>
        <w:pStyle w:val="000"/>
        <w:spacing w:line="360" w:lineRule="auto"/>
        <w:jc w:val="both"/>
        <w:rPr>
          <w:rFonts w:asciiTheme="minorHAnsi" w:hAnsiTheme="minorHAnsi"/>
          <w:lang w:val="en-US"/>
        </w:rPr>
      </w:pPr>
      <w:r w:rsidRPr="00337C97">
        <w:rPr>
          <w:rFonts w:asciiTheme="minorHAnsi" w:hAnsiTheme="minorHAnsi"/>
          <w:lang w:val="en-US"/>
        </w:rPr>
        <w:t>Weber (1985, p. 23-24) provides useful discussions regarding how to d</w:t>
      </w:r>
      <w:r w:rsidR="00DD1520" w:rsidRPr="00337C97">
        <w:rPr>
          <w:rFonts w:asciiTheme="minorHAnsi" w:hAnsiTheme="minorHAnsi"/>
          <w:lang w:val="en-US"/>
        </w:rPr>
        <w:t>evelop and test a coding scheme.</w:t>
      </w:r>
      <w:r w:rsidRPr="00337C97">
        <w:rPr>
          <w:rFonts w:asciiTheme="minorHAnsi" w:hAnsiTheme="minorHAnsi"/>
          <w:lang w:val="en-US"/>
        </w:rPr>
        <w:t xml:space="preserve"> The basic steps are:</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define the recording unit (e.g., word, sentence, theme)</w:t>
      </w:r>
      <w:r w:rsidR="00DD1520" w:rsidRPr="00337C97">
        <w:rPr>
          <w:rFonts w:asciiTheme="minorHAnsi" w:hAnsiTheme="minorHAnsi"/>
          <w:lang w:val="en-US"/>
        </w:rPr>
        <w:t>;</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define the categories</w:t>
      </w:r>
      <w:r w:rsidR="00DD1520" w:rsidRPr="00337C97">
        <w:rPr>
          <w:rFonts w:asciiTheme="minorHAnsi" w:hAnsiTheme="minorHAnsi"/>
          <w:lang w:val="en-US"/>
        </w:rPr>
        <w:t xml:space="preserve"> (several key decisions);</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test coding of a sample of text</w:t>
      </w:r>
      <w:r w:rsidR="00DD1520" w:rsidRPr="00337C97">
        <w:rPr>
          <w:rFonts w:asciiTheme="minorHAnsi" w:hAnsiTheme="minorHAnsi"/>
          <w:lang w:val="en-US"/>
        </w:rPr>
        <w:t>;</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assess reliability</w:t>
      </w:r>
      <w:r w:rsidR="00DD1520" w:rsidRPr="00337C97">
        <w:rPr>
          <w:rFonts w:asciiTheme="minorHAnsi" w:hAnsiTheme="minorHAnsi"/>
          <w:lang w:val="en-US"/>
        </w:rPr>
        <w:t>;</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revise coding rules (e.g., develop disambiguation rules);</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repeat steps 3-5 until reliability is satisfactory;</w:t>
      </w:r>
    </w:p>
    <w:p w:rsidR="00D25BA1" w:rsidRPr="00337C97" w:rsidRDefault="00D25BA1"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code all text; and</w:t>
      </w:r>
    </w:p>
    <w:p w:rsidR="00D25BA1" w:rsidRPr="00337C97" w:rsidRDefault="00DD1520" w:rsidP="00D25BA1">
      <w:pPr>
        <w:pStyle w:val="000"/>
        <w:numPr>
          <w:ilvl w:val="0"/>
          <w:numId w:val="19"/>
        </w:numPr>
        <w:spacing w:line="360" w:lineRule="auto"/>
        <w:jc w:val="both"/>
        <w:rPr>
          <w:rFonts w:asciiTheme="minorHAnsi" w:hAnsiTheme="minorHAnsi"/>
          <w:lang w:val="en-US"/>
        </w:rPr>
      </w:pPr>
      <w:r w:rsidRPr="00337C97">
        <w:rPr>
          <w:rFonts w:asciiTheme="minorHAnsi" w:hAnsiTheme="minorHAnsi"/>
          <w:lang w:val="en-US"/>
        </w:rPr>
        <w:t>assess achieved reliability.</w:t>
      </w:r>
    </w:p>
    <w:p w:rsidR="00EB047E" w:rsidRPr="00337C97" w:rsidRDefault="00EB047E" w:rsidP="0034068C">
      <w:pPr>
        <w:pStyle w:val="000"/>
        <w:spacing w:line="360" w:lineRule="auto"/>
        <w:jc w:val="both"/>
        <w:rPr>
          <w:rFonts w:asciiTheme="minorHAnsi" w:hAnsiTheme="minorHAnsi"/>
          <w:lang w:val="en-US"/>
        </w:rPr>
      </w:pPr>
    </w:p>
    <w:p w:rsidR="002825A0" w:rsidRPr="00337C97" w:rsidRDefault="004752EE" w:rsidP="0034068C">
      <w:pPr>
        <w:pStyle w:val="000"/>
        <w:spacing w:line="360" w:lineRule="auto"/>
        <w:jc w:val="both"/>
        <w:rPr>
          <w:rFonts w:asciiTheme="minorHAnsi" w:hAnsiTheme="minorHAnsi"/>
          <w:lang w:val="en-US"/>
        </w:rPr>
      </w:pPr>
      <w:r w:rsidRPr="00337C97">
        <w:rPr>
          <w:rFonts w:asciiTheme="minorHAnsi" w:hAnsiTheme="minorHAnsi"/>
          <w:lang w:val="en-US"/>
        </w:rPr>
        <w:t>Following step one</w:t>
      </w:r>
      <w:r w:rsidR="00DD1520" w:rsidRPr="00337C97">
        <w:rPr>
          <w:rFonts w:asciiTheme="minorHAnsi" w:hAnsiTheme="minorHAnsi"/>
          <w:lang w:val="en-US"/>
        </w:rPr>
        <w:t>, this research chose to measure t</w:t>
      </w:r>
      <w:r w:rsidRPr="00337C97">
        <w:rPr>
          <w:rFonts w:asciiTheme="minorHAnsi" w:hAnsiTheme="minorHAnsi"/>
          <w:lang w:val="en-US"/>
        </w:rPr>
        <w:t>he extent of disclosure of risk</w:t>
      </w:r>
      <w:r w:rsidR="00DD1520" w:rsidRPr="00337C97">
        <w:rPr>
          <w:rFonts w:asciiTheme="minorHAnsi" w:hAnsiTheme="minorHAnsi"/>
          <w:lang w:val="en-US"/>
        </w:rPr>
        <w:t xml:space="preserve"> information by counting risk and risk management sentenc</w:t>
      </w:r>
      <w:r w:rsidR="00E52A0E" w:rsidRPr="00337C97">
        <w:rPr>
          <w:rFonts w:asciiTheme="minorHAnsi" w:hAnsiTheme="minorHAnsi"/>
          <w:lang w:val="en-US"/>
        </w:rPr>
        <w:t>e</w:t>
      </w:r>
      <w:r w:rsidRPr="00337C97">
        <w:rPr>
          <w:rFonts w:asciiTheme="minorHAnsi" w:hAnsiTheme="minorHAnsi"/>
          <w:lang w:val="en-US"/>
        </w:rPr>
        <w:t>s rather than words or pages. This is in line with usual practice in previous disclosure studies using content analysis (e.g. Linsley et al., 2009 and others). Acc</w:t>
      </w:r>
      <w:r w:rsidR="00AB58EA" w:rsidRPr="00337C97">
        <w:rPr>
          <w:rFonts w:asciiTheme="minorHAnsi" w:hAnsiTheme="minorHAnsi"/>
          <w:lang w:val="en-US"/>
        </w:rPr>
        <w:t>ording to Milne and Adler (1999, p. 4)</w:t>
      </w:r>
      <w:r w:rsidRPr="00337C97">
        <w:rPr>
          <w:rFonts w:asciiTheme="minorHAnsi" w:hAnsiTheme="minorHAnsi"/>
          <w:lang w:val="en-US"/>
        </w:rPr>
        <w:t xml:space="preserve">, this unit of analysis is deemed more reliable as a coding method than other units of analysis </w:t>
      </w:r>
      <w:r w:rsidR="006C3190" w:rsidRPr="00337C97">
        <w:rPr>
          <w:rFonts w:asciiTheme="minorHAnsi" w:hAnsiTheme="minorHAnsi"/>
          <w:lang w:val="en-US"/>
        </w:rPr>
        <w:t xml:space="preserve">(e.g. words, paragraphs, pages). They criticize the use of words since, by themselves, words do not convey any meaning unless referred to the sentences for their proper contexts. Moreover, it is difficult to decide which words are considered as risk disclosure. </w:t>
      </w:r>
      <w:r w:rsidRPr="00337C97">
        <w:rPr>
          <w:rFonts w:asciiTheme="minorHAnsi" w:hAnsiTheme="minorHAnsi"/>
          <w:lang w:val="en-US"/>
        </w:rPr>
        <w:t xml:space="preserve">Step two is a step which involves </w:t>
      </w:r>
      <w:r w:rsidR="005B3C7C" w:rsidRPr="00337C97">
        <w:rPr>
          <w:rFonts w:asciiTheme="minorHAnsi" w:hAnsiTheme="minorHAnsi"/>
          <w:lang w:val="en-US"/>
        </w:rPr>
        <w:t>several key choices to be made. The separate risk categories have to be defined and the attributes that will be captured.</w:t>
      </w:r>
    </w:p>
    <w:p w:rsidR="00DD1520" w:rsidRPr="00337C97" w:rsidRDefault="00DD1520" w:rsidP="0034068C">
      <w:pPr>
        <w:pStyle w:val="000"/>
        <w:spacing w:line="360" w:lineRule="auto"/>
        <w:jc w:val="both"/>
        <w:rPr>
          <w:rFonts w:asciiTheme="minorHAnsi" w:hAnsiTheme="minorHAnsi"/>
          <w:lang w:val="en-US"/>
        </w:rPr>
      </w:pPr>
    </w:p>
    <w:p w:rsidR="005B3C7C" w:rsidRPr="00337C97" w:rsidRDefault="005B3C7C" w:rsidP="005B3C7C">
      <w:pPr>
        <w:pStyle w:val="000"/>
        <w:spacing w:line="360" w:lineRule="auto"/>
        <w:jc w:val="both"/>
        <w:rPr>
          <w:rFonts w:asciiTheme="minorHAnsi" w:hAnsiTheme="minorHAnsi"/>
          <w:lang w:val="en-US"/>
        </w:rPr>
      </w:pPr>
      <w:r w:rsidRPr="00337C97">
        <w:rPr>
          <w:rFonts w:asciiTheme="minorHAnsi" w:hAnsiTheme="minorHAnsi"/>
          <w:lang w:val="en-US"/>
        </w:rPr>
        <w:t xml:space="preserve">Prior literature is used to breakdown risks into relevant categories and to create an appropriate classification scheme. The study of Linsley and Shrives (2005b, p. 298, on nonfinancial companies) distinguished financial risk, operations risk, empowerment risk, information processing and </w:t>
      </w:r>
      <w:r w:rsidRPr="00337C97">
        <w:rPr>
          <w:rFonts w:asciiTheme="minorHAnsi" w:hAnsiTheme="minorHAnsi"/>
          <w:lang w:val="en-US"/>
        </w:rPr>
        <w:lastRenderedPageBreak/>
        <w:t xml:space="preserve">technology risk, integrity risk and strategic risk. The study of Linsley et al. (2006, p. 273, on banks) split up financial risk into credit risk, market risk and interest rate risk, apparently because of the significance of these risks to financial firms. Next to these risks, operational risk, capital adequacy risk and a special category for disclosure about risk management policies were distinguished. Using this classification and other schemes of Amran et al. (2009, p. 53-54) and Michiels et al. (2009, p. 4), a new classification scheme is developed that best reflects the relevant risk categories. Furthermore, risk categories from theory (paragraph 3.8) and in the BCBS studies and a KPMG paper (paragraph 4.3.1) are considered. In short, starting from the categorization of Linsley et al. (2006), interest rate risk is categorized under market risk. Furthermore, the categories liquidity risk, business risk and legal risk are added. The </w:t>
      </w:r>
      <w:r w:rsidR="00745323" w:rsidRPr="00337C97">
        <w:rPr>
          <w:rFonts w:asciiTheme="minorHAnsi" w:hAnsiTheme="minorHAnsi"/>
          <w:lang w:val="en-US"/>
        </w:rPr>
        <w:t>risk classification model</w:t>
      </w:r>
      <w:r w:rsidRPr="00337C97">
        <w:rPr>
          <w:rFonts w:asciiTheme="minorHAnsi" w:hAnsiTheme="minorHAnsi"/>
          <w:lang w:val="en-US"/>
        </w:rPr>
        <w:t xml:space="preserve"> is presented in </w:t>
      </w:r>
      <w:r w:rsidR="009265C8" w:rsidRPr="00337C97">
        <w:rPr>
          <w:rFonts w:asciiTheme="minorHAnsi" w:hAnsiTheme="minorHAnsi"/>
          <w:lang w:val="en-US"/>
        </w:rPr>
        <w:t>appendix D</w:t>
      </w:r>
      <w:r w:rsidRPr="00337C97">
        <w:rPr>
          <w:rFonts w:asciiTheme="minorHAnsi" w:hAnsiTheme="minorHAnsi"/>
          <w:lang w:val="en-US"/>
        </w:rPr>
        <w:t>.</w:t>
      </w:r>
    </w:p>
    <w:p w:rsidR="005B3C7C" w:rsidRPr="00337C97" w:rsidRDefault="005B3C7C" w:rsidP="005B3C7C">
      <w:pPr>
        <w:pStyle w:val="000"/>
        <w:spacing w:line="360" w:lineRule="auto"/>
        <w:jc w:val="both"/>
        <w:rPr>
          <w:rFonts w:asciiTheme="minorHAnsi" w:hAnsiTheme="minorHAnsi"/>
          <w:lang w:val="en-US"/>
        </w:rPr>
      </w:pPr>
    </w:p>
    <w:p w:rsidR="005B3C7C" w:rsidRPr="00337C97" w:rsidRDefault="005B3C7C" w:rsidP="005B3C7C">
      <w:pPr>
        <w:pStyle w:val="000"/>
        <w:spacing w:line="360" w:lineRule="auto"/>
        <w:jc w:val="both"/>
        <w:rPr>
          <w:rFonts w:asciiTheme="minorHAnsi" w:hAnsiTheme="minorHAnsi"/>
          <w:lang w:val="en-US"/>
        </w:rPr>
      </w:pPr>
      <w:r w:rsidRPr="00337C97">
        <w:rPr>
          <w:rFonts w:asciiTheme="minorHAnsi" w:hAnsiTheme="minorHAnsi"/>
          <w:lang w:val="en-US"/>
        </w:rPr>
        <w:t xml:space="preserve">Along with the categorization of the risks, certain attributes of the risk-related sentences are </w:t>
      </w:r>
      <w:r w:rsidR="009265C8" w:rsidRPr="00337C97">
        <w:rPr>
          <w:rFonts w:asciiTheme="minorHAnsi" w:hAnsiTheme="minorHAnsi"/>
          <w:lang w:val="en-US"/>
        </w:rPr>
        <w:t>determined. Linsley et al. (2005b, p. 296</w:t>
      </w:r>
      <w:r w:rsidRPr="00337C97">
        <w:rPr>
          <w:rFonts w:asciiTheme="minorHAnsi" w:hAnsiTheme="minorHAnsi"/>
          <w:lang w:val="en-US"/>
        </w:rPr>
        <w:t xml:space="preserve">) noted the following attributes: </w:t>
      </w:r>
    </w:p>
    <w:p w:rsidR="005B3C7C" w:rsidRPr="00337C97" w:rsidRDefault="005B3C7C" w:rsidP="005B3C7C">
      <w:pPr>
        <w:pStyle w:val="000"/>
        <w:numPr>
          <w:ilvl w:val="0"/>
          <w:numId w:val="18"/>
        </w:numPr>
        <w:spacing w:line="360" w:lineRule="auto"/>
        <w:jc w:val="both"/>
        <w:rPr>
          <w:rFonts w:asciiTheme="minorHAnsi" w:hAnsiTheme="minorHAnsi"/>
          <w:lang w:val="en-US"/>
        </w:rPr>
      </w:pPr>
      <w:r w:rsidRPr="00337C97">
        <w:rPr>
          <w:rFonts w:asciiTheme="minorHAnsi" w:hAnsiTheme="minorHAnsi"/>
          <w:lang w:val="en-US"/>
        </w:rPr>
        <w:t>whether the risk sentence provided qualitative or quantitative information;</w:t>
      </w:r>
    </w:p>
    <w:p w:rsidR="005B3C7C" w:rsidRPr="00337C97" w:rsidRDefault="005B3C7C" w:rsidP="005B3C7C">
      <w:pPr>
        <w:pStyle w:val="000"/>
        <w:numPr>
          <w:ilvl w:val="0"/>
          <w:numId w:val="18"/>
        </w:numPr>
        <w:spacing w:line="360" w:lineRule="auto"/>
        <w:jc w:val="both"/>
        <w:rPr>
          <w:rFonts w:asciiTheme="minorHAnsi" w:hAnsiTheme="minorHAnsi"/>
          <w:lang w:val="en-US"/>
        </w:rPr>
      </w:pPr>
      <w:r w:rsidRPr="00337C97">
        <w:rPr>
          <w:rFonts w:asciiTheme="minorHAnsi" w:hAnsiTheme="minorHAnsi"/>
          <w:lang w:val="en-US"/>
        </w:rPr>
        <w:t xml:space="preserve">whether good news, bad news or neutral news was being communicated; and </w:t>
      </w:r>
    </w:p>
    <w:p w:rsidR="005B3C7C" w:rsidRPr="00337C97" w:rsidRDefault="005B3C7C" w:rsidP="005B3C7C">
      <w:pPr>
        <w:pStyle w:val="000"/>
        <w:numPr>
          <w:ilvl w:val="0"/>
          <w:numId w:val="18"/>
        </w:numPr>
        <w:spacing w:line="360" w:lineRule="auto"/>
        <w:jc w:val="both"/>
        <w:rPr>
          <w:rFonts w:asciiTheme="minorHAnsi" w:hAnsiTheme="minorHAnsi"/>
          <w:lang w:val="en-US"/>
        </w:rPr>
      </w:pPr>
      <w:r w:rsidRPr="00337C97">
        <w:rPr>
          <w:rFonts w:asciiTheme="minorHAnsi" w:hAnsiTheme="minorHAnsi"/>
          <w:lang w:val="en-US"/>
        </w:rPr>
        <w:t>whether the information related to the future or the past.</w:t>
      </w:r>
    </w:p>
    <w:p w:rsidR="005B3C7C" w:rsidRPr="00337C97" w:rsidRDefault="005B3C7C" w:rsidP="005B3C7C">
      <w:pPr>
        <w:pStyle w:val="000"/>
        <w:spacing w:line="360" w:lineRule="auto"/>
        <w:jc w:val="both"/>
        <w:rPr>
          <w:rFonts w:asciiTheme="minorHAnsi" w:hAnsiTheme="minorHAnsi"/>
          <w:lang w:val="en-US"/>
        </w:rPr>
      </w:pPr>
      <w:r w:rsidRPr="00337C97">
        <w:rPr>
          <w:rFonts w:asciiTheme="minorHAnsi" w:hAnsiTheme="minorHAnsi"/>
          <w:lang w:val="en-US"/>
        </w:rPr>
        <w:t xml:space="preserve">These attributes gives greater insight in the characteristics </w:t>
      </w:r>
      <w:r w:rsidR="005F5ADB" w:rsidRPr="00337C97">
        <w:rPr>
          <w:rFonts w:asciiTheme="minorHAnsi" w:hAnsiTheme="minorHAnsi"/>
          <w:lang w:val="en-US"/>
        </w:rPr>
        <w:t>an</w:t>
      </w:r>
      <w:r w:rsidR="008A6077" w:rsidRPr="00337C97">
        <w:rPr>
          <w:rFonts w:asciiTheme="minorHAnsi" w:hAnsiTheme="minorHAnsi"/>
          <w:lang w:val="en-US"/>
        </w:rPr>
        <w:t>d are therefore adopted in this study</w:t>
      </w:r>
      <w:r w:rsidR="00567B33" w:rsidRPr="00337C97">
        <w:rPr>
          <w:rFonts w:asciiTheme="minorHAnsi" w:hAnsiTheme="minorHAnsi"/>
          <w:lang w:val="en-US"/>
        </w:rPr>
        <w:t xml:space="preserve">. </w:t>
      </w:r>
      <w:r w:rsidR="005F5ADB" w:rsidRPr="00337C97">
        <w:rPr>
          <w:rFonts w:asciiTheme="minorHAnsi" w:hAnsiTheme="minorHAnsi"/>
          <w:lang w:val="en-US"/>
        </w:rPr>
        <w:t xml:space="preserve">Together with the risk categories and the above defined attributes, a coding grid is created, which can be found in appendix </w:t>
      </w:r>
      <w:r w:rsidR="00745323" w:rsidRPr="00337C97">
        <w:rPr>
          <w:rFonts w:asciiTheme="minorHAnsi" w:hAnsiTheme="minorHAnsi"/>
          <w:lang w:val="en-US"/>
        </w:rPr>
        <w:t>E</w:t>
      </w:r>
      <w:r w:rsidR="005F5ADB" w:rsidRPr="00337C97">
        <w:rPr>
          <w:rFonts w:asciiTheme="minorHAnsi" w:hAnsiTheme="minorHAnsi"/>
          <w:lang w:val="en-US"/>
        </w:rPr>
        <w:t>.</w:t>
      </w:r>
    </w:p>
    <w:p w:rsidR="005B3C7C" w:rsidRPr="00337C97" w:rsidRDefault="005B3C7C" w:rsidP="005B3C7C">
      <w:pPr>
        <w:pStyle w:val="000"/>
        <w:spacing w:line="360" w:lineRule="auto"/>
        <w:jc w:val="both"/>
        <w:rPr>
          <w:rFonts w:asciiTheme="minorHAnsi" w:hAnsiTheme="minorHAnsi"/>
          <w:lang w:val="en-US"/>
        </w:rPr>
      </w:pPr>
    </w:p>
    <w:p w:rsidR="004C342A" w:rsidRPr="00337C97" w:rsidRDefault="005F5ADB" w:rsidP="005F5ADB">
      <w:pPr>
        <w:pStyle w:val="000"/>
        <w:spacing w:line="360" w:lineRule="auto"/>
        <w:jc w:val="both"/>
        <w:rPr>
          <w:rFonts w:asciiTheme="minorHAnsi" w:hAnsiTheme="minorHAnsi"/>
          <w:lang w:val="en-US"/>
        </w:rPr>
      </w:pPr>
      <w:r w:rsidRPr="00337C97">
        <w:rPr>
          <w:rFonts w:asciiTheme="minorHAnsi" w:hAnsiTheme="minorHAnsi"/>
          <w:lang w:val="en-US"/>
        </w:rPr>
        <w:t xml:space="preserve">Step one and step two are important to carry out properly in order to acquire reliable results. Therefore </w:t>
      </w:r>
      <w:r w:rsidRPr="00337C97">
        <w:rPr>
          <w:rFonts w:asciiTheme="minorHAnsi" w:hAnsiTheme="minorHAnsi"/>
          <w:i/>
          <w:lang w:val="en-US"/>
        </w:rPr>
        <w:t xml:space="preserve">coding </w:t>
      </w:r>
      <w:r w:rsidRPr="00337C97">
        <w:rPr>
          <w:rFonts w:asciiTheme="minorHAnsi" w:hAnsiTheme="minorHAnsi"/>
          <w:lang w:val="en-US"/>
        </w:rPr>
        <w:t xml:space="preserve">or </w:t>
      </w:r>
      <w:r w:rsidRPr="00337C97">
        <w:rPr>
          <w:rFonts w:asciiTheme="minorHAnsi" w:hAnsiTheme="minorHAnsi"/>
          <w:i/>
          <w:lang w:val="en-US"/>
        </w:rPr>
        <w:t>decision rules</w:t>
      </w:r>
      <w:r w:rsidRPr="00337C97">
        <w:rPr>
          <w:rFonts w:asciiTheme="minorHAnsi" w:hAnsiTheme="minorHAnsi"/>
          <w:lang w:val="en-US"/>
        </w:rPr>
        <w:t xml:space="preserve"> need to be developed, in order to achieve a consistent coding process and to avoid ambiguous and biased results. Step five was used to revise the decision rules. Initially adopted the same decision rules as used by Linsley et al. (2006), but the author refined and updated these as they were found too inadequate in their description. The set of decision rules can be found in</w:t>
      </w:r>
      <w:r w:rsidR="00D447E6" w:rsidRPr="00337C97">
        <w:rPr>
          <w:rFonts w:asciiTheme="minorHAnsi" w:hAnsiTheme="minorHAnsi"/>
          <w:lang w:val="en-US"/>
        </w:rPr>
        <w:t xml:space="preserve"> appendix F</w:t>
      </w:r>
      <w:r w:rsidRPr="00337C97">
        <w:rPr>
          <w:rFonts w:asciiTheme="minorHAnsi" w:hAnsiTheme="minorHAnsi"/>
          <w:lang w:val="en-US"/>
        </w:rPr>
        <w:t xml:space="preserve">. In short, sentences are coded as risk disclosures if it is considered that the reader is better informed about risks that have already had impact upon the company, or may in the future have an impact upon the company, or if the reader is better informed about risk management within the company. The word “risk” did not have to appear within any given sentence for it to be identified as a risk disclosure sentence. If a sentence had more than one possible classification, the information was classified into the category most emphasized within the sentence. </w:t>
      </w:r>
    </w:p>
    <w:p w:rsidR="004C342A" w:rsidRPr="00337C97" w:rsidRDefault="004C342A" w:rsidP="005F5ADB">
      <w:pPr>
        <w:pStyle w:val="000"/>
        <w:spacing w:line="360" w:lineRule="auto"/>
        <w:jc w:val="both"/>
        <w:rPr>
          <w:rFonts w:asciiTheme="minorHAnsi" w:hAnsiTheme="minorHAnsi"/>
          <w:lang w:val="en-US"/>
        </w:rPr>
      </w:pPr>
    </w:p>
    <w:p w:rsidR="005F5ADB" w:rsidRPr="00337C97" w:rsidRDefault="004C345F" w:rsidP="004C345F">
      <w:pPr>
        <w:pStyle w:val="000"/>
        <w:spacing w:line="360" w:lineRule="auto"/>
        <w:jc w:val="both"/>
        <w:rPr>
          <w:rFonts w:asciiTheme="minorHAnsi" w:hAnsiTheme="minorHAnsi"/>
          <w:lang w:val="en-US"/>
        </w:rPr>
      </w:pPr>
      <w:r w:rsidRPr="00337C97">
        <w:rPr>
          <w:rFonts w:asciiTheme="minorHAnsi" w:hAnsiTheme="minorHAnsi"/>
          <w:lang w:val="en-US"/>
        </w:rPr>
        <w:t xml:space="preserve">As the author is the sole writer on this study, the reliability of the study cannot be improved by using more than one coder. However, the author did the following to improve </w:t>
      </w:r>
      <w:r w:rsidR="005F5ADB" w:rsidRPr="00337C97">
        <w:rPr>
          <w:rFonts w:asciiTheme="minorHAnsi" w:hAnsiTheme="minorHAnsi"/>
          <w:lang w:val="en-US"/>
        </w:rPr>
        <w:t xml:space="preserve">the reliability of </w:t>
      </w:r>
      <w:r w:rsidR="0091057A" w:rsidRPr="00337C97">
        <w:rPr>
          <w:rFonts w:asciiTheme="minorHAnsi" w:hAnsiTheme="minorHAnsi"/>
          <w:lang w:val="en-US"/>
        </w:rPr>
        <w:t>the coding process and to confirm the understanding of the decision rules</w:t>
      </w:r>
      <w:r w:rsidRPr="00337C97">
        <w:rPr>
          <w:rFonts w:asciiTheme="minorHAnsi" w:hAnsiTheme="minorHAnsi"/>
          <w:lang w:val="en-US"/>
        </w:rPr>
        <w:t>. Before the coding of the sample, t</w:t>
      </w:r>
      <w:r w:rsidR="00861509" w:rsidRPr="00337C97">
        <w:rPr>
          <w:rFonts w:asciiTheme="minorHAnsi" w:hAnsiTheme="minorHAnsi"/>
          <w:lang w:val="en-US"/>
        </w:rPr>
        <w:t xml:space="preserve">he </w:t>
      </w:r>
      <w:r w:rsidR="00861509" w:rsidRPr="00337C97">
        <w:rPr>
          <w:rFonts w:asciiTheme="minorHAnsi" w:hAnsiTheme="minorHAnsi"/>
          <w:lang w:val="en-US"/>
        </w:rPr>
        <w:lastRenderedPageBreak/>
        <w:t>2001 annual report</w:t>
      </w:r>
      <w:r w:rsidR="004C342A" w:rsidRPr="00337C97">
        <w:rPr>
          <w:rFonts w:asciiTheme="minorHAnsi" w:hAnsiTheme="minorHAnsi"/>
          <w:lang w:val="en-US"/>
        </w:rPr>
        <w:t>s</w:t>
      </w:r>
      <w:r w:rsidR="00861509" w:rsidRPr="00337C97">
        <w:rPr>
          <w:rFonts w:asciiTheme="minorHAnsi" w:hAnsiTheme="minorHAnsi"/>
          <w:lang w:val="en-US"/>
        </w:rPr>
        <w:t xml:space="preserve"> from Northern Rock plc</w:t>
      </w:r>
      <w:r w:rsidR="004C342A" w:rsidRPr="00337C97">
        <w:rPr>
          <w:rFonts w:asciiTheme="minorHAnsi" w:hAnsiTheme="minorHAnsi"/>
          <w:lang w:val="en-US"/>
        </w:rPr>
        <w:t xml:space="preserve"> and LloydsTSB</w:t>
      </w:r>
      <w:r w:rsidRPr="00337C97">
        <w:rPr>
          <w:rFonts w:asciiTheme="minorHAnsi" w:hAnsiTheme="minorHAnsi"/>
          <w:lang w:val="en-US"/>
        </w:rPr>
        <w:t xml:space="preserve"> were coded</w:t>
      </w:r>
      <w:r w:rsidR="00861509" w:rsidRPr="00337C97">
        <w:rPr>
          <w:rFonts w:asciiTheme="minorHAnsi" w:hAnsiTheme="minorHAnsi"/>
          <w:lang w:val="en-US"/>
        </w:rPr>
        <w:t>. Th</w:t>
      </w:r>
      <w:r w:rsidRPr="00337C97">
        <w:rPr>
          <w:rFonts w:asciiTheme="minorHAnsi" w:hAnsiTheme="minorHAnsi"/>
          <w:lang w:val="en-US"/>
        </w:rPr>
        <w:t>e</w:t>
      </w:r>
      <w:r w:rsidR="00861509" w:rsidRPr="00337C97">
        <w:rPr>
          <w:rFonts w:asciiTheme="minorHAnsi" w:hAnsiTheme="minorHAnsi"/>
          <w:lang w:val="en-US"/>
        </w:rPr>
        <w:t>s</w:t>
      </w:r>
      <w:r w:rsidRPr="00337C97">
        <w:rPr>
          <w:rFonts w:asciiTheme="minorHAnsi" w:hAnsiTheme="minorHAnsi"/>
          <w:lang w:val="en-US"/>
        </w:rPr>
        <w:t>e</w:t>
      </w:r>
      <w:r w:rsidR="00861509" w:rsidRPr="00337C97">
        <w:rPr>
          <w:rFonts w:asciiTheme="minorHAnsi" w:hAnsiTheme="minorHAnsi"/>
          <w:lang w:val="en-US"/>
        </w:rPr>
        <w:t xml:space="preserve"> </w:t>
      </w:r>
      <w:r w:rsidRPr="00337C97">
        <w:rPr>
          <w:rFonts w:asciiTheme="minorHAnsi" w:hAnsiTheme="minorHAnsi"/>
          <w:lang w:val="en-US"/>
        </w:rPr>
        <w:t xml:space="preserve">annual </w:t>
      </w:r>
      <w:r w:rsidR="00861509" w:rsidRPr="00337C97">
        <w:rPr>
          <w:rFonts w:asciiTheme="minorHAnsi" w:hAnsiTheme="minorHAnsi"/>
          <w:lang w:val="en-US"/>
        </w:rPr>
        <w:t>report</w:t>
      </w:r>
      <w:r w:rsidRPr="00337C97">
        <w:rPr>
          <w:rFonts w:asciiTheme="minorHAnsi" w:hAnsiTheme="minorHAnsi"/>
          <w:lang w:val="en-US"/>
        </w:rPr>
        <w:t>s</w:t>
      </w:r>
      <w:r w:rsidR="00861509" w:rsidRPr="00337C97">
        <w:rPr>
          <w:rFonts w:asciiTheme="minorHAnsi" w:hAnsiTheme="minorHAnsi"/>
          <w:lang w:val="en-US"/>
        </w:rPr>
        <w:t xml:space="preserve"> </w:t>
      </w:r>
      <w:r w:rsidRPr="00337C97">
        <w:rPr>
          <w:rFonts w:asciiTheme="minorHAnsi" w:hAnsiTheme="minorHAnsi"/>
          <w:lang w:val="en-US"/>
        </w:rPr>
        <w:t xml:space="preserve">were </w:t>
      </w:r>
      <w:r w:rsidR="00861509" w:rsidRPr="00337C97">
        <w:rPr>
          <w:rFonts w:asciiTheme="minorHAnsi" w:hAnsiTheme="minorHAnsi"/>
          <w:lang w:val="en-US"/>
        </w:rPr>
        <w:t xml:space="preserve">included in the study of Linsley et al. (2006) and they coded </w:t>
      </w:r>
      <w:r w:rsidRPr="00337C97">
        <w:rPr>
          <w:rFonts w:asciiTheme="minorHAnsi" w:hAnsiTheme="minorHAnsi"/>
          <w:lang w:val="en-US"/>
        </w:rPr>
        <w:t xml:space="preserve">respectively </w:t>
      </w:r>
      <w:r w:rsidR="0091057A" w:rsidRPr="00337C97">
        <w:rPr>
          <w:rFonts w:asciiTheme="minorHAnsi" w:hAnsiTheme="minorHAnsi"/>
          <w:lang w:val="en-US"/>
        </w:rPr>
        <w:t>77</w:t>
      </w:r>
      <w:r w:rsidR="00861509" w:rsidRPr="00337C97">
        <w:rPr>
          <w:rFonts w:asciiTheme="minorHAnsi" w:hAnsiTheme="minorHAnsi"/>
          <w:lang w:val="en-US"/>
        </w:rPr>
        <w:t xml:space="preserve"> </w:t>
      </w:r>
      <w:r w:rsidRPr="00337C97">
        <w:rPr>
          <w:rFonts w:asciiTheme="minorHAnsi" w:hAnsiTheme="minorHAnsi"/>
          <w:lang w:val="en-US"/>
        </w:rPr>
        <w:t xml:space="preserve">and 181 </w:t>
      </w:r>
      <w:r w:rsidR="00861509" w:rsidRPr="00337C97">
        <w:rPr>
          <w:rFonts w:asciiTheme="minorHAnsi" w:hAnsiTheme="minorHAnsi"/>
          <w:lang w:val="en-US"/>
        </w:rPr>
        <w:t>risk disclosure sentences</w:t>
      </w:r>
      <w:r w:rsidRPr="00337C97">
        <w:rPr>
          <w:rFonts w:asciiTheme="minorHAnsi" w:hAnsiTheme="minorHAnsi"/>
          <w:lang w:val="en-US"/>
        </w:rPr>
        <w:t>. The author found respectively 8</w:t>
      </w:r>
      <w:r w:rsidR="002A4F17" w:rsidRPr="00337C97">
        <w:rPr>
          <w:rFonts w:asciiTheme="minorHAnsi" w:hAnsiTheme="minorHAnsi"/>
          <w:lang w:val="en-US"/>
        </w:rPr>
        <w:t>1</w:t>
      </w:r>
      <w:r w:rsidRPr="00337C97">
        <w:rPr>
          <w:rFonts w:asciiTheme="minorHAnsi" w:hAnsiTheme="minorHAnsi"/>
          <w:lang w:val="en-US"/>
        </w:rPr>
        <w:t xml:space="preserve"> and 1</w:t>
      </w:r>
      <w:r w:rsidR="002A4F17" w:rsidRPr="00337C97">
        <w:rPr>
          <w:rFonts w:asciiTheme="minorHAnsi" w:hAnsiTheme="minorHAnsi"/>
          <w:lang w:val="en-US"/>
        </w:rPr>
        <w:t>89</w:t>
      </w:r>
      <w:r w:rsidRPr="00337C97">
        <w:rPr>
          <w:rFonts w:asciiTheme="minorHAnsi" w:hAnsiTheme="minorHAnsi"/>
          <w:lang w:val="en-US"/>
        </w:rPr>
        <w:t xml:space="preserve"> risk disclosure sentences</w:t>
      </w:r>
      <w:r w:rsidR="002A4F17" w:rsidRPr="00337C97">
        <w:rPr>
          <w:rFonts w:asciiTheme="minorHAnsi" w:hAnsiTheme="minorHAnsi"/>
          <w:lang w:val="en-US"/>
        </w:rPr>
        <w:t>, resulting in a &lt;5% deviation from the results of Linsley et al. (2006), supporting the notion that the author</w:t>
      </w:r>
      <w:r w:rsidR="00BE18E9" w:rsidRPr="00337C97">
        <w:rPr>
          <w:rFonts w:asciiTheme="minorHAnsi" w:hAnsiTheme="minorHAnsi"/>
          <w:lang w:val="en-US"/>
        </w:rPr>
        <w:t xml:space="preserve"> has mastered the coding process sufficiently.</w:t>
      </w:r>
    </w:p>
    <w:p w:rsidR="00DD1520" w:rsidRPr="00337C97" w:rsidRDefault="00DD1520" w:rsidP="0034068C">
      <w:pPr>
        <w:pStyle w:val="000"/>
        <w:spacing w:line="360" w:lineRule="auto"/>
        <w:jc w:val="both"/>
        <w:rPr>
          <w:rFonts w:asciiTheme="minorHAnsi" w:hAnsiTheme="minorHAnsi"/>
          <w:lang w:val="en-US"/>
        </w:rPr>
      </w:pPr>
    </w:p>
    <w:p w:rsidR="00BC4141" w:rsidRPr="00337C97" w:rsidRDefault="0034068C" w:rsidP="00BC4141">
      <w:pPr>
        <w:pStyle w:val="000"/>
        <w:spacing w:line="360" w:lineRule="auto"/>
        <w:jc w:val="both"/>
        <w:rPr>
          <w:rFonts w:asciiTheme="minorHAnsi" w:hAnsiTheme="minorHAnsi"/>
          <w:lang w:val="en-US"/>
        </w:rPr>
      </w:pPr>
      <w:r w:rsidRPr="00337C97">
        <w:rPr>
          <w:rFonts w:asciiTheme="minorHAnsi" w:hAnsiTheme="minorHAnsi"/>
          <w:lang w:val="en-US"/>
        </w:rPr>
        <w:t xml:space="preserve">Using </w:t>
      </w:r>
      <w:r w:rsidR="005F5ADB" w:rsidRPr="00337C97">
        <w:rPr>
          <w:rFonts w:asciiTheme="minorHAnsi" w:hAnsiTheme="minorHAnsi"/>
          <w:lang w:val="en-US"/>
        </w:rPr>
        <w:t xml:space="preserve">the developed </w:t>
      </w:r>
      <w:r w:rsidRPr="00337C97">
        <w:rPr>
          <w:rFonts w:asciiTheme="minorHAnsi" w:hAnsiTheme="minorHAnsi"/>
          <w:lang w:val="en-US"/>
        </w:rPr>
        <w:t>coding grid</w:t>
      </w:r>
      <w:r w:rsidR="005F5ADB" w:rsidRPr="00337C97">
        <w:rPr>
          <w:rFonts w:asciiTheme="minorHAnsi" w:hAnsiTheme="minorHAnsi"/>
          <w:lang w:val="en-US"/>
        </w:rPr>
        <w:t xml:space="preserve"> and decision rules</w:t>
      </w:r>
      <w:r w:rsidRPr="00337C97">
        <w:rPr>
          <w:rFonts w:asciiTheme="minorHAnsi" w:hAnsiTheme="minorHAnsi"/>
          <w:lang w:val="en-US"/>
        </w:rPr>
        <w:t>, the author read each annual report and identified all sentences providing risk or risk management information and coded each individual risk-related sentence on this coding grid. T</w:t>
      </w:r>
      <w:r w:rsidR="005F5ADB" w:rsidRPr="00337C97">
        <w:rPr>
          <w:rFonts w:asciiTheme="minorHAnsi" w:hAnsiTheme="minorHAnsi"/>
          <w:lang w:val="en-US"/>
        </w:rPr>
        <w:t>he results c</w:t>
      </w:r>
      <w:r w:rsidR="00D24FAF" w:rsidRPr="00337C97">
        <w:rPr>
          <w:rFonts w:asciiTheme="minorHAnsi" w:hAnsiTheme="minorHAnsi"/>
          <w:lang w:val="en-US"/>
        </w:rPr>
        <w:t xml:space="preserve">an be found in paragraph 6.2. </w:t>
      </w:r>
      <w:r w:rsidR="00BC4141" w:rsidRPr="00337C97">
        <w:rPr>
          <w:rFonts w:asciiTheme="minorHAnsi" w:hAnsiTheme="minorHAnsi"/>
          <w:lang w:val="en-US"/>
        </w:rPr>
        <w:t xml:space="preserve">Appendix </w:t>
      </w:r>
      <w:r w:rsidR="00FE1223" w:rsidRPr="00337C97">
        <w:rPr>
          <w:rFonts w:asciiTheme="minorHAnsi" w:hAnsiTheme="minorHAnsi"/>
          <w:lang w:val="en-US"/>
        </w:rPr>
        <w:t>G</w:t>
      </w:r>
      <w:r w:rsidR="00BC4141" w:rsidRPr="00337C97">
        <w:rPr>
          <w:rFonts w:asciiTheme="minorHAnsi" w:hAnsiTheme="minorHAnsi"/>
          <w:lang w:val="en-US"/>
        </w:rPr>
        <w:t xml:space="preserve"> provides examples of risk sentences within the annual report and their categorization.</w:t>
      </w:r>
    </w:p>
    <w:p w:rsidR="003A626C" w:rsidRPr="00337C97" w:rsidRDefault="003A626C" w:rsidP="00366AF3">
      <w:pPr>
        <w:pStyle w:val="000"/>
        <w:spacing w:line="360" w:lineRule="auto"/>
        <w:jc w:val="both"/>
        <w:rPr>
          <w:rFonts w:asciiTheme="minorHAnsi" w:hAnsiTheme="minorHAnsi"/>
          <w:lang w:val="en-US"/>
        </w:rPr>
      </w:pPr>
    </w:p>
    <w:p w:rsidR="00785D3A" w:rsidRPr="00337C97" w:rsidRDefault="00785D3A" w:rsidP="007C4013">
      <w:pPr>
        <w:pStyle w:val="000"/>
        <w:spacing w:line="360" w:lineRule="auto"/>
        <w:jc w:val="both"/>
        <w:outlineLvl w:val="1"/>
        <w:rPr>
          <w:rFonts w:asciiTheme="minorHAnsi" w:hAnsiTheme="minorHAnsi"/>
          <w:b/>
          <w:lang w:val="en-US"/>
        </w:rPr>
      </w:pPr>
      <w:bookmarkStart w:id="264" w:name="_Toc245187909"/>
      <w:bookmarkStart w:id="265" w:name="_Toc269658955"/>
      <w:r w:rsidRPr="00337C97">
        <w:rPr>
          <w:rFonts w:asciiTheme="minorHAnsi" w:hAnsiTheme="minorHAnsi"/>
          <w:b/>
          <w:lang w:val="en-US"/>
        </w:rPr>
        <w:t>5.</w:t>
      </w:r>
      <w:r w:rsidR="00AA3252" w:rsidRPr="00337C97">
        <w:rPr>
          <w:rFonts w:asciiTheme="minorHAnsi" w:hAnsiTheme="minorHAnsi"/>
          <w:b/>
          <w:lang w:val="en-US"/>
        </w:rPr>
        <w:t>4</w:t>
      </w:r>
      <w:r w:rsidRPr="00337C97">
        <w:rPr>
          <w:rFonts w:asciiTheme="minorHAnsi" w:hAnsiTheme="minorHAnsi"/>
          <w:b/>
          <w:lang w:val="en-US"/>
        </w:rPr>
        <w:tab/>
        <w:t>Hypotheses</w:t>
      </w:r>
      <w:r w:rsidR="00460D57" w:rsidRPr="00337C97">
        <w:rPr>
          <w:rFonts w:asciiTheme="minorHAnsi" w:hAnsiTheme="minorHAnsi"/>
          <w:b/>
          <w:lang w:val="en-US"/>
        </w:rPr>
        <w:t xml:space="preserve"> development</w:t>
      </w:r>
      <w:bookmarkEnd w:id="264"/>
      <w:bookmarkEnd w:id="265"/>
    </w:p>
    <w:p w:rsidR="00E637D9" w:rsidRPr="00337C97" w:rsidRDefault="00460D57" w:rsidP="00785D3A">
      <w:pPr>
        <w:pStyle w:val="000"/>
        <w:spacing w:line="360" w:lineRule="auto"/>
        <w:jc w:val="both"/>
        <w:rPr>
          <w:rFonts w:asciiTheme="minorHAnsi" w:hAnsiTheme="minorHAnsi"/>
          <w:lang w:val="en-US"/>
        </w:rPr>
      </w:pPr>
      <w:r w:rsidRPr="00337C97">
        <w:rPr>
          <w:rFonts w:asciiTheme="minorHAnsi" w:hAnsiTheme="minorHAnsi"/>
          <w:lang w:val="en-US"/>
        </w:rPr>
        <w:t xml:space="preserve">In this paragraph hypotheses are developed using prior research described in the previous chapter. Firm-specific characteristics that are expected to influence risk disclosure levels are identified and a prediction about the sign of the relationship is given. </w:t>
      </w:r>
    </w:p>
    <w:p w:rsidR="00460D57" w:rsidRPr="00337C97" w:rsidRDefault="00460D57" w:rsidP="00785D3A">
      <w:pPr>
        <w:pStyle w:val="000"/>
        <w:spacing w:line="360" w:lineRule="auto"/>
        <w:jc w:val="both"/>
        <w:rPr>
          <w:rFonts w:asciiTheme="minorHAnsi" w:hAnsiTheme="minorHAnsi"/>
          <w:lang w:val="en-US"/>
        </w:rPr>
      </w:pPr>
    </w:p>
    <w:p w:rsidR="001C01D3" w:rsidRPr="00337C97" w:rsidRDefault="001C01D3" w:rsidP="007C4013">
      <w:pPr>
        <w:pStyle w:val="000"/>
        <w:spacing w:line="360" w:lineRule="auto"/>
        <w:jc w:val="both"/>
        <w:outlineLvl w:val="2"/>
        <w:rPr>
          <w:rFonts w:asciiTheme="minorHAnsi" w:hAnsiTheme="minorHAnsi"/>
          <w:i/>
          <w:lang w:val="en-US"/>
        </w:rPr>
      </w:pPr>
      <w:bookmarkStart w:id="266" w:name="_Toc245187910"/>
      <w:bookmarkStart w:id="267" w:name="_Toc269658956"/>
      <w:r w:rsidRPr="00337C97">
        <w:rPr>
          <w:rFonts w:asciiTheme="minorHAnsi" w:hAnsiTheme="minorHAnsi"/>
          <w:i/>
          <w:lang w:val="en-US"/>
        </w:rPr>
        <w:t>5.</w:t>
      </w:r>
      <w:r w:rsidR="00AA3252" w:rsidRPr="00337C97">
        <w:rPr>
          <w:rFonts w:asciiTheme="minorHAnsi" w:hAnsiTheme="minorHAnsi"/>
          <w:i/>
          <w:lang w:val="en-US"/>
        </w:rPr>
        <w:t>4</w:t>
      </w:r>
      <w:r w:rsidRPr="00337C97">
        <w:rPr>
          <w:rFonts w:asciiTheme="minorHAnsi" w:hAnsiTheme="minorHAnsi"/>
          <w:i/>
          <w:lang w:val="en-US"/>
        </w:rPr>
        <w:t>.1</w:t>
      </w:r>
      <w:r w:rsidRPr="00337C97">
        <w:rPr>
          <w:rFonts w:asciiTheme="minorHAnsi" w:hAnsiTheme="minorHAnsi"/>
          <w:i/>
          <w:lang w:val="en-US"/>
        </w:rPr>
        <w:tab/>
        <w:t>Size</w:t>
      </w:r>
      <w:bookmarkEnd w:id="266"/>
      <w:bookmarkEnd w:id="267"/>
    </w:p>
    <w:p w:rsidR="00E637D9" w:rsidRPr="00337C97" w:rsidRDefault="00E637D9" w:rsidP="00785D3A">
      <w:pPr>
        <w:pStyle w:val="000"/>
        <w:spacing w:line="360" w:lineRule="auto"/>
        <w:jc w:val="both"/>
        <w:rPr>
          <w:rFonts w:asciiTheme="minorHAnsi" w:hAnsiTheme="minorHAnsi"/>
          <w:lang w:val="en-US"/>
        </w:rPr>
      </w:pPr>
      <w:r w:rsidRPr="00337C97">
        <w:rPr>
          <w:rFonts w:asciiTheme="minorHAnsi" w:hAnsiTheme="minorHAnsi"/>
          <w:lang w:val="en-US"/>
        </w:rPr>
        <w:t>Many studies have managed to prove an association between company size and ris</w:t>
      </w:r>
      <w:r w:rsidR="00BA4612" w:rsidRPr="00337C97">
        <w:rPr>
          <w:rFonts w:asciiTheme="minorHAnsi" w:hAnsiTheme="minorHAnsi"/>
          <w:lang w:val="en-US"/>
        </w:rPr>
        <w:t xml:space="preserve">k disclosure level (Beretta and Bozzolan, 2004; </w:t>
      </w:r>
      <w:r w:rsidR="00E7205C" w:rsidRPr="00337C97">
        <w:rPr>
          <w:rFonts w:asciiTheme="minorHAnsi" w:hAnsiTheme="minorHAnsi"/>
          <w:lang w:val="en-US"/>
        </w:rPr>
        <w:t xml:space="preserve">Linsley and Shrives, 2005b, </w:t>
      </w:r>
      <w:r w:rsidR="007C4978" w:rsidRPr="00337C97">
        <w:rPr>
          <w:rFonts w:asciiTheme="minorHAnsi" w:hAnsiTheme="minorHAnsi"/>
          <w:lang w:val="en-US"/>
        </w:rPr>
        <w:t xml:space="preserve">Linsley et al., 2006; </w:t>
      </w:r>
      <w:r w:rsidR="0087353B" w:rsidRPr="00337C97">
        <w:rPr>
          <w:rFonts w:asciiTheme="minorHAnsi" w:hAnsiTheme="minorHAnsi"/>
          <w:lang w:val="en-US"/>
        </w:rPr>
        <w:t xml:space="preserve">Abraham and Cox, 2007; </w:t>
      </w:r>
      <w:r w:rsidR="007C4978" w:rsidRPr="00337C97">
        <w:rPr>
          <w:rFonts w:asciiTheme="minorHAnsi" w:hAnsiTheme="minorHAnsi"/>
          <w:lang w:val="en-US"/>
        </w:rPr>
        <w:t xml:space="preserve">Hossain, 2008; </w:t>
      </w:r>
      <w:r w:rsidR="00E7205C" w:rsidRPr="00337C97">
        <w:rPr>
          <w:rFonts w:asciiTheme="minorHAnsi" w:hAnsiTheme="minorHAnsi"/>
          <w:lang w:val="en-US"/>
        </w:rPr>
        <w:t>Amran et al., 2009 and Michiels et al., 2009</w:t>
      </w:r>
      <w:r w:rsidRPr="00337C97">
        <w:rPr>
          <w:rFonts w:asciiTheme="minorHAnsi" w:hAnsiTheme="minorHAnsi"/>
          <w:lang w:val="en-US"/>
        </w:rPr>
        <w:t xml:space="preserve">). </w:t>
      </w:r>
      <w:r w:rsidR="00E7205C" w:rsidRPr="00337C97">
        <w:rPr>
          <w:rFonts w:asciiTheme="minorHAnsi" w:hAnsiTheme="minorHAnsi"/>
          <w:lang w:val="en-US"/>
        </w:rPr>
        <w:t xml:space="preserve">Lajili and Zeghal (2005) and </w:t>
      </w:r>
      <w:r w:rsidRPr="00337C97">
        <w:rPr>
          <w:rFonts w:asciiTheme="minorHAnsi" w:hAnsiTheme="minorHAnsi"/>
          <w:lang w:val="en-US"/>
        </w:rPr>
        <w:t>Hassan (2008) reported however a non-significant relationship between the two variabl</w:t>
      </w:r>
      <w:r w:rsidR="001C01D3" w:rsidRPr="00337C97">
        <w:rPr>
          <w:rFonts w:asciiTheme="minorHAnsi" w:hAnsiTheme="minorHAnsi"/>
          <w:lang w:val="en-US"/>
        </w:rPr>
        <w:t xml:space="preserve">es in </w:t>
      </w:r>
      <w:r w:rsidR="00E7205C" w:rsidRPr="00337C97">
        <w:rPr>
          <w:rFonts w:asciiTheme="minorHAnsi" w:hAnsiTheme="minorHAnsi"/>
          <w:lang w:val="en-US"/>
        </w:rPr>
        <w:t>their</w:t>
      </w:r>
      <w:r w:rsidR="001C01D3" w:rsidRPr="00337C97">
        <w:rPr>
          <w:rFonts w:asciiTheme="minorHAnsi" w:hAnsiTheme="minorHAnsi"/>
          <w:lang w:val="en-US"/>
        </w:rPr>
        <w:t xml:space="preserve"> study. Size is furthermore included in almost every disclosure study, either as a variable of interest or as a control variable. As banks become </w:t>
      </w:r>
      <w:r w:rsidR="00E7205C" w:rsidRPr="00337C97">
        <w:rPr>
          <w:rFonts w:asciiTheme="minorHAnsi" w:hAnsiTheme="minorHAnsi"/>
          <w:lang w:val="en-US"/>
        </w:rPr>
        <w:t>larger</w:t>
      </w:r>
      <w:r w:rsidR="001C01D3" w:rsidRPr="00337C97">
        <w:rPr>
          <w:rFonts w:asciiTheme="minorHAnsi" w:hAnsiTheme="minorHAnsi"/>
          <w:lang w:val="en-US"/>
        </w:rPr>
        <w:t>, the number of stakeholders involved will also increase. To meet the information needs of a larger group of stakeholders the bank’s burden of disclosure becomes heavier. Therefore, the following hypothesis is developed:</w:t>
      </w:r>
    </w:p>
    <w:p w:rsidR="00E637D9" w:rsidRPr="00337C97" w:rsidRDefault="00E637D9" w:rsidP="00785D3A">
      <w:pPr>
        <w:pStyle w:val="000"/>
        <w:spacing w:line="360" w:lineRule="auto"/>
        <w:jc w:val="both"/>
        <w:rPr>
          <w:rFonts w:asciiTheme="minorHAnsi" w:hAnsiTheme="minorHAnsi"/>
          <w:lang w:val="en-US"/>
        </w:rPr>
      </w:pPr>
    </w:p>
    <w:p w:rsidR="00E637D9" w:rsidRPr="00337C97" w:rsidRDefault="00E637D9" w:rsidP="00E623A1">
      <w:pPr>
        <w:pStyle w:val="000"/>
        <w:spacing w:line="360" w:lineRule="auto"/>
        <w:ind w:left="720"/>
        <w:jc w:val="both"/>
        <w:rPr>
          <w:rFonts w:asciiTheme="minorHAnsi" w:hAnsiTheme="minorHAnsi"/>
          <w:i/>
          <w:lang w:val="en-US"/>
        </w:rPr>
      </w:pPr>
      <w:r w:rsidRPr="00337C97">
        <w:rPr>
          <w:rFonts w:asciiTheme="minorHAnsi" w:hAnsiTheme="minorHAnsi"/>
          <w:i/>
          <w:lang w:val="en-US"/>
        </w:rPr>
        <w:t>H</w:t>
      </w:r>
      <w:r w:rsidR="00785D3A" w:rsidRPr="00337C97">
        <w:rPr>
          <w:rFonts w:asciiTheme="minorHAnsi" w:hAnsiTheme="minorHAnsi"/>
          <w:i/>
          <w:lang w:val="en-US"/>
        </w:rPr>
        <w:t>1:</w:t>
      </w:r>
      <w:r w:rsidR="001C01D3" w:rsidRPr="00337C97">
        <w:rPr>
          <w:rFonts w:asciiTheme="minorHAnsi" w:hAnsiTheme="minorHAnsi"/>
          <w:i/>
          <w:lang w:val="en-US"/>
        </w:rPr>
        <w:t xml:space="preserve"> </w:t>
      </w:r>
      <w:r w:rsidR="00E623A1" w:rsidRPr="00337C97">
        <w:rPr>
          <w:rFonts w:asciiTheme="minorHAnsi" w:hAnsiTheme="minorHAnsi"/>
          <w:i/>
          <w:lang w:val="en-US"/>
        </w:rPr>
        <w:t>Ceteris paribus, t</w:t>
      </w:r>
      <w:r w:rsidR="001C01D3" w:rsidRPr="00337C97">
        <w:rPr>
          <w:rFonts w:asciiTheme="minorHAnsi" w:hAnsiTheme="minorHAnsi"/>
          <w:i/>
          <w:lang w:val="en-US"/>
        </w:rPr>
        <w:t>here is a positive relationship between</w:t>
      </w:r>
      <w:r w:rsidR="00E623A1" w:rsidRPr="00337C97">
        <w:rPr>
          <w:rFonts w:asciiTheme="minorHAnsi" w:hAnsiTheme="minorHAnsi"/>
          <w:i/>
          <w:lang w:val="en-US"/>
        </w:rPr>
        <w:t xml:space="preserve"> the size of the </w:t>
      </w:r>
      <w:r w:rsidR="001C01D3" w:rsidRPr="00337C97">
        <w:rPr>
          <w:rFonts w:asciiTheme="minorHAnsi" w:hAnsiTheme="minorHAnsi"/>
          <w:i/>
          <w:lang w:val="en-US"/>
        </w:rPr>
        <w:t xml:space="preserve">bank and the </w:t>
      </w:r>
      <w:r w:rsidR="00E623A1" w:rsidRPr="00337C97">
        <w:rPr>
          <w:rFonts w:asciiTheme="minorHAnsi" w:hAnsiTheme="minorHAnsi"/>
          <w:i/>
          <w:lang w:val="en-US"/>
        </w:rPr>
        <w:t>extent</w:t>
      </w:r>
      <w:r w:rsidR="001C01D3" w:rsidRPr="00337C97">
        <w:rPr>
          <w:rFonts w:asciiTheme="minorHAnsi" w:hAnsiTheme="minorHAnsi"/>
          <w:i/>
          <w:lang w:val="en-US"/>
        </w:rPr>
        <w:t xml:space="preserve"> of risk disclosure.</w:t>
      </w:r>
    </w:p>
    <w:p w:rsidR="00E623A1" w:rsidRPr="00337C97" w:rsidRDefault="00E623A1" w:rsidP="00785D3A">
      <w:pPr>
        <w:pStyle w:val="000"/>
        <w:spacing w:line="360" w:lineRule="auto"/>
        <w:jc w:val="both"/>
        <w:rPr>
          <w:rFonts w:asciiTheme="minorHAnsi" w:hAnsiTheme="minorHAnsi"/>
          <w:lang w:val="en-US"/>
        </w:rPr>
      </w:pPr>
    </w:p>
    <w:p w:rsidR="00E623A1" w:rsidRPr="00337C97" w:rsidRDefault="00C11E2A" w:rsidP="007C4013">
      <w:pPr>
        <w:pStyle w:val="000"/>
        <w:spacing w:line="360" w:lineRule="auto"/>
        <w:jc w:val="both"/>
        <w:outlineLvl w:val="2"/>
        <w:rPr>
          <w:rFonts w:asciiTheme="minorHAnsi" w:hAnsiTheme="minorHAnsi"/>
          <w:i/>
          <w:lang w:val="en-US"/>
        </w:rPr>
      </w:pPr>
      <w:bookmarkStart w:id="268" w:name="_Toc245187911"/>
      <w:bookmarkStart w:id="269" w:name="_Toc269658957"/>
      <w:r w:rsidRPr="00337C97">
        <w:rPr>
          <w:rFonts w:asciiTheme="minorHAnsi" w:hAnsiTheme="minorHAnsi"/>
          <w:i/>
          <w:lang w:val="en-US"/>
        </w:rPr>
        <w:t>5.</w:t>
      </w:r>
      <w:r w:rsidR="00AA3252" w:rsidRPr="00337C97">
        <w:rPr>
          <w:rFonts w:asciiTheme="minorHAnsi" w:hAnsiTheme="minorHAnsi"/>
          <w:i/>
          <w:lang w:val="en-US"/>
        </w:rPr>
        <w:t>4</w:t>
      </w:r>
      <w:r w:rsidRPr="00337C97">
        <w:rPr>
          <w:rFonts w:asciiTheme="minorHAnsi" w:hAnsiTheme="minorHAnsi"/>
          <w:i/>
          <w:lang w:val="en-US"/>
        </w:rPr>
        <w:t>.2</w:t>
      </w:r>
      <w:r w:rsidR="00E623A1" w:rsidRPr="00337C97">
        <w:rPr>
          <w:rFonts w:asciiTheme="minorHAnsi" w:hAnsiTheme="minorHAnsi"/>
          <w:i/>
          <w:lang w:val="en-US"/>
        </w:rPr>
        <w:tab/>
        <w:t>Profitability</w:t>
      </w:r>
      <w:bookmarkEnd w:id="268"/>
      <w:bookmarkEnd w:id="269"/>
    </w:p>
    <w:p w:rsidR="005853B2" w:rsidRPr="00337C97" w:rsidRDefault="00E623A1" w:rsidP="00785D3A">
      <w:pPr>
        <w:pStyle w:val="000"/>
        <w:spacing w:line="360" w:lineRule="auto"/>
        <w:jc w:val="both"/>
        <w:rPr>
          <w:rFonts w:asciiTheme="minorHAnsi" w:hAnsiTheme="minorHAnsi"/>
          <w:lang w:val="en-US"/>
        </w:rPr>
      </w:pPr>
      <w:r w:rsidRPr="00337C97">
        <w:rPr>
          <w:rFonts w:asciiTheme="minorHAnsi" w:hAnsiTheme="minorHAnsi"/>
          <w:lang w:val="en-US"/>
        </w:rPr>
        <w:t>Prior (risk) disclosure studies shows mixed results when testing for an association between the company’s profitability and its disclosure level</w:t>
      </w:r>
      <w:r w:rsidR="005853B2" w:rsidRPr="00337C97">
        <w:rPr>
          <w:rFonts w:asciiTheme="minorHAnsi" w:hAnsiTheme="minorHAnsi"/>
          <w:lang w:val="en-US"/>
        </w:rPr>
        <w:t xml:space="preserve">. No association is found by Linsley et al. (2006) and Lajili and Zeghal (2005). Hossain (2008) </w:t>
      </w:r>
      <w:r w:rsidR="00F54051" w:rsidRPr="00337C97">
        <w:rPr>
          <w:rFonts w:asciiTheme="minorHAnsi" w:hAnsiTheme="minorHAnsi"/>
          <w:lang w:val="en-US"/>
        </w:rPr>
        <w:t>found</w:t>
      </w:r>
      <w:r w:rsidR="005853B2" w:rsidRPr="00337C97">
        <w:rPr>
          <w:rFonts w:asciiTheme="minorHAnsi" w:hAnsiTheme="minorHAnsi"/>
          <w:lang w:val="en-US"/>
        </w:rPr>
        <w:t xml:space="preserve"> a positive association within banks</w:t>
      </w:r>
      <w:r w:rsidR="00F54051" w:rsidRPr="00337C97">
        <w:rPr>
          <w:rFonts w:asciiTheme="minorHAnsi" w:hAnsiTheme="minorHAnsi"/>
          <w:lang w:val="en-US"/>
        </w:rPr>
        <w:t xml:space="preserve"> but</w:t>
      </w:r>
      <w:r w:rsidR="00910902" w:rsidRPr="00337C97">
        <w:rPr>
          <w:rFonts w:asciiTheme="minorHAnsi" w:hAnsiTheme="minorHAnsi"/>
          <w:lang w:val="en-US"/>
        </w:rPr>
        <w:t xml:space="preserve"> </w:t>
      </w:r>
      <w:r w:rsidR="00F54051" w:rsidRPr="00337C97">
        <w:rPr>
          <w:rFonts w:asciiTheme="minorHAnsi" w:hAnsiTheme="minorHAnsi"/>
          <w:lang w:val="en-US"/>
        </w:rPr>
        <w:t xml:space="preserve">Helbok and Wagner (2003) found a negative association. This is also found by </w:t>
      </w:r>
      <w:r w:rsidR="00910902" w:rsidRPr="00337C97">
        <w:rPr>
          <w:rFonts w:asciiTheme="minorHAnsi" w:hAnsiTheme="minorHAnsi"/>
          <w:lang w:val="en-US"/>
        </w:rPr>
        <w:t xml:space="preserve">Michiels et al. (2009) within nonfinancial companies. </w:t>
      </w:r>
      <w:r w:rsidRPr="00337C97">
        <w:rPr>
          <w:rFonts w:asciiTheme="minorHAnsi" w:hAnsiTheme="minorHAnsi"/>
          <w:lang w:val="en-US"/>
        </w:rPr>
        <w:t>According to Linsley et al. (200</w:t>
      </w:r>
      <w:r w:rsidR="005853B2" w:rsidRPr="00337C97">
        <w:rPr>
          <w:rFonts w:asciiTheme="minorHAnsi" w:hAnsiTheme="minorHAnsi"/>
          <w:lang w:val="en-US"/>
        </w:rPr>
        <w:t xml:space="preserve">6) it could be argued that those banks that </w:t>
      </w:r>
      <w:r w:rsidR="005853B2" w:rsidRPr="00337C97">
        <w:rPr>
          <w:rFonts w:asciiTheme="minorHAnsi" w:hAnsiTheme="minorHAnsi"/>
          <w:lang w:val="en-US"/>
        </w:rPr>
        <w:lastRenderedPageBreak/>
        <w:t xml:space="preserve">are better at risk management will have higher levels of (relative) profitability and that they want to signal their superior risk management abilities to the market place via disclosures in the annual report. This potential link will be tested for in this study and therefore the </w:t>
      </w:r>
      <w:r w:rsidR="00C11E2A" w:rsidRPr="00337C97">
        <w:rPr>
          <w:rFonts w:asciiTheme="minorHAnsi" w:hAnsiTheme="minorHAnsi"/>
          <w:lang w:val="en-US"/>
        </w:rPr>
        <w:t>second</w:t>
      </w:r>
      <w:r w:rsidR="005853B2" w:rsidRPr="00337C97">
        <w:rPr>
          <w:rFonts w:asciiTheme="minorHAnsi" w:hAnsiTheme="minorHAnsi"/>
          <w:lang w:val="en-US"/>
        </w:rPr>
        <w:t xml:space="preserve"> hypothesis is:</w:t>
      </w:r>
    </w:p>
    <w:p w:rsidR="00E637D9" w:rsidRPr="00337C97" w:rsidRDefault="005853B2" w:rsidP="00785D3A">
      <w:pPr>
        <w:pStyle w:val="000"/>
        <w:spacing w:line="360" w:lineRule="auto"/>
        <w:jc w:val="both"/>
        <w:rPr>
          <w:rFonts w:asciiTheme="minorHAnsi" w:hAnsiTheme="minorHAnsi"/>
          <w:lang w:val="en-US"/>
        </w:rPr>
      </w:pPr>
      <w:r w:rsidRPr="00337C97">
        <w:rPr>
          <w:rFonts w:asciiTheme="minorHAnsi" w:hAnsiTheme="minorHAnsi"/>
          <w:lang w:val="en-US"/>
        </w:rPr>
        <w:t xml:space="preserve"> </w:t>
      </w:r>
    </w:p>
    <w:p w:rsidR="005853B2" w:rsidRPr="00337C97" w:rsidRDefault="00C11E2A" w:rsidP="005853B2">
      <w:pPr>
        <w:pStyle w:val="000"/>
        <w:spacing w:line="360" w:lineRule="auto"/>
        <w:ind w:left="720"/>
        <w:jc w:val="both"/>
        <w:rPr>
          <w:rFonts w:asciiTheme="minorHAnsi" w:hAnsiTheme="minorHAnsi"/>
          <w:i/>
          <w:lang w:val="en-US"/>
        </w:rPr>
      </w:pPr>
      <w:r w:rsidRPr="00337C97">
        <w:rPr>
          <w:rFonts w:asciiTheme="minorHAnsi" w:hAnsiTheme="minorHAnsi"/>
          <w:i/>
          <w:lang w:val="en-US"/>
        </w:rPr>
        <w:t>H2</w:t>
      </w:r>
      <w:r w:rsidR="005853B2" w:rsidRPr="00337C97">
        <w:rPr>
          <w:rFonts w:asciiTheme="minorHAnsi" w:hAnsiTheme="minorHAnsi"/>
          <w:i/>
          <w:lang w:val="en-US"/>
        </w:rPr>
        <w:t>: Ceteris paribus, there is a positive relationship between the relative profitability of the bank and the extent of risk disclosure.</w:t>
      </w:r>
    </w:p>
    <w:p w:rsidR="005853B2" w:rsidRPr="00337C97" w:rsidRDefault="005853B2" w:rsidP="00785D3A">
      <w:pPr>
        <w:pStyle w:val="000"/>
        <w:spacing w:line="360" w:lineRule="auto"/>
        <w:jc w:val="both"/>
        <w:rPr>
          <w:rFonts w:asciiTheme="minorHAnsi" w:hAnsiTheme="minorHAnsi"/>
          <w:lang w:val="en-US"/>
        </w:rPr>
      </w:pPr>
    </w:p>
    <w:p w:rsidR="005853B2" w:rsidRPr="00337C97" w:rsidRDefault="00C11E2A" w:rsidP="007C4013">
      <w:pPr>
        <w:pStyle w:val="000"/>
        <w:spacing w:line="360" w:lineRule="auto"/>
        <w:jc w:val="both"/>
        <w:outlineLvl w:val="2"/>
        <w:rPr>
          <w:rFonts w:asciiTheme="minorHAnsi" w:hAnsiTheme="minorHAnsi"/>
          <w:i/>
          <w:lang w:val="en-US"/>
        </w:rPr>
      </w:pPr>
      <w:bookmarkStart w:id="270" w:name="_Toc245187912"/>
      <w:bookmarkStart w:id="271" w:name="_Toc269658958"/>
      <w:r w:rsidRPr="00337C97">
        <w:rPr>
          <w:rFonts w:asciiTheme="minorHAnsi" w:hAnsiTheme="minorHAnsi"/>
          <w:i/>
          <w:lang w:val="en-US"/>
        </w:rPr>
        <w:t>5.</w:t>
      </w:r>
      <w:r w:rsidR="00AA3252" w:rsidRPr="00337C97">
        <w:rPr>
          <w:rFonts w:asciiTheme="minorHAnsi" w:hAnsiTheme="minorHAnsi"/>
          <w:i/>
          <w:lang w:val="en-US"/>
        </w:rPr>
        <w:t>4</w:t>
      </w:r>
      <w:r w:rsidRPr="00337C97">
        <w:rPr>
          <w:rFonts w:asciiTheme="minorHAnsi" w:hAnsiTheme="minorHAnsi"/>
          <w:i/>
          <w:lang w:val="en-US"/>
        </w:rPr>
        <w:t>.3</w:t>
      </w:r>
      <w:r w:rsidR="00910902" w:rsidRPr="00337C97">
        <w:rPr>
          <w:rFonts w:asciiTheme="minorHAnsi" w:hAnsiTheme="minorHAnsi"/>
          <w:i/>
          <w:lang w:val="en-US"/>
        </w:rPr>
        <w:tab/>
        <w:t>Level of risk</w:t>
      </w:r>
      <w:bookmarkEnd w:id="270"/>
      <w:bookmarkEnd w:id="271"/>
    </w:p>
    <w:p w:rsidR="00910902" w:rsidRPr="00337C97" w:rsidRDefault="00910902" w:rsidP="00785D3A">
      <w:pPr>
        <w:pStyle w:val="000"/>
        <w:spacing w:line="360" w:lineRule="auto"/>
        <w:jc w:val="both"/>
        <w:rPr>
          <w:rFonts w:asciiTheme="minorHAnsi" w:hAnsiTheme="minorHAnsi"/>
          <w:lang w:val="en-US"/>
        </w:rPr>
      </w:pPr>
      <w:r w:rsidRPr="00337C97">
        <w:rPr>
          <w:rFonts w:asciiTheme="minorHAnsi" w:hAnsiTheme="minorHAnsi"/>
          <w:lang w:val="en-US"/>
        </w:rPr>
        <w:t>Banks with higher levels of risk have a greater incentive to demonstrate that they are actively monitoring and managing those risks and to ensure they are not penalized excessively by the market.</w:t>
      </w:r>
      <w:r w:rsidR="00EA649D" w:rsidRPr="00337C97">
        <w:rPr>
          <w:rFonts w:asciiTheme="minorHAnsi" w:hAnsiTheme="minorHAnsi"/>
          <w:lang w:val="en-US"/>
        </w:rPr>
        <w:t xml:space="preserve"> This can also be argued based upon stakeholder theory: a bank is expected to undertake more risk disclosure in order to provide justification and explanation for what is happening in the </w:t>
      </w:r>
      <w:r w:rsidR="00136B59" w:rsidRPr="00337C97">
        <w:rPr>
          <w:rFonts w:asciiTheme="minorHAnsi" w:hAnsiTheme="minorHAnsi"/>
          <w:lang w:val="en-US"/>
        </w:rPr>
        <w:t>firm</w:t>
      </w:r>
      <w:r w:rsidR="00EA649D" w:rsidRPr="00337C97">
        <w:rPr>
          <w:rFonts w:asciiTheme="minorHAnsi" w:hAnsiTheme="minorHAnsi"/>
          <w:lang w:val="en-US"/>
        </w:rPr>
        <w:t xml:space="preserve">. </w:t>
      </w:r>
      <w:r w:rsidR="00366AB6" w:rsidRPr="00337C97">
        <w:rPr>
          <w:rFonts w:asciiTheme="minorHAnsi" w:hAnsiTheme="minorHAnsi"/>
          <w:lang w:val="en-US"/>
        </w:rPr>
        <w:t>Consequently, it may be argued that those banks with higher risk levels will disclose more risk information in comparison to those with lower risk levels (Linsley et al., 2006, p. 274). Previous studies did found a positive association between the level of risk and the extent of risk reporting (</w:t>
      </w:r>
      <w:r w:rsidR="00954D77" w:rsidRPr="00337C97">
        <w:rPr>
          <w:rFonts w:asciiTheme="minorHAnsi" w:hAnsiTheme="minorHAnsi"/>
          <w:lang w:val="en-US"/>
        </w:rPr>
        <w:t xml:space="preserve">Abraham and Cox, 2007; </w:t>
      </w:r>
      <w:r w:rsidR="00366AB6" w:rsidRPr="00337C97">
        <w:rPr>
          <w:rFonts w:asciiTheme="minorHAnsi" w:hAnsiTheme="minorHAnsi"/>
          <w:lang w:val="en-US"/>
        </w:rPr>
        <w:t xml:space="preserve">Hassan, </w:t>
      </w:r>
      <w:r w:rsidR="00F54051" w:rsidRPr="00337C97">
        <w:rPr>
          <w:rFonts w:asciiTheme="minorHAnsi" w:hAnsiTheme="minorHAnsi"/>
          <w:lang w:val="en-US"/>
        </w:rPr>
        <w:t>2008</w:t>
      </w:r>
      <w:r w:rsidR="00954D77" w:rsidRPr="00337C97">
        <w:rPr>
          <w:rFonts w:asciiTheme="minorHAnsi" w:hAnsiTheme="minorHAnsi"/>
          <w:lang w:val="en-US"/>
        </w:rPr>
        <w:t xml:space="preserve"> and </w:t>
      </w:r>
      <w:r w:rsidR="00366AB6" w:rsidRPr="00337C97">
        <w:rPr>
          <w:rFonts w:asciiTheme="minorHAnsi" w:hAnsiTheme="minorHAnsi"/>
          <w:lang w:val="en-US"/>
        </w:rPr>
        <w:t xml:space="preserve">Michiels et al., </w:t>
      </w:r>
      <w:r w:rsidR="00600959" w:rsidRPr="00337C97">
        <w:rPr>
          <w:rFonts w:asciiTheme="minorHAnsi" w:hAnsiTheme="minorHAnsi"/>
          <w:lang w:val="en-US"/>
        </w:rPr>
        <w:t>2009).</w:t>
      </w:r>
      <w:r w:rsidR="00A21633" w:rsidRPr="00337C97">
        <w:rPr>
          <w:rFonts w:asciiTheme="minorHAnsi" w:hAnsiTheme="minorHAnsi"/>
          <w:lang w:val="en-US"/>
        </w:rPr>
        <w:t xml:space="preserve"> The third hypothesis is therefore:</w:t>
      </w:r>
    </w:p>
    <w:p w:rsidR="00366AB6" w:rsidRPr="00337C97" w:rsidRDefault="00366AB6" w:rsidP="00785D3A">
      <w:pPr>
        <w:pStyle w:val="000"/>
        <w:spacing w:line="360" w:lineRule="auto"/>
        <w:jc w:val="both"/>
        <w:rPr>
          <w:rFonts w:asciiTheme="minorHAnsi" w:hAnsiTheme="minorHAnsi"/>
          <w:lang w:val="en-US"/>
        </w:rPr>
      </w:pPr>
    </w:p>
    <w:p w:rsidR="00910902" w:rsidRPr="00337C97" w:rsidRDefault="00C11E2A" w:rsidP="00910902">
      <w:pPr>
        <w:pStyle w:val="000"/>
        <w:spacing w:line="360" w:lineRule="auto"/>
        <w:ind w:left="720"/>
        <w:jc w:val="both"/>
        <w:rPr>
          <w:rFonts w:asciiTheme="minorHAnsi" w:hAnsiTheme="minorHAnsi"/>
          <w:i/>
          <w:lang w:val="en-US"/>
        </w:rPr>
      </w:pPr>
      <w:r w:rsidRPr="00337C97">
        <w:rPr>
          <w:rFonts w:asciiTheme="minorHAnsi" w:hAnsiTheme="minorHAnsi"/>
          <w:i/>
          <w:lang w:val="en-US"/>
        </w:rPr>
        <w:t>H3</w:t>
      </w:r>
      <w:r w:rsidR="00F54051" w:rsidRPr="00337C97">
        <w:rPr>
          <w:rFonts w:asciiTheme="minorHAnsi" w:hAnsiTheme="minorHAnsi"/>
          <w:i/>
          <w:lang w:val="en-US"/>
        </w:rPr>
        <w:t xml:space="preserve">: Ceteris paribus, there </w:t>
      </w:r>
      <w:r w:rsidR="00FE75AC" w:rsidRPr="00337C97">
        <w:rPr>
          <w:rFonts w:asciiTheme="minorHAnsi" w:hAnsiTheme="minorHAnsi"/>
          <w:i/>
          <w:lang w:val="en-US"/>
        </w:rPr>
        <w:t>is a positive</w:t>
      </w:r>
      <w:r w:rsidR="00910902" w:rsidRPr="00337C97">
        <w:rPr>
          <w:rFonts w:asciiTheme="minorHAnsi" w:hAnsiTheme="minorHAnsi"/>
          <w:i/>
          <w:lang w:val="en-US"/>
        </w:rPr>
        <w:t xml:space="preserve"> relationship between the bank’s level of risk and the extent of risk disclosure.</w:t>
      </w:r>
    </w:p>
    <w:p w:rsidR="00C11E2A" w:rsidRPr="00337C97" w:rsidRDefault="00C11E2A" w:rsidP="00C11E2A">
      <w:pPr>
        <w:pStyle w:val="000"/>
        <w:spacing w:line="360" w:lineRule="auto"/>
        <w:jc w:val="both"/>
        <w:rPr>
          <w:rFonts w:asciiTheme="minorHAnsi" w:hAnsiTheme="minorHAnsi"/>
          <w:lang w:val="en-US"/>
        </w:rPr>
      </w:pPr>
    </w:p>
    <w:p w:rsidR="00C11E2A" w:rsidRPr="00337C97" w:rsidRDefault="00AA3252" w:rsidP="007C4013">
      <w:pPr>
        <w:pStyle w:val="000"/>
        <w:spacing w:line="360" w:lineRule="auto"/>
        <w:jc w:val="both"/>
        <w:outlineLvl w:val="2"/>
        <w:rPr>
          <w:rFonts w:asciiTheme="minorHAnsi" w:hAnsiTheme="minorHAnsi"/>
          <w:i/>
          <w:lang w:val="en-US"/>
        </w:rPr>
      </w:pPr>
      <w:bookmarkStart w:id="272" w:name="_Toc245187913"/>
      <w:bookmarkStart w:id="273" w:name="_Toc269658959"/>
      <w:r w:rsidRPr="00337C97">
        <w:rPr>
          <w:rFonts w:asciiTheme="minorHAnsi" w:hAnsiTheme="minorHAnsi"/>
          <w:i/>
          <w:lang w:val="en-US"/>
        </w:rPr>
        <w:t>5.4</w:t>
      </w:r>
      <w:r w:rsidR="00E72E0F" w:rsidRPr="00337C97">
        <w:rPr>
          <w:rFonts w:asciiTheme="minorHAnsi" w:hAnsiTheme="minorHAnsi"/>
          <w:i/>
          <w:lang w:val="en-US"/>
        </w:rPr>
        <w:t>.4</w:t>
      </w:r>
      <w:r w:rsidR="00C11E2A" w:rsidRPr="00337C97">
        <w:rPr>
          <w:rFonts w:asciiTheme="minorHAnsi" w:hAnsiTheme="minorHAnsi"/>
          <w:i/>
          <w:lang w:val="en-US"/>
        </w:rPr>
        <w:tab/>
        <w:t>Multiple listing</w:t>
      </w:r>
      <w:bookmarkEnd w:id="272"/>
      <w:bookmarkEnd w:id="273"/>
    </w:p>
    <w:p w:rsidR="00C11E2A" w:rsidRPr="00337C97" w:rsidRDefault="00C11E2A" w:rsidP="00C11E2A">
      <w:pPr>
        <w:pStyle w:val="000"/>
        <w:spacing w:line="360" w:lineRule="auto"/>
        <w:jc w:val="both"/>
        <w:rPr>
          <w:rFonts w:asciiTheme="minorHAnsi" w:hAnsiTheme="minorHAnsi"/>
          <w:lang w:val="en-US"/>
        </w:rPr>
      </w:pPr>
      <w:r w:rsidRPr="00337C97">
        <w:rPr>
          <w:rFonts w:asciiTheme="minorHAnsi" w:hAnsiTheme="minorHAnsi"/>
          <w:lang w:val="en-US"/>
        </w:rPr>
        <w:t xml:space="preserve">Abraham and Cox found that UK listed companies with a US stock exchange listing do disclose more risk information within the UK annual report than non-US-listed UK firms. </w:t>
      </w:r>
      <w:r w:rsidR="00954D77" w:rsidRPr="00337C97">
        <w:rPr>
          <w:rFonts w:asciiTheme="minorHAnsi" w:hAnsiTheme="minorHAnsi"/>
          <w:lang w:val="en-US"/>
        </w:rPr>
        <w:t xml:space="preserve">According to them, this supports two views. First, from an agency perspective it supports that greater disclosure is a method by which managers can demonstrate to shareholders that they are acting optimally. Second, it supports a transaction cost argument that firms have little reason not to disclose, for the additional disclosure comes at zero marginal cost. Another study, by Haniffa and Cooke (2005) found </w:t>
      </w:r>
      <w:r w:rsidRPr="00337C97">
        <w:rPr>
          <w:rFonts w:asciiTheme="minorHAnsi" w:hAnsiTheme="minorHAnsi"/>
          <w:lang w:val="en-US"/>
        </w:rPr>
        <w:t>a positive relationship between the extent of corporate social disclosure and multiple listing</w:t>
      </w:r>
      <w:r w:rsidR="00954D77" w:rsidRPr="00337C97">
        <w:rPr>
          <w:rFonts w:asciiTheme="minorHAnsi" w:hAnsiTheme="minorHAnsi"/>
          <w:lang w:val="en-US"/>
        </w:rPr>
        <w:t xml:space="preserve"> as well</w:t>
      </w:r>
      <w:r w:rsidRPr="00337C97">
        <w:rPr>
          <w:rFonts w:asciiTheme="minorHAnsi" w:hAnsiTheme="minorHAnsi"/>
          <w:lang w:val="en-US"/>
        </w:rPr>
        <w:t xml:space="preserve">. Banks that are multiple listed could encounter a greater need for disclosure as their securities are distributed via a more diverse network of exchanges. Consequently they have to deal with additional regulators </w:t>
      </w:r>
      <w:r w:rsidR="00FC401B" w:rsidRPr="00337C97">
        <w:rPr>
          <w:rFonts w:asciiTheme="minorHAnsi" w:hAnsiTheme="minorHAnsi"/>
          <w:lang w:val="en-US"/>
        </w:rPr>
        <w:t xml:space="preserve">(for example the Securities and Exchange Commission in the US) </w:t>
      </w:r>
      <w:r w:rsidRPr="00337C97">
        <w:rPr>
          <w:rFonts w:asciiTheme="minorHAnsi" w:hAnsiTheme="minorHAnsi"/>
          <w:lang w:val="en-US"/>
        </w:rPr>
        <w:t>and also with a larger group of stakeholders (see also the first hypothesis). The fourth hypothesis is therefore:</w:t>
      </w:r>
    </w:p>
    <w:p w:rsidR="00C11E2A" w:rsidRPr="00337C97" w:rsidRDefault="00C11E2A" w:rsidP="00C11E2A">
      <w:pPr>
        <w:pStyle w:val="000"/>
        <w:spacing w:line="360" w:lineRule="auto"/>
        <w:jc w:val="both"/>
        <w:rPr>
          <w:rFonts w:asciiTheme="minorHAnsi" w:hAnsiTheme="minorHAnsi"/>
          <w:lang w:val="en-US"/>
        </w:rPr>
      </w:pPr>
    </w:p>
    <w:p w:rsidR="00C11E2A" w:rsidRPr="00337C97" w:rsidRDefault="00C11E2A" w:rsidP="00C11E2A">
      <w:pPr>
        <w:pStyle w:val="000"/>
        <w:spacing w:line="360" w:lineRule="auto"/>
        <w:ind w:left="720"/>
        <w:jc w:val="both"/>
        <w:rPr>
          <w:rFonts w:asciiTheme="minorHAnsi" w:hAnsiTheme="minorHAnsi"/>
          <w:i/>
          <w:lang w:val="en-US"/>
        </w:rPr>
      </w:pPr>
      <w:r w:rsidRPr="00337C97">
        <w:rPr>
          <w:rFonts w:asciiTheme="minorHAnsi" w:hAnsiTheme="minorHAnsi"/>
          <w:i/>
          <w:lang w:val="en-US"/>
        </w:rPr>
        <w:t>H4: Ceteris paribus, the extent of risk disclosure is greater for banks with multiple listing statuses.</w:t>
      </w:r>
    </w:p>
    <w:p w:rsidR="0047361C" w:rsidRPr="00337C97" w:rsidRDefault="00AA3252" w:rsidP="007C4013">
      <w:pPr>
        <w:pStyle w:val="000"/>
        <w:spacing w:line="360" w:lineRule="auto"/>
        <w:jc w:val="both"/>
        <w:outlineLvl w:val="2"/>
        <w:rPr>
          <w:rFonts w:asciiTheme="minorHAnsi" w:hAnsiTheme="minorHAnsi"/>
          <w:lang w:val="en-US"/>
        </w:rPr>
      </w:pPr>
      <w:bookmarkStart w:id="274" w:name="_Toc245187914"/>
      <w:bookmarkStart w:id="275" w:name="_Toc269658960"/>
      <w:r w:rsidRPr="00337C97">
        <w:rPr>
          <w:rFonts w:asciiTheme="minorHAnsi" w:hAnsiTheme="minorHAnsi"/>
          <w:i/>
          <w:lang w:val="en-US"/>
        </w:rPr>
        <w:lastRenderedPageBreak/>
        <w:t>5.4</w:t>
      </w:r>
      <w:r w:rsidR="00EA10F1" w:rsidRPr="00337C97">
        <w:rPr>
          <w:rFonts w:asciiTheme="minorHAnsi" w:hAnsiTheme="minorHAnsi"/>
          <w:i/>
          <w:lang w:val="en-US"/>
        </w:rPr>
        <w:t>.5</w:t>
      </w:r>
      <w:r w:rsidR="00C40EC4" w:rsidRPr="00337C97">
        <w:rPr>
          <w:rFonts w:asciiTheme="minorHAnsi" w:hAnsiTheme="minorHAnsi"/>
          <w:i/>
          <w:lang w:val="en-US"/>
        </w:rPr>
        <w:tab/>
        <w:t>Credit ratings</w:t>
      </w:r>
      <w:bookmarkEnd w:id="274"/>
      <w:bookmarkEnd w:id="275"/>
    </w:p>
    <w:p w:rsidR="00535136" w:rsidRPr="00337C97" w:rsidRDefault="00C40EC4" w:rsidP="005063CB">
      <w:pPr>
        <w:pStyle w:val="000"/>
        <w:spacing w:line="360" w:lineRule="auto"/>
        <w:jc w:val="both"/>
        <w:rPr>
          <w:rFonts w:asciiTheme="minorHAnsi" w:hAnsiTheme="minorHAnsi"/>
          <w:lang w:val="en-US"/>
        </w:rPr>
      </w:pPr>
      <w:r w:rsidRPr="00337C97">
        <w:rPr>
          <w:rFonts w:asciiTheme="minorHAnsi" w:hAnsiTheme="minorHAnsi"/>
          <w:lang w:val="en-US"/>
        </w:rPr>
        <w:t xml:space="preserve">Credit rating agencies </w:t>
      </w:r>
      <w:r w:rsidR="009C605D" w:rsidRPr="00337C97">
        <w:rPr>
          <w:rFonts w:asciiTheme="minorHAnsi" w:hAnsiTheme="minorHAnsi"/>
          <w:lang w:val="en-US"/>
        </w:rPr>
        <w:t xml:space="preserve">are firms that assess the likelihood that issuers of debt will make full and timely payment of their obligation. The major agencies are Moody’s, Standard and Poor’s and Fitch. These ratings </w:t>
      </w:r>
      <w:r w:rsidRPr="00337C97">
        <w:rPr>
          <w:rFonts w:asciiTheme="minorHAnsi" w:hAnsiTheme="minorHAnsi"/>
          <w:lang w:val="en-US"/>
        </w:rPr>
        <w:t>estimate the credit worthiness of an individual, corporation or a country</w:t>
      </w:r>
      <w:r w:rsidR="00535136" w:rsidRPr="00337C97">
        <w:rPr>
          <w:rFonts w:asciiTheme="minorHAnsi" w:hAnsiTheme="minorHAnsi"/>
          <w:lang w:val="en-US"/>
        </w:rPr>
        <w:t xml:space="preserve"> and are typically</w:t>
      </w:r>
      <w:r w:rsidR="009C605D" w:rsidRPr="00337C97">
        <w:rPr>
          <w:rFonts w:asciiTheme="minorHAnsi" w:hAnsiTheme="minorHAnsi"/>
          <w:lang w:val="en-US"/>
        </w:rPr>
        <w:t xml:space="preserve"> assigned on </w:t>
      </w:r>
      <w:r w:rsidR="004B67CE" w:rsidRPr="00337C97">
        <w:rPr>
          <w:rFonts w:asciiTheme="minorHAnsi" w:hAnsiTheme="minorHAnsi"/>
          <w:lang w:val="en-US"/>
        </w:rPr>
        <w:t>an</w:t>
      </w:r>
      <w:r w:rsidR="009C605D" w:rsidRPr="00337C97">
        <w:rPr>
          <w:rFonts w:asciiTheme="minorHAnsi" w:hAnsiTheme="minorHAnsi"/>
          <w:lang w:val="en-US"/>
        </w:rPr>
        <w:t xml:space="preserve"> alpha or numeric basis (</w:t>
      </w:r>
      <w:r w:rsidR="00697666">
        <w:rPr>
          <w:rFonts w:asciiTheme="minorHAnsi" w:hAnsiTheme="minorHAnsi"/>
          <w:lang w:val="en-US"/>
        </w:rPr>
        <w:t>e.g.</w:t>
      </w:r>
      <w:r w:rsidR="009C605D" w:rsidRPr="00337C97">
        <w:rPr>
          <w:rFonts w:asciiTheme="minorHAnsi" w:hAnsiTheme="minorHAnsi"/>
          <w:lang w:val="en-US"/>
        </w:rPr>
        <w:t xml:space="preserve"> 1-5 or A-E) (Stern and Feldman, 2004).</w:t>
      </w:r>
      <w:r w:rsidR="00535136" w:rsidRPr="00337C97">
        <w:rPr>
          <w:rFonts w:asciiTheme="minorHAnsi" w:hAnsiTheme="minorHAnsi"/>
          <w:lang w:val="en-US"/>
        </w:rPr>
        <w:t xml:space="preserve"> The ratings are often interpreted as discrete indicators of quality. Prior research did not yet link credit ratings to the extent of risk disclosure</w:t>
      </w:r>
      <w:r w:rsidR="002B06AF" w:rsidRPr="00337C97">
        <w:rPr>
          <w:rFonts w:asciiTheme="minorHAnsi" w:hAnsiTheme="minorHAnsi"/>
          <w:lang w:val="en-US"/>
        </w:rPr>
        <w:t xml:space="preserve"> and therefore this hypothesis is based upon own postulations</w:t>
      </w:r>
      <w:r w:rsidR="00535136" w:rsidRPr="00337C97">
        <w:rPr>
          <w:rFonts w:asciiTheme="minorHAnsi" w:hAnsiTheme="minorHAnsi"/>
          <w:lang w:val="en-US"/>
        </w:rPr>
        <w:t xml:space="preserve">. Higher credit ratings indicate that banks are more trustworthy than banks with lower credit ratings. Moreover, higher credit ratings indicate that banks have a better risk management as they are assumed to be safer to invest in than banks with lower credit ratings. </w:t>
      </w:r>
      <w:r w:rsidR="00892021" w:rsidRPr="00337C97">
        <w:rPr>
          <w:rFonts w:asciiTheme="minorHAnsi" w:hAnsiTheme="minorHAnsi"/>
          <w:lang w:val="en-US"/>
        </w:rPr>
        <w:t>To show their superior risk management abilities and to maintain or gain additional market confidence, banks with higher credit ratings are expected to release more risk disclosure. Therefore the fifth hypothesis is as follows:</w:t>
      </w:r>
    </w:p>
    <w:p w:rsidR="00892021" w:rsidRPr="00337C97" w:rsidRDefault="00892021" w:rsidP="005063CB">
      <w:pPr>
        <w:pStyle w:val="000"/>
        <w:spacing w:line="360" w:lineRule="auto"/>
        <w:jc w:val="both"/>
        <w:rPr>
          <w:rFonts w:asciiTheme="minorHAnsi" w:hAnsiTheme="minorHAnsi"/>
          <w:lang w:val="en-US"/>
        </w:rPr>
      </w:pPr>
    </w:p>
    <w:p w:rsidR="00892021" w:rsidRPr="00337C97" w:rsidRDefault="00892021" w:rsidP="00892021">
      <w:pPr>
        <w:pStyle w:val="000"/>
        <w:spacing w:line="360" w:lineRule="auto"/>
        <w:ind w:left="720"/>
        <w:jc w:val="both"/>
        <w:rPr>
          <w:rFonts w:asciiTheme="minorHAnsi" w:hAnsiTheme="minorHAnsi"/>
          <w:i/>
          <w:lang w:val="en-US"/>
        </w:rPr>
      </w:pPr>
      <w:r w:rsidRPr="00337C97">
        <w:rPr>
          <w:rFonts w:asciiTheme="minorHAnsi" w:hAnsiTheme="minorHAnsi"/>
          <w:i/>
          <w:lang w:val="en-US"/>
        </w:rPr>
        <w:t>H5: Ceteris paribus, the extent of risk disclosure is greater for banks with higher credit ratings.</w:t>
      </w:r>
    </w:p>
    <w:p w:rsidR="005853B2" w:rsidRPr="00337C97" w:rsidRDefault="005853B2" w:rsidP="00785D3A">
      <w:pPr>
        <w:pStyle w:val="000"/>
        <w:spacing w:line="360" w:lineRule="auto"/>
        <w:jc w:val="both"/>
        <w:rPr>
          <w:rFonts w:asciiTheme="minorHAnsi" w:hAnsiTheme="minorHAnsi"/>
          <w:lang w:val="en-US"/>
        </w:rPr>
      </w:pPr>
    </w:p>
    <w:p w:rsidR="00892021" w:rsidRPr="00337C97" w:rsidRDefault="00AA3252" w:rsidP="007C4013">
      <w:pPr>
        <w:pStyle w:val="000"/>
        <w:spacing w:line="360" w:lineRule="auto"/>
        <w:jc w:val="both"/>
        <w:outlineLvl w:val="2"/>
        <w:rPr>
          <w:rFonts w:asciiTheme="minorHAnsi" w:hAnsiTheme="minorHAnsi"/>
          <w:i/>
          <w:lang w:val="en-US"/>
        </w:rPr>
      </w:pPr>
      <w:bookmarkStart w:id="276" w:name="_Toc245187915"/>
      <w:bookmarkStart w:id="277" w:name="_Toc269658961"/>
      <w:r w:rsidRPr="00337C97">
        <w:rPr>
          <w:rFonts w:asciiTheme="minorHAnsi" w:hAnsiTheme="minorHAnsi"/>
          <w:i/>
          <w:lang w:val="en-US"/>
        </w:rPr>
        <w:t>5.4</w:t>
      </w:r>
      <w:r w:rsidR="00892021" w:rsidRPr="00337C97">
        <w:rPr>
          <w:rFonts w:asciiTheme="minorHAnsi" w:hAnsiTheme="minorHAnsi"/>
          <w:i/>
          <w:lang w:val="en-US"/>
        </w:rPr>
        <w:t>.6</w:t>
      </w:r>
      <w:r w:rsidR="00892021" w:rsidRPr="00337C97">
        <w:rPr>
          <w:rFonts w:asciiTheme="minorHAnsi" w:hAnsiTheme="minorHAnsi"/>
          <w:i/>
          <w:lang w:val="en-US"/>
        </w:rPr>
        <w:tab/>
      </w:r>
      <w:r w:rsidR="00394CA7" w:rsidRPr="00337C97">
        <w:rPr>
          <w:rFonts w:asciiTheme="minorHAnsi" w:hAnsiTheme="minorHAnsi"/>
          <w:i/>
          <w:lang w:val="en-US"/>
        </w:rPr>
        <w:t>Organizational structure</w:t>
      </w:r>
      <w:bookmarkEnd w:id="276"/>
      <w:bookmarkEnd w:id="277"/>
    </w:p>
    <w:p w:rsidR="009E7CE8" w:rsidRPr="00337C97" w:rsidRDefault="00BE5620" w:rsidP="00394CA7">
      <w:pPr>
        <w:pStyle w:val="000"/>
        <w:spacing w:line="360" w:lineRule="auto"/>
        <w:jc w:val="both"/>
        <w:rPr>
          <w:rFonts w:asciiTheme="minorHAnsi" w:hAnsiTheme="minorHAnsi"/>
          <w:lang w:val="en-US"/>
        </w:rPr>
      </w:pPr>
      <w:r w:rsidRPr="00337C97">
        <w:rPr>
          <w:rFonts w:asciiTheme="minorHAnsi" w:hAnsiTheme="minorHAnsi"/>
          <w:lang w:val="en-US"/>
        </w:rPr>
        <w:t>The next two hypotheses relate corporate governance to the extent of risk reporting. As said in paragraph 2.7, due to the variety in corporate governance structures in the sample area (EU), it is difficult to relate corporate governance variables to the extent of risk disclosure. Although acknowledging this, the BCBS 1999 paper (‘Enhancing corporate governance for banking organizations’) describe</w:t>
      </w:r>
      <w:r w:rsidR="00F66639" w:rsidRPr="00337C97">
        <w:rPr>
          <w:rFonts w:asciiTheme="minorHAnsi" w:hAnsiTheme="minorHAnsi"/>
          <w:lang w:val="en-US"/>
        </w:rPr>
        <w:t>s</w:t>
      </w:r>
      <w:r w:rsidRPr="00337C97">
        <w:rPr>
          <w:rFonts w:asciiTheme="minorHAnsi" w:hAnsiTheme="minorHAnsi"/>
          <w:lang w:val="en-US"/>
        </w:rPr>
        <w:t xml:space="preserve"> four important forms of oversight that should be included in the organizational structure of </w:t>
      </w:r>
      <w:r w:rsidRPr="00337C97">
        <w:rPr>
          <w:rFonts w:asciiTheme="minorHAnsi" w:hAnsiTheme="minorHAnsi"/>
          <w:i/>
          <w:lang w:val="en-US"/>
        </w:rPr>
        <w:t>any</w:t>
      </w:r>
      <w:r w:rsidRPr="00337C97">
        <w:rPr>
          <w:rFonts w:asciiTheme="minorHAnsi" w:hAnsiTheme="minorHAnsi"/>
          <w:lang w:val="en-US"/>
        </w:rPr>
        <w:t xml:space="preserve"> bank in order to ensure the appropr</w:t>
      </w:r>
      <w:r w:rsidR="00394CA7" w:rsidRPr="00337C97">
        <w:rPr>
          <w:rFonts w:asciiTheme="minorHAnsi" w:hAnsiTheme="minorHAnsi"/>
          <w:lang w:val="en-US"/>
        </w:rPr>
        <w:t>iate checks and balances. The first one is “</w:t>
      </w:r>
      <w:r w:rsidR="00394CA7" w:rsidRPr="00337C97">
        <w:rPr>
          <w:rFonts w:asciiTheme="minorHAnsi" w:hAnsiTheme="minorHAnsi"/>
          <w:i/>
          <w:lang w:val="en-US"/>
        </w:rPr>
        <w:t>(1) oversight by the board of directors or supervisory board</w:t>
      </w:r>
      <w:r w:rsidR="00394CA7" w:rsidRPr="00337C97">
        <w:rPr>
          <w:rFonts w:asciiTheme="minorHAnsi" w:hAnsiTheme="minorHAnsi"/>
          <w:lang w:val="en-US"/>
        </w:rPr>
        <w:t xml:space="preserve"> </w:t>
      </w:r>
      <w:r w:rsidR="00394CA7" w:rsidRPr="00337C97">
        <w:rPr>
          <w:rFonts w:asciiTheme="minorHAnsi" w:hAnsiTheme="minorHAnsi"/>
          <w:i/>
          <w:lang w:val="en-US"/>
        </w:rPr>
        <w:t>(…)</w:t>
      </w:r>
      <w:r w:rsidR="00394CA7" w:rsidRPr="00337C97">
        <w:rPr>
          <w:rFonts w:asciiTheme="minorHAnsi" w:hAnsiTheme="minorHAnsi"/>
          <w:lang w:val="en-US"/>
        </w:rPr>
        <w:t xml:space="preserve">” </w:t>
      </w:r>
      <w:r w:rsidR="00E40D6F" w:rsidRPr="00337C97">
        <w:rPr>
          <w:rFonts w:asciiTheme="minorHAnsi" w:hAnsiTheme="minorHAnsi"/>
          <w:lang w:val="en-US"/>
        </w:rPr>
        <w:t xml:space="preserve">(BCBS, 1999, II.11). Regarding their organizational structure, companies can have a one-tier structure (board of directors with both executive and non-executive directors) or a two-tier structure (board of directors with only executive directors and an additional supervisory board with non-executive directors). </w:t>
      </w:r>
      <w:r w:rsidR="00B357F6" w:rsidRPr="00337C97">
        <w:rPr>
          <w:rFonts w:asciiTheme="minorHAnsi" w:hAnsiTheme="minorHAnsi"/>
          <w:lang w:val="en-US"/>
        </w:rPr>
        <w:t xml:space="preserve">The BCBS did not give an indication about which structure should be preferred regarding corporate governance, but prior research does. </w:t>
      </w:r>
      <w:r w:rsidR="00E40D6F" w:rsidRPr="00337C97">
        <w:rPr>
          <w:rFonts w:asciiTheme="minorHAnsi" w:hAnsiTheme="minorHAnsi"/>
          <w:lang w:val="en-US"/>
        </w:rPr>
        <w:t xml:space="preserve">Fama and Jensen </w:t>
      </w:r>
      <w:r w:rsidR="006F1312" w:rsidRPr="00337C97">
        <w:rPr>
          <w:rFonts w:asciiTheme="minorHAnsi" w:hAnsiTheme="minorHAnsi"/>
          <w:lang w:val="en-US"/>
        </w:rPr>
        <w:t>(</w:t>
      </w:r>
      <w:r w:rsidR="00E40D6F" w:rsidRPr="00337C97">
        <w:rPr>
          <w:rFonts w:asciiTheme="minorHAnsi" w:hAnsiTheme="minorHAnsi"/>
          <w:lang w:val="en-US"/>
        </w:rPr>
        <w:t>1983</w:t>
      </w:r>
      <w:r w:rsidR="006F1312" w:rsidRPr="00337C97">
        <w:rPr>
          <w:rFonts w:asciiTheme="minorHAnsi" w:hAnsiTheme="minorHAnsi"/>
          <w:lang w:val="en-US"/>
        </w:rPr>
        <w:t xml:space="preserve">) argue that in a company with </w:t>
      </w:r>
      <w:r w:rsidR="003C7AF5" w:rsidRPr="00337C97">
        <w:rPr>
          <w:rFonts w:asciiTheme="minorHAnsi" w:hAnsiTheme="minorHAnsi"/>
          <w:lang w:val="en-US"/>
        </w:rPr>
        <w:t>a</w:t>
      </w:r>
      <w:r w:rsidR="006F1312" w:rsidRPr="00337C97">
        <w:rPr>
          <w:rFonts w:asciiTheme="minorHAnsi" w:hAnsiTheme="minorHAnsi"/>
          <w:lang w:val="en-US"/>
        </w:rPr>
        <w:t xml:space="preserve"> one-tier structure, there is no separation between decision authorization and decision control. Agency theory further proposes </w:t>
      </w:r>
      <w:r w:rsidR="003C7AF5" w:rsidRPr="00337C97">
        <w:rPr>
          <w:rFonts w:asciiTheme="minorHAnsi" w:hAnsiTheme="minorHAnsi"/>
          <w:lang w:val="en-US"/>
        </w:rPr>
        <w:t xml:space="preserve">that within a </w:t>
      </w:r>
      <w:r w:rsidR="006F1312" w:rsidRPr="00337C97">
        <w:rPr>
          <w:rFonts w:asciiTheme="minorHAnsi" w:hAnsiTheme="minorHAnsi"/>
          <w:lang w:val="en-US"/>
        </w:rPr>
        <w:t xml:space="preserve">one-tier structure </w:t>
      </w:r>
      <w:r w:rsidR="003C7AF5" w:rsidRPr="00337C97">
        <w:rPr>
          <w:rFonts w:asciiTheme="minorHAnsi" w:hAnsiTheme="minorHAnsi"/>
          <w:lang w:val="en-US"/>
        </w:rPr>
        <w:t>the supervisory function of the board of directors is reduced, as argued by Michiels et al (2009, p. 6). Therefore, it could be argued that a two-tier structure leads to stronger corporate governance and hence, to more risk disclosure. The sixth hypothesis is formulated as follows:</w:t>
      </w:r>
    </w:p>
    <w:p w:rsidR="003C7AF5" w:rsidRPr="00337C97" w:rsidRDefault="003C7AF5" w:rsidP="00394CA7">
      <w:pPr>
        <w:pStyle w:val="000"/>
        <w:spacing w:line="360" w:lineRule="auto"/>
        <w:jc w:val="both"/>
        <w:rPr>
          <w:rFonts w:asciiTheme="minorHAnsi" w:hAnsiTheme="minorHAnsi"/>
          <w:lang w:val="en-US"/>
        </w:rPr>
      </w:pPr>
    </w:p>
    <w:p w:rsidR="003C7AF5" w:rsidRPr="00337C97" w:rsidRDefault="003C7AF5" w:rsidP="00394CA7">
      <w:pPr>
        <w:pStyle w:val="000"/>
        <w:spacing w:line="360" w:lineRule="auto"/>
        <w:jc w:val="both"/>
        <w:rPr>
          <w:rFonts w:asciiTheme="minorHAnsi" w:hAnsiTheme="minorHAnsi"/>
          <w:i/>
          <w:lang w:val="en-US"/>
        </w:rPr>
      </w:pPr>
      <w:r w:rsidRPr="00337C97">
        <w:rPr>
          <w:rFonts w:asciiTheme="minorHAnsi" w:hAnsiTheme="minorHAnsi"/>
          <w:lang w:val="en-US"/>
        </w:rPr>
        <w:tab/>
      </w:r>
      <w:r w:rsidRPr="00337C97">
        <w:rPr>
          <w:rFonts w:asciiTheme="minorHAnsi" w:hAnsiTheme="minorHAnsi"/>
          <w:i/>
          <w:lang w:val="en-US"/>
        </w:rPr>
        <w:t>H6: Ceteris paribus, the extent of risk disclosure is greater for banks with a two-tier structure.</w:t>
      </w:r>
    </w:p>
    <w:p w:rsidR="00892021" w:rsidRPr="00337C97" w:rsidRDefault="00AA3252" w:rsidP="001919AE">
      <w:pPr>
        <w:pStyle w:val="000"/>
        <w:spacing w:line="360" w:lineRule="auto"/>
        <w:jc w:val="both"/>
        <w:outlineLvl w:val="2"/>
        <w:rPr>
          <w:rFonts w:asciiTheme="minorHAnsi" w:hAnsiTheme="minorHAnsi"/>
          <w:i/>
          <w:lang w:val="en-US"/>
        </w:rPr>
      </w:pPr>
      <w:bookmarkStart w:id="278" w:name="_Toc245187916"/>
      <w:bookmarkStart w:id="279" w:name="_Toc269658962"/>
      <w:r w:rsidRPr="00337C97">
        <w:rPr>
          <w:rFonts w:asciiTheme="minorHAnsi" w:hAnsiTheme="minorHAnsi"/>
          <w:i/>
          <w:lang w:val="en-US"/>
        </w:rPr>
        <w:lastRenderedPageBreak/>
        <w:t>5.4</w:t>
      </w:r>
      <w:r w:rsidR="00892021" w:rsidRPr="00337C97">
        <w:rPr>
          <w:rFonts w:asciiTheme="minorHAnsi" w:hAnsiTheme="minorHAnsi"/>
          <w:i/>
          <w:lang w:val="en-US"/>
        </w:rPr>
        <w:t>.7</w:t>
      </w:r>
      <w:r w:rsidR="00892021" w:rsidRPr="00337C97">
        <w:rPr>
          <w:rFonts w:asciiTheme="minorHAnsi" w:hAnsiTheme="minorHAnsi"/>
          <w:i/>
          <w:lang w:val="en-US"/>
        </w:rPr>
        <w:tab/>
      </w:r>
      <w:r w:rsidR="00394CA7" w:rsidRPr="00337C97">
        <w:rPr>
          <w:rFonts w:asciiTheme="minorHAnsi" w:hAnsiTheme="minorHAnsi"/>
          <w:i/>
          <w:lang w:val="en-US"/>
        </w:rPr>
        <w:t>Board composition</w:t>
      </w:r>
      <w:bookmarkEnd w:id="278"/>
      <w:bookmarkEnd w:id="279"/>
    </w:p>
    <w:p w:rsidR="00394CA7" w:rsidRPr="00337C97" w:rsidRDefault="005E0147" w:rsidP="00394CA7">
      <w:pPr>
        <w:pStyle w:val="000"/>
        <w:spacing w:line="360" w:lineRule="auto"/>
        <w:jc w:val="both"/>
        <w:rPr>
          <w:rFonts w:asciiTheme="minorHAnsi" w:hAnsiTheme="minorHAnsi"/>
          <w:lang w:val="en-US"/>
        </w:rPr>
      </w:pPr>
      <w:r w:rsidRPr="00337C97">
        <w:rPr>
          <w:rFonts w:asciiTheme="minorHAnsi" w:hAnsiTheme="minorHAnsi"/>
          <w:lang w:val="en-US"/>
        </w:rPr>
        <w:t xml:space="preserve">Alongside the emphasis on the </w:t>
      </w:r>
      <w:r w:rsidR="003C7AF5" w:rsidRPr="00337C97">
        <w:rPr>
          <w:rFonts w:asciiTheme="minorHAnsi" w:hAnsiTheme="minorHAnsi"/>
          <w:lang w:val="en-US"/>
        </w:rPr>
        <w:t>supervisory function within a firm</w:t>
      </w:r>
      <w:r w:rsidR="00394CA7" w:rsidRPr="00337C97">
        <w:rPr>
          <w:rFonts w:asciiTheme="minorHAnsi" w:hAnsiTheme="minorHAnsi"/>
          <w:lang w:val="en-US"/>
        </w:rPr>
        <w:t>, the BCBS paper under</w:t>
      </w:r>
      <w:r w:rsidR="003C7AF5" w:rsidRPr="00337C97">
        <w:rPr>
          <w:rFonts w:asciiTheme="minorHAnsi" w:hAnsiTheme="minorHAnsi"/>
          <w:lang w:val="en-US"/>
        </w:rPr>
        <w:t xml:space="preserve">lines that those individuals keeping oversight should not be involved in the day-to-day running of the various business areas (1999, II.11). </w:t>
      </w:r>
      <w:r w:rsidR="00394CA7" w:rsidRPr="00337C97">
        <w:rPr>
          <w:rFonts w:asciiTheme="minorHAnsi" w:hAnsiTheme="minorHAnsi"/>
          <w:lang w:val="en-US"/>
        </w:rPr>
        <w:t>As the BCBS relates this aspect of board composition to strong corporate governance, prior research has linked strong corporate governance to improved risk disclosure. Both Abraham and Cox (2007) and Michiels et al. (2009) tested for board composition related to the extent of risk disclosure. Since the approval of the annual report is done by the board of directors, the composition of this board could influence the extent of risk reporting. Following the BCBS (1999) notion, Abraham and Cox (2007, p. 231) hypothesize that the proportion of non-executive directors in the board is positively related to risk disclosure. Executive board directors, as fulltime employees of the firm, are corporate insiders. By working alongside managers, it may prove difficult for executive directors to also monitor managers</w:t>
      </w:r>
      <w:r w:rsidR="00E40D6F" w:rsidRPr="00337C97">
        <w:rPr>
          <w:rFonts w:asciiTheme="minorHAnsi" w:hAnsiTheme="minorHAnsi"/>
          <w:lang w:val="en-US"/>
        </w:rPr>
        <w:t>’ actions (Fama and Jensen, 1983).</w:t>
      </w:r>
      <w:r w:rsidR="00394CA7" w:rsidRPr="00337C97">
        <w:rPr>
          <w:rFonts w:asciiTheme="minorHAnsi" w:hAnsiTheme="minorHAnsi"/>
          <w:lang w:val="en-US"/>
        </w:rPr>
        <w:t xml:space="preserve"> Agency theory therefore proposes that executive directors have insufficient incentives regarding disclosure, including risk disclosure. Michiels et al. (2009) state that due to the presence of non-executive directors agency costs are likely to fall and this could be reflected in more extensive reporting. Abraham and Cox (2007) did indeed find evidence for their reasoning, but Michiels et al. (2009) did not. </w:t>
      </w:r>
      <w:r w:rsidR="00E14E01" w:rsidRPr="00337C97">
        <w:rPr>
          <w:rFonts w:asciiTheme="minorHAnsi" w:hAnsiTheme="minorHAnsi"/>
          <w:lang w:val="en-US"/>
        </w:rPr>
        <w:t xml:space="preserve">This hypothesis is only applicable for banks with a one-tier structure, having one board of directors with both executive and non-executive directors. </w:t>
      </w:r>
      <w:r w:rsidR="00394CA7" w:rsidRPr="00337C97">
        <w:rPr>
          <w:rFonts w:asciiTheme="minorHAnsi" w:hAnsiTheme="minorHAnsi"/>
          <w:lang w:val="en-US"/>
        </w:rPr>
        <w:t xml:space="preserve">The </w:t>
      </w:r>
      <w:r w:rsidR="003C7AF5" w:rsidRPr="00337C97">
        <w:rPr>
          <w:rFonts w:asciiTheme="minorHAnsi" w:hAnsiTheme="minorHAnsi"/>
          <w:lang w:val="en-US"/>
        </w:rPr>
        <w:t>seventh</w:t>
      </w:r>
      <w:r w:rsidR="00394CA7" w:rsidRPr="00337C97">
        <w:rPr>
          <w:rFonts w:asciiTheme="minorHAnsi" w:hAnsiTheme="minorHAnsi"/>
          <w:lang w:val="en-US"/>
        </w:rPr>
        <w:t xml:space="preserve"> hypothesis is formulated as follows:</w:t>
      </w:r>
    </w:p>
    <w:p w:rsidR="00394CA7" w:rsidRPr="00337C97" w:rsidRDefault="00394CA7" w:rsidP="00394CA7">
      <w:pPr>
        <w:pStyle w:val="000"/>
        <w:spacing w:line="360" w:lineRule="auto"/>
        <w:jc w:val="both"/>
        <w:rPr>
          <w:rFonts w:asciiTheme="minorHAnsi" w:hAnsiTheme="minorHAnsi"/>
          <w:lang w:val="en-US"/>
        </w:rPr>
      </w:pPr>
    </w:p>
    <w:p w:rsidR="00394CA7" w:rsidRPr="00337C97" w:rsidRDefault="003C7AF5" w:rsidP="00394CA7">
      <w:pPr>
        <w:pStyle w:val="000"/>
        <w:spacing w:line="360" w:lineRule="auto"/>
        <w:ind w:left="720"/>
        <w:jc w:val="both"/>
        <w:rPr>
          <w:rFonts w:asciiTheme="minorHAnsi" w:hAnsiTheme="minorHAnsi"/>
          <w:lang w:val="en-US"/>
        </w:rPr>
      </w:pPr>
      <w:r w:rsidRPr="00337C97">
        <w:rPr>
          <w:rFonts w:asciiTheme="minorHAnsi" w:hAnsiTheme="minorHAnsi"/>
          <w:i/>
          <w:lang w:val="en-US"/>
        </w:rPr>
        <w:t>H7</w:t>
      </w:r>
      <w:r w:rsidR="00394CA7" w:rsidRPr="00337C97">
        <w:rPr>
          <w:rFonts w:asciiTheme="minorHAnsi" w:hAnsiTheme="minorHAnsi"/>
          <w:i/>
          <w:lang w:val="en-US"/>
        </w:rPr>
        <w:t>: Ceteris paribus, there is a positive relationship between the proportion of non-executive board directors and the extent of risk disclosure.</w:t>
      </w:r>
    </w:p>
    <w:p w:rsidR="00A50FE8" w:rsidRPr="00337C97" w:rsidRDefault="00A50FE8" w:rsidP="00785D3A">
      <w:pPr>
        <w:pStyle w:val="000"/>
        <w:spacing w:line="360" w:lineRule="auto"/>
        <w:jc w:val="both"/>
        <w:rPr>
          <w:rFonts w:asciiTheme="minorHAnsi" w:hAnsiTheme="minorHAnsi"/>
          <w:lang w:val="en-US"/>
        </w:rPr>
      </w:pPr>
    </w:p>
    <w:p w:rsidR="00785D3A" w:rsidRPr="00337C97" w:rsidRDefault="00AA3252" w:rsidP="001919AE">
      <w:pPr>
        <w:pStyle w:val="000"/>
        <w:spacing w:line="360" w:lineRule="auto"/>
        <w:jc w:val="both"/>
        <w:outlineLvl w:val="1"/>
        <w:rPr>
          <w:rFonts w:asciiTheme="minorHAnsi" w:hAnsiTheme="minorHAnsi"/>
          <w:b/>
          <w:lang w:val="en-US"/>
        </w:rPr>
      </w:pPr>
      <w:bookmarkStart w:id="280" w:name="_Toc242697431"/>
      <w:bookmarkStart w:id="281" w:name="_Toc242697666"/>
      <w:bookmarkStart w:id="282" w:name="_Toc245187917"/>
      <w:bookmarkStart w:id="283" w:name="_Toc269658963"/>
      <w:r w:rsidRPr="00337C97">
        <w:rPr>
          <w:rFonts w:asciiTheme="minorHAnsi" w:hAnsiTheme="minorHAnsi"/>
          <w:b/>
          <w:lang w:val="en-US"/>
        </w:rPr>
        <w:t>5.5</w:t>
      </w:r>
      <w:r w:rsidR="00366AF3" w:rsidRPr="00337C97">
        <w:rPr>
          <w:rFonts w:asciiTheme="minorHAnsi" w:hAnsiTheme="minorHAnsi"/>
          <w:b/>
          <w:lang w:val="en-US"/>
        </w:rPr>
        <w:tab/>
      </w:r>
      <w:bookmarkEnd w:id="280"/>
      <w:bookmarkEnd w:id="281"/>
      <w:bookmarkEnd w:id="282"/>
      <w:r w:rsidRPr="00337C97">
        <w:rPr>
          <w:rFonts w:asciiTheme="minorHAnsi" w:hAnsiTheme="minorHAnsi"/>
          <w:b/>
          <w:lang w:val="en-US"/>
        </w:rPr>
        <w:t>Regression analysis</w:t>
      </w:r>
      <w:bookmarkStart w:id="284" w:name="_Toc242697430"/>
      <w:bookmarkStart w:id="285" w:name="_Toc242697665"/>
      <w:bookmarkEnd w:id="283"/>
    </w:p>
    <w:p w:rsidR="00AA3252" w:rsidRPr="00337C97" w:rsidRDefault="00AA3252"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This study uses multiple regressions in assessing the variability of the extent of risk disclosure. This statistical method has been widely used in previous research (Haniffa and Cooke, 2005; Amran et al., 2009 and Michiels et al., 2009). The regression model </w:t>
      </w:r>
      <w:r w:rsidR="00555379" w:rsidRPr="00337C97">
        <w:rPr>
          <w:rFonts w:asciiTheme="minorHAnsi" w:hAnsiTheme="minorHAnsi"/>
          <w:lang w:val="en-US"/>
        </w:rPr>
        <w:t xml:space="preserve">that </w:t>
      </w:r>
      <w:r w:rsidR="00790600" w:rsidRPr="00337C97">
        <w:rPr>
          <w:rFonts w:asciiTheme="minorHAnsi" w:hAnsiTheme="minorHAnsi"/>
          <w:lang w:val="en-US"/>
        </w:rPr>
        <w:t xml:space="preserve">is </w:t>
      </w:r>
      <w:r w:rsidR="00341A42" w:rsidRPr="00337C97">
        <w:rPr>
          <w:rFonts w:asciiTheme="minorHAnsi" w:hAnsiTheme="minorHAnsi"/>
          <w:lang w:val="en-US"/>
        </w:rPr>
        <w:t>adopted</w:t>
      </w:r>
      <w:r w:rsidR="00790600" w:rsidRPr="00337C97">
        <w:rPr>
          <w:rFonts w:asciiTheme="minorHAnsi" w:hAnsiTheme="minorHAnsi"/>
          <w:lang w:val="en-US"/>
        </w:rPr>
        <w:t xml:space="preserve"> </w:t>
      </w:r>
      <w:r w:rsidR="00555379" w:rsidRPr="00337C97">
        <w:rPr>
          <w:rFonts w:asciiTheme="minorHAnsi" w:hAnsiTheme="minorHAnsi"/>
          <w:lang w:val="en-US"/>
        </w:rPr>
        <w:t xml:space="preserve">to test the developed hypotheses </w:t>
      </w:r>
      <w:r w:rsidRPr="00337C97">
        <w:rPr>
          <w:rFonts w:asciiTheme="minorHAnsi" w:hAnsiTheme="minorHAnsi"/>
          <w:lang w:val="en-US"/>
        </w:rPr>
        <w:t>is the following:</w:t>
      </w:r>
    </w:p>
    <w:p w:rsidR="00AA3252" w:rsidRPr="00337C97" w:rsidRDefault="00AA3252" w:rsidP="00AA3252">
      <w:pPr>
        <w:pStyle w:val="000"/>
        <w:spacing w:line="360" w:lineRule="auto"/>
        <w:jc w:val="both"/>
        <w:rPr>
          <w:rFonts w:asciiTheme="minorHAnsi" w:hAnsiTheme="minorHAnsi"/>
          <w:lang w:val="en-US"/>
        </w:rPr>
      </w:pPr>
    </w:p>
    <w:p w:rsidR="00AA3252" w:rsidRPr="00337C97" w:rsidRDefault="00687A1C" w:rsidP="00AA3252">
      <w:pPr>
        <w:pStyle w:val="000"/>
        <w:spacing w:line="360" w:lineRule="auto"/>
        <w:jc w:val="both"/>
        <w:rPr>
          <w:rFonts w:asciiTheme="minorHAnsi" w:hAnsiTheme="minorHAnsi"/>
          <w:lang w:val="en-US"/>
        </w:rPr>
      </w:pPr>
      <w:r w:rsidRPr="00337C97">
        <w:rPr>
          <w:rFonts w:asciiTheme="minorHAnsi" w:hAnsiTheme="minorHAnsi"/>
          <w:position w:val="-30"/>
          <w:lang w:val="en-US"/>
        </w:rPr>
        <w:object w:dxaOrig="534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75pt;height:48pt" o:ole="">
            <v:imagedata r:id="rId10" o:title=""/>
          </v:shape>
          <o:OLEObject Type="Embed" ProgID="Equation.3" ShapeID="_x0000_i1025" DrawAspect="Content" ObjectID="_1343401126" r:id="rId11"/>
        </w:object>
      </w:r>
    </w:p>
    <w:p w:rsidR="00AA3252" w:rsidRPr="00337C97" w:rsidRDefault="00AA3252" w:rsidP="00AA3252">
      <w:pPr>
        <w:pStyle w:val="000"/>
        <w:spacing w:line="360" w:lineRule="auto"/>
        <w:jc w:val="both"/>
        <w:rPr>
          <w:rFonts w:asciiTheme="minorHAnsi" w:hAnsiTheme="minorHAnsi"/>
          <w:lang w:val="en-US"/>
        </w:rPr>
      </w:pPr>
    </w:p>
    <w:p w:rsidR="004202EF" w:rsidRDefault="004202EF">
      <w:pPr>
        <w:rPr>
          <w:rFonts w:asciiTheme="minorHAnsi" w:hAnsiTheme="minorHAnsi" w:cs="Times New Roman"/>
          <w:sz w:val="22"/>
          <w:szCs w:val="20"/>
          <w:lang w:val="en-US" w:eastAsia="en-US" w:bidi="ar-SA"/>
        </w:rPr>
      </w:pPr>
      <w:r>
        <w:rPr>
          <w:rFonts w:asciiTheme="minorHAnsi" w:hAnsiTheme="minorHAnsi"/>
          <w:lang w:val="en-US"/>
        </w:rPr>
        <w:br w:type="page"/>
      </w:r>
    </w:p>
    <w:p w:rsidR="00AA3252" w:rsidRPr="00337C97" w:rsidRDefault="00AA3252" w:rsidP="00AA3252">
      <w:pPr>
        <w:pStyle w:val="000"/>
        <w:spacing w:line="360" w:lineRule="auto"/>
        <w:jc w:val="both"/>
        <w:rPr>
          <w:rFonts w:asciiTheme="minorHAnsi" w:hAnsiTheme="minorHAnsi"/>
          <w:lang w:val="en-US"/>
        </w:rPr>
      </w:pPr>
      <w:r w:rsidRPr="00337C97">
        <w:rPr>
          <w:rFonts w:asciiTheme="minorHAnsi" w:hAnsiTheme="minorHAnsi"/>
          <w:lang w:val="en-US"/>
        </w:rPr>
        <w:lastRenderedPageBreak/>
        <w:t xml:space="preserve">RDSCORE </w:t>
      </w:r>
      <w:r w:rsidRPr="00337C97">
        <w:rPr>
          <w:rFonts w:asciiTheme="minorHAnsi" w:hAnsiTheme="minorHAnsi"/>
          <w:lang w:val="en-US"/>
        </w:rPr>
        <w:tab/>
        <w:t>= numbe</w:t>
      </w:r>
      <w:r w:rsidR="00952D6F" w:rsidRPr="00337C97">
        <w:rPr>
          <w:rFonts w:asciiTheme="minorHAnsi" w:hAnsiTheme="minorHAnsi"/>
          <w:lang w:val="en-US"/>
        </w:rPr>
        <w:t>r of sentences related to risks</w:t>
      </w:r>
    </w:p>
    <w:p w:rsidR="00AA3252" w:rsidRPr="00337C97" w:rsidRDefault="00AA3252"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SIZE </w:t>
      </w:r>
      <w:r w:rsidRPr="00337C97">
        <w:rPr>
          <w:rFonts w:asciiTheme="minorHAnsi" w:hAnsiTheme="minorHAnsi"/>
          <w:lang w:val="en-US"/>
        </w:rPr>
        <w:tab/>
      </w:r>
      <w:r w:rsidRPr="00337C97">
        <w:rPr>
          <w:rFonts w:asciiTheme="minorHAnsi" w:hAnsiTheme="minorHAnsi"/>
          <w:lang w:val="en-US"/>
        </w:rPr>
        <w:tab/>
        <w:t>=</w:t>
      </w:r>
      <w:r w:rsidR="00341A42" w:rsidRPr="00337C97">
        <w:rPr>
          <w:rFonts w:asciiTheme="minorHAnsi" w:hAnsiTheme="minorHAnsi"/>
          <w:lang w:val="en-US"/>
        </w:rPr>
        <w:t xml:space="preserve"> bank size in total assets</w:t>
      </w:r>
      <w:r w:rsidR="00D47F3B" w:rsidRPr="00337C97">
        <w:rPr>
          <w:rFonts w:asciiTheme="minorHAnsi" w:hAnsiTheme="minorHAnsi"/>
          <w:lang w:val="en-US"/>
        </w:rPr>
        <w:t xml:space="preserve"> (in millions US$)</w:t>
      </w:r>
    </w:p>
    <w:p w:rsidR="00341A42" w:rsidRPr="00337C97" w:rsidRDefault="00952D6F" w:rsidP="00AA3252">
      <w:pPr>
        <w:pStyle w:val="000"/>
        <w:spacing w:line="360" w:lineRule="auto"/>
        <w:jc w:val="both"/>
        <w:rPr>
          <w:rFonts w:asciiTheme="minorHAnsi" w:hAnsiTheme="minorHAnsi"/>
          <w:lang w:val="en-US"/>
        </w:rPr>
      </w:pPr>
      <w:r w:rsidRPr="00337C97">
        <w:rPr>
          <w:rFonts w:asciiTheme="minorHAnsi" w:hAnsiTheme="minorHAnsi"/>
          <w:lang w:val="en-US"/>
        </w:rPr>
        <w:t>PROF</w:t>
      </w:r>
      <w:r w:rsidR="00AA3252" w:rsidRPr="00337C97">
        <w:rPr>
          <w:rFonts w:asciiTheme="minorHAnsi" w:hAnsiTheme="minorHAnsi"/>
          <w:lang w:val="en-US"/>
        </w:rPr>
        <w:t xml:space="preserve"> </w:t>
      </w:r>
      <w:r w:rsidR="00AA3252" w:rsidRPr="00337C97">
        <w:rPr>
          <w:rFonts w:asciiTheme="minorHAnsi" w:hAnsiTheme="minorHAnsi"/>
          <w:lang w:val="en-US"/>
        </w:rPr>
        <w:tab/>
      </w:r>
      <w:r w:rsidRPr="00337C97">
        <w:rPr>
          <w:rFonts w:asciiTheme="minorHAnsi" w:hAnsiTheme="minorHAnsi"/>
          <w:lang w:val="en-US"/>
        </w:rPr>
        <w:tab/>
      </w:r>
      <w:r w:rsidR="00AA3252" w:rsidRPr="00337C97">
        <w:rPr>
          <w:rFonts w:asciiTheme="minorHAnsi" w:hAnsiTheme="minorHAnsi"/>
          <w:lang w:val="en-US"/>
        </w:rPr>
        <w:t xml:space="preserve">= bank’s profitability in </w:t>
      </w:r>
      <w:r w:rsidR="00341A42" w:rsidRPr="00337C97">
        <w:rPr>
          <w:rFonts w:asciiTheme="minorHAnsi" w:hAnsiTheme="minorHAnsi"/>
          <w:lang w:val="en-US"/>
        </w:rPr>
        <w:t>return on (average) assets</w:t>
      </w:r>
    </w:p>
    <w:p w:rsidR="00AA3252" w:rsidRPr="00337C97" w:rsidRDefault="00952D6F" w:rsidP="00AA3252">
      <w:pPr>
        <w:pStyle w:val="000"/>
        <w:spacing w:line="360" w:lineRule="auto"/>
        <w:jc w:val="both"/>
        <w:rPr>
          <w:rFonts w:asciiTheme="minorHAnsi" w:hAnsiTheme="minorHAnsi"/>
          <w:lang w:val="en-US"/>
        </w:rPr>
      </w:pPr>
      <w:r w:rsidRPr="00337C97">
        <w:rPr>
          <w:rFonts w:asciiTheme="minorHAnsi" w:hAnsiTheme="minorHAnsi"/>
          <w:lang w:val="en-US"/>
        </w:rPr>
        <w:t>LEV</w:t>
      </w:r>
      <w:r w:rsidR="00AA3252" w:rsidRPr="00337C97">
        <w:rPr>
          <w:rFonts w:asciiTheme="minorHAnsi" w:hAnsiTheme="minorHAnsi"/>
          <w:lang w:val="en-US"/>
        </w:rPr>
        <w:t xml:space="preserve"> </w:t>
      </w:r>
      <w:r w:rsidR="00AA3252" w:rsidRPr="00337C97">
        <w:rPr>
          <w:rFonts w:asciiTheme="minorHAnsi" w:hAnsiTheme="minorHAnsi"/>
          <w:lang w:val="en-US"/>
        </w:rPr>
        <w:tab/>
      </w:r>
      <w:r w:rsidR="00AA3252" w:rsidRPr="00337C97">
        <w:rPr>
          <w:rFonts w:asciiTheme="minorHAnsi" w:hAnsiTheme="minorHAnsi"/>
          <w:lang w:val="en-US"/>
        </w:rPr>
        <w:tab/>
        <w:t>= bank’s level of risk (</w:t>
      </w:r>
      <w:r w:rsidRPr="00337C97">
        <w:rPr>
          <w:rFonts w:asciiTheme="minorHAnsi" w:hAnsiTheme="minorHAnsi"/>
          <w:lang w:val="en-US"/>
        </w:rPr>
        <w:t>leverage as proxy</w:t>
      </w:r>
      <w:r w:rsidR="00AA3252" w:rsidRPr="00337C97">
        <w:rPr>
          <w:rFonts w:asciiTheme="minorHAnsi" w:hAnsiTheme="minorHAnsi"/>
          <w:lang w:val="en-US"/>
        </w:rPr>
        <w:t>)</w:t>
      </w:r>
    </w:p>
    <w:p w:rsidR="00AA3252" w:rsidRPr="00337C97" w:rsidRDefault="007146B0" w:rsidP="00AA3252">
      <w:pPr>
        <w:pStyle w:val="000"/>
        <w:spacing w:line="360" w:lineRule="auto"/>
        <w:jc w:val="both"/>
        <w:rPr>
          <w:rFonts w:asciiTheme="minorHAnsi" w:hAnsiTheme="minorHAnsi"/>
          <w:lang w:val="en-US"/>
        </w:rPr>
      </w:pPr>
      <w:r w:rsidRPr="00337C97">
        <w:rPr>
          <w:rFonts w:asciiTheme="minorHAnsi" w:hAnsiTheme="minorHAnsi"/>
          <w:lang w:val="en-US"/>
        </w:rPr>
        <w:t>ML</w:t>
      </w:r>
      <w:r w:rsidRPr="00337C97">
        <w:rPr>
          <w:rFonts w:asciiTheme="minorHAnsi" w:hAnsiTheme="minorHAnsi"/>
          <w:lang w:val="en-US"/>
        </w:rPr>
        <w:tab/>
      </w:r>
      <w:r w:rsidRPr="00337C97">
        <w:rPr>
          <w:rFonts w:asciiTheme="minorHAnsi" w:hAnsiTheme="minorHAnsi"/>
          <w:lang w:val="en-US"/>
        </w:rPr>
        <w:tab/>
        <w:t>= bank’s multiple listing (</w:t>
      </w:r>
      <w:r w:rsidR="00AA3252" w:rsidRPr="00337C97">
        <w:rPr>
          <w:rFonts w:asciiTheme="minorHAnsi" w:hAnsiTheme="minorHAnsi"/>
          <w:lang w:val="en-US"/>
        </w:rPr>
        <w:t>1 if a bank is multiple listed, 0 if not)</w:t>
      </w:r>
    </w:p>
    <w:p w:rsidR="00AA3252" w:rsidRPr="00337C97" w:rsidRDefault="00AA3252"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CR </w:t>
      </w:r>
      <w:r w:rsidRPr="00337C97">
        <w:rPr>
          <w:rFonts w:asciiTheme="minorHAnsi" w:hAnsiTheme="minorHAnsi"/>
          <w:lang w:val="en-US"/>
        </w:rPr>
        <w:tab/>
      </w:r>
      <w:r w:rsidRPr="00337C97">
        <w:rPr>
          <w:rFonts w:asciiTheme="minorHAnsi" w:hAnsiTheme="minorHAnsi"/>
          <w:lang w:val="en-US"/>
        </w:rPr>
        <w:tab/>
        <w:t>= bank’s</w:t>
      </w:r>
      <w:r w:rsidR="00D6648E" w:rsidRPr="00337C97">
        <w:rPr>
          <w:rFonts w:asciiTheme="minorHAnsi" w:hAnsiTheme="minorHAnsi"/>
          <w:lang w:val="en-US"/>
        </w:rPr>
        <w:t xml:space="preserve"> long-term </w:t>
      </w:r>
      <w:r w:rsidRPr="00337C97">
        <w:rPr>
          <w:rFonts w:asciiTheme="minorHAnsi" w:hAnsiTheme="minorHAnsi"/>
          <w:lang w:val="en-US"/>
        </w:rPr>
        <w:t>credit rating (</w:t>
      </w:r>
      <w:r w:rsidR="00952D6F" w:rsidRPr="00337C97">
        <w:rPr>
          <w:rFonts w:asciiTheme="minorHAnsi" w:hAnsiTheme="minorHAnsi"/>
          <w:lang w:val="en-US"/>
        </w:rPr>
        <w:t>scale variable</w:t>
      </w:r>
      <w:r w:rsidRPr="00337C97">
        <w:rPr>
          <w:rFonts w:asciiTheme="minorHAnsi" w:hAnsiTheme="minorHAnsi"/>
          <w:lang w:val="en-US"/>
        </w:rPr>
        <w:t>)</w:t>
      </w:r>
    </w:p>
    <w:p w:rsidR="00AA3252" w:rsidRPr="00337C97" w:rsidRDefault="00AA3252"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TIER </w:t>
      </w:r>
      <w:r w:rsidRPr="00337C97">
        <w:rPr>
          <w:rFonts w:asciiTheme="minorHAnsi" w:hAnsiTheme="minorHAnsi"/>
          <w:lang w:val="en-US"/>
        </w:rPr>
        <w:tab/>
      </w:r>
      <w:r w:rsidRPr="00337C97">
        <w:rPr>
          <w:rFonts w:asciiTheme="minorHAnsi" w:hAnsiTheme="minorHAnsi"/>
          <w:lang w:val="en-US"/>
        </w:rPr>
        <w:tab/>
        <w:t xml:space="preserve">= bank’s organizational structure (1 if </w:t>
      </w:r>
      <w:r w:rsidR="007146B0" w:rsidRPr="00337C97">
        <w:rPr>
          <w:rFonts w:asciiTheme="minorHAnsi" w:hAnsiTheme="minorHAnsi"/>
          <w:lang w:val="en-US"/>
        </w:rPr>
        <w:t xml:space="preserve">it </w:t>
      </w:r>
      <w:r w:rsidRPr="00337C97">
        <w:rPr>
          <w:rFonts w:asciiTheme="minorHAnsi" w:hAnsiTheme="minorHAnsi"/>
          <w:lang w:val="en-US"/>
        </w:rPr>
        <w:t>is two-tier, 0 if it is one-tier)</w:t>
      </w:r>
    </w:p>
    <w:p w:rsidR="00AA3252" w:rsidRPr="00337C97" w:rsidRDefault="00AA3252"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NONEXEC </w:t>
      </w:r>
      <w:r w:rsidRPr="00337C97">
        <w:rPr>
          <w:rFonts w:asciiTheme="minorHAnsi" w:hAnsiTheme="minorHAnsi"/>
          <w:lang w:val="en-US"/>
        </w:rPr>
        <w:tab/>
        <w:t>= proportion of non-executive board directors</w:t>
      </w:r>
      <w:r w:rsidR="00D47F3B" w:rsidRPr="00337C97">
        <w:rPr>
          <w:rFonts w:asciiTheme="minorHAnsi" w:hAnsiTheme="minorHAnsi"/>
          <w:lang w:val="en-US"/>
        </w:rPr>
        <w:t xml:space="preserve"> divided by total board directors</w:t>
      </w:r>
    </w:p>
    <w:p w:rsidR="00AA3252" w:rsidRPr="00337C97" w:rsidRDefault="00AA3252" w:rsidP="00AA3252">
      <w:pPr>
        <w:pStyle w:val="000"/>
        <w:spacing w:line="360" w:lineRule="auto"/>
        <w:jc w:val="both"/>
        <w:rPr>
          <w:rFonts w:asciiTheme="minorHAnsi" w:hAnsiTheme="minorHAnsi"/>
          <w:lang w:val="en-US"/>
        </w:rPr>
      </w:pPr>
    </w:p>
    <w:p w:rsidR="00341A42" w:rsidRPr="00337C97" w:rsidRDefault="00C93015" w:rsidP="00AA3252">
      <w:pPr>
        <w:pStyle w:val="000"/>
        <w:spacing w:line="360" w:lineRule="auto"/>
        <w:jc w:val="both"/>
        <w:rPr>
          <w:rFonts w:asciiTheme="minorHAnsi" w:hAnsiTheme="minorHAnsi"/>
          <w:lang w:val="en-US"/>
        </w:rPr>
      </w:pPr>
      <w:r w:rsidRPr="00337C97">
        <w:rPr>
          <w:rFonts w:asciiTheme="minorHAnsi" w:hAnsiTheme="minorHAnsi"/>
          <w:lang w:val="en-US"/>
        </w:rPr>
        <w:t xml:space="preserve">In executing the regression analysis, the model needs to be slightly adapted. The reason is that </w:t>
      </w:r>
      <w:r w:rsidR="0011530D" w:rsidRPr="00337C97">
        <w:rPr>
          <w:rFonts w:asciiTheme="minorHAnsi" w:hAnsiTheme="minorHAnsi"/>
          <w:lang w:val="en-US"/>
        </w:rPr>
        <w:t xml:space="preserve">the variable TIER and the variable NONEXEC </w:t>
      </w:r>
      <w:r w:rsidR="00147041" w:rsidRPr="00337C97">
        <w:rPr>
          <w:rFonts w:asciiTheme="minorHAnsi" w:hAnsiTheme="minorHAnsi"/>
          <w:lang w:val="en-US"/>
        </w:rPr>
        <w:t>are dependent upon each other (NONEXEC has only a value when the TIER value amounts 0)</w:t>
      </w:r>
      <w:r w:rsidRPr="00337C97">
        <w:rPr>
          <w:rFonts w:asciiTheme="minorHAnsi" w:hAnsiTheme="minorHAnsi"/>
          <w:lang w:val="en-US"/>
        </w:rPr>
        <w:t>. This problem is solved by f</w:t>
      </w:r>
      <w:r w:rsidR="00147041" w:rsidRPr="00337C97">
        <w:rPr>
          <w:rFonts w:asciiTheme="minorHAnsi" w:hAnsiTheme="minorHAnsi"/>
          <w:lang w:val="en-US"/>
        </w:rPr>
        <w:t>irst</w:t>
      </w:r>
      <w:r w:rsidRPr="00337C97">
        <w:rPr>
          <w:rFonts w:asciiTheme="minorHAnsi" w:hAnsiTheme="minorHAnsi"/>
          <w:lang w:val="en-US"/>
        </w:rPr>
        <w:t xml:space="preserve"> execute </w:t>
      </w:r>
      <w:r w:rsidR="00147041" w:rsidRPr="00337C97">
        <w:rPr>
          <w:rFonts w:asciiTheme="minorHAnsi" w:hAnsiTheme="minorHAnsi"/>
          <w:lang w:val="en-US"/>
        </w:rPr>
        <w:t xml:space="preserve">the regression analysis without adding NONEXEC, </w:t>
      </w:r>
      <w:r w:rsidRPr="00337C97">
        <w:rPr>
          <w:rFonts w:asciiTheme="minorHAnsi" w:hAnsiTheme="minorHAnsi"/>
          <w:lang w:val="en-US"/>
        </w:rPr>
        <w:t xml:space="preserve">but </w:t>
      </w:r>
      <w:r w:rsidR="00147041" w:rsidRPr="00337C97">
        <w:rPr>
          <w:rFonts w:asciiTheme="minorHAnsi" w:hAnsiTheme="minorHAnsi"/>
          <w:lang w:val="en-US"/>
        </w:rPr>
        <w:t>testing for all other variables. After that, to be able to test the variable NONEXEC, the variable TIER is removed and the variable NONEXEC is added.</w:t>
      </w:r>
    </w:p>
    <w:p w:rsidR="00341A42" w:rsidRPr="00337C97" w:rsidRDefault="00341A42" w:rsidP="00AA3252">
      <w:pPr>
        <w:pStyle w:val="000"/>
        <w:spacing w:line="360" w:lineRule="auto"/>
        <w:jc w:val="both"/>
        <w:rPr>
          <w:rFonts w:asciiTheme="minorHAnsi" w:hAnsiTheme="minorHAnsi"/>
          <w:lang w:val="en-US"/>
        </w:rPr>
      </w:pPr>
    </w:p>
    <w:p w:rsidR="00AA3252" w:rsidRPr="00337C97" w:rsidRDefault="001E7A5D" w:rsidP="00AA3252">
      <w:pPr>
        <w:pStyle w:val="000"/>
        <w:spacing w:line="360" w:lineRule="auto"/>
        <w:jc w:val="both"/>
        <w:rPr>
          <w:rFonts w:asciiTheme="minorHAnsi" w:hAnsiTheme="minorHAnsi"/>
          <w:b/>
          <w:lang w:val="en-US"/>
        </w:rPr>
      </w:pPr>
      <w:r w:rsidRPr="00337C97">
        <w:rPr>
          <w:rFonts w:asciiTheme="minorHAnsi" w:hAnsiTheme="minorHAnsi"/>
          <w:lang w:val="en-US"/>
        </w:rPr>
        <w:t xml:space="preserve">Before executing regression analysis, </w:t>
      </w:r>
      <w:r w:rsidR="00553058" w:rsidRPr="00337C97">
        <w:rPr>
          <w:rFonts w:asciiTheme="minorHAnsi" w:hAnsiTheme="minorHAnsi"/>
          <w:lang w:val="en-US"/>
        </w:rPr>
        <w:t>attention needs</w:t>
      </w:r>
      <w:r w:rsidRPr="00337C97">
        <w:rPr>
          <w:rFonts w:asciiTheme="minorHAnsi" w:hAnsiTheme="minorHAnsi"/>
          <w:lang w:val="en-US"/>
        </w:rPr>
        <w:t xml:space="preserve"> to be paid to the structure of the data. Cooke (1998, p. 209). The problem of multicollinearity has to be determined. Transformation of the data is possible to overcome non-normality. </w:t>
      </w:r>
      <w:r w:rsidR="00FB6308" w:rsidRPr="00337C97">
        <w:rPr>
          <w:rFonts w:asciiTheme="minorHAnsi" w:hAnsiTheme="minorHAnsi"/>
          <w:lang w:val="en-US"/>
        </w:rPr>
        <w:t xml:space="preserve">Another option recommended by Cooke (1998, p. 209) is using Rank Regression. </w:t>
      </w:r>
      <w:r w:rsidRPr="00337C97">
        <w:rPr>
          <w:rFonts w:asciiTheme="minorHAnsi" w:hAnsiTheme="minorHAnsi"/>
          <w:lang w:val="en-US"/>
        </w:rPr>
        <w:t>The data analysis in the next chapter deals with these issues.</w:t>
      </w:r>
    </w:p>
    <w:p w:rsidR="004632F9" w:rsidRPr="00337C97" w:rsidRDefault="004632F9" w:rsidP="004632F9">
      <w:pPr>
        <w:pStyle w:val="000"/>
        <w:spacing w:line="360" w:lineRule="auto"/>
        <w:jc w:val="both"/>
        <w:rPr>
          <w:rFonts w:asciiTheme="minorHAnsi" w:hAnsiTheme="minorHAnsi"/>
          <w:lang w:val="en-US"/>
        </w:rPr>
      </w:pPr>
    </w:p>
    <w:p w:rsidR="00665C97" w:rsidRPr="00337C97" w:rsidRDefault="00A26055" w:rsidP="001919AE">
      <w:pPr>
        <w:pStyle w:val="000"/>
        <w:spacing w:line="360" w:lineRule="auto"/>
        <w:jc w:val="both"/>
        <w:outlineLvl w:val="1"/>
        <w:rPr>
          <w:rFonts w:asciiTheme="minorHAnsi" w:hAnsiTheme="minorHAnsi"/>
          <w:b/>
          <w:lang w:val="en-US"/>
        </w:rPr>
      </w:pPr>
      <w:bookmarkStart w:id="286" w:name="_Toc245187920"/>
      <w:bookmarkStart w:id="287" w:name="_Toc269658964"/>
      <w:bookmarkEnd w:id="284"/>
      <w:bookmarkEnd w:id="285"/>
      <w:r w:rsidRPr="00337C97">
        <w:rPr>
          <w:rFonts w:asciiTheme="minorHAnsi" w:hAnsiTheme="minorHAnsi"/>
          <w:b/>
          <w:lang w:val="en-US"/>
        </w:rPr>
        <w:t>5.6</w:t>
      </w:r>
      <w:r w:rsidR="00665C97" w:rsidRPr="00337C97">
        <w:rPr>
          <w:rFonts w:asciiTheme="minorHAnsi" w:hAnsiTheme="minorHAnsi"/>
          <w:b/>
          <w:lang w:val="en-US"/>
        </w:rPr>
        <w:tab/>
        <w:t>Independent variable definition</w:t>
      </w:r>
      <w:bookmarkEnd w:id="286"/>
      <w:bookmarkEnd w:id="287"/>
    </w:p>
    <w:p w:rsidR="00665C97" w:rsidRPr="00337C97" w:rsidRDefault="00555379" w:rsidP="00665C97">
      <w:pPr>
        <w:pStyle w:val="000"/>
        <w:spacing w:line="360" w:lineRule="auto"/>
        <w:jc w:val="both"/>
        <w:rPr>
          <w:rFonts w:asciiTheme="minorHAnsi" w:hAnsiTheme="minorHAnsi"/>
          <w:lang w:val="en-US"/>
        </w:rPr>
      </w:pPr>
      <w:r w:rsidRPr="00337C97">
        <w:rPr>
          <w:rFonts w:asciiTheme="minorHAnsi" w:hAnsiTheme="minorHAnsi"/>
          <w:lang w:val="en-US"/>
        </w:rPr>
        <w:t>T</w:t>
      </w:r>
      <w:r w:rsidR="00665C97" w:rsidRPr="00337C97">
        <w:rPr>
          <w:rFonts w:asciiTheme="minorHAnsi" w:hAnsiTheme="minorHAnsi"/>
          <w:lang w:val="en-US"/>
        </w:rPr>
        <w:t xml:space="preserve">he following independent variables need to be measured: size, profitability, level of risk, </w:t>
      </w:r>
      <w:r w:rsidR="001717CF" w:rsidRPr="00337C97">
        <w:rPr>
          <w:rFonts w:asciiTheme="minorHAnsi" w:hAnsiTheme="minorHAnsi"/>
          <w:lang w:val="en-US"/>
        </w:rPr>
        <w:t>multiple listing, organizational structure and board composition.</w:t>
      </w:r>
    </w:p>
    <w:p w:rsidR="001717CF" w:rsidRPr="00337C97" w:rsidRDefault="001717CF" w:rsidP="00665C97">
      <w:pPr>
        <w:pStyle w:val="000"/>
        <w:spacing w:line="360" w:lineRule="auto"/>
        <w:jc w:val="both"/>
        <w:rPr>
          <w:rFonts w:asciiTheme="minorHAnsi" w:hAnsiTheme="minorHAnsi"/>
          <w:lang w:val="en-US"/>
        </w:rPr>
      </w:pPr>
    </w:p>
    <w:p w:rsidR="001717CF" w:rsidRPr="00337C97" w:rsidRDefault="001717CF" w:rsidP="00665C97">
      <w:pPr>
        <w:pStyle w:val="000"/>
        <w:spacing w:line="360" w:lineRule="auto"/>
        <w:jc w:val="both"/>
        <w:rPr>
          <w:rFonts w:asciiTheme="minorHAnsi" w:hAnsiTheme="minorHAnsi"/>
          <w:lang w:val="en-US"/>
        </w:rPr>
      </w:pPr>
      <w:r w:rsidRPr="00337C97">
        <w:rPr>
          <w:rFonts w:asciiTheme="minorHAnsi" w:hAnsiTheme="minorHAnsi"/>
          <w:u w:val="single"/>
          <w:lang w:val="en-US"/>
        </w:rPr>
        <w:t>Size</w:t>
      </w:r>
    </w:p>
    <w:p w:rsidR="00665C97" w:rsidRPr="00337C97" w:rsidRDefault="001717CF" w:rsidP="00665C97">
      <w:pPr>
        <w:pStyle w:val="000"/>
        <w:spacing w:line="360" w:lineRule="auto"/>
        <w:jc w:val="both"/>
        <w:rPr>
          <w:rFonts w:asciiTheme="minorHAnsi" w:hAnsiTheme="minorHAnsi"/>
          <w:lang w:val="en-US"/>
        </w:rPr>
      </w:pPr>
      <w:r w:rsidRPr="00337C97">
        <w:rPr>
          <w:rFonts w:asciiTheme="minorHAnsi" w:hAnsiTheme="minorHAnsi"/>
          <w:lang w:val="en-US"/>
        </w:rPr>
        <w:t xml:space="preserve">Previous disclosure studies have measured size in different ways including turnover, total assets, employee numbers and market capitalization. According to Hackston and Milne (1996) there is no theoretical reason to favor one measure over another. Furthermore, prior research shows that turnover, total assets and market capitalization are </w:t>
      </w:r>
      <w:r w:rsidR="00366AB6" w:rsidRPr="00337C97">
        <w:rPr>
          <w:rFonts w:asciiTheme="minorHAnsi" w:hAnsiTheme="minorHAnsi"/>
          <w:lang w:val="en-US"/>
        </w:rPr>
        <w:t xml:space="preserve">all </w:t>
      </w:r>
      <w:r w:rsidRPr="00337C97">
        <w:rPr>
          <w:rFonts w:asciiTheme="minorHAnsi" w:hAnsiTheme="minorHAnsi"/>
          <w:lang w:val="en-US"/>
        </w:rPr>
        <w:t xml:space="preserve">found significantly related to the extent of risk reporting. However, Linsley et al. (2006) argue that turnover is an inappropriate measure </w:t>
      </w:r>
      <w:r w:rsidR="00366AB6" w:rsidRPr="00337C97">
        <w:rPr>
          <w:rFonts w:asciiTheme="minorHAnsi" w:hAnsiTheme="minorHAnsi"/>
          <w:lang w:val="en-US"/>
        </w:rPr>
        <w:t xml:space="preserve">for </w:t>
      </w:r>
      <w:r w:rsidRPr="00337C97">
        <w:rPr>
          <w:rFonts w:asciiTheme="minorHAnsi" w:hAnsiTheme="minorHAnsi"/>
          <w:lang w:val="en-US"/>
        </w:rPr>
        <w:t xml:space="preserve">the size </w:t>
      </w:r>
      <w:r w:rsidR="00366AB6" w:rsidRPr="00337C97">
        <w:rPr>
          <w:rFonts w:asciiTheme="minorHAnsi" w:hAnsiTheme="minorHAnsi"/>
          <w:lang w:val="en-US"/>
        </w:rPr>
        <w:t xml:space="preserve">of </w:t>
      </w:r>
      <w:r w:rsidRPr="00337C97">
        <w:rPr>
          <w:rFonts w:asciiTheme="minorHAnsi" w:hAnsiTheme="minorHAnsi"/>
          <w:lang w:val="en-US"/>
        </w:rPr>
        <w:t xml:space="preserve">banks as their profits do not derive from sales in the same way that the profits of, for example, a manufacturing company derive from </w:t>
      </w:r>
      <w:r w:rsidR="00EE6AD7" w:rsidRPr="00337C97">
        <w:rPr>
          <w:rFonts w:asciiTheme="minorHAnsi" w:hAnsiTheme="minorHAnsi"/>
          <w:lang w:val="en-US"/>
        </w:rPr>
        <w:t xml:space="preserve">sales. Furthermore, in the author’s opinion, the accuracy of market capitalization </w:t>
      </w:r>
      <w:r w:rsidR="00366AB6" w:rsidRPr="00337C97">
        <w:rPr>
          <w:rFonts w:asciiTheme="minorHAnsi" w:hAnsiTheme="minorHAnsi"/>
          <w:lang w:val="en-US"/>
        </w:rPr>
        <w:t xml:space="preserve">as a proxy for size </w:t>
      </w:r>
      <w:r w:rsidR="00EE6AD7" w:rsidRPr="00337C97">
        <w:rPr>
          <w:rFonts w:asciiTheme="minorHAnsi" w:hAnsiTheme="minorHAnsi"/>
          <w:lang w:val="en-US"/>
        </w:rPr>
        <w:t xml:space="preserve">may be reduced by turbulent market movements. Therefore this study uses </w:t>
      </w:r>
      <w:r w:rsidRPr="00337C97">
        <w:rPr>
          <w:rFonts w:asciiTheme="minorHAnsi" w:hAnsiTheme="minorHAnsi"/>
          <w:lang w:val="en-US"/>
        </w:rPr>
        <w:t xml:space="preserve">total assets </w:t>
      </w:r>
      <w:r w:rsidR="00EE6AD7" w:rsidRPr="00337C97">
        <w:rPr>
          <w:rFonts w:asciiTheme="minorHAnsi" w:hAnsiTheme="minorHAnsi"/>
          <w:lang w:val="en-US"/>
        </w:rPr>
        <w:t xml:space="preserve">to </w:t>
      </w:r>
      <w:r w:rsidRPr="00337C97">
        <w:rPr>
          <w:rFonts w:asciiTheme="minorHAnsi" w:hAnsiTheme="minorHAnsi"/>
          <w:lang w:val="en-US"/>
        </w:rPr>
        <w:t>measure</w:t>
      </w:r>
      <w:r w:rsidR="00EE6AD7" w:rsidRPr="00337C97">
        <w:rPr>
          <w:rFonts w:asciiTheme="minorHAnsi" w:hAnsiTheme="minorHAnsi"/>
          <w:lang w:val="en-US"/>
        </w:rPr>
        <w:t xml:space="preserve"> bank size.</w:t>
      </w:r>
      <w:r w:rsidR="00861420" w:rsidRPr="00337C97">
        <w:rPr>
          <w:rFonts w:asciiTheme="minorHAnsi" w:hAnsiTheme="minorHAnsi"/>
          <w:lang w:val="en-US"/>
        </w:rPr>
        <w:t xml:space="preserve"> BankScope Financials database is the source of this variable.</w:t>
      </w:r>
    </w:p>
    <w:p w:rsidR="00665C97" w:rsidRPr="00337C97" w:rsidRDefault="00EE6AD7" w:rsidP="00366AF3">
      <w:pPr>
        <w:pStyle w:val="000"/>
        <w:spacing w:line="360" w:lineRule="auto"/>
        <w:jc w:val="both"/>
        <w:rPr>
          <w:rFonts w:asciiTheme="minorHAnsi" w:hAnsiTheme="minorHAnsi"/>
          <w:u w:val="single"/>
          <w:lang w:val="en-US"/>
        </w:rPr>
      </w:pPr>
      <w:r w:rsidRPr="00337C97">
        <w:rPr>
          <w:rFonts w:asciiTheme="minorHAnsi" w:hAnsiTheme="minorHAnsi"/>
          <w:u w:val="single"/>
          <w:lang w:val="en-US"/>
        </w:rPr>
        <w:lastRenderedPageBreak/>
        <w:t>Profitability</w:t>
      </w:r>
    </w:p>
    <w:p w:rsidR="00665C97" w:rsidRPr="00337C97" w:rsidRDefault="00EE6AD7" w:rsidP="00366AF3">
      <w:pPr>
        <w:pStyle w:val="000"/>
        <w:spacing w:line="360" w:lineRule="auto"/>
        <w:jc w:val="both"/>
        <w:rPr>
          <w:rFonts w:asciiTheme="minorHAnsi" w:hAnsiTheme="minorHAnsi"/>
          <w:lang w:val="en-US"/>
        </w:rPr>
      </w:pPr>
      <w:r w:rsidRPr="00337C97">
        <w:rPr>
          <w:rFonts w:asciiTheme="minorHAnsi" w:hAnsiTheme="minorHAnsi"/>
          <w:lang w:val="en-US"/>
        </w:rPr>
        <w:t xml:space="preserve">A common proxy to measure relative profitability is </w:t>
      </w:r>
      <w:r w:rsidR="008B0482" w:rsidRPr="00337C97">
        <w:rPr>
          <w:rFonts w:asciiTheme="minorHAnsi" w:hAnsiTheme="minorHAnsi"/>
          <w:lang w:val="en-US"/>
        </w:rPr>
        <w:t xml:space="preserve">the </w:t>
      </w:r>
      <w:r w:rsidRPr="00337C97">
        <w:rPr>
          <w:rFonts w:asciiTheme="minorHAnsi" w:hAnsiTheme="minorHAnsi"/>
          <w:lang w:val="en-US"/>
        </w:rPr>
        <w:t xml:space="preserve">return on assets </w:t>
      </w:r>
      <w:r w:rsidR="00DC61C9" w:rsidRPr="00337C97">
        <w:rPr>
          <w:rFonts w:asciiTheme="minorHAnsi" w:hAnsiTheme="minorHAnsi"/>
          <w:lang w:val="en-US"/>
        </w:rPr>
        <w:t xml:space="preserve">ratio. This proxy has been </w:t>
      </w:r>
      <w:r w:rsidRPr="00337C97">
        <w:rPr>
          <w:rFonts w:asciiTheme="minorHAnsi" w:hAnsiTheme="minorHAnsi"/>
          <w:lang w:val="en-US"/>
        </w:rPr>
        <w:t xml:space="preserve">used in all previous risk disclosure studies that examined the association of </w:t>
      </w:r>
      <w:r w:rsidR="002D5098" w:rsidRPr="00337C97">
        <w:rPr>
          <w:rFonts w:asciiTheme="minorHAnsi" w:hAnsiTheme="minorHAnsi"/>
          <w:lang w:val="en-US"/>
        </w:rPr>
        <w:t xml:space="preserve">relative </w:t>
      </w:r>
      <w:r w:rsidRPr="00337C97">
        <w:rPr>
          <w:rFonts w:asciiTheme="minorHAnsi" w:hAnsiTheme="minorHAnsi"/>
          <w:lang w:val="en-US"/>
        </w:rPr>
        <w:t>profitability with the extent of risk reporting.</w:t>
      </w:r>
      <w:r w:rsidR="00861420" w:rsidRPr="00337C97">
        <w:rPr>
          <w:rFonts w:asciiTheme="minorHAnsi" w:hAnsiTheme="minorHAnsi"/>
          <w:lang w:val="en-US"/>
        </w:rPr>
        <w:t xml:space="preserve"> BankScope Financials database contains the </w:t>
      </w:r>
      <w:r w:rsidR="00C91D76" w:rsidRPr="00337C97">
        <w:rPr>
          <w:rFonts w:asciiTheme="minorHAnsi" w:hAnsiTheme="minorHAnsi"/>
          <w:lang w:val="en-US"/>
        </w:rPr>
        <w:t>variable ‘</w:t>
      </w:r>
      <w:r w:rsidR="00861420" w:rsidRPr="00337C97">
        <w:rPr>
          <w:rFonts w:asciiTheme="minorHAnsi" w:hAnsiTheme="minorHAnsi"/>
          <w:lang w:val="en-US"/>
        </w:rPr>
        <w:t>return on average assets</w:t>
      </w:r>
      <w:r w:rsidR="00C91D76" w:rsidRPr="00337C97">
        <w:rPr>
          <w:rFonts w:asciiTheme="minorHAnsi" w:hAnsiTheme="minorHAnsi"/>
          <w:lang w:val="en-US"/>
        </w:rPr>
        <w:t xml:space="preserve">’ </w:t>
      </w:r>
      <w:r w:rsidR="00861420" w:rsidRPr="00337C97">
        <w:rPr>
          <w:rFonts w:asciiTheme="minorHAnsi" w:hAnsiTheme="minorHAnsi"/>
          <w:lang w:val="en-US"/>
        </w:rPr>
        <w:t>and this variable is used.</w:t>
      </w:r>
    </w:p>
    <w:p w:rsidR="00EE6AD7" w:rsidRPr="00337C97" w:rsidRDefault="00EE6AD7" w:rsidP="00366AF3">
      <w:pPr>
        <w:pStyle w:val="000"/>
        <w:spacing w:line="360" w:lineRule="auto"/>
        <w:jc w:val="both"/>
        <w:rPr>
          <w:rFonts w:asciiTheme="minorHAnsi" w:hAnsiTheme="minorHAnsi"/>
          <w:lang w:val="en-US"/>
        </w:rPr>
      </w:pPr>
    </w:p>
    <w:p w:rsidR="00EE6AD7" w:rsidRPr="00337C97" w:rsidRDefault="00EE6AD7" w:rsidP="00366AF3">
      <w:pPr>
        <w:pStyle w:val="000"/>
        <w:spacing w:line="360" w:lineRule="auto"/>
        <w:jc w:val="both"/>
        <w:rPr>
          <w:rFonts w:asciiTheme="minorHAnsi" w:hAnsiTheme="minorHAnsi"/>
          <w:u w:val="single"/>
          <w:lang w:val="en-US"/>
        </w:rPr>
      </w:pPr>
      <w:r w:rsidRPr="00337C97">
        <w:rPr>
          <w:rFonts w:asciiTheme="minorHAnsi" w:hAnsiTheme="minorHAnsi"/>
          <w:u w:val="single"/>
          <w:lang w:val="en-US"/>
        </w:rPr>
        <w:t>Level of risk</w:t>
      </w:r>
    </w:p>
    <w:p w:rsidR="00F03121" w:rsidRPr="00337C97" w:rsidRDefault="00EE6AD7" w:rsidP="00F03121">
      <w:pPr>
        <w:pStyle w:val="000"/>
        <w:spacing w:line="360" w:lineRule="auto"/>
        <w:jc w:val="both"/>
        <w:rPr>
          <w:rFonts w:asciiTheme="minorHAnsi" w:hAnsiTheme="minorHAnsi"/>
          <w:lang w:val="en-US"/>
        </w:rPr>
      </w:pPr>
      <w:r w:rsidRPr="00337C97">
        <w:rPr>
          <w:rFonts w:asciiTheme="minorHAnsi" w:hAnsiTheme="minorHAnsi"/>
          <w:lang w:val="en-US"/>
        </w:rPr>
        <w:t xml:space="preserve">Measuring the level of risk within a bank is problematical as there is no single measure that truly encapsulates a bank’s risk level. </w:t>
      </w:r>
      <w:r w:rsidR="00F0707B" w:rsidRPr="00337C97">
        <w:rPr>
          <w:rFonts w:asciiTheme="minorHAnsi" w:hAnsiTheme="minorHAnsi"/>
          <w:lang w:val="en-US"/>
        </w:rPr>
        <w:t xml:space="preserve">Beta factor </w:t>
      </w:r>
      <w:r w:rsidR="009E79B8" w:rsidRPr="00337C97">
        <w:rPr>
          <w:rFonts w:asciiTheme="minorHAnsi" w:hAnsiTheme="minorHAnsi"/>
          <w:lang w:val="en-US"/>
        </w:rPr>
        <w:t xml:space="preserve">(from the CAPM model) </w:t>
      </w:r>
      <w:r w:rsidR="00F0707B" w:rsidRPr="00337C97">
        <w:rPr>
          <w:rFonts w:asciiTheme="minorHAnsi" w:hAnsiTheme="minorHAnsi"/>
          <w:lang w:val="en-US"/>
        </w:rPr>
        <w:t xml:space="preserve">and leverage </w:t>
      </w:r>
      <w:r w:rsidR="009E79B8" w:rsidRPr="00337C97">
        <w:rPr>
          <w:rFonts w:asciiTheme="minorHAnsi" w:hAnsiTheme="minorHAnsi"/>
          <w:lang w:val="en-US"/>
        </w:rPr>
        <w:t xml:space="preserve">(the ratio of total debt to total assets) </w:t>
      </w:r>
      <w:r w:rsidR="00F0707B" w:rsidRPr="00337C97">
        <w:rPr>
          <w:rFonts w:asciiTheme="minorHAnsi" w:hAnsiTheme="minorHAnsi"/>
          <w:lang w:val="en-US"/>
        </w:rPr>
        <w:t xml:space="preserve">are the most used indicators of the level of company risk. Furthermore, asset cover, gearing ratio, ratio of book value of equity to market value of equity and </w:t>
      </w:r>
      <w:r w:rsidR="002D5098" w:rsidRPr="00337C97">
        <w:rPr>
          <w:rFonts w:asciiTheme="minorHAnsi" w:hAnsiTheme="minorHAnsi"/>
          <w:lang w:val="en-US"/>
        </w:rPr>
        <w:t>QuiS</w:t>
      </w:r>
      <w:r w:rsidR="00F0707B" w:rsidRPr="00337C97">
        <w:rPr>
          <w:rFonts w:asciiTheme="minorHAnsi" w:hAnsiTheme="minorHAnsi"/>
          <w:lang w:val="en-US"/>
        </w:rPr>
        <w:t>core are u</w:t>
      </w:r>
      <w:r w:rsidR="002D5098" w:rsidRPr="00337C97">
        <w:rPr>
          <w:rFonts w:asciiTheme="minorHAnsi" w:hAnsiTheme="minorHAnsi"/>
          <w:lang w:val="en-US"/>
        </w:rPr>
        <w:t xml:space="preserve">sed (Linsley and Shrives, 2005b). </w:t>
      </w:r>
      <w:r w:rsidR="00861420" w:rsidRPr="00337C97">
        <w:rPr>
          <w:rFonts w:asciiTheme="minorHAnsi" w:hAnsiTheme="minorHAnsi"/>
          <w:lang w:val="en-US"/>
        </w:rPr>
        <w:t>BankScope Financials database contains the following ratio describing leverage: total equity divided by total assets. A low percentage indica</w:t>
      </w:r>
      <w:r w:rsidR="00C91D76" w:rsidRPr="00337C97">
        <w:rPr>
          <w:rFonts w:asciiTheme="minorHAnsi" w:hAnsiTheme="minorHAnsi"/>
          <w:lang w:val="en-US"/>
        </w:rPr>
        <w:t>tes a high risk and vice versa.</w:t>
      </w:r>
    </w:p>
    <w:p w:rsidR="00FB6308" w:rsidRPr="00337C97" w:rsidRDefault="00FB6308" w:rsidP="00366AF3">
      <w:pPr>
        <w:pStyle w:val="000"/>
        <w:spacing w:line="360" w:lineRule="auto"/>
        <w:jc w:val="both"/>
        <w:rPr>
          <w:rFonts w:asciiTheme="minorHAnsi" w:hAnsiTheme="minorHAnsi"/>
          <w:u w:val="single"/>
          <w:lang w:val="en-US"/>
        </w:rPr>
      </w:pPr>
    </w:p>
    <w:p w:rsidR="00790600" w:rsidRPr="00337C97" w:rsidRDefault="002D5098" w:rsidP="00366AF3">
      <w:pPr>
        <w:pStyle w:val="000"/>
        <w:spacing w:line="360" w:lineRule="auto"/>
        <w:jc w:val="both"/>
        <w:rPr>
          <w:rFonts w:asciiTheme="minorHAnsi" w:hAnsiTheme="minorHAnsi"/>
          <w:u w:val="single"/>
          <w:lang w:val="en-US"/>
        </w:rPr>
      </w:pPr>
      <w:r w:rsidRPr="00337C97">
        <w:rPr>
          <w:rFonts w:asciiTheme="minorHAnsi" w:hAnsiTheme="minorHAnsi"/>
          <w:u w:val="single"/>
          <w:lang w:val="en-US"/>
        </w:rPr>
        <w:t>Multiple listing</w:t>
      </w:r>
    </w:p>
    <w:p w:rsidR="00C17B7D" w:rsidRPr="00337C97" w:rsidRDefault="00C17B7D" w:rsidP="00366AF3">
      <w:pPr>
        <w:pStyle w:val="000"/>
        <w:spacing w:line="360" w:lineRule="auto"/>
        <w:jc w:val="both"/>
        <w:rPr>
          <w:rFonts w:asciiTheme="minorHAnsi" w:hAnsiTheme="minorHAnsi"/>
          <w:u w:val="single"/>
          <w:lang w:val="en-US"/>
        </w:rPr>
      </w:pPr>
      <w:r w:rsidRPr="00337C97">
        <w:rPr>
          <w:rFonts w:asciiTheme="minorHAnsi" w:hAnsiTheme="minorHAnsi"/>
          <w:lang w:val="en-US"/>
        </w:rPr>
        <w:t xml:space="preserve">Manually the sampled banks will be checked whether they are multiple listed on other stock exchanges </w:t>
      </w:r>
      <w:r w:rsidR="00DC61C9" w:rsidRPr="00337C97">
        <w:rPr>
          <w:rFonts w:asciiTheme="minorHAnsi" w:hAnsiTheme="minorHAnsi"/>
          <w:lang w:val="en-US"/>
        </w:rPr>
        <w:t>within the European Union or elsewhere</w:t>
      </w:r>
      <w:r w:rsidRPr="00337C97">
        <w:rPr>
          <w:rFonts w:asciiTheme="minorHAnsi" w:hAnsiTheme="minorHAnsi"/>
          <w:lang w:val="en-US"/>
        </w:rPr>
        <w:t>.</w:t>
      </w:r>
      <w:r w:rsidR="00790600" w:rsidRPr="00337C97">
        <w:rPr>
          <w:rFonts w:asciiTheme="minorHAnsi" w:hAnsiTheme="minorHAnsi"/>
          <w:lang w:val="en-US"/>
        </w:rPr>
        <w:t xml:space="preserve"> For every bank this information was found within the annual report.</w:t>
      </w:r>
    </w:p>
    <w:p w:rsidR="00C17B7D" w:rsidRPr="00337C97" w:rsidRDefault="00C17B7D" w:rsidP="00366AF3">
      <w:pPr>
        <w:pStyle w:val="000"/>
        <w:spacing w:line="360" w:lineRule="auto"/>
        <w:jc w:val="both"/>
        <w:rPr>
          <w:rFonts w:asciiTheme="minorHAnsi" w:hAnsiTheme="minorHAnsi"/>
          <w:lang w:val="en-US"/>
        </w:rPr>
      </w:pPr>
    </w:p>
    <w:p w:rsidR="00C17B7D" w:rsidRPr="00337C97" w:rsidRDefault="00C17B7D" w:rsidP="00366AF3">
      <w:pPr>
        <w:pStyle w:val="000"/>
        <w:spacing w:line="360" w:lineRule="auto"/>
        <w:jc w:val="both"/>
        <w:rPr>
          <w:rFonts w:asciiTheme="minorHAnsi" w:hAnsiTheme="minorHAnsi"/>
          <w:u w:val="single"/>
          <w:lang w:val="en-US"/>
        </w:rPr>
      </w:pPr>
      <w:r w:rsidRPr="00337C97">
        <w:rPr>
          <w:rFonts w:asciiTheme="minorHAnsi" w:hAnsiTheme="minorHAnsi"/>
          <w:u w:val="single"/>
          <w:lang w:val="en-US"/>
        </w:rPr>
        <w:t>Credit ratings</w:t>
      </w:r>
    </w:p>
    <w:p w:rsidR="00790600" w:rsidRPr="00337C97" w:rsidRDefault="00790600" w:rsidP="00366AF3">
      <w:pPr>
        <w:pStyle w:val="000"/>
        <w:spacing w:line="360" w:lineRule="auto"/>
        <w:jc w:val="both"/>
        <w:rPr>
          <w:rFonts w:asciiTheme="minorHAnsi" w:hAnsiTheme="minorHAnsi"/>
          <w:lang w:val="en-US"/>
        </w:rPr>
      </w:pPr>
      <w:r w:rsidRPr="00337C97">
        <w:rPr>
          <w:rFonts w:asciiTheme="minorHAnsi" w:hAnsiTheme="minorHAnsi"/>
          <w:lang w:val="en-US"/>
        </w:rPr>
        <w:t>For the majority of the sample the credit ratings during 2007 could be gathered from the annual report. In some cases, company websites (with the aid of Google) provided the information. The credit ratings were found to be AA (highest) or BB (lowest) or in between. The rankings were c</w:t>
      </w:r>
      <w:r w:rsidR="00861420" w:rsidRPr="00337C97">
        <w:rPr>
          <w:rFonts w:asciiTheme="minorHAnsi" w:hAnsiTheme="minorHAnsi"/>
          <w:lang w:val="en-US"/>
        </w:rPr>
        <w:t>onverted to a numeric scale.</w:t>
      </w:r>
      <w:r w:rsidR="00D6648E" w:rsidRPr="00337C97">
        <w:rPr>
          <w:rFonts w:asciiTheme="minorHAnsi" w:hAnsiTheme="minorHAnsi"/>
          <w:lang w:val="en-US"/>
        </w:rPr>
        <w:t xml:space="preserve"> To match credit ratings of Standard &amp; Poor’s with comparable ratings from Moody’s and Fitch, an information table called “Long-term Rating Scales Comparison” provided by the </w:t>
      </w:r>
      <w:r w:rsidR="004C72BF" w:rsidRPr="00337C97">
        <w:rPr>
          <w:rFonts w:asciiTheme="minorHAnsi" w:hAnsiTheme="minorHAnsi"/>
          <w:lang w:val="en-US"/>
        </w:rPr>
        <w:t xml:space="preserve">Bank of International Settlements </w:t>
      </w:r>
      <w:r w:rsidR="00D6648E" w:rsidRPr="00337C97">
        <w:rPr>
          <w:rFonts w:asciiTheme="minorHAnsi" w:hAnsiTheme="minorHAnsi"/>
          <w:lang w:val="en-US"/>
        </w:rPr>
        <w:t>was used</w:t>
      </w:r>
      <w:r w:rsidR="004C72BF" w:rsidRPr="00337C97">
        <w:rPr>
          <w:rFonts w:asciiTheme="minorHAnsi" w:hAnsiTheme="minorHAnsi"/>
          <w:lang w:val="en-US"/>
        </w:rPr>
        <w:t xml:space="preserve"> (provided on their website). </w:t>
      </w:r>
    </w:p>
    <w:p w:rsidR="00C17B7D" w:rsidRPr="00337C97" w:rsidRDefault="00790600" w:rsidP="00790600">
      <w:pPr>
        <w:pStyle w:val="000"/>
        <w:spacing w:line="360" w:lineRule="auto"/>
        <w:jc w:val="both"/>
        <w:rPr>
          <w:rFonts w:asciiTheme="minorHAnsi" w:hAnsiTheme="minorHAnsi"/>
          <w:lang w:val="en-US"/>
        </w:rPr>
      </w:pPr>
      <w:r w:rsidRPr="00337C97">
        <w:rPr>
          <w:rFonts w:asciiTheme="minorHAnsi" w:hAnsiTheme="minorHAnsi"/>
          <w:lang w:val="en-US"/>
        </w:rPr>
        <w:t xml:space="preserve"> </w:t>
      </w:r>
    </w:p>
    <w:p w:rsidR="002D5098" w:rsidRPr="00337C97" w:rsidRDefault="00C17B7D" w:rsidP="00366AF3">
      <w:pPr>
        <w:pStyle w:val="000"/>
        <w:spacing w:line="360" w:lineRule="auto"/>
        <w:jc w:val="both"/>
        <w:rPr>
          <w:rFonts w:asciiTheme="minorHAnsi" w:hAnsiTheme="minorHAnsi"/>
          <w:u w:val="single"/>
          <w:lang w:val="en-US"/>
        </w:rPr>
      </w:pPr>
      <w:r w:rsidRPr="00337C97">
        <w:rPr>
          <w:rFonts w:asciiTheme="minorHAnsi" w:hAnsiTheme="minorHAnsi"/>
          <w:u w:val="single"/>
          <w:lang w:val="en-US"/>
        </w:rPr>
        <w:t>O</w:t>
      </w:r>
      <w:r w:rsidR="00D147D3" w:rsidRPr="00337C97">
        <w:rPr>
          <w:rFonts w:asciiTheme="minorHAnsi" w:hAnsiTheme="minorHAnsi"/>
          <w:u w:val="single"/>
          <w:lang w:val="en-US"/>
        </w:rPr>
        <w:t>rganizational structure</w:t>
      </w:r>
    </w:p>
    <w:p w:rsidR="00C17B7D" w:rsidRPr="00337C97" w:rsidRDefault="00C17B7D" w:rsidP="00366AF3">
      <w:pPr>
        <w:pStyle w:val="000"/>
        <w:spacing w:line="360" w:lineRule="auto"/>
        <w:jc w:val="both"/>
        <w:rPr>
          <w:rFonts w:asciiTheme="minorHAnsi" w:hAnsiTheme="minorHAnsi"/>
          <w:lang w:val="en-US"/>
        </w:rPr>
      </w:pPr>
      <w:r w:rsidRPr="00337C97">
        <w:rPr>
          <w:rFonts w:asciiTheme="minorHAnsi" w:hAnsiTheme="minorHAnsi"/>
          <w:lang w:val="en-US"/>
        </w:rPr>
        <w:t xml:space="preserve">Based upon the annual report, banks will be checked if they have a two-tier structure (both board of directors and supervisory board) </w:t>
      </w:r>
      <w:r w:rsidR="0084394C" w:rsidRPr="00337C97">
        <w:rPr>
          <w:rFonts w:asciiTheme="minorHAnsi" w:hAnsiTheme="minorHAnsi"/>
          <w:lang w:val="en-US"/>
        </w:rPr>
        <w:t>or a one-tier structure (only a board of directors with both executiv</w:t>
      </w:r>
      <w:r w:rsidR="00861420" w:rsidRPr="00337C97">
        <w:rPr>
          <w:rFonts w:asciiTheme="minorHAnsi" w:hAnsiTheme="minorHAnsi"/>
          <w:lang w:val="en-US"/>
        </w:rPr>
        <w:t>e and non-executive directors). This information was gathered manually from the annual report or other documents, for example registration documents on company websites.</w:t>
      </w:r>
    </w:p>
    <w:p w:rsidR="00E2576A" w:rsidRDefault="00E2576A" w:rsidP="00366AF3">
      <w:pPr>
        <w:pStyle w:val="000"/>
        <w:spacing w:line="360" w:lineRule="auto"/>
        <w:jc w:val="both"/>
        <w:rPr>
          <w:rFonts w:asciiTheme="minorHAnsi" w:hAnsiTheme="minorHAnsi"/>
          <w:lang w:val="en-US"/>
        </w:rPr>
      </w:pPr>
    </w:p>
    <w:p w:rsidR="004202EF" w:rsidRDefault="004202EF" w:rsidP="00366AF3">
      <w:pPr>
        <w:pStyle w:val="000"/>
        <w:spacing w:line="360" w:lineRule="auto"/>
        <w:jc w:val="both"/>
        <w:rPr>
          <w:rFonts w:asciiTheme="minorHAnsi" w:hAnsiTheme="minorHAnsi"/>
          <w:lang w:val="en-US"/>
        </w:rPr>
      </w:pPr>
    </w:p>
    <w:p w:rsidR="004202EF" w:rsidRPr="00337C97" w:rsidRDefault="004202EF" w:rsidP="00366AF3">
      <w:pPr>
        <w:pStyle w:val="000"/>
        <w:spacing w:line="360" w:lineRule="auto"/>
        <w:jc w:val="both"/>
        <w:rPr>
          <w:rFonts w:asciiTheme="minorHAnsi" w:hAnsiTheme="minorHAnsi"/>
          <w:lang w:val="en-US"/>
        </w:rPr>
      </w:pPr>
    </w:p>
    <w:p w:rsidR="002D5098" w:rsidRPr="00337C97" w:rsidRDefault="002D5098" w:rsidP="00366AF3">
      <w:pPr>
        <w:pStyle w:val="000"/>
        <w:spacing w:line="360" w:lineRule="auto"/>
        <w:jc w:val="both"/>
        <w:rPr>
          <w:rFonts w:asciiTheme="minorHAnsi" w:hAnsiTheme="minorHAnsi"/>
          <w:u w:val="single"/>
          <w:lang w:val="en-US"/>
        </w:rPr>
      </w:pPr>
      <w:r w:rsidRPr="00337C97">
        <w:rPr>
          <w:rFonts w:asciiTheme="minorHAnsi" w:hAnsiTheme="minorHAnsi"/>
          <w:u w:val="single"/>
          <w:lang w:val="en-US"/>
        </w:rPr>
        <w:lastRenderedPageBreak/>
        <w:t>Board composition</w:t>
      </w:r>
    </w:p>
    <w:p w:rsidR="00146E68" w:rsidRPr="00337C97" w:rsidRDefault="0084394C" w:rsidP="00130A60">
      <w:pPr>
        <w:pStyle w:val="000"/>
        <w:spacing w:line="360" w:lineRule="auto"/>
        <w:jc w:val="both"/>
        <w:rPr>
          <w:rFonts w:asciiTheme="minorHAnsi" w:hAnsiTheme="minorHAnsi"/>
          <w:lang w:val="en-US"/>
        </w:rPr>
      </w:pPr>
      <w:r w:rsidRPr="00337C97">
        <w:rPr>
          <w:rFonts w:asciiTheme="minorHAnsi" w:hAnsiTheme="minorHAnsi"/>
          <w:lang w:val="en-US"/>
        </w:rPr>
        <w:t xml:space="preserve">The number of </w:t>
      </w:r>
      <w:r w:rsidR="00FE43CF" w:rsidRPr="00337C97">
        <w:rPr>
          <w:rFonts w:asciiTheme="minorHAnsi" w:hAnsiTheme="minorHAnsi"/>
          <w:lang w:val="en-US"/>
        </w:rPr>
        <w:t>non-executive board directors</w:t>
      </w:r>
      <w:r w:rsidRPr="00337C97">
        <w:rPr>
          <w:rFonts w:asciiTheme="minorHAnsi" w:hAnsiTheme="minorHAnsi"/>
          <w:lang w:val="en-US"/>
        </w:rPr>
        <w:t xml:space="preserve"> compared to the executive board directors. </w:t>
      </w:r>
      <w:r w:rsidR="00861420" w:rsidRPr="00337C97">
        <w:rPr>
          <w:rFonts w:asciiTheme="minorHAnsi" w:hAnsiTheme="minorHAnsi"/>
          <w:lang w:val="en-US"/>
        </w:rPr>
        <w:t>Again, annual reports, registration documents, press releases and other internet sourc</w:t>
      </w:r>
      <w:r w:rsidR="00C91D76" w:rsidRPr="00337C97">
        <w:rPr>
          <w:rFonts w:asciiTheme="minorHAnsi" w:hAnsiTheme="minorHAnsi"/>
          <w:lang w:val="en-US"/>
        </w:rPr>
        <w:t>es were used to find this data.</w:t>
      </w:r>
    </w:p>
    <w:p w:rsidR="00D205C7" w:rsidRPr="00337C97" w:rsidRDefault="0053548C" w:rsidP="001919AE">
      <w:pPr>
        <w:spacing w:line="360" w:lineRule="auto"/>
        <w:outlineLvl w:val="0"/>
        <w:rPr>
          <w:rFonts w:asciiTheme="minorHAnsi" w:hAnsiTheme="minorHAnsi" w:cs="Times New Roman"/>
          <w:b/>
          <w:sz w:val="28"/>
          <w:szCs w:val="22"/>
          <w:lang w:val="en-US"/>
        </w:rPr>
      </w:pPr>
      <w:r w:rsidRPr="00337C97">
        <w:rPr>
          <w:rFonts w:asciiTheme="minorHAnsi" w:hAnsiTheme="minorHAnsi" w:cs="Times New Roman"/>
          <w:b/>
          <w:sz w:val="22"/>
          <w:szCs w:val="22"/>
          <w:lang w:val="en-US"/>
        </w:rPr>
        <w:br w:type="page"/>
      </w:r>
      <w:bookmarkStart w:id="288" w:name="_Toc269658965"/>
      <w:r w:rsidR="00D205C7" w:rsidRPr="00337C97">
        <w:rPr>
          <w:rFonts w:asciiTheme="minorHAnsi" w:hAnsiTheme="minorHAnsi" w:cs="Times New Roman"/>
          <w:b/>
          <w:sz w:val="28"/>
          <w:szCs w:val="22"/>
          <w:lang w:val="en-US"/>
        </w:rPr>
        <w:lastRenderedPageBreak/>
        <w:t>6</w:t>
      </w:r>
      <w:r w:rsidR="00532F19" w:rsidRPr="00337C97">
        <w:rPr>
          <w:rFonts w:asciiTheme="minorHAnsi" w:hAnsiTheme="minorHAnsi" w:cs="Times New Roman"/>
          <w:b/>
          <w:sz w:val="28"/>
          <w:szCs w:val="22"/>
          <w:lang w:val="en-US"/>
        </w:rPr>
        <w:tab/>
      </w:r>
      <w:r w:rsidR="00D205C7" w:rsidRPr="00337C97">
        <w:rPr>
          <w:rFonts w:asciiTheme="minorHAnsi" w:hAnsiTheme="minorHAnsi" w:cs="Times New Roman"/>
          <w:b/>
          <w:sz w:val="28"/>
          <w:szCs w:val="22"/>
          <w:lang w:val="en-US"/>
        </w:rPr>
        <w:t>Analysis and Interpretation of the Results</w:t>
      </w:r>
      <w:bookmarkEnd w:id="288"/>
    </w:p>
    <w:p w:rsidR="00D205C7" w:rsidRPr="00337C97" w:rsidRDefault="00D205C7" w:rsidP="000202C5">
      <w:pPr>
        <w:spacing w:line="360" w:lineRule="auto"/>
        <w:jc w:val="both"/>
        <w:rPr>
          <w:rFonts w:asciiTheme="minorHAnsi" w:hAnsiTheme="minorHAnsi" w:cs="Times New Roman"/>
          <w:sz w:val="22"/>
          <w:szCs w:val="22"/>
          <w:lang w:val="en-US"/>
        </w:rPr>
      </w:pPr>
    </w:p>
    <w:p w:rsidR="00EA10F1" w:rsidRPr="00337C97" w:rsidRDefault="00EA10F1" w:rsidP="00EA10F1">
      <w:pPr>
        <w:spacing w:line="360" w:lineRule="auto"/>
        <w:jc w:val="both"/>
        <w:outlineLvl w:val="1"/>
        <w:rPr>
          <w:rFonts w:asciiTheme="minorHAnsi" w:hAnsiTheme="minorHAnsi" w:cs="Times New Roman"/>
          <w:b/>
          <w:sz w:val="22"/>
          <w:szCs w:val="22"/>
          <w:lang w:val="en-US"/>
        </w:rPr>
      </w:pPr>
      <w:bookmarkStart w:id="289" w:name="_Toc269658966"/>
      <w:r w:rsidRPr="00337C97">
        <w:rPr>
          <w:rFonts w:asciiTheme="minorHAnsi" w:hAnsiTheme="minorHAnsi" w:cs="Times New Roman"/>
          <w:b/>
          <w:sz w:val="22"/>
          <w:szCs w:val="22"/>
          <w:lang w:val="en-US"/>
        </w:rPr>
        <w:t>6.1</w:t>
      </w:r>
      <w:r w:rsidRPr="00337C97">
        <w:rPr>
          <w:rFonts w:asciiTheme="minorHAnsi" w:hAnsiTheme="minorHAnsi" w:cs="Times New Roman"/>
          <w:b/>
          <w:sz w:val="22"/>
          <w:szCs w:val="22"/>
          <w:lang w:val="en-US"/>
        </w:rPr>
        <w:tab/>
        <w:t>Introduction</w:t>
      </w:r>
      <w:bookmarkEnd w:id="289"/>
    </w:p>
    <w:p w:rsidR="00EA10F1" w:rsidRPr="00337C97" w:rsidRDefault="00EA10F1"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This chapter analyzes and interprets the results of the empirical research. The following questions are answered in this chapter:</w:t>
      </w:r>
    </w:p>
    <w:p w:rsidR="00EA10F1" w:rsidRPr="00337C97" w:rsidRDefault="00EA10F1" w:rsidP="000202C5">
      <w:pPr>
        <w:spacing w:line="360" w:lineRule="auto"/>
        <w:jc w:val="both"/>
        <w:rPr>
          <w:rFonts w:asciiTheme="minorHAnsi" w:hAnsiTheme="minorHAnsi" w:cs="Times New Roman"/>
          <w:sz w:val="22"/>
          <w:szCs w:val="22"/>
          <w:lang w:val="en-US"/>
        </w:rPr>
      </w:pPr>
    </w:p>
    <w:p w:rsidR="00EA10F1" w:rsidRPr="00337C97" w:rsidRDefault="00EA10F1" w:rsidP="00EA10F1">
      <w:pPr>
        <w:spacing w:line="360" w:lineRule="auto"/>
        <w:ind w:left="720"/>
        <w:jc w:val="both"/>
        <w:rPr>
          <w:rFonts w:asciiTheme="minorHAnsi" w:hAnsiTheme="minorHAnsi" w:cs="Times New Roman"/>
          <w:i/>
          <w:sz w:val="22"/>
          <w:szCs w:val="22"/>
          <w:lang w:val="en-US"/>
        </w:rPr>
      </w:pPr>
      <w:r w:rsidRPr="00337C97">
        <w:rPr>
          <w:rFonts w:asciiTheme="minorHAnsi" w:hAnsiTheme="minorHAnsi" w:cs="Times New Roman"/>
          <w:i/>
          <w:sz w:val="22"/>
          <w:szCs w:val="22"/>
          <w:lang w:val="en-US"/>
        </w:rPr>
        <w:t>What are the risk disclosure practices of European banks in 2007?</w:t>
      </w:r>
    </w:p>
    <w:p w:rsidR="00EA10F1" w:rsidRPr="00337C97" w:rsidRDefault="00EA10F1" w:rsidP="00EA10F1">
      <w:pPr>
        <w:spacing w:line="360" w:lineRule="auto"/>
        <w:ind w:left="720"/>
        <w:jc w:val="both"/>
        <w:rPr>
          <w:rFonts w:asciiTheme="minorHAnsi" w:hAnsiTheme="minorHAnsi" w:cs="Times New Roman"/>
          <w:sz w:val="22"/>
          <w:szCs w:val="22"/>
          <w:lang w:val="en-US"/>
        </w:rPr>
      </w:pPr>
      <w:r w:rsidRPr="00337C97">
        <w:rPr>
          <w:rFonts w:asciiTheme="minorHAnsi" w:hAnsiTheme="minorHAnsi" w:cs="Times New Roman"/>
          <w:i/>
          <w:sz w:val="22"/>
          <w:szCs w:val="22"/>
          <w:lang w:val="en-US"/>
        </w:rPr>
        <w:t>What firm-specific characteristics are related to the extent of risk disclosures?</w:t>
      </w:r>
    </w:p>
    <w:p w:rsidR="00EA10F1" w:rsidRPr="00337C97" w:rsidRDefault="00EA10F1" w:rsidP="000202C5">
      <w:pPr>
        <w:spacing w:line="360" w:lineRule="auto"/>
        <w:jc w:val="both"/>
        <w:rPr>
          <w:rFonts w:asciiTheme="minorHAnsi" w:hAnsiTheme="minorHAnsi" w:cs="Times New Roman"/>
          <w:sz w:val="22"/>
          <w:szCs w:val="22"/>
          <w:lang w:val="en-US"/>
        </w:rPr>
      </w:pPr>
    </w:p>
    <w:p w:rsidR="00130A60" w:rsidRPr="00337C97" w:rsidRDefault="00130A60" w:rsidP="001919AE">
      <w:pPr>
        <w:spacing w:line="360" w:lineRule="auto"/>
        <w:jc w:val="both"/>
        <w:outlineLvl w:val="1"/>
        <w:rPr>
          <w:rFonts w:asciiTheme="minorHAnsi" w:hAnsiTheme="minorHAnsi" w:cs="Times New Roman"/>
          <w:b/>
          <w:sz w:val="22"/>
          <w:szCs w:val="22"/>
          <w:lang w:val="en-US"/>
        </w:rPr>
      </w:pPr>
      <w:bookmarkStart w:id="290" w:name="_Toc269658967"/>
      <w:r w:rsidRPr="00337C97">
        <w:rPr>
          <w:rFonts w:asciiTheme="minorHAnsi" w:hAnsiTheme="minorHAnsi" w:cs="Times New Roman"/>
          <w:b/>
          <w:sz w:val="22"/>
          <w:szCs w:val="22"/>
          <w:lang w:val="en-US"/>
        </w:rPr>
        <w:t>6.</w:t>
      </w:r>
      <w:r w:rsidR="00EA10F1" w:rsidRPr="00337C97">
        <w:rPr>
          <w:rFonts w:asciiTheme="minorHAnsi" w:hAnsiTheme="minorHAnsi" w:cs="Times New Roman"/>
          <w:b/>
          <w:sz w:val="22"/>
          <w:szCs w:val="22"/>
          <w:lang w:val="en-US"/>
        </w:rPr>
        <w:t>2</w:t>
      </w:r>
      <w:r w:rsidRPr="00337C97">
        <w:rPr>
          <w:rFonts w:asciiTheme="minorHAnsi" w:hAnsiTheme="minorHAnsi" w:cs="Times New Roman"/>
          <w:b/>
          <w:sz w:val="22"/>
          <w:szCs w:val="22"/>
          <w:lang w:val="en-US"/>
        </w:rPr>
        <w:tab/>
        <w:t>Descriptive statistics of the sample</w:t>
      </w:r>
      <w:bookmarkEnd w:id="290"/>
    </w:p>
    <w:p w:rsidR="001F1D80" w:rsidRPr="00337C97" w:rsidRDefault="00CB09F9"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sample consisted of 40 public listed banks from the European Union Member States</w:t>
      </w:r>
      <w:r w:rsidR="001F1D80" w:rsidRPr="00337C97">
        <w:rPr>
          <w:rFonts w:asciiTheme="minorHAnsi" w:hAnsiTheme="minorHAnsi" w:cs="Times New Roman"/>
          <w:sz w:val="22"/>
          <w:szCs w:val="22"/>
          <w:lang w:val="en-US"/>
        </w:rPr>
        <w:t xml:space="preserve">. </w:t>
      </w:r>
      <w:r w:rsidR="001E78A0" w:rsidRPr="00337C97">
        <w:rPr>
          <w:rFonts w:asciiTheme="minorHAnsi" w:hAnsiTheme="minorHAnsi" w:cs="Times New Roman"/>
          <w:sz w:val="22"/>
          <w:szCs w:val="22"/>
          <w:lang w:val="en-US"/>
        </w:rPr>
        <w:t>The European Union consists of 27 countries, of which 21 are represent in the sampl</w:t>
      </w:r>
      <w:r w:rsidR="001F1D80" w:rsidRPr="00337C97">
        <w:rPr>
          <w:rFonts w:asciiTheme="minorHAnsi" w:hAnsiTheme="minorHAnsi" w:cs="Times New Roman"/>
          <w:sz w:val="22"/>
          <w:szCs w:val="22"/>
          <w:lang w:val="en-US"/>
        </w:rPr>
        <w:t xml:space="preserve">e selection. The countries not represent in the sample are: Luxembourg, </w:t>
      </w:r>
      <w:r w:rsidR="00FF0442" w:rsidRPr="00337C97">
        <w:rPr>
          <w:rFonts w:asciiTheme="minorHAnsi" w:hAnsiTheme="minorHAnsi" w:cs="Times New Roman"/>
          <w:sz w:val="22"/>
          <w:szCs w:val="22"/>
          <w:lang w:val="en-US"/>
        </w:rPr>
        <w:t xml:space="preserve">Finland, </w:t>
      </w:r>
      <w:r w:rsidR="001F1D80" w:rsidRPr="00337C97">
        <w:rPr>
          <w:rFonts w:asciiTheme="minorHAnsi" w:hAnsiTheme="minorHAnsi" w:cs="Times New Roman"/>
          <w:sz w:val="22"/>
          <w:szCs w:val="22"/>
          <w:lang w:val="en-US"/>
        </w:rPr>
        <w:t>Roman</w:t>
      </w:r>
      <w:r w:rsidR="00FF0442" w:rsidRPr="00337C97">
        <w:rPr>
          <w:rFonts w:asciiTheme="minorHAnsi" w:hAnsiTheme="minorHAnsi" w:cs="Times New Roman"/>
          <w:sz w:val="22"/>
          <w:szCs w:val="22"/>
          <w:lang w:val="en-US"/>
        </w:rPr>
        <w:t xml:space="preserve">ia, Hungary, Estonia and Latvia. </w:t>
      </w:r>
      <w:r w:rsidR="00554CDF" w:rsidRPr="00337C97">
        <w:rPr>
          <w:rFonts w:asciiTheme="minorHAnsi" w:hAnsiTheme="minorHAnsi" w:cs="Times New Roman"/>
          <w:sz w:val="22"/>
          <w:szCs w:val="22"/>
          <w:lang w:val="en-US"/>
        </w:rPr>
        <w:t xml:space="preserve">Italy represents most banks (6), before United Kingdom, Germany, France, Denmark and Greece (all 3). </w:t>
      </w:r>
      <w:r w:rsidR="001F1D80" w:rsidRPr="00337C97">
        <w:rPr>
          <w:rFonts w:asciiTheme="minorHAnsi" w:hAnsiTheme="minorHAnsi" w:cs="Times New Roman"/>
          <w:sz w:val="22"/>
          <w:szCs w:val="22"/>
          <w:lang w:val="en-US"/>
        </w:rPr>
        <w:t>The biggest bank (measured in total assets) is Deutsche Bank AG from Germany and the smallest bank is FIMBank Plc from Malta. For more information, see the list in Appendix C.</w:t>
      </w:r>
    </w:p>
    <w:p w:rsidR="00130A60" w:rsidRPr="00337C97" w:rsidRDefault="00130A60" w:rsidP="000202C5">
      <w:pPr>
        <w:spacing w:line="360" w:lineRule="auto"/>
        <w:jc w:val="both"/>
        <w:rPr>
          <w:rFonts w:asciiTheme="minorHAnsi" w:hAnsiTheme="minorHAnsi" w:cs="Times New Roman"/>
          <w:sz w:val="22"/>
          <w:szCs w:val="22"/>
          <w:lang w:val="en-US"/>
        </w:rPr>
      </w:pPr>
    </w:p>
    <w:p w:rsidR="00130A60" w:rsidRPr="00337C97" w:rsidRDefault="00130A60" w:rsidP="001919AE">
      <w:pPr>
        <w:spacing w:line="360" w:lineRule="auto"/>
        <w:jc w:val="both"/>
        <w:outlineLvl w:val="1"/>
        <w:rPr>
          <w:rFonts w:asciiTheme="minorHAnsi" w:hAnsiTheme="minorHAnsi" w:cs="Times New Roman"/>
          <w:b/>
          <w:sz w:val="22"/>
          <w:szCs w:val="22"/>
          <w:lang w:val="en-US"/>
        </w:rPr>
      </w:pPr>
      <w:bookmarkStart w:id="291" w:name="_Toc269658968"/>
      <w:r w:rsidRPr="00337C97">
        <w:rPr>
          <w:rFonts w:asciiTheme="minorHAnsi" w:hAnsiTheme="minorHAnsi" w:cs="Times New Roman"/>
          <w:b/>
          <w:sz w:val="22"/>
          <w:szCs w:val="22"/>
          <w:lang w:val="en-US"/>
        </w:rPr>
        <w:t>6.</w:t>
      </w:r>
      <w:r w:rsidR="00EA10F1" w:rsidRPr="00337C97">
        <w:rPr>
          <w:rFonts w:asciiTheme="minorHAnsi" w:hAnsiTheme="minorHAnsi" w:cs="Times New Roman"/>
          <w:b/>
          <w:sz w:val="22"/>
          <w:szCs w:val="22"/>
          <w:lang w:val="en-US"/>
        </w:rPr>
        <w:t>3</w:t>
      </w:r>
      <w:r w:rsidRPr="00337C97">
        <w:rPr>
          <w:rFonts w:asciiTheme="minorHAnsi" w:hAnsiTheme="minorHAnsi" w:cs="Times New Roman"/>
          <w:b/>
          <w:sz w:val="22"/>
          <w:szCs w:val="22"/>
          <w:lang w:val="en-US"/>
        </w:rPr>
        <w:tab/>
        <w:t>Part I: Risk disclosure practices</w:t>
      </w:r>
      <w:bookmarkEnd w:id="291"/>
    </w:p>
    <w:p w:rsidR="00B43C5F" w:rsidRPr="00337C97" w:rsidRDefault="00B43C5F" w:rsidP="00B43C5F">
      <w:pPr>
        <w:spacing w:line="360" w:lineRule="auto"/>
        <w:jc w:val="both"/>
        <w:rPr>
          <w:rFonts w:asciiTheme="minorHAnsi" w:hAnsiTheme="minorHAnsi" w:cs="Times New Roman"/>
          <w:sz w:val="22"/>
          <w:szCs w:val="22"/>
          <w:lang w:val="en-US"/>
        </w:rPr>
      </w:pPr>
    </w:p>
    <w:p w:rsidR="00B43C5F" w:rsidRPr="00337C97" w:rsidRDefault="00B43C5F" w:rsidP="001919AE">
      <w:pPr>
        <w:spacing w:line="360" w:lineRule="auto"/>
        <w:jc w:val="both"/>
        <w:outlineLvl w:val="2"/>
        <w:rPr>
          <w:rFonts w:asciiTheme="minorHAnsi" w:hAnsiTheme="minorHAnsi" w:cs="Times New Roman"/>
          <w:i/>
          <w:sz w:val="22"/>
          <w:szCs w:val="22"/>
          <w:lang w:val="en-US"/>
        </w:rPr>
      </w:pPr>
      <w:bookmarkStart w:id="292" w:name="_Toc269658969"/>
      <w:r w:rsidRPr="00337C97">
        <w:rPr>
          <w:rFonts w:asciiTheme="minorHAnsi" w:hAnsiTheme="minorHAnsi" w:cs="Times New Roman"/>
          <w:i/>
          <w:sz w:val="22"/>
          <w:szCs w:val="22"/>
          <w:lang w:val="en-US"/>
        </w:rPr>
        <w:t>6.</w:t>
      </w:r>
      <w:r w:rsidR="00EA10F1" w:rsidRPr="00337C97">
        <w:rPr>
          <w:rFonts w:asciiTheme="minorHAnsi" w:hAnsiTheme="minorHAnsi" w:cs="Times New Roman"/>
          <w:i/>
          <w:sz w:val="22"/>
          <w:szCs w:val="22"/>
          <w:lang w:val="en-US"/>
        </w:rPr>
        <w:t>3</w:t>
      </w:r>
      <w:r w:rsidRPr="00337C97">
        <w:rPr>
          <w:rFonts w:asciiTheme="minorHAnsi" w:hAnsiTheme="minorHAnsi" w:cs="Times New Roman"/>
          <w:i/>
          <w:sz w:val="22"/>
          <w:szCs w:val="22"/>
          <w:lang w:val="en-US"/>
        </w:rPr>
        <w:t>.1</w:t>
      </w:r>
      <w:r w:rsidRPr="00337C97">
        <w:rPr>
          <w:rFonts w:asciiTheme="minorHAnsi" w:hAnsiTheme="minorHAnsi" w:cs="Times New Roman"/>
          <w:i/>
          <w:sz w:val="22"/>
          <w:szCs w:val="22"/>
          <w:lang w:val="en-US"/>
        </w:rPr>
        <w:tab/>
        <w:t>Risk disclosure score</w:t>
      </w:r>
      <w:bookmarkEnd w:id="292"/>
    </w:p>
    <w:p w:rsidR="00D732E3" w:rsidRPr="00337C97" w:rsidRDefault="00D24FAF" w:rsidP="00D732E3">
      <w:pPr>
        <w:spacing w:line="360" w:lineRule="auto"/>
        <w:jc w:val="both"/>
        <w:rPr>
          <w:rFonts w:asciiTheme="minorHAnsi" w:hAnsiTheme="minorHAnsi"/>
          <w:sz w:val="22"/>
          <w:szCs w:val="22"/>
          <w:lang w:val="en-US"/>
        </w:rPr>
      </w:pPr>
      <w:r w:rsidRPr="00337C97">
        <w:rPr>
          <w:rFonts w:asciiTheme="minorHAnsi" w:hAnsiTheme="minorHAnsi" w:cs="Times New Roman"/>
          <w:sz w:val="22"/>
          <w:szCs w:val="22"/>
          <w:lang w:val="en-US"/>
        </w:rPr>
        <w:t xml:space="preserve">A total of </w:t>
      </w:r>
      <w:r w:rsidRPr="00337C97">
        <w:rPr>
          <w:rFonts w:asciiTheme="minorHAnsi" w:hAnsiTheme="minorHAnsi" w:cs="Times New Roman"/>
          <w:b/>
          <w:sz w:val="22"/>
          <w:szCs w:val="22"/>
          <w:lang w:val="en-US"/>
        </w:rPr>
        <w:t>10,329</w:t>
      </w:r>
      <w:r w:rsidRPr="00337C97">
        <w:rPr>
          <w:rFonts w:asciiTheme="minorHAnsi" w:hAnsiTheme="minorHAnsi" w:cs="Times New Roman"/>
          <w:sz w:val="22"/>
          <w:szCs w:val="22"/>
          <w:lang w:val="en-US"/>
        </w:rPr>
        <w:t xml:space="preserve"> risk sentences were identified within the sample of annual reports. </w:t>
      </w:r>
      <w:r w:rsidR="0037312D" w:rsidRPr="00337C97">
        <w:rPr>
          <w:rFonts w:asciiTheme="minorHAnsi" w:hAnsiTheme="minorHAnsi" w:cs="Times New Roman"/>
          <w:sz w:val="22"/>
          <w:szCs w:val="22"/>
          <w:lang w:val="en-US"/>
        </w:rPr>
        <w:t xml:space="preserve">Table 4 shows the coding grid containing the risk sentence disclosures for the total sample of banks. </w:t>
      </w:r>
      <w:r w:rsidR="00743D31" w:rsidRPr="00337C97">
        <w:rPr>
          <w:rFonts w:asciiTheme="minorHAnsi" w:hAnsiTheme="minorHAnsi" w:cs="Times New Roman"/>
          <w:sz w:val="22"/>
          <w:szCs w:val="22"/>
          <w:lang w:val="en-US"/>
        </w:rPr>
        <w:t xml:space="preserve">Barclays </w:t>
      </w:r>
      <w:r w:rsidR="00A26055" w:rsidRPr="00337C97">
        <w:rPr>
          <w:rFonts w:asciiTheme="minorHAnsi" w:hAnsiTheme="minorHAnsi" w:cs="Times New Roman"/>
          <w:sz w:val="22"/>
          <w:szCs w:val="22"/>
          <w:lang w:val="en-US"/>
        </w:rPr>
        <w:t xml:space="preserve">plc </w:t>
      </w:r>
      <w:r w:rsidR="00743D31" w:rsidRPr="00337C97">
        <w:rPr>
          <w:rFonts w:asciiTheme="minorHAnsi" w:hAnsiTheme="minorHAnsi" w:cs="Times New Roman"/>
          <w:sz w:val="22"/>
          <w:szCs w:val="22"/>
          <w:lang w:val="en-US"/>
        </w:rPr>
        <w:t>(United Kingdom) ha</w:t>
      </w:r>
      <w:r w:rsidR="00A26055" w:rsidRPr="00337C97">
        <w:rPr>
          <w:rFonts w:asciiTheme="minorHAnsi" w:hAnsiTheme="minorHAnsi" w:cs="Times New Roman"/>
          <w:sz w:val="22"/>
          <w:szCs w:val="22"/>
          <w:lang w:val="en-US"/>
        </w:rPr>
        <w:t>d</w:t>
      </w:r>
      <w:r w:rsidR="00743D31" w:rsidRPr="00337C97">
        <w:rPr>
          <w:rFonts w:asciiTheme="minorHAnsi" w:hAnsiTheme="minorHAnsi" w:cs="Times New Roman"/>
          <w:sz w:val="22"/>
          <w:szCs w:val="22"/>
          <w:lang w:val="en-US"/>
        </w:rPr>
        <w:t xml:space="preserve"> the highest risk disclosure score of </w:t>
      </w:r>
      <w:r w:rsidR="00743D31" w:rsidRPr="00337C97">
        <w:rPr>
          <w:rFonts w:asciiTheme="minorHAnsi" w:hAnsiTheme="minorHAnsi" w:cs="Times New Roman"/>
          <w:b/>
          <w:sz w:val="22"/>
          <w:szCs w:val="22"/>
          <w:lang w:val="en-US"/>
        </w:rPr>
        <w:t>753</w:t>
      </w:r>
      <w:r w:rsidR="00743D31" w:rsidRPr="00337C97">
        <w:rPr>
          <w:rFonts w:asciiTheme="minorHAnsi" w:hAnsiTheme="minorHAnsi" w:cs="Times New Roman"/>
          <w:sz w:val="22"/>
          <w:szCs w:val="22"/>
          <w:lang w:val="en-US"/>
        </w:rPr>
        <w:t xml:space="preserve"> sentences, where Bank of Attica </w:t>
      </w:r>
      <w:r w:rsidR="00A26055" w:rsidRPr="00337C97">
        <w:rPr>
          <w:rFonts w:asciiTheme="minorHAnsi" w:hAnsiTheme="minorHAnsi" w:cs="Times New Roman"/>
          <w:sz w:val="22"/>
          <w:szCs w:val="22"/>
          <w:lang w:val="en-US"/>
        </w:rPr>
        <w:t xml:space="preserve">SA </w:t>
      </w:r>
      <w:r w:rsidR="00743D31" w:rsidRPr="00337C97">
        <w:rPr>
          <w:rFonts w:asciiTheme="minorHAnsi" w:hAnsiTheme="minorHAnsi" w:cs="Times New Roman"/>
          <w:sz w:val="22"/>
          <w:szCs w:val="22"/>
          <w:lang w:val="en-US"/>
        </w:rPr>
        <w:t>(Greece) ha</w:t>
      </w:r>
      <w:r w:rsidR="00A26055" w:rsidRPr="00337C97">
        <w:rPr>
          <w:rFonts w:asciiTheme="minorHAnsi" w:hAnsiTheme="minorHAnsi" w:cs="Times New Roman"/>
          <w:sz w:val="22"/>
          <w:szCs w:val="22"/>
          <w:lang w:val="en-US"/>
        </w:rPr>
        <w:t>d</w:t>
      </w:r>
      <w:r w:rsidR="00743D31" w:rsidRPr="00337C97">
        <w:rPr>
          <w:rFonts w:asciiTheme="minorHAnsi" w:hAnsiTheme="minorHAnsi" w:cs="Times New Roman"/>
          <w:sz w:val="22"/>
          <w:szCs w:val="22"/>
          <w:lang w:val="en-US"/>
        </w:rPr>
        <w:t xml:space="preserve"> the lowest risk disclosure score, </w:t>
      </w:r>
      <w:r w:rsidR="00743D31" w:rsidRPr="00337C97">
        <w:rPr>
          <w:rFonts w:asciiTheme="minorHAnsi" w:hAnsiTheme="minorHAnsi" w:cs="Times New Roman"/>
          <w:b/>
          <w:sz w:val="22"/>
          <w:szCs w:val="22"/>
          <w:lang w:val="en-US"/>
        </w:rPr>
        <w:t>40</w:t>
      </w:r>
      <w:r w:rsidR="00743D31" w:rsidRPr="00337C97">
        <w:rPr>
          <w:rFonts w:asciiTheme="minorHAnsi" w:hAnsiTheme="minorHAnsi" w:cs="Times New Roman"/>
          <w:sz w:val="22"/>
          <w:szCs w:val="22"/>
          <w:lang w:val="en-US"/>
        </w:rPr>
        <w:t xml:space="preserve"> sentences. Appendix H shows the risk disclosure score for the </w:t>
      </w:r>
      <w:r w:rsidR="00D732E3" w:rsidRPr="00337C97">
        <w:rPr>
          <w:rFonts w:asciiTheme="minorHAnsi" w:hAnsiTheme="minorHAnsi" w:cs="Times New Roman"/>
          <w:sz w:val="22"/>
          <w:szCs w:val="22"/>
          <w:lang w:val="en-US"/>
        </w:rPr>
        <w:t xml:space="preserve">individual banks of the sample and </w:t>
      </w:r>
      <w:r w:rsidR="00D732E3" w:rsidRPr="00337C97">
        <w:rPr>
          <w:rFonts w:asciiTheme="minorHAnsi" w:hAnsiTheme="minorHAnsi"/>
          <w:sz w:val="22"/>
          <w:szCs w:val="22"/>
          <w:lang w:val="en-US"/>
        </w:rPr>
        <w:t xml:space="preserve">appendix </w:t>
      </w:r>
      <w:r w:rsidR="00A63FAE" w:rsidRPr="00337C97">
        <w:rPr>
          <w:rFonts w:asciiTheme="minorHAnsi" w:hAnsiTheme="minorHAnsi"/>
          <w:sz w:val="22"/>
          <w:szCs w:val="22"/>
          <w:lang w:val="en-US"/>
        </w:rPr>
        <w:t>G</w:t>
      </w:r>
      <w:r w:rsidR="00D732E3" w:rsidRPr="00337C97">
        <w:rPr>
          <w:rFonts w:asciiTheme="minorHAnsi" w:hAnsiTheme="minorHAnsi"/>
          <w:sz w:val="22"/>
          <w:szCs w:val="22"/>
          <w:lang w:val="en-US"/>
        </w:rPr>
        <w:t xml:space="preserve"> provides examples of risk sentences and their categorization.</w:t>
      </w:r>
    </w:p>
    <w:p w:rsidR="00EA12ED" w:rsidRPr="00337C97" w:rsidRDefault="00EA12ED" w:rsidP="000202C5">
      <w:pPr>
        <w:spacing w:line="360" w:lineRule="auto"/>
        <w:jc w:val="both"/>
        <w:rPr>
          <w:rFonts w:asciiTheme="minorHAnsi" w:hAnsiTheme="minorHAnsi" w:cs="Times New Roman"/>
          <w:sz w:val="22"/>
          <w:szCs w:val="22"/>
          <w:lang w:val="en-US"/>
        </w:rPr>
      </w:pPr>
    </w:p>
    <w:p w:rsidR="004202EF" w:rsidRDefault="004202EF">
      <w:pPr>
        <w:rPr>
          <w:rFonts w:asciiTheme="minorHAnsi" w:hAnsiTheme="minorHAnsi" w:cs="Times New Roman"/>
          <w:b/>
          <w:sz w:val="22"/>
          <w:szCs w:val="22"/>
          <w:lang w:val="en-US"/>
        </w:rPr>
      </w:pPr>
      <w:r>
        <w:rPr>
          <w:rFonts w:asciiTheme="minorHAnsi" w:hAnsiTheme="minorHAnsi" w:cs="Times New Roman"/>
          <w:b/>
          <w:sz w:val="22"/>
          <w:szCs w:val="22"/>
          <w:lang w:val="en-US"/>
        </w:rPr>
        <w:br w:type="page"/>
      </w:r>
    </w:p>
    <w:p w:rsidR="00D24FAF" w:rsidRPr="00337C97" w:rsidRDefault="00D24FAF"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lastRenderedPageBreak/>
        <w:t>Table 4</w:t>
      </w:r>
      <w:r w:rsidR="003E18D7" w:rsidRPr="00337C97">
        <w:rPr>
          <w:rFonts w:asciiTheme="minorHAnsi" w:hAnsiTheme="minorHAnsi" w:cs="Times New Roman"/>
          <w:b/>
          <w:sz w:val="22"/>
          <w:szCs w:val="22"/>
          <w:lang w:val="en-US"/>
        </w:rPr>
        <w:t xml:space="preserve"> </w:t>
      </w:r>
      <w:r w:rsidR="003E18D7" w:rsidRPr="00337C97">
        <w:rPr>
          <w:rFonts w:asciiTheme="minorHAnsi" w:hAnsiTheme="minorHAnsi" w:cs="Times New Roman"/>
          <w:sz w:val="22"/>
          <w:szCs w:val="22"/>
          <w:lang w:val="en-US"/>
        </w:rPr>
        <w:t>Number of risk sentence disclosures for the sample of banks</w:t>
      </w:r>
    </w:p>
    <w:tbl>
      <w:tblPr>
        <w:tblW w:w="9214" w:type="dxa"/>
        <w:tblInd w:w="70" w:type="dxa"/>
        <w:tblLayout w:type="fixed"/>
        <w:tblCellMar>
          <w:top w:w="34" w:type="dxa"/>
          <w:left w:w="70" w:type="dxa"/>
          <w:bottom w:w="34" w:type="dxa"/>
          <w:right w:w="70" w:type="dxa"/>
        </w:tblCellMar>
        <w:tblLook w:val="04A0"/>
      </w:tblPr>
      <w:tblGrid>
        <w:gridCol w:w="994"/>
        <w:gridCol w:w="721"/>
        <w:gridCol w:w="603"/>
        <w:gridCol w:w="234"/>
        <w:gridCol w:w="709"/>
        <w:gridCol w:w="708"/>
        <w:gridCol w:w="851"/>
        <w:gridCol w:w="709"/>
        <w:gridCol w:w="871"/>
        <w:gridCol w:w="751"/>
        <w:gridCol w:w="787"/>
        <w:gridCol w:w="567"/>
        <w:gridCol w:w="709"/>
      </w:tblGrid>
      <w:tr w:rsidR="003E18D7" w:rsidRPr="00337C97" w:rsidTr="009A6693">
        <w:trPr>
          <w:trHeight w:val="255"/>
        </w:trPr>
        <w:tc>
          <w:tcPr>
            <w:tcW w:w="2552" w:type="dxa"/>
            <w:gridSpan w:val="4"/>
            <w:tcBorders>
              <w:top w:val="single" w:sz="4" w:space="0" w:color="auto"/>
              <w:left w:val="single" w:sz="4" w:space="0" w:color="auto"/>
            </w:tcBorders>
            <w:shd w:val="clear" w:color="auto" w:fill="auto"/>
            <w:hideMark/>
          </w:tcPr>
          <w:p w:rsidR="003E18D7" w:rsidRPr="00337C97" w:rsidRDefault="003E18D7" w:rsidP="009A6693">
            <w:pPr>
              <w:rPr>
                <w:rFonts w:asciiTheme="minorHAnsi" w:hAnsiTheme="minorHAnsi" w:cs="Times New Roman"/>
                <w:b/>
                <w:bCs/>
                <w:i/>
                <w:color w:val="000000"/>
                <w:sz w:val="18"/>
                <w:szCs w:val="16"/>
                <w:lang w:val="en-US" w:eastAsia="nl-NL" w:bidi="ar-SA"/>
              </w:rPr>
            </w:pPr>
          </w:p>
        </w:tc>
        <w:tc>
          <w:tcPr>
            <w:tcW w:w="709"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nl-NL" w:eastAsia="nl-NL" w:bidi="ar-SA"/>
              </w:rPr>
            </w:pPr>
            <w:r w:rsidRPr="00337C97">
              <w:rPr>
                <w:rFonts w:asciiTheme="minorHAnsi" w:hAnsiTheme="minorHAnsi" w:cs="Times New Roman"/>
                <w:i/>
                <w:color w:val="000000"/>
                <w:sz w:val="18"/>
                <w:szCs w:val="16"/>
                <w:lang w:val="nl-NL" w:eastAsia="nl-NL" w:bidi="ar-SA"/>
              </w:rPr>
              <w:t>Market risk</w:t>
            </w:r>
          </w:p>
        </w:tc>
        <w:tc>
          <w:tcPr>
            <w:tcW w:w="708"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nl-NL" w:eastAsia="nl-NL" w:bidi="ar-SA"/>
              </w:rPr>
            </w:pPr>
            <w:r w:rsidRPr="00337C97">
              <w:rPr>
                <w:rFonts w:asciiTheme="minorHAnsi" w:hAnsiTheme="minorHAnsi" w:cs="Times New Roman"/>
                <w:i/>
                <w:color w:val="000000"/>
                <w:sz w:val="18"/>
                <w:szCs w:val="16"/>
                <w:lang w:val="nl-NL" w:eastAsia="nl-NL" w:bidi="ar-SA"/>
              </w:rPr>
              <w:t>Credit risk</w:t>
            </w:r>
          </w:p>
        </w:tc>
        <w:tc>
          <w:tcPr>
            <w:tcW w:w="851"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nl-NL" w:eastAsia="nl-NL" w:bidi="ar-SA"/>
              </w:rPr>
            </w:pPr>
            <w:r w:rsidRPr="00337C97">
              <w:rPr>
                <w:rFonts w:asciiTheme="minorHAnsi" w:hAnsiTheme="minorHAnsi" w:cs="Times New Roman"/>
                <w:i/>
                <w:color w:val="000000"/>
                <w:sz w:val="18"/>
                <w:szCs w:val="16"/>
                <w:lang w:val="nl-NL" w:eastAsia="nl-NL" w:bidi="ar-SA"/>
              </w:rPr>
              <w:t>Liquidity risk</w:t>
            </w:r>
          </w:p>
        </w:tc>
        <w:tc>
          <w:tcPr>
            <w:tcW w:w="709"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nl-NL" w:eastAsia="nl-NL" w:bidi="ar-SA"/>
              </w:rPr>
            </w:pPr>
            <w:r w:rsidRPr="00337C97">
              <w:rPr>
                <w:rFonts w:asciiTheme="minorHAnsi" w:hAnsiTheme="minorHAnsi" w:cs="Times New Roman"/>
                <w:i/>
                <w:color w:val="000000"/>
                <w:sz w:val="18"/>
                <w:szCs w:val="16"/>
                <w:lang w:val="nl-NL" w:eastAsia="nl-NL" w:bidi="ar-SA"/>
              </w:rPr>
              <w:t>Oper-ational risk</w:t>
            </w:r>
          </w:p>
        </w:tc>
        <w:tc>
          <w:tcPr>
            <w:tcW w:w="871"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nl-NL" w:eastAsia="nl-NL" w:bidi="ar-SA"/>
              </w:rPr>
            </w:pPr>
            <w:r w:rsidRPr="00337C97">
              <w:rPr>
                <w:rFonts w:asciiTheme="minorHAnsi" w:hAnsiTheme="minorHAnsi" w:cs="Times New Roman"/>
                <w:i/>
                <w:color w:val="000000"/>
                <w:sz w:val="18"/>
                <w:szCs w:val="16"/>
                <w:lang w:val="nl-NL" w:eastAsia="nl-NL" w:bidi="ar-SA"/>
              </w:rPr>
              <w:t>Business risk</w:t>
            </w:r>
          </w:p>
        </w:tc>
        <w:tc>
          <w:tcPr>
            <w:tcW w:w="751"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nl-NL" w:eastAsia="nl-NL" w:bidi="ar-SA"/>
              </w:rPr>
            </w:pPr>
            <w:r w:rsidRPr="00337C97">
              <w:rPr>
                <w:rFonts w:asciiTheme="minorHAnsi" w:hAnsiTheme="minorHAnsi" w:cs="Times New Roman"/>
                <w:i/>
                <w:color w:val="000000"/>
                <w:sz w:val="18"/>
                <w:szCs w:val="16"/>
                <w:lang w:val="nl-NL" w:eastAsia="nl-NL" w:bidi="ar-SA"/>
              </w:rPr>
              <w:t>Legal risk</w:t>
            </w:r>
          </w:p>
        </w:tc>
        <w:tc>
          <w:tcPr>
            <w:tcW w:w="787"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en-US" w:eastAsia="nl-NL" w:bidi="ar-SA"/>
              </w:rPr>
            </w:pPr>
            <w:r w:rsidRPr="00337C97">
              <w:rPr>
                <w:rFonts w:asciiTheme="minorHAnsi" w:hAnsiTheme="minorHAnsi" w:cs="Times New Roman"/>
                <w:i/>
                <w:color w:val="000000"/>
                <w:sz w:val="18"/>
                <w:szCs w:val="16"/>
                <w:lang w:val="en-US" w:eastAsia="nl-NL" w:bidi="ar-SA"/>
              </w:rPr>
              <w:t>Capita</w:t>
            </w:r>
            <w:r w:rsidR="005C57A9" w:rsidRPr="00337C97">
              <w:rPr>
                <w:rFonts w:asciiTheme="minorHAnsi" w:hAnsiTheme="minorHAnsi" w:cs="Times New Roman"/>
                <w:i/>
                <w:color w:val="000000"/>
                <w:sz w:val="18"/>
                <w:szCs w:val="16"/>
                <w:lang w:val="en-US" w:eastAsia="nl-NL" w:bidi="ar-SA"/>
              </w:rPr>
              <w:t>l struc..</w:t>
            </w:r>
            <w:r w:rsidR="005C57A9" w:rsidRPr="00337C97">
              <w:rPr>
                <w:rFonts w:asciiTheme="minorHAnsi" w:hAnsiTheme="minorHAnsi" w:cs="Times New Roman"/>
                <w:i/>
                <w:color w:val="000000"/>
                <w:sz w:val="18"/>
                <w:szCs w:val="16"/>
                <w:vertAlign w:val="superscript"/>
                <w:lang w:val="en-US" w:eastAsia="nl-NL" w:bidi="ar-SA"/>
              </w:rPr>
              <w:t>1</w:t>
            </w:r>
          </w:p>
        </w:tc>
        <w:tc>
          <w:tcPr>
            <w:tcW w:w="567" w:type="dxa"/>
            <w:tcBorders>
              <w:top w:val="single" w:sz="4" w:space="0" w:color="auto"/>
            </w:tcBorders>
            <w:shd w:val="clear" w:color="auto" w:fill="auto"/>
            <w:noWrap/>
            <w:hideMark/>
          </w:tcPr>
          <w:p w:rsidR="003E18D7" w:rsidRPr="00337C97" w:rsidRDefault="003E18D7" w:rsidP="009A6693">
            <w:pPr>
              <w:rPr>
                <w:rFonts w:asciiTheme="minorHAnsi" w:hAnsiTheme="minorHAnsi" w:cs="Times New Roman"/>
                <w:i/>
                <w:color w:val="000000"/>
                <w:sz w:val="18"/>
                <w:szCs w:val="16"/>
                <w:lang w:val="en-US" w:eastAsia="nl-NL" w:bidi="ar-SA"/>
              </w:rPr>
            </w:pPr>
            <w:r w:rsidRPr="00337C97">
              <w:rPr>
                <w:rFonts w:asciiTheme="minorHAnsi" w:hAnsiTheme="minorHAnsi" w:cs="Times New Roman"/>
                <w:i/>
                <w:color w:val="000000"/>
                <w:sz w:val="18"/>
                <w:szCs w:val="16"/>
                <w:lang w:val="en-US" w:eastAsia="nl-NL" w:bidi="ar-SA"/>
              </w:rPr>
              <w:t xml:space="preserve">Risk </w:t>
            </w:r>
            <w:r w:rsidR="008E6A47" w:rsidRPr="00337C97">
              <w:rPr>
                <w:rFonts w:asciiTheme="minorHAnsi" w:hAnsiTheme="minorHAnsi" w:cs="Times New Roman"/>
                <w:i/>
                <w:color w:val="000000"/>
                <w:sz w:val="18"/>
                <w:szCs w:val="16"/>
                <w:lang w:val="en-US" w:eastAsia="nl-NL" w:bidi="ar-SA"/>
              </w:rPr>
              <w:t>m</w:t>
            </w:r>
            <w:r w:rsidR="008F7370" w:rsidRPr="00337C97">
              <w:rPr>
                <w:rFonts w:asciiTheme="minorHAnsi" w:hAnsiTheme="minorHAnsi" w:cs="Times New Roman"/>
                <w:i/>
                <w:color w:val="000000"/>
                <w:sz w:val="18"/>
                <w:szCs w:val="16"/>
                <w:lang w:val="en-US" w:eastAsia="nl-NL" w:bidi="ar-SA"/>
              </w:rPr>
              <w:t>gt</w:t>
            </w:r>
            <w:r w:rsidR="005C57A9" w:rsidRPr="00337C97">
              <w:rPr>
                <w:rFonts w:asciiTheme="minorHAnsi" w:hAnsiTheme="minorHAnsi" w:cs="Times New Roman"/>
                <w:i/>
                <w:color w:val="000000"/>
                <w:sz w:val="18"/>
                <w:szCs w:val="16"/>
                <w:lang w:val="en-US" w:eastAsia="nl-NL" w:bidi="ar-SA"/>
              </w:rPr>
              <w:t>..</w:t>
            </w:r>
            <w:r w:rsidR="005C57A9" w:rsidRPr="00337C97">
              <w:rPr>
                <w:rFonts w:asciiTheme="minorHAnsi" w:hAnsiTheme="minorHAnsi" w:cs="Times New Roman"/>
                <w:b/>
                <w:i/>
                <w:color w:val="000000"/>
                <w:sz w:val="18"/>
                <w:szCs w:val="16"/>
                <w:vertAlign w:val="superscript"/>
                <w:lang w:val="en-US" w:eastAsia="nl-NL" w:bidi="ar-SA"/>
              </w:rPr>
              <w:t>2</w:t>
            </w:r>
          </w:p>
        </w:tc>
        <w:tc>
          <w:tcPr>
            <w:tcW w:w="709" w:type="dxa"/>
            <w:tcBorders>
              <w:top w:val="single" w:sz="4" w:space="0" w:color="auto"/>
              <w:right w:val="single" w:sz="4" w:space="0" w:color="auto"/>
            </w:tcBorders>
            <w:shd w:val="clear" w:color="auto" w:fill="auto"/>
            <w:noWrap/>
            <w:hideMark/>
          </w:tcPr>
          <w:p w:rsidR="003E18D7" w:rsidRPr="00337C97" w:rsidRDefault="003E18D7" w:rsidP="009A6693">
            <w:pPr>
              <w:rPr>
                <w:rFonts w:asciiTheme="minorHAnsi" w:hAnsiTheme="minorHAnsi" w:cs="Times New Roman"/>
                <w:b/>
                <w:color w:val="000000"/>
                <w:sz w:val="18"/>
                <w:szCs w:val="16"/>
                <w:lang w:val="en-US" w:eastAsia="nl-NL" w:bidi="ar-SA"/>
              </w:rPr>
            </w:pPr>
            <w:r w:rsidRPr="00337C97">
              <w:rPr>
                <w:rFonts w:asciiTheme="minorHAnsi" w:hAnsiTheme="minorHAnsi" w:cs="Times New Roman"/>
                <w:b/>
                <w:color w:val="000000"/>
                <w:sz w:val="18"/>
                <w:szCs w:val="16"/>
                <w:lang w:val="en-US" w:eastAsia="nl-NL" w:bidi="ar-SA"/>
              </w:rPr>
              <w:t>Total</w:t>
            </w:r>
          </w:p>
        </w:tc>
      </w:tr>
      <w:tr w:rsidR="005C57A9" w:rsidRPr="00337C97" w:rsidTr="009A6693">
        <w:trPr>
          <w:trHeight w:val="255"/>
        </w:trPr>
        <w:tc>
          <w:tcPr>
            <w:tcW w:w="2552" w:type="dxa"/>
            <w:gridSpan w:val="4"/>
            <w:tcBorders>
              <w:left w:val="single" w:sz="4" w:space="0" w:color="auto"/>
              <w:bottom w:val="single" w:sz="4" w:space="0" w:color="auto"/>
            </w:tcBorders>
            <w:shd w:val="clear" w:color="auto" w:fill="auto"/>
            <w:noWrap/>
            <w:hideMark/>
          </w:tcPr>
          <w:p w:rsidR="003E18D7" w:rsidRPr="00337C97" w:rsidRDefault="003E18D7" w:rsidP="009A6693">
            <w:pPr>
              <w:rPr>
                <w:rFonts w:asciiTheme="minorHAnsi" w:hAnsiTheme="minorHAnsi" w:cs="Times New Roman"/>
                <w:i/>
                <w:iCs/>
                <w:color w:val="000000"/>
                <w:sz w:val="18"/>
                <w:szCs w:val="18"/>
                <w:lang w:val="en-US" w:eastAsia="nl-NL" w:bidi="ar-SA"/>
              </w:rPr>
            </w:pPr>
            <w:r w:rsidRPr="00337C97">
              <w:rPr>
                <w:rFonts w:asciiTheme="minorHAnsi" w:hAnsiTheme="minorHAnsi" w:cs="Times New Roman"/>
                <w:i/>
                <w:iCs/>
                <w:color w:val="000000"/>
                <w:sz w:val="18"/>
                <w:szCs w:val="18"/>
                <w:lang w:val="en-US" w:eastAsia="nl-NL" w:bidi="ar-SA"/>
              </w:rPr>
              <w:t>Text disclosure sentence characteristics</w:t>
            </w:r>
          </w:p>
        </w:tc>
        <w:tc>
          <w:tcPr>
            <w:tcW w:w="709"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1</w:t>
            </w:r>
          </w:p>
        </w:tc>
        <w:tc>
          <w:tcPr>
            <w:tcW w:w="708"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2</w:t>
            </w:r>
          </w:p>
        </w:tc>
        <w:tc>
          <w:tcPr>
            <w:tcW w:w="851"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3</w:t>
            </w:r>
          </w:p>
        </w:tc>
        <w:tc>
          <w:tcPr>
            <w:tcW w:w="709"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4</w:t>
            </w:r>
          </w:p>
        </w:tc>
        <w:tc>
          <w:tcPr>
            <w:tcW w:w="871"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5</w:t>
            </w:r>
          </w:p>
        </w:tc>
        <w:tc>
          <w:tcPr>
            <w:tcW w:w="751"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6</w:t>
            </w:r>
          </w:p>
        </w:tc>
        <w:tc>
          <w:tcPr>
            <w:tcW w:w="787"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7</w:t>
            </w:r>
          </w:p>
        </w:tc>
        <w:tc>
          <w:tcPr>
            <w:tcW w:w="567" w:type="dxa"/>
            <w:tcBorders>
              <w:bottom w:val="single" w:sz="4" w:space="0" w:color="auto"/>
            </w:tcBorders>
            <w:shd w:val="clear" w:color="auto" w:fill="auto"/>
            <w:hideMark/>
          </w:tcPr>
          <w:p w:rsidR="003E18D7" w:rsidRPr="00337C97" w:rsidRDefault="003E18D7" w:rsidP="009A6693">
            <w:pPr>
              <w:rPr>
                <w:rFonts w:asciiTheme="minorHAnsi" w:hAnsiTheme="minorHAnsi" w:cs="Times New Roman"/>
                <w:i/>
                <w:color w:val="000000"/>
                <w:sz w:val="18"/>
                <w:szCs w:val="18"/>
                <w:lang w:val="en-US" w:eastAsia="nl-NL" w:bidi="ar-SA"/>
              </w:rPr>
            </w:pPr>
            <w:r w:rsidRPr="00337C97">
              <w:rPr>
                <w:rFonts w:asciiTheme="minorHAnsi" w:hAnsiTheme="minorHAnsi" w:cs="Times New Roman"/>
                <w:i/>
                <w:color w:val="000000"/>
                <w:sz w:val="18"/>
                <w:szCs w:val="18"/>
                <w:lang w:val="en-US" w:eastAsia="nl-NL" w:bidi="ar-SA"/>
              </w:rPr>
              <w:t>8</w:t>
            </w:r>
          </w:p>
        </w:tc>
        <w:tc>
          <w:tcPr>
            <w:tcW w:w="709" w:type="dxa"/>
            <w:tcBorders>
              <w:bottom w:val="single" w:sz="4" w:space="0" w:color="auto"/>
              <w:right w:val="single" w:sz="4" w:space="0" w:color="auto"/>
            </w:tcBorders>
            <w:shd w:val="clear" w:color="auto" w:fill="auto"/>
            <w:noWrap/>
            <w:hideMark/>
          </w:tcPr>
          <w:p w:rsidR="003E18D7" w:rsidRPr="00337C97" w:rsidRDefault="003E18D7" w:rsidP="009A6693">
            <w:pPr>
              <w:rPr>
                <w:rFonts w:asciiTheme="minorHAnsi" w:hAnsiTheme="minorHAnsi" w:cs="Times New Roman"/>
                <w:b/>
                <w:color w:val="000000"/>
                <w:sz w:val="18"/>
                <w:szCs w:val="18"/>
                <w:lang w:val="en-US" w:eastAsia="nl-NL" w:bidi="ar-SA"/>
              </w:rPr>
            </w:pPr>
            <w:r w:rsidRPr="00337C97">
              <w:rPr>
                <w:rFonts w:asciiTheme="minorHAnsi" w:hAnsiTheme="minorHAnsi" w:cs="Times New Roman"/>
                <w:b/>
                <w:color w:val="000000"/>
                <w:sz w:val="18"/>
                <w:szCs w:val="18"/>
                <w:lang w:val="en-US" w:eastAsia="nl-NL" w:bidi="ar-SA"/>
              </w:rPr>
              <w:t> </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en-US" w:eastAsia="nl-NL" w:bidi="ar-SA"/>
              </w:rPr>
            </w:pPr>
            <w:r w:rsidRPr="00337C97">
              <w:rPr>
                <w:rFonts w:asciiTheme="minorHAnsi" w:hAnsiTheme="minorHAnsi" w:cs="Times New Roman"/>
                <w:sz w:val="16"/>
                <w:szCs w:val="18"/>
                <w:lang w:val="en-US" w:eastAsia="nl-NL" w:bidi="ar-SA"/>
              </w:rPr>
              <w:t xml:space="preserve">Quantitative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en-US" w:eastAsia="nl-NL" w:bidi="ar-SA"/>
              </w:rPr>
            </w:pPr>
            <w:r w:rsidRPr="00337C97">
              <w:rPr>
                <w:rFonts w:asciiTheme="minorHAnsi" w:hAnsiTheme="minorHAnsi" w:cs="Times New Roman"/>
                <w:sz w:val="16"/>
                <w:szCs w:val="18"/>
                <w:lang w:val="en-US" w:eastAsia="nl-NL" w:bidi="ar-SA"/>
              </w:rPr>
              <w:t xml:space="preserve">Good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en-US" w:eastAsia="nl-NL" w:bidi="ar-SA"/>
              </w:rPr>
            </w:pPr>
            <w:r w:rsidRPr="00337C97">
              <w:rPr>
                <w:rFonts w:asciiTheme="minorHAnsi" w:hAnsiTheme="minorHAnsi" w:cs="Times New Roman"/>
                <w:sz w:val="16"/>
                <w:szCs w:val="18"/>
                <w:lang w:val="en-US" w:eastAsia="nl-NL" w:bidi="ar-SA"/>
              </w:rPr>
              <w:t>Future</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en-US" w:eastAsia="nl-NL" w:bidi="ar-SA"/>
              </w:rPr>
            </w:pPr>
            <w:r w:rsidRPr="00337C97">
              <w:rPr>
                <w:rFonts w:asciiTheme="minorHAnsi" w:hAnsiTheme="minorHAnsi" w:cs="Times New Roman"/>
                <w:b/>
                <w:bCs/>
                <w:sz w:val="18"/>
                <w:szCs w:val="18"/>
                <w:lang w:val="en-US" w:eastAsia="nl-NL" w:bidi="ar-SA"/>
              </w:rPr>
              <w:t>A</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29</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35</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Quantitative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Bad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Future</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B</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24</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3</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38</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Quantitative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Neutral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Future</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C</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18</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8</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4</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11</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55</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Qualitative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Good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Future</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D</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23</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39</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84</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13</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168</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Qualitative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Bad</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Future</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E</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18</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22</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3</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56</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3</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104</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Qualitative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Neutral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Future</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F</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1651</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2030</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702</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597</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184</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203</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333</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875</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6575</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Quantitative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Good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Past</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G</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53</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59</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9</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130</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Quantitative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Bad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Past</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H</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48</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63</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9</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24</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34</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4</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183</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Quantitative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Neutral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Past</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I</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546</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781</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177</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63</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28</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4</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186</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15</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1800</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Qualitative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Good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Past</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J</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17</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51</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29</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99</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4</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15</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24</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245</w:t>
            </w:r>
          </w:p>
        </w:tc>
      </w:tr>
      <w:tr w:rsidR="005C57A9" w:rsidRPr="00337C97" w:rsidTr="009A6693">
        <w:trPr>
          <w:trHeight w:val="255"/>
        </w:trPr>
        <w:tc>
          <w:tcPr>
            <w:tcW w:w="994" w:type="dxa"/>
            <w:tcBorders>
              <w:lef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Qualitative </w:t>
            </w:r>
          </w:p>
        </w:tc>
        <w:tc>
          <w:tcPr>
            <w:tcW w:w="721"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Bad </w:t>
            </w:r>
          </w:p>
        </w:tc>
        <w:tc>
          <w:tcPr>
            <w:tcW w:w="603" w:type="dxa"/>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Past</w:t>
            </w:r>
          </w:p>
        </w:tc>
        <w:tc>
          <w:tcPr>
            <w:tcW w:w="234" w:type="dxa"/>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K</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24</w:t>
            </w:r>
          </w:p>
        </w:tc>
        <w:tc>
          <w:tcPr>
            <w:tcW w:w="708"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25</w:t>
            </w:r>
          </w:p>
        </w:tc>
        <w:tc>
          <w:tcPr>
            <w:tcW w:w="8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7</w:t>
            </w:r>
          </w:p>
        </w:tc>
        <w:tc>
          <w:tcPr>
            <w:tcW w:w="709"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8</w:t>
            </w:r>
          </w:p>
        </w:tc>
        <w:tc>
          <w:tcPr>
            <w:tcW w:w="87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65</w:t>
            </w:r>
          </w:p>
        </w:tc>
        <w:tc>
          <w:tcPr>
            <w:tcW w:w="751"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18</w:t>
            </w:r>
          </w:p>
        </w:tc>
        <w:tc>
          <w:tcPr>
            <w:tcW w:w="787" w:type="dxa"/>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6</w:t>
            </w:r>
          </w:p>
        </w:tc>
        <w:tc>
          <w:tcPr>
            <w:tcW w:w="567" w:type="dxa"/>
            <w:tcBorders>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0</w:t>
            </w:r>
          </w:p>
        </w:tc>
        <w:tc>
          <w:tcPr>
            <w:tcW w:w="709" w:type="dxa"/>
            <w:tcBorders>
              <w:left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153</w:t>
            </w:r>
          </w:p>
        </w:tc>
      </w:tr>
      <w:tr w:rsidR="005C57A9" w:rsidRPr="00337C97" w:rsidTr="009A6693">
        <w:trPr>
          <w:trHeight w:val="255"/>
        </w:trPr>
        <w:tc>
          <w:tcPr>
            <w:tcW w:w="994" w:type="dxa"/>
            <w:tcBorders>
              <w:left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Qualitative </w:t>
            </w:r>
          </w:p>
        </w:tc>
        <w:tc>
          <w:tcPr>
            <w:tcW w:w="721"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 xml:space="preserve">Neutral </w:t>
            </w:r>
          </w:p>
        </w:tc>
        <w:tc>
          <w:tcPr>
            <w:tcW w:w="603"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6"/>
                <w:szCs w:val="18"/>
                <w:lang w:val="nl-NL" w:eastAsia="nl-NL" w:bidi="ar-SA"/>
              </w:rPr>
            </w:pPr>
            <w:r w:rsidRPr="00337C97">
              <w:rPr>
                <w:rFonts w:asciiTheme="minorHAnsi" w:hAnsiTheme="minorHAnsi" w:cs="Times New Roman"/>
                <w:sz w:val="16"/>
                <w:szCs w:val="18"/>
                <w:lang w:val="nl-NL" w:eastAsia="nl-NL" w:bidi="ar-SA"/>
              </w:rPr>
              <w:t>Past</w:t>
            </w:r>
          </w:p>
        </w:tc>
        <w:tc>
          <w:tcPr>
            <w:tcW w:w="234"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bCs/>
                <w:sz w:val="18"/>
                <w:szCs w:val="18"/>
                <w:lang w:val="nl-NL" w:eastAsia="nl-NL" w:bidi="ar-SA"/>
              </w:rPr>
            </w:pPr>
            <w:r w:rsidRPr="00337C97">
              <w:rPr>
                <w:rFonts w:asciiTheme="minorHAnsi" w:hAnsiTheme="minorHAnsi" w:cs="Times New Roman"/>
                <w:b/>
                <w:bCs/>
                <w:sz w:val="18"/>
                <w:szCs w:val="18"/>
                <w:lang w:val="nl-NL" w:eastAsia="nl-NL" w:bidi="ar-SA"/>
              </w:rPr>
              <w:t>L</w:t>
            </w:r>
          </w:p>
        </w:tc>
        <w:tc>
          <w:tcPr>
            <w:tcW w:w="709"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174</w:t>
            </w:r>
          </w:p>
        </w:tc>
        <w:tc>
          <w:tcPr>
            <w:tcW w:w="708"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183</w:t>
            </w:r>
          </w:p>
        </w:tc>
        <w:tc>
          <w:tcPr>
            <w:tcW w:w="851"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80</w:t>
            </w:r>
          </w:p>
        </w:tc>
        <w:tc>
          <w:tcPr>
            <w:tcW w:w="709"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98</w:t>
            </w:r>
          </w:p>
        </w:tc>
        <w:tc>
          <w:tcPr>
            <w:tcW w:w="871"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71</w:t>
            </w:r>
          </w:p>
        </w:tc>
        <w:tc>
          <w:tcPr>
            <w:tcW w:w="751"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40</w:t>
            </w:r>
          </w:p>
        </w:tc>
        <w:tc>
          <w:tcPr>
            <w:tcW w:w="787" w:type="dxa"/>
            <w:tcBorders>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99</w:t>
            </w:r>
          </w:p>
        </w:tc>
        <w:tc>
          <w:tcPr>
            <w:tcW w:w="567" w:type="dxa"/>
            <w:tcBorders>
              <w:bottom w:val="single" w:sz="4" w:space="0" w:color="auto"/>
              <w:right w:val="single" w:sz="4" w:space="0" w:color="auto"/>
            </w:tcBorders>
            <w:shd w:val="clear" w:color="auto" w:fill="auto"/>
            <w:vAlign w:val="center"/>
            <w:hideMark/>
          </w:tcPr>
          <w:p w:rsidR="001C38BE" w:rsidRPr="00337C97" w:rsidRDefault="001C38BE" w:rsidP="009A6693">
            <w:pPr>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nl-NL" w:eastAsia="nl-NL" w:bidi="ar-SA"/>
              </w:rPr>
              <w:t>98</w:t>
            </w:r>
          </w:p>
        </w:tc>
        <w:tc>
          <w:tcPr>
            <w:tcW w:w="709" w:type="dxa"/>
            <w:tcBorders>
              <w:left w:val="single" w:sz="4" w:space="0" w:color="auto"/>
              <w:bottom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843</w:t>
            </w:r>
          </w:p>
        </w:tc>
      </w:tr>
      <w:tr w:rsidR="005C57A9" w:rsidRPr="00337C97" w:rsidTr="009A6693">
        <w:trPr>
          <w:trHeight w:val="255"/>
        </w:trPr>
        <w:tc>
          <w:tcPr>
            <w:tcW w:w="994" w:type="dxa"/>
            <w:tcBorders>
              <w:top w:val="single" w:sz="4" w:space="0" w:color="auto"/>
              <w:left w:val="single" w:sz="4" w:space="0" w:color="auto"/>
              <w:bottom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Total</w:t>
            </w:r>
          </w:p>
        </w:tc>
        <w:tc>
          <w:tcPr>
            <w:tcW w:w="721" w:type="dxa"/>
            <w:tcBorders>
              <w:top w:val="single" w:sz="4" w:space="0" w:color="auto"/>
              <w:bottom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 </w:t>
            </w:r>
          </w:p>
        </w:tc>
        <w:tc>
          <w:tcPr>
            <w:tcW w:w="603" w:type="dxa"/>
            <w:tcBorders>
              <w:top w:val="single" w:sz="4" w:space="0" w:color="auto"/>
              <w:bottom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 </w:t>
            </w:r>
          </w:p>
        </w:tc>
        <w:tc>
          <w:tcPr>
            <w:tcW w:w="234" w:type="dxa"/>
            <w:tcBorders>
              <w:top w:val="single" w:sz="4" w:space="0" w:color="auto"/>
              <w:bottom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 </w:t>
            </w:r>
          </w:p>
        </w:tc>
        <w:tc>
          <w:tcPr>
            <w:tcW w:w="709"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2625</w:t>
            </w:r>
          </w:p>
        </w:tc>
        <w:tc>
          <w:tcPr>
            <w:tcW w:w="708"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3270</w:t>
            </w:r>
          </w:p>
        </w:tc>
        <w:tc>
          <w:tcPr>
            <w:tcW w:w="851"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1026</w:t>
            </w:r>
          </w:p>
        </w:tc>
        <w:tc>
          <w:tcPr>
            <w:tcW w:w="709"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804</w:t>
            </w:r>
          </w:p>
        </w:tc>
        <w:tc>
          <w:tcPr>
            <w:tcW w:w="871"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635</w:t>
            </w:r>
          </w:p>
        </w:tc>
        <w:tc>
          <w:tcPr>
            <w:tcW w:w="751"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282</w:t>
            </w:r>
          </w:p>
        </w:tc>
        <w:tc>
          <w:tcPr>
            <w:tcW w:w="787" w:type="dxa"/>
            <w:tcBorders>
              <w:top w:val="single" w:sz="4" w:space="0" w:color="auto"/>
              <w:bottom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660</w:t>
            </w:r>
          </w:p>
        </w:tc>
        <w:tc>
          <w:tcPr>
            <w:tcW w:w="567" w:type="dxa"/>
            <w:tcBorders>
              <w:top w:val="single" w:sz="4" w:space="0" w:color="auto"/>
              <w:bottom w:val="single" w:sz="4" w:space="0" w:color="auto"/>
              <w:right w:val="single" w:sz="4" w:space="0" w:color="auto"/>
            </w:tcBorders>
            <w:shd w:val="clear" w:color="auto" w:fill="auto"/>
            <w:vAlign w:val="center"/>
            <w:hideMark/>
          </w:tcPr>
          <w:p w:rsidR="001C38BE" w:rsidRPr="00337C97" w:rsidRDefault="001C38BE" w:rsidP="009A6693">
            <w:pPr>
              <w:rPr>
                <w:rFonts w:asciiTheme="minorHAnsi" w:hAnsiTheme="minorHAnsi" w:cs="Times New Roman"/>
                <w:b/>
                <w:sz w:val="18"/>
                <w:szCs w:val="18"/>
                <w:lang w:val="nl-NL" w:eastAsia="nl-NL" w:bidi="ar-SA"/>
              </w:rPr>
            </w:pPr>
            <w:r w:rsidRPr="00337C97">
              <w:rPr>
                <w:rFonts w:asciiTheme="minorHAnsi" w:hAnsiTheme="minorHAnsi" w:cs="Times New Roman"/>
                <w:b/>
                <w:sz w:val="18"/>
                <w:szCs w:val="18"/>
                <w:lang w:val="nl-NL" w:eastAsia="nl-NL" w:bidi="ar-SA"/>
              </w:rPr>
              <w:t>1027</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C38BE" w:rsidRPr="00337C97" w:rsidRDefault="001C38BE" w:rsidP="009A6693">
            <w:pPr>
              <w:rPr>
                <w:rFonts w:asciiTheme="minorHAnsi" w:hAnsiTheme="minorHAnsi" w:cs="Times New Roman"/>
                <w:b/>
                <w:iCs/>
                <w:sz w:val="18"/>
                <w:szCs w:val="18"/>
                <w:lang w:val="nl-NL" w:eastAsia="nl-NL" w:bidi="ar-SA"/>
              </w:rPr>
            </w:pPr>
            <w:r w:rsidRPr="00337C97">
              <w:rPr>
                <w:rFonts w:asciiTheme="minorHAnsi" w:hAnsiTheme="minorHAnsi" w:cs="Times New Roman"/>
                <w:b/>
                <w:iCs/>
                <w:sz w:val="18"/>
                <w:szCs w:val="18"/>
                <w:lang w:val="nl-NL" w:eastAsia="nl-NL" w:bidi="ar-SA"/>
              </w:rPr>
              <w:t>10329</w:t>
            </w:r>
          </w:p>
        </w:tc>
      </w:tr>
    </w:tbl>
    <w:p w:rsidR="005C57A9" w:rsidRPr="00337C97" w:rsidRDefault="007534B7" w:rsidP="007534B7">
      <w:pPr>
        <w:spacing w:line="360" w:lineRule="auto"/>
        <w:jc w:val="both"/>
        <w:rPr>
          <w:rFonts w:asciiTheme="minorHAnsi" w:hAnsiTheme="minorHAnsi" w:cs="Times New Roman"/>
          <w:sz w:val="18"/>
          <w:szCs w:val="22"/>
          <w:lang w:val="en-US"/>
        </w:rPr>
      </w:pPr>
      <w:r w:rsidRPr="00337C97">
        <w:rPr>
          <w:rFonts w:asciiTheme="minorHAnsi" w:hAnsiTheme="minorHAnsi" w:cs="Times New Roman"/>
          <w:i/>
          <w:sz w:val="18"/>
          <w:szCs w:val="22"/>
          <w:vertAlign w:val="superscript"/>
          <w:lang w:val="en-US"/>
        </w:rPr>
        <w:t>1</w:t>
      </w:r>
      <w:r w:rsidRPr="00337C97">
        <w:rPr>
          <w:rFonts w:asciiTheme="minorHAnsi" w:hAnsiTheme="minorHAnsi" w:cs="Times New Roman"/>
          <w:i/>
          <w:sz w:val="18"/>
          <w:szCs w:val="22"/>
          <w:lang w:val="en-US"/>
        </w:rPr>
        <w:t xml:space="preserve"> </w:t>
      </w:r>
      <w:r w:rsidR="005C57A9" w:rsidRPr="00337C97">
        <w:rPr>
          <w:rFonts w:asciiTheme="minorHAnsi" w:hAnsiTheme="minorHAnsi" w:cs="Times New Roman"/>
          <w:i/>
          <w:sz w:val="18"/>
          <w:szCs w:val="22"/>
          <w:lang w:val="en-US"/>
        </w:rPr>
        <w:t>Capital structure and adequacy risk</w:t>
      </w:r>
      <w:r w:rsidR="006E5D51" w:rsidRPr="00337C97">
        <w:rPr>
          <w:rFonts w:asciiTheme="minorHAnsi" w:hAnsiTheme="minorHAnsi" w:cs="Times New Roman"/>
          <w:i/>
          <w:sz w:val="18"/>
          <w:szCs w:val="22"/>
          <w:lang w:val="en-US"/>
        </w:rPr>
        <w:t>;</w:t>
      </w:r>
      <w:r w:rsidRPr="00337C97">
        <w:rPr>
          <w:rFonts w:asciiTheme="minorHAnsi" w:hAnsiTheme="minorHAnsi" w:cs="Times New Roman"/>
          <w:i/>
          <w:sz w:val="18"/>
          <w:szCs w:val="22"/>
          <w:lang w:val="en-US"/>
        </w:rPr>
        <w:t xml:space="preserve"> </w:t>
      </w:r>
      <w:r w:rsidRPr="00337C97">
        <w:rPr>
          <w:rFonts w:asciiTheme="minorHAnsi" w:hAnsiTheme="minorHAnsi" w:cs="Times New Roman"/>
          <w:i/>
          <w:sz w:val="18"/>
          <w:szCs w:val="22"/>
          <w:vertAlign w:val="superscript"/>
          <w:lang w:val="en-US"/>
        </w:rPr>
        <w:t>2</w:t>
      </w:r>
      <w:r w:rsidRPr="00337C97">
        <w:rPr>
          <w:rFonts w:asciiTheme="minorHAnsi" w:hAnsiTheme="minorHAnsi" w:cs="Times New Roman"/>
          <w:i/>
          <w:sz w:val="18"/>
          <w:szCs w:val="22"/>
          <w:lang w:val="en-US"/>
        </w:rPr>
        <w:t xml:space="preserve"> </w:t>
      </w:r>
      <w:r w:rsidR="005C57A9" w:rsidRPr="00337C97">
        <w:rPr>
          <w:rFonts w:asciiTheme="minorHAnsi" w:hAnsiTheme="minorHAnsi" w:cs="Times New Roman"/>
          <w:i/>
          <w:sz w:val="18"/>
          <w:szCs w:val="22"/>
          <w:lang w:val="en-US"/>
        </w:rPr>
        <w:t>Risk ma</w:t>
      </w:r>
      <w:r w:rsidR="005C23A6" w:rsidRPr="00337C97">
        <w:rPr>
          <w:rFonts w:asciiTheme="minorHAnsi" w:hAnsiTheme="minorHAnsi" w:cs="Times New Roman"/>
          <w:i/>
          <w:sz w:val="18"/>
          <w:szCs w:val="22"/>
          <w:lang w:val="en-US"/>
        </w:rPr>
        <w:t>nagement frameworks and policies</w:t>
      </w:r>
    </w:p>
    <w:p w:rsidR="004202EF" w:rsidRDefault="004202EF" w:rsidP="0037312D">
      <w:pPr>
        <w:spacing w:line="360" w:lineRule="auto"/>
        <w:jc w:val="both"/>
        <w:rPr>
          <w:rFonts w:asciiTheme="minorHAnsi" w:hAnsiTheme="minorHAnsi" w:cs="Times New Roman"/>
          <w:sz w:val="22"/>
          <w:szCs w:val="22"/>
          <w:lang w:val="en-US"/>
        </w:rPr>
      </w:pPr>
    </w:p>
    <w:p w:rsidR="007E5F81" w:rsidRPr="00337C97" w:rsidRDefault="0052745A" w:rsidP="0037312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The average risk disclosure score of the sampled banks is 258 risk se</w:t>
      </w:r>
      <w:r w:rsidR="006150D6" w:rsidRPr="00337C97">
        <w:rPr>
          <w:rFonts w:asciiTheme="minorHAnsi" w:hAnsiTheme="minorHAnsi" w:cs="Times New Roman"/>
          <w:sz w:val="22"/>
          <w:szCs w:val="22"/>
          <w:lang w:val="en-US"/>
        </w:rPr>
        <w:t xml:space="preserve">ntences. Linsley et al. (2006) found in 2001 annual reports of 18 English/Canadian banks on average 185 risk sentences. This shows that the 2007 annual reports investigated in this study show a significant increase in risk reporting measured in risk sentences. </w:t>
      </w:r>
      <w:r w:rsidR="00B66996" w:rsidRPr="00337C97">
        <w:rPr>
          <w:rFonts w:asciiTheme="minorHAnsi" w:hAnsiTheme="minorHAnsi" w:cs="Times New Roman"/>
          <w:sz w:val="22"/>
          <w:szCs w:val="22"/>
          <w:lang w:val="en-US"/>
        </w:rPr>
        <w:t>This can be explained by the increased</w:t>
      </w:r>
      <w:r w:rsidR="00466F6C" w:rsidRPr="00337C97">
        <w:rPr>
          <w:rFonts w:asciiTheme="minorHAnsi" w:hAnsiTheme="minorHAnsi" w:cs="Times New Roman"/>
          <w:sz w:val="22"/>
          <w:szCs w:val="22"/>
          <w:lang w:val="en-US"/>
        </w:rPr>
        <w:t xml:space="preserve"> demands of the regulatory environment, the introduction of IFRS 7 and Basel II</w:t>
      </w:r>
      <w:r w:rsidR="007E5F81" w:rsidRPr="00337C97">
        <w:rPr>
          <w:rFonts w:asciiTheme="minorHAnsi" w:hAnsiTheme="minorHAnsi" w:cs="Times New Roman"/>
          <w:sz w:val="22"/>
          <w:szCs w:val="22"/>
          <w:lang w:val="en-US"/>
        </w:rPr>
        <w:t>, and furthermore support</w:t>
      </w:r>
      <w:r w:rsidR="005C23A6" w:rsidRPr="00337C97">
        <w:rPr>
          <w:rFonts w:asciiTheme="minorHAnsi" w:hAnsiTheme="minorHAnsi" w:cs="Times New Roman"/>
          <w:sz w:val="22"/>
          <w:szCs w:val="22"/>
          <w:lang w:val="en-US"/>
        </w:rPr>
        <w:t>s</w:t>
      </w:r>
      <w:r w:rsidR="007E5F81" w:rsidRPr="00337C97">
        <w:rPr>
          <w:rFonts w:asciiTheme="minorHAnsi" w:hAnsiTheme="minorHAnsi" w:cs="Times New Roman"/>
          <w:sz w:val="22"/>
          <w:szCs w:val="22"/>
          <w:lang w:val="en-US"/>
        </w:rPr>
        <w:t xml:space="preserve"> </w:t>
      </w:r>
      <w:r w:rsidR="005C23A6" w:rsidRPr="00337C97">
        <w:rPr>
          <w:rFonts w:asciiTheme="minorHAnsi" w:hAnsiTheme="minorHAnsi" w:cs="Times New Roman"/>
          <w:sz w:val="22"/>
          <w:szCs w:val="22"/>
          <w:lang w:val="en-US"/>
        </w:rPr>
        <w:t xml:space="preserve">the notion </w:t>
      </w:r>
      <w:r w:rsidR="007E5F81" w:rsidRPr="00337C97">
        <w:rPr>
          <w:rFonts w:asciiTheme="minorHAnsi" w:hAnsiTheme="minorHAnsi" w:cs="Times New Roman"/>
          <w:sz w:val="22"/>
          <w:szCs w:val="22"/>
          <w:lang w:val="en-US"/>
        </w:rPr>
        <w:t xml:space="preserve">that there is </w:t>
      </w:r>
      <w:r w:rsidR="005C23A6" w:rsidRPr="00337C97">
        <w:rPr>
          <w:rFonts w:asciiTheme="minorHAnsi" w:hAnsiTheme="minorHAnsi" w:cs="Times New Roman"/>
          <w:sz w:val="22"/>
          <w:szCs w:val="22"/>
          <w:lang w:val="en-US"/>
        </w:rPr>
        <w:t xml:space="preserve">an increase in the </w:t>
      </w:r>
      <w:r w:rsidR="007E5F81" w:rsidRPr="00337C97">
        <w:rPr>
          <w:rFonts w:asciiTheme="minorHAnsi" w:hAnsiTheme="minorHAnsi" w:cs="Times New Roman"/>
          <w:sz w:val="22"/>
          <w:szCs w:val="22"/>
          <w:lang w:val="en-US"/>
        </w:rPr>
        <w:t xml:space="preserve">awareness </w:t>
      </w:r>
      <w:r w:rsidR="005C23A6" w:rsidRPr="00337C97">
        <w:rPr>
          <w:rFonts w:asciiTheme="minorHAnsi" w:hAnsiTheme="minorHAnsi" w:cs="Times New Roman"/>
          <w:sz w:val="22"/>
          <w:szCs w:val="22"/>
          <w:lang w:val="en-US"/>
        </w:rPr>
        <w:t xml:space="preserve">of bank directors </w:t>
      </w:r>
      <w:r w:rsidR="007E5F81" w:rsidRPr="00337C97">
        <w:rPr>
          <w:rFonts w:asciiTheme="minorHAnsi" w:hAnsiTheme="minorHAnsi" w:cs="Times New Roman"/>
          <w:sz w:val="22"/>
          <w:szCs w:val="22"/>
          <w:lang w:val="en-US"/>
        </w:rPr>
        <w:t>to disclose proper risk disclosures</w:t>
      </w:r>
      <w:r w:rsidR="00466F6C" w:rsidRPr="00337C97">
        <w:rPr>
          <w:rFonts w:asciiTheme="minorHAnsi" w:hAnsiTheme="minorHAnsi" w:cs="Times New Roman"/>
          <w:sz w:val="22"/>
          <w:szCs w:val="22"/>
          <w:lang w:val="en-US"/>
        </w:rPr>
        <w:t>.</w:t>
      </w:r>
    </w:p>
    <w:p w:rsidR="007E5F81" w:rsidRPr="00337C97" w:rsidRDefault="007E5F81" w:rsidP="0037312D">
      <w:pPr>
        <w:spacing w:line="360" w:lineRule="auto"/>
        <w:jc w:val="both"/>
        <w:rPr>
          <w:rFonts w:asciiTheme="minorHAnsi" w:hAnsiTheme="minorHAnsi" w:cs="Times New Roman"/>
          <w:sz w:val="22"/>
          <w:szCs w:val="22"/>
          <w:lang w:val="en-US"/>
        </w:rPr>
      </w:pPr>
    </w:p>
    <w:p w:rsidR="00B66996" w:rsidRPr="00337C97" w:rsidRDefault="007E5F81" w:rsidP="0037312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Other studies measuring risk disclosures sentences (see paragraph 4.3.2) varied from an average of 20 (Amran et al., 2009</w:t>
      </w:r>
      <w:r w:rsidR="00C351D9" w:rsidRPr="00337C97">
        <w:rPr>
          <w:rFonts w:asciiTheme="minorHAnsi" w:hAnsiTheme="minorHAnsi" w:cs="Times New Roman"/>
          <w:sz w:val="22"/>
          <w:szCs w:val="22"/>
          <w:lang w:val="en-US"/>
        </w:rPr>
        <w:t>, Malaysian companies</w:t>
      </w:r>
      <w:r w:rsidRPr="00337C97">
        <w:rPr>
          <w:rFonts w:asciiTheme="minorHAnsi" w:hAnsiTheme="minorHAnsi" w:cs="Times New Roman"/>
          <w:sz w:val="22"/>
          <w:szCs w:val="22"/>
          <w:lang w:val="en-US"/>
        </w:rPr>
        <w:t xml:space="preserve">) to 111 (Linsley and Lawrence, 2007). These studies were on non-financial companies, which explain the lower </w:t>
      </w:r>
      <w:r w:rsidR="005C23A6" w:rsidRPr="00337C97">
        <w:rPr>
          <w:rFonts w:asciiTheme="minorHAnsi" w:hAnsiTheme="minorHAnsi" w:cs="Times New Roman"/>
          <w:sz w:val="22"/>
          <w:szCs w:val="22"/>
          <w:lang w:val="en-US"/>
        </w:rPr>
        <w:t>averages</w:t>
      </w:r>
      <w:r w:rsidRPr="00337C97">
        <w:rPr>
          <w:rFonts w:asciiTheme="minorHAnsi" w:hAnsiTheme="minorHAnsi" w:cs="Times New Roman"/>
          <w:sz w:val="22"/>
          <w:szCs w:val="22"/>
          <w:lang w:val="en-US"/>
        </w:rPr>
        <w:t xml:space="preserve">, compared to financial companies. Banks are in the business of risk and are therefore expected to release more risk-related information to the capital market. </w:t>
      </w:r>
    </w:p>
    <w:p w:rsidR="005C23A6" w:rsidRPr="00337C97" w:rsidRDefault="005C23A6" w:rsidP="0037312D">
      <w:pPr>
        <w:spacing w:line="360" w:lineRule="auto"/>
        <w:jc w:val="both"/>
        <w:rPr>
          <w:rFonts w:asciiTheme="minorHAnsi" w:hAnsiTheme="minorHAnsi" w:cs="Times New Roman"/>
          <w:sz w:val="22"/>
          <w:szCs w:val="22"/>
          <w:lang w:val="en-US"/>
        </w:rPr>
      </w:pPr>
    </w:p>
    <w:p w:rsidR="004202EF" w:rsidRDefault="004202EF">
      <w:pPr>
        <w:rPr>
          <w:rFonts w:asciiTheme="minorHAnsi" w:hAnsiTheme="minorHAnsi" w:cs="Times New Roman"/>
          <w:i/>
          <w:sz w:val="22"/>
          <w:szCs w:val="22"/>
          <w:lang w:val="en-US"/>
        </w:rPr>
      </w:pPr>
      <w:r>
        <w:rPr>
          <w:rFonts w:asciiTheme="minorHAnsi" w:hAnsiTheme="minorHAnsi" w:cs="Times New Roman"/>
          <w:i/>
          <w:sz w:val="22"/>
          <w:szCs w:val="22"/>
          <w:lang w:val="en-US"/>
        </w:rPr>
        <w:br w:type="page"/>
      </w:r>
    </w:p>
    <w:p w:rsidR="0037312D" w:rsidRPr="00337C97" w:rsidRDefault="0037312D" w:rsidP="001919AE">
      <w:pPr>
        <w:spacing w:line="360" w:lineRule="auto"/>
        <w:jc w:val="both"/>
        <w:outlineLvl w:val="2"/>
        <w:rPr>
          <w:rFonts w:asciiTheme="minorHAnsi" w:hAnsiTheme="minorHAnsi" w:cs="Times New Roman"/>
          <w:sz w:val="22"/>
          <w:szCs w:val="22"/>
          <w:lang w:val="en-US"/>
        </w:rPr>
      </w:pPr>
      <w:bookmarkStart w:id="293" w:name="_Toc269658970"/>
      <w:r w:rsidRPr="00337C97">
        <w:rPr>
          <w:rFonts w:asciiTheme="minorHAnsi" w:hAnsiTheme="minorHAnsi" w:cs="Times New Roman"/>
          <w:i/>
          <w:sz w:val="22"/>
          <w:szCs w:val="22"/>
          <w:lang w:val="en-US"/>
        </w:rPr>
        <w:lastRenderedPageBreak/>
        <w:t>6.</w:t>
      </w:r>
      <w:r w:rsidR="00EA10F1" w:rsidRPr="00337C97">
        <w:rPr>
          <w:rFonts w:asciiTheme="minorHAnsi" w:hAnsiTheme="minorHAnsi" w:cs="Times New Roman"/>
          <w:i/>
          <w:sz w:val="22"/>
          <w:szCs w:val="22"/>
          <w:lang w:val="en-US"/>
        </w:rPr>
        <w:t>3</w:t>
      </w:r>
      <w:r w:rsidRPr="00337C97">
        <w:rPr>
          <w:rFonts w:asciiTheme="minorHAnsi" w:hAnsiTheme="minorHAnsi" w:cs="Times New Roman"/>
          <w:i/>
          <w:sz w:val="22"/>
          <w:szCs w:val="22"/>
          <w:lang w:val="en-US"/>
        </w:rPr>
        <w:t>.2</w:t>
      </w:r>
      <w:r w:rsidRPr="00337C97">
        <w:rPr>
          <w:rFonts w:asciiTheme="minorHAnsi" w:hAnsiTheme="minorHAnsi" w:cs="Times New Roman"/>
          <w:i/>
          <w:sz w:val="22"/>
          <w:szCs w:val="22"/>
          <w:lang w:val="en-US"/>
        </w:rPr>
        <w:tab/>
        <w:t>Risk categories</w:t>
      </w:r>
      <w:bookmarkEnd w:id="293"/>
    </w:p>
    <w:p w:rsidR="00D732E3" w:rsidRPr="00337C97" w:rsidRDefault="009F60B1" w:rsidP="00D732E3">
      <w:pPr>
        <w:spacing w:line="360" w:lineRule="auto"/>
        <w:jc w:val="both"/>
        <w:rPr>
          <w:rFonts w:asciiTheme="minorHAnsi" w:hAnsiTheme="minorHAnsi" w:cs="Times New Roman"/>
          <w:b/>
          <w:sz w:val="22"/>
          <w:szCs w:val="22"/>
          <w:lang w:val="en-US"/>
        </w:rPr>
      </w:pPr>
      <w:r w:rsidRPr="00337C97">
        <w:rPr>
          <w:rFonts w:asciiTheme="minorHAnsi" w:hAnsiTheme="minorHAnsi" w:cs="Times New Roman"/>
          <w:b/>
          <w:noProof/>
          <w:sz w:val="22"/>
          <w:szCs w:val="22"/>
          <w:lang w:val="nl-NL" w:eastAsia="nl-NL" w:bidi="ar-SA"/>
        </w:rPr>
        <w:drawing>
          <wp:inline distT="0" distB="0" distL="0" distR="0">
            <wp:extent cx="5969635" cy="4252595"/>
            <wp:effectExtent l="0" t="0" r="0" b="0"/>
            <wp:docPr id="5" name="Grafiek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D732E3" w:rsidRPr="00337C97">
        <w:rPr>
          <w:rFonts w:asciiTheme="minorHAnsi" w:hAnsiTheme="minorHAnsi" w:cs="Times New Roman"/>
          <w:b/>
          <w:sz w:val="22"/>
          <w:szCs w:val="22"/>
          <w:lang w:val="en-US"/>
        </w:rPr>
        <w:t>Figure 4</w:t>
      </w:r>
      <w:r w:rsidR="00D732E3" w:rsidRPr="00337C97">
        <w:rPr>
          <w:rFonts w:asciiTheme="minorHAnsi" w:hAnsiTheme="minorHAnsi" w:cs="Times New Roman"/>
          <w:sz w:val="22"/>
          <w:szCs w:val="22"/>
          <w:lang w:val="en-US"/>
        </w:rPr>
        <w:t xml:space="preserve"> Number of disclosures in the different risk categories</w:t>
      </w:r>
    </w:p>
    <w:p w:rsidR="00D732E3" w:rsidRPr="00337C97" w:rsidRDefault="00D732E3" w:rsidP="0037312D">
      <w:pPr>
        <w:spacing w:line="360" w:lineRule="auto"/>
        <w:jc w:val="both"/>
        <w:rPr>
          <w:rFonts w:asciiTheme="minorHAnsi" w:hAnsiTheme="minorHAnsi" w:cs="Times New Roman"/>
          <w:noProof/>
          <w:sz w:val="22"/>
          <w:szCs w:val="22"/>
          <w:lang w:val="en-US" w:eastAsia="nl-NL" w:bidi="ar-SA"/>
        </w:rPr>
      </w:pPr>
    </w:p>
    <w:p w:rsidR="00F57EFD" w:rsidRPr="00337C97" w:rsidRDefault="00F74954" w:rsidP="0037312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Figure 4 reports the </w:t>
      </w:r>
      <w:r w:rsidR="00273727" w:rsidRPr="00337C97">
        <w:rPr>
          <w:rFonts w:asciiTheme="minorHAnsi" w:hAnsiTheme="minorHAnsi" w:cs="Times New Roman"/>
          <w:sz w:val="22"/>
          <w:szCs w:val="22"/>
          <w:lang w:val="en-US"/>
        </w:rPr>
        <w:t xml:space="preserve">defined </w:t>
      </w:r>
      <w:r w:rsidRPr="00337C97">
        <w:rPr>
          <w:rFonts w:asciiTheme="minorHAnsi" w:hAnsiTheme="minorHAnsi" w:cs="Times New Roman"/>
          <w:sz w:val="22"/>
          <w:szCs w:val="22"/>
          <w:lang w:val="en-US"/>
        </w:rPr>
        <w:t xml:space="preserve">risk categories into which the risk disclosures </w:t>
      </w:r>
      <w:r w:rsidR="00273727" w:rsidRPr="00337C97">
        <w:rPr>
          <w:rFonts w:asciiTheme="minorHAnsi" w:hAnsiTheme="minorHAnsi" w:cs="Times New Roman"/>
          <w:sz w:val="22"/>
          <w:szCs w:val="22"/>
          <w:lang w:val="en-US"/>
        </w:rPr>
        <w:t>were coded</w:t>
      </w:r>
      <w:r w:rsidRPr="00337C97">
        <w:rPr>
          <w:rFonts w:asciiTheme="minorHAnsi" w:hAnsiTheme="minorHAnsi" w:cs="Times New Roman"/>
          <w:sz w:val="22"/>
          <w:szCs w:val="22"/>
          <w:lang w:val="en-US"/>
        </w:rPr>
        <w:t xml:space="preserve">. </w:t>
      </w:r>
      <w:r w:rsidR="00F76FB8" w:rsidRPr="00337C97">
        <w:rPr>
          <w:rFonts w:asciiTheme="minorHAnsi" w:hAnsiTheme="minorHAnsi" w:cs="Times New Roman"/>
          <w:sz w:val="22"/>
          <w:szCs w:val="22"/>
          <w:lang w:val="en-US"/>
        </w:rPr>
        <w:t xml:space="preserve">Credit risk is the most disclosed risk category, which is </w:t>
      </w:r>
      <w:r w:rsidR="00273727" w:rsidRPr="00337C97">
        <w:rPr>
          <w:rFonts w:asciiTheme="minorHAnsi" w:hAnsiTheme="minorHAnsi" w:cs="Times New Roman"/>
          <w:sz w:val="22"/>
          <w:szCs w:val="22"/>
          <w:lang w:val="en-US"/>
        </w:rPr>
        <w:t xml:space="preserve">a </w:t>
      </w:r>
      <w:r w:rsidR="00F76FB8" w:rsidRPr="00337C97">
        <w:rPr>
          <w:rFonts w:asciiTheme="minorHAnsi" w:hAnsiTheme="minorHAnsi" w:cs="Times New Roman"/>
          <w:sz w:val="22"/>
          <w:szCs w:val="22"/>
          <w:lang w:val="en-US"/>
        </w:rPr>
        <w:t xml:space="preserve">consistent </w:t>
      </w:r>
      <w:r w:rsidR="00273727" w:rsidRPr="00337C97">
        <w:rPr>
          <w:rFonts w:asciiTheme="minorHAnsi" w:hAnsiTheme="minorHAnsi" w:cs="Times New Roman"/>
          <w:sz w:val="22"/>
          <w:szCs w:val="22"/>
          <w:lang w:val="en-US"/>
        </w:rPr>
        <w:t>finding compared to</w:t>
      </w:r>
      <w:r w:rsidR="00F76FB8" w:rsidRPr="00337C97">
        <w:rPr>
          <w:rFonts w:asciiTheme="minorHAnsi" w:hAnsiTheme="minorHAnsi" w:cs="Times New Roman"/>
          <w:sz w:val="22"/>
          <w:szCs w:val="22"/>
          <w:lang w:val="en-US"/>
        </w:rPr>
        <w:t xml:space="preserve"> other studies. Linsley et al. (2006) found credit risk to be the dominant risk category, </w:t>
      </w:r>
      <w:r w:rsidRPr="00337C97">
        <w:rPr>
          <w:rFonts w:asciiTheme="minorHAnsi" w:hAnsiTheme="minorHAnsi" w:cs="Times New Roman"/>
          <w:sz w:val="22"/>
          <w:szCs w:val="22"/>
          <w:lang w:val="en-US"/>
        </w:rPr>
        <w:t>amounting</w:t>
      </w:r>
      <w:r w:rsidR="00F76FB8" w:rsidRPr="00337C97">
        <w:rPr>
          <w:rFonts w:asciiTheme="minorHAnsi" w:hAnsiTheme="minorHAnsi" w:cs="Times New Roman"/>
          <w:sz w:val="22"/>
          <w:szCs w:val="22"/>
          <w:lang w:val="en-US"/>
        </w:rPr>
        <w:t xml:space="preserve"> about 37%</w:t>
      </w:r>
      <w:r w:rsidR="00FB3502" w:rsidRPr="00337C97">
        <w:rPr>
          <w:rFonts w:asciiTheme="minorHAnsi" w:hAnsiTheme="minorHAnsi" w:cs="Times New Roman"/>
          <w:sz w:val="22"/>
          <w:szCs w:val="22"/>
          <w:lang w:val="en-US"/>
        </w:rPr>
        <w:t xml:space="preserve"> of total risk disclosure, compared to 32% of this study. </w:t>
      </w:r>
      <w:r w:rsidR="0006482B" w:rsidRPr="00337C97">
        <w:rPr>
          <w:rFonts w:asciiTheme="minorHAnsi" w:hAnsiTheme="minorHAnsi" w:cs="Times New Roman"/>
          <w:sz w:val="22"/>
          <w:szCs w:val="22"/>
          <w:lang w:val="en-US"/>
        </w:rPr>
        <w:t xml:space="preserve">Banks are essentially lending institutions and therefore this is a significant risk requiring appropriate disclosures. </w:t>
      </w:r>
      <w:r w:rsidR="00FB3502" w:rsidRPr="00337C97">
        <w:rPr>
          <w:rFonts w:asciiTheme="minorHAnsi" w:hAnsiTheme="minorHAnsi" w:cs="Times New Roman"/>
          <w:sz w:val="22"/>
          <w:szCs w:val="22"/>
          <w:lang w:val="en-US"/>
        </w:rPr>
        <w:t>The KPMG survey in 2008 confirms that credit risk is the most developed area of disclosure.</w:t>
      </w:r>
      <w:r w:rsidRPr="00337C97">
        <w:rPr>
          <w:rFonts w:asciiTheme="minorHAnsi" w:hAnsiTheme="minorHAnsi" w:cs="Times New Roman"/>
          <w:sz w:val="22"/>
          <w:szCs w:val="22"/>
          <w:lang w:val="en-US"/>
        </w:rPr>
        <w:t xml:space="preserve"> </w:t>
      </w:r>
      <w:r w:rsidR="00BE0049" w:rsidRPr="00337C97">
        <w:rPr>
          <w:rFonts w:asciiTheme="minorHAnsi" w:hAnsiTheme="minorHAnsi" w:cs="Times New Roman"/>
          <w:sz w:val="22"/>
          <w:szCs w:val="22"/>
          <w:lang w:val="en-US"/>
        </w:rPr>
        <w:t>In comparison with the BCBS 2001 survey, credit risk is not found to be the dominant disclosure area. This can however be explained by the fact that the BCBS 2001 survey focuses on disclosure in common, not s</w:t>
      </w:r>
      <w:r w:rsidR="00532F19" w:rsidRPr="00337C97">
        <w:rPr>
          <w:rFonts w:asciiTheme="minorHAnsi" w:hAnsiTheme="minorHAnsi" w:cs="Times New Roman"/>
          <w:sz w:val="22"/>
          <w:szCs w:val="22"/>
          <w:lang w:val="en-US"/>
        </w:rPr>
        <w:t>pecifically on risk disclosure.</w:t>
      </w:r>
    </w:p>
    <w:p w:rsidR="00F57EFD" w:rsidRPr="00337C97" w:rsidRDefault="00F57EFD" w:rsidP="0037312D">
      <w:pPr>
        <w:spacing w:line="360" w:lineRule="auto"/>
        <w:jc w:val="both"/>
        <w:rPr>
          <w:rFonts w:asciiTheme="minorHAnsi" w:hAnsiTheme="minorHAnsi" w:cs="Times New Roman"/>
          <w:sz w:val="22"/>
          <w:szCs w:val="22"/>
          <w:lang w:val="en-US"/>
        </w:rPr>
      </w:pPr>
    </w:p>
    <w:p w:rsidR="00F76FB8" w:rsidRPr="00337C97" w:rsidRDefault="00F74954" w:rsidP="0037312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Credit risk is followed by market risk and together they dominate the risk disclosures in this study</w:t>
      </w:r>
      <w:r w:rsidR="00532F19" w:rsidRPr="00337C97">
        <w:rPr>
          <w:rFonts w:asciiTheme="minorHAnsi" w:hAnsiTheme="minorHAnsi" w:cs="Times New Roman"/>
          <w:sz w:val="22"/>
          <w:szCs w:val="22"/>
          <w:lang w:val="en-US"/>
        </w:rPr>
        <w:t xml:space="preserve"> (for about 57%)</w:t>
      </w:r>
      <w:r w:rsidRPr="00337C97">
        <w:rPr>
          <w:rFonts w:asciiTheme="minorHAnsi" w:hAnsiTheme="minorHAnsi" w:cs="Times New Roman"/>
          <w:sz w:val="22"/>
          <w:szCs w:val="22"/>
          <w:lang w:val="en-US"/>
        </w:rPr>
        <w:t>.</w:t>
      </w:r>
      <w:r w:rsidR="00F57EFD" w:rsidRPr="00337C97">
        <w:rPr>
          <w:rFonts w:asciiTheme="minorHAnsi" w:hAnsiTheme="minorHAnsi" w:cs="Times New Roman"/>
          <w:sz w:val="22"/>
          <w:szCs w:val="22"/>
          <w:lang w:val="en-US"/>
        </w:rPr>
        <w:t xml:space="preserve"> T</w:t>
      </w:r>
      <w:r w:rsidRPr="00337C97">
        <w:rPr>
          <w:rFonts w:asciiTheme="minorHAnsi" w:hAnsiTheme="minorHAnsi" w:cs="Times New Roman"/>
          <w:sz w:val="22"/>
          <w:szCs w:val="22"/>
          <w:lang w:val="en-US"/>
        </w:rPr>
        <w:t>his result is in line with Linsley et al. (2006) and KPMG (2008), where market risk is the second most disclosed risk area.</w:t>
      </w:r>
      <w:r w:rsidR="0003219B" w:rsidRPr="00337C97">
        <w:rPr>
          <w:rFonts w:asciiTheme="minorHAnsi" w:hAnsiTheme="minorHAnsi" w:cs="Times New Roman"/>
          <w:sz w:val="22"/>
          <w:szCs w:val="22"/>
          <w:lang w:val="en-US"/>
        </w:rPr>
        <w:t xml:space="preserve"> Interest rate risk in this study is categorized under market risk, where Linsley et al. (2006) distinguished these risks from each other. However, if their respective </w:t>
      </w:r>
      <w:r w:rsidR="00532F19" w:rsidRPr="00337C97">
        <w:rPr>
          <w:rFonts w:asciiTheme="minorHAnsi" w:hAnsiTheme="minorHAnsi" w:cs="Times New Roman"/>
          <w:sz w:val="22"/>
          <w:szCs w:val="22"/>
          <w:lang w:val="en-US"/>
        </w:rPr>
        <w:t xml:space="preserve">scores are combined, the rankings do not change. </w:t>
      </w:r>
      <w:r w:rsidR="00C00D40" w:rsidRPr="00337C97">
        <w:rPr>
          <w:rFonts w:asciiTheme="minorHAnsi" w:hAnsiTheme="minorHAnsi" w:cs="Times New Roman"/>
          <w:sz w:val="22"/>
          <w:szCs w:val="22"/>
          <w:lang w:val="en-US"/>
        </w:rPr>
        <w:t>In studies on non-financial firms, usually financial risk is the most disclosed area (</w:t>
      </w:r>
      <w:r w:rsidR="00F57EFD" w:rsidRPr="00337C97">
        <w:rPr>
          <w:rFonts w:asciiTheme="minorHAnsi" w:hAnsiTheme="minorHAnsi" w:cs="Times New Roman"/>
          <w:sz w:val="22"/>
          <w:szCs w:val="22"/>
          <w:lang w:val="en-US"/>
        </w:rPr>
        <w:t xml:space="preserve">Lajili and Zeghal, 2005; Linsley and Shrives, 2005b; Michiels et al., </w:t>
      </w:r>
      <w:r w:rsidR="00F57EFD" w:rsidRPr="00337C97">
        <w:rPr>
          <w:rFonts w:asciiTheme="minorHAnsi" w:hAnsiTheme="minorHAnsi" w:cs="Times New Roman"/>
          <w:sz w:val="22"/>
          <w:szCs w:val="22"/>
          <w:lang w:val="en-US"/>
        </w:rPr>
        <w:lastRenderedPageBreak/>
        <w:t xml:space="preserve">2009). Once again, this is consistent </w:t>
      </w:r>
      <w:r w:rsidR="0006482B" w:rsidRPr="00337C97">
        <w:rPr>
          <w:rFonts w:asciiTheme="minorHAnsi" w:hAnsiTheme="minorHAnsi" w:cs="Times New Roman"/>
          <w:sz w:val="22"/>
          <w:szCs w:val="22"/>
          <w:lang w:val="en-US"/>
        </w:rPr>
        <w:t xml:space="preserve">with these results, </w:t>
      </w:r>
      <w:r w:rsidR="00273727" w:rsidRPr="00337C97">
        <w:rPr>
          <w:rFonts w:asciiTheme="minorHAnsi" w:hAnsiTheme="minorHAnsi" w:cs="Times New Roman"/>
          <w:sz w:val="22"/>
          <w:szCs w:val="22"/>
          <w:lang w:val="en-US"/>
        </w:rPr>
        <w:t>since</w:t>
      </w:r>
      <w:r w:rsidR="00BE0049" w:rsidRPr="00337C97">
        <w:rPr>
          <w:rFonts w:asciiTheme="minorHAnsi" w:hAnsiTheme="minorHAnsi" w:cs="Times New Roman"/>
          <w:sz w:val="22"/>
          <w:szCs w:val="22"/>
          <w:lang w:val="en-US"/>
        </w:rPr>
        <w:t xml:space="preserve"> financial risk in these studies include</w:t>
      </w:r>
      <w:r w:rsidR="00273727" w:rsidRPr="00337C97">
        <w:rPr>
          <w:rFonts w:asciiTheme="minorHAnsi" w:hAnsiTheme="minorHAnsi" w:cs="Times New Roman"/>
          <w:sz w:val="22"/>
          <w:szCs w:val="22"/>
          <w:lang w:val="en-US"/>
        </w:rPr>
        <w:t>s</w:t>
      </w:r>
      <w:r w:rsidR="00BE0049" w:rsidRPr="00337C97">
        <w:rPr>
          <w:rFonts w:asciiTheme="minorHAnsi" w:hAnsiTheme="minorHAnsi" w:cs="Times New Roman"/>
          <w:sz w:val="22"/>
          <w:szCs w:val="22"/>
          <w:lang w:val="en-US"/>
        </w:rPr>
        <w:t xml:space="preserve"> credit and market risk.</w:t>
      </w:r>
      <w:r w:rsidR="0003357B" w:rsidRPr="00337C97">
        <w:rPr>
          <w:rFonts w:asciiTheme="minorHAnsi" w:hAnsiTheme="minorHAnsi" w:cs="Times New Roman"/>
          <w:sz w:val="22"/>
          <w:szCs w:val="22"/>
          <w:lang w:val="en-US"/>
        </w:rPr>
        <w:t xml:space="preserve"> </w:t>
      </w:r>
    </w:p>
    <w:p w:rsidR="00E21ABF" w:rsidRPr="00337C97" w:rsidRDefault="00E21ABF" w:rsidP="0037312D">
      <w:pPr>
        <w:spacing w:line="360" w:lineRule="auto"/>
        <w:jc w:val="both"/>
        <w:rPr>
          <w:rFonts w:asciiTheme="minorHAnsi" w:hAnsiTheme="minorHAnsi" w:cs="Times New Roman"/>
          <w:sz w:val="22"/>
          <w:szCs w:val="22"/>
          <w:lang w:val="en-US"/>
        </w:rPr>
      </w:pPr>
    </w:p>
    <w:p w:rsidR="00BF4813" w:rsidRPr="00337C97" w:rsidRDefault="00BF4813" w:rsidP="0003357B">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remaining risks are far less disclosed than credit and market risk. </w:t>
      </w:r>
      <w:r w:rsidR="004E7EFB" w:rsidRPr="00337C97">
        <w:rPr>
          <w:rFonts w:asciiTheme="minorHAnsi" w:hAnsiTheme="minorHAnsi" w:cs="Times New Roman"/>
          <w:sz w:val="22"/>
          <w:szCs w:val="22"/>
          <w:lang w:val="en-US"/>
        </w:rPr>
        <w:t>Basel II requires significant disclosures regarding operational risk</w:t>
      </w:r>
      <w:r w:rsidR="00532F19" w:rsidRPr="00337C97">
        <w:rPr>
          <w:rFonts w:asciiTheme="minorHAnsi" w:hAnsiTheme="minorHAnsi" w:cs="Times New Roman"/>
          <w:sz w:val="22"/>
          <w:szCs w:val="22"/>
          <w:lang w:val="en-US"/>
        </w:rPr>
        <w:t xml:space="preserve"> (next to credit and market risks)</w:t>
      </w:r>
      <w:r w:rsidR="0003357B" w:rsidRPr="00337C97">
        <w:rPr>
          <w:rFonts w:asciiTheme="minorHAnsi" w:hAnsiTheme="minorHAnsi" w:cs="Times New Roman"/>
          <w:sz w:val="22"/>
          <w:szCs w:val="22"/>
          <w:lang w:val="en-US"/>
        </w:rPr>
        <w:t>. Consequently, KPMG (2008) defined the regulatory benchmark of operational risk relatively high, but found the average of operational risk disclosure to be surprisingly low. This study also finds a low level of operational risk disclosure, as it is only the fifth largest risk disclosure category. For example, there is more</w:t>
      </w:r>
      <w:r w:rsidR="00A457ED" w:rsidRPr="00337C97">
        <w:rPr>
          <w:rFonts w:asciiTheme="minorHAnsi" w:hAnsiTheme="minorHAnsi" w:cs="Times New Roman"/>
          <w:sz w:val="22"/>
          <w:szCs w:val="22"/>
          <w:lang w:val="en-US"/>
        </w:rPr>
        <w:t xml:space="preserve"> information</w:t>
      </w:r>
      <w:r w:rsidR="0003357B" w:rsidRPr="00337C97">
        <w:rPr>
          <w:rFonts w:asciiTheme="minorHAnsi" w:hAnsiTheme="minorHAnsi" w:cs="Times New Roman"/>
          <w:sz w:val="22"/>
          <w:szCs w:val="22"/>
          <w:lang w:val="en-US"/>
        </w:rPr>
        <w:t xml:space="preserve"> disclosed on liquidity risk. </w:t>
      </w:r>
      <w:r w:rsidR="004E7EFB" w:rsidRPr="00337C97">
        <w:rPr>
          <w:rFonts w:asciiTheme="minorHAnsi" w:hAnsiTheme="minorHAnsi" w:cs="Times New Roman"/>
          <w:sz w:val="22"/>
          <w:szCs w:val="22"/>
          <w:lang w:val="en-US"/>
        </w:rPr>
        <w:t xml:space="preserve">An explanation could be that banks are giving additional attention to liquidity risk (management), to ensure readers that the effects of the credit crunch </w:t>
      </w:r>
      <w:r w:rsidR="00CA1B0B" w:rsidRPr="00337C97">
        <w:rPr>
          <w:rFonts w:asciiTheme="minorHAnsi" w:hAnsiTheme="minorHAnsi" w:cs="Times New Roman"/>
          <w:sz w:val="22"/>
          <w:szCs w:val="22"/>
          <w:lang w:val="en-US"/>
        </w:rPr>
        <w:t>and the resulting instability</w:t>
      </w:r>
      <w:r w:rsidR="004E7EFB" w:rsidRPr="00337C97">
        <w:rPr>
          <w:rFonts w:asciiTheme="minorHAnsi" w:hAnsiTheme="minorHAnsi" w:cs="Times New Roman"/>
          <w:sz w:val="22"/>
          <w:szCs w:val="22"/>
          <w:lang w:val="en-US"/>
        </w:rPr>
        <w:t xml:space="preserve"> </w:t>
      </w:r>
      <w:r w:rsidR="00CA1B0B" w:rsidRPr="00337C97">
        <w:rPr>
          <w:rFonts w:asciiTheme="minorHAnsi" w:hAnsiTheme="minorHAnsi" w:cs="Times New Roman"/>
          <w:sz w:val="22"/>
          <w:szCs w:val="22"/>
          <w:lang w:val="en-US"/>
        </w:rPr>
        <w:t xml:space="preserve">of the financial markets </w:t>
      </w:r>
      <w:r w:rsidR="004E7EFB" w:rsidRPr="00337C97">
        <w:rPr>
          <w:rFonts w:asciiTheme="minorHAnsi" w:hAnsiTheme="minorHAnsi" w:cs="Times New Roman"/>
          <w:sz w:val="22"/>
          <w:szCs w:val="22"/>
          <w:lang w:val="en-US"/>
        </w:rPr>
        <w:t xml:space="preserve">are under control and effectively mitigated. </w:t>
      </w:r>
      <w:r w:rsidR="00D77BEA" w:rsidRPr="00337C97">
        <w:rPr>
          <w:rFonts w:asciiTheme="minorHAnsi" w:hAnsiTheme="minorHAnsi" w:cs="Times New Roman"/>
          <w:sz w:val="22"/>
          <w:szCs w:val="22"/>
          <w:lang w:val="en-US"/>
        </w:rPr>
        <w:t xml:space="preserve">General statements about risk management frameworks and policies amount to about 10% of the risk disclosure, followed by risk disclosure regarding capital structure and adequacy risk. This type of risk disclosure contains mainly information about capital ratios (and capital management), in essence </w:t>
      </w:r>
      <w:r w:rsidR="00A457ED" w:rsidRPr="00337C97">
        <w:rPr>
          <w:rFonts w:asciiTheme="minorHAnsi" w:hAnsiTheme="minorHAnsi" w:cs="Times New Roman"/>
          <w:sz w:val="22"/>
          <w:szCs w:val="22"/>
          <w:lang w:val="en-US"/>
        </w:rPr>
        <w:t>a</w:t>
      </w:r>
      <w:r w:rsidR="00D77BEA" w:rsidRPr="00337C97">
        <w:rPr>
          <w:rFonts w:asciiTheme="minorHAnsi" w:hAnsiTheme="minorHAnsi" w:cs="Times New Roman"/>
          <w:sz w:val="22"/>
          <w:szCs w:val="22"/>
          <w:lang w:val="en-US"/>
        </w:rPr>
        <w:t>n indicator of the strength of a bank to deal with deteri</w:t>
      </w:r>
      <w:r w:rsidR="0003219B" w:rsidRPr="00337C97">
        <w:rPr>
          <w:rFonts w:asciiTheme="minorHAnsi" w:hAnsiTheme="minorHAnsi" w:cs="Times New Roman"/>
          <w:sz w:val="22"/>
          <w:szCs w:val="22"/>
          <w:lang w:val="en-US"/>
        </w:rPr>
        <w:t>orating economic circumstances.</w:t>
      </w:r>
      <w:r w:rsidR="00B409E4" w:rsidRPr="00337C97">
        <w:rPr>
          <w:rFonts w:asciiTheme="minorHAnsi" w:hAnsiTheme="minorHAnsi" w:cs="Times New Roman"/>
          <w:sz w:val="22"/>
          <w:szCs w:val="22"/>
          <w:lang w:val="en-US"/>
        </w:rPr>
        <w:t xml:space="preserve"> Compared to the KPMG (2008) </w:t>
      </w:r>
      <w:r w:rsidR="0031540C" w:rsidRPr="00337C97">
        <w:rPr>
          <w:rFonts w:asciiTheme="minorHAnsi" w:hAnsiTheme="minorHAnsi" w:cs="Times New Roman"/>
          <w:sz w:val="22"/>
          <w:szCs w:val="22"/>
          <w:lang w:val="en-US"/>
        </w:rPr>
        <w:t xml:space="preserve">results, which </w:t>
      </w:r>
      <w:r w:rsidR="00B409E4" w:rsidRPr="00337C97">
        <w:rPr>
          <w:rFonts w:asciiTheme="minorHAnsi" w:hAnsiTheme="minorHAnsi" w:cs="Times New Roman"/>
          <w:sz w:val="22"/>
          <w:szCs w:val="22"/>
          <w:lang w:val="en-US"/>
        </w:rPr>
        <w:t xml:space="preserve">reveal </w:t>
      </w:r>
      <w:r w:rsidR="00A457ED" w:rsidRPr="00337C97">
        <w:rPr>
          <w:rFonts w:asciiTheme="minorHAnsi" w:hAnsiTheme="minorHAnsi" w:cs="Times New Roman"/>
          <w:sz w:val="22"/>
          <w:szCs w:val="22"/>
          <w:lang w:val="en-US"/>
        </w:rPr>
        <w:t>that</w:t>
      </w:r>
      <w:r w:rsidR="00B409E4" w:rsidRPr="00337C97">
        <w:rPr>
          <w:rFonts w:asciiTheme="minorHAnsi" w:hAnsiTheme="minorHAnsi" w:cs="Times New Roman"/>
          <w:sz w:val="22"/>
          <w:szCs w:val="22"/>
          <w:lang w:val="en-US"/>
        </w:rPr>
        <w:t xml:space="preserve"> risks related to capital strategy are</w:t>
      </w:r>
      <w:r w:rsidR="0031540C" w:rsidRPr="00337C97">
        <w:rPr>
          <w:rFonts w:asciiTheme="minorHAnsi" w:hAnsiTheme="minorHAnsi" w:cs="Times New Roman"/>
          <w:sz w:val="22"/>
          <w:szCs w:val="22"/>
          <w:lang w:val="en-US"/>
        </w:rPr>
        <w:t xml:space="preserve"> on average on a mediocre level,</w:t>
      </w:r>
      <w:r w:rsidR="00B409E4" w:rsidRPr="00337C97">
        <w:rPr>
          <w:rFonts w:asciiTheme="minorHAnsi" w:hAnsiTheme="minorHAnsi" w:cs="Times New Roman"/>
          <w:sz w:val="22"/>
          <w:szCs w:val="22"/>
          <w:lang w:val="en-US"/>
        </w:rPr>
        <w:t xml:space="preserve"> </w:t>
      </w:r>
      <w:r w:rsidR="0031540C" w:rsidRPr="00337C97">
        <w:rPr>
          <w:rFonts w:asciiTheme="minorHAnsi" w:hAnsiTheme="minorHAnsi" w:cs="Times New Roman"/>
          <w:sz w:val="22"/>
          <w:szCs w:val="22"/>
          <w:lang w:val="en-US"/>
        </w:rPr>
        <w:t>these results seem consistent.</w:t>
      </w:r>
    </w:p>
    <w:p w:rsidR="00B409E4" w:rsidRPr="00337C97" w:rsidRDefault="00B409E4" w:rsidP="00D77BEA">
      <w:pPr>
        <w:spacing w:line="360" w:lineRule="auto"/>
        <w:jc w:val="both"/>
        <w:rPr>
          <w:rFonts w:asciiTheme="minorHAnsi" w:hAnsiTheme="minorHAnsi" w:cs="Times New Roman"/>
          <w:sz w:val="22"/>
          <w:szCs w:val="22"/>
          <w:lang w:val="en-US"/>
        </w:rPr>
      </w:pPr>
    </w:p>
    <w:p w:rsidR="00087012" w:rsidRPr="00337C97" w:rsidRDefault="008545B7" w:rsidP="00087012">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category business risk is absent in the study of Linsley et al. (2006), but generally acknowledged as a separate risk area in the other risk disclosure studies. This type of risk disclosure contains information about risks related to the macro-economic environment and strategic decisions. In this study, information on the credit crunch and turbulence on the financial markets (in the second half of 2007) mainly contributed to this risk disclosure category. The author found that almost all sampled banks disclosed information about the credit crunch and some provided thorough analyses and explanations what exactly occurred. </w:t>
      </w:r>
      <w:r w:rsidR="0037305B" w:rsidRPr="00337C97">
        <w:rPr>
          <w:rFonts w:asciiTheme="minorHAnsi" w:hAnsiTheme="minorHAnsi" w:cs="Times New Roman"/>
          <w:sz w:val="22"/>
          <w:szCs w:val="22"/>
          <w:lang w:val="en-US"/>
        </w:rPr>
        <w:t>However, these risk disclosures lacked detailed information about what consequences these market circumstances would have upon the company. Instead, readers were assur</w:t>
      </w:r>
      <w:r w:rsidR="00087012" w:rsidRPr="00337C97">
        <w:rPr>
          <w:rFonts w:asciiTheme="minorHAnsi" w:hAnsiTheme="minorHAnsi" w:cs="Times New Roman"/>
          <w:sz w:val="22"/>
          <w:szCs w:val="22"/>
          <w:lang w:val="en-US"/>
        </w:rPr>
        <w:t>ed about proper risk management practices which were fully able to deal with those risks. KPMG (2008) finds business risk to be the weakest disclosure area, as many banks do not disclose whether they identify business risks at all, and only a few banks link these risks to their business strategies. This study also finds banks to be reluctant to identify and distinguish business risk and therefore confirm the KPMG findings.</w:t>
      </w:r>
      <w:r w:rsidR="006D703A" w:rsidRPr="00337C97">
        <w:rPr>
          <w:rFonts w:asciiTheme="minorHAnsi" w:hAnsiTheme="minorHAnsi" w:cs="Times New Roman"/>
          <w:sz w:val="22"/>
          <w:szCs w:val="22"/>
          <w:lang w:val="en-US"/>
        </w:rPr>
        <w:t xml:space="preserve"> </w:t>
      </w:r>
      <w:r w:rsidR="00087012" w:rsidRPr="00337C97">
        <w:rPr>
          <w:rFonts w:asciiTheme="minorHAnsi" w:hAnsiTheme="minorHAnsi" w:cs="Times New Roman"/>
          <w:sz w:val="22"/>
          <w:szCs w:val="22"/>
          <w:lang w:val="en-US"/>
        </w:rPr>
        <w:t>The least freque</w:t>
      </w:r>
      <w:r w:rsidR="006D703A" w:rsidRPr="00337C97">
        <w:rPr>
          <w:rFonts w:asciiTheme="minorHAnsi" w:hAnsiTheme="minorHAnsi" w:cs="Times New Roman"/>
          <w:sz w:val="22"/>
          <w:szCs w:val="22"/>
          <w:lang w:val="en-US"/>
        </w:rPr>
        <w:t xml:space="preserve">nt disclosed risk is legal risk. One other study, identifying legal risk as a separate risk disclosure area (Michiels et al., 2009) found the same results. </w:t>
      </w:r>
    </w:p>
    <w:p w:rsidR="008272DC" w:rsidRPr="00337C97" w:rsidRDefault="008272DC" w:rsidP="0037312D">
      <w:pPr>
        <w:spacing w:line="360" w:lineRule="auto"/>
        <w:jc w:val="both"/>
        <w:rPr>
          <w:rFonts w:asciiTheme="minorHAnsi" w:hAnsiTheme="minorHAnsi" w:cs="Times New Roman"/>
          <w:sz w:val="22"/>
          <w:szCs w:val="22"/>
          <w:lang w:val="en-US"/>
        </w:rPr>
      </w:pPr>
    </w:p>
    <w:p w:rsidR="004202EF" w:rsidRDefault="004202EF">
      <w:pPr>
        <w:rPr>
          <w:rFonts w:asciiTheme="minorHAnsi" w:hAnsiTheme="minorHAnsi" w:cs="Times New Roman"/>
          <w:i/>
          <w:sz w:val="22"/>
          <w:szCs w:val="22"/>
          <w:lang w:val="en-US"/>
        </w:rPr>
      </w:pPr>
      <w:r>
        <w:rPr>
          <w:rFonts w:asciiTheme="minorHAnsi" w:hAnsiTheme="minorHAnsi" w:cs="Times New Roman"/>
          <w:i/>
          <w:sz w:val="22"/>
          <w:szCs w:val="22"/>
          <w:lang w:val="en-US"/>
        </w:rPr>
        <w:br w:type="page"/>
      </w:r>
    </w:p>
    <w:p w:rsidR="0037312D" w:rsidRPr="00337C97" w:rsidRDefault="0037312D" w:rsidP="00490FA5">
      <w:pPr>
        <w:spacing w:line="360" w:lineRule="auto"/>
        <w:jc w:val="both"/>
        <w:outlineLvl w:val="2"/>
        <w:rPr>
          <w:rFonts w:asciiTheme="minorHAnsi" w:hAnsiTheme="minorHAnsi" w:cs="Times New Roman"/>
          <w:i/>
          <w:sz w:val="22"/>
          <w:szCs w:val="22"/>
          <w:lang w:val="en-US"/>
        </w:rPr>
      </w:pPr>
      <w:bookmarkStart w:id="294" w:name="_Toc269658971"/>
      <w:r w:rsidRPr="00337C97">
        <w:rPr>
          <w:rFonts w:asciiTheme="minorHAnsi" w:hAnsiTheme="minorHAnsi" w:cs="Times New Roman"/>
          <w:i/>
          <w:sz w:val="22"/>
          <w:szCs w:val="22"/>
          <w:lang w:val="en-US"/>
        </w:rPr>
        <w:lastRenderedPageBreak/>
        <w:t>6.</w:t>
      </w:r>
      <w:r w:rsidR="00EA10F1" w:rsidRPr="00337C97">
        <w:rPr>
          <w:rFonts w:asciiTheme="minorHAnsi" w:hAnsiTheme="minorHAnsi" w:cs="Times New Roman"/>
          <w:i/>
          <w:sz w:val="22"/>
          <w:szCs w:val="22"/>
          <w:lang w:val="en-US"/>
        </w:rPr>
        <w:t>3</w:t>
      </w:r>
      <w:r w:rsidRPr="00337C97">
        <w:rPr>
          <w:rFonts w:asciiTheme="minorHAnsi" w:hAnsiTheme="minorHAnsi" w:cs="Times New Roman"/>
          <w:i/>
          <w:sz w:val="22"/>
          <w:szCs w:val="22"/>
          <w:lang w:val="en-US"/>
        </w:rPr>
        <w:t>.3</w:t>
      </w:r>
      <w:r w:rsidRPr="00337C97">
        <w:rPr>
          <w:rFonts w:asciiTheme="minorHAnsi" w:hAnsiTheme="minorHAnsi" w:cs="Times New Roman"/>
          <w:i/>
          <w:sz w:val="22"/>
          <w:szCs w:val="22"/>
          <w:lang w:val="en-US"/>
        </w:rPr>
        <w:tab/>
        <w:t>Risk characteristics</w:t>
      </w:r>
      <w:bookmarkEnd w:id="294"/>
    </w:p>
    <w:p w:rsidR="0037312D" w:rsidRPr="00337C97" w:rsidRDefault="00FE1C43"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Next to the categorization of risks, also certain characteristics were investigated. Table 5 provides the characteristics of risk disclosures, their total numbers and proportion.</w:t>
      </w:r>
    </w:p>
    <w:p w:rsidR="00FE1C43" w:rsidRPr="00337C97" w:rsidRDefault="00FE1C43" w:rsidP="000202C5">
      <w:pPr>
        <w:spacing w:line="360" w:lineRule="auto"/>
        <w:jc w:val="both"/>
        <w:rPr>
          <w:rFonts w:asciiTheme="minorHAnsi" w:hAnsiTheme="minorHAnsi" w:cs="Times New Roman"/>
          <w:sz w:val="22"/>
          <w:szCs w:val="22"/>
          <w:lang w:val="en-US"/>
        </w:rPr>
      </w:pPr>
    </w:p>
    <w:p w:rsidR="00FE1C43" w:rsidRPr="00337C97" w:rsidRDefault="00FE1C43"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t xml:space="preserve">Table 5 </w:t>
      </w:r>
      <w:r w:rsidRPr="00337C97">
        <w:rPr>
          <w:rFonts w:asciiTheme="minorHAnsi" w:hAnsiTheme="minorHAnsi" w:cs="Times New Roman"/>
          <w:sz w:val="22"/>
          <w:szCs w:val="22"/>
          <w:lang w:val="en-US"/>
        </w:rPr>
        <w:t>Summary of characteristics of risk disclosures</w:t>
      </w:r>
    </w:p>
    <w:tbl>
      <w:tblPr>
        <w:tblW w:w="5392" w:type="dxa"/>
        <w:tblInd w:w="65" w:type="dxa"/>
        <w:tblCellMar>
          <w:left w:w="70" w:type="dxa"/>
          <w:right w:w="70" w:type="dxa"/>
        </w:tblCellMar>
        <w:tblLook w:val="04A0"/>
      </w:tblPr>
      <w:tblGrid>
        <w:gridCol w:w="2557"/>
        <w:gridCol w:w="709"/>
        <w:gridCol w:w="850"/>
        <w:gridCol w:w="1276"/>
      </w:tblGrid>
      <w:tr w:rsidR="00456FBD" w:rsidRPr="00337C97" w:rsidTr="00456FBD">
        <w:trPr>
          <w:trHeight w:val="255"/>
        </w:trPr>
        <w:tc>
          <w:tcPr>
            <w:tcW w:w="2557" w:type="dxa"/>
            <w:tcBorders>
              <w:top w:val="single" w:sz="4" w:space="0" w:color="auto"/>
              <w:left w:val="single" w:sz="4" w:space="0" w:color="auto"/>
              <w:right w:val="nil"/>
            </w:tcBorders>
            <w:shd w:val="clear" w:color="auto" w:fill="auto"/>
            <w:noWrap/>
            <w:hideMark/>
          </w:tcPr>
          <w:p w:rsidR="00456FBD" w:rsidRPr="00337C97" w:rsidRDefault="00456FBD" w:rsidP="004F379E">
            <w:pPr>
              <w:rPr>
                <w:rFonts w:asciiTheme="minorHAnsi" w:hAnsiTheme="minorHAnsi" w:cs="Times New Roman"/>
                <w:i/>
                <w:iCs/>
                <w:color w:val="000000"/>
                <w:sz w:val="22"/>
                <w:szCs w:val="22"/>
                <w:lang w:val="en-US" w:eastAsia="nl-NL" w:bidi="ar-SA"/>
              </w:rPr>
            </w:pPr>
            <w:r w:rsidRPr="00337C97">
              <w:rPr>
                <w:rFonts w:asciiTheme="minorHAnsi" w:hAnsiTheme="minorHAnsi" w:cs="Times New Roman"/>
                <w:i/>
                <w:iCs/>
                <w:color w:val="000000"/>
                <w:sz w:val="22"/>
                <w:szCs w:val="22"/>
                <w:lang w:val="en-US" w:eastAsia="nl-NL" w:bidi="ar-SA"/>
              </w:rPr>
              <w:t>Characteristic</w:t>
            </w:r>
          </w:p>
        </w:tc>
        <w:tc>
          <w:tcPr>
            <w:tcW w:w="1559" w:type="dxa"/>
            <w:gridSpan w:val="2"/>
            <w:tcBorders>
              <w:top w:val="single" w:sz="4" w:space="0" w:color="auto"/>
              <w:left w:val="nil"/>
              <w:right w:val="nil"/>
            </w:tcBorders>
            <w:shd w:val="clear" w:color="auto" w:fill="auto"/>
            <w:noWrap/>
            <w:hideMark/>
          </w:tcPr>
          <w:p w:rsidR="00456FBD" w:rsidRPr="00337C97" w:rsidRDefault="00456FBD" w:rsidP="004F379E">
            <w:pPr>
              <w:rPr>
                <w:rFonts w:asciiTheme="minorHAnsi" w:hAnsiTheme="minorHAnsi" w:cs="Times New Roman"/>
                <w:i/>
                <w:iCs/>
                <w:color w:val="000000"/>
                <w:sz w:val="22"/>
                <w:szCs w:val="22"/>
                <w:lang w:val="en-US" w:eastAsia="nl-NL" w:bidi="ar-SA"/>
              </w:rPr>
            </w:pPr>
            <w:r w:rsidRPr="00337C97">
              <w:rPr>
                <w:rFonts w:asciiTheme="minorHAnsi" w:hAnsiTheme="minorHAnsi" w:cs="Times New Roman"/>
                <w:i/>
                <w:iCs/>
                <w:color w:val="000000"/>
                <w:sz w:val="22"/>
                <w:szCs w:val="22"/>
                <w:lang w:val="en-US" w:eastAsia="nl-NL" w:bidi="ar-SA"/>
              </w:rPr>
              <w:t>Total number of disclosures</w:t>
            </w:r>
          </w:p>
        </w:tc>
        <w:tc>
          <w:tcPr>
            <w:tcW w:w="1276" w:type="dxa"/>
            <w:tcBorders>
              <w:top w:val="single" w:sz="4" w:space="0" w:color="auto"/>
              <w:left w:val="nil"/>
              <w:right w:val="single" w:sz="4" w:space="0" w:color="auto"/>
            </w:tcBorders>
            <w:shd w:val="clear" w:color="auto" w:fill="auto"/>
            <w:noWrap/>
            <w:hideMark/>
          </w:tcPr>
          <w:p w:rsidR="00456FBD" w:rsidRPr="00337C97" w:rsidRDefault="00456FBD" w:rsidP="004F379E">
            <w:pPr>
              <w:rPr>
                <w:rFonts w:asciiTheme="minorHAnsi" w:hAnsiTheme="minorHAnsi" w:cs="Times New Roman"/>
                <w:i/>
                <w:iCs/>
                <w:color w:val="000000"/>
                <w:sz w:val="22"/>
                <w:szCs w:val="22"/>
                <w:lang w:val="en-US" w:eastAsia="nl-NL" w:bidi="ar-SA"/>
              </w:rPr>
            </w:pPr>
            <w:r w:rsidRPr="00337C97">
              <w:rPr>
                <w:rFonts w:asciiTheme="minorHAnsi" w:hAnsiTheme="minorHAnsi" w:cs="Times New Roman"/>
                <w:i/>
                <w:iCs/>
                <w:color w:val="000000"/>
                <w:sz w:val="22"/>
                <w:szCs w:val="22"/>
                <w:lang w:val="en-US" w:eastAsia="nl-NL" w:bidi="ar-SA"/>
              </w:rPr>
              <w:t>Proportion (%)</w:t>
            </w:r>
          </w:p>
        </w:tc>
      </w:tr>
      <w:tr w:rsidR="00456FBD" w:rsidRPr="00337C97" w:rsidTr="00456FBD">
        <w:trPr>
          <w:trHeight w:val="255"/>
        </w:trPr>
        <w:tc>
          <w:tcPr>
            <w:tcW w:w="2557" w:type="dxa"/>
            <w:tcBorders>
              <w:top w:val="nil"/>
              <w:lef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 </w:t>
            </w:r>
          </w:p>
        </w:tc>
        <w:tc>
          <w:tcPr>
            <w:tcW w:w="709" w:type="dxa"/>
            <w:tcBorders>
              <w:top w:val="nil"/>
            </w:tcBorders>
            <w:shd w:val="clear" w:color="auto" w:fill="auto"/>
            <w:noWrap/>
            <w:vAlign w:val="center"/>
            <w:hideMark/>
          </w:tcPr>
          <w:p w:rsidR="00456FBD" w:rsidRPr="00337C97" w:rsidRDefault="00456FBD" w:rsidP="000D3599">
            <w:pPr>
              <w:jc w:val="right"/>
              <w:rPr>
                <w:rFonts w:asciiTheme="minorHAnsi" w:hAnsiTheme="minorHAnsi" w:cs="Times New Roman"/>
                <w:color w:val="000000"/>
                <w:sz w:val="22"/>
                <w:szCs w:val="22"/>
                <w:lang w:val="en-US" w:eastAsia="nl-NL" w:bidi="ar-SA"/>
              </w:rPr>
            </w:pPr>
          </w:p>
        </w:tc>
        <w:tc>
          <w:tcPr>
            <w:tcW w:w="850" w:type="dxa"/>
            <w:tcBorders>
              <w:top w:val="nil"/>
            </w:tcBorders>
            <w:vAlign w:val="center"/>
          </w:tcPr>
          <w:p w:rsidR="00456FBD" w:rsidRPr="00337C97" w:rsidRDefault="00456FBD" w:rsidP="000D3599">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 </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Qualitative disclosures</w:t>
            </w:r>
          </w:p>
        </w:tc>
        <w:tc>
          <w:tcPr>
            <w:tcW w:w="709" w:type="dxa"/>
            <w:shd w:val="clear" w:color="auto" w:fill="auto"/>
            <w:noWrap/>
            <w:vAlign w:val="center"/>
            <w:hideMark/>
          </w:tcPr>
          <w:p w:rsidR="00456FBD" w:rsidRPr="00337C97" w:rsidRDefault="00456FBD" w:rsidP="000D3599">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8,088</w:t>
            </w:r>
          </w:p>
        </w:tc>
        <w:tc>
          <w:tcPr>
            <w:tcW w:w="850" w:type="dxa"/>
            <w:vAlign w:val="center"/>
          </w:tcPr>
          <w:p w:rsidR="00456FBD" w:rsidRPr="00337C97" w:rsidRDefault="00456FBD" w:rsidP="000D3599">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78.3</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Quantitative disclosures</w:t>
            </w:r>
          </w:p>
        </w:tc>
        <w:tc>
          <w:tcPr>
            <w:tcW w:w="709" w:type="dxa"/>
            <w:shd w:val="clear" w:color="auto" w:fill="auto"/>
            <w:noWrap/>
            <w:vAlign w:val="center"/>
            <w:hideMark/>
          </w:tcPr>
          <w:p w:rsidR="00456FBD" w:rsidRPr="00337C97" w:rsidRDefault="00456FBD" w:rsidP="000D3599">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2,241</w:t>
            </w:r>
          </w:p>
        </w:tc>
        <w:tc>
          <w:tcPr>
            <w:tcW w:w="850" w:type="dxa"/>
            <w:vAlign w:val="center"/>
          </w:tcPr>
          <w:p w:rsidR="00456FBD" w:rsidRPr="00337C97" w:rsidRDefault="00456FBD" w:rsidP="000D3599">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21.7</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 </w:t>
            </w:r>
          </w:p>
        </w:tc>
        <w:tc>
          <w:tcPr>
            <w:tcW w:w="709" w:type="dxa"/>
            <w:shd w:val="clear" w:color="auto" w:fill="auto"/>
            <w:noWrap/>
            <w:vAlign w:val="center"/>
            <w:hideMark/>
          </w:tcPr>
          <w:p w:rsidR="00456FBD" w:rsidRPr="00337C97" w:rsidRDefault="00456FBD" w:rsidP="000D3599">
            <w:pPr>
              <w:jc w:val="right"/>
              <w:rPr>
                <w:rFonts w:asciiTheme="minorHAnsi" w:hAnsiTheme="minorHAnsi" w:cs="Times New Roman"/>
                <w:color w:val="000000"/>
                <w:sz w:val="22"/>
                <w:szCs w:val="22"/>
                <w:lang w:val="en-US" w:eastAsia="nl-NL" w:bidi="ar-SA"/>
              </w:rPr>
            </w:pPr>
          </w:p>
        </w:tc>
        <w:tc>
          <w:tcPr>
            <w:tcW w:w="850" w:type="dxa"/>
            <w:vAlign w:val="center"/>
          </w:tcPr>
          <w:p w:rsidR="00456FBD" w:rsidRPr="00337C97" w:rsidRDefault="00456FBD" w:rsidP="000D3599">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 </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Future disclosures</w:t>
            </w:r>
          </w:p>
        </w:tc>
        <w:tc>
          <w:tcPr>
            <w:tcW w:w="709" w:type="dxa"/>
            <w:shd w:val="clear" w:color="auto" w:fill="auto"/>
            <w:noWrap/>
            <w:vAlign w:val="center"/>
            <w:hideMark/>
          </w:tcPr>
          <w:p w:rsidR="00456FBD" w:rsidRPr="00337C97" w:rsidRDefault="00456FBD" w:rsidP="000D3599">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6,975</w:t>
            </w:r>
          </w:p>
        </w:tc>
        <w:tc>
          <w:tcPr>
            <w:tcW w:w="850" w:type="dxa"/>
            <w:vAlign w:val="center"/>
          </w:tcPr>
          <w:p w:rsidR="00456FBD" w:rsidRPr="00337C97" w:rsidRDefault="00456FBD" w:rsidP="000D3599">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67.5</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Past disclosures</w:t>
            </w:r>
          </w:p>
        </w:tc>
        <w:tc>
          <w:tcPr>
            <w:tcW w:w="709" w:type="dxa"/>
            <w:shd w:val="clear" w:color="auto" w:fill="auto"/>
            <w:noWrap/>
            <w:vAlign w:val="center"/>
            <w:hideMark/>
          </w:tcPr>
          <w:p w:rsidR="00456FBD" w:rsidRPr="00337C97" w:rsidRDefault="00456FBD" w:rsidP="000D3599">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3,354</w:t>
            </w:r>
          </w:p>
        </w:tc>
        <w:tc>
          <w:tcPr>
            <w:tcW w:w="850" w:type="dxa"/>
            <w:vAlign w:val="center"/>
          </w:tcPr>
          <w:p w:rsidR="00456FBD" w:rsidRPr="00337C97" w:rsidRDefault="00456FBD" w:rsidP="000D3599">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0D3599">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32.5</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p>
        </w:tc>
        <w:tc>
          <w:tcPr>
            <w:tcW w:w="709" w:type="dxa"/>
            <w:shd w:val="clear" w:color="auto" w:fill="auto"/>
            <w:noWrap/>
            <w:vAlign w:val="center"/>
            <w:hideMark/>
          </w:tcPr>
          <w:p w:rsidR="00456FBD" w:rsidRPr="00337C97" w:rsidRDefault="00456FBD" w:rsidP="00243941">
            <w:pPr>
              <w:jc w:val="right"/>
              <w:rPr>
                <w:rFonts w:asciiTheme="minorHAnsi" w:hAnsiTheme="minorHAnsi" w:cs="Times New Roman"/>
                <w:color w:val="000000"/>
                <w:sz w:val="22"/>
                <w:szCs w:val="22"/>
                <w:lang w:val="en-US" w:eastAsia="nl-NL" w:bidi="ar-SA"/>
              </w:rPr>
            </w:pPr>
          </w:p>
        </w:tc>
        <w:tc>
          <w:tcPr>
            <w:tcW w:w="850" w:type="dxa"/>
            <w:vAlign w:val="center"/>
          </w:tcPr>
          <w:p w:rsidR="00456FBD" w:rsidRPr="00337C97" w:rsidRDefault="00456FBD" w:rsidP="00243941">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Good news disclosures</w:t>
            </w:r>
          </w:p>
        </w:tc>
        <w:tc>
          <w:tcPr>
            <w:tcW w:w="709" w:type="dxa"/>
            <w:shd w:val="clear" w:color="auto" w:fill="auto"/>
            <w:noWrap/>
            <w:vAlign w:val="center"/>
            <w:hideMark/>
          </w:tcPr>
          <w:p w:rsidR="00456FBD" w:rsidRPr="00337C97" w:rsidRDefault="00456FBD" w:rsidP="00243941">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578</w:t>
            </w:r>
          </w:p>
        </w:tc>
        <w:tc>
          <w:tcPr>
            <w:tcW w:w="850" w:type="dxa"/>
            <w:vAlign w:val="center"/>
          </w:tcPr>
          <w:p w:rsidR="00456FBD" w:rsidRPr="00337C97" w:rsidRDefault="00456FBD" w:rsidP="00243941">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5.6</w:t>
            </w:r>
          </w:p>
        </w:tc>
      </w:tr>
      <w:tr w:rsidR="00456FBD" w:rsidRPr="00337C97" w:rsidTr="00456FBD">
        <w:trPr>
          <w:trHeight w:val="255"/>
        </w:trPr>
        <w:tc>
          <w:tcPr>
            <w:tcW w:w="2557" w:type="dxa"/>
            <w:tcBorders>
              <w:lef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Neutral news disclosures</w:t>
            </w:r>
          </w:p>
        </w:tc>
        <w:tc>
          <w:tcPr>
            <w:tcW w:w="709" w:type="dxa"/>
            <w:shd w:val="clear" w:color="auto" w:fill="auto"/>
            <w:noWrap/>
            <w:vAlign w:val="center"/>
            <w:hideMark/>
          </w:tcPr>
          <w:p w:rsidR="00456FBD" w:rsidRPr="00337C97" w:rsidRDefault="00456FBD" w:rsidP="00243941">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9,273</w:t>
            </w:r>
          </w:p>
        </w:tc>
        <w:tc>
          <w:tcPr>
            <w:tcW w:w="850" w:type="dxa"/>
            <w:vAlign w:val="center"/>
          </w:tcPr>
          <w:p w:rsidR="00456FBD" w:rsidRPr="00337C97" w:rsidRDefault="00456FBD" w:rsidP="00243941">
            <w:pPr>
              <w:rPr>
                <w:rFonts w:asciiTheme="minorHAnsi" w:hAnsiTheme="minorHAnsi" w:cs="Times New Roman"/>
                <w:color w:val="000000"/>
                <w:sz w:val="22"/>
                <w:szCs w:val="22"/>
                <w:lang w:val="en-US" w:eastAsia="nl-NL" w:bidi="ar-SA"/>
              </w:rPr>
            </w:pPr>
          </w:p>
        </w:tc>
        <w:tc>
          <w:tcPr>
            <w:tcW w:w="1276" w:type="dxa"/>
            <w:tcBorders>
              <w:righ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89.8</w:t>
            </w:r>
          </w:p>
        </w:tc>
      </w:tr>
      <w:tr w:rsidR="00456FBD" w:rsidRPr="00337C97" w:rsidTr="00456FBD">
        <w:trPr>
          <w:trHeight w:val="255"/>
        </w:trPr>
        <w:tc>
          <w:tcPr>
            <w:tcW w:w="2557" w:type="dxa"/>
            <w:tcBorders>
              <w:left w:val="single" w:sz="4" w:space="0" w:color="auto"/>
              <w:bottom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Bad news disclosures</w:t>
            </w:r>
          </w:p>
        </w:tc>
        <w:tc>
          <w:tcPr>
            <w:tcW w:w="709" w:type="dxa"/>
            <w:tcBorders>
              <w:bottom w:val="single" w:sz="4" w:space="0" w:color="auto"/>
            </w:tcBorders>
            <w:shd w:val="clear" w:color="auto" w:fill="auto"/>
            <w:noWrap/>
            <w:vAlign w:val="center"/>
            <w:hideMark/>
          </w:tcPr>
          <w:p w:rsidR="00456FBD" w:rsidRPr="00337C97" w:rsidRDefault="00456FBD" w:rsidP="00243941">
            <w:pPr>
              <w:jc w:val="right"/>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478</w:t>
            </w:r>
          </w:p>
        </w:tc>
        <w:tc>
          <w:tcPr>
            <w:tcW w:w="850" w:type="dxa"/>
            <w:tcBorders>
              <w:bottom w:val="single" w:sz="4" w:space="0" w:color="auto"/>
            </w:tcBorders>
            <w:vAlign w:val="center"/>
          </w:tcPr>
          <w:p w:rsidR="00456FBD" w:rsidRPr="00337C97" w:rsidRDefault="00456FBD" w:rsidP="00243941">
            <w:pPr>
              <w:rPr>
                <w:rFonts w:asciiTheme="minorHAnsi" w:hAnsiTheme="minorHAnsi" w:cs="Times New Roman"/>
                <w:color w:val="000000"/>
                <w:sz w:val="22"/>
                <w:szCs w:val="22"/>
                <w:lang w:val="en-US" w:eastAsia="nl-NL" w:bidi="ar-SA"/>
              </w:rPr>
            </w:pPr>
          </w:p>
        </w:tc>
        <w:tc>
          <w:tcPr>
            <w:tcW w:w="1276" w:type="dxa"/>
            <w:tcBorders>
              <w:bottom w:val="single" w:sz="4" w:space="0" w:color="auto"/>
              <w:right w:val="single" w:sz="4" w:space="0" w:color="auto"/>
            </w:tcBorders>
            <w:shd w:val="clear" w:color="auto" w:fill="auto"/>
            <w:noWrap/>
            <w:vAlign w:val="center"/>
            <w:hideMark/>
          </w:tcPr>
          <w:p w:rsidR="00456FBD" w:rsidRPr="00337C97" w:rsidRDefault="00456FBD" w:rsidP="00243941">
            <w:pPr>
              <w:rPr>
                <w:rFonts w:asciiTheme="minorHAnsi" w:hAnsiTheme="minorHAnsi" w:cs="Times New Roman"/>
                <w:color w:val="000000"/>
                <w:sz w:val="22"/>
                <w:szCs w:val="22"/>
                <w:lang w:val="en-US" w:eastAsia="nl-NL" w:bidi="ar-SA"/>
              </w:rPr>
            </w:pPr>
            <w:r w:rsidRPr="00337C97">
              <w:rPr>
                <w:rFonts w:asciiTheme="minorHAnsi" w:hAnsiTheme="minorHAnsi" w:cs="Times New Roman"/>
                <w:color w:val="000000"/>
                <w:sz w:val="22"/>
                <w:szCs w:val="22"/>
                <w:lang w:val="en-US" w:eastAsia="nl-NL" w:bidi="ar-SA"/>
              </w:rPr>
              <w:t>4.6</w:t>
            </w:r>
          </w:p>
        </w:tc>
      </w:tr>
    </w:tbl>
    <w:p w:rsidR="000D3599" w:rsidRPr="00337C97" w:rsidRDefault="000D3599" w:rsidP="000202C5">
      <w:pPr>
        <w:spacing w:line="360" w:lineRule="auto"/>
        <w:jc w:val="both"/>
        <w:rPr>
          <w:rFonts w:asciiTheme="minorHAnsi" w:hAnsiTheme="minorHAnsi" w:cs="Times New Roman"/>
          <w:sz w:val="22"/>
          <w:szCs w:val="22"/>
          <w:lang w:val="en-US"/>
        </w:rPr>
      </w:pPr>
    </w:p>
    <w:p w:rsidR="0067586D" w:rsidRPr="00337C97" w:rsidRDefault="005053A5" w:rsidP="0067586D">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split-up between qualitative and quantitative information shows that </w:t>
      </w:r>
      <w:r w:rsidR="009A01BE" w:rsidRPr="00337C97">
        <w:rPr>
          <w:rFonts w:asciiTheme="minorHAnsi" w:hAnsiTheme="minorHAnsi" w:cs="Times New Roman"/>
          <w:sz w:val="22"/>
          <w:szCs w:val="22"/>
          <w:lang w:val="en-US"/>
        </w:rPr>
        <w:t xml:space="preserve">approximately </w:t>
      </w:r>
      <w:r w:rsidRPr="00337C97">
        <w:rPr>
          <w:rFonts w:asciiTheme="minorHAnsi" w:hAnsiTheme="minorHAnsi" w:cs="Times New Roman"/>
          <w:sz w:val="22"/>
          <w:szCs w:val="22"/>
          <w:lang w:val="en-US"/>
        </w:rPr>
        <w:t>78</w:t>
      </w:r>
      <w:r w:rsidR="009A01BE"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of the defined disclosures were qualitative and only 2</w:t>
      </w:r>
      <w:r w:rsidR="009A01BE" w:rsidRPr="00337C97">
        <w:rPr>
          <w:rFonts w:asciiTheme="minorHAnsi" w:hAnsiTheme="minorHAnsi" w:cs="Times New Roman"/>
          <w:sz w:val="22"/>
          <w:szCs w:val="22"/>
          <w:lang w:val="en-US"/>
        </w:rPr>
        <w:t>2</w:t>
      </w:r>
      <w:r w:rsidRPr="00337C97">
        <w:rPr>
          <w:rFonts w:asciiTheme="minorHAnsi" w:hAnsiTheme="minorHAnsi" w:cs="Times New Roman"/>
          <w:sz w:val="22"/>
          <w:szCs w:val="22"/>
          <w:lang w:val="en-US"/>
        </w:rPr>
        <w:t xml:space="preserve">% quantitative. </w:t>
      </w:r>
      <w:r w:rsidR="009A01BE" w:rsidRPr="00337C97">
        <w:rPr>
          <w:rFonts w:asciiTheme="minorHAnsi" w:hAnsiTheme="minorHAnsi" w:cs="Times New Roman"/>
          <w:sz w:val="22"/>
          <w:szCs w:val="22"/>
          <w:lang w:val="en-US"/>
        </w:rPr>
        <w:t xml:space="preserve">Linsley et al. (2006) found this ratio to be 67% versus 33%. </w:t>
      </w:r>
      <w:r w:rsidR="0067586D" w:rsidRPr="00337C97">
        <w:rPr>
          <w:rFonts w:asciiTheme="minorHAnsi" w:hAnsiTheme="minorHAnsi" w:cs="Times New Roman"/>
          <w:sz w:val="22"/>
          <w:szCs w:val="22"/>
          <w:lang w:val="en-US"/>
        </w:rPr>
        <w:t xml:space="preserve">Quantitative risk information is recognized to be more useful than qualitative information, since the disclosure of the potential size of a risk puts the reader in a better position to understand its significance. </w:t>
      </w:r>
      <w:r w:rsidR="009A01BE" w:rsidRPr="00337C97">
        <w:rPr>
          <w:rFonts w:asciiTheme="minorHAnsi" w:hAnsiTheme="minorHAnsi" w:cs="Times New Roman"/>
          <w:sz w:val="22"/>
          <w:szCs w:val="22"/>
          <w:lang w:val="en-US"/>
        </w:rPr>
        <w:t>The majority of the quantified risk information is from the credit and market risk category, the most regulated disclosure areas. It is therefore a surprise that the percentage of quantitative information dropped compared to t</w:t>
      </w:r>
      <w:r w:rsidR="008D55EC" w:rsidRPr="00337C97">
        <w:rPr>
          <w:rFonts w:asciiTheme="minorHAnsi" w:hAnsiTheme="minorHAnsi" w:cs="Times New Roman"/>
          <w:sz w:val="22"/>
          <w:szCs w:val="22"/>
          <w:lang w:val="en-US"/>
        </w:rPr>
        <w:t xml:space="preserve">he Linsley et al. (2006) study, since the average risk disclosure significantly has increased and the introduction of IFRS 7 and Basel II require specifically quantitative risk disclosure. A possible explanation is that the </w:t>
      </w:r>
      <w:r w:rsidR="0067586D" w:rsidRPr="00337C97">
        <w:rPr>
          <w:rFonts w:asciiTheme="minorHAnsi" w:hAnsiTheme="minorHAnsi" w:cs="Times New Roman"/>
          <w:sz w:val="22"/>
          <w:szCs w:val="22"/>
          <w:lang w:val="en-US"/>
        </w:rPr>
        <w:t xml:space="preserve">number of </w:t>
      </w:r>
      <w:r w:rsidR="004416CE" w:rsidRPr="00337C97">
        <w:rPr>
          <w:rFonts w:asciiTheme="minorHAnsi" w:hAnsiTheme="minorHAnsi" w:cs="Times New Roman"/>
          <w:sz w:val="22"/>
          <w:szCs w:val="22"/>
          <w:lang w:val="en-US"/>
        </w:rPr>
        <w:t xml:space="preserve">qualitative </w:t>
      </w:r>
      <w:r w:rsidR="0067586D" w:rsidRPr="00337C97">
        <w:rPr>
          <w:rFonts w:asciiTheme="minorHAnsi" w:hAnsiTheme="minorHAnsi" w:cs="Times New Roman"/>
          <w:sz w:val="22"/>
          <w:szCs w:val="22"/>
          <w:lang w:val="en-US"/>
        </w:rPr>
        <w:t xml:space="preserve">disclosures </w:t>
      </w:r>
      <w:r w:rsidR="004416CE" w:rsidRPr="00337C97">
        <w:rPr>
          <w:rFonts w:asciiTheme="minorHAnsi" w:hAnsiTheme="minorHAnsi" w:cs="Times New Roman"/>
          <w:sz w:val="22"/>
          <w:szCs w:val="22"/>
          <w:lang w:val="en-US"/>
        </w:rPr>
        <w:t xml:space="preserve">increased faster than the </w:t>
      </w:r>
      <w:r w:rsidR="0067586D" w:rsidRPr="00337C97">
        <w:rPr>
          <w:rFonts w:asciiTheme="minorHAnsi" w:hAnsiTheme="minorHAnsi" w:cs="Times New Roman"/>
          <w:sz w:val="22"/>
          <w:szCs w:val="22"/>
          <w:lang w:val="en-US"/>
        </w:rPr>
        <w:t xml:space="preserve">number </w:t>
      </w:r>
      <w:r w:rsidR="004416CE" w:rsidRPr="00337C97">
        <w:rPr>
          <w:rFonts w:asciiTheme="minorHAnsi" w:hAnsiTheme="minorHAnsi" w:cs="Times New Roman"/>
          <w:sz w:val="22"/>
          <w:szCs w:val="22"/>
          <w:lang w:val="en-US"/>
        </w:rPr>
        <w:t xml:space="preserve">of quantitative </w:t>
      </w:r>
      <w:r w:rsidR="0067586D" w:rsidRPr="00337C97">
        <w:rPr>
          <w:rFonts w:asciiTheme="minorHAnsi" w:hAnsiTheme="minorHAnsi" w:cs="Times New Roman"/>
          <w:sz w:val="22"/>
          <w:szCs w:val="22"/>
          <w:lang w:val="en-US"/>
        </w:rPr>
        <w:t>disclosures</w:t>
      </w:r>
      <w:r w:rsidR="004416CE" w:rsidRPr="00337C97">
        <w:rPr>
          <w:rFonts w:asciiTheme="minorHAnsi" w:hAnsiTheme="minorHAnsi" w:cs="Times New Roman"/>
          <w:sz w:val="22"/>
          <w:szCs w:val="22"/>
          <w:lang w:val="en-US"/>
        </w:rPr>
        <w:t xml:space="preserve">. This would result in a relatively lower ratio even if the absolute number of quantitative disclosures increased. </w:t>
      </w:r>
      <w:r w:rsidR="0067586D" w:rsidRPr="00337C97">
        <w:rPr>
          <w:rFonts w:asciiTheme="minorHAnsi" w:hAnsiTheme="minorHAnsi" w:cs="Times New Roman"/>
          <w:sz w:val="22"/>
          <w:szCs w:val="22"/>
          <w:lang w:val="en-US"/>
        </w:rPr>
        <w:t xml:space="preserve">Another explanation for the lower scores of quantitative is related to the fact that risks are inherently difficult to quantify. Hence, directors may be reluctant to provide quantitative information against which they may eventually be judged and held to account. Additionally, quantified risk information may be highly sensitive and therefore subject to higher levels of proprietary costs (Linsley et al., 2006, p. </w:t>
      </w:r>
      <w:r w:rsidR="00C17998" w:rsidRPr="00337C97">
        <w:rPr>
          <w:rFonts w:asciiTheme="minorHAnsi" w:hAnsiTheme="minorHAnsi" w:cs="Times New Roman"/>
          <w:sz w:val="22"/>
          <w:szCs w:val="22"/>
          <w:lang w:val="en-US"/>
        </w:rPr>
        <w:t xml:space="preserve">276). </w:t>
      </w:r>
      <w:r w:rsidR="006866FB" w:rsidRPr="00337C97">
        <w:rPr>
          <w:rFonts w:asciiTheme="minorHAnsi" w:hAnsiTheme="minorHAnsi" w:cs="Times New Roman"/>
          <w:sz w:val="22"/>
          <w:szCs w:val="22"/>
          <w:lang w:val="en-US"/>
        </w:rPr>
        <w:t>Linsley and Shrives (2005b) found in their study on non-financial firms also minimal disclosure of quantified risk information.</w:t>
      </w:r>
    </w:p>
    <w:p w:rsidR="0067586D" w:rsidRPr="00337C97" w:rsidRDefault="0067586D" w:rsidP="000202C5">
      <w:pPr>
        <w:spacing w:line="360" w:lineRule="auto"/>
        <w:jc w:val="both"/>
        <w:rPr>
          <w:rFonts w:asciiTheme="minorHAnsi" w:hAnsiTheme="minorHAnsi" w:cs="Times New Roman"/>
          <w:sz w:val="22"/>
          <w:szCs w:val="22"/>
          <w:lang w:val="en-US"/>
        </w:rPr>
      </w:pPr>
    </w:p>
    <w:p w:rsidR="00C351D9" w:rsidRPr="00337C97" w:rsidRDefault="00C351D9" w:rsidP="00F06AF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It can be seen from table 4 that the sentence characteristic </w:t>
      </w:r>
      <w:r w:rsidR="00643F63" w:rsidRPr="00337C97">
        <w:rPr>
          <w:rFonts w:asciiTheme="minorHAnsi" w:hAnsiTheme="minorHAnsi" w:cs="Times New Roman"/>
          <w:sz w:val="22"/>
          <w:szCs w:val="22"/>
          <w:lang w:val="en-US"/>
        </w:rPr>
        <w:t xml:space="preserve">occurring </w:t>
      </w:r>
      <w:r w:rsidRPr="00337C97">
        <w:rPr>
          <w:rFonts w:asciiTheme="minorHAnsi" w:hAnsiTheme="minorHAnsi" w:cs="Times New Roman"/>
          <w:sz w:val="22"/>
          <w:szCs w:val="22"/>
          <w:lang w:val="en-US"/>
        </w:rPr>
        <w:t xml:space="preserve">most frequently is of the ‘qualitative/neutral/future’ type (6,575). The majority of these disclosures contain information and explanations about general risk management policy. They are coded as ‘future’ information on the </w:t>
      </w:r>
      <w:r w:rsidRPr="00337C97">
        <w:rPr>
          <w:rFonts w:asciiTheme="minorHAnsi" w:hAnsiTheme="minorHAnsi" w:cs="Times New Roman"/>
          <w:sz w:val="22"/>
          <w:szCs w:val="22"/>
          <w:lang w:val="en-US"/>
        </w:rPr>
        <w:lastRenderedPageBreak/>
        <w:t xml:space="preserve">basis that they discuss internal control and risk management systems that will be remaining in place. For example, the annual report of Allied Irish Banks states about risk management in general (p. 32, coded as F8): </w:t>
      </w:r>
      <w:r w:rsidRPr="00337C97">
        <w:rPr>
          <w:rFonts w:asciiTheme="minorHAnsi" w:hAnsiTheme="minorHAnsi" w:cs="Times New Roman"/>
          <w:i/>
          <w:sz w:val="22"/>
          <w:szCs w:val="22"/>
          <w:lang w:val="en-US"/>
        </w:rPr>
        <w:t>“AIB has adopted an Enterprise Risk Management (“ERM”) approach to identify, assess and manage risk”.</w:t>
      </w:r>
      <w:r w:rsidRPr="00337C97">
        <w:rPr>
          <w:rFonts w:asciiTheme="minorHAnsi" w:hAnsiTheme="minorHAnsi" w:cs="Times New Roman"/>
          <w:sz w:val="22"/>
          <w:szCs w:val="22"/>
          <w:lang w:val="en-US"/>
        </w:rPr>
        <w:t xml:space="preserve"> Another example found in this report is about a risk management policy with respect to an individual risk category (</w:t>
      </w:r>
      <w:r w:rsidR="00F06AF0" w:rsidRPr="00337C97">
        <w:rPr>
          <w:rFonts w:asciiTheme="minorHAnsi" w:hAnsiTheme="minorHAnsi" w:cs="Times New Roman"/>
          <w:sz w:val="22"/>
          <w:szCs w:val="22"/>
          <w:lang w:val="en-US"/>
        </w:rPr>
        <w:t xml:space="preserve">p. 38, </w:t>
      </w:r>
      <w:r w:rsidRPr="00337C97">
        <w:rPr>
          <w:rFonts w:asciiTheme="minorHAnsi" w:hAnsiTheme="minorHAnsi" w:cs="Times New Roman"/>
          <w:sz w:val="22"/>
          <w:szCs w:val="22"/>
          <w:lang w:val="en-US"/>
        </w:rPr>
        <w:t xml:space="preserve">coded as F1): </w:t>
      </w:r>
      <w:r w:rsidRPr="00337C97">
        <w:rPr>
          <w:rFonts w:asciiTheme="minorHAnsi" w:hAnsiTheme="minorHAnsi" w:cs="Times New Roman"/>
          <w:i/>
          <w:sz w:val="22"/>
          <w:szCs w:val="22"/>
          <w:lang w:val="en-US"/>
        </w:rPr>
        <w:t xml:space="preserve">“The Group uses a simulation tool to estimate possible changes in future market values and computes the credit exposure to a high level of statistical significance.” </w:t>
      </w:r>
      <w:r w:rsidRPr="00337C97">
        <w:rPr>
          <w:rFonts w:asciiTheme="minorHAnsi" w:hAnsiTheme="minorHAnsi" w:cs="Times New Roman"/>
          <w:sz w:val="22"/>
          <w:szCs w:val="22"/>
          <w:lang w:val="en-US"/>
        </w:rPr>
        <w:t xml:space="preserve">Linsley et al. (2006) found this type to </w:t>
      </w:r>
      <w:r w:rsidR="00643F63" w:rsidRPr="00337C97">
        <w:rPr>
          <w:rFonts w:asciiTheme="minorHAnsi" w:hAnsiTheme="minorHAnsi" w:cs="Times New Roman"/>
          <w:sz w:val="22"/>
          <w:szCs w:val="22"/>
          <w:lang w:val="en-US"/>
        </w:rPr>
        <w:t>be dominating</w:t>
      </w:r>
      <w:r w:rsidRPr="00337C97">
        <w:rPr>
          <w:rFonts w:asciiTheme="minorHAnsi" w:hAnsiTheme="minorHAnsi" w:cs="Times New Roman"/>
          <w:sz w:val="22"/>
          <w:szCs w:val="22"/>
          <w:lang w:val="en-US"/>
        </w:rPr>
        <w:t xml:space="preserve"> as well, but question</w:t>
      </w:r>
      <w:r w:rsidR="00643F63" w:rsidRPr="00337C97">
        <w:rPr>
          <w:rFonts w:asciiTheme="minorHAnsi" w:hAnsiTheme="minorHAnsi" w:cs="Times New Roman"/>
          <w:sz w:val="22"/>
          <w:szCs w:val="22"/>
          <w:lang w:val="en-US"/>
        </w:rPr>
        <w:t>ed</w:t>
      </w:r>
      <w:r w:rsidRPr="00337C97">
        <w:rPr>
          <w:rFonts w:asciiTheme="minorHAnsi" w:hAnsiTheme="minorHAnsi" w:cs="Times New Roman"/>
          <w:sz w:val="22"/>
          <w:szCs w:val="22"/>
          <w:lang w:val="en-US"/>
        </w:rPr>
        <w:t xml:space="preserve"> the usefulness of this type of disclosure. They argue that, although these disclosures reassure the reader that risk management systems are in place, it does not provide information about specific risks that the bank faces and nor does it explain the actions the directors have taken to manage that risk. The results in this study are however different interpreted, as the author did not have this impression</w:t>
      </w:r>
      <w:r w:rsidR="00643F63" w:rsidRPr="00337C97">
        <w:rPr>
          <w:rFonts w:asciiTheme="minorHAnsi" w:hAnsiTheme="minorHAnsi" w:cs="Times New Roman"/>
          <w:sz w:val="22"/>
          <w:szCs w:val="22"/>
          <w:lang w:val="en-US"/>
        </w:rPr>
        <w:t xml:space="preserve"> during the empirical research</w:t>
      </w:r>
      <w:r w:rsidRPr="00337C97">
        <w:rPr>
          <w:rFonts w:asciiTheme="minorHAnsi" w:hAnsiTheme="minorHAnsi" w:cs="Times New Roman"/>
          <w:sz w:val="22"/>
          <w:szCs w:val="22"/>
          <w:lang w:val="en-US"/>
        </w:rPr>
        <w:t xml:space="preserve">. </w:t>
      </w:r>
      <w:r w:rsidR="00F06AF0" w:rsidRPr="00337C97">
        <w:rPr>
          <w:rFonts w:asciiTheme="minorHAnsi" w:hAnsiTheme="minorHAnsi" w:cs="Times New Roman"/>
          <w:sz w:val="22"/>
          <w:szCs w:val="22"/>
          <w:lang w:val="en-US"/>
        </w:rPr>
        <w:t xml:space="preserve">On one hand, general and sometimes vague risk management policies were indeed disclosed (category 8, table 4). For example, the annual report of Bank of Attica states (p. 25): </w:t>
      </w:r>
      <w:r w:rsidR="00F06AF0" w:rsidRPr="00337C97">
        <w:rPr>
          <w:rFonts w:asciiTheme="minorHAnsi" w:hAnsiTheme="minorHAnsi" w:cs="Times New Roman"/>
          <w:i/>
          <w:sz w:val="22"/>
          <w:szCs w:val="22"/>
          <w:lang w:val="en-US"/>
        </w:rPr>
        <w:t>“Taking into consideration international best practices, Attica Bank uses modern methods to manage and monitor the risks involved in its activities.”</w:t>
      </w:r>
      <w:r w:rsidR="00F06AF0" w:rsidRPr="00337C97">
        <w:rPr>
          <w:rFonts w:asciiTheme="minorHAnsi" w:hAnsiTheme="minorHAnsi" w:cs="Times New Roman"/>
          <w:sz w:val="22"/>
          <w:szCs w:val="22"/>
          <w:lang w:val="en-US"/>
        </w:rPr>
        <w:t xml:space="preserve">. On the other hand, in many cases </w:t>
      </w:r>
      <w:r w:rsidRPr="00337C97">
        <w:rPr>
          <w:rFonts w:asciiTheme="minorHAnsi" w:hAnsiTheme="minorHAnsi" w:cs="Times New Roman"/>
          <w:sz w:val="22"/>
          <w:szCs w:val="22"/>
          <w:lang w:val="en-US"/>
        </w:rPr>
        <w:t xml:space="preserve">general statements were followed by explanations about risk assessment, risk </w:t>
      </w:r>
      <w:r w:rsidR="00643F63" w:rsidRPr="00337C97">
        <w:rPr>
          <w:rFonts w:asciiTheme="minorHAnsi" w:hAnsiTheme="minorHAnsi" w:cs="Times New Roman"/>
          <w:sz w:val="22"/>
          <w:szCs w:val="22"/>
          <w:lang w:val="en-US"/>
        </w:rPr>
        <w:t xml:space="preserve">measurement/quantification, risk </w:t>
      </w:r>
      <w:r w:rsidRPr="00337C97">
        <w:rPr>
          <w:rFonts w:asciiTheme="minorHAnsi" w:hAnsiTheme="minorHAnsi" w:cs="Times New Roman"/>
          <w:sz w:val="22"/>
          <w:szCs w:val="22"/>
          <w:lang w:val="en-US"/>
        </w:rPr>
        <w:t>controlling</w:t>
      </w:r>
      <w:r w:rsidR="00643F63" w:rsidRPr="00337C97">
        <w:rPr>
          <w:rFonts w:asciiTheme="minorHAnsi" w:hAnsiTheme="minorHAnsi" w:cs="Times New Roman"/>
          <w:sz w:val="22"/>
          <w:szCs w:val="22"/>
          <w:lang w:val="en-US"/>
        </w:rPr>
        <w:t xml:space="preserve"> and</w:t>
      </w:r>
      <w:r w:rsidRPr="00337C97">
        <w:rPr>
          <w:rFonts w:asciiTheme="minorHAnsi" w:hAnsiTheme="minorHAnsi" w:cs="Times New Roman"/>
          <w:sz w:val="22"/>
          <w:szCs w:val="22"/>
          <w:lang w:val="en-US"/>
        </w:rPr>
        <w:t xml:space="preserve"> risk </w:t>
      </w:r>
      <w:r w:rsidR="00643F63" w:rsidRPr="00337C97">
        <w:rPr>
          <w:rFonts w:asciiTheme="minorHAnsi" w:hAnsiTheme="minorHAnsi" w:cs="Times New Roman"/>
          <w:sz w:val="22"/>
          <w:szCs w:val="22"/>
          <w:lang w:val="en-US"/>
        </w:rPr>
        <w:t>monitorin</w:t>
      </w:r>
      <w:r w:rsidR="00F06AF0" w:rsidRPr="00337C97">
        <w:rPr>
          <w:rFonts w:asciiTheme="minorHAnsi" w:hAnsiTheme="minorHAnsi" w:cs="Times New Roman"/>
          <w:sz w:val="22"/>
          <w:szCs w:val="22"/>
          <w:lang w:val="en-US"/>
        </w:rPr>
        <w:t>g, regarding the different risk categories.</w:t>
      </w:r>
    </w:p>
    <w:p w:rsidR="00C351D9" w:rsidRPr="00337C97" w:rsidRDefault="00C351D9" w:rsidP="000202C5">
      <w:pPr>
        <w:spacing w:line="360" w:lineRule="auto"/>
        <w:jc w:val="both"/>
        <w:rPr>
          <w:rFonts w:asciiTheme="minorHAnsi" w:hAnsiTheme="minorHAnsi" w:cs="Times New Roman"/>
          <w:sz w:val="22"/>
          <w:szCs w:val="22"/>
          <w:lang w:val="en-US"/>
        </w:rPr>
      </w:pPr>
    </w:p>
    <w:p w:rsidR="005C09C4" w:rsidRPr="00337C97" w:rsidRDefault="006C6D48"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Just as quantitative risk information is usually considered to possess greater value than qualitative information, so is future (forward-looking) risk information generally considered to be more useful than past risk information. Approximately 68% of the defined risk disclosures were categorized as future information and 33% as past information. These results seem to show that companies exhibit a willingness to disclose future information. However, Linsley et al. (2006) notice that the majority of future disclosures result from the ‘qualitative/neutral/future’ type, </w:t>
      </w:r>
      <w:r w:rsidR="00F16949" w:rsidRPr="00337C97">
        <w:rPr>
          <w:rFonts w:asciiTheme="minorHAnsi" w:hAnsiTheme="minorHAnsi" w:cs="Times New Roman"/>
          <w:sz w:val="22"/>
          <w:szCs w:val="22"/>
          <w:lang w:val="en-US"/>
        </w:rPr>
        <w:t xml:space="preserve">consisting largely of general policy disclosures. Therefore, if this type is removed from the total of future disclosures, the percentage future information drops from 68% to 11%, showing that future information is far less disclosed than past information. Again, future disclosures are likely to be more sensitive and hence that may explain why directors disclose them less frequently. This is confirmed by looking at the total of ‘quantified/future’ information: </w:t>
      </w:r>
      <w:r w:rsidR="0054586E" w:rsidRPr="00337C97">
        <w:rPr>
          <w:rFonts w:asciiTheme="minorHAnsi" w:hAnsiTheme="minorHAnsi" w:cs="Times New Roman"/>
          <w:sz w:val="22"/>
          <w:szCs w:val="22"/>
          <w:lang w:val="en-US"/>
        </w:rPr>
        <w:t>this amount</w:t>
      </w:r>
      <w:r w:rsidR="00F16949" w:rsidRPr="00337C97">
        <w:rPr>
          <w:rFonts w:asciiTheme="minorHAnsi" w:hAnsiTheme="minorHAnsi" w:cs="Times New Roman"/>
          <w:sz w:val="22"/>
          <w:szCs w:val="22"/>
          <w:lang w:val="en-US"/>
        </w:rPr>
        <w:t xml:space="preserve"> to only 1.2% of the </w:t>
      </w:r>
      <w:r w:rsidR="009C7B06" w:rsidRPr="00337C97">
        <w:rPr>
          <w:rFonts w:asciiTheme="minorHAnsi" w:hAnsiTheme="minorHAnsi" w:cs="Times New Roman"/>
          <w:sz w:val="22"/>
          <w:szCs w:val="22"/>
          <w:lang w:val="en-US"/>
        </w:rPr>
        <w:t>total risk disclosures.</w:t>
      </w:r>
    </w:p>
    <w:p w:rsidR="0067586D" w:rsidRPr="00337C97" w:rsidRDefault="0067586D" w:rsidP="000202C5">
      <w:pPr>
        <w:spacing w:line="360" w:lineRule="auto"/>
        <w:jc w:val="both"/>
        <w:rPr>
          <w:rFonts w:asciiTheme="minorHAnsi" w:hAnsiTheme="minorHAnsi" w:cs="Times New Roman"/>
          <w:sz w:val="22"/>
          <w:szCs w:val="22"/>
          <w:lang w:val="en-US"/>
        </w:rPr>
      </w:pPr>
    </w:p>
    <w:p w:rsidR="006866FB" w:rsidRPr="00337C97" w:rsidRDefault="006866FB" w:rsidP="008D68DE">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Table 5 also reveals that the number of neutral risk disclosures forms the majority </w:t>
      </w:r>
      <w:r w:rsidR="008D68DE" w:rsidRPr="00337C97">
        <w:rPr>
          <w:rFonts w:asciiTheme="minorHAnsi" w:hAnsiTheme="minorHAnsi" w:cs="Times New Roman"/>
          <w:sz w:val="22"/>
          <w:szCs w:val="22"/>
          <w:lang w:val="en-US"/>
        </w:rPr>
        <w:t xml:space="preserve">(90%) </w:t>
      </w:r>
      <w:r w:rsidRPr="00337C97">
        <w:rPr>
          <w:rFonts w:asciiTheme="minorHAnsi" w:hAnsiTheme="minorHAnsi" w:cs="Times New Roman"/>
          <w:sz w:val="22"/>
          <w:szCs w:val="22"/>
          <w:lang w:val="en-US"/>
        </w:rPr>
        <w:t xml:space="preserve">of the disclosures, compared to bad and good disclosures. It may be expected that directors will prefer to present positive information and therefore there will be more good news risk disclosures. These results are similar compared to Linsley et al. (2006) and Linsley and Shrives (2005b). That neutral </w:t>
      </w:r>
      <w:r w:rsidRPr="00337C97">
        <w:rPr>
          <w:rFonts w:asciiTheme="minorHAnsi" w:hAnsiTheme="minorHAnsi" w:cs="Times New Roman"/>
          <w:sz w:val="22"/>
          <w:szCs w:val="22"/>
          <w:lang w:val="en-US"/>
        </w:rPr>
        <w:lastRenderedPageBreak/>
        <w:t xml:space="preserve">disclosures are </w:t>
      </w:r>
      <w:r w:rsidR="0054586E" w:rsidRPr="00337C97">
        <w:rPr>
          <w:rFonts w:asciiTheme="minorHAnsi" w:hAnsiTheme="minorHAnsi" w:cs="Times New Roman"/>
          <w:sz w:val="22"/>
          <w:szCs w:val="22"/>
          <w:lang w:val="en-US"/>
        </w:rPr>
        <w:t>dominant</w:t>
      </w:r>
      <w:r w:rsidRPr="00337C97">
        <w:rPr>
          <w:rFonts w:asciiTheme="minorHAnsi" w:hAnsiTheme="minorHAnsi" w:cs="Times New Roman"/>
          <w:sz w:val="22"/>
          <w:szCs w:val="22"/>
          <w:lang w:val="en-US"/>
        </w:rPr>
        <w:t xml:space="preserve"> is according to Linsley and Shrives (2005b, p. 301) symptomatic </w:t>
      </w:r>
      <w:r w:rsidR="008D68DE" w:rsidRPr="00337C97">
        <w:rPr>
          <w:rFonts w:asciiTheme="minorHAnsi" w:hAnsiTheme="minorHAnsi" w:cs="Times New Roman"/>
          <w:sz w:val="22"/>
          <w:szCs w:val="22"/>
          <w:lang w:val="en-US"/>
        </w:rPr>
        <w:t xml:space="preserve">for companies. They release significant amounts of rather insipid general policy statements to the market place, concerned with </w:t>
      </w:r>
      <w:r w:rsidRPr="00337C97">
        <w:rPr>
          <w:rFonts w:asciiTheme="minorHAnsi" w:hAnsiTheme="minorHAnsi" w:cs="Times New Roman"/>
          <w:sz w:val="22"/>
          <w:szCs w:val="22"/>
          <w:lang w:val="en-US"/>
        </w:rPr>
        <w:t>internal contro</w:t>
      </w:r>
      <w:r w:rsidR="008D68DE" w:rsidRPr="00337C97">
        <w:rPr>
          <w:rFonts w:asciiTheme="minorHAnsi" w:hAnsiTheme="minorHAnsi" w:cs="Times New Roman"/>
          <w:sz w:val="22"/>
          <w:szCs w:val="22"/>
          <w:lang w:val="en-US"/>
        </w:rPr>
        <w:t xml:space="preserve">ls and risk </w:t>
      </w:r>
      <w:r w:rsidR="0008742E" w:rsidRPr="00337C97">
        <w:rPr>
          <w:rFonts w:asciiTheme="minorHAnsi" w:hAnsiTheme="minorHAnsi" w:cs="Times New Roman"/>
          <w:sz w:val="22"/>
          <w:szCs w:val="22"/>
          <w:lang w:val="en-US"/>
        </w:rPr>
        <w:t xml:space="preserve">management systems. </w:t>
      </w:r>
      <w:r w:rsidR="008D68DE" w:rsidRPr="00337C97">
        <w:rPr>
          <w:rFonts w:asciiTheme="minorHAnsi" w:hAnsiTheme="minorHAnsi" w:cs="Times New Roman"/>
          <w:sz w:val="22"/>
          <w:szCs w:val="22"/>
          <w:lang w:val="en-US"/>
        </w:rPr>
        <w:t>The level of good and bad news disclosures are comparable, indicating that directors cannot just choose to withhold bad news. For example, poor financial results may require them to explain where risks have arisen with adverse impacts (Linsley and Shrives, 2005b, p. 301). Although the b</w:t>
      </w:r>
      <w:r w:rsidR="0008742E" w:rsidRPr="00337C97">
        <w:rPr>
          <w:rFonts w:asciiTheme="minorHAnsi" w:hAnsiTheme="minorHAnsi" w:cs="Times New Roman"/>
          <w:sz w:val="22"/>
          <w:szCs w:val="22"/>
          <w:lang w:val="en-US"/>
        </w:rPr>
        <w:t>anks show willingness to disclose bad risk news, the difficulty is knowing whether there is further bad news that remains undisclosed</w:t>
      </w:r>
      <w:r w:rsidR="008D68DE" w:rsidRPr="00337C97">
        <w:rPr>
          <w:rFonts w:asciiTheme="minorHAnsi" w:hAnsiTheme="minorHAnsi" w:cs="Times New Roman"/>
          <w:sz w:val="22"/>
          <w:szCs w:val="22"/>
          <w:lang w:val="en-US"/>
        </w:rPr>
        <w:t xml:space="preserve"> (Linsley et al., 2006, p. 277)</w:t>
      </w:r>
      <w:r w:rsidR="0008742E" w:rsidRPr="00337C97">
        <w:rPr>
          <w:rFonts w:asciiTheme="minorHAnsi" w:hAnsiTheme="minorHAnsi" w:cs="Times New Roman"/>
          <w:sz w:val="22"/>
          <w:szCs w:val="22"/>
          <w:lang w:val="en-US"/>
        </w:rPr>
        <w:t xml:space="preserve">. </w:t>
      </w:r>
    </w:p>
    <w:p w:rsidR="006866FB" w:rsidRPr="00337C97" w:rsidRDefault="006866FB" w:rsidP="000202C5">
      <w:pPr>
        <w:spacing w:line="360" w:lineRule="auto"/>
        <w:jc w:val="both"/>
        <w:rPr>
          <w:rFonts w:asciiTheme="minorHAnsi" w:hAnsiTheme="minorHAnsi" w:cs="Times New Roman"/>
          <w:sz w:val="22"/>
          <w:szCs w:val="22"/>
          <w:lang w:val="en-US"/>
        </w:rPr>
      </w:pPr>
    </w:p>
    <w:p w:rsidR="006866FB" w:rsidRPr="00337C97" w:rsidRDefault="00924823" w:rsidP="00490FA5">
      <w:pPr>
        <w:spacing w:line="360" w:lineRule="auto"/>
        <w:jc w:val="both"/>
        <w:outlineLvl w:val="2"/>
        <w:rPr>
          <w:rFonts w:asciiTheme="minorHAnsi" w:hAnsiTheme="minorHAnsi" w:cs="Times New Roman"/>
          <w:i/>
          <w:sz w:val="22"/>
          <w:szCs w:val="22"/>
          <w:lang w:val="en-US"/>
        </w:rPr>
      </w:pPr>
      <w:bookmarkStart w:id="295" w:name="_Toc269658972"/>
      <w:r w:rsidRPr="00337C97">
        <w:rPr>
          <w:rFonts w:asciiTheme="minorHAnsi" w:hAnsiTheme="minorHAnsi" w:cs="Times New Roman"/>
          <w:i/>
          <w:sz w:val="22"/>
          <w:szCs w:val="22"/>
          <w:lang w:val="en-US"/>
        </w:rPr>
        <w:t>6.</w:t>
      </w:r>
      <w:r w:rsidR="00EA10F1" w:rsidRPr="00337C97">
        <w:rPr>
          <w:rFonts w:asciiTheme="minorHAnsi" w:hAnsiTheme="minorHAnsi" w:cs="Times New Roman"/>
          <w:i/>
          <w:sz w:val="22"/>
          <w:szCs w:val="22"/>
          <w:lang w:val="en-US"/>
        </w:rPr>
        <w:t>3</w:t>
      </w:r>
      <w:r w:rsidRPr="00337C97">
        <w:rPr>
          <w:rFonts w:asciiTheme="minorHAnsi" w:hAnsiTheme="minorHAnsi" w:cs="Times New Roman"/>
          <w:i/>
          <w:sz w:val="22"/>
          <w:szCs w:val="22"/>
          <w:lang w:val="en-US"/>
        </w:rPr>
        <w:t>.4</w:t>
      </w:r>
      <w:r w:rsidRPr="00337C97">
        <w:rPr>
          <w:rFonts w:asciiTheme="minorHAnsi" w:hAnsiTheme="minorHAnsi" w:cs="Times New Roman"/>
          <w:i/>
          <w:sz w:val="22"/>
          <w:szCs w:val="22"/>
          <w:lang w:val="en-US"/>
        </w:rPr>
        <w:tab/>
        <w:t>Conclusion</w:t>
      </w:r>
      <w:bookmarkEnd w:id="295"/>
    </w:p>
    <w:p w:rsidR="006866FB" w:rsidRPr="00337C97" w:rsidRDefault="009C4DB4"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Compared to earlier studies measuring the risk disclosure score (in sentences), this study shows the highest average, indicating that banks are disclosing more risk information in the annual report than a few years earlier. Analyzing the different </w:t>
      </w:r>
      <w:r w:rsidR="000D3FB5" w:rsidRPr="00337C97">
        <w:rPr>
          <w:rFonts w:asciiTheme="minorHAnsi" w:hAnsiTheme="minorHAnsi" w:cs="Times New Roman"/>
          <w:sz w:val="22"/>
          <w:szCs w:val="22"/>
          <w:lang w:val="en-US"/>
        </w:rPr>
        <w:t>risk categories shows that credit and market risk are the most developed risk disclosure areas. Since these risk areas are heavily regulated by the introduction of IFRS 7 and Basel II this indicates that regulatory requirements drive risk disclosure to a large degree.</w:t>
      </w:r>
      <w:r w:rsidR="00D92111" w:rsidRPr="00337C97">
        <w:rPr>
          <w:rFonts w:asciiTheme="minorHAnsi" w:hAnsiTheme="minorHAnsi" w:cs="Times New Roman"/>
          <w:sz w:val="22"/>
          <w:szCs w:val="22"/>
          <w:lang w:val="en-US"/>
        </w:rPr>
        <w:t xml:space="preserve"> The examination of the characteristics of the risk disclosures revealed that it can be questioned whether the increase in disclosure has led to more useful disclosure. The majority of the risk disclosures is still qualitative, past and neutral. Relatively little quantitative and future</w:t>
      </w:r>
      <w:r w:rsidR="00F06AF0" w:rsidRPr="00337C97">
        <w:rPr>
          <w:rFonts w:asciiTheme="minorHAnsi" w:hAnsiTheme="minorHAnsi" w:cs="Times New Roman"/>
          <w:sz w:val="22"/>
          <w:szCs w:val="22"/>
          <w:lang w:val="en-US"/>
        </w:rPr>
        <w:t xml:space="preserve"> risk information is disclosed. </w:t>
      </w:r>
    </w:p>
    <w:p w:rsidR="009C7B06" w:rsidRPr="00337C97" w:rsidRDefault="009C7B06" w:rsidP="000202C5">
      <w:pPr>
        <w:spacing w:line="360" w:lineRule="auto"/>
        <w:jc w:val="both"/>
        <w:rPr>
          <w:rFonts w:asciiTheme="minorHAnsi" w:hAnsiTheme="minorHAnsi" w:cs="Times New Roman"/>
          <w:sz w:val="22"/>
          <w:szCs w:val="22"/>
          <w:lang w:val="en-US"/>
        </w:rPr>
      </w:pPr>
    </w:p>
    <w:p w:rsidR="0037312D" w:rsidRPr="00337C97" w:rsidRDefault="00D92111" w:rsidP="00490FA5">
      <w:pPr>
        <w:spacing w:line="360" w:lineRule="auto"/>
        <w:jc w:val="both"/>
        <w:outlineLvl w:val="1"/>
        <w:rPr>
          <w:rFonts w:asciiTheme="minorHAnsi" w:hAnsiTheme="minorHAnsi" w:cs="Times New Roman"/>
          <w:b/>
          <w:sz w:val="22"/>
          <w:szCs w:val="22"/>
          <w:lang w:val="en-US"/>
        </w:rPr>
      </w:pPr>
      <w:bookmarkStart w:id="296" w:name="_Toc269658973"/>
      <w:r w:rsidRPr="00337C97">
        <w:rPr>
          <w:rFonts w:asciiTheme="minorHAnsi" w:hAnsiTheme="minorHAnsi" w:cs="Times New Roman"/>
          <w:b/>
          <w:sz w:val="22"/>
          <w:szCs w:val="22"/>
          <w:lang w:val="en-US"/>
        </w:rPr>
        <w:t>6</w:t>
      </w:r>
      <w:r w:rsidR="0037312D" w:rsidRPr="00337C97">
        <w:rPr>
          <w:rFonts w:asciiTheme="minorHAnsi" w:hAnsiTheme="minorHAnsi" w:cs="Times New Roman"/>
          <w:b/>
          <w:sz w:val="22"/>
          <w:szCs w:val="22"/>
          <w:lang w:val="en-US"/>
        </w:rPr>
        <w:t>.</w:t>
      </w:r>
      <w:r w:rsidR="00EA10F1" w:rsidRPr="00337C97">
        <w:rPr>
          <w:rFonts w:asciiTheme="minorHAnsi" w:hAnsiTheme="minorHAnsi" w:cs="Times New Roman"/>
          <w:b/>
          <w:sz w:val="22"/>
          <w:szCs w:val="22"/>
          <w:lang w:val="en-US"/>
        </w:rPr>
        <w:t>4</w:t>
      </w:r>
      <w:r w:rsidR="0037312D" w:rsidRPr="00337C97">
        <w:rPr>
          <w:rFonts w:asciiTheme="minorHAnsi" w:hAnsiTheme="minorHAnsi" w:cs="Times New Roman"/>
          <w:b/>
          <w:sz w:val="22"/>
          <w:szCs w:val="22"/>
          <w:lang w:val="en-US"/>
        </w:rPr>
        <w:tab/>
        <w:t>Part II: Regression analysis</w:t>
      </w:r>
      <w:bookmarkEnd w:id="296"/>
    </w:p>
    <w:p w:rsidR="0037312D" w:rsidRPr="00337C97" w:rsidRDefault="0037312D" w:rsidP="000202C5">
      <w:pPr>
        <w:spacing w:line="360" w:lineRule="auto"/>
        <w:jc w:val="both"/>
        <w:rPr>
          <w:rFonts w:asciiTheme="minorHAnsi" w:hAnsiTheme="minorHAnsi" w:cs="Times New Roman"/>
          <w:sz w:val="22"/>
          <w:szCs w:val="22"/>
          <w:lang w:val="en-US"/>
        </w:rPr>
      </w:pPr>
    </w:p>
    <w:p w:rsidR="0037312D" w:rsidRPr="00337C97" w:rsidRDefault="0037312D" w:rsidP="00490FA5">
      <w:pPr>
        <w:spacing w:line="360" w:lineRule="auto"/>
        <w:jc w:val="both"/>
        <w:outlineLvl w:val="2"/>
        <w:rPr>
          <w:rFonts w:asciiTheme="minorHAnsi" w:hAnsiTheme="minorHAnsi" w:cs="Times New Roman"/>
          <w:i/>
          <w:sz w:val="22"/>
          <w:szCs w:val="22"/>
          <w:lang w:val="en-US"/>
        </w:rPr>
      </w:pPr>
      <w:bookmarkStart w:id="297" w:name="_Toc269658974"/>
      <w:r w:rsidRPr="00337C97">
        <w:rPr>
          <w:rFonts w:asciiTheme="minorHAnsi" w:hAnsiTheme="minorHAnsi" w:cs="Times New Roman"/>
          <w:i/>
          <w:sz w:val="22"/>
          <w:szCs w:val="22"/>
          <w:lang w:val="en-US"/>
        </w:rPr>
        <w:t>6.</w:t>
      </w:r>
      <w:r w:rsidR="00EA10F1" w:rsidRPr="00337C97">
        <w:rPr>
          <w:rFonts w:asciiTheme="minorHAnsi" w:hAnsiTheme="minorHAnsi" w:cs="Times New Roman"/>
          <w:i/>
          <w:sz w:val="22"/>
          <w:szCs w:val="22"/>
          <w:lang w:val="en-US"/>
        </w:rPr>
        <w:t>4</w:t>
      </w:r>
      <w:r w:rsidRPr="00337C97">
        <w:rPr>
          <w:rFonts w:asciiTheme="minorHAnsi" w:hAnsiTheme="minorHAnsi" w:cs="Times New Roman"/>
          <w:i/>
          <w:sz w:val="22"/>
          <w:szCs w:val="22"/>
          <w:lang w:val="en-US"/>
        </w:rPr>
        <w:t>.1</w:t>
      </w:r>
      <w:r w:rsidRPr="00337C97">
        <w:rPr>
          <w:rFonts w:asciiTheme="minorHAnsi" w:hAnsiTheme="minorHAnsi" w:cs="Times New Roman"/>
          <w:i/>
          <w:sz w:val="22"/>
          <w:szCs w:val="22"/>
          <w:lang w:val="en-US"/>
        </w:rPr>
        <w:tab/>
        <w:t>Data analysis</w:t>
      </w:r>
      <w:bookmarkEnd w:id="297"/>
    </w:p>
    <w:p w:rsidR="00020E2E" w:rsidRPr="00337C97" w:rsidRDefault="00020E2E" w:rsidP="000202C5">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This paragraph analyzes the data of the variables used in the</w:t>
      </w:r>
      <w:r w:rsidR="00220D47" w:rsidRPr="00337C97">
        <w:rPr>
          <w:rFonts w:asciiTheme="minorHAnsi" w:hAnsiTheme="minorHAnsi" w:cs="Times New Roman"/>
          <w:sz w:val="22"/>
          <w:szCs w:val="22"/>
          <w:lang w:val="en-US"/>
        </w:rPr>
        <w:t xml:space="preserve"> regression analysis (table 6). </w:t>
      </w:r>
      <w:r w:rsidR="00B124AA" w:rsidRPr="00337C97">
        <w:rPr>
          <w:rFonts w:asciiTheme="minorHAnsi" w:hAnsiTheme="minorHAnsi" w:cs="Times New Roman"/>
          <w:sz w:val="22"/>
          <w:szCs w:val="22"/>
          <w:lang w:val="en-US"/>
        </w:rPr>
        <w:t>Before using multiple regression analysis, Cooke (</w:t>
      </w:r>
      <w:r w:rsidR="00955578" w:rsidRPr="00337C97">
        <w:rPr>
          <w:rFonts w:asciiTheme="minorHAnsi" w:hAnsiTheme="minorHAnsi" w:cs="Times New Roman"/>
          <w:sz w:val="22"/>
          <w:szCs w:val="22"/>
          <w:lang w:val="en-US"/>
        </w:rPr>
        <w:t xml:space="preserve">1998, p. 209) </w:t>
      </w:r>
      <w:r w:rsidR="00B124AA" w:rsidRPr="00337C97">
        <w:rPr>
          <w:rFonts w:asciiTheme="minorHAnsi" w:hAnsiTheme="minorHAnsi" w:cs="Times New Roman"/>
          <w:sz w:val="22"/>
          <w:szCs w:val="22"/>
          <w:lang w:val="en-US"/>
        </w:rPr>
        <w:t>argues that scholars should pay attention to the structure of the data and consider the appropriateness of transformations. Data should be screened to assess the impact of distribution problems of skewness and kurtosis, as well as problems of outliers and non-linearity.</w:t>
      </w:r>
      <w:r w:rsidR="009E25A0" w:rsidRPr="00337C97">
        <w:rPr>
          <w:rFonts w:asciiTheme="minorHAnsi" w:hAnsiTheme="minorHAnsi" w:cs="Times New Roman"/>
          <w:sz w:val="22"/>
          <w:szCs w:val="22"/>
          <w:lang w:val="en-US"/>
        </w:rPr>
        <w:t xml:space="preserve"> </w:t>
      </w:r>
      <w:r w:rsidR="00220D47" w:rsidRPr="00337C97">
        <w:rPr>
          <w:rFonts w:asciiTheme="minorHAnsi" w:hAnsiTheme="minorHAnsi" w:cs="Times New Roman"/>
          <w:sz w:val="22"/>
          <w:szCs w:val="22"/>
          <w:lang w:val="en-US"/>
        </w:rPr>
        <w:t xml:space="preserve">A common measure </w:t>
      </w:r>
      <w:r w:rsidR="00B124AA" w:rsidRPr="00337C97">
        <w:rPr>
          <w:rFonts w:asciiTheme="minorHAnsi" w:hAnsiTheme="minorHAnsi" w:cs="Times New Roman"/>
          <w:sz w:val="22"/>
          <w:szCs w:val="22"/>
          <w:lang w:val="en-US"/>
        </w:rPr>
        <w:t xml:space="preserve">to test for non-normality </w:t>
      </w:r>
      <w:r w:rsidR="00220D47" w:rsidRPr="00337C97">
        <w:rPr>
          <w:rFonts w:asciiTheme="minorHAnsi" w:hAnsiTheme="minorHAnsi" w:cs="Times New Roman"/>
          <w:sz w:val="22"/>
          <w:szCs w:val="22"/>
          <w:lang w:val="en-US"/>
        </w:rPr>
        <w:t xml:space="preserve">is the so-called Kolmogorov-Smirnov test. </w:t>
      </w:r>
      <w:r w:rsidR="0027433E" w:rsidRPr="00337C97">
        <w:rPr>
          <w:rFonts w:asciiTheme="minorHAnsi" w:hAnsiTheme="minorHAnsi" w:cs="Times New Roman"/>
          <w:sz w:val="22"/>
          <w:szCs w:val="22"/>
          <w:lang w:val="en-US"/>
        </w:rPr>
        <w:t xml:space="preserve">This test was for the risk disclosure score, </w:t>
      </w:r>
      <w:r w:rsidR="00220D47" w:rsidRPr="00337C97">
        <w:rPr>
          <w:rFonts w:asciiTheme="minorHAnsi" w:hAnsiTheme="minorHAnsi" w:cs="Times New Roman"/>
          <w:sz w:val="22"/>
          <w:szCs w:val="22"/>
          <w:lang w:val="en-US"/>
        </w:rPr>
        <w:t>size (total assets)</w:t>
      </w:r>
      <w:r w:rsidR="0027433E" w:rsidRPr="00337C97">
        <w:rPr>
          <w:rFonts w:asciiTheme="minorHAnsi" w:hAnsiTheme="minorHAnsi" w:cs="Times New Roman"/>
          <w:sz w:val="22"/>
          <w:szCs w:val="22"/>
          <w:lang w:val="en-US"/>
        </w:rPr>
        <w:t>, profitability (roaa) and leverage</w:t>
      </w:r>
      <w:r w:rsidR="00220D47" w:rsidRPr="00337C97">
        <w:rPr>
          <w:rFonts w:asciiTheme="minorHAnsi" w:hAnsiTheme="minorHAnsi" w:cs="Times New Roman"/>
          <w:sz w:val="22"/>
          <w:szCs w:val="22"/>
          <w:lang w:val="en-US"/>
        </w:rPr>
        <w:t xml:space="preserve"> </w:t>
      </w:r>
      <w:r w:rsidR="00955578" w:rsidRPr="00337C97">
        <w:rPr>
          <w:rFonts w:asciiTheme="minorHAnsi" w:hAnsiTheme="minorHAnsi" w:cs="Times New Roman"/>
          <w:sz w:val="22"/>
          <w:szCs w:val="22"/>
          <w:lang w:val="en-US"/>
        </w:rPr>
        <w:t xml:space="preserve">significant. Visual inspection of the data confirmed </w:t>
      </w:r>
      <w:r w:rsidR="004D2D9F" w:rsidRPr="00337C97">
        <w:rPr>
          <w:rFonts w:asciiTheme="minorHAnsi" w:hAnsiTheme="minorHAnsi" w:cs="Times New Roman"/>
          <w:sz w:val="22"/>
          <w:szCs w:val="22"/>
          <w:lang w:val="en-US"/>
        </w:rPr>
        <w:t>non-normality</w:t>
      </w:r>
      <w:r w:rsidR="00955578" w:rsidRPr="00337C97">
        <w:rPr>
          <w:rFonts w:asciiTheme="minorHAnsi" w:hAnsiTheme="minorHAnsi" w:cs="Times New Roman"/>
          <w:sz w:val="22"/>
          <w:szCs w:val="22"/>
          <w:lang w:val="en-US"/>
        </w:rPr>
        <w:t>.</w:t>
      </w:r>
      <w:r w:rsidR="00B124AA" w:rsidRPr="00337C97">
        <w:rPr>
          <w:rFonts w:asciiTheme="minorHAnsi" w:hAnsiTheme="minorHAnsi" w:cs="Times New Roman"/>
          <w:sz w:val="22"/>
          <w:szCs w:val="22"/>
          <w:lang w:val="en-US"/>
        </w:rPr>
        <w:t xml:space="preserve"> Therefore, the data was transformed using the natural logarithm. After the transformation, </w:t>
      </w:r>
      <w:r w:rsidR="009E25A0" w:rsidRPr="00337C97">
        <w:rPr>
          <w:rFonts w:asciiTheme="minorHAnsi" w:hAnsiTheme="minorHAnsi" w:cs="Times New Roman"/>
          <w:sz w:val="22"/>
          <w:szCs w:val="22"/>
          <w:lang w:val="en-US"/>
        </w:rPr>
        <w:t xml:space="preserve">the problems of skewness, kurtosis and the outliers had been greatly reduced. Performing the K-S test again </w:t>
      </w:r>
      <w:r w:rsidR="00B124AA" w:rsidRPr="00337C97">
        <w:rPr>
          <w:rFonts w:asciiTheme="minorHAnsi" w:hAnsiTheme="minorHAnsi" w:cs="Times New Roman"/>
          <w:sz w:val="22"/>
          <w:szCs w:val="22"/>
          <w:lang w:val="en-US"/>
        </w:rPr>
        <w:t>showed no signific</w:t>
      </w:r>
      <w:r w:rsidR="009E25A0" w:rsidRPr="00337C97">
        <w:rPr>
          <w:rFonts w:asciiTheme="minorHAnsi" w:hAnsiTheme="minorHAnsi" w:cs="Times New Roman"/>
          <w:sz w:val="22"/>
          <w:szCs w:val="22"/>
          <w:lang w:val="en-US"/>
        </w:rPr>
        <w:t xml:space="preserve">ance anymore on </w:t>
      </w:r>
      <w:r w:rsidR="0027433E" w:rsidRPr="00337C97">
        <w:rPr>
          <w:rFonts w:asciiTheme="minorHAnsi" w:hAnsiTheme="minorHAnsi" w:cs="Times New Roman"/>
          <w:sz w:val="22"/>
          <w:szCs w:val="22"/>
          <w:lang w:val="en-US"/>
        </w:rPr>
        <w:t xml:space="preserve">the independent </w:t>
      </w:r>
      <w:r w:rsidR="009E25A0" w:rsidRPr="00337C97">
        <w:rPr>
          <w:rFonts w:asciiTheme="minorHAnsi" w:hAnsiTheme="minorHAnsi" w:cs="Times New Roman"/>
          <w:sz w:val="22"/>
          <w:szCs w:val="22"/>
          <w:lang w:val="en-US"/>
        </w:rPr>
        <w:t>variables.</w:t>
      </w:r>
      <w:r w:rsidR="00252EF7" w:rsidRPr="00337C97">
        <w:rPr>
          <w:rFonts w:asciiTheme="minorHAnsi" w:hAnsiTheme="minorHAnsi" w:cs="Times New Roman"/>
          <w:sz w:val="22"/>
          <w:szCs w:val="22"/>
          <w:lang w:val="en-US"/>
        </w:rPr>
        <w:t xml:space="preserve"> Table 6 provides the descriptive statistics of the original variables and the transformed variables.</w:t>
      </w:r>
    </w:p>
    <w:p w:rsidR="00020E2E" w:rsidRPr="00337C97" w:rsidRDefault="00020E2E" w:rsidP="00020E2E">
      <w:pPr>
        <w:autoSpaceDE w:val="0"/>
        <w:autoSpaceDN w:val="0"/>
        <w:adjustRightInd w:val="0"/>
        <w:rPr>
          <w:rFonts w:asciiTheme="minorHAnsi" w:hAnsiTheme="minorHAnsi" w:cs="Times New Roman"/>
          <w:sz w:val="22"/>
          <w:szCs w:val="22"/>
          <w:lang w:val="en-US" w:eastAsia="nl-NL" w:bidi="ar-SA"/>
        </w:rPr>
      </w:pPr>
    </w:p>
    <w:p w:rsidR="00020E2E" w:rsidRPr="00337C97" w:rsidRDefault="00020E2E" w:rsidP="00220D47">
      <w:pPr>
        <w:autoSpaceDE w:val="0"/>
        <w:autoSpaceDN w:val="0"/>
        <w:adjustRightInd w:val="0"/>
        <w:spacing w:line="360" w:lineRule="auto"/>
        <w:rPr>
          <w:rFonts w:asciiTheme="minorHAnsi" w:hAnsiTheme="minorHAnsi" w:cs="Times New Roman"/>
          <w:sz w:val="22"/>
          <w:szCs w:val="22"/>
          <w:lang w:val="en-US" w:eastAsia="nl-NL" w:bidi="ar-SA"/>
        </w:rPr>
      </w:pPr>
      <w:r w:rsidRPr="00337C97">
        <w:rPr>
          <w:rFonts w:asciiTheme="minorHAnsi" w:hAnsiTheme="minorHAnsi" w:cs="Times New Roman"/>
          <w:b/>
          <w:sz w:val="22"/>
          <w:szCs w:val="22"/>
          <w:lang w:val="en-US" w:eastAsia="nl-NL" w:bidi="ar-SA"/>
        </w:rPr>
        <w:lastRenderedPageBreak/>
        <w:t xml:space="preserve">Table 6 </w:t>
      </w:r>
      <w:r w:rsidRPr="00337C97">
        <w:rPr>
          <w:rFonts w:asciiTheme="minorHAnsi" w:hAnsiTheme="minorHAnsi" w:cs="Times New Roman"/>
          <w:sz w:val="22"/>
          <w:szCs w:val="22"/>
          <w:lang w:val="en-US" w:eastAsia="nl-NL" w:bidi="ar-SA"/>
        </w:rPr>
        <w:t>Descriptive statistics of the dependent and independent variables</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6"/>
        <w:gridCol w:w="1701"/>
        <w:gridCol w:w="425"/>
        <w:gridCol w:w="709"/>
        <w:gridCol w:w="992"/>
        <w:gridCol w:w="851"/>
        <w:gridCol w:w="850"/>
        <w:gridCol w:w="992"/>
        <w:gridCol w:w="993"/>
        <w:gridCol w:w="567"/>
      </w:tblGrid>
      <w:tr w:rsidR="000177F7" w:rsidRPr="00337C97" w:rsidTr="00A31B2B">
        <w:tc>
          <w:tcPr>
            <w:tcW w:w="1526"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p>
        </w:tc>
        <w:tc>
          <w:tcPr>
            <w:tcW w:w="170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 xml:space="preserve">Unit of </w:t>
            </w:r>
          </w:p>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measurement</w:t>
            </w:r>
          </w:p>
        </w:tc>
        <w:tc>
          <w:tcPr>
            <w:tcW w:w="425"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w:t>
            </w:r>
          </w:p>
        </w:tc>
        <w:tc>
          <w:tcPr>
            <w:tcW w:w="709"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Min</w:t>
            </w:r>
            <w:r w:rsidR="00955578" w:rsidRPr="00337C97">
              <w:rPr>
                <w:rFonts w:asciiTheme="minorHAnsi" w:hAnsiTheme="minorHAnsi" w:cs="Times New Roman"/>
                <w:sz w:val="18"/>
                <w:szCs w:val="18"/>
                <w:lang w:val="en-US" w:eastAsia="nl-NL" w:bidi="ar-SA"/>
              </w:rPr>
              <w:t>.</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Max</w:t>
            </w:r>
            <w:r w:rsidR="00955578" w:rsidRPr="00337C97">
              <w:rPr>
                <w:rFonts w:asciiTheme="minorHAnsi" w:hAnsiTheme="minorHAnsi" w:cs="Times New Roman"/>
                <w:sz w:val="18"/>
                <w:szCs w:val="18"/>
                <w:lang w:val="en-US" w:eastAsia="nl-NL" w:bidi="ar-SA"/>
              </w:rPr>
              <w:t>.</w:t>
            </w:r>
          </w:p>
        </w:tc>
        <w:tc>
          <w:tcPr>
            <w:tcW w:w="85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Mean</w:t>
            </w:r>
          </w:p>
        </w:tc>
        <w:tc>
          <w:tcPr>
            <w:tcW w:w="850"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S.D.</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Non-</w:t>
            </w:r>
            <w:r w:rsidR="00EC4A3F" w:rsidRPr="00337C97">
              <w:rPr>
                <w:rFonts w:asciiTheme="minorHAnsi" w:hAnsiTheme="minorHAnsi" w:cs="Times New Roman"/>
                <w:sz w:val="18"/>
                <w:szCs w:val="18"/>
                <w:lang w:val="en-US" w:eastAsia="nl-NL" w:bidi="ar-SA"/>
              </w:rPr>
              <w:t>normali</w:t>
            </w:r>
            <w:r w:rsidRPr="00337C97">
              <w:rPr>
                <w:rFonts w:asciiTheme="minorHAnsi" w:hAnsiTheme="minorHAnsi" w:cs="Times New Roman"/>
                <w:sz w:val="18"/>
                <w:szCs w:val="18"/>
                <w:lang w:val="en-US" w:eastAsia="nl-NL" w:bidi="ar-SA"/>
              </w:rPr>
              <w:t>ty</w:t>
            </w:r>
            <w:r w:rsidR="00EC4A3F" w:rsidRPr="00337C97">
              <w:rPr>
                <w:rFonts w:asciiTheme="minorHAnsi" w:hAnsiTheme="minorHAnsi" w:cs="Times New Roman"/>
                <w:sz w:val="18"/>
                <w:szCs w:val="18"/>
                <w:vertAlign w:val="superscript"/>
                <w:lang w:val="en-US" w:eastAsia="nl-NL" w:bidi="ar-SA"/>
              </w:rPr>
              <w:t>1</w:t>
            </w:r>
          </w:p>
        </w:tc>
        <w:tc>
          <w:tcPr>
            <w:tcW w:w="993"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Skewness</w:t>
            </w:r>
          </w:p>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 Kurtosis</w:t>
            </w:r>
          </w:p>
        </w:tc>
        <w:tc>
          <w:tcPr>
            <w:tcW w:w="567"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Out</w:t>
            </w:r>
            <w:r w:rsidR="00955578"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liers</w:t>
            </w:r>
          </w:p>
        </w:tc>
      </w:tr>
      <w:tr w:rsidR="00C46F07" w:rsidRPr="00337C97" w:rsidTr="00A31B2B">
        <w:tc>
          <w:tcPr>
            <w:tcW w:w="9606" w:type="dxa"/>
            <w:gridSpan w:val="10"/>
          </w:tcPr>
          <w:p w:rsidR="00C46F07" w:rsidRPr="00337C97" w:rsidRDefault="00C46F07" w:rsidP="00A31B2B">
            <w:pPr>
              <w:autoSpaceDE w:val="0"/>
              <w:autoSpaceDN w:val="0"/>
              <w:adjustRightInd w:val="0"/>
              <w:rPr>
                <w:rFonts w:asciiTheme="minorHAnsi" w:hAnsiTheme="minorHAnsi" w:cs="Times New Roman"/>
                <w:i/>
                <w:sz w:val="22"/>
                <w:szCs w:val="18"/>
                <w:lang w:val="en-US" w:eastAsia="nl-NL" w:bidi="ar-SA"/>
              </w:rPr>
            </w:pPr>
          </w:p>
          <w:p w:rsidR="00C46F07" w:rsidRPr="00337C97" w:rsidRDefault="009A1231" w:rsidP="00A31B2B">
            <w:pPr>
              <w:autoSpaceDE w:val="0"/>
              <w:autoSpaceDN w:val="0"/>
              <w:adjustRightInd w:val="0"/>
              <w:rPr>
                <w:rFonts w:asciiTheme="minorHAnsi" w:hAnsiTheme="minorHAnsi" w:cs="Times New Roman"/>
                <w:sz w:val="22"/>
                <w:szCs w:val="18"/>
                <w:lang w:val="en-US" w:eastAsia="nl-NL" w:bidi="ar-SA"/>
              </w:rPr>
            </w:pPr>
            <w:r w:rsidRPr="00337C97">
              <w:rPr>
                <w:rFonts w:asciiTheme="minorHAnsi" w:hAnsiTheme="minorHAnsi" w:cs="Times New Roman"/>
                <w:i/>
                <w:sz w:val="22"/>
                <w:szCs w:val="18"/>
                <w:lang w:val="en-US" w:eastAsia="nl-NL" w:bidi="ar-SA"/>
              </w:rPr>
              <w:t>Dependent</w:t>
            </w:r>
            <w:r w:rsidR="00C46F07" w:rsidRPr="00337C97">
              <w:rPr>
                <w:rFonts w:asciiTheme="minorHAnsi" w:hAnsiTheme="minorHAnsi" w:cs="Times New Roman"/>
                <w:i/>
                <w:sz w:val="22"/>
                <w:szCs w:val="18"/>
                <w:lang w:val="en-US" w:eastAsia="nl-NL" w:bidi="ar-SA"/>
              </w:rPr>
              <w:t xml:space="preserve"> variable</w:t>
            </w:r>
          </w:p>
        </w:tc>
      </w:tr>
      <w:tr w:rsidR="000177F7" w:rsidRPr="00337C97" w:rsidTr="00A31B2B">
        <w:trPr>
          <w:trHeight w:val="64"/>
        </w:trPr>
        <w:tc>
          <w:tcPr>
            <w:tcW w:w="1526"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Risk disclosure score (</w:t>
            </w:r>
            <w:r w:rsidR="00952D6F" w:rsidRPr="00337C97">
              <w:rPr>
                <w:rFonts w:asciiTheme="minorHAnsi" w:hAnsiTheme="minorHAnsi" w:cs="Times New Roman"/>
                <w:sz w:val="18"/>
                <w:szCs w:val="18"/>
                <w:lang w:val="en-US" w:eastAsia="nl-NL" w:bidi="ar-SA"/>
              </w:rPr>
              <w:t>RDSCORE</w:t>
            </w:r>
            <w:r w:rsidRPr="00337C97">
              <w:rPr>
                <w:rFonts w:asciiTheme="minorHAnsi" w:hAnsiTheme="minorHAnsi" w:cs="Times New Roman"/>
                <w:sz w:val="18"/>
                <w:szCs w:val="18"/>
                <w:lang w:val="en-US" w:eastAsia="nl-NL" w:bidi="ar-SA"/>
              </w:rPr>
              <w:t>)</w:t>
            </w:r>
          </w:p>
        </w:tc>
        <w:tc>
          <w:tcPr>
            <w:tcW w:w="170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Sentences</w:t>
            </w:r>
          </w:p>
        </w:tc>
        <w:tc>
          <w:tcPr>
            <w:tcW w:w="425"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753</w:t>
            </w:r>
          </w:p>
        </w:tc>
        <w:tc>
          <w:tcPr>
            <w:tcW w:w="85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258</w:t>
            </w:r>
          </w:p>
        </w:tc>
        <w:tc>
          <w:tcPr>
            <w:tcW w:w="850"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176.5</w:t>
            </w:r>
            <w:r w:rsidR="009A7BB8" w:rsidRPr="00337C97">
              <w:rPr>
                <w:rFonts w:asciiTheme="minorHAnsi" w:hAnsiTheme="minorHAnsi" w:cs="Times New Roman"/>
                <w:sz w:val="18"/>
                <w:szCs w:val="18"/>
                <w:lang w:val="en-US" w:eastAsia="nl-NL" w:bidi="ar-SA"/>
              </w:rPr>
              <w:t>0</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Yes</w:t>
            </w:r>
          </w:p>
        </w:tc>
        <w:tc>
          <w:tcPr>
            <w:tcW w:w="993" w:type="dxa"/>
          </w:tcPr>
          <w:p w:rsidR="00C46F07" w:rsidRPr="00337C97" w:rsidRDefault="009A7BB8"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523</w:t>
            </w:r>
          </w:p>
          <w:p w:rsidR="009A7BB8" w:rsidRPr="00337C97" w:rsidRDefault="009A7BB8"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960</w:t>
            </w:r>
          </w:p>
        </w:tc>
        <w:tc>
          <w:tcPr>
            <w:tcW w:w="567"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3</w:t>
            </w:r>
          </w:p>
        </w:tc>
      </w:tr>
      <w:tr w:rsidR="000177F7" w:rsidRPr="00337C97" w:rsidTr="00A31B2B">
        <w:tc>
          <w:tcPr>
            <w:tcW w:w="1526"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Risk disclosure score (</w:t>
            </w:r>
            <w:r w:rsidR="00952D6F" w:rsidRPr="00337C97">
              <w:rPr>
                <w:rFonts w:asciiTheme="minorHAnsi" w:hAnsiTheme="minorHAnsi" w:cs="Times New Roman"/>
                <w:sz w:val="18"/>
                <w:szCs w:val="18"/>
                <w:lang w:val="en-US" w:eastAsia="nl-NL" w:bidi="ar-SA"/>
              </w:rPr>
              <w:t>LNRDSCORE</w:t>
            </w:r>
            <w:r w:rsidRPr="00337C97">
              <w:rPr>
                <w:rFonts w:asciiTheme="minorHAnsi" w:hAnsiTheme="minorHAnsi" w:cs="Times New Roman"/>
                <w:sz w:val="18"/>
                <w:szCs w:val="18"/>
                <w:lang w:val="en-US" w:eastAsia="nl-NL" w:bidi="ar-SA"/>
              </w:rPr>
              <w:t>)</w:t>
            </w:r>
          </w:p>
        </w:tc>
        <w:tc>
          <w:tcPr>
            <w:tcW w:w="1701"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Log of sentences</w:t>
            </w:r>
          </w:p>
        </w:tc>
        <w:tc>
          <w:tcPr>
            <w:tcW w:w="425"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p>
        </w:tc>
        <w:tc>
          <w:tcPr>
            <w:tcW w:w="709"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3.69</w:t>
            </w:r>
          </w:p>
        </w:tc>
        <w:tc>
          <w:tcPr>
            <w:tcW w:w="992"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6.62</w:t>
            </w:r>
          </w:p>
        </w:tc>
        <w:tc>
          <w:tcPr>
            <w:tcW w:w="851"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5.35</w:t>
            </w:r>
          </w:p>
        </w:tc>
        <w:tc>
          <w:tcPr>
            <w:tcW w:w="850"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0.65</w:t>
            </w:r>
          </w:p>
        </w:tc>
        <w:tc>
          <w:tcPr>
            <w:tcW w:w="992"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w:t>
            </w:r>
          </w:p>
        </w:tc>
        <w:tc>
          <w:tcPr>
            <w:tcW w:w="993" w:type="dxa"/>
            <w:tcBorders>
              <w:bottom w:val="single" w:sz="4" w:space="0" w:color="000000"/>
            </w:tcBorders>
          </w:tcPr>
          <w:p w:rsidR="00C46F07" w:rsidRPr="00337C97" w:rsidRDefault="009A7BB8"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115</w:t>
            </w:r>
          </w:p>
          <w:p w:rsidR="009A7BB8" w:rsidRPr="00337C97" w:rsidRDefault="009A7BB8"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308</w:t>
            </w:r>
          </w:p>
        </w:tc>
        <w:tc>
          <w:tcPr>
            <w:tcW w:w="567" w:type="dxa"/>
            <w:tcBorders>
              <w:bottom w:val="single" w:sz="4" w:space="0" w:color="000000"/>
            </w:tcBorders>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p>
        </w:tc>
      </w:tr>
      <w:tr w:rsidR="00C46F07" w:rsidRPr="00337C97" w:rsidTr="00A31B2B">
        <w:tc>
          <w:tcPr>
            <w:tcW w:w="9606" w:type="dxa"/>
            <w:gridSpan w:val="10"/>
          </w:tcPr>
          <w:p w:rsidR="00C46F07" w:rsidRPr="00337C97" w:rsidRDefault="00C46F07" w:rsidP="00A31B2B">
            <w:pPr>
              <w:autoSpaceDE w:val="0"/>
              <w:autoSpaceDN w:val="0"/>
              <w:adjustRightInd w:val="0"/>
              <w:rPr>
                <w:rFonts w:asciiTheme="minorHAnsi" w:hAnsiTheme="minorHAnsi" w:cs="Times New Roman"/>
                <w:i/>
                <w:sz w:val="22"/>
                <w:szCs w:val="18"/>
                <w:lang w:val="en-US" w:eastAsia="nl-NL" w:bidi="ar-SA"/>
              </w:rPr>
            </w:pPr>
          </w:p>
          <w:p w:rsidR="00C46F07" w:rsidRPr="00337C97" w:rsidRDefault="00C46F07" w:rsidP="00A31B2B">
            <w:pPr>
              <w:autoSpaceDE w:val="0"/>
              <w:autoSpaceDN w:val="0"/>
              <w:adjustRightInd w:val="0"/>
              <w:rPr>
                <w:rFonts w:asciiTheme="minorHAnsi" w:hAnsiTheme="minorHAnsi" w:cs="Times New Roman"/>
                <w:i/>
                <w:sz w:val="22"/>
                <w:szCs w:val="18"/>
                <w:lang w:val="en-US" w:eastAsia="nl-NL" w:bidi="ar-SA"/>
              </w:rPr>
            </w:pPr>
            <w:r w:rsidRPr="00337C97">
              <w:rPr>
                <w:rFonts w:asciiTheme="minorHAnsi" w:hAnsiTheme="minorHAnsi" w:cs="Times New Roman"/>
                <w:i/>
                <w:sz w:val="22"/>
                <w:szCs w:val="18"/>
                <w:lang w:val="en-US" w:eastAsia="nl-NL" w:bidi="ar-SA"/>
              </w:rPr>
              <w:t xml:space="preserve">Panel A: </w:t>
            </w:r>
            <w:r w:rsidR="009A1231" w:rsidRPr="00337C97">
              <w:rPr>
                <w:rFonts w:asciiTheme="minorHAnsi" w:hAnsiTheme="minorHAnsi" w:cs="Times New Roman"/>
                <w:i/>
                <w:sz w:val="22"/>
                <w:szCs w:val="18"/>
                <w:lang w:val="en-US" w:eastAsia="nl-NL" w:bidi="ar-SA"/>
              </w:rPr>
              <w:t>Independent c</w:t>
            </w:r>
            <w:r w:rsidRPr="00337C97">
              <w:rPr>
                <w:rFonts w:asciiTheme="minorHAnsi" w:hAnsiTheme="minorHAnsi" w:cs="Times New Roman"/>
                <w:i/>
                <w:sz w:val="22"/>
                <w:szCs w:val="18"/>
                <w:lang w:val="en-US" w:eastAsia="nl-NL" w:bidi="ar-SA"/>
              </w:rPr>
              <w:t>ontinuous variables</w:t>
            </w:r>
          </w:p>
        </w:tc>
      </w:tr>
      <w:tr w:rsidR="000177F7" w:rsidRPr="00337C97" w:rsidTr="00A31B2B">
        <w:tc>
          <w:tcPr>
            <w:tcW w:w="1526"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Size</w:t>
            </w:r>
            <w:r w:rsidR="009A7BB8" w:rsidRPr="00337C97">
              <w:rPr>
                <w:rFonts w:asciiTheme="minorHAnsi" w:hAnsiTheme="minorHAnsi" w:cs="Times New Roman"/>
                <w:sz w:val="18"/>
                <w:szCs w:val="18"/>
                <w:lang w:val="en-US" w:eastAsia="nl-NL" w:bidi="ar-SA"/>
              </w:rPr>
              <w:t xml:space="preserve"> (SIZE)</w:t>
            </w:r>
          </w:p>
        </w:tc>
        <w:tc>
          <w:tcPr>
            <w:tcW w:w="170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Total assets US$ (in millions)</w:t>
            </w:r>
          </w:p>
        </w:tc>
        <w:tc>
          <w:tcPr>
            <w:tcW w:w="425"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571</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w:t>
            </w:r>
            <w:r w:rsidR="009A7BB8"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833</w:t>
            </w:r>
            <w:r w:rsidR="009A7BB8"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804</w:t>
            </w:r>
          </w:p>
        </w:tc>
        <w:tc>
          <w:tcPr>
            <w:tcW w:w="85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470</w:t>
            </w:r>
            <w:r w:rsidR="009A7BB8"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906</w:t>
            </w:r>
          </w:p>
        </w:tc>
        <w:tc>
          <w:tcPr>
            <w:tcW w:w="850"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863</w:t>
            </w:r>
            <w:r w:rsidR="009A7BB8"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257</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Yes</w:t>
            </w:r>
          </w:p>
        </w:tc>
        <w:tc>
          <w:tcPr>
            <w:tcW w:w="993"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770</w:t>
            </w:r>
          </w:p>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609</w:t>
            </w:r>
          </w:p>
        </w:tc>
        <w:tc>
          <w:tcPr>
            <w:tcW w:w="567"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8</w:t>
            </w:r>
          </w:p>
        </w:tc>
      </w:tr>
      <w:tr w:rsidR="000177F7" w:rsidRPr="00337C97" w:rsidTr="00A31B2B">
        <w:tc>
          <w:tcPr>
            <w:tcW w:w="1526"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Size</w:t>
            </w:r>
            <w:r w:rsidR="009A7BB8" w:rsidRPr="00337C97">
              <w:rPr>
                <w:rFonts w:asciiTheme="minorHAnsi" w:hAnsiTheme="minorHAnsi" w:cs="Times New Roman"/>
                <w:sz w:val="18"/>
                <w:szCs w:val="18"/>
                <w:lang w:val="en-US" w:eastAsia="nl-NL" w:bidi="ar-SA"/>
              </w:rPr>
              <w:t xml:space="preserve"> (LNSIZE</w:t>
            </w:r>
            <w:r w:rsidRPr="00337C97">
              <w:rPr>
                <w:rFonts w:asciiTheme="minorHAnsi" w:hAnsiTheme="minorHAnsi" w:cs="Times New Roman"/>
                <w:sz w:val="18"/>
                <w:szCs w:val="18"/>
                <w:lang w:val="en-US" w:eastAsia="nl-NL" w:bidi="ar-SA"/>
              </w:rPr>
              <w:t>)</w:t>
            </w:r>
          </w:p>
        </w:tc>
        <w:tc>
          <w:tcPr>
            <w:tcW w:w="170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Log of total assets US$ (in millions)</w:t>
            </w:r>
          </w:p>
        </w:tc>
        <w:tc>
          <w:tcPr>
            <w:tcW w:w="425"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6.35</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14.86</w:t>
            </w:r>
          </w:p>
        </w:tc>
        <w:tc>
          <w:tcPr>
            <w:tcW w:w="851"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10.66</w:t>
            </w:r>
          </w:p>
        </w:tc>
        <w:tc>
          <w:tcPr>
            <w:tcW w:w="850"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2.51</w:t>
            </w:r>
          </w:p>
        </w:tc>
        <w:tc>
          <w:tcPr>
            <w:tcW w:w="992"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w:t>
            </w:r>
          </w:p>
        </w:tc>
        <w:tc>
          <w:tcPr>
            <w:tcW w:w="993" w:type="dxa"/>
          </w:tcPr>
          <w:p w:rsidR="00C46F07" w:rsidRPr="00337C97" w:rsidRDefault="009A7BB8"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334</w:t>
            </w:r>
          </w:p>
          <w:p w:rsidR="009A7BB8" w:rsidRPr="00337C97" w:rsidRDefault="009A7BB8"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010</w:t>
            </w:r>
          </w:p>
        </w:tc>
        <w:tc>
          <w:tcPr>
            <w:tcW w:w="567" w:type="dxa"/>
          </w:tcPr>
          <w:p w:rsidR="00C46F07" w:rsidRPr="00337C97" w:rsidRDefault="00C46F07"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r>
      <w:tr w:rsidR="000177F7" w:rsidRPr="00337C97" w:rsidTr="00A31B2B">
        <w:tc>
          <w:tcPr>
            <w:tcW w:w="1526"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Profitability (PROF)</w:t>
            </w:r>
          </w:p>
        </w:tc>
        <w:tc>
          <w:tcPr>
            <w:tcW w:w="1701"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Return on average assets (ROAA)</w:t>
            </w:r>
          </w:p>
        </w:tc>
        <w:tc>
          <w:tcPr>
            <w:tcW w:w="425"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-1.07</w:t>
            </w:r>
          </w:p>
        </w:tc>
        <w:tc>
          <w:tcPr>
            <w:tcW w:w="992"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5,07</w:t>
            </w:r>
          </w:p>
        </w:tc>
        <w:tc>
          <w:tcPr>
            <w:tcW w:w="851"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1.14</w:t>
            </w:r>
          </w:p>
        </w:tc>
        <w:tc>
          <w:tcPr>
            <w:tcW w:w="850"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0.94</w:t>
            </w:r>
          </w:p>
        </w:tc>
        <w:tc>
          <w:tcPr>
            <w:tcW w:w="992"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Yes</w:t>
            </w:r>
          </w:p>
        </w:tc>
        <w:tc>
          <w:tcPr>
            <w:tcW w:w="993"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841</w:t>
            </w:r>
          </w:p>
          <w:p w:rsidR="0046056E"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7</w:t>
            </w:r>
            <w:r w:rsidR="002611BB" w:rsidRPr="00337C97">
              <w:rPr>
                <w:rFonts w:asciiTheme="minorHAnsi" w:hAnsiTheme="minorHAnsi" w:cs="Times New Roman"/>
                <w:sz w:val="18"/>
                <w:szCs w:val="18"/>
                <w:lang w:val="en-US" w:eastAsia="nl-NL" w:bidi="ar-SA"/>
              </w:rPr>
              <w:t>.</w:t>
            </w:r>
            <w:r w:rsidRPr="00337C97">
              <w:rPr>
                <w:rFonts w:asciiTheme="minorHAnsi" w:hAnsiTheme="minorHAnsi" w:cs="Times New Roman"/>
                <w:sz w:val="18"/>
                <w:szCs w:val="18"/>
                <w:lang w:val="en-US" w:eastAsia="nl-NL" w:bidi="ar-SA"/>
              </w:rPr>
              <w:t>740</w:t>
            </w:r>
          </w:p>
        </w:tc>
        <w:tc>
          <w:tcPr>
            <w:tcW w:w="567"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3</w:t>
            </w:r>
          </w:p>
        </w:tc>
      </w:tr>
      <w:tr w:rsidR="000177F7" w:rsidRPr="00337C97" w:rsidTr="00A31B2B">
        <w:tc>
          <w:tcPr>
            <w:tcW w:w="1526" w:type="dxa"/>
          </w:tcPr>
          <w:p w:rsidR="00C46F07" w:rsidRPr="00337C97" w:rsidRDefault="0046056E"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Profitability (</w:t>
            </w:r>
            <w:r w:rsidR="002611BB" w:rsidRPr="00337C97">
              <w:rPr>
                <w:rFonts w:asciiTheme="minorHAnsi" w:hAnsiTheme="minorHAnsi" w:cs="Times New Roman"/>
                <w:sz w:val="18"/>
                <w:szCs w:val="18"/>
                <w:lang w:val="en-US" w:eastAsia="nl-NL" w:bidi="ar-SA"/>
              </w:rPr>
              <w:t>LNPROF)</w:t>
            </w:r>
          </w:p>
        </w:tc>
        <w:tc>
          <w:tcPr>
            <w:tcW w:w="1701"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Log of return on average assets</w:t>
            </w:r>
          </w:p>
        </w:tc>
        <w:tc>
          <w:tcPr>
            <w:tcW w:w="425"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-1.83</w:t>
            </w:r>
          </w:p>
        </w:tc>
        <w:tc>
          <w:tcPr>
            <w:tcW w:w="992"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1.62</w:t>
            </w:r>
          </w:p>
        </w:tc>
        <w:tc>
          <w:tcPr>
            <w:tcW w:w="851"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-0.038</w:t>
            </w:r>
          </w:p>
        </w:tc>
        <w:tc>
          <w:tcPr>
            <w:tcW w:w="850"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0.66</w:t>
            </w:r>
          </w:p>
        </w:tc>
        <w:tc>
          <w:tcPr>
            <w:tcW w:w="992"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w:t>
            </w:r>
          </w:p>
        </w:tc>
        <w:tc>
          <w:tcPr>
            <w:tcW w:w="993" w:type="dxa"/>
          </w:tcPr>
          <w:p w:rsidR="00C46F07"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-0.242</w:t>
            </w:r>
          </w:p>
          <w:p w:rsidR="002611BB" w:rsidRPr="00337C97" w:rsidRDefault="002611BB"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0.781</w:t>
            </w:r>
          </w:p>
        </w:tc>
        <w:tc>
          <w:tcPr>
            <w:tcW w:w="567" w:type="dxa"/>
          </w:tcPr>
          <w:p w:rsidR="00C46F07" w:rsidRPr="00337C97" w:rsidRDefault="00721125"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w:t>
            </w:r>
          </w:p>
        </w:tc>
      </w:tr>
      <w:tr w:rsidR="000177F7" w:rsidRPr="00337C97" w:rsidTr="00A31B2B">
        <w:tc>
          <w:tcPr>
            <w:tcW w:w="1526" w:type="dxa"/>
          </w:tcPr>
          <w:p w:rsidR="00C46F07" w:rsidRPr="00337C97" w:rsidRDefault="000C731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Leverage (LEV)</w:t>
            </w:r>
          </w:p>
        </w:tc>
        <w:tc>
          <w:tcPr>
            <w:tcW w:w="1701" w:type="dxa"/>
          </w:tcPr>
          <w:p w:rsidR="0091537A"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Total e</w:t>
            </w:r>
            <w:r w:rsidR="000C731A" w:rsidRPr="00337C97">
              <w:rPr>
                <w:rFonts w:asciiTheme="minorHAnsi" w:hAnsiTheme="minorHAnsi" w:cs="Times New Roman"/>
                <w:sz w:val="18"/>
                <w:szCs w:val="18"/>
                <w:lang w:val="en-US" w:eastAsia="nl-NL" w:bidi="ar-SA"/>
              </w:rPr>
              <w:t xml:space="preserve">quity / </w:t>
            </w:r>
          </w:p>
          <w:p w:rsidR="00C46F07" w:rsidRPr="00337C97" w:rsidRDefault="000C731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 xml:space="preserve">total </w:t>
            </w:r>
            <w:r w:rsidR="00E41599" w:rsidRPr="00337C97">
              <w:rPr>
                <w:rFonts w:asciiTheme="minorHAnsi" w:hAnsiTheme="minorHAnsi" w:cs="Times New Roman"/>
                <w:sz w:val="18"/>
                <w:szCs w:val="18"/>
                <w:lang w:val="en-US" w:eastAsia="nl-NL" w:bidi="ar-SA"/>
              </w:rPr>
              <w:t>assets</w:t>
            </w:r>
          </w:p>
        </w:tc>
        <w:tc>
          <w:tcPr>
            <w:tcW w:w="425" w:type="dxa"/>
          </w:tcPr>
          <w:p w:rsidR="00C46F07" w:rsidRPr="00337C97" w:rsidRDefault="000C731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0.02</w:t>
            </w:r>
          </w:p>
        </w:tc>
        <w:tc>
          <w:tcPr>
            <w:tcW w:w="992"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0.33</w:t>
            </w:r>
          </w:p>
        </w:tc>
        <w:tc>
          <w:tcPr>
            <w:tcW w:w="851"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0.08</w:t>
            </w:r>
          </w:p>
        </w:tc>
        <w:tc>
          <w:tcPr>
            <w:tcW w:w="850"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0.06</w:t>
            </w:r>
          </w:p>
        </w:tc>
        <w:tc>
          <w:tcPr>
            <w:tcW w:w="992"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Yes</w:t>
            </w:r>
          </w:p>
        </w:tc>
        <w:tc>
          <w:tcPr>
            <w:tcW w:w="993"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2.551</w:t>
            </w:r>
          </w:p>
          <w:p w:rsidR="0091537A"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9.254</w:t>
            </w:r>
          </w:p>
        </w:tc>
        <w:tc>
          <w:tcPr>
            <w:tcW w:w="567"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3</w:t>
            </w:r>
          </w:p>
        </w:tc>
      </w:tr>
      <w:tr w:rsidR="000177F7" w:rsidRPr="00337C97" w:rsidTr="00A31B2B">
        <w:tc>
          <w:tcPr>
            <w:tcW w:w="1526"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Leverage (LNLEV)</w:t>
            </w:r>
          </w:p>
        </w:tc>
        <w:tc>
          <w:tcPr>
            <w:tcW w:w="1701"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Log of total equity / total assets</w:t>
            </w:r>
          </w:p>
        </w:tc>
        <w:tc>
          <w:tcPr>
            <w:tcW w:w="425"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-3.87</w:t>
            </w:r>
          </w:p>
        </w:tc>
        <w:tc>
          <w:tcPr>
            <w:tcW w:w="992"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-1.12</w:t>
            </w:r>
          </w:p>
        </w:tc>
        <w:tc>
          <w:tcPr>
            <w:tcW w:w="851"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-2.69</w:t>
            </w:r>
          </w:p>
        </w:tc>
        <w:tc>
          <w:tcPr>
            <w:tcW w:w="850"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0.60</w:t>
            </w:r>
          </w:p>
        </w:tc>
        <w:tc>
          <w:tcPr>
            <w:tcW w:w="992"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w:t>
            </w:r>
          </w:p>
        </w:tc>
        <w:tc>
          <w:tcPr>
            <w:tcW w:w="993"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0.041</w:t>
            </w:r>
          </w:p>
          <w:p w:rsidR="0091537A"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0.361</w:t>
            </w:r>
          </w:p>
        </w:tc>
        <w:tc>
          <w:tcPr>
            <w:tcW w:w="567" w:type="dxa"/>
          </w:tcPr>
          <w:p w:rsidR="00C46F07" w:rsidRPr="00337C97" w:rsidRDefault="0091537A"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p>
        </w:tc>
      </w:tr>
      <w:tr w:rsidR="000177F7" w:rsidRPr="00337C97" w:rsidTr="00A31B2B">
        <w:tc>
          <w:tcPr>
            <w:tcW w:w="1526"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Board composition (NONEXEC)</w:t>
            </w:r>
          </w:p>
        </w:tc>
        <w:tc>
          <w:tcPr>
            <w:tcW w:w="1701"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Non-exec. directors / total directors</w:t>
            </w:r>
          </w:p>
        </w:tc>
        <w:tc>
          <w:tcPr>
            <w:tcW w:w="425"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26</w:t>
            </w:r>
          </w:p>
        </w:tc>
        <w:tc>
          <w:tcPr>
            <w:tcW w:w="709"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0.45</w:t>
            </w:r>
          </w:p>
        </w:tc>
        <w:tc>
          <w:tcPr>
            <w:tcW w:w="992"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0.88</w:t>
            </w:r>
          </w:p>
        </w:tc>
        <w:tc>
          <w:tcPr>
            <w:tcW w:w="851"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0.70</w:t>
            </w:r>
          </w:p>
        </w:tc>
        <w:tc>
          <w:tcPr>
            <w:tcW w:w="850"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0.12</w:t>
            </w:r>
          </w:p>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p>
        </w:tc>
        <w:tc>
          <w:tcPr>
            <w:tcW w:w="992"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No</w:t>
            </w:r>
          </w:p>
        </w:tc>
        <w:tc>
          <w:tcPr>
            <w:tcW w:w="993"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-0.552</w:t>
            </w:r>
          </w:p>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-0.453</w:t>
            </w:r>
          </w:p>
        </w:tc>
        <w:tc>
          <w:tcPr>
            <w:tcW w:w="567" w:type="dxa"/>
          </w:tcPr>
          <w:p w:rsidR="00183643" w:rsidRPr="00337C97" w:rsidRDefault="00183643" w:rsidP="00A31B2B">
            <w:pPr>
              <w:autoSpaceDE w:val="0"/>
              <w:autoSpaceDN w:val="0"/>
              <w:adjustRightInd w:val="0"/>
              <w:rPr>
                <w:rFonts w:asciiTheme="minorHAnsi" w:hAnsiTheme="minorHAnsi" w:cs="Times New Roman"/>
                <w:sz w:val="18"/>
                <w:szCs w:val="18"/>
                <w:lang w:val="nl-NL" w:eastAsia="nl-NL" w:bidi="ar-SA"/>
              </w:rPr>
            </w:pPr>
            <w:r w:rsidRPr="00337C97">
              <w:rPr>
                <w:rFonts w:asciiTheme="minorHAnsi" w:hAnsiTheme="minorHAnsi" w:cs="Times New Roman"/>
                <w:sz w:val="18"/>
                <w:szCs w:val="18"/>
                <w:lang w:val="en-US" w:eastAsia="nl-NL" w:bidi="ar-SA"/>
              </w:rPr>
              <w:t>0</w:t>
            </w:r>
          </w:p>
        </w:tc>
      </w:tr>
      <w:tr w:rsidR="00183643" w:rsidRPr="00337C97" w:rsidTr="00A31B2B">
        <w:trPr>
          <w:gridAfter w:val="3"/>
          <w:wAfter w:w="2552" w:type="dxa"/>
        </w:trPr>
        <w:tc>
          <w:tcPr>
            <w:tcW w:w="7054" w:type="dxa"/>
            <w:gridSpan w:val="7"/>
          </w:tcPr>
          <w:p w:rsidR="0054586E" w:rsidRPr="00337C97" w:rsidRDefault="0054586E" w:rsidP="00A31B2B">
            <w:pPr>
              <w:autoSpaceDE w:val="0"/>
              <w:autoSpaceDN w:val="0"/>
              <w:adjustRightInd w:val="0"/>
              <w:rPr>
                <w:rFonts w:asciiTheme="minorHAnsi" w:hAnsiTheme="minorHAnsi" w:cs="Times New Roman"/>
                <w:i/>
                <w:sz w:val="22"/>
                <w:szCs w:val="22"/>
                <w:lang w:val="en-US" w:eastAsia="nl-NL" w:bidi="ar-SA"/>
              </w:rPr>
            </w:pPr>
            <w:r w:rsidRPr="00337C97">
              <w:rPr>
                <w:rFonts w:asciiTheme="minorHAnsi" w:hAnsiTheme="minorHAnsi" w:cs="Times New Roman"/>
                <w:i/>
                <w:sz w:val="18"/>
                <w:szCs w:val="22"/>
                <w:vertAlign w:val="superscript"/>
                <w:lang w:val="en-US" w:eastAsia="nl-NL" w:bidi="ar-SA"/>
              </w:rPr>
              <w:t>1</w:t>
            </w:r>
            <w:r w:rsidRPr="00337C97">
              <w:rPr>
                <w:rFonts w:asciiTheme="minorHAnsi" w:hAnsiTheme="minorHAnsi" w:cs="Times New Roman"/>
                <w:i/>
                <w:sz w:val="18"/>
                <w:szCs w:val="22"/>
                <w:lang w:val="en-US" w:eastAsia="nl-NL" w:bidi="ar-SA"/>
              </w:rPr>
              <w:t xml:space="preserve"> using the Kolmogorov-Smirnov test (using p. &lt; 0.05)</w:t>
            </w:r>
            <w:r w:rsidRPr="00337C97">
              <w:rPr>
                <w:rFonts w:asciiTheme="minorHAnsi" w:hAnsiTheme="minorHAnsi" w:cs="Times New Roman"/>
                <w:i/>
                <w:sz w:val="22"/>
                <w:szCs w:val="22"/>
                <w:lang w:val="en-US" w:eastAsia="nl-NL" w:bidi="ar-SA"/>
              </w:rPr>
              <w:t xml:space="preserve">  </w:t>
            </w:r>
          </w:p>
          <w:p w:rsidR="00183643" w:rsidRPr="00337C97" w:rsidRDefault="00183643" w:rsidP="00A31B2B">
            <w:pPr>
              <w:autoSpaceDE w:val="0"/>
              <w:autoSpaceDN w:val="0"/>
              <w:adjustRightInd w:val="0"/>
              <w:rPr>
                <w:rFonts w:asciiTheme="minorHAnsi" w:hAnsiTheme="minorHAnsi" w:cs="Times New Roman"/>
                <w:i/>
                <w:sz w:val="22"/>
                <w:szCs w:val="22"/>
                <w:lang w:val="en-US" w:eastAsia="nl-NL" w:bidi="ar-SA"/>
              </w:rPr>
            </w:pPr>
          </w:p>
          <w:p w:rsidR="00183643" w:rsidRPr="00337C97" w:rsidRDefault="00183643" w:rsidP="00A31B2B">
            <w:pPr>
              <w:autoSpaceDE w:val="0"/>
              <w:autoSpaceDN w:val="0"/>
              <w:adjustRightInd w:val="0"/>
              <w:rPr>
                <w:rFonts w:asciiTheme="minorHAnsi" w:hAnsiTheme="minorHAnsi" w:cs="Times New Roman"/>
                <w:i/>
                <w:sz w:val="22"/>
                <w:szCs w:val="22"/>
                <w:lang w:val="en-US" w:eastAsia="nl-NL" w:bidi="ar-SA"/>
              </w:rPr>
            </w:pPr>
            <w:r w:rsidRPr="00337C97">
              <w:rPr>
                <w:rFonts w:asciiTheme="minorHAnsi" w:hAnsiTheme="minorHAnsi" w:cs="Times New Roman"/>
                <w:i/>
                <w:sz w:val="22"/>
                <w:szCs w:val="22"/>
                <w:lang w:val="en-US" w:eastAsia="nl-NL" w:bidi="ar-SA"/>
              </w:rPr>
              <w:t xml:space="preserve">Panel B: </w:t>
            </w:r>
            <w:r w:rsidR="009A1231" w:rsidRPr="00337C97">
              <w:rPr>
                <w:rFonts w:asciiTheme="minorHAnsi" w:hAnsiTheme="minorHAnsi" w:cs="Times New Roman"/>
                <w:i/>
                <w:sz w:val="22"/>
                <w:szCs w:val="22"/>
                <w:lang w:val="en-US" w:eastAsia="nl-NL" w:bidi="ar-SA"/>
              </w:rPr>
              <w:t>Independent c</w:t>
            </w:r>
            <w:r w:rsidRPr="00337C97">
              <w:rPr>
                <w:rFonts w:asciiTheme="minorHAnsi" w:hAnsiTheme="minorHAnsi" w:cs="Times New Roman"/>
                <w:i/>
                <w:sz w:val="22"/>
                <w:szCs w:val="22"/>
                <w:lang w:val="en-US" w:eastAsia="nl-NL" w:bidi="ar-SA"/>
              </w:rPr>
              <w:t>ategorical variables</w:t>
            </w:r>
          </w:p>
        </w:tc>
      </w:tr>
      <w:tr w:rsidR="000177F7" w:rsidRPr="00337C97" w:rsidTr="00A31B2B">
        <w:tc>
          <w:tcPr>
            <w:tcW w:w="1526"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Multiple listing (ML)</w:t>
            </w:r>
          </w:p>
        </w:tc>
        <w:tc>
          <w:tcPr>
            <w:tcW w:w="1701"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Dummy (1</w:t>
            </w:r>
            <w:r w:rsidR="008527B0" w:rsidRPr="00337C97">
              <w:rPr>
                <w:rFonts w:asciiTheme="minorHAnsi" w:hAnsiTheme="minorHAnsi" w:cs="Times New Roman"/>
                <w:sz w:val="18"/>
                <w:szCs w:val="18"/>
                <w:lang w:val="en-US" w:eastAsia="nl-NL" w:bidi="ar-SA"/>
              </w:rPr>
              <w:t>=yes</w:t>
            </w:r>
            <w:r w:rsidRPr="00337C97">
              <w:rPr>
                <w:rFonts w:asciiTheme="minorHAnsi" w:hAnsiTheme="minorHAnsi" w:cs="Times New Roman"/>
                <w:sz w:val="18"/>
                <w:szCs w:val="18"/>
                <w:lang w:val="en-US" w:eastAsia="nl-NL" w:bidi="ar-SA"/>
              </w:rPr>
              <w:t>,</w:t>
            </w:r>
            <w:r w:rsidR="008527B0" w:rsidRPr="00337C97">
              <w:rPr>
                <w:rFonts w:asciiTheme="minorHAnsi" w:hAnsiTheme="minorHAnsi" w:cs="Times New Roman"/>
                <w:sz w:val="18"/>
                <w:szCs w:val="18"/>
                <w:lang w:val="en-US" w:eastAsia="nl-NL" w:bidi="ar-SA"/>
              </w:rPr>
              <w:t xml:space="preserve"> </w:t>
            </w:r>
            <w:r w:rsidRPr="00337C97">
              <w:rPr>
                <w:rFonts w:asciiTheme="minorHAnsi" w:hAnsiTheme="minorHAnsi" w:cs="Times New Roman"/>
                <w:sz w:val="18"/>
                <w:szCs w:val="18"/>
                <w:lang w:val="en-US" w:eastAsia="nl-NL" w:bidi="ar-SA"/>
              </w:rPr>
              <w:t>0</w:t>
            </w:r>
            <w:r w:rsidR="008527B0" w:rsidRPr="00337C97">
              <w:rPr>
                <w:rFonts w:asciiTheme="minorHAnsi" w:hAnsiTheme="minorHAnsi" w:cs="Times New Roman"/>
                <w:sz w:val="18"/>
                <w:szCs w:val="18"/>
                <w:lang w:val="en-US" w:eastAsia="nl-NL" w:bidi="ar-SA"/>
              </w:rPr>
              <w:t>=no</w:t>
            </w:r>
            <w:r w:rsidRPr="00337C97">
              <w:rPr>
                <w:rFonts w:asciiTheme="minorHAnsi" w:hAnsiTheme="minorHAnsi" w:cs="Times New Roman"/>
                <w:sz w:val="18"/>
                <w:szCs w:val="18"/>
                <w:lang w:val="en-US" w:eastAsia="nl-NL" w:bidi="ar-SA"/>
              </w:rPr>
              <w:t>)</w:t>
            </w:r>
          </w:p>
        </w:tc>
        <w:tc>
          <w:tcPr>
            <w:tcW w:w="425"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tc>
        <w:tc>
          <w:tcPr>
            <w:tcW w:w="709"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992" w:type="dxa"/>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p>
        </w:tc>
        <w:tc>
          <w:tcPr>
            <w:tcW w:w="851" w:type="dxa"/>
            <w:tcBorders>
              <w:top w:val="single" w:sz="4" w:space="0" w:color="000000"/>
              <w:bottom w:val="single" w:sz="4" w:space="0" w:color="000000"/>
              <w:right w:val="single" w:sz="4" w:space="0" w:color="000000"/>
            </w:tcBorders>
          </w:tcPr>
          <w:p w:rsidR="00183643" w:rsidRPr="00337C97" w:rsidRDefault="00522BF2"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0.25</w:t>
            </w:r>
          </w:p>
        </w:tc>
        <w:tc>
          <w:tcPr>
            <w:tcW w:w="850" w:type="dxa"/>
            <w:tcBorders>
              <w:top w:val="single" w:sz="4" w:space="0" w:color="000000"/>
              <w:left w:val="single" w:sz="4" w:space="0" w:color="000000"/>
              <w:bottom w:val="single" w:sz="4" w:space="0" w:color="000000"/>
              <w:right w:val="single" w:sz="4" w:space="0" w:color="000000"/>
            </w:tcBorders>
          </w:tcPr>
          <w:p w:rsidR="00183643" w:rsidRPr="00337C97" w:rsidRDefault="00522BF2"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0.44</w:t>
            </w:r>
          </w:p>
        </w:tc>
        <w:tc>
          <w:tcPr>
            <w:tcW w:w="992" w:type="dxa"/>
            <w:tcBorders>
              <w:top w:val="nil"/>
              <w:left w:val="single" w:sz="4" w:space="0" w:color="000000"/>
              <w:bottom w:val="nil"/>
              <w:right w:val="nil"/>
            </w:tcBorders>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p>
        </w:tc>
        <w:tc>
          <w:tcPr>
            <w:tcW w:w="993" w:type="dxa"/>
            <w:tcBorders>
              <w:top w:val="nil"/>
              <w:left w:val="nil"/>
              <w:bottom w:val="nil"/>
              <w:right w:val="nil"/>
            </w:tcBorders>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p>
        </w:tc>
        <w:tc>
          <w:tcPr>
            <w:tcW w:w="567" w:type="dxa"/>
            <w:tcBorders>
              <w:top w:val="nil"/>
              <w:left w:val="nil"/>
              <w:bottom w:val="nil"/>
              <w:right w:val="nil"/>
            </w:tcBorders>
          </w:tcPr>
          <w:p w:rsidR="00183643" w:rsidRPr="00337C97" w:rsidRDefault="00183643" w:rsidP="00A31B2B">
            <w:pPr>
              <w:autoSpaceDE w:val="0"/>
              <w:autoSpaceDN w:val="0"/>
              <w:adjustRightInd w:val="0"/>
              <w:rPr>
                <w:rFonts w:asciiTheme="minorHAnsi" w:hAnsiTheme="minorHAnsi" w:cs="Times New Roman"/>
                <w:sz w:val="18"/>
                <w:szCs w:val="18"/>
                <w:lang w:val="en-US" w:eastAsia="nl-NL" w:bidi="ar-SA"/>
              </w:rPr>
            </w:pPr>
          </w:p>
        </w:tc>
      </w:tr>
      <w:tr w:rsidR="00FD3FF6" w:rsidRPr="00337C97" w:rsidTr="00A31B2B">
        <w:tc>
          <w:tcPr>
            <w:tcW w:w="1526"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Credit Rating (CR</w:t>
            </w:r>
            <w:r w:rsidR="00FC7EBE" w:rsidRPr="00337C97">
              <w:rPr>
                <w:rFonts w:asciiTheme="minorHAnsi" w:hAnsiTheme="minorHAnsi" w:cs="Times New Roman"/>
                <w:sz w:val="18"/>
                <w:szCs w:val="18"/>
                <w:lang w:val="en-US" w:eastAsia="nl-NL" w:bidi="ar-SA"/>
              </w:rPr>
              <w:t>_TF</w:t>
            </w:r>
            <w:r w:rsidRPr="00337C97">
              <w:rPr>
                <w:rFonts w:asciiTheme="minorHAnsi" w:hAnsiTheme="minorHAnsi" w:cs="Times New Roman"/>
                <w:sz w:val="18"/>
                <w:szCs w:val="18"/>
                <w:lang w:val="en-US" w:eastAsia="nl-NL" w:bidi="ar-SA"/>
              </w:rPr>
              <w:t>)</w:t>
            </w:r>
          </w:p>
        </w:tc>
        <w:tc>
          <w:tcPr>
            <w:tcW w:w="1701"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Scale 1-6 standing for AAA to B</w:t>
            </w:r>
          </w:p>
        </w:tc>
        <w:tc>
          <w:tcPr>
            <w:tcW w:w="425"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c>
          <w:tcPr>
            <w:tcW w:w="709"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2</w:t>
            </w:r>
          </w:p>
        </w:tc>
        <w:tc>
          <w:tcPr>
            <w:tcW w:w="992"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5</w:t>
            </w:r>
          </w:p>
        </w:tc>
        <w:tc>
          <w:tcPr>
            <w:tcW w:w="851" w:type="dxa"/>
            <w:tcBorders>
              <w:top w:val="single" w:sz="4" w:space="0" w:color="000000"/>
              <w:bottom w:val="single" w:sz="4" w:space="0" w:color="000000"/>
              <w:right w:val="single" w:sz="4" w:space="0" w:color="000000"/>
            </w:tcBorders>
          </w:tcPr>
          <w:p w:rsidR="00FD3FF6" w:rsidRPr="00337C97" w:rsidRDefault="00522BF2"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3.05</w:t>
            </w:r>
          </w:p>
        </w:tc>
        <w:tc>
          <w:tcPr>
            <w:tcW w:w="850" w:type="dxa"/>
            <w:tcBorders>
              <w:top w:val="single" w:sz="4" w:space="0" w:color="000000"/>
              <w:left w:val="single" w:sz="4" w:space="0" w:color="000000"/>
              <w:bottom w:val="single" w:sz="4" w:space="0" w:color="000000"/>
              <w:right w:val="single" w:sz="4" w:space="0" w:color="000000"/>
            </w:tcBorders>
          </w:tcPr>
          <w:p w:rsidR="00FD3FF6" w:rsidRPr="00337C97" w:rsidRDefault="00522BF2"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0.9</w:t>
            </w:r>
            <w:r w:rsidR="00671EBE" w:rsidRPr="00337C97">
              <w:rPr>
                <w:rFonts w:asciiTheme="minorHAnsi" w:hAnsiTheme="minorHAnsi" w:cs="Times New Roman"/>
                <w:sz w:val="18"/>
                <w:szCs w:val="18"/>
                <w:lang w:val="en-US" w:eastAsia="nl-NL" w:bidi="ar-SA"/>
              </w:rPr>
              <w:t>6</w:t>
            </w:r>
          </w:p>
        </w:tc>
        <w:tc>
          <w:tcPr>
            <w:tcW w:w="992" w:type="dxa"/>
            <w:tcBorders>
              <w:top w:val="nil"/>
              <w:left w:val="single" w:sz="4" w:space="0" w:color="000000"/>
              <w:bottom w:val="nil"/>
              <w:right w:val="nil"/>
            </w:tcBorders>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c>
          <w:tcPr>
            <w:tcW w:w="993" w:type="dxa"/>
            <w:tcBorders>
              <w:top w:val="nil"/>
              <w:left w:val="nil"/>
              <w:bottom w:val="nil"/>
              <w:right w:val="nil"/>
            </w:tcBorders>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c>
          <w:tcPr>
            <w:tcW w:w="567" w:type="dxa"/>
            <w:tcBorders>
              <w:top w:val="nil"/>
              <w:left w:val="nil"/>
              <w:bottom w:val="nil"/>
              <w:right w:val="nil"/>
            </w:tcBorders>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r>
      <w:tr w:rsidR="00FD3FF6" w:rsidRPr="00337C97" w:rsidTr="00A31B2B">
        <w:tc>
          <w:tcPr>
            <w:tcW w:w="1526"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Organizational structure (TIER)</w:t>
            </w:r>
          </w:p>
        </w:tc>
        <w:tc>
          <w:tcPr>
            <w:tcW w:w="1701"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Dummy (0=one-tier, 1=two-tier)</w:t>
            </w:r>
          </w:p>
        </w:tc>
        <w:tc>
          <w:tcPr>
            <w:tcW w:w="425"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40</w:t>
            </w:r>
          </w:p>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c>
          <w:tcPr>
            <w:tcW w:w="709"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w:t>
            </w:r>
          </w:p>
        </w:tc>
        <w:tc>
          <w:tcPr>
            <w:tcW w:w="992" w:type="dxa"/>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1</w:t>
            </w:r>
          </w:p>
        </w:tc>
        <w:tc>
          <w:tcPr>
            <w:tcW w:w="851" w:type="dxa"/>
            <w:tcBorders>
              <w:top w:val="single" w:sz="4" w:space="0" w:color="000000"/>
              <w:bottom w:val="single" w:sz="4" w:space="0" w:color="000000"/>
              <w:right w:val="single" w:sz="4" w:space="0" w:color="000000"/>
            </w:tcBorders>
          </w:tcPr>
          <w:p w:rsidR="00FD3FF6" w:rsidRPr="00337C97" w:rsidRDefault="00522BF2"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0.35</w:t>
            </w:r>
          </w:p>
        </w:tc>
        <w:tc>
          <w:tcPr>
            <w:tcW w:w="850" w:type="dxa"/>
            <w:tcBorders>
              <w:top w:val="single" w:sz="4" w:space="0" w:color="000000"/>
              <w:left w:val="single" w:sz="4" w:space="0" w:color="000000"/>
              <w:bottom w:val="single" w:sz="4" w:space="0" w:color="000000"/>
              <w:right w:val="single" w:sz="4" w:space="0" w:color="000000"/>
            </w:tcBorders>
          </w:tcPr>
          <w:p w:rsidR="00FD3FF6" w:rsidRPr="00337C97" w:rsidRDefault="00522BF2" w:rsidP="00A31B2B">
            <w:pPr>
              <w:autoSpaceDE w:val="0"/>
              <w:autoSpaceDN w:val="0"/>
              <w:adjustRightInd w:val="0"/>
              <w:rPr>
                <w:rFonts w:asciiTheme="minorHAnsi" w:hAnsiTheme="minorHAnsi" w:cs="Times New Roman"/>
                <w:sz w:val="18"/>
                <w:szCs w:val="18"/>
                <w:lang w:val="en-US" w:eastAsia="nl-NL" w:bidi="ar-SA"/>
              </w:rPr>
            </w:pPr>
            <w:r w:rsidRPr="00337C97">
              <w:rPr>
                <w:rFonts w:asciiTheme="minorHAnsi" w:hAnsiTheme="minorHAnsi" w:cs="Times New Roman"/>
                <w:sz w:val="18"/>
                <w:szCs w:val="18"/>
                <w:lang w:val="en-US" w:eastAsia="nl-NL" w:bidi="ar-SA"/>
              </w:rPr>
              <w:t>0.4</w:t>
            </w:r>
            <w:r w:rsidR="00671EBE" w:rsidRPr="00337C97">
              <w:rPr>
                <w:rFonts w:asciiTheme="minorHAnsi" w:hAnsiTheme="minorHAnsi" w:cs="Times New Roman"/>
                <w:sz w:val="18"/>
                <w:szCs w:val="18"/>
                <w:lang w:val="en-US" w:eastAsia="nl-NL" w:bidi="ar-SA"/>
              </w:rPr>
              <w:t>8</w:t>
            </w:r>
          </w:p>
        </w:tc>
        <w:tc>
          <w:tcPr>
            <w:tcW w:w="992" w:type="dxa"/>
            <w:tcBorders>
              <w:top w:val="nil"/>
              <w:left w:val="single" w:sz="4" w:space="0" w:color="000000"/>
              <w:bottom w:val="nil"/>
              <w:right w:val="nil"/>
            </w:tcBorders>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c>
          <w:tcPr>
            <w:tcW w:w="993" w:type="dxa"/>
            <w:tcBorders>
              <w:top w:val="nil"/>
              <w:left w:val="nil"/>
              <w:bottom w:val="nil"/>
              <w:right w:val="nil"/>
            </w:tcBorders>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c>
          <w:tcPr>
            <w:tcW w:w="567" w:type="dxa"/>
            <w:tcBorders>
              <w:top w:val="nil"/>
              <w:left w:val="nil"/>
              <w:bottom w:val="nil"/>
              <w:right w:val="nil"/>
            </w:tcBorders>
          </w:tcPr>
          <w:p w:rsidR="00FD3FF6" w:rsidRPr="00337C97" w:rsidRDefault="00FD3FF6" w:rsidP="00A31B2B">
            <w:pPr>
              <w:autoSpaceDE w:val="0"/>
              <w:autoSpaceDN w:val="0"/>
              <w:adjustRightInd w:val="0"/>
              <w:rPr>
                <w:rFonts w:asciiTheme="minorHAnsi" w:hAnsiTheme="minorHAnsi" w:cs="Times New Roman"/>
                <w:sz w:val="18"/>
                <w:szCs w:val="18"/>
                <w:lang w:val="en-US" w:eastAsia="nl-NL" w:bidi="ar-SA"/>
              </w:rPr>
            </w:pPr>
          </w:p>
        </w:tc>
      </w:tr>
    </w:tbl>
    <w:p w:rsidR="00901E57" w:rsidRPr="00337C97" w:rsidRDefault="00901E57" w:rsidP="000202C5">
      <w:pPr>
        <w:spacing w:line="360" w:lineRule="auto"/>
        <w:jc w:val="both"/>
        <w:rPr>
          <w:rFonts w:asciiTheme="minorHAnsi" w:hAnsiTheme="minorHAnsi" w:cs="Times New Roman"/>
          <w:sz w:val="22"/>
          <w:szCs w:val="22"/>
          <w:lang w:val="en-US"/>
        </w:rPr>
      </w:pPr>
    </w:p>
    <w:p w:rsidR="002001BF" w:rsidRPr="00337C97" w:rsidRDefault="0037312D" w:rsidP="00490FA5">
      <w:pPr>
        <w:spacing w:line="360" w:lineRule="auto"/>
        <w:jc w:val="both"/>
        <w:outlineLvl w:val="2"/>
        <w:rPr>
          <w:rFonts w:asciiTheme="minorHAnsi" w:hAnsiTheme="minorHAnsi" w:cs="Times New Roman"/>
          <w:i/>
          <w:sz w:val="22"/>
          <w:szCs w:val="22"/>
          <w:lang w:val="en-US"/>
        </w:rPr>
      </w:pPr>
      <w:bookmarkStart w:id="298" w:name="_Toc269658975"/>
      <w:r w:rsidRPr="00337C97">
        <w:rPr>
          <w:rFonts w:asciiTheme="minorHAnsi" w:hAnsiTheme="minorHAnsi" w:cs="Times New Roman"/>
          <w:i/>
          <w:sz w:val="22"/>
          <w:szCs w:val="22"/>
          <w:lang w:val="en-US"/>
        </w:rPr>
        <w:t>6.</w:t>
      </w:r>
      <w:r w:rsidR="00EA10F1" w:rsidRPr="00337C97">
        <w:rPr>
          <w:rFonts w:asciiTheme="minorHAnsi" w:hAnsiTheme="minorHAnsi" w:cs="Times New Roman"/>
          <w:i/>
          <w:sz w:val="22"/>
          <w:szCs w:val="22"/>
          <w:lang w:val="en-US"/>
        </w:rPr>
        <w:t>4</w:t>
      </w:r>
      <w:r w:rsidRPr="00337C97">
        <w:rPr>
          <w:rFonts w:asciiTheme="minorHAnsi" w:hAnsiTheme="minorHAnsi" w:cs="Times New Roman"/>
          <w:i/>
          <w:sz w:val="22"/>
          <w:szCs w:val="22"/>
          <w:lang w:val="en-US"/>
        </w:rPr>
        <w:t>.2</w:t>
      </w:r>
      <w:r w:rsidRPr="00337C97">
        <w:rPr>
          <w:rFonts w:asciiTheme="minorHAnsi" w:hAnsiTheme="minorHAnsi" w:cs="Times New Roman"/>
          <w:i/>
          <w:sz w:val="22"/>
          <w:szCs w:val="22"/>
          <w:lang w:val="en-US"/>
        </w:rPr>
        <w:tab/>
      </w:r>
      <w:r w:rsidR="002001BF" w:rsidRPr="00337C97">
        <w:rPr>
          <w:rFonts w:asciiTheme="minorHAnsi" w:hAnsiTheme="minorHAnsi" w:cs="Times New Roman"/>
          <w:i/>
          <w:sz w:val="22"/>
          <w:szCs w:val="22"/>
          <w:lang w:val="en-US"/>
        </w:rPr>
        <w:t>Multiple regression</w:t>
      </w:r>
      <w:bookmarkEnd w:id="298"/>
    </w:p>
    <w:p w:rsidR="00A31B2B" w:rsidRPr="00337C97" w:rsidRDefault="009A1231" w:rsidP="001B5B11">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In SPSS a multiple linear regression was performed to identify (in</w:t>
      </w:r>
      <w:r w:rsidR="00B24B6F" w:rsidRPr="00337C97">
        <w:rPr>
          <w:rFonts w:asciiTheme="minorHAnsi" w:hAnsiTheme="minorHAnsi" w:cs="Times New Roman"/>
          <w:sz w:val="22"/>
          <w:szCs w:val="22"/>
          <w:lang w:val="en-US"/>
        </w:rPr>
        <w:t>)significant</w:t>
      </w:r>
      <w:r w:rsidRPr="00337C97">
        <w:rPr>
          <w:rFonts w:asciiTheme="minorHAnsi" w:hAnsiTheme="minorHAnsi" w:cs="Times New Roman"/>
          <w:sz w:val="22"/>
          <w:szCs w:val="22"/>
          <w:lang w:val="en-US"/>
        </w:rPr>
        <w:t xml:space="preserve"> relationships between the dependent</w:t>
      </w:r>
      <w:r w:rsidR="00ED4110" w:rsidRPr="00337C97">
        <w:rPr>
          <w:rFonts w:asciiTheme="minorHAnsi" w:hAnsiTheme="minorHAnsi" w:cs="Times New Roman"/>
          <w:sz w:val="22"/>
          <w:szCs w:val="22"/>
          <w:lang w:val="en-US"/>
        </w:rPr>
        <w:t xml:space="preserve"> and the independent var</w:t>
      </w:r>
      <w:r w:rsidR="00D21515" w:rsidRPr="00337C97">
        <w:rPr>
          <w:rFonts w:asciiTheme="minorHAnsi" w:hAnsiTheme="minorHAnsi" w:cs="Times New Roman"/>
          <w:sz w:val="22"/>
          <w:szCs w:val="22"/>
          <w:lang w:val="en-US"/>
        </w:rPr>
        <w:t xml:space="preserve">iables. </w:t>
      </w:r>
      <w:r w:rsidRPr="00337C97">
        <w:rPr>
          <w:rFonts w:asciiTheme="minorHAnsi" w:hAnsiTheme="minorHAnsi" w:cs="Times New Roman"/>
          <w:sz w:val="22"/>
          <w:szCs w:val="22"/>
          <w:lang w:val="en-US"/>
        </w:rPr>
        <w:t>Multiple regression analysis estimates the effect from each individual independent variable upon the dependent variable, using the input data. Ordinary Least Square</w:t>
      </w:r>
      <w:r w:rsidR="00FC7EBE" w:rsidRPr="00337C97">
        <w:rPr>
          <w:rFonts w:asciiTheme="minorHAnsi" w:hAnsiTheme="minorHAnsi" w:cs="Times New Roman"/>
          <w:sz w:val="22"/>
          <w:szCs w:val="22"/>
          <w:lang w:val="en-US"/>
        </w:rPr>
        <w:t xml:space="preserve"> (OLS)</w:t>
      </w:r>
      <w:r w:rsidRPr="00337C97">
        <w:rPr>
          <w:rFonts w:asciiTheme="minorHAnsi" w:hAnsiTheme="minorHAnsi" w:cs="Times New Roman"/>
          <w:sz w:val="22"/>
          <w:szCs w:val="22"/>
          <w:lang w:val="en-US"/>
        </w:rPr>
        <w:t xml:space="preserve"> is a common used method in applying linear regression and is standard used in SPSS. </w:t>
      </w:r>
      <w:r w:rsidR="00A31B2B" w:rsidRPr="00337C97">
        <w:rPr>
          <w:rFonts w:asciiTheme="minorHAnsi" w:hAnsiTheme="minorHAnsi" w:cs="Times New Roman"/>
          <w:sz w:val="22"/>
          <w:szCs w:val="22"/>
          <w:lang w:val="en-US"/>
        </w:rPr>
        <w:t>Cooke (1998, p. 4) presents Rank Regression analysis as an alternative for the conventional OLS. The advantage of Rank Regression is that it yields distribution-free test statistics. Table 6 shows that the original data did not meet the normal distribution requirements for linear regression. To back-up results from the transformation using the natural logarithm, a Rank Regression analysis was performed. In this regression technique, both the dependent and independent variables (excluding TIER, ML and CR_TF, as these are dummy variables) are replaced with their corresponding ranks.</w:t>
      </w:r>
    </w:p>
    <w:p w:rsidR="001B61D4" w:rsidRPr="00337C97" w:rsidRDefault="001B61D4" w:rsidP="001B5B11">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Table 7 gives the model summary and the coefficients table from both regression analysis. The analytical power of both models to predict its outcomes seems very powerful. The R square amounts to 0.720 for the OLS model and 0.734 for the Rank Regression model. </w:t>
      </w:r>
      <w:r w:rsidR="000F473D" w:rsidRPr="00337C97">
        <w:rPr>
          <w:rFonts w:asciiTheme="minorHAnsi" w:hAnsiTheme="minorHAnsi" w:cs="Times New Roman"/>
          <w:sz w:val="22"/>
          <w:szCs w:val="22"/>
          <w:lang w:val="en-US"/>
        </w:rPr>
        <w:t>This means that the models explain respectively 72</w:t>
      </w:r>
      <w:r w:rsidR="00F619B0" w:rsidRPr="00337C97">
        <w:rPr>
          <w:rFonts w:asciiTheme="minorHAnsi" w:hAnsiTheme="minorHAnsi" w:cs="Times New Roman"/>
          <w:sz w:val="22"/>
          <w:szCs w:val="22"/>
          <w:lang w:val="en-US"/>
        </w:rPr>
        <w:t>%</w:t>
      </w:r>
      <w:r w:rsidR="000F473D" w:rsidRPr="00337C97">
        <w:rPr>
          <w:rFonts w:asciiTheme="minorHAnsi" w:hAnsiTheme="minorHAnsi" w:cs="Times New Roman"/>
          <w:sz w:val="22"/>
          <w:szCs w:val="22"/>
          <w:lang w:val="en-US"/>
        </w:rPr>
        <w:t xml:space="preserve"> and 73.4% of the variation in risk disclosure, using the data from the independent variables as predictor. The adjusted R square gives an idea about how well the models generalize. These numbers are very high, indicating the model is accurately explaining the variance in risk disclosure.</w:t>
      </w:r>
    </w:p>
    <w:p w:rsidR="000F473D" w:rsidRPr="00337C97" w:rsidRDefault="000F473D" w:rsidP="00C9624F">
      <w:pPr>
        <w:spacing w:line="360" w:lineRule="auto"/>
        <w:jc w:val="both"/>
        <w:rPr>
          <w:rFonts w:asciiTheme="minorHAnsi" w:hAnsiTheme="minorHAnsi" w:cs="Times New Roman"/>
          <w:b/>
          <w:sz w:val="22"/>
          <w:szCs w:val="22"/>
          <w:lang w:val="en-US"/>
        </w:rPr>
      </w:pPr>
    </w:p>
    <w:p w:rsidR="00A31B2B" w:rsidRPr="00337C97" w:rsidRDefault="00A31B2B" w:rsidP="00C9624F">
      <w:pPr>
        <w:spacing w:line="360" w:lineRule="auto"/>
        <w:jc w:val="both"/>
        <w:rPr>
          <w:rFonts w:asciiTheme="minorHAnsi" w:hAnsiTheme="minorHAnsi" w:cs="Times New Roman"/>
          <w:sz w:val="22"/>
          <w:szCs w:val="22"/>
          <w:lang w:val="en-US"/>
        </w:rPr>
      </w:pPr>
      <w:r w:rsidRPr="00337C97">
        <w:rPr>
          <w:rFonts w:asciiTheme="minorHAnsi" w:hAnsiTheme="minorHAnsi" w:cs="Times New Roman"/>
          <w:b/>
          <w:sz w:val="22"/>
          <w:szCs w:val="22"/>
          <w:lang w:val="en-US"/>
        </w:rPr>
        <w:t>Table 7</w:t>
      </w:r>
      <w:r w:rsidRPr="00337C97">
        <w:rPr>
          <w:rFonts w:asciiTheme="minorHAnsi" w:hAnsiTheme="minorHAnsi" w:cs="Times New Roman"/>
          <w:b/>
          <w:sz w:val="22"/>
          <w:szCs w:val="22"/>
          <w:lang w:val="en-US"/>
        </w:rPr>
        <w:tab/>
        <w:t xml:space="preserve"> </w:t>
      </w:r>
      <w:r w:rsidRPr="00337C97">
        <w:rPr>
          <w:rFonts w:asciiTheme="minorHAnsi" w:hAnsiTheme="minorHAnsi" w:cs="Times New Roman"/>
          <w:sz w:val="22"/>
          <w:szCs w:val="22"/>
          <w:lang w:val="en-US"/>
        </w:rPr>
        <w:t>Regression analyses</w:t>
      </w:r>
    </w:p>
    <w:tbl>
      <w:tblPr>
        <w:tblStyle w:val="Tabelraster"/>
        <w:tblW w:w="0" w:type="auto"/>
        <w:tblLook w:val="04A0"/>
      </w:tblPr>
      <w:tblGrid>
        <w:gridCol w:w="3510"/>
        <w:gridCol w:w="2410"/>
        <w:gridCol w:w="2268"/>
      </w:tblGrid>
      <w:tr w:rsidR="001B61D4" w:rsidRPr="00337C97" w:rsidTr="001B61D4">
        <w:trPr>
          <w:trHeight w:val="271"/>
        </w:trPr>
        <w:tc>
          <w:tcPr>
            <w:tcW w:w="3510" w:type="dxa"/>
          </w:tcPr>
          <w:p w:rsidR="001B61D4" w:rsidRPr="00337C97" w:rsidRDefault="001B61D4" w:rsidP="00A31B2B">
            <w:pPr>
              <w:rPr>
                <w:rFonts w:asciiTheme="minorHAnsi" w:hAnsiTheme="minorHAnsi" w:cs="Times New Roman"/>
                <w:b/>
                <w:sz w:val="22"/>
                <w:szCs w:val="22"/>
                <w:lang w:val="en-US"/>
              </w:rPr>
            </w:pPr>
          </w:p>
        </w:tc>
        <w:tc>
          <w:tcPr>
            <w:tcW w:w="2410" w:type="dxa"/>
          </w:tcPr>
          <w:p w:rsidR="001B61D4" w:rsidRPr="00337C97" w:rsidRDefault="001B61D4" w:rsidP="00725523">
            <w:pPr>
              <w:jc w:val="center"/>
              <w:rPr>
                <w:rFonts w:asciiTheme="minorHAnsi" w:hAnsiTheme="minorHAnsi" w:cs="Times New Roman"/>
                <w:b/>
                <w:sz w:val="22"/>
                <w:szCs w:val="22"/>
                <w:lang w:val="en-US"/>
              </w:rPr>
            </w:pPr>
            <w:r w:rsidRPr="00337C97">
              <w:rPr>
                <w:rFonts w:asciiTheme="minorHAnsi" w:hAnsiTheme="minorHAnsi" w:cs="Times New Roman"/>
                <w:b/>
                <w:sz w:val="22"/>
                <w:szCs w:val="22"/>
                <w:lang w:val="en-US"/>
              </w:rPr>
              <w:t xml:space="preserve">Model </w:t>
            </w:r>
            <w:r w:rsidR="00F619B0" w:rsidRPr="00337C97">
              <w:rPr>
                <w:rFonts w:asciiTheme="minorHAnsi" w:hAnsiTheme="minorHAnsi" w:cs="Times New Roman"/>
                <w:b/>
                <w:sz w:val="22"/>
                <w:szCs w:val="22"/>
                <w:lang w:val="en-US"/>
              </w:rPr>
              <w:t>1</w:t>
            </w:r>
          </w:p>
        </w:tc>
        <w:tc>
          <w:tcPr>
            <w:tcW w:w="2268" w:type="dxa"/>
          </w:tcPr>
          <w:p w:rsidR="001B61D4" w:rsidRPr="00337C97" w:rsidRDefault="001B61D4" w:rsidP="00F619B0">
            <w:pPr>
              <w:jc w:val="center"/>
              <w:rPr>
                <w:rFonts w:asciiTheme="minorHAnsi" w:hAnsiTheme="minorHAnsi" w:cs="Times New Roman"/>
                <w:b/>
                <w:sz w:val="22"/>
                <w:szCs w:val="22"/>
                <w:lang w:val="en-US"/>
              </w:rPr>
            </w:pPr>
            <w:r w:rsidRPr="00337C97">
              <w:rPr>
                <w:rFonts w:asciiTheme="minorHAnsi" w:hAnsiTheme="minorHAnsi" w:cs="Times New Roman"/>
                <w:b/>
                <w:sz w:val="22"/>
                <w:szCs w:val="22"/>
                <w:lang w:val="en-US"/>
              </w:rPr>
              <w:t xml:space="preserve">Model </w:t>
            </w:r>
            <w:r w:rsidR="00F619B0" w:rsidRPr="00337C97">
              <w:rPr>
                <w:rFonts w:asciiTheme="minorHAnsi" w:hAnsiTheme="minorHAnsi" w:cs="Times New Roman"/>
                <w:b/>
                <w:sz w:val="22"/>
                <w:szCs w:val="22"/>
                <w:lang w:val="en-US"/>
              </w:rPr>
              <w:t>2</w:t>
            </w:r>
          </w:p>
        </w:tc>
      </w:tr>
      <w:tr w:rsidR="001B61D4" w:rsidRPr="00337C97" w:rsidTr="001B61D4">
        <w:trPr>
          <w:trHeight w:val="120"/>
        </w:trPr>
        <w:tc>
          <w:tcPr>
            <w:tcW w:w="3510" w:type="dxa"/>
          </w:tcPr>
          <w:p w:rsidR="001B61D4" w:rsidRPr="00337C97" w:rsidRDefault="001B61D4" w:rsidP="00A31B2B">
            <w:pPr>
              <w:rPr>
                <w:rFonts w:asciiTheme="minorHAnsi" w:hAnsiTheme="minorHAnsi" w:cs="Times New Roman"/>
                <w:sz w:val="22"/>
                <w:szCs w:val="22"/>
                <w:lang w:val="en-US"/>
              </w:rPr>
            </w:pPr>
            <w:r w:rsidRPr="00337C97">
              <w:rPr>
                <w:rFonts w:asciiTheme="minorHAnsi" w:hAnsiTheme="minorHAnsi" w:cs="Times New Roman"/>
                <w:sz w:val="22"/>
                <w:szCs w:val="22"/>
                <w:lang w:val="en-US"/>
              </w:rPr>
              <w:t>Regression using…</w:t>
            </w:r>
          </w:p>
        </w:tc>
        <w:tc>
          <w:tcPr>
            <w:tcW w:w="2410"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natural logarithm</w:t>
            </w:r>
          </w:p>
        </w:tc>
        <w:tc>
          <w:tcPr>
            <w:tcW w:w="2268"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ranked data</w:t>
            </w:r>
          </w:p>
        </w:tc>
      </w:tr>
      <w:tr w:rsidR="00725523" w:rsidRPr="00337C97" w:rsidTr="001B61D4">
        <w:trPr>
          <w:trHeight w:val="120"/>
        </w:trPr>
        <w:tc>
          <w:tcPr>
            <w:tcW w:w="8188" w:type="dxa"/>
            <w:gridSpan w:val="3"/>
          </w:tcPr>
          <w:p w:rsidR="00725523" w:rsidRPr="00337C97" w:rsidRDefault="00725523" w:rsidP="00A31B2B">
            <w:pPr>
              <w:rPr>
                <w:rFonts w:asciiTheme="minorHAnsi" w:hAnsiTheme="minorHAnsi" w:cs="Times New Roman"/>
                <w:sz w:val="22"/>
                <w:szCs w:val="22"/>
                <w:lang w:val="en-US"/>
              </w:rPr>
            </w:pPr>
          </w:p>
          <w:p w:rsidR="001B61D4" w:rsidRPr="00337C97" w:rsidRDefault="001B61D4" w:rsidP="00A31B2B">
            <w:pPr>
              <w:rPr>
                <w:rFonts w:asciiTheme="minorHAnsi" w:hAnsiTheme="minorHAnsi" w:cs="Times New Roman"/>
                <w:i/>
                <w:sz w:val="22"/>
                <w:szCs w:val="22"/>
                <w:lang w:val="en-US"/>
              </w:rPr>
            </w:pPr>
            <w:r w:rsidRPr="00337C97">
              <w:rPr>
                <w:rFonts w:asciiTheme="minorHAnsi" w:hAnsiTheme="minorHAnsi" w:cs="Times New Roman"/>
                <w:i/>
                <w:sz w:val="22"/>
                <w:szCs w:val="22"/>
                <w:lang w:val="en-US"/>
              </w:rPr>
              <w:t>Model summary</w:t>
            </w:r>
          </w:p>
        </w:tc>
      </w:tr>
      <w:tr w:rsidR="001B61D4" w:rsidRPr="00337C97" w:rsidTr="001B61D4">
        <w:trPr>
          <w:trHeight w:val="120"/>
        </w:trPr>
        <w:tc>
          <w:tcPr>
            <w:tcW w:w="3510" w:type="dxa"/>
          </w:tcPr>
          <w:p w:rsidR="001B61D4" w:rsidRPr="00337C97" w:rsidRDefault="001B61D4" w:rsidP="00725523">
            <w:pPr>
              <w:rPr>
                <w:rFonts w:asciiTheme="minorHAnsi" w:hAnsiTheme="minorHAnsi" w:cs="Times New Roman"/>
                <w:sz w:val="22"/>
                <w:szCs w:val="22"/>
                <w:lang w:val="en-US"/>
              </w:rPr>
            </w:pPr>
            <w:r w:rsidRPr="00337C97">
              <w:rPr>
                <w:rFonts w:asciiTheme="minorHAnsi" w:hAnsiTheme="minorHAnsi" w:cs="Times New Roman"/>
                <w:sz w:val="22"/>
                <w:szCs w:val="22"/>
                <w:lang w:val="en-US"/>
              </w:rPr>
              <w:t>R</w:t>
            </w:r>
          </w:p>
        </w:tc>
        <w:tc>
          <w:tcPr>
            <w:tcW w:w="2410"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0.849</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0.857</w:t>
            </w:r>
          </w:p>
        </w:tc>
      </w:tr>
      <w:tr w:rsidR="001B61D4" w:rsidRPr="00337C97" w:rsidTr="001B61D4">
        <w:tc>
          <w:tcPr>
            <w:tcW w:w="3510" w:type="dxa"/>
          </w:tcPr>
          <w:p w:rsidR="001B61D4" w:rsidRPr="00337C97" w:rsidRDefault="001B61D4" w:rsidP="00725523">
            <w:pPr>
              <w:rPr>
                <w:rFonts w:asciiTheme="minorHAnsi" w:hAnsiTheme="minorHAnsi" w:cs="Times New Roman"/>
                <w:sz w:val="22"/>
                <w:szCs w:val="22"/>
                <w:lang w:val="en-US"/>
              </w:rPr>
            </w:pPr>
            <w:r w:rsidRPr="00337C97">
              <w:rPr>
                <w:rFonts w:asciiTheme="minorHAnsi" w:hAnsiTheme="minorHAnsi" w:cs="Times New Roman"/>
                <w:sz w:val="22"/>
                <w:szCs w:val="22"/>
                <w:lang w:val="en-US"/>
              </w:rPr>
              <w:t>R Square</w:t>
            </w:r>
          </w:p>
        </w:tc>
        <w:tc>
          <w:tcPr>
            <w:tcW w:w="2410"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0.720</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0.734</w:t>
            </w:r>
          </w:p>
        </w:tc>
      </w:tr>
      <w:tr w:rsidR="001B61D4" w:rsidRPr="00337C97" w:rsidTr="001B61D4">
        <w:tc>
          <w:tcPr>
            <w:tcW w:w="3510" w:type="dxa"/>
          </w:tcPr>
          <w:p w:rsidR="001B61D4" w:rsidRPr="00337C97" w:rsidRDefault="001B61D4" w:rsidP="00725523">
            <w:pPr>
              <w:rPr>
                <w:rFonts w:asciiTheme="minorHAnsi" w:hAnsiTheme="minorHAnsi" w:cs="Times New Roman"/>
                <w:sz w:val="22"/>
                <w:szCs w:val="22"/>
                <w:lang w:val="en-US"/>
              </w:rPr>
            </w:pPr>
            <w:r w:rsidRPr="00337C97">
              <w:rPr>
                <w:rFonts w:asciiTheme="minorHAnsi" w:hAnsiTheme="minorHAnsi" w:cs="Times New Roman"/>
                <w:sz w:val="22"/>
                <w:szCs w:val="22"/>
                <w:lang w:val="en-US"/>
              </w:rPr>
              <w:t>Adjusted R Square</w:t>
            </w:r>
          </w:p>
        </w:tc>
        <w:tc>
          <w:tcPr>
            <w:tcW w:w="2410"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0.669</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0.686</w:t>
            </w:r>
          </w:p>
        </w:tc>
      </w:tr>
      <w:tr w:rsidR="001B61D4" w:rsidRPr="00337C97" w:rsidTr="001B61D4">
        <w:tc>
          <w:tcPr>
            <w:tcW w:w="3510" w:type="dxa"/>
          </w:tcPr>
          <w:p w:rsidR="001B61D4" w:rsidRPr="00337C97" w:rsidRDefault="001B61D4" w:rsidP="00725523">
            <w:pPr>
              <w:rPr>
                <w:rFonts w:asciiTheme="minorHAnsi" w:hAnsiTheme="minorHAnsi" w:cs="Times New Roman"/>
                <w:sz w:val="22"/>
                <w:szCs w:val="22"/>
                <w:lang w:val="nl-NL"/>
              </w:rPr>
            </w:pPr>
            <w:r w:rsidRPr="00337C97">
              <w:rPr>
                <w:rFonts w:asciiTheme="minorHAnsi" w:hAnsiTheme="minorHAnsi" w:cs="Times New Roman"/>
                <w:sz w:val="22"/>
                <w:szCs w:val="22"/>
                <w:lang w:val="en-US"/>
              </w:rPr>
              <w:t>Durbin-Watson</w:t>
            </w:r>
          </w:p>
        </w:tc>
        <w:tc>
          <w:tcPr>
            <w:tcW w:w="2410"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1.684</w:t>
            </w:r>
          </w:p>
        </w:tc>
        <w:tc>
          <w:tcPr>
            <w:tcW w:w="2268" w:type="dxa"/>
          </w:tcPr>
          <w:p w:rsidR="001B61D4" w:rsidRPr="00337C97" w:rsidRDefault="001B61D4" w:rsidP="00725523">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1.857</w:t>
            </w:r>
          </w:p>
        </w:tc>
      </w:tr>
      <w:tr w:rsidR="00732B52" w:rsidRPr="00337C97" w:rsidTr="001B61D4">
        <w:trPr>
          <w:trHeight w:val="516"/>
        </w:trPr>
        <w:tc>
          <w:tcPr>
            <w:tcW w:w="8188" w:type="dxa"/>
            <w:gridSpan w:val="3"/>
          </w:tcPr>
          <w:p w:rsidR="00732B52" w:rsidRPr="00337C97" w:rsidRDefault="00732B52" w:rsidP="00A31B2B">
            <w:pPr>
              <w:rPr>
                <w:rFonts w:asciiTheme="minorHAnsi" w:hAnsiTheme="minorHAnsi" w:cs="Times New Roman"/>
                <w:i/>
                <w:sz w:val="20"/>
                <w:szCs w:val="22"/>
                <w:lang w:val="en-US"/>
              </w:rPr>
            </w:pPr>
          </w:p>
          <w:p w:rsidR="00732B52" w:rsidRPr="00337C97" w:rsidRDefault="00732B52" w:rsidP="00A31B2B">
            <w:pPr>
              <w:rPr>
                <w:rFonts w:asciiTheme="minorHAnsi" w:hAnsiTheme="minorHAnsi" w:cs="Times New Roman"/>
                <w:sz w:val="22"/>
                <w:szCs w:val="22"/>
                <w:lang w:val="en-US"/>
              </w:rPr>
            </w:pPr>
            <w:r w:rsidRPr="00337C97">
              <w:rPr>
                <w:rFonts w:asciiTheme="minorHAnsi" w:hAnsiTheme="minorHAnsi" w:cs="Times New Roman"/>
                <w:i/>
                <w:sz w:val="22"/>
                <w:szCs w:val="22"/>
                <w:lang w:val="en-US"/>
              </w:rPr>
              <w:t>Independent variables</w:t>
            </w:r>
            <w:r w:rsidRPr="00337C97">
              <w:rPr>
                <w:rFonts w:asciiTheme="minorHAnsi" w:hAnsiTheme="minorHAnsi" w:cs="Times New Roman"/>
                <w:i/>
                <w:sz w:val="22"/>
                <w:szCs w:val="22"/>
                <w:vertAlign w:val="superscript"/>
                <w:lang w:val="en-US"/>
              </w:rPr>
              <w:t>1</w:t>
            </w:r>
          </w:p>
        </w:tc>
      </w:tr>
      <w:tr w:rsidR="001B61D4" w:rsidRPr="00337C97" w:rsidTr="001B61D4">
        <w:tc>
          <w:tcPr>
            <w:tcW w:w="3510" w:type="dxa"/>
          </w:tcPr>
          <w:p w:rsidR="001B61D4" w:rsidRPr="00337C97" w:rsidRDefault="001B61D4" w:rsidP="001B5B11">
            <w:pPr>
              <w:rPr>
                <w:rFonts w:asciiTheme="minorHAnsi" w:hAnsiTheme="minorHAnsi" w:cs="Times New Roman"/>
                <w:sz w:val="22"/>
                <w:szCs w:val="22"/>
                <w:lang w:val="en-US"/>
              </w:rPr>
            </w:pPr>
            <w:r w:rsidRPr="00337C97">
              <w:rPr>
                <w:rFonts w:asciiTheme="minorHAnsi" w:hAnsiTheme="minorHAnsi" w:cs="Times New Roman"/>
                <w:sz w:val="22"/>
                <w:szCs w:val="22"/>
                <w:lang w:val="en-US"/>
              </w:rPr>
              <w:t>Size</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0.205</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(3.784)*</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0.769</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(4.284)*</w:t>
            </w:r>
          </w:p>
        </w:tc>
      </w:tr>
      <w:tr w:rsidR="001B61D4" w:rsidRPr="00337C97" w:rsidTr="001B61D4">
        <w:tc>
          <w:tcPr>
            <w:tcW w:w="3510" w:type="dxa"/>
          </w:tcPr>
          <w:p w:rsidR="001B61D4" w:rsidRPr="00337C97" w:rsidRDefault="001B61D4" w:rsidP="001B5B11">
            <w:pPr>
              <w:rPr>
                <w:rFonts w:asciiTheme="minorHAnsi" w:hAnsiTheme="minorHAnsi" w:cs="Times New Roman"/>
                <w:sz w:val="22"/>
                <w:szCs w:val="22"/>
                <w:lang w:val="en-US"/>
              </w:rPr>
            </w:pPr>
            <w:r w:rsidRPr="00337C97">
              <w:rPr>
                <w:rFonts w:asciiTheme="minorHAnsi" w:hAnsiTheme="minorHAnsi" w:cs="Times New Roman"/>
                <w:sz w:val="22"/>
                <w:szCs w:val="22"/>
                <w:lang w:val="en-US"/>
              </w:rPr>
              <w:t>Profitability</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0.134</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(0.790)</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0.071</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(0.537)</w:t>
            </w:r>
          </w:p>
        </w:tc>
      </w:tr>
      <w:tr w:rsidR="001B61D4" w:rsidRPr="00337C97" w:rsidTr="001B61D4">
        <w:tc>
          <w:tcPr>
            <w:tcW w:w="3510" w:type="dxa"/>
          </w:tcPr>
          <w:p w:rsidR="001B61D4" w:rsidRPr="00337C97" w:rsidRDefault="001B61D4" w:rsidP="001B5B11">
            <w:pPr>
              <w:rPr>
                <w:rFonts w:asciiTheme="minorHAnsi" w:hAnsiTheme="minorHAnsi" w:cs="Times New Roman"/>
                <w:sz w:val="22"/>
                <w:szCs w:val="22"/>
                <w:lang w:val="en-US"/>
              </w:rPr>
            </w:pPr>
            <w:r w:rsidRPr="00337C97">
              <w:rPr>
                <w:rFonts w:asciiTheme="minorHAnsi" w:hAnsiTheme="minorHAnsi" w:cs="Times New Roman"/>
                <w:sz w:val="22"/>
                <w:szCs w:val="22"/>
                <w:lang w:val="en-US"/>
              </w:rPr>
              <w:t>Leverage</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-0.007</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(-0.029)</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-0.034</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(-0.183)</w:t>
            </w:r>
          </w:p>
        </w:tc>
      </w:tr>
      <w:tr w:rsidR="001B61D4" w:rsidRPr="00337C97" w:rsidTr="001B61D4">
        <w:tc>
          <w:tcPr>
            <w:tcW w:w="3510" w:type="dxa"/>
          </w:tcPr>
          <w:p w:rsidR="001B61D4" w:rsidRPr="00337C97" w:rsidRDefault="001B61D4" w:rsidP="001B5B11">
            <w:pPr>
              <w:rPr>
                <w:rFonts w:asciiTheme="minorHAnsi" w:hAnsiTheme="minorHAnsi" w:cs="Times New Roman"/>
                <w:sz w:val="22"/>
                <w:szCs w:val="22"/>
                <w:lang w:val="en-US"/>
              </w:rPr>
            </w:pPr>
            <w:r w:rsidRPr="00337C97">
              <w:rPr>
                <w:rFonts w:asciiTheme="minorHAnsi" w:hAnsiTheme="minorHAnsi" w:cs="Times New Roman"/>
                <w:sz w:val="22"/>
                <w:szCs w:val="22"/>
                <w:lang w:val="en-US"/>
              </w:rPr>
              <w:t>Multiple Listing</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0.133</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(0.665)</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3.353</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(1.008)</w:t>
            </w:r>
          </w:p>
        </w:tc>
      </w:tr>
      <w:tr w:rsidR="001B61D4" w:rsidRPr="00337C97" w:rsidTr="001B61D4">
        <w:tc>
          <w:tcPr>
            <w:tcW w:w="3510" w:type="dxa"/>
          </w:tcPr>
          <w:p w:rsidR="001B61D4" w:rsidRPr="00337C97" w:rsidRDefault="001B61D4" w:rsidP="001B5B11">
            <w:pPr>
              <w:rPr>
                <w:rFonts w:asciiTheme="minorHAnsi" w:hAnsiTheme="minorHAnsi" w:cs="Times New Roman"/>
                <w:sz w:val="22"/>
                <w:szCs w:val="22"/>
                <w:lang w:val="en-US"/>
              </w:rPr>
            </w:pPr>
            <w:r w:rsidRPr="00337C97">
              <w:rPr>
                <w:rFonts w:asciiTheme="minorHAnsi" w:hAnsiTheme="minorHAnsi" w:cs="Times New Roman"/>
                <w:sz w:val="22"/>
                <w:szCs w:val="22"/>
                <w:lang w:val="en-US"/>
              </w:rPr>
              <w:t>Credit Rating</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-0.064</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(-0.631)</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-0.263</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(-0.147)</w:t>
            </w:r>
          </w:p>
        </w:tc>
      </w:tr>
      <w:tr w:rsidR="001B61D4" w:rsidRPr="00337C97" w:rsidTr="001B61D4">
        <w:tc>
          <w:tcPr>
            <w:tcW w:w="3510" w:type="dxa"/>
          </w:tcPr>
          <w:p w:rsidR="001B61D4" w:rsidRPr="00337C97" w:rsidRDefault="001B61D4" w:rsidP="00AC20BC">
            <w:pPr>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Tier </w:t>
            </w:r>
            <w:r w:rsidR="00AC20BC" w:rsidRPr="00337C97">
              <w:rPr>
                <w:rFonts w:asciiTheme="minorHAnsi" w:hAnsiTheme="minorHAnsi" w:cs="Times New Roman"/>
                <w:sz w:val="22"/>
                <w:szCs w:val="22"/>
                <w:lang w:val="en-US"/>
              </w:rPr>
              <w:t>Structure</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0.170</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(1.241)</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1.738</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(0.738)</w:t>
            </w:r>
          </w:p>
        </w:tc>
      </w:tr>
      <w:tr w:rsidR="001B61D4" w:rsidRPr="00337C97" w:rsidTr="001B61D4">
        <w:tc>
          <w:tcPr>
            <w:tcW w:w="8188" w:type="dxa"/>
            <w:gridSpan w:val="3"/>
          </w:tcPr>
          <w:p w:rsidR="001B61D4" w:rsidRPr="00337C97" w:rsidRDefault="001B61D4" w:rsidP="001B61D4">
            <w:pPr>
              <w:rPr>
                <w:rFonts w:asciiTheme="minorHAnsi" w:hAnsiTheme="minorHAnsi" w:cs="Times New Roman"/>
                <w:i/>
                <w:sz w:val="22"/>
                <w:szCs w:val="22"/>
                <w:lang w:val="en-US"/>
              </w:rPr>
            </w:pPr>
          </w:p>
          <w:p w:rsidR="001B61D4" w:rsidRPr="00337C97" w:rsidRDefault="001B61D4" w:rsidP="001B61D4">
            <w:pPr>
              <w:rPr>
                <w:rFonts w:asciiTheme="minorHAnsi" w:hAnsiTheme="minorHAnsi" w:cs="Times New Roman"/>
                <w:i/>
                <w:sz w:val="22"/>
                <w:szCs w:val="22"/>
                <w:lang w:val="en-US"/>
              </w:rPr>
            </w:pPr>
            <w:r w:rsidRPr="00337C97">
              <w:rPr>
                <w:rFonts w:asciiTheme="minorHAnsi" w:hAnsiTheme="minorHAnsi" w:cs="Times New Roman"/>
                <w:i/>
                <w:sz w:val="22"/>
                <w:szCs w:val="22"/>
                <w:lang w:val="en-US"/>
              </w:rPr>
              <w:t>Added after removing TIER</w:t>
            </w:r>
          </w:p>
        </w:tc>
      </w:tr>
      <w:tr w:rsidR="001B61D4" w:rsidRPr="00337C97" w:rsidTr="001B61D4">
        <w:tc>
          <w:tcPr>
            <w:tcW w:w="3510" w:type="dxa"/>
          </w:tcPr>
          <w:p w:rsidR="001B61D4" w:rsidRPr="00337C97" w:rsidRDefault="001B61D4" w:rsidP="001B5B11">
            <w:pPr>
              <w:rPr>
                <w:rFonts w:asciiTheme="minorHAnsi" w:hAnsiTheme="minorHAnsi" w:cs="Times New Roman"/>
                <w:sz w:val="22"/>
                <w:szCs w:val="22"/>
                <w:lang w:val="nl-NL"/>
              </w:rPr>
            </w:pPr>
            <w:r w:rsidRPr="00337C97">
              <w:rPr>
                <w:rFonts w:asciiTheme="minorHAnsi" w:hAnsiTheme="minorHAnsi" w:cs="Times New Roman"/>
                <w:sz w:val="22"/>
                <w:szCs w:val="22"/>
                <w:lang w:val="en-US"/>
              </w:rPr>
              <w:t>Non-executive ratio (n=26)</w:t>
            </w:r>
          </w:p>
        </w:tc>
        <w:tc>
          <w:tcPr>
            <w:tcW w:w="2410" w:type="dxa"/>
          </w:tcPr>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-1.130</w:t>
            </w:r>
          </w:p>
          <w:p w:rsidR="001B61D4" w:rsidRPr="00337C97" w:rsidRDefault="001B61D4" w:rsidP="00D81A66">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(-1.404)</w:t>
            </w:r>
          </w:p>
        </w:tc>
        <w:tc>
          <w:tcPr>
            <w:tcW w:w="2268" w:type="dxa"/>
          </w:tcPr>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-0.171</w:t>
            </w:r>
          </w:p>
          <w:p w:rsidR="001B61D4" w:rsidRPr="00337C97" w:rsidRDefault="001B61D4" w:rsidP="00732B52">
            <w:pPr>
              <w:jc w:val="center"/>
              <w:rPr>
                <w:rFonts w:asciiTheme="minorHAnsi" w:hAnsiTheme="minorHAnsi" w:cs="Times New Roman"/>
                <w:sz w:val="22"/>
                <w:szCs w:val="22"/>
                <w:lang w:val="en-US"/>
              </w:rPr>
            </w:pPr>
            <w:r w:rsidRPr="00337C97">
              <w:rPr>
                <w:rFonts w:asciiTheme="minorHAnsi" w:hAnsiTheme="minorHAnsi" w:cs="Times New Roman"/>
                <w:sz w:val="22"/>
                <w:szCs w:val="22"/>
                <w:lang w:val="en-US"/>
              </w:rPr>
              <w:t>(-0.779)</w:t>
            </w:r>
          </w:p>
        </w:tc>
      </w:tr>
    </w:tbl>
    <w:p w:rsidR="00D21515" w:rsidRPr="00337C97" w:rsidRDefault="00725523" w:rsidP="00A31B2B">
      <w:pPr>
        <w:jc w:val="both"/>
        <w:rPr>
          <w:rFonts w:asciiTheme="minorHAnsi" w:hAnsiTheme="minorHAnsi" w:cs="Times New Roman"/>
          <w:i/>
          <w:sz w:val="18"/>
          <w:szCs w:val="22"/>
          <w:lang w:val="en-US"/>
        </w:rPr>
      </w:pPr>
      <w:r w:rsidRPr="00337C97">
        <w:rPr>
          <w:rFonts w:asciiTheme="minorHAnsi" w:hAnsiTheme="minorHAnsi" w:cs="Times New Roman"/>
          <w:i/>
          <w:sz w:val="18"/>
          <w:szCs w:val="22"/>
          <w:vertAlign w:val="superscript"/>
          <w:lang w:val="en-US"/>
        </w:rPr>
        <w:t>1</w:t>
      </w:r>
      <w:r w:rsidRPr="00337C97">
        <w:rPr>
          <w:rFonts w:asciiTheme="minorHAnsi" w:hAnsiTheme="minorHAnsi" w:cs="Times New Roman"/>
          <w:i/>
          <w:sz w:val="18"/>
          <w:szCs w:val="22"/>
          <w:lang w:val="en-US"/>
        </w:rPr>
        <w:t>The upper figures for each variable are</w:t>
      </w:r>
      <w:r w:rsidR="00F619B0" w:rsidRPr="00337C97">
        <w:rPr>
          <w:rFonts w:asciiTheme="minorHAnsi" w:hAnsiTheme="minorHAnsi" w:cs="Times New Roman"/>
          <w:i/>
          <w:sz w:val="18"/>
          <w:szCs w:val="22"/>
          <w:lang w:val="en-US"/>
        </w:rPr>
        <w:t xml:space="preserve"> beta</w:t>
      </w:r>
      <w:r w:rsidRPr="00337C97">
        <w:rPr>
          <w:rFonts w:asciiTheme="minorHAnsi" w:hAnsiTheme="minorHAnsi" w:cs="Times New Roman"/>
          <w:i/>
          <w:sz w:val="18"/>
          <w:szCs w:val="22"/>
          <w:lang w:val="en-US"/>
        </w:rPr>
        <w:t xml:space="preserve"> coefficient</w:t>
      </w:r>
      <w:r w:rsidR="00732B52" w:rsidRPr="00337C97">
        <w:rPr>
          <w:rFonts w:asciiTheme="minorHAnsi" w:hAnsiTheme="minorHAnsi" w:cs="Times New Roman"/>
          <w:i/>
          <w:sz w:val="18"/>
          <w:szCs w:val="22"/>
          <w:lang w:val="en-US"/>
        </w:rPr>
        <w:t>s a</w:t>
      </w:r>
      <w:r w:rsidRPr="00337C97">
        <w:rPr>
          <w:rFonts w:asciiTheme="minorHAnsi" w:hAnsiTheme="minorHAnsi" w:cs="Times New Roman"/>
          <w:i/>
          <w:sz w:val="18"/>
          <w:szCs w:val="22"/>
          <w:lang w:val="en-US"/>
        </w:rPr>
        <w:t>nd the lower figures are the t-statistics</w:t>
      </w:r>
      <w:r w:rsidR="00D81A66" w:rsidRPr="00337C97">
        <w:rPr>
          <w:rFonts w:asciiTheme="minorHAnsi" w:hAnsiTheme="minorHAnsi" w:cs="Times New Roman"/>
          <w:i/>
          <w:sz w:val="18"/>
          <w:szCs w:val="22"/>
          <w:lang w:val="en-US"/>
        </w:rPr>
        <w:t>.</w:t>
      </w:r>
    </w:p>
    <w:p w:rsidR="00D81A66" w:rsidRPr="00337C97" w:rsidRDefault="00D81A66" w:rsidP="00A31B2B">
      <w:pPr>
        <w:jc w:val="both"/>
        <w:rPr>
          <w:rFonts w:asciiTheme="minorHAnsi" w:hAnsiTheme="minorHAnsi" w:cs="Times New Roman"/>
          <w:i/>
          <w:sz w:val="18"/>
          <w:szCs w:val="22"/>
          <w:lang w:val="en-US"/>
        </w:rPr>
      </w:pPr>
      <w:r w:rsidRPr="00337C97">
        <w:rPr>
          <w:rFonts w:asciiTheme="minorHAnsi" w:hAnsiTheme="minorHAnsi" w:cs="Times New Roman"/>
          <w:i/>
          <w:sz w:val="18"/>
          <w:szCs w:val="22"/>
          <w:lang w:val="en-US"/>
        </w:rPr>
        <w:t>* significant at the 5% level.</w:t>
      </w:r>
    </w:p>
    <w:p w:rsidR="00725523" w:rsidRPr="00337C97" w:rsidRDefault="00725523" w:rsidP="000202C5">
      <w:pPr>
        <w:spacing w:line="360" w:lineRule="auto"/>
        <w:jc w:val="both"/>
        <w:rPr>
          <w:rFonts w:asciiTheme="minorHAnsi" w:hAnsiTheme="minorHAnsi" w:cs="Times New Roman"/>
          <w:sz w:val="22"/>
          <w:szCs w:val="22"/>
          <w:lang w:val="en-US"/>
        </w:rPr>
      </w:pPr>
    </w:p>
    <w:p w:rsidR="00BF52CF" w:rsidRPr="00337C97" w:rsidRDefault="00725523" w:rsidP="00BF52CF">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To test the non-existence of autocorrelation (i.e. the assumption of independent errors), the Durbin-Watson statistic was utilized. A value less than 1 or greater than 3 should pose a problem, and the closer to 2 the value is the better the mod</w:t>
      </w:r>
      <w:r w:rsidR="000F473D" w:rsidRPr="00337C97">
        <w:rPr>
          <w:rFonts w:asciiTheme="minorHAnsi" w:hAnsiTheme="minorHAnsi" w:cs="Times New Roman"/>
          <w:sz w:val="22"/>
          <w:szCs w:val="22"/>
          <w:lang w:val="en-US"/>
        </w:rPr>
        <w:t xml:space="preserve">el. The Durbin-Watson statistics are </w:t>
      </w:r>
      <w:r w:rsidRPr="00337C97">
        <w:rPr>
          <w:rFonts w:asciiTheme="minorHAnsi" w:hAnsiTheme="minorHAnsi" w:cs="Times New Roman"/>
          <w:sz w:val="22"/>
          <w:szCs w:val="22"/>
          <w:lang w:val="en-US"/>
        </w:rPr>
        <w:t xml:space="preserve">1,684 </w:t>
      </w:r>
      <w:r w:rsidR="000F473D" w:rsidRPr="00337C97">
        <w:rPr>
          <w:rFonts w:asciiTheme="minorHAnsi" w:hAnsiTheme="minorHAnsi" w:cs="Times New Roman"/>
          <w:sz w:val="22"/>
          <w:szCs w:val="22"/>
          <w:lang w:val="en-US"/>
        </w:rPr>
        <w:t>and 1,857,</w:t>
      </w:r>
      <w:r w:rsidRPr="00337C97">
        <w:rPr>
          <w:rFonts w:asciiTheme="minorHAnsi" w:hAnsiTheme="minorHAnsi" w:cs="Times New Roman"/>
          <w:sz w:val="22"/>
          <w:szCs w:val="22"/>
          <w:lang w:val="en-US"/>
        </w:rPr>
        <w:t xml:space="preserve"> </w:t>
      </w:r>
      <w:r w:rsidR="000F473D" w:rsidRPr="00337C97">
        <w:rPr>
          <w:rFonts w:asciiTheme="minorHAnsi" w:hAnsiTheme="minorHAnsi" w:cs="Times New Roman"/>
          <w:sz w:val="22"/>
          <w:szCs w:val="22"/>
          <w:lang w:val="en-US"/>
        </w:rPr>
        <w:t xml:space="preserve">indicating there are no </w:t>
      </w:r>
      <w:r w:rsidRPr="00337C97">
        <w:rPr>
          <w:rFonts w:asciiTheme="minorHAnsi" w:hAnsiTheme="minorHAnsi" w:cs="Times New Roman"/>
          <w:sz w:val="22"/>
          <w:szCs w:val="22"/>
          <w:lang w:val="en-US"/>
        </w:rPr>
        <w:t xml:space="preserve">validity problems of </w:t>
      </w:r>
      <w:r w:rsidR="000F473D" w:rsidRPr="00337C97">
        <w:rPr>
          <w:rFonts w:asciiTheme="minorHAnsi" w:hAnsiTheme="minorHAnsi" w:cs="Times New Roman"/>
          <w:sz w:val="22"/>
          <w:szCs w:val="22"/>
          <w:lang w:val="en-US"/>
        </w:rPr>
        <w:t>both</w:t>
      </w:r>
      <w:r w:rsidRPr="00337C97">
        <w:rPr>
          <w:rFonts w:asciiTheme="minorHAnsi" w:hAnsiTheme="minorHAnsi" w:cs="Times New Roman"/>
          <w:sz w:val="22"/>
          <w:szCs w:val="22"/>
          <w:lang w:val="en-US"/>
        </w:rPr>
        <w:t xml:space="preserve"> model</w:t>
      </w:r>
      <w:r w:rsidR="000F473D" w:rsidRPr="00337C97">
        <w:rPr>
          <w:rFonts w:asciiTheme="minorHAnsi" w:hAnsiTheme="minorHAnsi" w:cs="Times New Roman"/>
          <w:sz w:val="22"/>
          <w:szCs w:val="22"/>
          <w:lang w:val="en-US"/>
        </w:rPr>
        <w:t>s</w:t>
      </w:r>
      <w:r w:rsidRPr="00337C97">
        <w:rPr>
          <w:rFonts w:asciiTheme="minorHAnsi" w:hAnsiTheme="minorHAnsi" w:cs="Times New Roman"/>
          <w:sz w:val="22"/>
          <w:szCs w:val="22"/>
          <w:lang w:val="en-US"/>
        </w:rPr>
        <w:t>.</w:t>
      </w:r>
    </w:p>
    <w:p w:rsidR="00725523" w:rsidRPr="00337C97" w:rsidRDefault="00725523" w:rsidP="00BF52CF">
      <w:pPr>
        <w:spacing w:line="360" w:lineRule="auto"/>
        <w:jc w:val="both"/>
        <w:rPr>
          <w:rFonts w:asciiTheme="minorHAnsi" w:hAnsiTheme="minorHAnsi" w:cs="Times New Roman"/>
          <w:sz w:val="22"/>
          <w:szCs w:val="22"/>
          <w:lang w:val="en-US"/>
        </w:rPr>
      </w:pPr>
    </w:p>
    <w:p w:rsidR="00FC7EBE" w:rsidRPr="00337C97" w:rsidRDefault="00BF52CF" w:rsidP="00F619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As stated in chapter 5, the variable NONEXEC is not included in </w:t>
      </w:r>
      <w:r w:rsidR="000F473D" w:rsidRPr="00337C97">
        <w:rPr>
          <w:rFonts w:asciiTheme="minorHAnsi" w:hAnsiTheme="minorHAnsi" w:cs="Times New Roman"/>
          <w:sz w:val="22"/>
          <w:szCs w:val="22"/>
          <w:lang w:val="en-US"/>
        </w:rPr>
        <w:t xml:space="preserve">the initial </w:t>
      </w:r>
      <w:r w:rsidRPr="00337C97">
        <w:rPr>
          <w:rFonts w:asciiTheme="minorHAnsi" w:hAnsiTheme="minorHAnsi" w:cs="Times New Roman"/>
          <w:sz w:val="22"/>
          <w:szCs w:val="22"/>
          <w:lang w:val="en-US"/>
        </w:rPr>
        <w:t>regression model</w:t>
      </w:r>
      <w:r w:rsidR="000F473D" w:rsidRPr="00337C97">
        <w:rPr>
          <w:rFonts w:asciiTheme="minorHAnsi" w:hAnsiTheme="minorHAnsi" w:cs="Times New Roman"/>
          <w:sz w:val="22"/>
          <w:szCs w:val="22"/>
          <w:lang w:val="en-US"/>
        </w:rPr>
        <w:t>s</w:t>
      </w:r>
      <w:r w:rsidRPr="00337C97">
        <w:rPr>
          <w:rFonts w:asciiTheme="minorHAnsi" w:hAnsiTheme="minorHAnsi" w:cs="Times New Roman"/>
          <w:sz w:val="22"/>
          <w:szCs w:val="22"/>
          <w:lang w:val="en-US"/>
        </w:rPr>
        <w:t>. The reason is that NONEXEC only has a value when the TIER variable (organizational structure) amounts to 0 (i.e., has a one-tier structure). Out of the 40 cases, 26 banks have a one-tier system and therefore there are only 26 values for NONEXEC. If the regression model was executed with NONEXEC, the 14 cases missing NONEXEC values would be removed, and accordingly TIER would be removed, as this variable would be constant (i.e, amounts to 0 in all cases). Therefore, NONEXEC is not added in testing the model</w:t>
      </w:r>
      <w:r w:rsidR="00F619B0" w:rsidRPr="00337C97">
        <w:rPr>
          <w:rFonts w:asciiTheme="minorHAnsi" w:hAnsiTheme="minorHAnsi" w:cs="Times New Roman"/>
          <w:sz w:val="22"/>
          <w:szCs w:val="22"/>
          <w:lang w:val="en-US"/>
        </w:rPr>
        <w:t>s</w:t>
      </w:r>
      <w:r w:rsidRPr="00337C97">
        <w:rPr>
          <w:rFonts w:asciiTheme="minorHAnsi" w:hAnsiTheme="minorHAnsi" w:cs="Times New Roman"/>
          <w:sz w:val="22"/>
          <w:szCs w:val="22"/>
          <w:lang w:val="en-US"/>
        </w:rPr>
        <w:t xml:space="preserve"> here described. However, to be able to test the hypothesis relating to NONEXEC, the regression model</w:t>
      </w:r>
      <w:r w:rsidR="00F619B0" w:rsidRPr="00337C97">
        <w:rPr>
          <w:rFonts w:asciiTheme="minorHAnsi" w:hAnsiTheme="minorHAnsi" w:cs="Times New Roman"/>
          <w:sz w:val="22"/>
          <w:szCs w:val="22"/>
          <w:lang w:val="en-US"/>
        </w:rPr>
        <w:t>s</w:t>
      </w:r>
      <w:r w:rsidRPr="00337C97">
        <w:rPr>
          <w:rFonts w:asciiTheme="minorHAnsi" w:hAnsiTheme="minorHAnsi" w:cs="Times New Roman"/>
          <w:sz w:val="22"/>
          <w:szCs w:val="22"/>
          <w:lang w:val="en-US"/>
        </w:rPr>
        <w:t xml:space="preserve"> </w:t>
      </w:r>
      <w:r w:rsidR="00F619B0" w:rsidRPr="00337C97">
        <w:rPr>
          <w:rFonts w:asciiTheme="minorHAnsi" w:hAnsiTheme="minorHAnsi" w:cs="Times New Roman"/>
          <w:sz w:val="22"/>
          <w:szCs w:val="22"/>
          <w:lang w:val="en-US"/>
        </w:rPr>
        <w:t>are</w:t>
      </w:r>
      <w:r w:rsidRPr="00337C97">
        <w:rPr>
          <w:rFonts w:asciiTheme="minorHAnsi" w:hAnsiTheme="minorHAnsi" w:cs="Times New Roman"/>
          <w:sz w:val="22"/>
          <w:szCs w:val="22"/>
          <w:lang w:val="en-US"/>
        </w:rPr>
        <w:t xml:space="preserve"> executed again without the TIER variable but </w:t>
      </w:r>
      <w:r w:rsidR="00F619B0" w:rsidRPr="00337C97">
        <w:rPr>
          <w:rFonts w:asciiTheme="minorHAnsi" w:hAnsiTheme="minorHAnsi" w:cs="Times New Roman"/>
          <w:sz w:val="22"/>
          <w:szCs w:val="22"/>
          <w:lang w:val="en-US"/>
        </w:rPr>
        <w:t xml:space="preserve">this time </w:t>
      </w:r>
      <w:r w:rsidRPr="00337C97">
        <w:rPr>
          <w:rFonts w:asciiTheme="minorHAnsi" w:hAnsiTheme="minorHAnsi" w:cs="Times New Roman"/>
          <w:sz w:val="22"/>
          <w:szCs w:val="22"/>
          <w:lang w:val="en-US"/>
        </w:rPr>
        <w:t>with the NONEXEC variable.</w:t>
      </w:r>
      <w:r w:rsidR="00F619B0" w:rsidRPr="00337C97">
        <w:rPr>
          <w:rFonts w:asciiTheme="minorHAnsi" w:hAnsiTheme="minorHAnsi" w:cs="Times New Roman"/>
          <w:sz w:val="22"/>
          <w:szCs w:val="22"/>
          <w:lang w:val="en-US"/>
        </w:rPr>
        <w:t xml:space="preserve"> Table 7 also shows the computed coefficient and t-statistic for the NONEXEC variable.</w:t>
      </w:r>
    </w:p>
    <w:p w:rsidR="00F619B0" w:rsidRPr="00337C97" w:rsidRDefault="00F619B0" w:rsidP="00F619B0">
      <w:pPr>
        <w:autoSpaceDE w:val="0"/>
        <w:autoSpaceDN w:val="0"/>
        <w:adjustRightInd w:val="0"/>
        <w:spacing w:line="360" w:lineRule="auto"/>
        <w:jc w:val="both"/>
        <w:rPr>
          <w:rFonts w:asciiTheme="minorHAnsi" w:hAnsiTheme="minorHAnsi" w:cs="Times New Roman"/>
          <w:sz w:val="22"/>
          <w:szCs w:val="22"/>
          <w:lang w:val="en-US" w:eastAsia="nl-NL" w:bidi="ar-SA"/>
        </w:rPr>
      </w:pPr>
    </w:p>
    <w:p w:rsidR="00F619B0" w:rsidRPr="00337C97" w:rsidRDefault="00F619B0" w:rsidP="00F619B0">
      <w:pPr>
        <w:autoSpaceDE w:val="0"/>
        <w:autoSpaceDN w:val="0"/>
        <w:adjustRightInd w:val="0"/>
        <w:spacing w:line="360" w:lineRule="auto"/>
        <w:jc w:val="both"/>
        <w:rPr>
          <w:rFonts w:asciiTheme="minorHAnsi" w:hAnsiTheme="minorHAnsi" w:cs="Times New Roman"/>
          <w:sz w:val="22"/>
          <w:szCs w:val="22"/>
          <w:lang w:val="en-US" w:eastAsia="nl-NL" w:bidi="ar-SA"/>
        </w:rPr>
      </w:pPr>
      <w:r w:rsidRPr="00337C97">
        <w:rPr>
          <w:rFonts w:asciiTheme="minorHAnsi" w:hAnsiTheme="minorHAnsi" w:cs="Times New Roman"/>
          <w:sz w:val="22"/>
          <w:szCs w:val="22"/>
          <w:lang w:val="en-US" w:eastAsia="nl-NL" w:bidi="ar-SA"/>
        </w:rPr>
        <w:t>The beta coefficients indicate the relationship between the dependent variable (risk disclosure score) and each of the independent input variables. If this coefficient</w:t>
      </w:r>
      <w:r w:rsidRPr="00337C97">
        <w:rPr>
          <w:rFonts w:asciiTheme="minorHAnsi" w:hAnsiTheme="minorHAnsi" w:cs="Times New Roman"/>
          <w:i/>
          <w:sz w:val="22"/>
          <w:szCs w:val="22"/>
          <w:lang w:val="en-US" w:eastAsia="nl-NL" w:bidi="ar-SA"/>
        </w:rPr>
        <w:t xml:space="preserve"> </w:t>
      </w:r>
      <w:r w:rsidRPr="00337C97">
        <w:rPr>
          <w:rFonts w:asciiTheme="minorHAnsi" w:hAnsiTheme="minorHAnsi" w:cs="Times New Roman"/>
          <w:sz w:val="22"/>
          <w:szCs w:val="22"/>
          <w:lang w:val="en-US" w:eastAsia="nl-NL" w:bidi="ar-SA"/>
        </w:rPr>
        <w:t>value is positive, this means that there is a positive relationship between the dependent and independent variable. For example, in model 1 when size (LNSIZE) increases with 1, risk disclosure (LNRDSCORE) increases with 0,205. The regression analysis also shows whether multicollinearity (correlation between independent variables) is a problem. A common thumb rule in interpreting these statistics is that values of Tolerance smaller than 0.1 and VIF values bigger than 10 are a strong indication of the existence of multicollinearity (Hassan, 2009, p 677). The values in both models are within this range, indicating no significant effect of multicollinearity (for the data, see the SPSS output in Appendix I).</w:t>
      </w:r>
    </w:p>
    <w:p w:rsidR="00FC7EBE" w:rsidRPr="00337C97" w:rsidRDefault="00FC7EBE" w:rsidP="00490FA5">
      <w:pPr>
        <w:spacing w:line="360" w:lineRule="auto"/>
        <w:jc w:val="both"/>
        <w:outlineLvl w:val="2"/>
        <w:rPr>
          <w:rFonts w:asciiTheme="minorHAnsi" w:hAnsiTheme="minorHAnsi" w:cs="Times New Roman"/>
          <w:sz w:val="22"/>
          <w:szCs w:val="22"/>
          <w:lang w:val="en-US"/>
        </w:rPr>
      </w:pPr>
    </w:p>
    <w:p w:rsidR="0037312D" w:rsidRPr="00337C97" w:rsidRDefault="002001BF" w:rsidP="00490FA5">
      <w:pPr>
        <w:spacing w:line="360" w:lineRule="auto"/>
        <w:jc w:val="both"/>
        <w:outlineLvl w:val="2"/>
        <w:rPr>
          <w:rFonts w:asciiTheme="minorHAnsi" w:hAnsiTheme="minorHAnsi" w:cs="Times New Roman"/>
          <w:i/>
          <w:sz w:val="22"/>
          <w:szCs w:val="22"/>
          <w:lang w:val="en-US"/>
        </w:rPr>
      </w:pPr>
      <w:bookmarkStart w:id="299" w:name="_Toc269658976"/>
      <w:r w:rsidRPr="00337C97">
        <w:rPr>
          <w:rFonts w:asciiTheme="minorHAnsi" w:hAnsiTheme="minorHAnsi" w:cs="Times New Roman"/>
          <w:i/>
          <w:sz w:val="22"/>
          <w:szCs w:val="22"/>
          <w:lang w:val="en-US"/>
        </w:rPr>
        <w:t>6.</w:t>
      </w:r>
      <w:r w:rsidR="00EA10F1" w:rsidRPr="00337C97">
        <w:rPr>
          <w:rFonts w:asciiTheme="minorHAnsi" w:hAnsiTheme="minorHAnsi" w:cs="Times New Roman"/>
          <w:i/>
          <w:sz w:val="22"/>
          <w:szCs w:val="22"/>
          <w:lang w:val="en-US"/>
        </w:rPr>
        <w:t>4</w:t>
      </w:r>
      <w:r w:rsidRPr="00337C97">
        <w:rPr>
          <w:rFonts w:asciiTheme="minorHAnsi" w:hAnsiTheme="minorHAnsi" w:cs="Times New Roman"/>
          <w:i/>
          <w:sz w:val="22"/>
          <w:szCs w:val="22"/>
          <w:lang w:val="en-US"/>
        </w:rPr>
        <w:t>.3</w:t>
      </w:r>
      <w:r w:rsidRPr="00337C97">
        <w:rPr>
          <w:rFonts w:asciiTheme="minorHAnsi" w:hAnsiTheme="minorHAnsi" w:cs="Times New Roman"/>
          <w:i/>
          <w:sz w:val="22"/>
          <w:szCs w:val="22"/>
          <w:lang w:val="en-US"/>
        </w:rPr>
        <w:tab/>
      </w:r>
      <w:r w:rsidR="0037312D" w:rsidRPr="00337C97">
        <w:rPr>
          <w:rFonts w:asciiTheme="minorHAnsi" w:hAnsiTheme="minorHAnsi" w:cs="Times New Roman"/>
          <w:i/>
          <w:sz w:val="22"/>
          <w:szCs w:val="22"/>
          <w:lang w:val="en-US"/>
        </w:rPr>
        <w:t>Interpretation of the results</w:t>
      </w:r>
      <w:bookmarkEnd w:id="299"/>
    </w:p>
    <w:p w:rsidR="00BF52CF" w:rsidRPr="00337C97" w:rsidRDefault="008B3275" w:rsidP="00F619B0">
      <w:pPr>
        <w:spacing w:line="360" w:lineRule="auto"/>
        <w:jc w:val="both"/>
        <w:rPr>
          <w:rFonts w:asciiTheme="minorHAnsi" w:hAnsiTheme="minorHAnsi" w:cs="Times New Roman"/>
          <w:sz w:val="22"/>
          <w:szCs w:val="22"/>
          <w:lang w:val="en-US" w:eastAsia="nl-NL" w:bidi="ar-SA"/>
        </w:rPr>
      </w:pPr>
      <w:r w:rsidRPr="00337C97">
        <w:rPr>
          <w:rFonts w:asciiTheme="minorHAnsi" w:hAnsiTheme="minorHAnsi" w:cs="Times New Roman"/>
          <w:sz w:val="22"/>
          <w:szCs w:val="22"/>
          <w:lang w:val="en-US"/>
        </w:rPr>
        <w:t xml:space="preserve">This paragraph interprets the output of the multiple regression regarding the computed </w:t>
      </w:r>
      <w:r w:rsidR="0086087C" w:rsidRPr="00337C97">
        <w:rPr>
          <w:rFonts w:asciiTheme="minorHAnsi" w:hAnsiTheme="minorHAnsi" w:cs="Times New Roman"/>
          <w:sz w:val="22"/>
          <w:szCs w:val="22"/>
          <w:lang w:val="en-US"/>
        </w:rPr>
        <w:t xml:space="preserve">beta </w:t>
      </w:r>
      <w:r w:rsidRPr="00337C97">
        <w:rPr>
          <w:rFonts w:asciiTheme="minorHAnsi" w:hAnsiTheme="minorHAnsi" w:cs="Times New Roman"/>
          <w:sz w:val="22"/>
          <w:szCs w:val="22"/>
          <w:lang w:val="en-US"/>
        </w:rPr>
        <w:t>coefficients related to each independent variable</w:t>
      </w:r>
      <w:r w:rsidR="0086087C" w:rsidRPr="00337C97">
        <w:rPr>
          <w:rFonts w:asciiTheme="minorHAnsi" w:hAnsiTheme="minorHAnsi" w:cs="Times New Roman"/>
          <w:sz w:val="22"/>
          <w:szCs w:val="22"/>
          <w:lang w:val="en-US"/>
        </w:rPr>
        <w:t xml:space="preserve"> (see </w:t>
      </w:r>
      <w:r w:rsidR="00F619B0" w:rsidRPr="00337C97">
        <w:rPr>
          <w:rFonts w:asciiTheme="minorHAnsi" w:hAnsiTheme="minorHAnsi" w:cs="Times New Roman"/>
          <w:sz w:val="22"/>
          <w:szCs w:val="22"/>
          <w:lang w:val="en-US"/>
        </w:rPr>
        <w:t>Table 7</w:t>
      </w:r>
      <w:r w:rsidR="0086087C" w:rsidRPr="00337C97">
        <w:rPr>
          <w:rFonts w:asciiTheme="minorHAnsi" w:hAnsiTheme="minorHAnsi" w:cs="Times New Roman"/>
          <w:sz w:val="22"/>
          <w:szCs w:val="22"/>
          <w:lang w:val="en-US"/>
        </w:rPr>
        <w:t>).</w:t>
      </w:r>
    </w:p>
    <w:p w:rsidR="007C5A04" w:rsidRPr="00337C97" w:rsidRDefault="007C5A04" w:rsidP="005E501F">
      <w:pPr>
        <w:autoSpaceDE w:val="0"/>
        <w:autoSpaceDN w:val="0"/>
        <w:adjustRightInd w:val="0"/>
        <w:spacing w:line="360" w:lineRule="auto"/>
        <w:jc w:val="both"/>
        <w:rPr>
          <w:rFonts w:asciiTheme="minorHAnsi" w:hAnsiTheme="minorHAnsi" w:cs="Times New Roman"/>
          <w:sz w:val="22"/>
          <w:szCs w:val="22"/>
          <w:lang w:val="en-US" w:eastAsia="nl-NL" w:bidi="ar-SA"/>
        </w:rPr>
      </w:pPr>
    </w:p>
    <w:p w:rsidR="008B3275" w:rsidRPr="00337C97" w:rsidRDefault="007C5A04" w:rsidP="00FB6E63">
      <w:pPr>
        <w:autoSpaceDE w:val="0"/>
        <w:autoSpaceDN w:val="0"/>
        <w:adjustRightInd w:val="0"/>
        <w:spacing w:line="360" w:lineRule="auto"/>
        <w:jc w:val="both"/>
        <w:rPr>
          <w:rFonts w:asciiTheme="minorHAnsi" w:hAnsiTheme="minorHAnsi" w:cs="Times New Roman"/>
          <w:sz w:val="22"/>
          <w:szCs w:val="22"/>
          <w:lang w:val="en-US" w:eastAsia="nl-NL" w:bidi="ar-SA"/>
        </w:rPr>
      </w:pPr>
      <w:r w:rsidRPr="00337C97">
        <w:rPr>
          <w:rFonts w:asciiTheme="minorHAnsi" w:hAnsiTheme="minorHAnsi" w:cs="Times New Roman"/>
          <w:sz w:val="22"/>
          <w:szCs w:val="22"/>
          <w:lang w:val="en-US" w:eastAsia="nl-NL" w:bidi="ar-SA"/>
        </w:rPr>
        <w:t xml:space="preserve">The coefficients and the significance of the t-test show whether the model supports the pre-developed </w:t>
      </w:r>
      <w:r w:rsidR="00FB6E63" w:rsidRPr="00337C97">
        <w:rPr>
          <w:rFonts w:asciiTheme="minorHAnsi" w:hAnsiTheme="minorHAnsi" w:cs="Times New Roman"/>
          <w:sz w:val="22"/>
          <w:szCs w:val="22"/>
          <w:lang w:val="en-US" w:eastAsia="nl-NL" w:bidi="ar-SA"/>
        </w:rPr>
        <w:t>hypothese</w:t>
      </w:r>
      <w:r w:rsidRPr="00337C97">
        <w:rPr>
          <w:rFonts w:asciiTheme="minorHAnsi" w:hAnsiTheme="minorHAnsi" w:cs="Times New Roman"/>
          <w:sz w:val="22"/>
          <w:szCs w:val="22"/>
          <w:lang w:val="en-US" w:eastAsia="nl-NL" w:bidi="ar-SA"/>
        </w:rPr>
        <w:t xml:space="preserve">s. </w:t>
      </w:r>
      <w:r w:rsidR="00FB6E63" w:rsidRPr="00337C97">
        <w:rPr>
          <w:rFonts w:asciiTheme="minorHAnsi" w:hAnsiTheme="minorHAnsi" w:cs="Times New Roman"/>
          <w:sz w:val="22"/>
          <w:szCs w:val="22"/>
          <w:lang w:val="en-US" w:eastAsia="nl-NL" w:bidi="ar-SA"/>
        </w:rPr>
        <w:t>The positive significant coefficient between size and risk disclosure confirms hypothesis 1</w:t>
      </w:r>
      <w:r w:rsidR="00FE75AC" w:rsidRPr="00337C97">
        <w:rPr>
          <w:rFonts w:asciiTheme="minorHAnsi" w:hAnsiTheme="minorHAnsi" w:cs="Times New Roman"/>
          <w:sz w:val="22"/>
          <w:szCs w:val="22"/>
          <w:lang w:val="en-US" w:eastAsia="nl-NL" w:bidi="ar-SA"/>
        </w:rPr>
        <w:t xml:space="preserve"> (H1)</w:t>
      </w:r>
      <w:r w:rsidR="00FB6E63" w:rsidRPr="00337C97">
        <w:rPr>
          <w:rFonts w:asciiTheme="minorHAnsi" w:hAnsiTheme="minorHAnsi" w:cs="Times New Roman"/>
          <w:sz w:val="22"/>
          <w:szCs w:val="22"/>
          <w:lang w:val="en-US" w:eastAsia="nl-NL" w:bidi="ar-SA"/>
        </w:rPr>
        <w:t xml:space="preserve">. Large banks disclose more about their risks than small banks. It supports the positive accounting theory regarding the political cost hypothesis, when we apply this hypothesis towards risk disclosure. Furthermore, it supports the stakeholder theory. To meet information needs of a large group of stakeholders, the bank’s burden of disclosure becomes heavier. Finally, it confirms earlier findings of Beretta and Bozzolan (2004), Linsley and Shrives (2005b), Linsley et al. (2006), Abraham and Cox (2007), Hossain (2008), Amran et al. (2009) and Michiels et al. (2009). </w:t>
      </w:r>
    </w:p>
    <w:p w:rsidR="00FB6E63" w:rsidRPr="00337C97" w:rsidRDefault="00FB6E63" w:rsidP="00FB6E63">
      <w:pPr>
        <w:autoSpaceDE w:val="0"/>
        <w:autoSpaceDN w:val="0"/>
        <w:adjustRightInd w:val="0"/>
        <w:spacing w:line="360" w:lineRule="auto"/>
        <w:jc w:val="both"/>
        <w:rPr>
          <w:rFonts w:asciiTheme="minorHAnsi" w:hAnsiTheme="minorHAnsi" w:cs="Times New Roman"/>
          <w:sz w:val="22"/>
          <w:szCs w:val="22"/>
          <w:lang w:val="en-US" w:eastAsia="nl-NL" w:bidi="ar-SA"/>
        </w:rPr>
      </w:pPr>
    </w:p>
    <w:p w:rsidR="00771A7D" w:rsidRPr="00337C97" w:rsidRDefault="005C6EA3" w:rsidP="00855596">
      <w:pPr>
        <w:autoSpaceDE w:val="0"/>
        <w:autoSpaceDN w:val="0"/>
        <w:adjustRightInd w:val="0"/>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No significant relationship is found between probability and risk disclosure. </w:t>
      </w:r>
      <w:r w:rsidR="00FE75AC" w:rsidRPr="00337C97">
        <w:rPr>
          <w:rFonts w:asciiTheme="minorHAnsi" w:hAnsiTheme="minorHAnsi" w:cs="Times New Roman"/>
          <w:sz w:val="22"/>
          <w:szCs w:val="22"/>
          <w:lang w:val="en-US"/>
        </w:rPr>
        <w:t>Therefore, there is n</w:t>
      </w:r>
      <w:r w:rsidR="001E1586" w:rsidRPr="00337C97">
        <w:rPr>
          <w:rFonts w:asciiTheme="minorHAnsi" w:hAnsiTheme="minorHAnsi" w:cs="Times New Roman"/>
          <w:sz w:val="22"/>
          <w:szCs w:val="22"/>
          <w:lang w:val="en-US"/>
        </w:rPr>
        <w:t xml:space="preserve">o support for hypothesis 2 (H2), although the positive beta coefficient is consistent with the theoretical reasoning of the hypothesis. </w:t>
      </w:r>
      <w:r w:rsidR="002B6CDB" w:rsidRPr="00337C97">
        <w:rPr>
          <w:rFonts w:asciiTheme="minorHAnsi" w:hAnsiTheme="minorHAnsi" w:cs="Times New Roman"/>
          <w:sz w:val="22"/>
          <w:szCs w:val="22"/>
          <w:lang w:val="en-US"/>
        </w:rPr>
        <w:t xml:space="preserve">In earlier studies theoretical constructs about the relationship between </w:t>
      </w:r>
      <w:r w:rsidR="00F35C0B" w:rsidRPr="00337C97">
        <w:rPr>
          <w:rFonts w:asciiTheme="minorHAnsi" w:hAnsiTheme="minorHAnsi" w:cs="Times New Roman"/>
          <w:sz w:val="22"/>
          <w:szCs w:val="22"/>
          <w:lang w:val="en-US"/>
        </w:rPr>
        <w:t xml:space="preserve">relative </w:t>
      </w:r>
      <w:r w:rsidR="002B6CDB" w:rsidRPr="00337C97">
        <w:rPr>
          <w:rFonts w:asciiTheme="minorHAnsi" w:hAnsiTheme="minorHAnsi" w:cs="Times New Roman"/>
          <w:sz w:val="22"/>
          <w:szCs w:val="22"/>
          <w:lang w:val="en-US"/>
        </w:rPr>
        <w:t>profitability</w:t>
      </w:r>
      <w:r w:rsidR="00516A99" w:rsidRPr="00337C97">
        <w:rPr>
          <w:rFonts w:asciiTheme="minorHAnsi" w:hAnsiTheme="minorHAnsi" w:cs="Times New Roman"/>
          <w:sz w:val="22"/>
          <w:szCs w:val="22"/>
          <w:lang w:val="en-US"/>
        </w:rPr>
        <w:t xml:space="preserve"> </w:t>
      </w:r>
      <w:r w:rsidR="002B6CDB" w:rsidRPr="00337C97">
        <w:rPr>
          <w:rFonts w:asciiTheme="minorHAnsi" w:hAnsiTheme="minorHAnsi" w:cs="Times New Roman"/>
          <w:sz w:val="22"/>
          <w:szCs w:val="22"/>
          <w:lang w:val="en-US"/>
        </w:rPr>
        <w:t>and risk disclosure have been developed, but generally these are not empirically confirmed. However, a few studies found significant relationship</w:t>
      </w:r>
      <w:r w:rsidR="007E77E9" w:rsidRPr="00337C97">
        <w:rPr>
          <w:rFonts w:asciiTheme="minorHAnsi" w:hAnsiTheme="minorHAnsi" w:cs="Times New Roman"/>
          <w:sz w:val="22"/>
          <w:szCs w:val="22"/>
          <w:lang w:val="en-US"/>
        </w:rPr>
        <w:t xml:space="preserve">s, either positive or negative (Hossain, 2008; Helbok and Wagner, 2003; Michiels et al., 2009). </w:t>
      </w:r>
      <w:r w:rsidR="00855596" w:rsidRPr="00337C97">
        <w:rPr>
          <w:rFonts w:asciiTheme="minorHAnsi" w:hAnsiTheme="minorHAnsi" w:cs="Times New Roman"/>
          <w:sz w:val="22"/>
          <w:szCs w:val="22"/>
          <w:lang w:val="en-US"/>
        </w:rPr>
        <w:t>A possible explanation that this study did not find a significant relationship might be due to the consequences of the financial crisis. M</w:t>
      </w:r>
      <w:r w:rsidR="002B6CDB" w:rsidRPr="00337C97">
        <w:rPr>
          <w:rFonts w:asciiTheme="minorHAnsi" w:hAnsiTheme="minorHAnsi" w:cs="Times New Roman"/>
          <w:sz w:val="22"/>
          <w:szCs w:val="22"/>
          <w:lang w:val="en-US"/>
        </w:rPr>
        <w:t>assive write-downs on certain portfolios led to major losses at certain European banks. Hence, this influenced net income, one of the tw</w:t>
      </w:r>
      <w:r w:rsidR="00855596" w:rsidRPr="00337C97">
        <w:rPr>
          <w:rFonts w:asciiTheme="minorHAnsi" w:hAnsiTheme="minorHAnsi" w:cs="Times New Roman"/>
          <w:sz w:val="22"/>
          <w:szCs w:val="22"/>
          <w:lang w:val="en-US"/>
        </w:rPr>
        <w:t>o</w:t>
      </w:r>
      <w:r w:rsidR="002B6CDB" w:rsidRPr="00337C97">
        <w:rPr>
          <w:rFonts w:asciiTheme="minorHAnsi" w:hAnsiTheme="minorHAnsi" w:cs="Times New Roman"/>
          <w:sz w:val="22"/>
          <w:szCs w:val="22"/>
          <w:lang w:val="en-US"/>
        </w:rPr>
        <w:t xml:space="preserve"> elements in the profitability ratio return on assets. As a result, </w:t>
      </w:r>
      <w:r w:rsidR="006F1D73" w:rsidRPr="00337C97">
        <w:rPr>
          <w:rFonts w:asciiTheme="minorHAnsi" w:hAnsiTheme="minorHAnsi" w:cs="Times New Roman"/>
          <w:sz w:val="22"/>
          <w:szCs w:val="22"/>
          <w:lang w:val="en-US"/>
        </w:rPr>
        <w:t xml:space="preserve">the </w:t>
      </w:r>
      <w:r w:rsidR="002B6CDB" w:rsidRPr="00337C97">
        <w:rPr>
          <w:rFonts w:asciiTheme="minorHAnsi" w:hAnsiTheme="minorHAnsi" w:cs="Times New Roman"/>
          <w:sz w:val="22"/>
          <w:szCs w:val="22"/>
          <w:lang w:val="en-US"/>
        </w:rPr>
        <w:t xml:space="preserve">profitability ratio </w:t>
      </w:r>
      <w:r w:rsidR="00440BCA" w:rsidRPr="00337C97">
        <w:rPr>
          <w:rFonts w:asciiTheme="minorHAnsi" w:hAnsiTheme="minorHAnsi" w:cs="Times New Roman"/>
          <w:sz w:val="22"/>
          <w:szCs w:val="22"/>
          <w:lang w:val="en-US"/>
        </w:rPr>
        <w:t>might be</w:t>
      </w:r>
      <w:r w:rsidR="002B6CDB" w:rsidRPr="00337C97">
        <w:rPr>
          <w:rFonts w:asciiTheme="minorHAnsi" w:hAnsiTheme="minorHAnsi" w:cs="Times New Roman"/>
          <w:sz w:val="22"/>
          <w:szCs w:val="22"/>
          <w:lang w:val="en-US"/>
        </w:rPr>
        <w:t xml:space="preserve"> bias</w:t>
      </w:r>
      <w:r w:rsidR="006F1D73" w:rsidRPr="00337C97">
        <w:rPr>
          <w:rFonts w:asciiTheme="minorHAnsi" w:hAnsiTheme="minorHAnsi" w:cs="Times New Roman"/>
          <w:sz w:val="22"/>
          <w:szCs w:val="22"/>
          <w:lang w:val="en-US"/>
        </w:rPr>
        <w:t xml:space="preserve">ed due to the </w:t>
      </w:r>
      <w:r w:rsidR="00600959" w:rsidRPr="00337C97">
        <w:rPr>
          <w:rFonts w:asciiTheme="minorHAnsi" w:hAnsiTheme="minorHAnsi" w:cs="Times New Roman"/>
          <w:sz w:val="22"/>
          <w:szCs w:val="22"/>
          <w:lang w:val="en-US"/>
        </w:rPr>
        <w:t>volatility in net income.</w:t>
      </w:r>
    </w:p>
    <w:p w:rsidR="006F1D73" w:rsidRPr="00337C97" w:rsidRDefault="006F1D73" w:rsidP="00855596">
      <w:pPr>
        <w:autoSpaceDE w:val="0"/>
        <w:autoSpaceDN w:val="0"/>
        <w:adjustRightInd w:val="0"/>
        <w:spacing w:line="360" w:lineRule="auto"/>
        <w:jc w:val="both"/>
        <w:rPr>
          <w:rFonts w:asciiTheme="minorHAnsi" w:hAnsiTheme="minorHAnsi" w:cs="Times New Roman"/>
          <w:sz w:val="22"/>
          <w:szCs w:val="22"/>
          <w:lang w:val="en-US"/>
        </w:rPr>
      </w:pPr>
    </w:p>
    <w:p w:rsidR="002B6CDB" w:rsidRPr="00337C97" w:rsidRDefault="00A21633" w:rsidP="002B6CDB">
      <w:pPr>
        <w:autoSpaceDE w:val="0"/>
        <w:autoSpaceDN w:val="0"/>
        <w:adjustRightInd w:val="0"/>
        <w:spacing w:line="360" w:lineRule="auto"/>
        <w:jc w:val="both"/>
        <w:rPr>
          <w:rFonts w:asciiTheme="minorHAnsi" w:hAnsiTheme="minorHAnsi"/>
          <w:sz w:val="22"/>
          <w:szCs w:val="22"/>
          <w:lang w:val="en-US"/>
        </w:rPr>
      </w:pPr>
      <w:r w:rsidRPr="00337C97">
        <w:rPr>
          <w:rFonts w:asciiTheme="minorHAnsi" w:hAnsiTheme="minorHAnsi" w:cs="Times New Roman"/>
          <w:sz w:val="22"/>
          <w:szCs w:val="22"/>
          <w:lang w:val="en-US"/>
        </w:rPr>
        <w:t xml:space="preserve">Regarding the third hypothesis, no significant relationship is found between a bank’s level of risk and risk disclosure. </w:t>
      </w:r>
      <w:r w:rsidR="00F35C0B" w:rsidRPr="00337C97">
        <w:rPr>
          <w:rFonts w:asciiTheme="minorHAnsi" w:hAnsiTheme="minorHAnsi" w:cs="Times New Roman"/>
          <w:sz w:val="22"/>
          <w:szCs w:val="22"/>
          <w:lang w:val="en-US"/>
        </w:rPr>
        <w:t>Therefore, it does not appear that the riskier banks are seeking to give the marketplace confidence in their ability to manage risk through the disclosure of greater amounts of risk information. Banks may not want to draw attention to their ‘riskiness’ and therefore may be reluctant to voluntary disclose significant amounts of risk information. By contrast, banks with lower levels of risk, perhaps because of their superior risk management abilities, may wish to signal this through improved risk disclosure (Linsley and Shrives, 2006, p. 391). Linsley et al. (2006, p. 279) suggest that it may be that the banks wish to keep discussions concerning their risk levels and their risk management capabilities out of the public domain. This desire for privacy may be related to</w:t>
      </w:r>
      <w:r w:rsidR="001275B0" w:rsidRPr="00337C97">
        <w:rPr>
          <w:rFonts w:asciiTheme="minorHAnsi" w:hAnsiTheme="minorHAnsi" w:cs="Times New Roman"/>
          <w:sz w:val="22"/>
          <w:szCs w:val="22"/>
          <w:lang w:val="en-US"/>
        </w:rPr>
        <w:t xml:space="preserve"> the issue of proprietary costs. There is no empirical support for hypothesis 3. This confirms findings of Linsley and Shrives (</w:t>
      </w:r>
      <w:r w:rsidRPr="00337C97">
        <w:rPr>
          <w:rFonts w:asciiTheme="minorHAnsi" w:hAnsiTheme="minorHAnsi"/>
          <w:sz w:val="22"/>
          <w:szCs w:val="22"/>
          <w:lang w:val="en-US"/>
        </w:rPr>
        <w:t>2005b)</w:t>
      </w:r>
      <w:r w:rsidR="001275B0" w:rsidRPr="00337C97">
        <w:rPr>
          <w:rFonts w:asciiTheme="minorHAnsi" w:hAnsiTheme="minorHAnsi"/>
          <w:sz w:val="22"/>
          <w:szCs w:val="22"/>
          <w:lang w:val="en-US"/>
        </w:rPr>
        <w:t>, who</w:t>
      </w:r>
      <w:r w:rsidRPr="00337C97">
        <w:rPr>
          <w:rFonts w:asciiTheme="minorHAnsi" w:hAnsiTheme="minorHAnsi"/>
          <w:sz w:val="22"/>
          <w:szCs w:val="22"/>
          <w:lang w:val="en-US"/>
        </w:rPr>
        <w:t xml:space="preserve"> used five proxies to capture the level of company risk but did not found any of them significantly related to the extent of risk disclosure. Similar non-significant results were found by Linsley et al. (2006), Lajili and Zeghal (2005) and Amran et al. (2009). </w:t>
      </w:r>
    </w:p>
    <w:p w:rsidR="001275B0" w:rsidRPr="00337C97" w:rsidRDefault="001275B0" w:rsidP="002B6CDB">
      <w:pPr>
        <w:autoSpaceDE w:val="0"/>
        <w:autoSpaceDN w:val="0"/>
        <w:adjustRightInd w:val="0"/>
        <w:spacing w:line="360" w:lineRule="auto"/>
        <w:jc w:val="both"/>
        <w:rPr>
          <w:rFonts w:asciiTheme="minorHAnsi" w:hAnsiTheme="minorHAnsi"/>
          <w:sz w:val="22"/>
          <w:szCs w:val="22"/>
          <w:lang w:val="en-US"/>
        </w:rPr>
      </w:pPr>
    </w:p>
    <w:p w:rsidR="002D2953" w:rsidRPr="00337C97" w:rsidRDefault="005A1588" w:rsidP="002B6CDB">
      <w:pPr>
        <w:autoSpaceDE w:val="0"/>
        <w:autoSpaceDN w:val="0"/>
        <w:adjustRightInd w:val="0"/>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fourth hypothesis </w:t>
      </w:r>
      <w:r w:rsidR="003B74EA" w:rsidRPr="00337C97">
        <w:rPr>
          <w:rFonts w:asciiTheme="minorHAnsi" w:hAnsiTheme="minorHAnsi" w:cs="Times New Roman"/>
          <w:sz w:val="22"/>
          <w:szCs w:val="22"/>
          <w:lang w:val="en-US"/>
        </w:rPr>
        <w:t xml:space="preserve">(H4) </w:t>
      </w:r>
      <w:r w:rsidRPr="00337C97">
        <w:rPr>
          <w:rFonts w:asciiTheme="minorHAnsi" w:hAnsiTheme="minorHAnsi" w:cs="Times New Roman"/>
          <w:sz w:val="22"/>
          <w:szCs w:val="22"/>
          <w:lang w:val="en-US"/>
        </w:rPr>
        <w:t xml:space="preserve">emphasized that the extent of risk disclosure is greater for banks with multiple listing statuses. </w:t>
      </w:r>
      <w:r w:rsidR="00A0000C" w:rsidRPr="00337C97">
        <w:rPr>
          <w:rFonts w:asciiTheme="minorHAnsi" w:hAnsiTheme="minorHAnsi" w:cs="Times New Roman"/>
          <w:sz w:val="22"/>
          <w:szCs w:val="22"/>
          <w:lang w:val="en-US"/>
        </w:rPr>
        <w:t>The theoretical construct (see 5.4.4) seems very solid and is supported by two earlier studies (Abraham and Cox, 2007 and Haniffa and Cooke, 2005). This study however shows no significant coefficient on multiple listing status</w:t>
      </w:r>
      <w:r w:rsidR="003B74EA" w:rsidRPr="00337C97">
        <w:rPr>
          <w:rFonts w:asciiTheme="minorHAnsi" w:hAnsiTheme="minorHAnsi" w:cs="Times New Roman"/>
          <w:sz w:val="22"/>
          <w:szCs w:val="22"/>
          <w:lang w:val="en-US"/>
        </w:rPr>
        <w:t>es related to risk disclosure and therefore no empirical support is found for the fourth hypothesis.</w:t>
      </w:r>
      <w:r w:rsidR="00142825" w:rsidRPr="00337C97">
        <w:rPr>
          <w:rFonts w:asciiTheme="minorHAnsi" w:hAnsiTheme="minorHAnsi" w:cs="Times New Roman"/>
          <w:sz w:val="22"/>
          <w:szCs w:val="22"/>
          <w:lang w:val="en-US"/>
        </w:rPr>
        <w:t xml:space="preserve"> </w:t>
      </w:r>
      <w:r w:rsidR="001E03F7" w:rsidRPr="00337C97">
        <w:rPr>
          <w:rFonts w:asciiTheme="minorHAnsi" w:hAnsiTheme="minorHAnsi" w:cs="Times New Roman"/>
          <w:sz w:val="22"/>
          <w:szCs w:val="22"/>
          <w:lang w:val="en-US"/>
        </w:rPr>
        <w:t xml:space="preserve">On the other hand, the direction of the relationship is positive, pointing towards a positive relationship that confirms the theoretical construct. </w:t>
      </w:r>
      <w:r w:rsidR="002A1A53" w:rsidRPr="00337C97">
        <w:rPr>
          <w:rFonts w:asciiTheme="minorHAnsi" w:hAnsiTheme="minorHAnsi" w:cs="Times New Roman"/>
          <w:sz w:val="22"/>
          <w:szCs w:val="22"/>
          <w:lang w:val="en-US"/>
        </w:rPr>
        <w:t>The relationship between credit ratings and risk disclosure is for the first time investigated in risk disclosure research. It was argued that banks with higher credit ratings release more risk disclosure than banks with lower credit ratings. However, the coefficient on credit ratings is negative and not found to be significant. Therefore, the fifth hypothesis (H5) is not empirically supported.</w:t>
      </w:r>
    </w:p>
    <w:p w:rsidR="00903352" w:rsidRPr="00337C97" w:rsidRDefault="00582C27" w:rsidP="002B6CDB">
      <w:pPr>
        <w:autoSpaceDE w:val="0"/>
        <w:autoSpaceDN w:val="0"/>
        <w:adjustRightInd w:val="0"/>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Regarding the sixth hypothesis about organizational structure, it has been hypothesized that a two-tier structure leads to stronger corporate governance, and hence to more risk disclosure. However, the coefficient is found to be not significant</w:t>
      </w:r>
      <w:r w:rsidR="00C936E2" w:rsidRPr="00337C97">
        <w:rPr>
          <w:rFonts w:asciiTheme="minorHAnsi" w:hAnsiTheme="minorHAnsi" w:cs="Times New Roman"/>
          <w:sz w:val="22"/>
          <w:szCs w:val="22"/>
          <w:lang w:val="en-US"/>
        </w:rPr>
        <w:t xml:space="preserve">, meaning that there is </w:t>
      </w:r>
      <w:r w:rsidRPr="00337C97">
        <w:rPr>
          <w:rFonts w:asciiTheme="minorHAnsi" w:hAnsiTheme="minorHAnsi" w:cs="Times New Roman"/>
          <w:sz w:val="22"/>
          <w:szCs w:val="22"/>
          <w:lang w:val="en-US"/>
        </w:rPr>
        <w:t xml:space="preserve">no empirical evidence </w:t>
      </w:r>
      <w:r w:rsidR="00C936E2" w:rsidRPr="00337C97">
        <w:rPr>
          <w:rFonts w:asciiTheme="minorHAnsi" w:hAnsiTheme="minorHAnsi" w:cs="Times New Roman"/>
          <w:sz w:val="22"/>
          <w:szCs w:val="22"/>
          <w:lang w:val="en-US"/>
        </w:rPr>
        <w:t>to support</w:t>
      </w:r>
      <w:r w:rsidRPr="00337C97">
        <w:rPr>
          <w:rFonts w:asciiTheme="minorHAnsi" w:hAnsiTheme="minorHAnsi" w:cs="Times New Roman"/>
          <w:sz w:val="22"/>
          <w:szCs w:val="22"/>
          <w:lang w:val="en-US"/>
        </w:rPr>
        <w:t xml:space="preserve"> this hypothesis.</w:t>
      </w:r>
      <w:r w:rsidR="002D2953" w:rsidRPr="00337C97">
        <w:rPr>
          <w:rFonts w:asciiTheme="minorHAnsi" w:hAnsiTheme="minorHAnsi" w:cs="Times New Roman"/>
          <w:sz w:val="22"/>
          <w:szCs w:val="22"/>
          <w:lang w:val="en-US"/>
        </w:rPr>
        <w:t xml:space="preserve"> </w:t>
      </w:r>
      <w:r w:rsidR="00626025" w:rsidRPr="00337C97">
        <w:rPr>
          <w:rFonts w:asciiTheme="minorHAnsi" w:hAnsiTheme="minorHAnsi" w:cs="Times New Roman"/>
          <w:sz w:val="22"/>
          <w:szCs w:val="22"/>
          <w:lang w:val="en-US"/>
        </w:rPr>
        <w:t>In contrast, it confirms the BCBS notion (1999) that there are no universally correct answers to corporate governance structures, as these structures vary in different countries.</w:t>
      </w:r>
    </w:p>
    <w:p w:rsidR="00903352" w:rsidRPr="00337C97" w:rsidRDefault="00903352" w:rsidP="002B6CDB">
      <w:pPr>
        <w:autoSpaceDE w:val="0"/>
        <w:autoSpaceDN w:val="0"/>
        <w:adjustRightInd w:val="0"/>
        <w:spacing w:line="360" w:lineRule="auto"/>
        <w:jc w:val="both"/>
        <w:rPr>
          <w:rFonts w:asciiTheme="minorHAnsi" w:hAnsiTheme="minorHAnsi" w:cs="Times New Roman"/>
          <w:sz w:val="22"/>
          <w:szCs w:val="22"/>
          <w:lang w:val="en-US"/>
        </w:rPr>
      </w:pPr>
    </w:p>
    <w:p w:rsidR="00C936E2" w:rsidRPr="00337C97" w:rsidRDefault="00D861D2" w:rsidP="002B6CDB">
      <w:pPr>
        <w:autoSpaceDE w:val="0"/>
        <w:autoSpaceDN w:val="0"/>
        <w:adjustRightInd w:val="0"/>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For the seventh hypothesis, the proportion </w:t>
      </w:r>
      <w:r w:rsidR="00C936E2" w:rsidRPr="00337C97">
        <w:rPr>
          <w:rFonts w:asciiTheme="minorHAnsi" w:hAnsiTheme="minorHAnsi" w:cs="Times New Roman"/>
          <w:sz w:val="22"/>
          <w:szCs w:val="22"/>
          <w:lang w:val="en-US"/>
        </w:rPr>
        <w:t xml:space="preserve">of </w:t>
      </w:r>
      <w:r w:rsidRPr="00337C97">
        <w:rPr>
          <w:rFonts w:asciiTheme="minorHAnsi" w:hAnsiTheme="minorHAnsi" w:cs="Times New Roman"/>
          <w:sz w:val="22"/>
          <w:szCs w:val="22"/>
          <w:lang w:val="en-US"/>
        </w:rPr>
        <w:t xml:space="preserve">non-executive directors </w:t>
      </w:r>
      <w:r w:rsidR="00C936E2" w:rsidRPr="00337C97">
        <w:rPr>
          <w:rFonts w:asciiTheme="minorHAnsi" w:hAnsiTheme="minorHAnsi" w:cs="Times New Roman"/>
          <w:sz w:val="22"/>
          <w:szCs w:val="22"/>
          <w:lang w:val="en-US"/>
        </w:rPr>
        <w:t xml:space="preserve">divided by the number of </w:t>
      </w:r>
      <w:r w:rsidRPr="00337C97">
        <w:rPr>
          <w:rFonts w:asciiTheme="minorHAnsi" w:hAnsiTheme="minorHAnsi" w:cs="Times New Roman"/>
          <w:sz w:val="22"/>
          <w:szCs w:val="22"/>
          <w:lang w:val="en-US"/>
        </w:rPr>
        <w:t xml:space="preserve">total directors is used. </w:t>
      </w:r>
      <w:r w:rsidR="002D2953" w:rsidRPr="00337C97">
        <w:rPr>
          <w:rFonts w:asciiTheme="minorHAnsi" w:hAnsiTheme="minorHAnsi" w:cs="Times New Roman"/>
          <w:sz w:val="22"/>
          <w:szCs w:val="22"/>
          <w:lang w:val="en-US"/>
        </w:rPr>
        <w:t xml:space="preserve">According to Abraham and Cox (2007, p. </w:t>
      </w:r>
      <w:r w:rsidRPr="00337C97">
        <w:rPr>
          <w:rFonts w:asciiTheme="minorHAnsi" w:hAnsiTheme="minorHAnsi" w:cs="Times New Roman"/>
          <w:sz w:val="22"/>
          <w:szCs w:val="22"/>
          <w:lang w:val="en-US"/>
        </w:rPr>
        <w:t>231</w:t>
      </w:r>
      <w:r w:rsidR="002D2953" w:rsidRPr="00337C97">
        <w:rPr>
          <w:rFonts w:asciiTheme="minorHAnsi" w:hAnsiTheme="minorHAnsi" w:cs="Times New Roman"/>
          <w:sz w:val="22"/>
          <w:szCs w:val="22"/>
          <w:lang w:val="en-US"/>
        </w:rPr>
        <w:t xml:space="preserve">) non-executives in the board give balance in the organization and a board with </w:t>
      </w:r>
      <w:r w:rsidRPr="00337C97">
        <w:rPr>
          <w:rFonts w:asciiTheme="minorHAnsi" w:hAnsiTheme="minorHAnsi" w:cs="Times New Roman"/>
          <w:sz w:val="22"/>
          <w:szCs w:val="22"/>
          <w:lang w:val="en-US"/>
        </w:rPr>
        <w:t xml:space="preserve">non-executive directors in greater numbers </w:t>
      </w:r>
      <w:r w:rsidR="002D2953" w:rsidRPr="00337C97">
        <w:rPr>
          <w:rFonts w:asciiTheme="minorHAnsi" w:hAnsiTheme="minorHAnsi" w:cs="Times New Roman"/>
          <w:sz w:val="22"/>
          <w:szCs w:val="22"/>
          <w:lang w:val="en-US"/>
        </w:rPr>
        <w:t xml:space="preserve">is in a </w:t>
      </w:r>
      <w:r w:rsidRPr="00337C97">
        <w:rPr>
          <w:rFonts w:asciiTheme="minorHAnsi" w:hAnsiTheme="minorHAnsi" w:cs="Times New Roman"/>
          <w:sz w:val="22"/>
          <w:szCs w:val="22"/>
          <w:lang w:val="en-US"/>
        </w:rPr>
        <w:t xml:space="preserve">stronger </w:t>
      </w:r>
      <w:r w:rsidR="002D2953" w:rsidRPr="00337C97">
        <w:rPr>
          <w:rFonts w:asciiTheme="minorHAnsi" w:hAnsiTheme="minorHAnsi" w:cs="Times New Roman"/>
          <w:sz w:val="22"/>
          <w:szCs w:val="22"/>
          <w:lang w:val="en-US"/>
        </w:rPr>
        <w:t xml:space="preserve">position to </w:t>
      </w:r>
      <w:r w:rsidRPr="00337C97">
        <w:rPr>
          <w:rFonts w:asciiTheme="minorHAnsi" w:hAnsiTheme="minorHAnsi" w:cs="Times New Roman"/>
          <w:sz w:val="22"/>
          <w:szCs w:val="22"/>
          <w:lang w:val="en-US"/>
        </w:rPr>
        <w:t>fulfill shareholder preferences for accountability and transparency.</w:t>
      </w:r>
      <w:r w:rsidR="00C936E2" w:rsidRPr="00337C97">
        <w:rPr>
          <w:rFonts w:asciiTheme="minorHAnsi" w:hAnsiTheme="minorHAnsi" w:cs="Times New Roman"/>
          <w:sz w:val="22"/>
          <w:szCs w:val="22"/>
          <w:lang w:val="en-US"/>
        </w:rPr>
        <w:t xml:space="preserve"> </w:t>
      </w:r>
      <w:r w:rsidR="00B232E0" w:rsidRPr="00337C97">
        <w:rPr>
          <w:rFonts w:asciiTheme="minorHAnsi" w:hAnsiTheme="minorHAnsi" w:cs="Times New Roman"/>
          <w:sz w:val="22"/>
          <w:szCs w:val="22"/>
          <w:lang w:val="en-US"/>
        </w:rPr>
        <w:t xml:space="preserve">Testing the variable however leads </w:t>
      </w:r>
      <w:r w:rsidR="001E03F7" w:rsidRPr="00337C97">
        <w:rPr>
          <w:rFonts w:asciiTheme="minorHAnsi" w:hAnsiTheme="minorHAnsi" w:cs="Times New Roman"/>
          <w:sz w:val="22"/>
          <w:szCs w:val="22"/>
          <w:lang w:val="en-US"/>
        </w:rPr>
        <w:t>to no significant relationship.</w:t>
      </w:r>
    </w:p>
    <w:p w:rsidR="00771A7D" w:rsidRPr="00337C97" w:rsidRDefault="00771A7D" w:rsidP="005E501F">
      <w:pPr>
        <w:spacing w:line="360" w:lineRule="auto"/>
        <w:jc w:val="both"/>
        <w:rPr>
          <w:rFonts w:asciiTheme="minorHAnsi" w:hAnsiTheme="minorHAnsi" w:cs="Times New Roman"/>
          <w:sz w:val="22"/>
          <w:szCs w:val="22"/>
          <w:lang w:val="en-US"/>
        </w:rPr>
      </w:pPr>
    </w:p>
    <w:p w:rsidR="0037312D" w:rsidRPr="00337C97" w:rsidRDefault="0037312D" w:rsidP="00E17C40">
      <w:pPr>
        <w:spacing w:line="360" w:lineRule="auto"/>
        <w:jc w:val="both"/>
        <w:outlineLvl w:val="2"/>
        <w:rPr>
          <w:rFonts w:asciiTheme="minorHAnsi" w:hAnsiTheme="minorHAnsi" w:cs="Times New Roman"/>
          <w:i/>
          <w:sz w:val="22"/>
          <w:szCs w:val="22"/>
          <w:lang w:val="en-US"/>
        </w:rPr>
      </w:pPr>
      <w:bookmarkStart w:id="300" w:name="_Toc269658977"/>
      <w:r w:rsidRPr="00337C97">
        <w:rPr>
          <w:rFonts w:asciiTheme="minorHAnsi" w:hAnsiTheme="minorHAnsi" w:cs="Times New Roman"/>
          <w:i/>
          <w:sz w:val="22"/>
          <w:szCs w:val="22"/>
          <w:lang w:val="en-US"/>
        </w:rPr>
        <w:t>6.</w:t>
      </w:r>
      <w:r w:rsidR="00EA10F1" w:rsidRPr="00337C97">
        <w:rPr>
          <w:rFonts w:asciiTheme="minorHAnsi" w:hAnsiTheme="minorHAnsi" w:cs="Times New Roman"/>
          <w:i/>
          <w:sz w:val="22"/>
          <w:szCs w:val="22"/>
          <w:lang w:val="en-US"/>
        </w:rPr>
        <w:t>4</w:t>
      </w:r>
      <w:r w:rsidRPr="00337C97">
        <w:rPr>
          <w:rFonts w:asciiTheme="minorHAnsi" w:hAnsiTheme="minorHAnsi" w:cs="Times New Roman"/>
          <w:i/>
          <w:sz w:val="22"/>
          <w:szCs w:val="22"/>
          <w:lang w:val="en-US"/>
        </w:rPr>
        <w:t>.</w:t>
      </w:r>
      <w:r w:rsidR="002001BF" w:rsidRPr="00337C97">
        <w:rPr>
          <w:rFonts w:asciiTheme="minorHAnsi" w:hAnsiTheme="minorHAnsi" w:cs="Times New Roman"/>
          <w:i/>
          <w:sz w:val="22"/>
          <w:szCs w:val="22"/>
          <w:lang w:val="en-US"/>
        </w:rPr>
        <w:t>4</w:t>
      </w:r>
      <w:r w:rsidRPr="00337C97">
        <w:rPr>
          <w:rFonts w:asciiTheme="minorHAnsi" w:hAnsiTheme="minorHAnsi" w:cs="Times New Roman"/>
          <w:i/>
          <w:sz w:val="22"/>
          <w:szCs w:val="22"/>
          <w:lang w:val="en-US"/>
        </w:rPr>
        <w:tab/>
        <w:t>Conclusion</w:t>
      </w:r>
      <w:bookmarkEnd w:id="300"/>
    </w:p>
    <w:p w:rsidR="00F619B0" w:rsidRPr="00337C97" w:rsidRDefault="00D861D2" w:rsidP="00F619B0">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Although the outcomes show that the model is powerful in explaining the variation in the extent risk of disclosure, a detailed analysis of the independent variables show that only size is significant</w:t>
      </w:r>
      <w:r w:rsidR="00F619B0" w:rsidRPr="00337C97">
        <w:rPr>
          <w:rFonts w:asciiTheme="minorHAnsi" w:hAnsiTheme="minorHAnsi" w:cs="Times New Roman"/>
          <w:sz w:val="22"/>
          <w:szCs w:val="22"/>
          <w:lang w:val="en-US"/>
        </w:rPr>
        <w:t>. Regression analysis using ranked data leads to the same results.</w:t>
      </w:r>
    </w:p>
    <w:p w:rsidR="00D205C7" w:rsidRPr="00337C97" w:rsidRDefault="004632F9" w:rsidP="001B5B11">
      <w:pPr>
        <w:spacing w:line="360" w:lineRule="auto"/>
        <w:jc w:val="both"/>
        <w:outlineLvl w:val="0"/>
        <w:rPr>
          <w:rFonts w:asciiTheme="minorHAnsi" w:hAnsiTheme="minorHAnsi" w:cs="Times New Roman"/>
          <w:sz w:val="22"/>
          <w:szCs w:val="22"/>
          <w:lang w:val="en-US"/>
        </w:rPr>
      </w:pPr>
      <w:r w:rsidRPr="00337C97">
        <w:rPr>
          <w:rFonts w:asciiTheme="minorHAnsi" w:hAnsiTheme="minorHAnsi" w:cs="Times New Roman"/>
          <w:b/>
          <w:sz w:val="28"/>
          <w:szCs w:val="22"/>
          <w:lang w:val="en-US"/>
        </w:rPr>
        <w:br w:type="page"/>
      </w:r>
      <w:bookmarkStart w:id="301" w:name="_Toc269658978"/>
      <w:r w:rsidR="0037312D" w:rsidRPr="00337C97">
        <w:rPr>
          <w:rFonts w:asciiTheme="minorHAnsi" w:hAnsiTheme="minorHAnsi" w:cs="Times New Roman"/>
          <w:b/>
          <w:sz w:val="28"/>
          <w:szCs w:val="22"/>
          <w:lang w:val="en-US"/>
        </w:rPr>
        <w:lastRenderedPageBreak/>
        <w:t>7</w:t>
      </w:r>
      <w:r w:rsidRPr="00337C97">
        <w:rPr>
          <w:rFonts w:asciiTheme="minorHAnsi" w:hAnsiTheme="minorHAnsi" w:cs="Times New Roman"/>
          <w:b/>
          <w:sz w:val="28"/>
          <w:szCs w:val="22"/>
          <w:lang w:val="en-US"/>
        </w:rPr>
        <w:tab/>
      </w:r>
      <w:r w:rsidR="00D205C7" w:rsidRPr="00337C97">
        <w:rPr>
          <w:rFonts w:asciiTheme="minorHAnsi" w:hAnsiTheme="minorHAnsi" w:cs="Times New Roman"/>
          <w:b/>
          <w:sz w:val="28"/>
          <w:szCs w:val="22"/>
          <w:lang w:val="en-US"/>
        </w:rPr>
        <w:t>Conclusion</w:t>
      </w:r>
      <w:bookmarkEnd w:id="301"/>
    </w:p>
    <w:p w:rsidR="00D205C7" w:rsidRPr="00337C97" w:rsidRDefault="00D205C7" w:rsidP="004632F9">
      <w:pPr>
        <w:spacing w:line="360" w:lineRule="auto"/>
        <w:jc w:val="both"/>
        <w:rPr>
          <w:rFonts w:asciiTheme="minorHAnsi" w:hAnsiTheme="minorHAnsi" w:cs="Times New Roman"/>
          <w:sz w:val="22"/>
          <w:szCs w:val="22"/>
          <w:lang w:val="en-US"/>
        </w:rPr>
      </w:pPr>
    </w:p>
    <w:p w:rsidR="00771A7D" w:rsidRPr="00337C97" w:rsidRDefault="00771A7D" w:rsidP="00E944DC">
      <w:pPr>
        <w:spacing w:line="360" w:lineRule="auto"/>
        <w:jc w:val="both"/>
        <w:outlineLvl w:val="1"/>
        <w:rPr>
          <w:rFonts w:asciiTheme="minorHAnsi" w:hAnsiTheme="minorHAnsi" w:cs="Times New Roman"/>
          <w:b/>
          <w:sz w:val="22"/>
          <w:szCs w:val="22"/>
          <w:lang w:val="en-US"/>
        </w:rPr>
      </w:pPr>
      <w:bookmarkStart w:id="302" w:name="_Toc269658979"/>
      <w:r w:rsidRPr="00337C97">
        <w:rPr>
          <w:rFonts w:asciiTheme="minorHAnsi" w:hAnsiTheme="minorHAnsi" w:cs="Times New Roman"/>
          <w:b/>
          <w:sz w:val="22"/>
          <w:szCs w:val="22"/>
          <w:lang w:val="en-US"/>
        </w:rPr>
        <w:t>7.1</w:t>
      </w:r>
      <w:r w:rsidRPr="00337C97">
        <w:rPr>
          <w:rFonts w:asciiTheme="minorHAnsi" w:hAnsiTheme="minorHAnsi" w:cs="Times New Roman"/>
          <w:b/>
          <w:sz w:val="22"/>
          <w:szCs w:val="22"/>
          <w:lang w:val="en-US"/>
        </w:rPr>
        <w:tab/>
        <w:t>Introduction</w:t>
      </w:r>
      <w:bookmarkEnd w:id="302"/>
    </w:p>
    <w:p w:rsidR="00771A7D" w:rsidRPr="00337C97" w:rsidRDefault="00BA1B6F" w:rsidP="00E944D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chapter </w:t>
      </w:r>
      <w:r w:rsidR="00496B36" w:rsidRPr="00337C97">
        <w:rPr>
          <w:rFonts w:asciiTheme="minorHAnsi" w:hAnsiTheme="minorHAnsi" w:cs="Times New Roman"/>
          <w:sz w:val="22"/>
          <w:szCs w:val="22"/>
          <w:lang w:val="en-US"/>
        </w:rPr>
        <w:t>presents the main conclusions from this study and furthermore gives attention to its limitations and provides recommendations for future research.</w:t>
      </w:r>
    </w:p>
    <w:p w:rsidR="00BA1B6F" w:rsidRPr="00337C97" w:rsidRDefault="00BA1B6F" w:rsidP="00E944DC">
      <w:pPr>
        <w:spacing w:line="360" w:lineRule="auto"/>
        <w:jc w:val="both"/>
        <w:rPr>
          <w:rFonts w:asciiTheme="minorHAnsi" w:hAnsiTheme="minorHAnsi" w:cs="Times New Roman"/>
          <w:sz w:val="22"/>
          <w:szCs w:val="22"/>
          <w:lang w:val="en-US"/>
        </w:rPr>
      </w:pPr>
    </w:p>
    <w:p w:rsidR="00771A7D" w:rsidRPr="00337C97" w:rsidRDefault="00771A7D" w:rsidP="00E944DC">
      <w:pPr>
        <w:spacing w:line="360" w:lineRule="auto"/>
        <w:outlineLvl w:val="1"/>
        <w:rPr>
          <w:rFonts w:asciiTheme="minorHAnsi" w:hAnsiTheme="minorHAnsi" w:cs="Times New Roman"/>
          <w:b/>
          <w:sz w:val="22"/>
          <w:szCs w:val="22"/>
          <w:lang w:val="en-US"/>
        </w:rPr>
      </w:pPr>
      <w:bookmarkStart w:id="303" w:name="_Toc269658980"/>
      <w:r w:rsidRPr="00337C97">
        <w:rPr>
          <w:rFonts w:asciiTheme="minorHAnsi" w:hAnsiTheme="minorHAnsi" w:cs="Times New Roman"/>
          <w:b/>
          <w:sz w:val="22"/>
          <w:szCs w:val="22"/>
          <w:lang w:val="en-US"/>
        </w:rPr>
        <w:t>7.2</w:t>
      </w:r>
      <w:r w:rsidRPr="00337C97">
        <w:rPr>
          <w:rFonts w:asciiTheme="minorHAnsi" w:hAnsiTheme="minorHAnsi" w:cs="Times New Roman"/>
          <w:b/>
          <w:sz w:val="22"/>
          <w:szCs w:val="22"/>
          <w:lang w:val="en-US"/>
        </w:rPr>
        <w:tab/>
      </w:r>
      <w:r w:rsidR="00BA1B6F" w:rsidRPr="00337C97">
        <w:rPr>
          <w:rFonts w:asciiTheme="minorHAnsi" w:hAnsiTheme="minorHAnsi" w:cs="Times New Roman"/>
          <w:b/>
          <w:sz w:val="22"/>
          <w:szCs w:val="22"/>
          <w:lang w:val="en-US"/>
        </w:rPr>
        <w:t>Research conclusion</w:t>
      </w:r>
      <w:bookmarkEnd w:id="303"/>
    </w:p>
    <w:p w:rsidR="004632F9" w:rsidRPr="00337C97" w:rsidRDefault="004632F9" w:rsidP="00E944D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Never before has the importance of transparency and the role of risk disclosure been highlighted as today. The recent credit crisis has emphasized the need for transparent and open disclosure of financial information to all relevant market parties. When the risk management of an institution is adequate, it is possible to obtain confidence in the markets by credible risk disclosure. On the other hand, if the quality of risk management is poor, then it is likely that the risk disclosure is insufficient. </w:t>
      </w:r>
      <w:r w:rsidR="000372B7" w:rsidRPr="00337C97">
        <w:rPr>
          <w:rFonts w:asciiTheme="minorHAnsi" w:hAnsiTheme="minorHAnsi" w:cs="Times New Roman"/>
          <w:sz w:val="22"/>
          <w:szCs w:val="22"/>
          <w:lang w:val="en-US"/>
        </w:rPr>
        <w:t xml:space="preserve">This study aimed to give insight in the risk disclosure practices and its determinants in the European banking sector in 2007. </w:t>
      </w:r>
      <w:r w:rsidR="00234152" w:rsidRPr="00337C97">
        <w:rPr>
          <w:rFonts w:asciiTheme="minorHAnsi" w:hAnsiTheme="minorHAnsi" w:cs="Times New Roman"/>
          <w:sz w:val="22"/>
          <w:szCs w:val="22"/>
          <w:lang w:val="en-US"/>
        </w:rPr>
        <w:t xml:space="preserve">The following research question </w:t>
      </w:r>
      <w:r w:rsidR="00903352" w:rsidRPr="00337C97">
        <w:rPr>
          <w:rFonts w:asciiTheme="minorHAnsi" w:hAnsiTheme="minorHAnsi" w:cs="Times New Roman"/>
          <w:sz w:val="22"/>
          <w:szCs w:val="22"/>
          <w:lang w:val="en-US"/>
        </w:rPr>
        <w:t xml:space="preserve">has been </w:t>
      </w:r>
      <w:r w:rsidR="00234152" w:rsidRPr="00337C97">
        <w:rPr>
          <w:rFonts w:asciiTheme="minorHAnsi" w:hAnsiTheme="minorHAnsi" w:cs="Times New Roman"/>
          <w:sz w:val="22"/>
          <w:szCs w:val="22"/>
          <w:lang w:val="en-US"/>
        </w:rPr>
        <w:t>formulated</w:t>
      </w:r>
      <w:r w:rsidR="00903352" w:rsidRPr="00337C97">
        <w:rPr>
          <w:rFonts w:asciiTheme="minorHAnsi" w:hAnsiTheme="minorHAnsi" w:cs="Times New Roman"/>
          <w:sz w:val="22"/>
          <w:szCs w:val="22"/>
          <w:lang w:val="en-US"/>
        </w:rPr>
        <w:t xml:space="preserve"> (chapter 1)</w:t>
      </w:r>
      <w:r w:rsidR="00234152" w:rsidRPr="00337C97">
        <w:rPr>
          <w:rFonts w:asciiTheme="minorHAnsi" w:hAnsiTheme="minorHAnsi" w:cs="Times New Roman"/>
          <w:sz w:val="22"/>
          <w:szCs w:val="22"/>
          <w:lang w:val="en-US"/>
        </w:rPr>
        <w:t>:</w:t>
      </w:r>
    </w:p>
    <w:p w:rsidR="00234152" w:rsidRPr="00337C97" w:rsidRDefault="00234152" w:rsidP="00E944DC">
      <w:pPr>
        <w:spacing w:line="360" w:lineRule="auto"/>
        <w:jc w:val="both"/>
        <w:rPr>
          <w:rFonts w:asciiTheme="minorHAnsi" w:hAnsiTheme="minorHAnsi" w:cs="Times New Roman"/>
          <w:sz w:val="22"/>
          <w:szCs w:val="22"/>
          <w:lang w:val="en-US"/>
        </w:rPr>
      </w:pPr>
    </w:p>
    <w:p w:rsidR="00173203" w:rsidRPr="00337C97" w:rsidRDefault="00173203" w:rsidP="00E944DC">
      <w:pPr>
        <w:spacing w:line="360" w:lineRule="auto"/>
        <w:jc w:val="both"/>
        <w:rPr>
          <w:rFonts w:asciiTheme="minorHAnsi" w:hAnsiTheme="minorHAnsi" w:cs="Times New Roman"/>
          <w:i/>
          <w:sz w:val="22"/>
          <w:szCs w:val="22"/>
          <w:lang w:val="en-US"/>
        </w:rPr>
      </w:pPr>
      <w:r w:rsidRPr="00337C97">
        <w:rPr>
          <w:rFonts w:asciiTheme="minorHAnsi" w:hAnsiTheme="minorHAnsi" w:cs="Times New Roman"/>
          <w:i/>
          <w:sz w:val="22"/>
          <w:szCs w:val="22"/>
          <w:lang w:val="en-US"/>
        </w:rPr>
        <w:t>In which way do European banks disclose risks in the annual reports of 2007 and which firm-specific characteristics influence the extent of risk disclosure?</w:t>
      </w:r>
    </w:p>
    <w:p w:rsidR="00234152" w:rsidRPr="00337C97" w:rsidRDefault="00234152" w:rsidP="00E944DC">
      <w:pPr>
        <w:spacing w:line="360" w:lineRule="auto"/>
        <w:jc w:val="both"/>
        <w:rPr>
          <w:rFonts w:asciiTheme="minorHAnsi" w:hAnsiTheme="minorHAnsi" w:cs="Times New Roman"/>
          <w:sz w:val="22"/>
          <w:szCs w:val="22"/>
          <w:lang w:val="en-US"/>
        </w:rPr>
      </w:pPr>
    </w:p>
    <w:p w:rsidR="00173203" w:rsidRPr="00337C97" w:rsidRDefault="00F17FC0" w:rsidP="00E944D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Before the empirical research, first the institutional framework and theoretical framework related to risk disclosure were described. Moreover, a literature review of risk disclosure has been provided and discussed. The first part of the empirical research consisted of analyzing 40 annual bank reports of 2007 by means of content analysis. Risk disclosure score was measured by the number of sentences containing risk information. Furthermore, different attributes of the risk information were taken into account: qualitative/quantitative, future/past and good/neutral/bad. The content analysis showed how European banks disclosed risk in their annual reports. </w:t>
      </w:r>
    </w:p>
    <w:p w:rsidR="00C2023C" w:rsidRPr="00337C97" w:rsidRDefault="00C2023C" w:rsidP="00E944DC">
      <w:pPr>
        <w:spacing w:line="360" w:lineRule="auto"/>
        <w:jc w:val="both"/>
        <w:rPr>
          <w:rFonts w:asciiTheme="minorHAnsi" w:hAnsiTheme="minorHAnsi" w:cs="Times New Roman"/>
          <w:sz w:val="22"/>
          <w:szCs w:val="22"/>
          <w:lang w:val="en-US"/>
        </w:rPr>
      </w:pPr>
    </w:p>
    <w:p w:rsidR="002B4ED9" w:rsidRPr="00337C97" w:rsidRDefault="00C2023C" w:rsidP="00E944DC">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This study shows the highest average of risk disclosure per annual report, compared to earlier studies measuring the risk disclosure score in sentences. This indicates that banks are disclosing more risk information in the annual report than a few year earlier. Analyzing the different risk categories shows that credit and market risk are the most developed risk disclosure areas. This is in line with expectations, as IFRS 7 and Basel II were introduced in 2007, supporting the notion that regulatory requirements drive risk disclosure to a large degree. </w:t>
      </w:r>
      <w:r w:rsidR="004237E0" w:rsidRPr="00337C97">
        <w:rPr>
          <w:rFonts w:asciiTheme="minorHAnsi" w:hAnsiTheme="minorHAnsi" w:cs="Times New Roman"/>
          <w:sz w:val="22"/>
          <w:szCs w:val="22"/>
          <w:lang w:val="en-US"/>
        </w:rPr>
        <w:t xml:space="preserve">The examination of the characteristics of the risk disclosures revealed that it can be questioned whether the increase in disclosure has led to more useful disclosure. The majority of the risk disclosures is still qualitative, strong biased towards the </w:t>
      </w:r>
      <w:r w:rsidR="004237E0" w:rsidRPr="00337C97">
        <w:rPr>
          <w:rFonts w:asciiTheme="minorHAnsi" w:hAnsiTheme="minorHAnsi" w:cs="Times New Roman"/>
          <w:sz w:val="22"/>
          <w:szCs w:val="22"/>
          <w:lang w:val="en-US"/>
        </w:rPr>
        <w:lastRenderedPageBreak/>
        <w:t>past and of neutral nature. Relatively little quantitative and future risk information is disclosed</w:t>
      </w:r>
      <w:r w:rsidR="00F17E5C" w:rsidRPr="00337C97">
        <w:rPr>
          <w:rFonts w:asciiTheme="minorHAnsi" w:hAnsiTheme="minorHAnsi" w:cs="Times New Roman"/>
          <w:sz w:val="22"/>
          <w:szCs w:val="22"/>
          <w:lang w:val="en-US"/>
        </w:rPr>
        <w:t>, supporting the view that directors are not willing to disclose proprietary information</w:t>
      </w:r>
      <w:r w:rsidR="002B4ED9" w:rsidRPr="00337C97">
        <w:rPr>
          <w:rFonts w:asciiTheme="minorHAnsi" w:hAnsiTheme="minorHAnsi" w:cs="Times New Roman"/>
          <w:sz w:val="22"/>
          <w:szCs w:val="22"/>
          <w:lang w:val="en-US"/>
        </w:rPr>
        <w:t xml:space="preserve"> due to its sensitivity towards competitors</w:t>
      </w:r>
      <w:r w:rsidR="00E944DC" w:rsidRPr="00337C97">
        <w:rPr>
          <w:rFonts w:asciiTheme="minorHAnsi" w:hAnsiTheme="minorHAnsi" w:cs="Times New Roman"/>
          <w:sz w:val="22"/>
          <w:szCs w:val="22"/>
          <w:lang w:val="en-US"/>
        </w:rPr>
        <w:t xml:space="preserve"> </w:t>
      </w:r>
      <w:r w:rsidR="002B4ED9" w:rsidRPr="00337C97">
        <w:rPr>
          <w:rFonts w:asciiTheme="minorHAnsi" w:hAnsiTheme="minorHAnsi" w:cs="Times New Roman"/>
          <w:sz w:val="22"/>
          <w:szCs w:val="22"/>
          <w:lang w:val="en-US"/>
        </w:rPr>
        <w:t>or its high level of unreliability, increasing chances of possible litigation.</w:t>
      </w:r>
      <w:r w:rsidR="00E944DC" w:rsidRPr="00337C97">
        <w:rPr>
          <w:rFonts w:asciiTheme="minorHAnsi" w:hAnsiTheme="minorHAnsi" w:cs="Times New Roman"/>
          <w:sz w:val="22"/>
          <w:szCs w:val="22"/>
          <w:lang w:val="en-US"/>
        </w:rPr>
        <w:t xml:space="preserve"> Directors could feel that they will be required to justify their estimates, when they disclose future information which is inherently unreliable.</w:t>
      </w:r>
    </w:p>
    <w:p w:rsidR="00E944DC" w:rsidRPr="00337C97" w:rsidRDefault="00E944DC" w:rsidP="00E944DC">
      <w:pPr>
        <w:spacing w:line="360" w:lineRule="auto"/>
        <w:jc w:val="both"/>
        <w:rPr>
          <w:rFonts w:asciiTheme="minorHAnsi" w:hAnsiTheme="minorHAnsi" w:cs="Times New Roman"/>
          <w:sz w:val="22"/>
          <w:szCs w:val="22"/>
          <w:lang w:val="en-US"/>
        </w:rPr>
      </w:pPr>
    </w:p>
    <w:p w:rsidR="00FF45D0" w:rsidRPr="00337C97" w:rsidRDefault="002B4ED9" w:rsidP="000C5289">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The </w:t>
      </w:r>
      <w:r w:rsidR="00490FA5" w:rsidRPr="00337C97">
        <w:rPr>
          <w:rFonts w:asciiTheme="minorHAnsi" w:hAnsiTheme="minorHAnsi" w:cs="Times New Roman"/>
          <w:sz w:val="22"/>
          <w:szCs w:val="22"/>
          <w:lang w:val="en-US"/>
        </w:rPr>
        <w:t xml:space="preserve">second part of the empirical study tests for </w:t>
      </w:r>
      <w:r w:rsidRPr="00337C97">
        <w:rPr>
          <w:rFonts w:asciiTheme="minorHAnsi" w:hAnsiTheme="minorHAnsi" w:cs="Times New Roman"/>
          <w:sz w:val="22"/>
          <w:szCs w:val="22"/>
          <w:lang w:val="en-US"/>
        </w:rPr>
        <w:t xml:space="preserve"> </w:t>
      </w:r>
      <w:r w:rsidR="00490FA5" w:rsidRPr="00337C97">
        <w:rPr>
          <w:rFonts w:asciiTheme="minorHAnsi" w:hAnsiTheme="minorHAnsi" w:cs="Times New Roman"/>
          <w:sz w:val="22"/>
          <w:szCs w:val="22"/>
          <w:lang w:val="en-US"/>
        </w:rPr>
        <w:t>relationships between the gathered risk disclosure score and potential explanatory firm characteristics. These include variables such as company size, profitability, risk level, multiple listing statuses, credit rating and corporate governance characteristics. The technique used is regression analysis</w:t>
      </w:r>
      <w:r w:rsidR="001E1586" w:rsidRPr="00337C97">
        <w:rPr>
          <w:rFonts w:asciiTheme="minorHAnsi" w:hAnsiTheme="minorHAnsi" w:cs="Times New Roman"/>
          <w:sz w:val="22"/>
          <w:szCs w:val="22"/>
          <w:lang w:val="en-US"/>
        </w:rPr>
        <w:t xml:space="preserve"> (using both OLS and Rank Regression)</w:t>
      </w:r>
      <w:r w:rsidR="00490FA5" w:rsidRPr="00337C97">
        <w:rPr>
          <w:rFonts w:asciiTheme="minorHAnsi" w:hAnsiTheme="minorHAnsi" w:cs="Times New Roman"/>
          <w:sz w:val="22"/>
          <w:szCs w:val="22"/>
          <w:lang w:val="en-US"/>
        </w:rPr>
        <w:t xml:space="preserve">. </w:t>
      </w:r>
      <w:r w:rsidR="002D7834" w:rsidRPr="00337C97">
        <w:rPr>
          <w:rFonts w:asciiTheme="minorHAnsi" w:hAnsiTheme="minorHAnsi" w:cs="Times New Roman"/>
          <w:sz w:val="22"/>
          <w:szCs w:val="22"/>
          <w:lang w:val="en-US"/>
        </w:rPr>
        <w:t xml:space="preserve">Although the outcomes show that the model is powerful in explaining the variation in the extent risk of disclosure, a detailed analysis of the independent variables show that only the independent variable </w:t>
      </w:r>
      <w:r w:rsidR="00B335C7" w:rsidRPr="00337C97">
        <w:rPr>
          <w:rFonts w:asciiTheme="minorHAnsi" w:hAnsiTheme="minorHAnsi" w:cs="Times New Roman"/>
          <w:sz w:val="22"/>
          <w:szCs w:val="22"/>
          <w:lang w:val="en-US"/>
        </w:rPr>
        <w:t xml:space="preserve">size is significant. The significance of the size variable confirms </w:t>
      </w:r>
      <w:r w:rsidR="001E1586" w:rsidRPr="00337C97">
        <w:rPr>
          <w:rFonts w:asciiTheme="minorHAnsi" w:hAnsiTheme="minorHAnsi" w:cs="Times New Roman"/>
          <w:sz w:val="22"/>
          <w:szCs w:val="22"/>
          <w:lang w:val="en-US"/>
        </w:rPr>
        <w:t xml:space="preserve">theoretical constructs </w:t>
      </w:r>
      <w:r w:rsidR="00BA7560">
        <w:rPr>
          <w:rFonts w:asciiTheme="minorHAnsi" w:hAnsiTheme="minorHAnsi" w:cs="Times New Roman"/>
          <w:sz w:val="22"/>
          <w:szCs w:val="22"/>
          <w:lang w:val="en-US"/>
        </w:rPr>
        <w:t xml:space="preserve">from the stakeholder theory </w:t>
      </w:r>
      <w:r w:rsidR="001E1586" w:rsidRPr="00337C97">
        <w:rPr>
          <w:rFonts w:asciiTheme="minorHAnsi" w:hAnsiTheme="minorHAnsi" w:cs="Times New Roman"/>
          <w:sz w:val="22"/>
          <w:szCs w:val="22"/>
          <w:lang w:val="en-US"/>
        </w:rPr>
        <w:t xml:space="preserve">and findings of </w:t>
      </w:r>
      <w:r w:rsidR="00B335C7" w:rsidRPr="00337C97">
        <w:rPr>
          <w:rFonts w:asciiTheme="minorHAnsi" w:hAnsiTheme="minorHAnsi" w:cs="Times New Roman"/>
          <w:sz w:val="22"/>
          <w:szCs w:val="22"/>
          <w:lang w:val="en-US"/>
        </w:rPr>
        <w:t>previous literature</w:t>
      </w:r>
      <w:r w:rsidR="001E1586" w:rsidRPr="00337C97">
        <w:rPr>
          <w:rFonts w:asciiTheme="minorHAnsi" w:hAnsiTheme="minorHAnsi" w:cs="Times New Roman"/>
          <w:sz w:val="22"/>
          <w:szCs w:val="22"/>
          <w:lang w:val="en-US"/>
        </w:rPr>
        <w:t xml:space="preserve">. </w:t>
      </w:r>
      <w:r w:rsidR="00C34BD4">
        <w:rPr>
          <w:rFonts w:asciiTheme="minorHAnsi" w:hAnsiTheme="minorHAnsi" w:cs="Times New Roman"/>
          <w:sz w:val="22"/>
          <w:szCs w:val="22"/>
          <w:lang w:val="en-US"/>
        </w:rPr>
        <w:t>As the bank grows bigger, it will have a larger pool of stakeholders who would be interested to know the affairs of the company.</w:t>
      </w:r>
      <w:r w:rsidR="001E1586" w:rsidRPr="00337C97">
        <w:rPr>
          <w:rFonts w:asciiTheme="minorHAnsi" w:hAnsiTheme="minorHAnsi" w:cs="Times New Roman"/>
          <w:sz w:val="22"/>
          <w:szCs w:val="22"/>
          <w:lang w:val="en-US"/>
        </w:rPr>
        <w:t xml:space="preserve"> Some variables, found significant in earlier studies did not show significance in this study. </w:t>
      </w:r>
      <w:r w:rsidR="00FF45D0" w:rsidRPr="00337C97">
        <w:rPr>
          <w:rFonts w:asciiTheme="minorHAnsi" w:hAnsiTheme="minorHAnsi" w:cs="Times New Roman"/>
          <w:sz w:val="22"/>
          <w:szCs w:val="22"/>
          <w:lang w:val="en-US"/>
        </w:rPr>
        <w:t>The predicted relationship between profitability and risk disclosure was not confirmed, but the positive coefficient is consistent with the hypothesis. Moreover, leverage as a proxy of level of risk is not found significant too. This supports the view of Linsley and Shrives (2006, p. 279) who suggest that directors wish to keep discussions concerning their risk levels and their risk management capabilities out of the public domain. This desire for privacy can be related to the subject of proprietary costs. Additionally, the credit crunch might have had a major impact upon the profitability and leverage ratios, and in that way possibly biased the results.</w:t>
      </w:r>
      <w:r w:rsidR="00CB3525" w:rsidRPr="00337C97">
        <w:rPr>
          <w:rFonts w:asciiTheme="minorHAnsi" w:hAnsiTheme="minorHAnsi" w:cs="Times New Roman"/>
          <w:sz w:val="22"/>
          <w:szCs w:val="22"/>
          <w:lang w:val="en-US"/>
        </w:rPr>
        <w:t xml:space="preserve"> </w:t>
      </w:r>
      <w:r w:rsidR="00DB0784" w:rsidRPr="00337C97">
        <w:rPr>
          <w:rFonts w:asciiTheme="minorHAnsi" w:hAnsiTheme="minorHAnsi" w:cs="Times New Roman"/>
          <w:sz w:val="22"/>
          <w:szCs w:val="22"/>
          <w:lang w:val="en-US"/>
        </w:rPr>
        <w:t>The multiple listing and c</w:t>
      </w:r>
      <w:r w:rsidR="00CB3525" w:rsidRPr="00337C97">
        <w:rPr>
          <w:rFonts w:asciiTheme="minorHAnsi" w:hAnsiTheme="minorHAnsi" w:cs="Times New Roman"/>
          <w:sz w:val="22"/>
          <w:szCs w:val="22"/>
          <w:lang w:val="en-US"/>
        </w:rPr>
        <w:t xml:space="preserve">redit rating </w:t>
      </w:r>
      <w:r w:rsidR="00DB0784" w:rsidRPr="00337C97">
        <w:rPr>
          <w:rFonts w:asciiTheme="minorHAnsi" w:hAnsiTheme="minorHAnsi" w:cs="Times New Roman"/>
          <w:sz w:val="22"/>
          <w:szCs w:val="22"/>
          <w:lang w:val="en-US"/>
        </w:rPr>
        <w:t>variables are</w:t>
      </w:r>
      <w:r w:rsidR="00CB3525" w:rsidRPr="00337C97">
        <w:rPr>
          <w:rFonts w:asciiTheme="minorHAnsi" w:hAnsiTheme="minorHAnsi" w:cs="Times New Roman"/>
          <w:sz w:val="22"/>
          <w:szCs w:val="22"/>
          <w:lang w:val="en-US"/>
        </w:rPr>
        <w:t xml:space="preserve"> not found to be significant either and therefore seems not relevant for explaining risk disclosure.</w:t>
      </w:r>
      <w:r w:rsidR="00DB0784" w:rsidRPr="00337C97">
        <w:rPr>
          <w:rFonts w:asciiTheme="minorHAnsi" w:hAnsiTheme="minorHAnsi" w:cs="Times New Roman"/>
          <w:sz w:val="22"/>
          <w:szCs w:val="22"/>
          <w:lang w:val="en-US"/>
        </w:rPr>
        <w:t xml:space="preserve"> Finally, this study takes two corporate governance variables into account. However, none of them are found significant, confirming findings of Michiels et al. (2009) but contrasting with results of Abraham and Cox (2007). </w:t>
      </w:r>
    </w:p>
    <w:p w:rsidR="00DB0784" w:rsidRPr="00337C97" w:rsidRDefault="00DB0784" w:rsidP="000C5289">
      <w:pPr>
        <w:spacing w:line="360" w:lineRule="auto"/>
        <w:jc w:val="both"/>
        <w:rPr>
          <w:rFonts w:asciiTheme="minorHAnsi" w:hAnsiTheme="minorHAnsi" w:cs="Times New Roman"/>
          <w:sz w:val="22"/>
          <w:szCs w:val="22"/>
          <w:lang w:val="en-US"/>
        </w:rPr>
      </w:pPr>
    </w:p>
    <w:p w:rsidR="00771A7D" w:rsidRPr="00337C97" w:rsidRDefault="00771A7D" w:rsidP="000C5289">
      <w:pPr>
        <w:spacing w:line="360" w:lineRule="auto"/>
        <w:jc w:val="both"/>
        <w:outlineLvl w:val="1"/>
        <w:rPr>
          <w:rFonts w:asciiTheme="minorHAnsi" w:hAnsiTheme="minorHAnsi" w:cs="Times New Roman"/>
          <w:b/>
          <w:sz w:val="22"/>
          <w:szCs w:val="22"/>
          <w:lang w:val="en-US"/>
        </w:rPr>
      </w:pPr>
      <w:bookmarkStart w:id="304" w:name="_Toc269658981"/>
      <w:r w:rsidRPr="00337C97">
        <w:rPr>
          <w:rFonts w:asciiTheme="minorHAnsi" w:hAnsiTheme="minorHAnsi" w:cs="Times New Roman"/>
          <w:b/>
          <w:sz w:val="22"/>
          <w:szCs w:val="22"/>
          <w:lang w:val="en-US"/>
        </w:rPr>
        <w:t>7.3</w:t>
      </w:r>
      <w:r w:rsidRPr="00337C97">
        <w:rPr>
          <w:rFonts w:asciiTheme="minorHAnsi" w:hAnsiTheme="minorHAnsi" w:cs="Times New Roman"/>
          <w:b/>
          <w:sz w:val="22"/>
          <w:szCs w:val="22"/>
          <w:lang w:val="en-US"/>
        </w:rPr>
        <w:tab/>
        <w:t>Limitations</w:t>
      </w:r>
      <w:bookmarkEnd w:id="304"/>
    </w:p>
    <w:p w:rsidR="00FD23C4" w:rsidRPr="00337C97" w:rsidRDefault="00093F11" w:rsidP="000C5289">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An important limitation in this study lies in its method to analyze the annual report</w:t>
      </w:r>
      <w:r w:rsidR="00761916" w:rsidRPr="00337C97">
        <w:rPr>
          <w:rFonts w:asciiTheme="minorHAnsi" w:hAnsiTheme="minorHAnsi" w:cs="Times New Roman"/>
          <w:sz w:val="22"/>
          <w:szCs w:val="22"/>
          <w:lang w:val="en-US"/>
        </w:rPr>
        <w:t xml:space="preserve">. </w:t>
      </w:r>
      <w:r w:rsidR="00B232E0" w:rsidRPr="00337C97">
        <w:rPr>
          <w:rFonts w:asciiTheme="minorHAnsi" w:hAnsiTheme="minorHAnsi" w:cs="Times New Roman"/>
          <w:sz w:val="22"/>
          <w:szCs w:val="22"/>
          <w:lang w:val="en-US"/>
        </w:rPr>
        <w:t xml:space="preserve">Subjectivity of content analysis cannot be fully eliminated because of the use of only one coder. However, </w:t>
      </w:r>
      <w:r w:rsidRPr="00337C97">
        <w:rPr>
          <w:rFonts w:asciiTheme="minorHAnsi" w:hAnsiTheme="minorHAnsi" w:cs="Times New Roman"/>
          <w:sz w:val="22"/>
          <w:szCs w:val="22"/>
          <w:lang w:val="en-US"/>
        </w:rPr>
        <w:t xml:space="preserve">chapter five </w:t>
      </w:r>
      <w:r w:rsidR="00B232E0" w:rsidRPr="00337C97">
        <w:rPr>
          <w:rFonts w:asciiTheme="minorHAnsi" w:hAnsiTheme="minorHAnsi" w:cs="Times New Roman"/>
          <w:sz w:val="22"/>
          <w:szCs w:val="22"/>
          <w:lang w:val="en-US"/>
        </w:rPr>
        <w:t xml:space="preserve">showed </w:t>
      </w:r>
      <w:r w:rsidRPr="00337C97">
        <w:rPr>
          <w:rFonts w:asciiTheme="minorHAnsi" w:hAnsiTheme="minorHAnsi" w:cs="Times New Roman"/>
          <w:sz w:val="22"/>
          <w:szCs w:val="22"/>
          <w:lang w:val="en-US"/>
        </w:rPr>
        <w:t>that several decisions were made to overcome</w:t>
      </w:r>
      <w:r w:rsidR="00761916" w:rsidRPr="00337C97">
        <w:rPr>
          <w:rFonts w:asciiTheme="minorHAnsi" w:hAnsiTheme="minorHAnsi" w:cs="Times New Roman"/>
          <w:sz w:val="22"/>
          <w:szCs w:val="22"/>
          <w:lang w:val="en-US"/>
        </w:rPr>
        <w:t xml:space="preserve"> major limitations of this method and to increase the reliability of the coding process.</w:t>
      </w:r>
      <w:r w:rsidR="005248EF" w:rsidRPr="00337C97">
        <w:rPr>
          <w:rFonts w:asciiTheme="minorHAnsi" w:hAnsiTheme="minorHAnsi" w:cs="Times New Roman"/>
          <w:sz w:val="22"/>
          <w:szCs w:val="22"/>
          <w:lang w:val="en-US"/>
        </w:rPr>
        <w:t xml:space="preserve"> </w:t>
      </w:r>
      <w:r w:rsidR="00FD23C4" w:rsidRPr="00337C97">
        <w:rPr>
          <w:rFonts w:asciiTheme="minorHAnsi" w:hAnsiTheme="minorHAnsi" w:cs="Times New Roman"/>
          <w:sz w:val="22"/>
          <w:szCs w:val="22"/>
          <w:lang w:val="en-US"/>
        </w:rPr>
        <w:t xml:space="preserve">Another limitation </w:t>
      </w:r>
      <w:r w:rsidR="00C73C56" w:rsidRPr="00337C97">
        <w:rPr>
          <w:rFonts w:asciiTheme="minorHAnsi" w:hAnsiTheme="minorHAnsi" w:cs="Times New Roman"/>
          <w:sz w:val="22"/>
          <w:szCs w:val="22"/>
          <w:lang w:val="en-US"/>
        </w:rPr>
        <w:t xml:space="preserve">results from </w:t>
      </w:r>
      <w:r w:rsidR="00FD23C4" w:rsidRPr="00337C97">
        <w:rPr>
          <w:rFonts w:asciiTheme="minorHAnsi" w:hAnsiTheme="minorHAnsi" w:cs="Times New Roman"/>
          <w:sz w:val="22"/>
          <w:szCs w:val="22"/>
          <w:lang w:val="en-US"/>
        </w:rPr>
        <w:t xml:space="preserve">the </w:t>
      </w:r>
      <w:r w:rsidR="00C73C56" w:rsidRPr="00337C97">
        <w:rPr>
          <w:rFonts w:asciiTheme="minorHAnsi" w:hAnsiTheme="minorHAnsi" w:cs="Times New Roman"/>
          <w:sz w:val="22"/>
          <w:szCs w:val="22"/>
          <w:lang w:val="en-US"/>
        </w:rPr>
        <w:t xml:space="preserve">fact that content analysis only measures the extent of risk disclosure and not quality. Although the study strictly considered focuses upon the extent of risk disclosure, the implicit underlying construct of interest is </w:t>
      </w:r>
      <w:r w:rsidR="00C73C56" w:rsidRPr="00337C97">
        <w:rPr>
          <w:rFonts w:asciiTheme="minorHAnsi" w:hAnsiTheme="minorHAnsi" w:cs="Times New Roman"/>
          <w:sz w:val="22"/>
          <w:szCs w:val="22"/>
          <w:lang w:val="en-US"/>
        </w:rPr>
        <w:lastRenderedPageBreak/>
        <w:t xml:space="preserve">generally the ‘quality’ of disclosure (as stated </w:t>
      </w:r>
      <w:r w:rsidR="00944B2C" w:rsidRPr="00337C97">
        <w:rPr>
          <w:rFonts w:asciiTheme="minorHAnsi" w:hAnsiTheme="minorHAnsi" w:cs="Times New Roman"/>
          <w:sz w:val="22"/>
          <w:szCs w:val="22"/>
          <w:lang w:val="en-US"/>
        </w:rPr>
        <w:t>by Beattie et al., 2004, p. 4).</w:t>
      </w:r>
      <w:r w:rsidR="00856065" w:rsidRPr="00337C97">
        <w:rPr>
          <w:rFonts w:asciiTheme="minorHAnsi" w:hAnsiTheme="minorHAnsi" w:cs="Times New Roman"/>
          <w:sz w:val="22"/>
          <w:szCs w:val="22"/>
          <w:lang w:val="en-US"/>
        </w:rPr>
        <w:t xml:space="preserve"> Therefore, to analyze risk disclosure more in-depth, characteristics of risk disclosure were examined. The study showed that the qualification of past/future information was inadequate, as it might be argued that risk information about current risk management practices cannot be considered as past nor future information. Further research should distinguish another category next to past and future information, namely “non-time-specific”. </w:t>
      </w:r>
      <w:r w:rsidR="00C73C56" w:rsidRPr="00337C97">
        <w:rPr>
          <w:rFonts w:asciiTheme="minorHAnsi" w:hAnsiTheme="minorHAnsi" w:cs="Times New Roman"/>
          <w:sz w:val="22"/>
          <w:szCs w:val="22"/>
          <w:lang w:val="en-US"/>
        </w:rPr>
        <w:t>Finally, a limitation is found in s</w:t>
      </w:r>
      <w:r w:rsidR="00FD23C4" w:rsidRPr="00337C97">
        <w:rPr>
          <w:rFonts w:asciiTheme="minorHAnsi" w:hAnsiTheme="minorHAnsi" w:cs="Times New Roman"/>
          <w:sz w:val="22"/>
          <w:szCs w:val="22"/>
          <w:lang w:val="en-US"/>
        </w:rPr>
        <w:t xml:space="preserve">ample size. Due to the massive and time-consuming work of the content analysis method, only </w:t>
      </w:r>
      <w:r w:rsidR="00C73C56" w:rsidRPr="00337C97">
        <w:rPr>
          <w:rFonts w:asciiTheme="minorHAnsi" w:hAnsiTheme="minorHAnsi" w:cs="Times New Roman"/>
          <w:sz w:val="22"/>
          <w:szCs w:val="22"/>
          <w:lang w:val="en-US"/>
        </w:rPr>
        <w:t>40 cases (one</w:t>
      </w:r>
      <w:r w:rsidR="00FD23C4" w:rsidRPr="00337C97">
        <w:rPr>
          <w:rFonts w:asciiTheme="minorHAnsi" w:hAnsiTheme="minorHAnsi" w:cs="Times New Roman"/>
          <w:sz w:val="22"/>
          <w:szCs w:val="22"/>
          <w:lang w:val="en-US"/>
        </w:rPr>
        <w:t xml:space="preserve"> annual report of 40 European public listed banks</w:t>
      </w:r>
      <w:r w:rsidR="00C73C56" w:rsidRPr="00337C97">
        <w:rPr>
          <w:rFonts w:asciiTheme="minorHAnsi" w:hAnsiTheme="minorHAnsi" w:cs="Times New Roman"/>
          <w:sz w:val="22"/>
          <w:szCs w:val="22"/>
          <w:lang w:val="en-US"/>
        </w:rPr>
        <w:t>)</w:t>
      </w:r>
      <w:r w:rsidR="00FD23C4" w:rsidRPr="00337C97">
        <w:rPr>
          <w:rFonts w:asciiTheme="minorHAnsi" w:hAnsiTheme="minorHAnsi" w:cs="Times New Roman"/>
          <w:sz w:val="22"/>
          <w:szCs w:val="22"/>
          <w:lang w:val="en-US"/>
        </w:rPr>
        <w:t xml:space="preserve"> w</w:t>
      </w:r>
      <w:r w:rsidR="00C73C56" w:rsidRPr="00337C97">
        <w:rPr>
          <w:rFonts w:asciiTheme="minorHAnsi" w:hAnsiTheme="minorHAnsi" w:cs="Times New Roman"/>
          <w:sz w:val="22"/>
          <w:szCs w:val="22"/>
          <w:lang w:val="en-US"/>
        </w:rPr>
        <w:t>ere</w:t>
      </w:r>
      <w:r w:rsidR="00FD23C4" w:rsidRPr="00337C97">
        <w:rPr>
          <w:rFonts w:asciiTheme="minorHAnsi" w:hAnsiTheme="minorHAnsi" w:cs="Times New Roman"/>
          <w:sz w:val="22"/>
          <w:szCs w:val="22"/>
          <w:lang w:val="en-US"/>
        </w:rPr>
        <w:t xml:space="preserve"> analyzed.</w:t>
      </w:r>
    </w:p>
    <w:p w:rsidR="000C5289" w:rsidRPr="00337C97" w:rsidRDefault="000C5289" w:rsidP="000C5289">
      <w:pPr>
        <w:spacing w:line="360" w:lineRule="auto"/>
        <w:jc w:val="both"/>
        <w:rPr>
          <w:rFonts w:asciiTheme="minorHAnsi" w:hAnsiTheme="minorHAnsi" w:cs="Times New Roman"/>
          <w:sz w:val="22"/>
          <w:szCs w:val="22"/>
          <w:lang w:val="en-US"/>
        </w:rPr>
      </w:pPr>
    </w:p>
    <w:p w:rsidR="00771A7D" w:rsidRPr="00337C97" w:rsidRDefault="00771A7D" w:rsidP="000C5289">
      <w:pPr>
        <w:spacing w:line="360" w:lineRule="auto"/>
        <w:jc w:val="both"/>
        <w:outlineLvl w:val="1"/>
        <w:rPr>
          <w:rFonts w:asciiTheme="minorHAnsi" w:hAnsiTheme="minorHAnsi" w:cs="Times New Roman"/>
          <w:b/>
          <w:sz w:val="22"/>
          <w:szCs w:val="22"/>
          <w:lang w:val="en-US"/>
        </w:rPr>
      </w:pPr>
      <w:bookmarkStart w:id="305" w:name="_Toc269658982"/>
      <w:r w:rsidRPr="00337C97">
        <w:rPr>
          <w:rFonts w:asciiTheme="minorHAnsi" w:hAnsiTheme="minorHAnsi" w:cs="Times New Roman"/>
          <w:b/>
          <w:sz w:val="22"/>
          <w:szCs w:val="22"/>
          <w:lang w:val="en-US"/>
        </w:rPr>
        <w:t>7.4</w:t>
      </w:r>
      <w:r w:rsidRPr="00337C97">
        <w:rPr>
          <w:rFonts w:asciiTheme="minorHAnsi" w:hAnsiTheme="minorHAnsi" w:cs="Times New Roman"/>
          <w:b/>
          <w:sz w:val="22"/>
          <w:szCs w:val="22"/>
          <w:lang w:val="en-US"/>
        </w:rPr>
        <w:tab/>
        <w:t>Recommendations for future research</w:t>
      </w:r>
      <w:bookmarkEnd w:id="305"/>
    </w:p>
    <w:p w:rsidR="002042DA" w:rsidRPr="00014F4A" w:rsidRDefault="005248EF" w:rsidP="00014F4A">
      <w:p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Since risk disclosure literature is scarce, further research into risk reporting would be beneficial. Risk disclosure research over a couple of years could reveal more insight into patterns and practices of risk disclosure by companies. Moreover, advanced techniques should be developed and used in measuring quantity and quality of risk disclosure. Beattie et al. (2004) already introduced computer-aided coding, to be able to analyze larger samples in an easy and reliable way. </w:t>
      </w:r>
      <w:r w:rsidR="00014F4A">
        <w:rPr>
          <w:rFonts w:asciiTheme="minorHAnsi" w:hAnsiTheme="minorHAnsi" w:cs="Times New Roman"/>
          <w:sz w:val="22"/>
          <w:szCs w:val="22"/>
          <w:lang w:val="en-US"/>
        </w:rPr>
        <w:t>Another topic of research that would enhance the understanding and effect of risk disclosure is to investigate in what manner risk information would be of greatest use to annual report readers. These studies would be beneficial and helpful to regulators to design and improve risk disclosure legislation.</w:t>
      </w:r>
      <w:bookmarkStart w:id="306" w:name="_Toc242697434"/>
      <w:bookmarkStart w:id="307" w:name="_Toc242697669"/>
      <w:bookmarkStart w:id="308" w:name="_Toc245187923"/>
      <w:r w:rsidR="002042DA" w:rsidRPr="00337C97">
        <w:rPr>
          <w:rFonts w:asciiTheme="minorHAnsi" w:hAnsiTheme="minorHAnsi" w:cs="Times New Roman"/>
          <w:b/>
          <w:sz w:val="28"/>
          <w:szCs w:val="22"/>
          <w:lang w:val="en-US"/>
        </w:rPr>
        <w:br w:type="page"/>
      </w:r>
    </w:p>
    <w:p w:rsidR="00986078" w:rsidRPr="00337C97" w:rsidRDefault="00986078" w:rsidP="00615F8C">
      <w:pPr>
        <w:outlineLvl w:val="0"/>
        <w:rPr>
          <w:rFonts w:asciiTheme="minorHAnsi" w:hAnsiTheme="minorHAnsi" w:cs="Times New Roman"/>
          <w:b/>
          <w:sz w:val="28"/>
          <w:szCs w:val="22"/>
          <w:lang w:val="en-US"/>
        </w:rPr>
      </w:pPr>
      <w:bookmarkStart w:id="309" w:name="_Toc269658983"/>
      <w:r w:rsidRPr="00337C97">
        <w:rPr>
          <w:rFonts w:asciiTheme="minorHAnsi" w:hAnsiTheme="minorHAnsi" w:cs="Times New Roman"/>
          <w:b/>
          <w:sz w:val="28"/>
          <w:szCs w:val="22"/>
          <w:lang w:val="en-US"/>
        </w:rPr>
        <w:lastRenderedPageBreak/>
        <w:t>Reference List</w:t>
      </w:r>
      <w:bookmarkEnd w:id="306"/>
      <w:bookmarkEnd w:id="307"/>
      <w:bookmarkEnd w:id="308"/>
      <w:bookmarkEnd w:id="309"/>
    </w:p>
    <w:p w:rsidR="00986078" w:rsidRPr="00337C97" w:rsidRDefault="00986078" w:rsidP="009E152D">
      <w:pPr>
        <w:spacing w:line="360" w:lineRule="auto"/>
        <w:rPr>
          <w:rFonts w:asciiTheme="minorHAnsi" w:hAnsiTheme="minorHAnsi" w:cs="Times New Roman"/>
          <w:sz w:val="22"/>
          <w:szCs w:val="22"/>
          <w:lang w:val="en-US"/>
        </w:rPr>
      </w:pPr>
    </w:p>
    <w:p w:rsidR="00D97B9B" w:rsidRPr="00337C97" w:rsidRDefault="00D97B9B"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Abraham, S. and Cox, P. (2007), “Analyzing the determinants of narrative risk information</w:t>
      </w:r>
      <w:r w:rsidR="00360044" w:rsidRPr="00337C97">
        <w:rPr>
          <w:rFonts w:asciiTheme="minorHAnsi" w:hAnsiTheme="minorHAnsi" w:cs="Times New Roman"/>
          <w:sz w:val="22"/>
          <w:szCs w:val="22"/>
          <w:lang w:val="en-US"/>
        </w:rPr>
        <w:t xml:space="preserve"> </w:t>
      </w:r>
      <w:r w:rsidRPr="00337C97">
        <w:rPr>
          <w:rFonts w:asciiTheme="minorHAnsi" w:hAnsiTheme="minorHAnsi" w:cs="Times New Roman"/>
          <w:sz w:val="22"/>
          <w:szCs w:val="22"/>
          <w:lang w:val="en-US"/>
        </w:rPr>
        <w:t xml:space="preserve">in UK FTSE 100 annual reports”, </w:t>
      </w:r>
      <w:r w:rsidRPr="00337C97">
        <w:rPr>
          <w:rFonts w:asciiTheme="minorHAnsi" w:hAnsiTheme="minorHAnsi" w:cs="Times New Roman"/>
          <w:i/>
          <w:sz w:val="22"/>
          <w:szCs w:val="22"/>
          <w:lang w:val="en-US"/>
        </w:rPr>
        <w:t>British Accounting Review</w:t>
      </w:r>
      <w:r w:rsidRPr="00337C97">
        <w:rPr>
          <w:rFonts w:asciiTheme="minorHAnsi" w:hAnsiTheme="minorHAnsi" w:cs="Times New Roman"/>
          <w:sz w:val="22"/>
          <w:szCs w:val="22"/>
          <w:lang w:val="en-US"/>
        </w:rPr>
        <w:t>, Vol. 39, pp. 227-248.</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Amran A., Bin, A.M.R. and Hassan, B.C.H.M. (2009), “Risk reporting: An exploratory study on ri</w:t>
      </w:r>
      <w:r w:rsidR="00360044" w:rsidRPr="00337C97">
        <w:rPr>
          <w:rFonts w:asciiTheme="minorHAnsi" w:hAnsiTheme="minorHAnsi" w:cs="Times New Roman"/>
          <w:sz w:val="22"/>
          <w:szCs w:val="22"/>
          <w:lang w:val="en-US"/>
        </w:rPr>
        <w:t>sk management disclosure in Mal</w:t>
      </w:r>
      <w:r w:rsidRPr="00337C97">
        <w:rPr>
          <w:rFonts w:asciiTheme="minorHAnsi" w:hAnsiTheme="minorHAnsi" w:cs="Times New Roman"/>
          <w:sz w:val="22"/>
          <w:szCs w:val="22"/>
          <w:lang w:val="en-US"/>
        </w:rPr>
        <w:t>a</w:t>
      </w:r>
      <w:r w:rsidR="00360044" w:rsidRPr="00337C97">
        <w:rPr>
          <w:rFonts w:asciiTheme="minorHAnsi" w:hAnsiTheme="minorHAnsi" w:cs="Times New Roman"/>
          <w:sz w:val="22"/>
          <w:szCs w:val="22"/>
          <w:lang w:val="en-US"/>
        </w:rPr>
        <w:t>y</w:t>
      </w:r>
      <w:r w:rsidRPr="00337C97">
        <w:rPr>
          <w:rFonts w:asciiTheme="minorHAnsi" w:hAnsiTheme="minorHAnsi" w:cs="Times New Roman"/>
          <w:sz w:val="22"/>
          <w:szCs w:val="22"/>
          <w:lang w:val="en-US"/>
        </w:rPr>
        <w:t xml:space="preserve">sian annual reports”, </w:t>
      </w:r>
      <w:r w:rsidRPr="00337C97">
        <w:rPr>
          <w:rFonts w:asciiTheme="minorHAnsi" w:hAnsiTheme="minorHAnsi" w:cs="Times New Roman"/>
          <w:i/>
          <w:sz w:val="22"/>
          <w:szCs w:val="22"/>
          <w:lang w:val="en-US"/>
        </w:rPr>
        <w:t>Managerial Auditing Journal</w:t>
      </w:r>
      <w:r w:rsidRPr="00337C97">
        <w:rPr>
          <w:rFonts w:asciiTheme="minorHAnsi" w:hAnsiTheme="minorHAnsi" w:cs="Times New Roman"/>
          <w:sz w:val="22"/>
          <w:szCs w:val="22"/>
          <w:lang w:val="en-US"/>
        </w:rPr>
        <w:t>, Vol. 24 No. 1, pp. 39-57.</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Balin, B.J. (2008),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Basel I, Basel II and Emerging Markets: A Nontechnical Analysis</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Unpublished paper, The Johns Hopkins University School of Advanced International Studies (SAIS).</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Bank of International Settlements (2009), via website </w:t>
      </w:r>
      <w:hyperlink r:id="rId13" w:history="1">
        <w:r w:rsidRPr="00337C97">
          <w:rPr>
            <w:rStyle w:val="Hyperlink"/>
            <w:rFonts w:asciiTheme="minorHAnsi" w:hAnsiTheme="minorHAnsi" w:cs="Times New Roman"/>
            <w:sz w:val="22"/>
            <w:szCs w:val="22"/>
            <w:lang w:val="en-US"/>
          </w:rPr>
          <w:t>www.bis.org</w:t>
        </w:r>
      </w:hyperlink>
      <w:r w:rsidR="00395387" w:rsidRPr="00337C97">
        <w:rPr>
          <w:rFonts w:asciiTheme="minorHAnsi" w:hAnsiTheme="minorHAnsi" w:cs="Times New Roman"/>
          <w:sz w:val="22"/>
          <w:szCs w:val="22"/>
          <w:lang w:val="en-US"/>
        </w:rPr>
        <w:t>, retrieved on: 14-08-2010.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Basel Committee on Banking Supervision (1998), “Enhancing Bank Transparency”, Bank of International Settlements (BIS). </w:t>
      </w:r>
    </w:p>
    <w:p w:rsidR="00C25292" w:rsidRPr="00337C97" w:rsidRDefault="00C25292"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Basel Committee on Banking Supervision (1999), “Enhancing corporate governance for banking organisations”, Bank of International Settlements (BIS), revised in 2006.</w:t>
      </w:r>
    </w:p>
    <w:p w:rsidR="00DC49E6" w:rsidRPr="00337C97" w:rsidRDefault="00DC49E6"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Basel Committee on Banking Supervision (2001), “Public disclosures by banks: results of the 1999 disclosures survey”, Bank of International Settlements (BIS).</w:t>
      </w:r>
    </w:p>
    <w:p w:rsidR="00DC49E6" w:rsidRPr="00337C97" w:rsidRDefault="00DC49E6"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Basel Committee on Banking Supervision (2002), “Public disclosures by banks: results of the 2000 disclosures survey”, Bank of International Settlements (BIS).</w:t>
      </w:r>
    </w:p>
    <w:p w:rsidR="00DC49E6" w:rsidRPr="00337C97" w:rsidRDefault="00DC49E6"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Basel Committee on Banking Supervision (2003), “Public disclosures by banks: results of the 2001 disclosures survey”, Bank of International Settlements (BIS).</w:t>
      </w:r>
    </w:p>
    <w:p w:rsidR="002825A0" w:rsidRPr="00337C97" w:rsidRDefault="002825A0"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Beattie, V., McInnes, W. and Fearnley S. (2004), “A methodology for analyzing and evaluating narratives in annual reports: a comprehensive descriptive profile and metrics for disclosure quality attributes, </w:t>
      </w:r>
      <w:r w:rsidRPr="00337C97">
        <w:rPr>
          <w:rFonts w:asciiTheme="minorHAnsi" w:hAnsiTheme="minorHAnsi" w:cs="Times New Roman"/>
          <w:i/>
          <w:sz w:val="22"/>
          <w:szCs w:val="22"/>
          <w:lang w:val="en-US"/>
        </w:rPr>
        <w:t>Accounting Forum</w:t>
      </w:r>
      <w:r w:rsidRPr="00337C97">
        <w:rPr>
          <w:rFonts w:asciiTheme="minorHAnsi" w:hAnsiTheme="minorHAnsi" w:cs="Times New Roman"/>
          <w:sz w:val="22"/>
          <w:szCs w:val="22"/>
          <w:lang w:val="en-US"/>
        </w:rPr>
        <w:t xml:space="preserve">, Vol. 28 No </w:t>
      </w:r>
      <w:r w:rsidR="00153D0E" w:rsidRPr="00337C97">
        <w:rPr>
          <w:rFonts w:asciiTheme="minorHAnsi" w:hAnsiTheme="minorHAnsi" w:cs="Times New Roman"/>
          <w:sz w:val="22"/>
          <w:szCs w:val="22"/>
          <w:lang w:val="en-US"/>
        </w:rPr>
        <w:t>3, pp. 205-236.</w:t>
      </w:r>
    </w:p>
    <w:p w:rsidR="004C42FC" w:rsidRPr="00337C97" w:rsidRDefault="004C42FC"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Beretta, S. And Bozzolan, S. (2004), “A framework for the analysis of firm risk communication”, </w:t>
      </w:r>
      <w:r w:rsidRPr="00337C97">
        <w:rPr>
          <w:rFonts w:asciiTheme="minorHAnsi" w:hAnsiTheme="minorHAnsi" w:cs="Times New Roman"/>
          <w:i/>
          <w:sz w:val="22"/>
          <w:szCs w:val="22"/>
          <w:lang w:val="en-US"/>
        </w:rPr>
        <w:t>The International Journal of Accounting</w:t>
      </w:r>
      <w:r w:rsidRPr="00337C97">
        <w:rPr>
          <w:rFonts w:asciiTheme="minorHAnsi" w:hAnsiTheme="minorHAnsi" w:cs="Times New Roman"/>
          <w:sz w:val="22"/>
          <w:szCs w:val="22"/>
          <w:lang w:val="en-US"/>
        </w:rPr>
        <w:t>, Vol. 39, pp. 265-288.</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Brown, S. and Hillegeist, S.A. (2007), “How disclosure quality affects the level of information asymmetry, </w:t>
      </w:r>
      <w:r w:rsidRPr="00337C97">
        <w:rPr>
          <w:rFonts w:asciiTheme="minorHAnsi" w:hAnsiTheme="minorHAnsi" w:cs="Times New Roman"/>
          <w:i/>
          <w:sz w:val="22"/>
          <w:szCs w:val="22"/>
          <w:lang w:val="en-US"/>
        </w:rPr>
        <w:t>Review of Accounting Studies</w:t>
      </w:r>
      <w:r w:rsidRPr="00337C97">
        <w:rPr>
          <w:rFonts w:asciiTheme="minorHAnsi" w:hAnsiTheme="minorHAnsi" w:cs="Times New Roman"/>
          <w:sz w:val="22"/>
          <w:szCs w:val="22"/>
          <w:lang w:val="en-US"/>
        </w:rPr>
        <w:t xml:space="preserve">, Vol. 112 Nos. 2/3, pp. 443-477. </w:t>
      </w:r>
    </w:p>
    <w:p w:rsidR="003247B8" w:rsidRPr="00337C97" w:rsidRDefault="003247B8"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Cabedo, J.D, and Tirado, J.M. (2004), “The disclosure of risk in financial statements”, </w:t>
      </w:r>
      <w:r w:rsidRPr="00337C97">
        <w:rPr>
          <w:rFonts w:asciiTheme="minorHAnsi" w:hAnsiTheme="minorHAnsi" w:cs="Times New Roman"/>
          <w:i/>
          <w:sz w:val="22"/>
          <w:szCs w:val="22"/>
          <w:lang w:val="en-US"/>
        </w:rPr>
        <w:t>Accounting Forum</w:t>
      </w:r>
      <w:r w:rsidRPr="00337C97">
        <w:rPr>
          <w:rFonts w:asciiTheme="minorHAnsi" w:hAnsiTheme="minorHAnsi" w:cs="Times New Roman"/>
          <w:sz w:val="22"/>
          <w:szCs w:val="22"/>
          <w:lang w:val="en-US"/>
        </w:rPr>
        <w:t>, Vol. 28, pp. 181-200.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Chen, W.P., Chung, H., Lee, C., and Liao, W.L. (2007), “Corporate Governance and Equity Liquidity: analysis of S&amp;P transparency and disclosure rankings”, </w:t>
      </w:r>
      <w:r w:rsidRPr="00337C97">
        <w:rPr>
          <w:rFonts w:asciiTheme="minorHAnsi" w:hAnsiTheme="minorHAnsi" w:cs="Times New Roman"/>
          <w:i/>
          <w:sz w:val="22"/>
          <w:szCs w:val="22"/>
          <w:lang w:val="en-US"/>
        </w:rPr>
        <w:t>Corporate Governance</w:t>
      </w:r>
      <w:r w:rsidRPr="00337C97">
        <w:rPr>
          <w:rFonts w:asciiTheme="minorHAnsi" w:hAnsiTheme="minorHAnsi" w:cs="Times New Roman"/>
          <w:sz w:val="22"/>
          <w:szCs w:val="22"/>
          <w:lang w:val="en-US"/>
        </w:rPr>
        <w:t>, Vol. 15 No. 4, pp. 644-660.</w:t>
      </w:r>
    </w:p>
    <w:p w:rsidR="00B13E13" w:rsidRPr="00337C97" w:rsidRDefault="00B13E13"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Chen, K.Y., Elder, R.J. and Hsieh, Y.M. (2007), “Corporate Governance and Earnings Management: The implications of Corporate Governance Best-Practices Principles for Taiwanese Listed </w:t>
      </w:r>
      <w:r w:rsidRPr="00337C97">
        <w:rPr>
          <w:rFonts w:asciiTheme="minorHAnsi" w:hAnsiTheme="minorHAnsi" w:cs="Times New Roman"/>
          <w:sz w:val="22"/>
          <w:szCs w:val="22"/>
          <w:lang w:val="en-US"/>
        </w:rPr>
        <w:lastRenderedPageBreak/>
        <w:t xml:space="preserve">Companies”, </w:t>
      </w:r>
      <w:r w:rsidR="00926868" w:rsidRPr="00337C97">
        <w:rPr>
          <w:rFonts w:asciiTheme="minorHAnsi" w:hAnsiTheme="minorHAnsi" w:cs="Times New Roman"/>
          <w:sz w:val="22"/>
          <w:szCs w:val="22"/>
          <w:lang w:val="en-US"/>
        </w:rPr>
        <w:t xml:space="preserve">Paper presented at the 2006 Journal of Contemporary Accounting and Economics Symposium, via website </w:t>
      </w:r>
      <w:hyperlink r:id="rId14" w:history="1">
        <w:r w:rsidR="00926868" w:rsidRPr="00337C97">
          <w:rPr>
            <w:rStyle w:val="Hyperlink"/>
            <w:rFonts w:asciiTheme="minorHAnsi" w:hAnsiTheme="minorHAnsi" w:cs="Times New Roman"/>
            <w:sz w:val="22"/>
            <w:szCs w:val="22"/>
            <w:lang w:val="en-US"/>
          </w:rPr>
          <w:t>www.ssrn.com</w:t>
        </w:r>
      </w:hyperlink>
      <w:r w:rsidR="00926868" w:rsidRPr="00337C97">
        <w:rPr>
          <w:rFonts w:asciiTheme="minorHAnsi" w:hAnsiTheme="minorHAnsi" w:cs="Times New Roman"/>
          <w:sz w:val="22"/>
          <w:szCs w:val="22"/>
          <w:lang w:val="en-US"/>
        </w:rPr>
        <w:t>.</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Crockett, A. (2002),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Deposit insurance and other current issues in international finance</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May 7, via website </w:t>
      </w:r>
      <w:hyperlink r:id="rId15" w:history="1">
        <w:r w:rsidRPr="00337C97">
          <w:rPr>
            <w:rStyle w:val="Hyperlink"/>
            <w:rFonts w:asciiTheme="minorHAnsi" w:hAnsiTheme="minorHAnsi" w:cs="Times New Roman"/>
            <w:sz w:val="22"/>
            <w:szCs w:val="22"/>
            <w:lang w:val="en-US"/>
          </w:rPr>
          <w:t>http://www.iadi.org/speeches/050702.pdf</w:t>
        </w:r>
      </w:hyperlink>
      <w:r w:rsidR="00395387" w:rsidRPr="00337C97">
        <w:rPr>
          <w:rFonts w:asciiTheme="minorHAnsi" w:hAnsiTheme="minorHAnsi" w:cs="Times New Roman"/>
          <w:sz w:val="22"/>
          <w:szCs w:val="22"/>
          <w:lang w:val="en-US"/>
        </w:rPr>
        <w:t>, retrieved on: 14-08-2010.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Crockett, A. (2003),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Central banking, financial stability and Basel II</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February 13, via website </w:t>
      </w:r>
      <w:hyperlink r:id="rId16" w:history="1">
        <w:r w:rsidRPr="00337C97">
          <w:rPr>
            <w:rStyle w:val="Hyperlink"/>
            <w:rFonts w:asciiTheme="minorHAnsi" w:hAnsiTheme="minorHAnsi" w:cs="Times New Roman"/>
            <w:sz w:val="22"/>
            <w:szCs w:val="22"/>
            <w:lang w:val="en-US"/>
          </w:rPr>
          <w:t>www.bis.org/speeches/sp030213.htm</w:t>
        </w:r>
      </w:hyperlink>
      <w:r w:rsidR="00395387" w:rsidRPr="00337C97">
        <w:rPr>
          <w:rFonts w:asciiTheme="minorHAnsi" w:hAnsiTheme="minorHAnsi" w:cs="Times New Roman"/>
          <w:sz w:val="22"/>
          <w:szCs w:val="22"/>
          <w:lang w:val="en-US"/>
        </w:rPr>
        <w:t xml:space="preserve">, retrieved on: 14-08-2010. </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Davidson, R., Goodwin-Stewart, J., and Kent, P. (2005), “Internal governance structures and earnings management”, </w:t>
      </w:r>
      <w:r w:rsidRPr="00337C97">
        <w:rPr>
          <w:rFonts w:asciiTheme="minorHAnsi" w:hAnsiTheme="minorHAnsi" w:cs="Times New Roman"/>
          <w:i/>
          <w:sz w:val="22"/>
          <w:szCs w:val="22"/>
          <w:lang w:val="en-US"/>
        </w:rPr>
        <w:t>Accounting and Finance</w:t>
      </w:r>
      <w:r w:rsidRPr="00337C97">
        <w:rPr>
          <w:rFonts w:asciiTheme="minorHAnsi" w:hAnsiTheme="minorHAnsi" w:cs="Times New Roman"/>
          <w:sz w:val="22"/>
          <w:szCs w:val="22"/>
          <w:lang w:val="en-US"/>
        </w:rPr>
        <w:t>, Vol. 45, pp. 241-267.</w:t>
      </w:r>
    </w:p>
    <w:p w:rsidR="00395387" w:rsidRPr="00337C97" w:rsidRDefault="003957D0"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De Nederlandsche Bank (2007), </w:t>
      </w:r>
      <w:r w:rsidR="00A220DA" w:rsidRPr="00337C97">
        <w:rPr>
          <w:rFonts w:asciiTheme="minorHAnsi" w:hAnsiTheme="minorHAnsi" w:cs="Times New Roman"/>
          <w:sz w:val="22"/>
          <w:szCs w:val="22"/>
          <w:lang w:val="nl-NL"/>
        </w:rPr>
        <w:t>“</w:t>
      </w:r>
      <w:r w:rsidRPr="00337C97">
        <w:rPr>
          <w:rFonts w:asciiTheme="minorHAnsi" w:hAnsiTheme="minorHAnsi" w:cs="Times New Roman"/>
          <w:sz w:val="22"/>
          <w:szCs w:val="22"/>
          <w:lang w:val="nl-NL"/>
        </w:rPr>
        <w:t>Bazel II / CRD</w:t>
      </w:r>
      <w:r w:rsidR="00A220DA" w:rsidRPr="00337C97">
        <w:rPr>
          <w:rFonts w:asciiTheme="minorHAnsi" w:hAnsiTheme="minorHAnsi" w:cs="Times New Roman"/>
          <w:sz w:val="22"/>
          <w:szCs w:val="22"/>
          <w:lang w:val="nl-NL"/>
        </w:rPr>
        <w:t>”</w:t>
      </w:r>
      <w:r w:rsidRPr="00337C97">
        <w:rPr>
          <w:rFonts w:asciiTheme="minorHAnsi" w:hAnsiTheme="minorHAnsi" w:cs="Times New Roman"/>
          <w:sz w:val="22"/>
          <w:szCs w:val="22"/>
          <w:lang w:val="nl-NL"/>
        </w:rPr>
        <w:t>, via website</w:t>
      </w:r>
      <w:r w:rsidR="00A220DA" w:rsidRPr="00337C97">
        <w:rPr>
          <w:rFonts w:asciiTheme="minorHAnsi" w:hAnsiTheme="minorHAnsi" w:cs="Times New Roman"/>
          <w:sz w:val="22"/>
          <w:szCs w:val="22"/>
          <w:lang w:val="nl-NL"/>
        </w:rPr>
        <w:t xml:space="preserve"> </w:t>
      </w:r>
      <w:hyperlink r:id="rId17" w:history="1">
        <w:r w:rsidR="00A220DA" w:rsidRPr="00337C97">
          <w:rPr>
            <w:rStyle w:val="Hyperlink"/>
            <w:rFonts w:asciiTheme="minorHAnsi" w:hAnsiTheme="minorHAnsi" w:cs="Times New Roman"/>
            <w:sz w:val="22"/>
            <w:szCs w:val="22"/>
            <w:lang w:val="nl-NL"/>
          </w:rPr>
          <w:t>www.dnb.nl</w:t>
        </w:r>
      </w:hyperlink>
      <w:r w:rsidR="00A220DA" w:rsidRPr="00337C97">
        <w:rPr>
          <w:rFonts w:asciiTheme="minorHAnsi" w:hAnsiTheme="minorHAnsi" w:cs="Times New Roman"/>
          <w:sz w:val="22"/>
          <w:szCs w:val="22"/>
          <w:lang w:val="nl-NL"/>
        </w:rPr>
        <w:t xml:space="preserve"> (</w:t>
      </w:r>
      <w:hyperlink r:id="rId18" w:history="1">
        <w:r w:rsidRPr="00337C97">
          <w:rPr>
            <w:rStyle w:val="Hyperlink"/>
            <w:rFonts w:asciiTheme="minorHAnsi" w:hAnsiTheme="minorHAnsi" w:cs="Times New Roman"/>
            <w:sz w:val="22"/>
            <w:szCs w:val="22"/>
            <w:lang w:val="nl-NL"/>
          </w:rPr>
          <w:t>http://www.dnb.nl/openboek/extern/id/nl/all/40-158788.html</w:t>
        </w:r>
      </w:hyperlink>
      <w:r w:rsidR="00A220DA" w:rsidRPr="00337C97">
        <w:rPr>
          <w:rFonts w:asciiTheme="minorHAnsi" w:hAnsiTheme="minorHAnsi" w:cs="Times New Roman"/>
          <w:sz w:val="22"/>
          <w:szCs w:val="22"/>
          <w:lang w:val="nl-NL"/>
        </w:rPr>
        <w:t>)</w:t>
      </w:r>
      <w:r w:rsidRPr="00337C97">
        <w:rPr>
          <w:rFonts w:asciiTheme="minorHAnsi" w:hAnsiTheme="minorHAnsi" w:cs="Times New Roman"/>
          <w:sz w:val="22"/>
          <w:szCs w:val="22"/>
          <w:lang w:val="nl-NL"/>
        </w:rPr>
        <w:t xml:space="preserve">, retrieved on: </w:t>
      </w:r>
      <w:r w:rsidR="00395387" w:rsidRPr="00337C97">
        <w:rPr>
          <w:rFonts w:asciiTheme="minorHAnsi" w:hAnsiTheme="minorHAnsi" w:cs="Times New Roman"/>
          <w:sz w:val="22"/>
          <w:szCs w:val="22"/>
          <w:lang w:val="nl-NL"/>
        </w:rPr>
        <w:t>14-08-2010.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Deegan C. and Unerman, J. (2006), </w:t>
      </w:r>
      <w:r w:rsidRPr="00337C97">
        <w:rPr>
          <w:rFonts w:asciiTheme="minorHAnsi" w:hAnsiTheme="minorHAnsi" w:cs="Times New Roman"/>
          <w:i/>
          <w:sz w:val="22"/>
          <w:szCs w:val="22"/>
          <w:lang w:val="en-US"/>
        </w:rPr>
        <w:t>Financial Accounting Theory</w:t>
      </w:r>
      <w:r w:rsidRPr="00337C97">
        <w:rPr>
          <w:rFonts w:asciiTheme="minorHAnsi" w:hAnsiTheme="minorHAnsi" w:cs="Times New Roman"/>
          <w:sz w:val="22"/>
          <w:szCs w:val="22"/>
          <w:lang w:val="en-US"/>
        </w:rPr>
        <w:t>, McGraw-Hill, Berkshire.</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Denis, D.K. and McConnel, J.J. (2003), “International Corporate Governance”, </w:t>
      </w:r>
      <w:r w:rsidRPr="00337C97">
        <w:rPr>
          <w:rFonts w:asciiTheme="minorHAnsi" w:hAnsiTheme="minorHAnsi" w:cs="Times New Roman"/>
          <w:i/>
          <w:sz w:val="22"/>
          <w:szCs w:val="22"/>
          <w:lang w:val="en-US"/>
        </w:rPr>
        <w:t>The Journal of Financial and Quantitative Analysis</w:t>
      </w:r>
      <w:r w:rsidRPr="00337C97">
        <w:rPr>
          <w:rFonts w:asciiTheme="minorHAnsi" w:hAnsiTheme="minorHAnsi" w:cs="Times New Roman"/>
          <w:sz w:val="22"/>
          <w:szCs w:val="22"/>
          <w:lang w:val="en-US"/>
        </w:rPr>
        <w:t>, Vol. 38 No. 1, pp. 1-36.</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Dia, M. and Zeghal, D. (2008), “Fuzzy evaluation of Risk Management Profiles Disclosed in Corporate Annual Reports, </w:t>
      </w:r>
      <w:r w:rsidRPr="00337C97">
        <w:rPr>
          <w:rFonts w:asciiTheme="minorHAnsi" w:hAnsiTheme="minorHAnsi" w:cs="Times New Roman"/>
          <w:i/>
          <w:sz w:val="22"/>
          <w:szCs w:val="22"/>
          <w:lang w:val="en-US"/>
        </w:rPr>
        <w:t>Canadian Journal of Administrative Sciences</w:t>
      </w:r>
      <w:r w:rsidRPr="00337C97">
        <w:rPr>
          <w:rFonts w:asciiTheme="minorHAnsi" w:hAnsiTheme="minorHAnsi" w:cs="Times New Roman"/>
          <w:sz w:val="22"/>
          <w:szCs w:val="22"/>
          <w:lang w:val="en-US"/>
        </w:rPr>
        <w:t>, Vol. 25, pp. 237-254.</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Dobler, M. (2008), “Incentives for risk reporting – A discretionary disclosure and cheap talk approach”, </w:t>
      </w:r>
      <w:r w:rsidRPr="00337C97">
        <w:rPr>
          <w:rFonts w:asciiTheme="minorHAnsi" w:hAnsiTheme="minorHAnsi" w:cs="Times New Roman"/>
          <w:i/>
          <w:sz w:val="22"/>
          <w:szCs w:val="22"/>
          <w:lang w:val="en-US"/>
        </w:rPr>
        <w:t>The International Journal of Accounting</w:t>
      </w:r>
      <w:r w:rsidRPr="00337C97">
        <w:rPr>
          <w:rFonts w:asciiTheme="minorHAnsi" w:hAnsiTheme="minorHAnsi" w:cs="Times New Roman"/>
          <w:sz w:val="22"/>
          <w:szCs w:val="22"/>
          <w:lang w:val="en-US"/>
        </w:rPr>
        <w:t>, Vol. 43, pp. 184-206.</w:t>
      </w:r>
    </w:p>
    <w:p w:rsidR="00857008" w:rsidRPr="00337C97" w:rsidRDefault="00857008"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Douglas, N. (2007), “In The Light of Current Evidence, Critically Examine The Efficient Market Hypothesis”, via website </w:t>
      </w:r>
      <w:hyperlink r:id="rId19" w:history="1">
        <w:r w:rsidRPr="00337C97">
          <w:rPr>
            <w:rStyle w:val="Hyperlink"/>
            <w:rFonts w:asciiTheme="minorHAnsi" w:hAnsiTheme="minorHAnsi" w:cs="Times New Roman"/>
            <w:sz w:val="22"/>
            <w:szCs w:val="22"/>
            <w:lang w:val="en-US"/>
          </w:rPr>
          <w:t>www.nedprod.com/NeoCapitalism/MN3101%20Essay.pdf</w:t>
        </w:r>
      </w:hyperlink>
      <w:r w:rsidR="00DB14C9" w:rsidRPr="00337C97">
        <w:rPr>
          <w:rFonts w:asciiTheme="minorHAnsi" w:hAnsiTheme="minorHAnsi" w:cs="Times New Roman"/>
          <w:sz w:val="22"/>
          <w:szCs w:val="22"/>
          <w:lang w:val="en-US"/>
        </w:rPr>
        <w:t>, retrieved on: 14-08-2010.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Eijffinger, S.C.W. (2005), </w:t>
      </w:r>
      <w:r w:rsidRPr="00337C97">
        <w:rPr>
          <w:rFonts w:asciiTheme="minorHAnsi" w:hAnsiTheme="minorHAnsi" w:cs="Times New Roman"/>
          <w:i/>
          <w:iCs/>
          <w:sz w:val="22"/>
          <w:szCs w:val="22"/>
          <w:lang w:val="en-US"/>
        </w:rPr>
        <w:t>The European Central Bank and Financial Supervision</w:t>
      </w:r>
      <w:r w:rsidRPr="00337C97">
        <w:rPr>
          <w:rFonts w:asciiTheme="minorHAnsi" w:hAnsiTheme="minorHAnsi" w:cs="Times New Roman"/>
          <w:sz w:val="22"/>
          <w:szCs w:val="22"/>
          <w:lang w:val="en-US"/>
        </w:rPr>
        <w:t xml:space="preserve">, in: Masciandaro, D., </w:t>
      </w:r>
      <w:r w:rsidRPr="00337C97">
        <w:rPr>
          <w:rFonts w:asciiTheme="minorHAnsi" w:hAnsiTheme="minorHAnsi" w:cs="Times New Roman"/>
          <w:i/>
          <w:iCs/>
          <w:sz w:val="22"/>
          <w:szCs w:val="22"/>
          <w:lang w:val="en-US"/>
        </w:rPr>
        <w:t>Handbook of Central Banking and Financial Authorities in Europe</w:t>
      </w:r>
      <w:r w:rsidRPr="00337C97">
        <w:rPr>
          <w:rFonts w:asciiTheme="minorHAnsi" w:hAnsiTheme="minorHAnsi" w:cs="Times New Roman"/>
          <w:sz w:val="22"/>
          <w:szCs w:val="22"/>
          <w:lang w:val="en-US"/>
        </w:rPr>
        <w:t>, Edward Elger Publishing, pp. 457-484.</w:t>
      </w:r>
    </w:p>
    <w:p w:rsidR="001257C4" w:rsidRPr="00337C97" w:rsidRDefault="001257C4"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Engels, C. (2008), </w:t>
      </w:r>
      <w:r w:rsidR="00A220DA" w:rsidRPr="00337C97">
        <w:rPr>
          <w:rFonts w:asciiTheme="minorHAnsi" w:hAnsiTheme="minorHAnsi" w:cs="Times New Roman"/>
          <w:sz w:val="22"/>
          <w:szCs w:val="22"/>
          <w:lang w:val="en-US"/>
        </w:rPr>
        <w:t>“</w:t>
      </w:r>
      <w:r w:rsidR="00A220DA" w:rsidRPr="00337C97">
        <w:rPr>
          <w:rFonts w:asciiTheme="minorHAnsi" w:hAnsiTheme="minorHAnsi" w:cs="Times New Roman"/>
          <w:iCs/>
          <w:sz w:val="22"/>
          <w:szCs w:val="22"/>
          <w:lang w:val="en-US"/>
        </w:rPr>
        <w:t>Has IFRS 7 increased the quality of disclosures?”</w:t>
      </w:r>
      <w:r w:rsidRPr="00337C97">
        <w:rPr>
          <w:rFonts w:asciiTheme="minorHAnsi" w:hAnsiTheme="minorHAnsi" w:cs="Times New Roman"/>
          <w:sz w:val="22"/>
          <w:szCs w:val="22"/>
          <w:lang w:val="en-US"/>
        </w:rPr>
        <w:t>, Master Thesis</w:t>
      </w:r>
      <w:r w:rsidR="00A220DA" w:rsidRPr="00337C97">
        <w:rPr>
          <w:rFonts w:asciiTheme="minorHAnsi" w:hAnsiTheme="minorHAnsi" w:cs="Times New Roman"/>
          <w:sz w:val="22"/>
          <w:szCs w:val="22"/>
          <w:lang w:val="en-US"/>
        </w:rPr>
        <w:t>, Rotterdam School of Management</w:t>
      </w:r>
      <w:r w:rsidR="00BA05B0" w:rsidRPr="00337C97">
        <w:rPr>
          <w:rFonts w:asciiTheme="minorHAnsi" w:hAnsiTheme="minorHAnsi" w:cs="Times New Roman"/>
          <w:sz w:val="22"/>
          <w:szCs w:val="22"/>
          <w:lang w:val="en-US"/>
        </w:rPr>
        <w:t>, Erasmus University Rotterdam.</w:t>
      </w:r>
    </w:p>
    <w:p w:rsidR="00DB14C9"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Ernst &amp; Young (2007),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IFRS 7 Financial Instruments: Disclosures</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w:t>
      </w:r>
      <w:r w:rsidRPr="00337C97">
        <w:rPr>
          <w:rFonts w:asciiTheme="minorHAnsi" w:hAnsiTheme="minorHAnsi" w:cs="Times New Roman"/>
          <w:i/>
          <w:sz w:val="22"/>
          <w:szCs w:val="22"/>
          <w:lang w:val="en-US"/>
        </w:rPr>
        <w:t xml:space="preserve"> </w:t>
      </w:r>
      <w:r w:rsidRPr="00337C97">
        <w:rPr>
          <w:rFonts w:asciiTheme="minorHAnsi" w:hAnsiTheme="minorHAnsi" w:cs="Times New Roman"/>
          <w:sz w:val="22"/>
          <w:szCs w:val="22"/>
          <w:lang w:val="en-US"/>
        </w:rPr>
        <w:t xml:space="preserve">second edition, via website </w:t>
      </w:r>
      <w:hyperlink r:id="rId20" w:history="1">
        <w:r w:rsidRPr="00337C97">
          <w:rPr>
            <w:rStyle w:val="Hyperlink"/>
            <w:rFonts w:asciiTheme="minorHAnsi" w:hAnsiTheme="minorHAnsi" w:cs="Times New Roman"/>
            <w:sz w:val="22"/>
            <w:szCs w:val="22"/>
            <w:lang w:val="en-US"/>
          </w:rPr>
          <w:t>www.ey.com</w:t>
        </w:r>
      </w:hyperlink>
      <w:r w:rsidR="00DB14C9" w:rsidRPr="00337C97">
        <w:rPr>
          <w:rFonts w:asciiTheme="minorHAnsi" w:hAnsiTheme="minorHAnsi" w:cs="Times New Roman"/>
          <w:sz w:val="22"/>
          <w:szCs w:val="22"/>
          <w:lang w:val="en-US"/>
        </w:rPr>
        <w:t>, retrieved on: 14-08-2010.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European Corporate Governance Institute (2009), via website </w:t>
      </w:r>
      <w:hyperlink r:id="rId21" w:history="1">
        <w:r w:rsidRPr="00337C97">
          <w:rPr>
            <w:rStyle w:val="Hyperlink"/>
            <w:rFonts w:asciiTheme="minorHAnsi" w:hAnsiTheme="minorHAnsi" w:cs="Times New Roman"/>
            <w:sz w:val="22"/>
            <w:szCs w:val="22"/>
            <w:lang w:val="en-US"/>
          </w:rPr>
          <w:t>www.ecgi.org</w:t>
        </w:r>
      </w:hyperlink>
      <w:r w:rsidR="00BA528E" w:rsidRPr="00337C97">
        <w:rPr>
          <w:rFonts w:asciiTheme="minorHAnsi" w:hAnsiTheme="minorHAnsi" w:cs="Times New Roman"/>
          <w:sz w:val="22"/>
          <w:szCs w:val="22"/>
          <w:lang w:val="en-US"/>
        </w:rPr>
        <w:t xml:space="preserve">, retrieved on: </w:t>
      </w:r>
      <w:r w:rsidR="00DB14C9" w:rsidRPr="00337C97">
        <w:rPr>
          <w:rFonts w:asciiTheme="minorHAnsi" w:hAnsiTheme="minorHAnsi" w:cs="Times New Roman"/>
          <w:sz w:val="22"/>
          <w:szCs w:val="22"/>
          <w:lang w:val="en-US"/>
        </w:rPr>
        <w:t>14-08-2010.</w:t>
      </w:r>
    </w:p>
    <w:p w:rsidR="00E40D6F" w:rsidRPr="00337C97" w:rsidRDefault="00E40D6F"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Fama, E. and Jensen, M. (1983), “Separation of ownership and control”, </w:t>
      </w:r>
      <w:r w:rsidRPr="00337C97">
        <w:rPr>
          <w:rFonts w:asciiTheme="minorHAnsi" w:hAnsiTheme="minorHAnsi" w:cs="Times New Roman"/>
          <w:i/>
          <w:sz w:val="22"/>
          <w:szCs w:val="22"/>
          <w:lang w:val="en-US"/>
        </w:rPr>
        <w:t>Journal of Law and Economics</w:t>
      </w:r>
      <w:r w:rsidRPr="00337C97">
        <w:rPr>
          <w:rFonts w:asciiTheme="minorHAnsi" w:hAnsiTheme="minorHAnsi" w:cs="Times New Roman"/>
          <w:sz w:val="22"/>
          <w:szCs w:val="22"/>
          <w:lang w:val="en-US"/>
        </w:rPr>
        <w:t>, Vol. 26, p. 301-326.</w:t>
      </w:r>
    </w:p>
    <w:p w:rsidR="003123B1" w:rsidRPr="00337C97" w:rsidRDefault="003123B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Financial Reporting Council (2005), “Internal Control: Revised Guidance for Directors on the Combined Code”, via website </w:t>
      </w:r>
      <w:hyperlink r:id="rId22" w:history="1">
        <w:r w:rsidRPr="00337C97">
          <w:rPr>
            <w:rStyle w:val="Hyperlink"/>
            <w:rFonts w:asciiTheme="minorHAnsi" w:hAnsiTheme="minorHAnsi" w:cs="Times New Roman"/>
            <w:sz w:val="22"/>
            <w:szCs w:val="22"/>
            <w:lang w:val="en-US"/>
          </w:rPr>
          <w:t>www.frc.org.uk</w:t>
        </w:r>
      </w:hyperlink>
      <w:r w:rsidRPr="00337C97">
        <w:rPr>
          <w:rFonts w:asciiTheme="minorHAnsi" w:hAnsiTheme="minorHAnsi" w:cs="Times New Roman"/>
          <w:sz w:val="22"/>
          <w:szCs w:val="22"/>
          <w:lang w:val="en-US"/>
        </w:rPr>
        <w:t xml:space="preserve">, retrieved on: </w:t>
      </w:r>
      <w:r w:rsidR="00DB14C9" w:rsidRPr="00337C97">
        <w:rPr>
          <w:rFonts w:asciiTheme="minorHAnsi" w:hAnsiTheme="minorHAnsi" w:cs="Times New Roman"/>
          <w:sz w:val="22"/>
          <w:szCs w:val="22"/>
          <w:lang w:val="en-US"/>
        </w:rPr>
        <w:t>14-08-2010.</w:t>
      </w:r>
    </w:p>
    <w:p w:rsidR="00906FC0" w:rsidRPr="00337C97" w:rsidRDefault="00906FC0"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Freeman, R. (1984), </w:t>
      </w:r>
      <w:r w:rsidRPr="00337C97">
        <w:rPr>
          <w:rFonts w:asciiTheme="minorHAnsi" w:hAnsiTheme="minorHAnsi" w:cs="Times New Roman"/>
          <w:i/>
          <w:sz w:val="22"/>
          <w:szCs w:val="22"/>
          <w:lang w:val="en-US"/>
        </w:rPr>
        <w:t>Strategic Management: a stakeholder perspective</w:t>
      </w:r>
      <w:r w:rsidRPr="00337C97">
        <w:rPr>
          <w:rFonts w:asciiTheme="minorHAnsi" w:hAnsiTheme="minorHAnsi" w:cs="Times New Roman"/>
          <w:sz w:val="22"/>
          <w:szCs w:val="22"/>
          <w:lang w:val="en-US"/>
        </w:rPr>
        <w:t>, Prentice-Hall, New Jersey.</w:t>
      </w:r>
    </w:p>
    <w:p w:rsidR="00EE6AD7" w:rsidRPr="00337C97" w:rsidRDefault="00EE6AD7"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 xml:space="preserve">Hackston D., and Milne M.J. (1996), “Some determinants of social and environmental disclosures in New Zealand companies”, </w:t>
      </w:r>
      <w:r w:rsidRPr="00337C97">
        <w:rPr>
          <w:rFonts w:asciiTheme="minorHAnsi" w:hAnsiTheme="minorHAnsi" w:cs="Times New Roman"/>
          <w:i/>
          <w:sz w:val="22"/>
          <w:szCs w:val="22"/>
          <w:lang w:val="en-US"/>
        </w:rPr>
        <w:t>Accounting, Auditing and Accountability Journal</w:t>
      </w:r>
      <w:r w:rsidRPr="00337C97">
        <w:rPr>
          <w:rFonts w:asciiTheme="minorHAnsi" w:hAnsiTheme="minorHAnsi" w:cs="Times New Roman"/>
          <w:sz w:val="22"/>
          <w:szCs w:val="22"/>
          <w:lang w:val="en-US"/>
        </w:rPr>
        <w:t>, Vol. 9 No. 1, pp. 77-108.</w:t>
      </w:r>
    </w:p>
    <w:p w:rsidR="00EB698B" w:rsidRPr="00337C97" w:rsidRDefault="00EB698B"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Hassan, M.K. (2008), </w:t>
      </w:r>
      <w:r w:rsidRPr="00337C97">
        <w:rPr>
          <w:rFonts w:asciiTheme="minorHAnsi" w:hAnsiTheme="minorHAnsi" w:cs="Times New Roman"/>
          <w:i/>
          <w:sz w:val="22"/>
          <w:szCs w:val="22"/>
          <w:lang w:val="en-US"/>
        </w:rPr>
        <w:t>The level of corporate risk disclosure in UAE</w:t>
      </w:r>
      <w:r w:rsidRPr="00337C97">
        <w:rPr>
          <w:rFonts w:asciiTheme="minorHAnsi" w:hAnsiTheme="minorHAnsi" w:cs="Times New Roman"/>
          <w:sz w:val="22"/>
          <w:szCs w:val="22"/>
          <w:lang w:val="en-US"/>
        </w:rPr>
        <w:t>, University of Sharjah, paper presented at the British Accounting Association Conference, Blackpool, April 1-3.</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Healy, P.M. and Palepu, K.G. (2001), “Information asymmetry, corporate disclosure and the capital markets: A review of the empirical disclosure literature”, </w:t>
      </w:r>
      <w:r w:rsidRPr="00337C97">
        <w:rPr>
          <w:rFonts w:asciiTheme="minorHAnsi" w:hAnsiTheme="minorHAnsi" w:cs="Times New Roman"/>
          <w:i/>
          <w:sz w:val="22"/>
          <w:szCs w:val="22"/>
          <w:lang w:val="en-US"/>
        </w:rPr>
        <w:t>Journal of Accounting and Economics</w:t>
      </w:r>
      <w:r w:rsidRPr="00337C97">
        <w:rPr>
          <w:rFonts w:asciiTheme="minorHAnsi" w:hAnsiTheme="minorHAnsi" w:cs="Times New Roman"/>
          <w:sz w:val="22"/>
          <w:szCs w:val="22"/>
          <w:lang w:val="en-US"/>
        </w:rPr>
        <w:t>, Vol. 31, pp. 405-440</w:t>
      </w:r>
    </w:p>
    <w:p w:rsidR="003E7478" w:rsidRPr="00337C97" w:rsidRDefault="003E7478"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Helbok, G. and Wagner, C. (2003), “Corporate Financial Disclosure on Operational Risk in the Banking Industry”, presented at the Austrian Working Group on Banking and Finance, November, Graz.</w:t>
      </w:r>
    </w:p>
    <w:p w:rsidR="00763F1D" w:rsidRPr="00337C97" w:rsidRDefault="00763F1D"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Hossain, M. (2008), “The Extent of Disclosure in Annual Reports of Banking Companies: The Case of India”, </w:t>
      </w:r>
      <w:r w:rsidRPr="00337C97">
        <w:rPr>
          <w:rFonts w:asciiTheme="minorHAnsi" w:hAnsiTheme="minorHAnsi" w:cs="Times New Roman"/>
          <w:i/>
          <w:sz w:val="22"/>
          <w:szCs w:val="22"/>
          <w:lang w:val="en-US"/>
        </w:rPr>
        <w:t>European Journal of Scientific Research</w:t>
      </w:r>
      <w:r w:rsidRPr="00337C97">
        <w:rPr>
          <w:rFonts w:asciiTheme="minorHAnsi" w:hAnsiTheme="minorHAnsi" w:cs="Times New Roman"/>
          <w:sz w:val="22"/>
          <w:szCs w:val="22"/>
          <w:lang w:val="en-US"/>
        </w:rPr>
        <w:t>, Vol. 23 No. 4, pp. 659-680.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International Accounting Standards Board (2006), </w:t>
      </w:r>
      <w:r w:rsidRPr="00337C97">
        <w:rPr>
          <w:rFonts w:asciiTheme="minorHAnsi" w:hAnsiTheme="minorHAnsi" w:cs="Times New Roman"/>
          <w:i/>
          <w:sz w:val="22"/>
          <w:szCs w:val="22"/>
          <w:lang w:val="en-US"/>
        </w:rPr>
        <w:t>International Financial Reporting Standards (IFRSs)</w:t>
      </w:r>
      <w:r w:rsidR="00022F0A" w:rsidRPr="00337C97">
        <w:rPr>
          <w:rFonts w:asciiTheme="minorHAnsi" w:hAnsiTheme="minorHAnsi" w:cs="Times New Roman"/>
          <w:sz w:val="22"/>
          <w:szCs w:val="22"/>
          <w:lang w:val="en-US"/>
        </w:rPr>
        <w:t xml:space="preserve">, via website </w:t>
      </w:r>
      <w:hyperlink r:id="rId23" w:history="1">
        <w:r w:rsidR="00022F0A" w:rsidRPr="00337C97">
          <w:rPr>
            <w:rStyle w:val="Hyperlink"/>
            <w:rFonts w:asciiTheme="minorHAnsi" w:hAnsiTheme="minorHAnsi" w:cs="Times New Roman"/>
            <w:sz w:val="22"/>
            <w:szCs w:val="22"/>
            <w:lang w:val="en-US"/>
          </w:rPr>
          <w:t>www.books.google.com</w:t>
        </w:r>
      </w:hyperlink>
      <w:r w:rsidR="00DB14C9" w:rsidRPr="00337C97">
        <w:rPr>
          <w:rFonts w:asciiTheme="minorHAnsi" w:hAnsiTheme="minorHAnsi" w:cs="Times New Roman"/>
          <w:sz w:val="22"/>
          <w:szCs w:val="22"/>
          <w:lang w:val="en-US"/>
        </w:rPr>
        <w:t>, retrieved on: 14-08-2010.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International Accounting Standards Board (2009),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Technical Summary: IFRS 7 Financial Instruments: Disclosures</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w:t>
      </w:r>
      <w:r w:rsidR="003957D0" w:rsidRPr="00337C97">
        <w:rPr>
          <w:rFonts w:asciiTheme="minorHAnsi" w:hAnsiTheme="minorHAnsi" w:cs="Times New Roman"/>
          <w:sz w:val="22"/>
          <w:szCs w:val="22"/>
          <w:lang w:val="en-US"/>
        </w:rPr>
        <w:t>via website</w:t>
      </w:r>
      <w:r w:rsidRPr="00337C97">
        <w:rPr>
          <w:rFonts w:asciiTheme="minorHAnsi" w:hAnsiTheme="minorHAnsi" w:cs="Times New Roman"/>
          <w:sz w:val="22"/>
          <w:szCs w:val="22"/>
          <w:lang w:val="en-US"/>
        </w:rPr>
        <w:t xml:space="preserve"> </w:t>
      </w:r>
      <w:hyperlink r:id="rId24" w:history="1">
        <w:r w:rsidRPr="00337C97">
          <w:rPr>
            <w:rStyle w:val="Hyperlink"/>
            <w:rFonts w:asciiTheme="minorHAnsi" w:hAnsiTheme="minorHAnsi" w:cs="Times New Roman"/>
            <w:sz w:val="22"/>
            <w:szCs w:val="22"/>
            <w:lang w:val="en-US"/>
          </w:rPr>
          <w:t>www.iasb.org</w:t>
        </w:r>
      </w:hyperlink>
      <w:r w:rsidRPr="00337C97">
        <w:rPr>
          <w:rFonts w:asciiTheme="minorHAnsi" w:hAnsiTheme="minorHAnsi" w:cs="Times New Roman"/>
          <w:sz w:val="22"/>
          <w:szCs w:val="22"/>
          <w:lang w:val="en-US"/>
        </w:rPr>
        <w:t xml:space="preserve">, retrieved on: </w:t>
      </w:r>
      <w:r w:rsidR="00DB14C9" w:rsidRPr="00337C97">
        <w:rPr>
          <w:rFonts w:asciiTheme="minorHAnsi" w:hAnsiTheme="minorHAnsi" w:cs="Times New Roman"/>
          <w:sz w:val="22"/>
          <w:szCs w:val="22"/>
          <w:lang w:val="en-US"/>
        </w:rPr>
        <w:t>14-08-2010.</w:t>
      </w:r>
    </w:p>
    <w:p w:rsidR="00112A36" w:rsidRPr="00337C97" w:rsidRDefault="00112A36"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Jaggi, B. and Low, P. Y. (2000), “Impact of Culture, Market Forces and Legal System on Financial Disclosures”, </w:t>
      </w:r>
      <w:r w:rsidRPr="00337C97">
        <w:rPr>
          <w:rFonts w:asciiTheme="minorHAnsi" w:hAnsiTheme="minorHAnsi" w:cs="Times New Roman"/>
          <w:i/>
          <w:sz w:val="22"/>
          <w:szCs w:val="22"/>
          <w:lang w:val="en-US"/>
        </w:rPr>
        <w:t>The International Journal of Accounting</w:t>
      </w:r>
      <w:r w:rsidRPr="00337C97">
        <w:rPr>
          <w:rFonts w:asciiTheme="minorHAnsi" w:hAnsiTheme="minorHAnsi" w:cs="Times New Roman"/>
          <w:sz w:val="22"/>
          <w:szCs w:val="22"/>
          <w:lang w:val="en-US"/>
        </w:rPr>
        <w:t>, Vol. 35 No. 4, pp. 495-519.</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Jensen, M.C. and Meckling, W.H. (1976), “Theory of the firm: Managerial behavior, Agency cost and ownership structure”, </w:t>
      </w:r>
      <w:r w:rsidRPr="00337C97">
        <w:rPr>
          <w:rFonts w:asciiTheme="minorHAnsi" w:hAnsiTheme="minorHAnsi" w:cs="Times New Roman"/>
          <w:i/>
          <w:sz w:val="22"/>
          <w:szCs w:val="22"/>
          <w:lang w:val="en-US"/>
        </w:rPr>
        <w:t>Journal of Financial Economics</w:t>
      </w:r>
      <w:r w:rsidRPr="00337C97">
        <w:rPr>
          <w:rFonts w:asciiTheme="minorHAnsi" w:hAnsiTheme="minorHAnsi" w:cs="Times New Roman"/>
          <w:sz w:val="22"/>
          <w:szCs w:val="22"/>
          <w:lang w:val="en-US"/>
        </w:rPr>
        <w:t>, Vol. 3, pp. 305-360.</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Klaassen, J. and Hoogendoorn, M.N. (2004), </w:t>
      </w:r>
      <w:r w:rsidRPr="00337C97">
        <w:rPr>
          <w:rFonts w:asciiTheme="minorHAnsi" w:hAnsiTheme="minorHAnsi" w:cs="Times New Roman"/>
          <w:i/>
          <w:sz w:val="22"/>
          <w:szCs w:val="22"/>
          <w:lang w:val="nl-NL"/>
        </w:rPr>
        <w:t>Externe verslaggeving</w:t>
      </w:r>
      <w:r w:rsidRPr="00337C97">
        <w:rPr>
          <w:rFonts w:asciiTheme="minorHAnsi" w:hAnsiTheme="minorHAnsi" w:cs="Times New Roman"/>
          <w:sz w:val="22"/>
          <w:szCs w:val="22"/>
          <w:lang w:val="nl-NL"/>
        </w:rPr>
        <w:t>, Stenfert-Kroese, Groningen.</w:t>
      </w:r>
    </w:p>
    <w:p w:rsidR="009F786E" w:rsidRPr="00337C97" w:rsidRDefault="009F786E"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KPMG (2008),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Financial Institution Risk Disclosure – Best Practice Survey 2008</w:t>
      </w:r>
      <w:r w:rsidR="00A220DA" w:rsidRPr="00337C97">
        <w:rPr>
          <w:rFonts w:asciiTheme="minorHAnsi" w:hAnsiTheme="minorHAnsi" w:cs="Times New Roman"/>
          <w:sz w:val="22"/>
          <w:szCs w:val="22"/>
          <w:lang w:val="en-US"/>
        </w:rPr>
        <w:t>”</w:t>
      </w:r>
      <w:r w:rsidR="003A7F40" w:rsidRPr="00337C97">
        <w:rPr>
          <w:rFonts w:asciiTheme="minorHAnsi" w:hAnsiTheme="minorHAnsi" w:cs="Times New Roman"/>
          <w:sz w:val="22"/>
          <w:szCs w:val="22"/>
          <w:lang w:val="en-US"/>
        </w:rPr>
        <w:t>,</w:t>
      </w:r>
      <w:r w:rsidR="003A7F40" w:rsidRPr="00337C97">
        <w:rPr>
          <w:rFonts w:asciiTheme="minorHAnsi" w:hAnsiTheme="minorHAnsi" w:cs="Times New Roman"/>
          <w:i/>
          <w:sz w:val="22"/>
          <w:szCs w:val="22"/>
          <w:lang w:val="en-US"/>
        </w:rPr>
        <w:t xml:space="preserve"> </w:t>
      </w:r>
      <w:r w:rsidR="003A7F40" w:rsidRPr="00337C97">
        <w:rPr>
          <w:rFonts w:asciiTheme="minorHAnsi" w:hAnsiTheme="minorHAnsi" w:cs="Times New Roman"/>
          <w:sz w:val="22"/>
          <w:szCs w:val="22"/>
          <w:lang w:val="en-US"/>
        </w:rPr>
        <w:t xml:space="preserve">via website </w:t>
      </w:r>
      <w:hyperlink r:id="rId25" w:history="1">
        <w:r w:rsidR="003A7F40" w:rsidRPr="00337C97">
          <w:rPr>
            <w:rStyle w:val="Hyperlink"/>
            <w:rFonts w:asciiTheme="minorHAnsi" w:hAnsiTheme="minorHAnsi" w:cs="Times New Roman"/>
            <w:sz w:val="22"/>
            <w:szCs w:val="22"/>
            <w:lang w:val="en-US"/>
          </w:rPr>
          <w:t>www.kpmg.com</w:t>
        </w:r>
      </w:hyperlink>
      <w:r w:rsidR="00DB14C9" w:rsidRPr="00337C97">
        <w:rPr>
          <w:rFonts w:asciiTheme="minorHAnsi" w:hAnsiTheme="minorHAnsi" w:cs="Times New Roman"/>
          <w:sz w:val="22"/>
          <w:szCs w:val="22"/>
          <w:lang w:val="en-US"/>
        </w:rPr>
        <w:t>, retrieved on: 14-08-2010.</w:t>
      </w:r>
    </w:p>
    <w:p w:rsidR="00B00DA2" w:rsidRPr="00337C97" w:rsidRDefault="00B00DA2"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Krippendorf, K. (1980), </w:t>
      </w:r>
      <w:r w:rsidRPr="00337C97">
        <w:rPr>
          <w:rFonts w:asciiTheme="minorHAnsi" w:hAnsiTheme="minorHAnsi" w:cs="Times New Roman"/>
          <w:i/>
          <w:sz w:val="22"/>
          <w:szCs w:val="22"/>
          <w:lang w:val="en-US"/>
        </w:rPr>
        <w:t>Content Analysis: An Introduction to its Methodology</w:t>
      </w:r>
      <w:r w:rsidRPr="00337C97">
        <w:rPr>
          <w:rFonts w:asciiTheme="minorHAnsi" w:hAnsiTheme="minorHAnsi" w:cs="Times New Roman"/>
          <w:sz w:val="22"/>
          <w:szCs w:val="22"/>
          <w:lang w:val="en-US"/>
        </w:rPr>
        <w:t>. Sage, New York.</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Lajili, K. and Zeghal D. (2005), “A content analysis of risk management disclosure in Canadian annual reports”, </w:t>
      </w:r>
      <w:r w:rsidRPr="00337C97">
        <w:rPr>
          <w:rFonts w:asciiTheme="minorHAnsi" w:hAnsiTheme="minorHAnsi" w:cs="Times New Roman"/>
          <w:i/>
          <w:sz w:val="22"/>
          <w:szCs w:val="22"/>
          <w:lang w:val="en-US"/>
        </w:rPr>
        <w:t>Canadian Journal of Administrative Sciences</w:t>
      </w:r>
      <w:r w:rsidRPr="00337C97">
        <w:rPr>
          <w:rFonts w:asciiTheme="minorHAnsi" w:hAnsiTheme="minorHAnsi" w:cs="Times New Roman"/>
          <w:sz w:val="22"/>
          <w:szCs w:val="22"/>
          <w:lang w:val="en-US"/>
        </w:rPr>
        <w:t>, Vol. 22 No. 2, pp. 125-142.</w:t>
      </w:r>
    </w:p>
    <w:p w:rsidR="00F03121" w:rsidRPr="00337C97" w:rsidRDefault="00F0312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Lang, M. and Lundholm R. (1993), “Cross-sectional determinants of analyst’s ratings of corporate disclosures, </w:t>
      </w:r>
      <w:r w:rsidRPr="00337C97">
        <w:rPr>
          <w:rFonts w:asciiTheme="minorHAnsi" w:hAnsiTheme="minorHAnsi" w:cs="Times New Roman"/>
          <w:i/>
          <w:sz w:val="22"/>
          <w:szCs w:val="22"/>
          <w:lang w:val="en-US"/>
        </w:rPr>
        <w:t>Journal of Accounting Research</w:t>
      </w:r>
      <w:r w:rsidRPr="00337C97">
        <w:rPr>
          <w:rFonts w:asciiTheme="minorHAnsi" w:hAnsiTheme="minorHAnsi" w:cs="Times New Roman"/>
          <w:sz w:val="22"/>
          <w:szCs w:val="22"/>
          <w:lang w:val="en-US"/>
        </w:rPr>
        <w:t>, Vol. 31 No. 2, pp. 246-271.</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Larosière, J. de (2009), </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Report</w:t>
      </w:r>
      <w:r w:rsidR="00A220DA"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The High-Level Group on Financial Supervision in the EU.</w:t>
      </w:r>
    </w:p>
    <w:p w:rsidR="006E025F" w:rsidRPr="00337C97" w:rsidRDefault="006E025F"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Leenaars, J.J.A. (2003), “Risicomanagement van banken”, </w:t>
      </w:r>
      <w:r w:rsidRPr="00337C97">
        <w:rPr>
          <w:rFonts w:asciiTheme="minorHAnsi" w:hAnsiTheme="minorHAnsi" w:cs="Times New Roman"/>
          <w:i/>
          <w:sz w:val="22"/>
          <w:szCs w:val="22"/>
          <w:lang w:val="nl-NL"/>
        </w:rPr>
        <w:t>Maandblad voor Accountancy en Bedrijfseconomie</w:t>
      </w:r>
      <w:r w:rsidRPr="00337C97">
        <w:rPr>
          <w:rFonts w:asciiTheme="minorHAnsi" w:hAnsiTheme="minorHAnsi" w:cs="Times New Roman"/>
          <w:sz w:val="22"/>
          <w:szCs w:val="22"/>
          <w:lang w:val="nl-NL"/>
        </w:rPr>
        <w:t>, Juli/Augustus, pp. 340-347.</w:t>
      </w:r>
    </w:p>
    <w:p w:rsidR="00986078" w:rsidRPr="00337C97" w:rsidRDefault="00986078"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Levine</w:t>
      </w:r>
      <w:r w:rsidR="006F33E9" w:rsidRPr="00337C97">
        <w:rPr>
          <w:rFonts w:asciiTheme="minorHAnsi" w:hAnsiTheme="minorHAnsi" w:cs="Times New Roman"/>
          <w:sz w:val="22"/>
          <w:szCs w:val="22"/>
          <w:lang w:val="en-US"/>
        </w:rPr>
        <w:t>, R. (</w:t>
      </w:r>
      <w:r w:rsidRPr="00337C97">
        <w:rPr>
          <w:rFonts w:asciiTheme="minorHAnsi" w:hAnsiTheme="minorHAnsi" w:cs="Times New Roman"/>
          <w:sz w:val="22"/>
          <w:szCs w:val="22"/>
          <w:lang w:val="en-US"/>
        </w:rPr>
        <w:t>2004</w:t>
      </w:r>
      <w:r w:rsidR="006F33E9" w:rsidRPr="00337C97">
        <w:rPr>
          <w:rFonts w:asciiTheme="minorHAnsi" w:hAnsiTheme="minorHAnsi" w:cs="Times New Roman"/>
          <w:sz w:val="22"/>
          <w:szCs w:val="22"/>
          <w:lang w:val="en-US"/>
        </w:rPr>
        <w:t xml:space="preserve">), “The Corporate Governance of Banks: A Concise Discussion of Concepts and Evidence”, </w:t>
      </w:r>
      <w:r w:rsidR="006F33E9" w:rsidRPr="00337C97">
        <w:rPr>
          <w:rFonts w:asciiTheme="minorHAnsi" w:hAnsiTheme="minorHAnsi" w:cs="Times New Roman"/>
          <w:i/>
          <w:sz w:val="22"/>
          <w:szCs w:val="22"/>
          <w:lang w:val="en-US"/>
        </w:rPr>
        <w:t>World Bank Policy Research Paper 3404,</w:t>
      </w:r>
      <w:r w:rsidR="006F33E9" w:rsidRPr="00337C97">
        <w:rPr>
          <w:rFonts w:asciiTheme="minorHAnsi" w:hAnsiTheme="minorHAnsi" w:cs="Times New Roman"/>
          <w:sz w:val="22"/>
          <w:szCs w:val="22"/>
          <w:lang w:val="en-US"/>
        </w:rPr>
        <w:t xml:space="preserve"> September.</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Linsley, P.M. and Shrives, P.J. (2005</w:t>
      </w:r>
      <w:r w:rsidR="003A4761" w:rsidRPr="00337C97">
        <w:rPr>
          <w:rFonts w:asciiTheme="minorHAnsi" w:hAnsiTheme="minorHAnsi" w:cs="Times New Roman"/>
          <w:sz w:val="22"/>
          <w:szCs w:val="22"/>
          <w:lang w:val="en-US"/>
        </w:rPr>
        <w:t>a</w:t>
      </w:r>
      <w:r w:rsidRPr="00337C97">
        <w:rPr>
          <w:rFonts w:asciiTheme="minorHAnsi" w:hAnsiTheme="minorHAnsi" w:cs="Times New Roman"/>
          <w:sz w:val="22"/>
          <w:szCs w:val="22"/>
          <w:lang w:val="en-US"/>
        </w:rPr>
        <w:t xml:space="preserve">), “Transparency and the disclosure of risk information in the banking sector”, </w:t>
      </w:r>
      <w:r w:rsidRPr="00337C97">
        <w:rPr>
          <w:rFonts w:asciiTheme="minorHAnsi" w:hAnsiTheme="minorHAnsi" w:cs="Times New Roman"/>
          <w:i/>
          <w:sz w:val="22"/>
          <w:szCs w:val="22"/>
          <w:lang w:val="en-US"/>
        </w:rPr>
        <w:t>Journal of Financial Regulation and Compliance</w:t>
      </w:r>
      <w:r w:rsidRPr="00337C97">
        <w:rPr>
          <w:rFonts w:asciiTheme="minorHAnsi" w:hAnsiTheme="minorHAnsi" w:cs="Times New Roman"/>
          <w:sz w:val="22"/>
          <w:szCs w:val="22"/>
          <w:lang w:val="en-US"/>
        </w:rPr>
        <w:t>, Vol. 13 No. 3, pp. 205-214.</w:t>
      </w:r>
    </w:p>
    <w:p w:rsidR="00074637" w:rsidRPr="00337C97" w:rsidRDefault="003A47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Linsley, P.M. and Shrives, P.J. (2005b), “Examining risk reporting in UK public companies”, </w:t>
      </w:r>
      <w:r w:rsidRPr="00337C97">
        <w:rPr>
          <w:rFonts w:asciiTheme="minorHAnsi" w:hAnsiTheme="minorHAnsi" w:cs="Times New Roman"/>
          <w:i/>
          <w:sz w:val="22"/>
          <w:szCs w:val="22"/>
          <w:lang w:val="en-US"/>
        </w:rPr>
        <w:t>The Journal of Risk Finance</w:t>
      </w:r>
      <w:r w:rsidRPr="00337C97">
        <w:rPr>
          <w:rFonts w:asciiTheme="minorHAnsi" w:hAnsiTheme="minorHAnsi" w:cs="Times New Roman"/>
          <w:sz w:val="22"/>
          <w:szCs w:val="22"/>
          <w:lang w:val="en-US"/>
        </w:rPr>
        <w:t>, 2005; Vol. 6 No. 4, pp. 292-305.</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Linsley, P.M., Shrives, P.J. and Crumpton, M. (2006), “Risk Disclosure: An exploratory study of UK and Canadian banks”, </w:t>
      </w:r>
      <w:r w:rsidRPr="00337C97">
        <w:rPr>
          <w:rFonts w:asciiTheme="minorHAnsi" w:hAnsiTheme="minorHAnsi" w:cs="Times New Roman"/>
          <w:i/>
          <w:sz w:val="22"/>
          <w:szCs w:val="22"/>
          <w:lang w:val="en-US"/>
        </w:rPr>
        <w:t>Journal of Banking Regulation</w:t>
      </w:r>
      <w:r w:rsidRPr="00337C97">
        <w:rPr>
          <w:rFonts w:asciiTheme="minorHAnsi" w:hAnsiTheme="minorHAnsi" w:cs="Times New Roman"/>
          <w:sz w:val="22"/>
          <w:szCs w:val="22"/>
          <w:lang w:val="en-US"/>
        </w:rPr>
        <w:t>, Vol. 7 Issue 3/4, pp. 268-282.</w:t>
      </w:r>
    </w:p>
    <w:p w:rsidR="00496EED" w:rsidRPr="00337C97" w:rsidRDefault="00295EBB"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Linsley, P.M. and Shrives, P.J. (2006), “Risk reporting: a study of risk disclosure in the annual reports of UK companies”, </w:t>
      </w:r>
      <w:r w:rsidRPr="00337C97">
        <w:rPr>
          <w:rFonts w:asciiTheme="minorHAnsi" w:hAnsiTheme="minorHAnsi" w:cs="Times New Roman"/>
          <w:i/>
          <w:iCs/>
          <w:sz w:val="22"/>
          <w:szCs w:val="22"/>
          <w:lang w:val="en-US"/>
        </w:rPr>
        <w:t>The British Accounting Review</w:t>
      </w:r>
      <w:r w:rsidRPr="00337C97">
        <w:rPr>
          <w:rFonts w:asciiTheme="minorHAnsi" w:hAnsiTheme="minorHAnsi" w:cs="Times New Roman"/>
          <w:sz w:val="22"/>
          <w:szCs w:val="22"/>
          <w:lang w:val="en-US"/>
        </w:rPr>
        <w:t>, Vol. 38, pp. 387-404.</w:t>
      </w:r>
    </w:p>
    <w:p w:rsidR="00477644" w:rsidRPr="00337C97" w:rsidRDefault="00477644"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Linsmeier, T.J., Thornton, D.B., Venkatachalam, M. and Welker, M. (2002), “The effect of mandated market risk disclosures on trading volume sensitivity to interest rate, exchange rate and commodity price movement”, </w:t>
      </w:r>
      <w:r w:rsidRPr="00337C97">
        <w:rPr>
          <w:rFonts w:asciiTheme="minorHAnsi" w:hAnsiTheme="minorHAnsi" w:cs="Times New Roman"/>
          <w:i/>
          <w:sz w:val="22"/>
          <w:szCs w:val="22"/>
          <w:lang w:val="en-US"/>
        </w:rPr>
        <w:t>Accounting Review</w:t>
      </w:r>
      <w:r w:rsidRPr="00337C97">
        <w:rPr>
          <w:rFonts w:asciiTheme="minorHAnsi" w:hAnsiTheme="minorHAnsi" w:cs="Times New Roman"/>
          <w:sz w:val="22"/>
          <w:szCs w:val="22"/>
          <w:lang w:val="en-US"/>
        </w:rPr>
        <w:t>, Vol. 77 No. 2, pp. 343-377.</w:t>
      </w:r>
    </w:p>
    <w:p w:rsidR="00A4557F" w:rsidRPr="00337C97" w:rsidRDefault="00D57F86"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Mecking, E. (2008), </w:t>
      </w:r>
      <w:r w:rsidRPr="00337C97">
        <w:rPr>
          <w:rFonts w:asciiTheme="minorHAnsi" w:hAnsiTheme="minorHAnsi" w:cs="Times New Roman"/>
          <w:i/>
          <w:sz w:val="22"/>
          <w:szCs w:val="22"/>
          <w:lang w:val="nl-NL"/>
        </w:rPr>
        <w:t>Deflatie in aantocht</w:t>
      </w:r>
      <w:r w:rsidRPr="00337C97">
        <w:rPr>
          <w:rFonts w:asciiTheme="minorHAnsi" w:hAnsiTheme="minorHAnsi" w:cs="Times New Roman"/>
          <w:sz w:val="22"/>
          <w:szCs w:val="22"/>
          <w:lang w:val="nl-NL"/>
        </w:rPr>
        <w:t>”, Mets &amp; Schilt, Amsterdam.</w:t>
      </w:r>
    </w:p>
    <w:p w:rsidR="00D44872" w:rsidRPr="00337C97" w:rsidRDefault="00D44872"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Meijer, J.W.M.K (2003), “Verslaggeving over risico’s”, </w:t>
      </w:r>
      <w:r w:rsidRPr="00337C97">
        <w:rPr>
          <w:rFonts w:asciiTheme="minorHAnsi" w:hAnsiTheme="minorHAnsi" w:cs="Times New Roman"/>
          <w:i/>
          <w:sz w:val="22"/>
          <w:szCs w:val="22"/>
          <w:lang w:val="nl-NL"/>
        </w:rPr>
        <w:t>Maandblad voor Accountancy en Bedrijfseconomie</w:t>
      </w:r>
      <w:r w:rsidRPr="00337C97">
        <w:rPr>
          <w:rFonts w:asciiTheme="minorHAnsi" w:hAnsiTheme="minorHAnsi" w:cs="Times New Roman"/>
          <w:sz w:val="22"/>
          <w:szCs w:val="22"/>
          <w:lang w:val="nl-NL"/>
        </w:rPr>
        <w:t>, Maart, pp. 109-118.</w:t>
      </w:r>
    </w:p>
    <w:p w:rsidR="008A1B0A" w:rsidRPr="00337C97" w:rsidRDefault="008A1B0A"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Michiels, A., Vandemaele S. and Vergauwen, Ph. (2009), “Risicorapportering door Belgische beursgenoteerde bedrijven”, </w:t>
      </w:r>
      <w:r w:rsidRPr="00337C97">
        <w:rPr>
          <w:rFonts w:asciiTheme="minorHAnsi" w:hAnsiTheme="minorHAnsi" w:cs="Times New Roman"/>
          <w:i/>
          <w:sz w:val="22"/>
          <w:szCs w:val="22"/>
          <w:lang w:val="nl-NL"/>
        </w:rPr>
        <w:t>Accountancy &amp; Bedrijfskunde</w:t>
      </w:r>
      <w:r w:rsidRPr="00337C97">
        <w:rPr>
          <w:rFonts w:asciiTheme="minorHAnsi" w:hAnsiTheme="minorHAnsi" w:cs="Times New Roman"/>
          <w:sz w:val="22"/>
          <w:szCs w:val="22"/>
          <w:lang w:val="nl-NL"/>
        </w:rPr>
        <w:t xml:space="preserve">, </w:t>
      </w:r>
      <w:r w:rsidR="00B12C7B" w:rsidRPr="00337C97">
        <w:rPr>
          <w:rFonts w:asciiTheme="minorHAnsi" w:hAnsiTheme="minorHAnsi" w:cs="Times New Roman"/>
          <w:sz w:val="22"/>
          <w:szCs w:val="22"/>
          <w:lang w:val="nl-NL"/>
        </w:rPr>
        <w:t xml:space="preserve">No. </w:t>
      </w:r>
      <w:r w:rsidRPr="00337C97">
        <w:rPr>
          <w:rFonts w:asciiTheme="minorHAnsi" w:hAnsiTheme="minorHAnsi" w:cs="Times New Roman"/>
          <w:sz w:val="22"/>
          <w:szCs w:val="22"/>
          <w:lang w:val="nl-NL"/>
        </w:rPr>
        <w:t>4, pp. 3-11.</w:t>
      </w:r>
    </w:p>
    <w:p w:rsidR="00496EED" w:rsidRPr="00337C97" w:rsidRDefault="00496EED"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Milne, M.J. and Adler, R.W. (1999), “Exploring the reliability of social and environmental disclosures content analysis”</w:t>
      </w:r>
      <w:r w:rsidR="006A403B"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w:t>
      </w:r>
      <w:r w:rsidRPr="00337C97">
        <w:rPr>
          <w:rFonts w:asciiTheme="minorHAnsi" w:hAnsiTheme="minorHAnsi" w:cs="Times New Roman"/>
          <w:i/>
          <w:sz w:val="22"/>
          <w:szCs w:val="22"/>
          <w:lang w:val="en-US"/>
        </w:rPr>
        <w:t>Accounting, Auditing &amp; Accountability Journal</w:t>
      </w:r>
      <w:r w:rsidRPr="00337C97">
        <w:rPr>
          <w:rFonts w:asciiTheme="minorHAnsi" w:hAnsiTheme="minorHAnsi" w:cs="Times New Roman"/>
          <w:sz w:val="22"/>
          <w:szCs w:val="22"/>
          <w:lang w:val="en-US"/>
        </w:rPr>
        <w:t>, Vol. 12 No. 2, pp. 237-256.</w:t>
      </w:r>
    </w:p>
    <w:p w:rsidR="007B0FEC" w:rsidRPr="00337C97" w:rsidRDefault="006A403B"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Milne, M.J. (2002), “Positive Accounting Theory, Political Costs and Social Disclosure Analysis: a critical look”, </w:t>
      </w:r>
      <w:r w:rsidR="00A220DA" w:rsidRPr="00337C97">
        <w:rPr>
          <w:rFonts w:asciiTheme="minorHAnsi" w:hAnsiTheme="minorHAnsi" w:cs="Times New Roman"/>
          <w:sz w:val="22"/>
          <w:szCs w:val="22"/>
          <w:lang w:val="en-US"/>
        </w:rPr>
        <w:t>paper presented at the 2001 BAA Annual Conference at the University of Nottingham.</w:t>
      </w:r>
    </w:p>
    <w:p w:rsidR="00D17661" w:rsidRPr="00337C97" w:rsidRDefault="00D17661"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Morgan, D.P. (2002), “Rating Banks: Risk and Uncertainty in an Opaque Industry”, </w:t>
      </w:r>
      <w:r w:rsidRPr="00337C97">
        <w:rPr>
          <w:rFonts w:asciiTheme="minorHAnsi" w:hAnsiTheme="minorHAnsi" w:cs="Times New Roman"/>
          <w:i/>
          <w:sz w:val="22"/>
          <w:szCs w:val="22"/>
          <w:lang w:val="en-US"/>
        </w:rPr>
        <w:t>The American Economic Review</w:t>
      </w:r>
      <w:r w:rsidRPr="00337C97">
        <w:rPr>
          <w:rFonts w:asciiTheme="minorHAnsi" w:hAnsiTheme="minorHAnsi" w:cs="Times New Roman"/>
          <w:sz w:val="22"/>
          <w:szCs w:val="22"/>
          <w:lang w:val="en-US"/>
        </w:rPr>
        <w:t>, Vol. 92 No.4, pp. 874-888.</w:t>
      </w:r>
    </w:p>
    <w:p w:rsidR="006F33E9" w:rsidRPr="00337C97" w:rsidRDefault="006F33E9"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Ormerod, P. (2008), “Credit crunch: Risk-taking”, </w:t>
      </w:r>
      <w:r w:rsidRPr="00337C97">
        <w:rPr>
          <w:rFonts w:asciiTheme="minorHAnsi" w:hAnsiTheme="minorHAnsi" w:cs="Times New Roman"/>
          <w:i/>
          <w:sz w:val="22"/>
          <w:szCs w:val="22"/>
          <w:lang w:val="en-US"/>
        </w:rPr>
        <w:t>The Sunday Times</w:t>
      </w:r>
      <w:r w:rsidRPr="00337C97">
        <w:rPr>
          <w:rFonts w:asciiTheme="minorHAnsi" w:hAnsiTheme="minorHAnsi" w:cs="Times New Roman"/>
          <w:sz w:val="22"/>
          <w:szCs w:val="22"/>
          <w:lang w:val="en-US"/>
        </w:rPr>
        <w:t>, March</w:t>
      </w:r>
      <w:r w:rsidR="00516E8F" w:rsidRPr="00337C97">
        <w:rPr>
          <w:rFonts w:asciiTheme="minorHAnsi" w:hAnsiTheme="minorHAnsi" w:cs="Times New Roman"/>
          <w:sz w:val="22"/>
          <w:szCs w:val="22"/>
          <w:lang w:val="en-US"/>
        </w:rPr>
        <w:t xml:space="preserve"> 23</w:t>
      </w:r>
      <w:r w:rsidRPr="00337C97">
        <w:rPr>
          <w:rFonts w:asciiTheme="minorHAnsi" w:hAnsiTheme="minorHAnsi" w:cs="Times New Roman"/>
          <w:sz w:val="22"/>
          <w:szCs w:val="22"/>
          <w:lang w:val="en-US"/>
        </w:rPr>
        <w:t>.</w:t>
      </w:r>
    </w:p>
    <w:p w:rsidR="005226EB" w:rsidRPr="00337C97" w:rsidRDefault="005226EB"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O’Sullivan, N. (2000), “The impact of board composition and ownership on audit quality: evidence from large UK companies”, </w:t>
      </w:r>
      <w:r w:rsidRPr="00337C97">
        <w:rPr>
          <w:rFonts w:asciiTheme="minorHAnsi" w:hAnsiTheme="minorHAnsi" w:cs="Times New Roman"/>
          <w:i/>
          <w:sz w:val="22"/>
          <w:szCs w:val="22"/>
          <w:lang w:val="en-US"/>
        </w:rPr>
        <w:t>British Accounting Review</w:t>
      </w:r>
      <w:r w:rsidRPr="00337C97">
        <w:rPr>
          <w:rFonts w:asciiTheme="minorHAnsi" w:hAnsiTheme="minorHAnsi" w:cs="Times New Roman"/>
          <w:sz w:val="22"/>
          <w:szCs w:val="22"/>
          <w:lang w:val="en-US"/>
        </w:rPr>
        <w:t>, Vol. 32, pp. 397-414.</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Padoa-Schioppa, T. (1999), EMU and Banking Supervision, </w:t>
      </w:r>
      <w:r w:rsidRPr="00337C97">
        <w:rPr>
          <w:rFonts w:asciiTheme="minorHAnsi" w:hAnsiTheme="minorHAnsi" w:cs="Times New Roman"/>
          <w:i/>
          <w:sz w:val="22"/>
          <w:szCs w:val="22"/>
          <w:lang w:val="en-US"/>
        </w:rPr>
        <w:t>International Finance</w:t>
      </w:r>
      <w:r w:rsidRPr="00337C97">
        <w:rPr>
          <w:rFonts w:asciiTheme="minorHAnsi" w:hAnsiTheme="minorHAnsi" w:cs="Times New Roman"/>
          <w:sz w:val="22"/>
          <w:szCs w:val="22"/>
          <w:lang w:val="en-US"/>
        </w:rPr>
        <w:t>, Vol. 2 No. 2, pp. 295-308.</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Prat, A. (2005), “The Wrong Kind of Transparency”, </w:t>
      </w:r>
      <w:r w:rsidRPr="00337C97">
        <w:rPr>
          <w:rFonts w:asciiTheme="minorHAnsi" w:hAnsiTheme="minorHAnsi" w:cs="Times New Roman"/>
          <w:i/>
          <w:sz w:val="22"/>
          <w:szCs w:val="22"/>
          <w:lang w:val="en-US"/>
        </w:rPr>
        <w:t>The American Review</w:t>
      </w:r>
      <w:r w:rsidRPr="00337C97">
        <w:rPr>
          <w:rFonts w:asciiTheme="minorHAnsi" w:hAnsiTheme="minorHAnsi" w:cs="Times New Roman"/>
          <w:sz w:val="22"/>
          <w:szCs w:val="22"/>
          <w:lang w:val="en-US"/>
        </w:rPr>
        <w:t xml:space="preserve">, Vol. 95 No. 3, pp. 862-877. </w:t>
      </w:r>
    </w:p>
    <w:p w:rsidR="00BA528E" w:rsidRPr="00337C97" w:rsidRDefault="00BA528E"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Pyle, D.H. (1997), </w:t>
      </w:r>
      <w:r w:rsidRPr="00337C97">
        <w:rPr>
          <w:rFonts w:asciiTheme="minorHAnsi" w:hAnsiTheme="minorHAnsi" w:cs="Times New Roman"/>
          <w:i/>
          <w:iCs/>
          <w:sz w:val="22"/>
          <w:szCs w:val="22"/>
          <w:lang w:val="en-US"/>
        </w:rPr>
        <w:t>Bank Risk Management: Theory</w:t>
      </w:r>
      <w:r w:rsidRPr="00337C97">
        <w:rPr>
          <w:rFonts w:asciiTheme="minorHAnsi" w:hAnsiTheme="minorHAnsi" w:cs="Times New Roman"/>
          <w:sz w:val="22"/>
          <w:szCs w:val="22"/>
          <w:lang w:val="en-US"/>
        </w:rPr>
        <w:t>, Working Paper, Haas School of Business, University of California, Berkeley.</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PricewaterhouseCoopers (2006), </w:t>
      </w:r>
      <w:r w:rsidR="00E60CAB"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IFRS 7: Ready or not</w:t>
      </w:r>
      <w:r w:rsidR="00E60CAB" w:rsidRPr="00337C97">
        <w:rPr>
          <w:rFonts w:asciiTheme="minorHAnsi" w:hAnsiTheme="minorHAnsi" w:cs="Times New Roman"/>
          <w:sz w:val="22"/>
          <w:szCs w:val="22"/>
          <w:lang w:val="en-US"/>
        </w:rPr>
        <w:t>”</w:t>
      </w:r>
      <w:r w:rsidRPr="00337C97">
        <w:rPr>
          <w:rFonts w:asciiTheme="minorHAnsi" w:hAnsiTheme="minorHAnsi" w:cs="Times New Roman"/>
          <w:sz w:val="22"/>
          <w:szCs w:val="22"/>
          <w:lang w:val="en-US"/>
        </w:rPr>
        <w:t xml:space="preserve">, via website </w:t>
      </w:r>
      <w:hyperlink r:id="rId26" w:history="1">
        <w:r w:rsidRPr="00337C97">
          <w:rPr>
            <w:rStyle w:val="Hyperlink"/>
            <w:rFonts w:asciiTheme="minorHAnsi" w:hAnsiTheme="minorHAnsi" w:cs="Times New Roman"/>
            <w:sz w:val="22"/>
            <w:szCs w:val="22"/>
            <w:lang w:val="en-US"/>
          </w:rPr>
          <w:t>www.pwc.com</w:t>
        </w:r>
      </w:hyperlink>
      <w:r w:rsidR="00DB14C9" w:rsidRPr="00337C97">
        <w:rPr>
          <w:rFonts w:asciiTheme="minorHAnsi" w:hAnsiTheme="minorHAnsi" w:cs="Times New Roman"/>
          <w:sz w:val="22"/>
          <w:szCs w:val="22"/>
          <w:lang w:val="en-US"/>
        </w:rPr>
        <w:t>, retrieved on: 14-08-2010.</w:t>
      </w:r>
    </w:p>
    <w:p w:rsidR="00E60CAB" w:rsidRPr="00337C97" w:rsidRDefault="00E60CAB"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lastRenderedPageBreak/>
        <w:t>RiskMetrics Group (2009), “Study on Monitoring and Enforcement Practices in Corporate Governance in the Member States”, via the website of the European Commission (</w:t>
      </w:r>
      <w:hyperlink r:id="rId27" w:history="1">
        <w:r w:rsidRPr="00337C97">
          <w:rPr>
            <w:rStyle w:val="Hyperlink"/>
            <w:rFonts w:asciiTheme="minorHAnsi" w:hAnsiTheme="minorHAnsi" w:cs="Times New Roman"/>
            <w:sz w:val="22"/>
            <w:szCs w:val="22"/>
            <w:lang w:val="en-US"/>
          </w:rPr>
          <w:t>ec.europa.eu</w:t>
        </w:r>
      </w:hyperlink>
      <w:r w:rsidR="00DB14C9" w:rsidRPr="00337C97">
        <w:rPr>
          <w:rFonts w:asciiTheme="minorHAnsi" w:hAnsiTheme="minorHAnsi" w:cs="Times New Roman"/>
          <w:sz w:val="22"/>
          <w:szCs w:val="22"/>
          <w:lang w:val="en-US"/>
        </w:rPr>
        <w:t>), retrieved on: 14-08-2010.</w:t>
      </w:r>
    </w:p>
    <w:p w:rsidR="006F33E9" w:rsidRPr="00337C97" w:rsidRDefault="006F33E9"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Ryan, S.G. (2008), “Accounting in and for the Subprime Crisis”, </w:t>
      </w:r>
      <w:r w:rsidRPr="00337C97">
        <w:rPr>
          <w:rFonts w:asciiTheme="minorHAnsi" w:hAnsiTheme="minorHAnsi" w:cs="Times New Roman"/>
          <w:i/>
          <w:sz w:val="22"/>
          <w:szCs w:val="22"/>
          <w:lang w:val="en-US"/>
        </w:rPr>
        <w:t>The Accounting Review</w:t>
      </w:r>
      <w:r w:rsidRPr="00337C97">
        <w:rPr>
          <w:rFonts w:asciiTheme="minorHAnsi" w:hAnsiTheme="minorHAnsi" w:cs="Times New Roman"/>
          <w:sz w:val="22"/>
          <w:szCs w:val="22"/>
          <w:lang w:val="en-US"/>
        </w:rPr>
        <w:t>, Vol. 83 No. 6, pp. 1605-1638.</w:t>
      </w:r>
    </w:p>
    <w:p w:rsidR="00BA528E" w:rsidRPr="00337C97" w:rsidRDefault="00BA528E"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Santomero, A.M. (1997)</w:t>
      </w:r>
      <w:r w:rsidR="00F53BF2" w:rsidRPr="00337C97">
        <w:rPr>
          <w:rFonts w:asciiTheme="minorHAnsi" w:hAnsiTheme="minorHAnsi" w:cs="Times New Roman"/>
          <w:sz w:val="22"/>
          <w:szCs w:val="22"/>
          <w:lang w:val="en-US"/>
        </w:rPr>
        <w:t xml:space="preserve">, </w:t>
      </w:r>
      <w:r w:rsidR="00F53BF2" w:rsidRPr="00337C97">
        <w:rPr>
          <w:rFonts w:asciiTheme="minorHAnsi" w:hAnsiTheme="minorHAnsi" w:cs="Times New Roman"/>
          <w:i/>
          <w:iCs/>
          <w:sz w:val="22"/>
          <w:szCs w:val="22"/>
          <w:lang w:val="en-US"/>
        </w:rPr>
        <w:t>Commercial Bank Risk Management: an Analysis of the Process</w:t>
      </w:r>
      <w:r w:rsidR="00F53BF2" w:rsidRPr="00337C97">
        <w:rPr>
          <w:rFonts w:asciiTheme="minorHAnsi" w:hAnsiTheme="minorHAnsi" w:cs="Times New Roman"/>
          <w:sz w:val="22"/>
          <w:szCs w:val="22"/>
          <w:lang w:val="en-US"/>
        </w:rPr>
        <w:t xml:space="preserve">, Paper presented at the Wharton Financial Institutions </w:t>
      </w:r>
      <w:r w:rsidR="00926868" w:rsidRPr="00337C97">
        <w:rPr>
          <w:rFonts w:asciiTheme="minorHAnsi" w:hAnsiTheme="minorHAnsi" w:cs="Times New Roman"/>
          <w:sz w:val="22"/>
          <w:szCs w:val="22"/>
          <w:lang w:val="en-US"/>
        </w:rPr>
        <w:t>Center</w:t>
      </w:r>
      <w:r w:rsidR="00F53BF2" w:rsidRPr="00337C97">
        <w:rPr>
          <w:rFonts w:asciiTheme="minorHAnsi" w:hAnsiTheme="minorHAnsi" w:cs="Times New Roman"/>
          <w:sz w:val="22"/>
          <w:szCs w:val="22"/>
          <w:lang w:val="en-US"/>
        </w:rPr>
        <w:t xml:space="preserve"> Conference on Risk Management in Banking (October 1996), University of Pennsylvania.</w:t>
      </w:r>
    </w:p>
    <w:p w:rsidR="00360044" w:rsidRPr="00337C97" w:rsidRDefault="00360044"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Schrand, C.M., and Elliot, J.A. (1998), “Risk and Financial Reporting: A Summary of the Discussion at the 1997 AAA/FASB conference”, </w:t>
      </w:r>
      <w:r w:rsidRPr="00337C97">
        <w:rPr>
          <w:rFonts w:asciiTheme="minorHAnsi" w:hAnsiTheme="minorHAnsi" w:cs="Times New Roman"/>
          <w:i/>
          <w:sz w:val="22"/>
          <w:szCs w:val="22"/>
          <w:lang w:val="en-US"/>
        </w:rPr>
        <w:t>Accounting Horizons</w:t>
      </w:r>
      <w:r w:rsidRPr="00337C97">
        <w:rPr>
          <w:rFonts w:asciiTheme="minorHAnsi" w:hAnsiTheme="minorHAnsi" w:cs="Times New Roman"/>
          <w:sz w:val="22"/>
          <w:szCs w:val="22"/>
          <w:lang w:val="en-US"/>
        </w:rPr>
        <w:t>, Vol. 12 No. 3, pp. 271-282.</w:t>
      </w:r>
    </w:p>
    <w:p w:rsidR="00570E4A" w:rsidRPr="00337C97" w:rsidRDefault="00570E4A"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Scott, W.R. (2006), </w:t>
      </w:r>
      <w:r w:rsidRPr="00337C97">
        <w:rPr>
          <w:rFonts w:asciiTheme="minorHAnsi" w:hAnsiTheme="minorHAnsi" w:cs="Times New Roman"/>
          <w:i/>
          <w:iCs/>
          <w:sz w:val="22"/>
          <w:szCs w:val="22"/>
          <w:lang w:val="en-US"/>
        </w:rPr>
        <w:t>Financial Accounting Theory</w:t>
      </w:r>
      <w:r w:rsidRPr="00337C97">
        <w:rPr>
          <w:rFonts w:asciiTheme="minorHAnsi" w:hAnsiTheme="minorHAnsi" w:cs="Times New Roman"/>
          <w:sz w:val="22"/>
          <w:szCs w:val="22"/>
          <w:lang w:val="en-US"/>
        </w:rPr>
        <w:t>, Pearson Prentice Hall, Toronto.</w:t>
      </w:r>
    </w:p>
    <w:p w:rsidR="00654CAF" w:rsidRPr="00337C97" w:rsidRDefault="00654CAF"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Solomon, J.F., Solomon, A., Norton, S.D. and Joseph, N.L. (2000), “A conceptual framework for corporate risk disclosure emerging from the agenda for corporate governance reform”, </w:t>
      </w:r>
      <w:r w:rsidRPr="00337C97">
        <w:rPr>
          <w:rFonts w:asciiTheme="minorHAnsi" w:hAnsiTheme="minorHAnsi" w:cs="Times New Roman"/>
          <w:i/>
          <w:sz w:val="22"/>
          <w:szCs w:val="22"/>
          <w:lang w:val="en-US"/>
        </w:rPr>
        <w:t>British Accounting Review</w:t>
      </w:r>
      <w:r w:rsidRPr="00337C97">
        <w:rPr>
          <w:rFonts w:asciiTheme="minorHAnsi" w:hAnsiTheme="minorHAnsi" w:cs="Times New Roman"/>
          <w:sz w:val="22"/>
          <w:szCs w:val="22"/>
          <w:lang w:val="en-US"/>
        </w:rPr>
        <w:t>, Vol. 32, pp. 447-478.</w:t>
      </w:r>
    </w:p>
    <w:p w:rsidR="009C605D" w:rsidRPr="00337C97" w:rsidRDefault="009C605D" w:rsidP="009E152D">
      <w:pPr>
        <w:numPr>
          <w:ilvl w:val="0"/>
          <w:numId w:val="8"/>
        </w:numPr>
        <w:spacing w:line="360" w:lineRule="auto"/>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Stern, G.H. and Feldman, R.J. (2004), </w:t>
      </w:r>
      <w:r w:rsidRPr="00337C97">
        <w:rPr>
          <w:rFonts w:asciiTheme="minorHAnsi" w:hAnsiTheme="minorHAnsi" w:cs="Times New Roman"/>
          <w:i/>
          <w:sz w:val="22"/>
          <w:szCs w:val="22"/>
          <w:lang w:val="en-US"/>
        </w:rPr>
        <w:t>Too big to fail: the hazards of bank bailouts</w:t>
      </w:r>
      <w:r w:rsidRPr="00337C97">
        <w:rPr>
          <w:rFonts w:asciiTheme="minorHAnsi" w:hAnsiTheme="minorHAnsi" w:cs="Times New Roman"/>
          <w:sz w:val="22"/>
          <w:szCs w:val="22"/>
          <w:lang w:val="en-US"/>
        </w:rPr>
        <w:t>, The Brookings Institution, Washington D.C.</w:t>
      </w:r>
    </w:p>
    <w:p w:rsidR="009D75F6"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Stolowy H.</w:t>
      </w:r>
      <w:r w:rsidR="009D75F6" w:rsidRPr="00337C97">
        <w:rPr>
          <w:rFonts w:asciiTheme="minorHAnsi" w:hAnsiTheme="minorHAnsi" w:cs="Times New Roman"/>
          <w:sz w:val="22"/>
          <w:szCs w:val="22"/>
          <w:lang w:val="en-US"/>
        </w:rPr>
        <w:t xml:space="preserve"> and Lebas, M.J. (2006), </w:t>
      </w:r>
      <w:r w:rsidR="009D75F6" w:rsidRPr="00337C97">
        <w:rPr>
          <w:rFonts w:asciiTheme="minorHAnsi" w:hAnsiTheme="minorHAnsi" w:cs="Times New Roman"/>
          <w:i/>
          <w:sz w:val="22"/>
          <w:szCs w:val="22"/>
          <w:lang w:val="en-US"/>
        </w:rPr>
        <w:t>Financial Accounting and Reporting: A global perspective</w:t>
      </w:r>
      <w:r w:rsidR="009D75F6" w:rsidRPr="00337C97">
        <w:rPr>
          <w:rFonts w:asciiTheme="minorHAnsi" w:hAnsiTheme="minorHAnsi" w:cs="Times New Roman"/>
          <w:sz w:val="22"/>
          <w:szCs w:val="22"/>
          <w:lang w:val="en-US"/>
        </w:rPr>
        <w:t xml:space="preserve">, Cengage Learning (former Thomson Business Press). </w:t>
      </w:r>
    </w:p>
    <w:p w:rsidR="00D17661" w:rsidRPr="00337C97" w:rsidRDefault="00D17661"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Tett, G. (2008), “Why the pain in Spain has mainly been contained”, </w:t>
      </w:r>
      <w:r w:rsidRPr="00337C97">
        <w:rPr>
          <w:rFonts w:asciiTheme="minorHAnsi" w:hAnsiTheme="minorHAnsi" w:cs="Times New Roman"/>
          <w:i/>
          <w:sz w:val="22"/>
          <w:szCs w:val="22"/>
          <w:lang w:val="en-US"/>
        </w:rPr>
        <w:t>Financial Times</w:t>
      </w:r>
      <w:r w:rsidRPr="00337C97">
        <w:rPr>
          <w:rFonts w:asciiTheme="minorHAnsi" w:hAnsiTheme="minorHAnsi" w:cs="Times New Roman"/>
          <w:sz w:val="22"/>
          <w:szCs w:val="22"/>
          <w:lang w:val="en-US"/>
        </w:rPr>
        <w:t>, February 1.</w:t>
      </w:r>
    </w:p>
    <w:p w:rsidR="00496EED" w:rsidRPr="00337C97" w:rsidRDefault="00496EED"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Unerman, J. (2000), “Methodological issues: reflections on quantification in corporate social reporting content analysis”, </w:t>
      </w:r>
      <w:r w:rsidRPr="00337C97">
        <w:rPr>
          <w:rFonts w:asciiTheme="minorHAnsi" w:hAnsiTheme="minorHAnsi" w:cs="Times New Roman"/>
          <w:i/>
          <w:sz w:val="22"/>
          <w:szCs w:val="22"/>
          <w:lang w:val="en-US"/>
        </w:rPr>
        <w:t>Accounting, Auditing &amp; Accountability Journal</w:t>
      </w:r>
      <w:r w:rsidRPr="00337C97">
        <w:rPr>
          <w:rFonts w:asciiTheme="minorHAnsi" w:hAnsiTheme="minorHAnsi" w:cs="Times New Roman"/>
          <w:sz w:val="22"/>
          <w:szCs w:val="22"/>
          <w:lang w:val="en-US"/>
        </w:rPr>
        <w:t>, Vol. 13 No. 5, pp. 667-680.</w:t>
      </w:r>
    </w:p>
    <w:p w:rsidR="00F64B4C" w:rsidRPr="00337C97" w:rsidRDefault="00F64B4C"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Venkatachalam, M. (1996), “Value-relevance of banks’ derivative disclosures”, </w:t>
      </w:r>
      <w:r w:rsidRPr="00337C97">
        <w:rPr>
          <w:rFonts w:asciiTheme="minorHAnsi" w:hAnsiTheme="minorHAnsi" w:cs="Times New Roman"/>
          <w:i/>
          <w:sz w:val="22"/>
          <w:szCs w:val="22"/>
          <w:lang w:val="en-US"/>
        </w:rPr>
        <w:t>Journal of Accounting and Economics</w:t>
      </w:r>
      <w:r w:rsidRPr="00337C97">
        <w:rPr>
          <w:rFonts w:asciiTheme="minorHAnsi" w:hAnsiTheme="minorHAnsi" w:cs="Times New Roman"/>
          <w:sz w:val="22"/>
          <w:szCs w:val="22"/>
          <w:lang w:val="en-US"/>
        </w:rPr>
        <w:t>, Vol. 22, pp. 327-355.</w:t>
      </w:r>
    </w:p>
    <w:p w:rsidR="00783973" w:rsidRPr="00337C97" w:rsidRDefault="00A82337" w:rsidP="009E152D">
      <w:pPr>
        <w:numPr>
          <w:ilvl w:val="0"/>
          <w:numId w:val="8"/>
        </w:numPr>
        <w:spacing w:line="360" w:lineRule="auto"/>
        <w:ind w:left="357" w:hanging="357"/>
        <w:jc w:val="both"/>
        <w:rPr>
          <w:rFonts w:asciiTheme="minorHAnsi" w:hAnsiTheme="minorHAnsi" w:cs="Times New Roman"/>
          <w:sz w:val="22"/>
          <w:szCs w:val="22"/>
          <w:lang w:val="nl-NL"/>
        </w:rPr>
      </w:pPr>
      <w:r w:rsidRPr="00337C97">
        <w:rPr>
          <w:rFonts w:asciiTheme="minorHAnsi" w:hAnsiTheme="minorHAnsi" w:cs="Times New Roman"/>
          <w:sz w:val="22"/>
          <w:szCs w:val="22"/>
          <w:lang w:val="nl-NL"/>
        </w:rPr>
        <w:t xml:space="preserve">Visser, M. (2009), “Spaans toezicht lichtend voorbeeld voor nieuwe kapitaaleis aan banken”, </w:t>
      </w:r>
      <w:r w:rsidRPr="00337C97">
        <w:rPr>
          <w:rFonts w:asciiTheme="minorHAnsi" w:hAnsiTheme="minorHAnsi" w:cs="Times New Roman"/>
          <w:i/>
          <w:sz w:val="22"/>
          <w:szCs w:val="22"/>
          <w:lang w:val="nl-NL"/>
        </w:rPr>
        <w:t>Het Financieele Dagblad</w:t>
      </w:r>
      <w:r w:rsidR="00DD511A" w:rsidRPr="00337C97">
        <w:rPr>
          <w:rFonts w:asciiTheme="minorHAnsi" w:hAnsiTheme="minorHAnsi" w:cs="Times New Roman"/>
          <w:sz w:val="22"/>
          <w:szCs w:val="22"/>
          <w:lang w:val="nl-NL"/>
        </w:rPr>
        <w:t>, March 23.</w:t>
      </w:r>
    </w:p>
    <w:p w:rsidR="00DD511A" w:rsidRPr="00337C97" w:rsidRDefault="00DD511A"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Wallace, R.S.O., and Naser, K. (1995), “Firm-specific determinants of the comprehensiveness of mandatory disclosure in the corporate annual reports of firms listed on the stock exchange of Hong Kong”, </w:t>
      </w:r>
      <w:r w:rsidRPr="00337C97">
        <w:rPr>
          <w:rFonts w:asciiTheme="minorHAnsi" w:hAnsiTheme="minorHAnsi" w:cs="Times New Roman"/>
          <w:i/>
          <w:sz w:val="22"/>
          <w:szCs w:val="22"/>
          <w:lang w:val="en-US"/>
        </w:rPr>
        <w:t>Journal of Accounting and Public Policy</w:t>
      </w:r>
      <w:r w:rsidRPr="00337C97">
        <w:rPr>
          <w:rFonts w:asciiTheme="minorHAnsi" w:hAnsiTheme="minorHAnsi" w:cs="Times New Roman"/>
          <w:sz w:val="22"/>
          <w:szCs w:val="22"/>
          <w:lang w:val="en-US"/>
        </w:rPr>
        <w:t>, Vol. 14 No. 4, pp. 311-368.</w:t>
      </w:r>
    </w:p>
    <w:p w:rsidR="00596048" w:rsidRPr="00337C97" w:rsidRDefault="00596048"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Weber, R.P. (1985), “Basic Content Analysis”, </w:t>
      </w:r>
      <w:r w:rsidRPr="00337C97">
        <w:rPr>
          <w:rFonts w:asciiTheme="minorHAnsi" w:hAnsiTheme="minorHAnsi" w:cs="Times New Roman"/>
          <w:i/>
          <w:sz w:val="22"/>
          <w:szCs w:val="22"/>
          <w:lang w:val="en-US"/>
        </w:rPr>
        <w:t>Quantitative Applications in the Social Sciences</w:t>
      </w:r>
      <w:r w:rsidR="00A42274" w:rsidRPr="00337C97">
        <w:rPr>
          <w:rFonts w:asciiTheme="minorHAnsi" w:hAnsiTheme="minorHAnsi" w:cs="Times New Roman"/>
          <w:sz w:val="22"/>
          <w:szCs w:val="22"/>
          <w:lang w:val="en-US"/>
        </w:rPr>
        <w:t>, No. 49, Beverly Hills, CA: Sage Publications.</w:t>
      </w:r>
    </w:p>
    <w:p w:rsidR="00C90EA7" w:rsidRPr="00337C97" w:rsidRDefault="00C90EA7" w:rsidP="009E152D">
      <w:pPr>
        <w:numPr>
          <w:ilvl w:val="0"/>
          <w:numId w:val="8"/>
        </w:numPr>
        <w:spacing w:line="360" w:lineRule="auto"/>
        <w:ind w:left="357" w:hanging="357"/>
        <w:jc w:val="both"/>
        <w:rPr>
          <w:rFonts w:asciiTheme="minorHAnsi" w:hAnsiTheme="minorHAnsi" w:cs="Times New Roman"/>
          <w:sz w:val="22"/>
          <w:szCs w:val="22"/>
          <w:lang w:val="en-US"/>
        </w:rPr>
      </w:pPr>
      <w:r w:rsidRPr="00337C97">
        <w:rPr>
          <w:rFonts w:asciiTheme="minorHAnsi" w:hAnsiTheme="minorHAnsi" w:cs="Times New Roman"/>
          <w:sz w:val="22"/>
          <w:szCs w:val="22"/>
          <w:lang w:val="en-US"/>
        </w:rPr>
        <w:t>Weil, Gotshal &amp; Manges LLP (2002), “Comparative Study of Corporate Governance Codes Relevant to the European Union and its Member States”, via the website of the European Commission (</w:t>
      </w:r>
      <w:hyperlink r:id="rId28" w:history="1">
        <w:r w:rsidRPr="00337C97">
          <w:rPr>
            <w:rStyle w:val="Hyperlink"/>
            <w:rFonts w:asciiTheme="minorHAnsi" w:hAnsiTheme="minorHAnsi" w:cs="Times New Roman"/>
            <w:sz w:val="22"/>
            <w:szCs w:val="22"/>
            <w:lang w:val="en-US"/>
          </w:rPr>
          <w:t>ec.europa.eu</w:t>
        </w:r>
      </w:hyperlink>
      <w:r w:rsidR="00DB14C9" w:rsidRPr="00337C97">
        <w:rPr>
          <w:rFonts w:asciiTheme="minorHAnsi" w:hAnsiTheme="minorHAnsi" w:cs="Times New Roman"/>
          <w:sz w:val="22"/>
          <w:szCs w:val="22"/>
          <w:lang w:val="en-US"/>
        </w:rPr>
        <w:t>), retrieved on: 14-08-2010.</w:t>
      </w:r>
    </w:p>
    <w:p w:rsidR="00EF02D4" w:rsidRPr="00337C97" w:rsidRDefault="00EF02D4" w:rsidP="00B12C7B">
      <w:pPr>
        <w:spacing w:line="360" w:lineRule="auto"/>
        <w:outlineLvl w:val="0"/>
        <w:rPr>
          <w:rFonts w:asciiTheme="minorHAnsi" w:hAnsiTheme="minorHAnsi"/>
          <w:b/>
          <w:sz w:val="28"/>
        </w:rPr>
      </w:pPr>
      <w:r w:rsidRPr="00337C97">
        <w:rPr>
          <w:rFonts w:asciiTheme="minorHAnsi" w:hAnsiTheme="minorHAnsi" w:cs="Times New Roman"/>
          <w:sz w:val="22"/>
          <w:szCs w:val="22"/>
          <w:lang w:val="en-US"/>
        </w:rPr>
        <w:br w:type="page"/>
      </w:r>
      <w:bookmarkStart w:id="310" w:name="_Toc269658984"/>
      <w:r w:rsidRPr="00337C97">
        <w:rPr>
          <w:rFonts w:asciiTheme="minorHAnsi" w:hAnsiTheme="minorHAnsi"/>
          <w:b/>
          <w:sz w:val="28"/>
        </w:rPr>
        <w:lastRenderedPageBreak/>
        <w:t>Appendix A</w:t>
      </w:r>
      <w:bookmarkEnd w:id="310"/>
    </w:p>
    <w:p w:rsidR="00EF02D4" w:rsidRPr="00337C97" w:rsidRDefault="00EF02D4" w:rsidP="00EF02D4">
      <w:pPr>
        <w:spacing w:line="360" w:lineRule="auto"/>
        <w:rPr>
          <w:rFonts w:asciiTheme="minorHAnsi" w:hAnsiTheme="minorHAnsi"/>
          <w:sz w:val="22"/>
        </w:rPr>
      </w:pPr>
    </w:p>
    <w:p w:rsidR="00EF02D4" w:rsidRPr="00337C97" w:rsidRDefault="00EF02D4" w:rsidP="00EF02D4">
      <w:pPr>
        <w:spacing w:line="360" w:lineRule="auto"/>
        <w:rPr>
          <w:rFonts w:asciiTheme="minorHAnsi" w:hAnsiTheme="minorHAnsi"/>
          <w:sz w:val="22"/>
        </w:rPr>
      </w:pPr>
      <w:r w:rsidRPr="00337C97">
        <w:rPr>
          <w:rFonts w:asciiTheme="minorHAnsi" w:hAnsiTheme="minorHAnsi"/>
          <w:sz w:val="22"/>
        </w:rPr>
        <w:t>Dobler (2008, p. 188)</w:t>
      </w:r>
    </w:p>
    <w:p w:rsidR="00EF02D4" w:rsidRPr="00337C97" w:rsidRDefault="00EF02D4" w:rsidP="00EF02D4">
      <w:pPr>
        <w:spacing w:line="360" w:lineRule="auto"/>
        <w:rPr>
          <w:rFonts w:asciiTheme="minorHAnsi" w:hAnsiTheme="minorHAnsi"/>
          <w:sz w:val="22"/>
        </w:rPr>
      </w:pPr>
    </w:p>
    <w:p w:rsidR="00EF02D4" w:rsidRPr="00337C97" w:rsidRDefault="009F60B1" w:rsidP="00EF02D4">
      <w:pPr>
        <w:spacing w:line="360" w:lineRule="auto"/>
        <w:rPr>
          <w:rFonts w:asciiTheme="minorHAnsi" w:hAnsiTheme="minorHAnsi"/>
        </w:rPr>
      </w:pPr>
      <w:r w:rsidRPr="00337C97">
        <w:rPr>
          <w:rFonts w:asciiTheme="minorHAnsi" w:hAnsiTheme="minorHAnsi"/>
          <w:noProof/>
          <w:lang w:val="nl-NL" w:eastAsia="nl-NL" w:bidi="ar-SA"/>
        </w:rPr>
        <w:drawing>
          <wp:inline distT="0" distB="0" distL="0" distR="0">
            <wp:extent cx="5822950" cy="6003925"/>
            <wp:effectExtent l="19050" t="0" r="635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l="31236" t="11990" r="18880" b="5867"/>
                    <a:stretch>
                      <a:fillRect/>
                    </a:stretch>
                  </pic:blipFill>
                  <pic:spPr bwMode="auto">
                    <a:xfrm>
                      <a:off x="0" y="0"/>
                      <a:ext cx="5822950" cy="6003925"/>
                    </a:xfrm>
                    <a:prstGeom prst="rect">
                      <a:avLst/>
                    </a:prstGeom>
                    <a:noFill/>
                    <a:ln w="9525">
                      <a:noFill/>
                      <a:miter lim="800000"/>
                      <a:headEnd/>
                      <a:tailEnd/>
                    </a:ln>
                  </pic:spPr>
                </pic:pic>
              </a:graphicData>
            </a:graphic>
          </wp:inline>
        </w:drawing>
      </w:r>
    </w:p>
    <w:p w:rsidR="00EF02D4" w:rsidRPr="00337C97" w:rsidRDefault="00EF02D4" w:rsidP="00EF02D4">
      <w:pPr>
        <w:spacing w:line="360" w:lineRule="auto"/>
        <w:rPr>
          <w:rFonts w:asciiTheme="minorHAnsi" w:hAnsiTheme="minorHAnsi"/>
        </w:rPr>
      </w:pPr>
    </w:p>
    <w:p w:rsidR="00EF02D4" w:rsidRPr="00337C97" w:rsidRDefault="00EF02D4" w:rsidP="009605F4">
      <w:pPr>
        <w:rPr>
          <w:rFonts w:asciiTheme="minorHAnsi" w:hAnsiTheme="minorHAnsi" w:cs="Times New Roman"/>
          <w:sz w:val="22"/>
          <w:szCs w:val="22"/>
          <w:lang w:val="en-US"/>
        </w:rPr>
      </w:pPr>
    </w:p>
    <w:p w:rsidR="00EF02D4" w:rsidRPr="00337C97" w:rsidRDefault="00EF02D4" w:rsidP="00B12C7B">
      <w:pPr>
        <w:spacing w:line="360" w:lineRule="auto"/>
        <w:outlineLvl w:val="0"/>
        <w:rPr>
          <w:rFonts w:asciiTheme="minorHAnsi" w:hAnsiTheme="minorHAnsi"/>
          <w:b/>
          <w:sz w:val="28"/>
        </w:rPr>
      </w:pPr>
      <w:r w:rsidRPr="00337C97">
        <w:rPr>
          <w:rFonts w:asciiTheme="minorHAnsi" w:hAnsiTheme="minorHAnsi" w:cs="Times New Roman"/>
          <w:sz w:val="22"/>
          <w:szCs w:val="22"/>
          <w:lang w:val="en-US"/>
        </w:rPr>
        <w:br w:type="page"/>
      </w:r>
      <w:bookmarkStart w:id="311" w:name="_Toc269658985"/>
      <w:r w:rsidRPr="00337C97">
        <w:rPr>
          <w:rFonts w:asciiTheme="minorHAnsi" w:hAnsiTheme="minorHAnsi"/>
          <w:b/>
          <w:sz w:val="28"/>
        </w:rPr>
        <w:lastRenderedPageBreak/>
        <w:t>Appendix B</w:t>
      </w:r>
      <w:bookmarkEnd w:id="311"/>
    </w:p>
    <w:p w:rsidR="00EF02D4" w:rsidRPr="00337C97" w:rsidRDefault="00EF02D4" w:rsidP="00EF02D4">
      <w:pPr>
        <w:spacing w:line="360" w:lineRule="auto"/>
        <w:rPr>
          <w:rFonts w:asciiTheme="minorHAnsi" w:hAnsiTheme="minorHAnsi"/>
          <w:sz w:val="22"/>
        </w:rPr>
      </w:pPr>
    </w:p>
    <w:p w:rsidR="00EF02D4" w:rsidRPr="00337C97" w:rsidRDefault="00072799" w:rsidP="00EF02D4">
      <w:pPr>
        <w:spacing w:line="360" w:lineRule="auto"/>
        <w:rPr>
          <w:rFonts w:asciiTheme="minorHAnsi" w:hAnsiTheme="minorHAnsi"/>
          <w:sz w:val="22"/>
          <w:lang w:val="en-US"/>
        </w:rPr>
      </w:pPr>
      <w:r>
        <w:rPr>
          <w:rFonts w:asciiTheme="minorHAnsi" w:hAnsiTheme="minorHAnsi"/>
          <w:sz w:val="22"/>
          <w:lang w:val="en-US"/>
        </w:rPr>
        <w:t>Basel II</w:t>
      </w:r>
      <w:r w:rsidR="00EF02D4" w:rsidRPr="00337C97">
        <w:rPr>
          <w:rFonts w:asciiTheme="minorHAnsi" w:hAnsiTheme="minorHAnsi"/>
          <w:sz w:val="22"/>
          <w:lang w:val="en-US"/>
        </w:rPr>
        <w:t xml:space="preserve"> - Summary disclosure requirements</w:t>
      </w:r>
    </w:p>
    <w:p w:rsidR="00EF02D4" w:rsidRPr="00337C97" w:rsidRDefault="00EF02D4" w:rsidP="00EF02D4">
      <w:pPr>
        <w:rPr>
          <w:rFonts w:asciiTheme="minorHAnsi" w:hAnsiTheme="minorHAnsi"/>
          <w:sz w:val="22"/>
          <w:lang w:val="en-US"/>
        </w:rPr>
      </w:pPr>
    </w:p>
    <w:tbl>
      <w:tblPr>
        <w:tblW w:w="0" w:type="auto"/>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794"/>
        <w:gridCol w:w="5418"/>
      </w:tblGrid>
      <w:tr w:rsidR="00EF02D4" w:rsidRPr="00337C97" w:rsidTr="00A27CED">
        <w:tc>
          <w:tcPr>
            <w:tcW w:w="3794" w:type="dxa"/>
            <w:tcBorders>
              <w:top w:val="single" w:sz="8" w:space="0" w:color="F9B074"/>
              <w:left w:val="single" w:sz="8" w:space="0" w:color="F9B074"/>
              <w:bottom w:val="single" w:sz="8" w:space="0" w:color="F9B074"/>
              <w:right w:val="nil"/>
            </w:tcBorders>
            <w:shd w:val="clear" w:color="auto" w:fill="1F497D"/>
          </w:tcPr>
          <w:p w:rsidR="00EF02D4" w:rsidRPr="00337C97" w:rsidRDefault="00EF02D4" w:rsidP="00A27CED">
            <w:pPr>
              <w:rPr>
                <w:rFonts w:asciiTheme="minorHAnsi" w:hAnsiTheme="minorHAnsi"/>
                <w:b/>
                <w:bCs/>
                <w:color w:val="FFFFFF"/>
                <w:sz w:val="18"/>
                <w:szCs w:val="20"/>
                <w:lang w:val="en-US"/>
              </w:rPr>
            </w:pPr>
            <w:r w:rsidRPr="00337C97">
              <w:rPr>
                <w:rFonts w:asciiTheme="minorHAnsi" w:hAnsiTheme="minorHAnsi"/>
                <w:b/>
                <w:bCs/>
                <w:color w:val="FFFFFF"/>
                <w:sz w:val="18"/>
                <w:szCs w:val="20"/>
                <w:lang w:val="en-US"/>
              </w:rPr>
              <w:t>Disclosure area</w:t>
            </w:r>
          </w:p>
        </w:tc>
        <w:tc>
          <w:tcPr>
            <w:tcW w:w="5418" w:type="dxa"/>
            <w:tcBorders>
              <w:top w:val="single" w:sz="8" w:space="0" w:color="F9B074"/>
              <w:left w:val="nil"/>
              <w:bottom w:val="single" w:sz="8" w:space="0" w:color="F9B074"/>
              <w:right w:val="single" w:sz="8" w:space="0" w:color="F9B074"/>
            </w:tcBorders>
            <w:shd w:val="clear" w:color="auto" w:fill="1F497D"/>
          </w:tcPr>
          <w:p w:rsidR="00EF02D4" w:rsidRPr="00337C97" w:rsidRDefault="00EF02D4" w:rsidP="00A27CED">
            <w:pPr>
              <w:rPr>
                <w:rFonts w:asciiTheme="minorHAnsi" w:hAnsiTheme="minorHAnsi"/>
                <w:b/>
                <w:bCs/>
                <w:color w:val="FFFFFF"/>
                <w:sz w:val="18"/>
                <w:szCs w:val="20"/>
                <w:lang w:val="en-US"/>
              </w:rPr>
            </w:pPr>
            <w:r w:rsidRPr="00337C97">
              <w:rPr>
                <w:rFonts w:asciiTheme="minorHAnsi" w:hAnsiTheme="minorHAnsi"/>
                <w:b/>
                <w:bCs/>
                <w:color w:val="FFFFFF"/>
                <w:sz w:val="18"/>
                <w:szCs w:val="20"/>
                <w:lang w:val="en-US"/>
              </w:rPr>
              <w:t>Nature of disclosures in summary</w:t>
            </w:r>
          </w:p>
        </w:tc>
      </w:tr>
      <w:tr w:rsidR="00EF02D4" w:rsidRPr="00337C97" w:rsidTr="00A27CED">
        <w:tc>
          <w:tcPr>
            <w:tcW w:w="3794" w:type="dxa"/>
            <w:tcBorders>
              <w:bottom w:val="single" w:sz="8" w:space="0" w:color="F9B074"/>
              <w:right w:val="single" w:sz="8" w:space="0" w:color="F9B074"/>
            </w:tcBorders>
            <w:shd w:val="clear" w:color="auto" w:fill="FFFFFF"/>
          </w:tcPr>
          <w:p w:rsidR="00EF02D4" w:rsidRPr="00337C97" w:rsidRDefault="00EF02D4" w:rsidP="00A27CED">
            <w:pPr>
              <w:rPr>
                <w:rFonts w:asciiTheme="minorHAnsi" w:hAnsiTheme="minorHAnsi"/>
                <w:b/>
                <w:bCs/>
                <w:sz w:val="20"/>
                <w:szCs w:val="20"/>
                <w:lang w:val="en-US"/>
              </w:rPr>
            </w:pPr>
          </w:p>
        </w:tc>
        <w:tc>
          <w:tcPr>
            <w:tcW w:w="5418" w:type="dxa"/>
            <w:tcBorders>
              <w:left w:val="single" w:sz="8" w:space="0" w:color="F9B074"/>
              <w:bottom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DE4D0"/>
          </w:tcPr>
          <w:p w:rsidR="00EF02D4" w:rsidRPr="00337C97" w:rsidRDefault="00EF02D4" w:rsidP="00A27CED">
            <w:pPr>
              <w:rPr>
                <w:rFonts w:asciiTheme="minorHAnsi" w:hAnsiTheme="minorHAnsi"/>
                <w:b/>
                <w:bCs/>
                <w:i/>
                <w:sz w:val="20"/>
                <w:szCs w:val="20"/>
                <w:lang w:val="en-US"/>
              </w:rPr>
            </w:pPr>
            <w:r w:rsidRPr="00337C97">
              <w:rPr>
                <w:rFonts w:asciiTheme="minorHAnsi" w:hAnsiTheme="minorHAnsi"/>
                <w:b/>
                <w:bCs/>
                <w:i/>
                <w:sz w:val="20"/>
                <w:szCs w:val="20"/>
                <w:lang w:val="en-US"/>
              </w:rPr>
              <w:t>Capital disclosures</w:t>
            </w:r>
          </w:p>
        </w:tc>
        <w:tc>
          <w:tcPr>
            <w:tcW w:w="5418" w:type="dxa"/>
            <w:tcBorders>
              <w:left w:val="single" w:sz="8" w:space="0" w:color="F9B074"/>
            </w:tcBorders>
            <w:shd w:val="clear" w:color="auto" w:fill="FDE4D0"/>
          </w:tcPr>
          <w:p w:rsidR="00EF02D4" w:rsidRPr="00337C97" w:rsidRDefault="00EF02D4" w:rsidP="00A27CED">
            <w:pPr>
              <w:rPr>
                <w:rFonts w:asciiTheme="minorHAnsi" w:hAnsiTheme="minorHAnsi"/>
                <w:b/>
                <w:i/>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Capital structure</w:t>
            </w:r>
          </w:p>
        </w:tc>
        <w:tc>
          <w:tcPr>
            <w:tcW w:w="5418" w:type="dxa"/>
            <w:vMerge w:val="restart"/>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r w:rsidRPr="00337C97">
              <w:rPr>
                <w:rFonts w:asciiTheme="minorHAnsi" w:hAnsiTheme="minorHAnsi"/>
                <w:sz w:val="20"/>
                <w:szCs w:val="20"/>
                <w:lang w:val="en-US"/>
              </w:rPr>
              <w:t>Main features of capital instruments</w:t>
            </w:r>
          </w:p>
          <w:p w:rsidR="00EF02D4" w:rsidRPr="00337C97" w:rsidRDefault="00EF02D4" w:rsidP="00A27CED">
            <w:pPr>
              <w:rPr>
                <w:rFonts w:asciiTheme="minorHAnsi" w:hAnsiTheme="minorHAnsi"/>
                <w:sz w:val="20"/>
                <w:szCs w:val="20"/>
                <w:lang w:val="en-US"/>
              </w:rPr>
            </w:pPr>
            <w:r w:rsidRPr="00337C97">
              <w:rPr>
                <w:rFonts w:asciiTheme="minorHAnsi" w:hAnsiTheme="minorHAnsi"/>
                <w:sz w:val="20"/>
                <w:szCs w:val="20"/>
                <w:lang w:val="en-US"/>
              </w:rPr>
              <w:t>Amounts of tier 1, 2 and 3 capital</w:t>
            </w:r>
          </w:p>
          <w:p w:rsidR="00EF02D4" w:rsidRPr="00337C97" w:rsidRDefault="00EF02D4" w:rsidP="00A27CED">
            <w:pPr>
              <w:rPr>
                <w:rFonts w:asciiTheme="minorHAnsi" w:hAnsiTheme="minorHAnsi"/>
                <w:sz w:val="20"/>
                <w:szCs w:val="20"/>
                <w:lang w:val="en-US"/>
              </w:rPr>
            </w:pPr>
            <w:r w:rsidRPr="00337C97">
              <w:rPr>
                <w:rFonts w:asciiTheme="minorHAnsi" w:hAnsiTheme="minorHAnsi"/>
                <w:sz w:val="20"/>
                <w:szCs w:val="20"/>
                <w:lang w:val="en-US"/>
              </w:rPr>
              <w:t>Capital requirements</w:t>
            </w:r>
          </w:p>
        </w:tc>
      </w:tr>
      <w:tr w:rsidR="00EF02D4" w:rsidRPr="00337C97" w:rsidTr="00A27CED">
        <w:tc>
          <w:tcPr>
            <w:tcW w:w="3794" w:type="dxa"/>
            <w:tcBorders>
              <w:right w:val="single" w:sz="8" w:space="0" w:color="F9B074"/>
            </w:tcBorders>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Capital adequacy</w:t>
            </w:r>
          </w:p>
        </w:tc>
        <w:tc>
          <w:tcPr>
            <w:tcW w:w="5418" w:type="dxa"/>
            <w:vMerge/>
            <w:tcBorders>
              <w:left w:val="single" w:sz="8" w:space="0" w:color="F9B074"/>
            </w:tcBorders>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bottom w:val="single" w:sz="8" w:space="0" w:color="F9B074"/>
              <w:right w:val="single" w:sz="8" w:space="0" w:color="F9B074"/>
            </w:tcBorders>
            <w:shd w:val="clear" w:color="auto" w:fill="FFFFFF"/>
          </w:tcPr>
          <w:p w:rsidR="00EF02D4" w:rsidRPr="00337C97" w:rsidRDefault="00EF02D4" w:rsidP="00A27CED">
            <w:pPr>
              <w:rPr>
                <w:rFonts w:asciiTheme="minorHAnsi" w:hAnsiTheme="minorHAnsi"/>
                <w:b/>
                <w:bCs/>
                <w:sz w:val="20"/>
                <w:szCs w:val="20"/>
                <w:lang w:val="en-US"/>
              </w:rPr>
            </w:pPr>
          </w:p>
        </w:tc>
        <w:tc>
          <w:tcPr>
            <w:tcW w:w="5418" w:type="dxa"/>
            <w:vMerge/>
            <w:tcBorders>
              <w:left w:val="single" w:sz="8" w:space="0" w:color="F9B074"/>
              <w:bottom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bottom w:val="single" w:sz="8" w:space="0" w:color="F9B074"/>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p>
        </w:tc>
        <w:tc>
          <w:tcPr>
            <w:tcW w:w="5418" w:type="dxa"/>
            <w:tcBorders>
              <w:left w:val="single" w:sz="8" w:space="0" w:color="F9B074"/>
              <w:bottom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DE4D0"/>
          </w:tcPr>
          <w:p w:rsidR="00EF02D4" w:rsidRPr="00337C97" w:rsidRDefault="00EF02D4" w:rsidP="00A27CED">
            <w:pPr>
              <w:rPr>
                <w:rFonts w:asciiTheme="minorHAnsi" w:hAnsiTheme="minorHAnsi"/>
                <w:b/>
                <w:bCs/>
                <w:i/>
                <w:sz w:val="20"/>
                <w:szCs w:val="20"/>
                <w:lang w:val="en-US"/>
              </w:rPr>
            </w:pPr>
            <w:r w:rsidRPr="00337C97">
              <w:rPr>
                <w:rFonts w:asciiTheme="minorHAnsi" w:hAnsiTheme="minorHAnsi"/>
                <w:b/>
                <w:bCs/>
                <w:i/>
                <w:sz w:val="20"/>
                <w:szCs w:val="20"/>
                <w:lang w:val="en-US"/>
              </w:rPr>
              <w:t>Risk exposure and assessment disclosures</w:t>
            </w:r>
          </w:p>
        </w:tc>
        <w:tc>
          <w:tcPr>
            <w:tcW w:w="5418" w:type="dxa"/>
            <w:tcBorders>
              <w:left w:val="single" w:sz="8" w:space="0" w:color="F9B074"/>
            </w:tcBorders>
            <w:shd w:val="clear" w:color="auto" w:fill="FDE4D0"/>
          </w:tcPr>
          <w:p w:rsidR="00EF02D4" w:rsidRPr="00337C97" w:rsidRDefault="00EF02D4" w:rsidP="00A27CED">
            <w:pPr>
              <w:rPr>
                <w:rFonts w:asciiTheme="minorHAnsi" w:hAnsiTheme="minorHAnsi"/>
                <w:b/>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Credit risk</w:t>
            </w:r>
          </w:p>
        </w:tc>
        <w:tc>
          <w:tcPr>
            <w:tcW w:w="5418" w:type="dxa"/>
            <w:vMerge w:val="restart"/>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r w:rsidRPr="00337C97">
              <w:rPr>
                <w:rFonts w:asciiTheme="minorHAnsi" w:hAnsiTheme="minorHAnsi"/>
                <w:sz w:val="20"/>
                <w:szCs w:val="20"/>
                <w:lang w:val="en-US"/>
              </w:rPr>
              <w:t>General disclosure of risk management objectives and policies for each separate risk area including:</w:t>
            </w:r>
          </w:p>
          <w:p w:rsidR="00EF02D4" w:rsidRPr="00337C97" w:rsidRDefault="00EF02D4" w:rsidP="00A27CED">
            <w:pPr>
              <w:ind w:left="175"/>
              <w:rPr>
                <w:rFonts w:asciiTheme="minorHAnsi" w:hAnsiTheme="minorHAnsi"/>
                <w:sz w:val="20"/>
                <w:szCs w:val="20"/>
                <w:lang w:val="en-US"/>
              </w:rPr>
            </w:pPr>
            <w:r w:rsidRPr="00337C97">
              <w:rPr>
                <w:rFonts w:asciiTheme="minorHAnsi" w:hAnsiTheme="minorHAnsi"/>
                <w:sz w:val="20"/>
                <w:szCs w:val="20"/>
                <w:lang w:val="en-US"/>
              </w:rPr>
              <w:t>Strategies and processes</w:t>
            </w:r>
          </w:p>
          <w:p w:rsidR="00EF02D4" w:rsidRPr="00337C97" w:rsidRDefault="00EF02D4" w:rsidP="00A27CED">
            <w:pPr>
              <w:ind w:left="175"/>
              <w:rPr>
                <w:rFonts w:asciiTheme="minorHAnsi" w:hAnsiTheme="minorHAnsi"/>
                <w:sz w:val="20"/>
                <w:szCs w:val="20"/>
                <w:lang w:val="en-US"/>
              </w:rPr>
            </w:pPr>
            <w:r w:rsidRPr="00337C97">
              <w:rPr>
                <w:rFonts w:asciiTheme="minorHAnsi" w:hAnsiTheme="minorHAnsi"/>
                <w:sz w:val="20"/>
                <w:szCs w:val="20"/>
                <w:lang w:val="en-US"/>
              </w:rPr>
              <w:t>Structure and organization of the relevant risk mgt functions</w:t>
            </w:r>
          </w:p>
          <w:p w:rsidR="00EF02D4" w:rsidRPr="00337C97" w:rsidRDefault="00EF02D4" w:rsidP="00A27CED">
            <w:pPr>
              <w:ind w:left="175"/>
              <w:rPr>
                <w:rFonts w:asciiTheme="minorHAnsi" w:hAnsiTheme="minorHAnsi"/>
                <w:sz w:val="20"/>
                <w:szCs w:val="20"/>
                <w:lang w:val="en-US"/>
              </w:rPr>
            </w:pPr>
            <w:r w:rsidRPr="00337C97">
              <w:rPr>
                <w:rFonts w:asciiTheme="minorHAnsi" w:hAnsiTheme="minorHAnsi"/>
                <w:sz w:val="20"/>
                <w:szCs w:val="20"/>
                <w:lang w:val="en-US"/>
              </w:rPr>
              <w:t>Scope and nature of risk reporting and measurement systems</w:t>
            </w:r>
          </w:p>
          <w:p w:rsidR="00EF02D4" w:rsidRPr="00337C97" w:rsidRDefault="00EF02D4" w:rsidP="00A27CED">
            <w:pPr>
              <w:ind w:left="175"/>
              <w:rPr>
                <w:rFonts w:asciiTheme="minorHAnsi" w:hAnsiTheme="minorHAnsi"/>
                <w:sz w:val="20"/>
                <w:szCs w:val="20"/>
                <w:lang w:val="en-US"/>
              </w:rPr>
            </w:pPr>
            <w:r w:rsidRPr="00337C97">
              <w:rPr>
                <w:rFonts w:asciiTheme="minorHAnsi" w:hAnsiTheme="minorHAnsi"/>
                <w:sz w:val="20"/>
                <w:szCs w:val="20"/>
                <w:lang w:val="en-US"/>
              </w:rPr>
              <w:t>Policies for hedging and mitigating risks</w:t>
            </w:r>
          </w:p>
          <w:p w:rsidR="00EF02D4" w:rsidRPr="00337C97" w:rsidRDefault="00EF02D4" w:rsidP="00A27CED">
            <w:pPr>
              <w:rPr>
                <w:rFonts w:asciiTheme="minorHAnsi" w:hAnsiTheme="minorHAnsi"/>
                <w:sz w:val="20"/>
                <w:szCs w:val="20"/>
                <w:lang w:val="en-US"/>
              </w:rPr>
            </w:pPr>
            <w:r w:rsidRPr="00337C97">
              <w:rPr>
                <w:rFonts w:asciiTheme="minorHAnsi" w:hAnsiTheme="minorHAnsi"/>
                <w:sz w:val="20"/>
                <w:szCs w:val="20"/>
                <w:lang w:val="en-US"/>
              </w:rPr>
              <w:t>Specific disclosures for each separate risk area as prescribed</w:t>
            </w: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Market risk</w:t>
            </w:r>
          </w:p>
        </w:tc>
        <w:tc>
          <w:tcPr>
            <w:tcW w:w="5418" w:type="dxa"/>
            <w:vMerge/>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Operational risk</w:t>
            </w:r>
          </w:p>
        </w:tc>
        <w:tc>
          <w:tcPr>
            <w:tcW w:w="5418" w:type="dxa"/>
            <w:vMerge/>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Equities</w:t>
            </w:r>
          </w:p>
        </w:tc>
        <w:tc>
          <w:tcPr>
            <w:tcW w:w="5418" w:type="dxa"/>
            <w:vMerge/>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Cs/>
                <w:sz w:val="20"/>
                <w:szCs w:val="20"/>
                <w:lang w:val="en-US"/>
              </w:rPr>
            </w:pPr>
            <w:r w:rsidRPr="00337C97">
              <w:rPr>
                <w:rFonts w:asciiTheme="minorHAnsi" w:hAnsiTheme="minorHAnsi"/>
                <w:bCs/>
                <w:sz w:val="20"/>
                <w:szCs w:val="20"/>
                <w:lang w:val="en-US"/>
              </w:rPr>
              <w:t>Interest rate risk</w:t>
            </w:r>
          </w:p>
        </w:tc>
        <w:tc>
          <w:tcPr>
            <w:tcW w:w="5418" w:type="dxa"/>
            <w:vMerge/>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
                <w:bCs/>
                <w:sz w:val="20"/>
                <w:szCs w:val="20"/>
                <w:lang w:val="en-US"/>
              </w:rPr>
            </w:pPr>
          </w:p>
        </w:tc>
        <w:tc>
          <w:tcPr>
            <w:tcW w:w="5418" w:type="dxa"/>
            <w:vMerge/>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r w:rsidR="00EF02D4" w:rsidRPr="00337C97" w:rsidTr="00A27CED">
        <w:tc>
          <w:tcPr>
            <w:tcW w:w="3794" w:type="dxa"/>
            <w:tcBorders>
              <w:right w:val="single" w:sz="8" w:space="0" w:color="F9B074"/>
            </w:tcBorders>
            <w:shd w:val="clear" w:color="auto" w:fill="FFFFFF"/>
          </w:tcPr>
          <w:p w:rsidR="00EF02D4" w:rsidRPr="00337C97" w:rsidRDefault="00EF02D4" w:rsidP="00A27CED">
            <w:pPr>
              <w:rPr>
                <w:rFonts w:asciiTheme="minorHAnsi" w:hAnsiTheme="minorHAnsi"/>
                <w:b/>
                <w:bCs/>
                <w:sz w:val="20"/>
                <w:szCs w:val="20"/>
                <w:lang w:val="en-US"/>
              </w:rPr>
            </w:pPr>
          </w:p>
        </w:tc>
        <w:tc>
          <w:tcPr>
            <w:tcW w:w="5418" w:type="dxa"/>
            <w:vMerge/>
            <w:tcBorders>
              <w:left w:val="single" w:sz="8" w:space="0" w:color="F9B074"/>
            </w:tcBorders>
            <w:shd w:val="clear" w:color="auto" w:fill="FFFFFF"/>
          </w:tcPr>
          <w:p w:rsidR="00EF02D4" w:rsidRPr="00337C97" w:rsidRDefault="00EF02D4" w:rsidP="00A27CED">
            <w:pPr>
              <w:rPr>
                <w:rFonts w:asciiTheme="minorHAnsi" w:hAnsiTheme="minorHAnsi"/>
                <w:sz w:val="20"/>
                <w:szCs w:val="20"/>
                <w:lang w:val="en-US"/>
              </w:rPr>
            </w:pPr>
          </w:p>
        </w:tc>
      </w:tr>
    </w:tbl>
    <w:p w:rsidR="00EF02D4" w:rsidRPr="00337C97" w:rsidRDefault="00EF02D4" w:rsidP="00EF02D4">
      <w:pPr>
        <w:rPr>
          <w:rFonts w:asciiTheme="minorHAnsi" w:hAnsiTheme="minorHAnsi"/>
          <w:lang w:val="en-US"/>
        </w:rPr>
      </w:pPr>
    </w:p>
    <w:p w:rsidR="003573E9" w:rsidRPr="00337C97" w:rsidRDefault="00EF02D4" w:rsidP="00B12C7B">
      <w:pPr>
        <w:spacing w:line="360" w:lineRule="auto"/>
        <w:outlineLvl w:val="0"/>
        <w:rPr>
          <w:rFonts w:asciiTheme="minorHAnsi" w:hAnsiTheme="minorHAnsi" w:cs="Times New Roman"/>
          <w:b/>
          <w:sz w:val="28"/>
          <w:szCs w:val="22"/>
          <w:lang w:val="en-US"/>
        </w:rPr>
      </w:pPr>
      <w:r w:rsidRPr="00337C97">
        <w:rPr>
          <w:rFonts w:asciiTheme="minorHAnsi" w:hAnsiTheme="minorHAnsi" w:cs="Times New Roman"/>
          <w:sz w:val="22"/>
          <w:szCs w:val="22"/>
          <w:lang w:val="en-US"/>
        </w:rPr>
        <w:br w:type="page"/>
      </w:r>
      <w:bookmarkStart w:id="312" w:name="_Toc269658986"/>
      <w:r w:rsidR="003573E9" w:rsidRPr="00337C97">
        <w:rPr>
          <w:rFonts w:asciiTheme="minorHAnsi" w:hAnsiTheme="minorHAnsi" w:cs="Times New Roman"/>
          <w:b/>
          <w:sz w:val="28"/>
          <w:szCs w:val="22"/>
          <w:lang w:val="en-US"/>
        </w:rPr>
        <w:lastRenderedPageBreak/>
        <w:t>Appendix C</w:t>
      </w:r>
      <w:bookmarkEnd w:id="312"/>
    </w:p>
    <w:p w:rsidR="003573E9" w:rsidRPr="00337C97" w:rsidRDefault="003573E9" w:rsidP="003573E9">
      <w:pPr>
        <w:spacing w:line="360" w:lineRule="auto"/>
        <w:rPr>
          <w:rFonts w:asciiTheme="minorHAnsi" w:hAnsiTheme="minorHAnsi" w:cs="Times New Roman"/>
          <w:sz w:val="22"/>
          <w:szCs w:val="22"/>
          <w:lang w:val="en-US"/>
        </w:rPr>
      </w:pPr>
    </w:p>
    <w:p w:rsidR="003573E9" w:rsidRPr="00337C97" w:rsidRDefault="003573E9" w:rsidP="003573E9">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Sample selection</w:t>
      </w:r>
    </w:p>
    <w:tbl>
      <w:tblPr>
        <w:tblW w:w="8660" w:type="dxa"/>
        <w:tblInd w:w="57" w:type="dxa"/>
        <w:tblCellMar>
          <w:left w:w="70" w:type="dxa"/>
          <w:right w:w="70" w:type="dxa"/>
        </w:tblCellMar>
        <w:tblLook w:val="04A0"/>
      </w:tblPr>
      <w:tblGrid>
        <w:gridCol w:w="3640"/>
        <w:gridCol w:w="2610"/>
        <w:gridCol w:w="2410"/>
      </w:tblGrid>
      <w:tr w:rsidR="003573E9" w:rsidRPr="00337C97" w:rsidTr="00373429">
        <w:trPr>
          <w:trHeight w:val="255"/>
        </w:trPr>
        <w:tc>
          <w:tcPr>
            <w:tcW w:w="3640" w:type="dxa"/>
            <w:tcBorders>
              <w:top w:val="single" w:sz="4" w:space="0" w:color="auto"/>
              <w:left w:val="single" w:sz="4" w:space="0" w:color="auto"/>
              <w:bottom w:val="single" w:sz="4" w:space="0" w:color="auto"/>
              <w:right w:val="single" w:sz="4" w:space="0" w:color="auto"/>
            </w:tcBorders>
            <w:shd w:val="clear" w:color="auto" w:fill="auto"/>
            <w:noWrap/>
            <w:hideMark/>
          </w:tcPr>
          <w:p w:rsidR="003573E9" w:rsidRPr="00337C97" w:rsidRDefault="003573E9" w:rsidP="00373429">
            <w:pPr>
              <w:rPr>
                <w:rFonts w:asciiTheme="minorHAnsi" w:hAnsiTheme="minorHAnsi" w:cs="Times New Roman"/>
                <w:b/>
                <w:sz w:val="22"/>
                <w:szCs w:val="22"/>
                <w:lang w:eastAsia="nl-NL"/>
              </w:rPr>
            </w:pPr>
            <w:r w:rsidRPr="00337C97">
              <w:rPr>
                <w:rFonts w:asciiTheme="minorHAnsi" w:hAnsiTheme="minorHAnsi" w:cs="Times New Roman"/>
                <w:b/>
                <w:sz w:val="22"/>
                <w:szCs w:val="22"/>
                <w:lang w:eastAsia="nl-NL"/>
              </w:rPr>
              <w:t>BANK NAME</w:t>
            </w:r>
          </w:p>
        </w:tc>
        <w:tc>
          <w:tcPr>
            <w:tcW w:w="2610" w:type="dxa"/>
            <w:tcBorders>
              <w:top w:val="single" w:sz="4" w:space="0" w:color="auto"/>
              <w:left w:val="nil"/>
              <w:bottom w:val="single" w:sz="4" w:space="0" w:color="auto"/>
              <w:right w:val="single" w:sz="4" w:space="0" w:color="auto"/>
            </w:tcBorders>
            <w:shd w:val="clear" w:color="auto" w:fill="auto"/>
            <w:noWrap/>
            <w:hideMark/>
          </w:tcPr>
          <w:p w:rsidR="003573E9" w:rsidRPr="00337C97" w:rsidRDefault="003573E9" w:rsidP="00373429">
            <w:pPr>
              <w:rPr>
                <w:rFonts w:asciiTheme="minorHAnsi" w:hAnsiTheme="minorHAnsi" w:cs="Times New Roman"/>
                <w:b/>
                <w:sz w:val="22"/>
                <w:szCs w:val="22"/>
                <w:lang w:eastAsia="nl-NL"/>
              </w:rPr>
            </w:pPr>
            <w:r w:rsidRPr="00337C97">
              <w:rPr>
                <w:rFonts w:asciiTheme="minorHAnsi" w:hAnsiTheme="minorHAnsi" w:cs="Times New Roman"/>
                <w:b/>
                <w:sz w:val="22"/>
                <w:szCs w:val="22"/>
                <w:lang w:eastAsia="nl-NL"/>
              </w:rPr>
              <w:t>COUNTRY</w:t>
            </w:r>
          </w:p>
        </w:tc>
        <w:tc>
          <w:tcPr>
            <w:tcW w:w="2410" w:type="dxa"/>
            <w:tcBorders>
              <w:top w:val="single" w:sz="4" w:space="0" w:color="auto"/>
              <w:left w:val="nil"/>
              <w:bottom w:val="single" w:sz="4" w:space="0" w:color="auto"/>
              <w:right w:val="single" w:sz="4" w:space="0" w:color="auto"/>
            </w:tcBorders>
            <w:shd w:val="clear" w:color="auto" w:fill="auto"/>
            <w:noWrap/>
            <w:hideMark/>
          </w:tcPr>
          <w:p w:rsidR="003573E9" w:rsidRPr="00337C97" w:rsidRDefault="003573E9" w:rsidP="00584B07">
            <w:pPr>
              <w:jc w:val="right"/>
              <w:rPr>
                <w:rFonts w:asciiTheme="minorHAnsi" w:hAnsiTheme="minorHAnsi" w:cs="Times New Roman"/>
                <w:b/>
                <w:sz w:val="22"/>
                <w:szCs w:val="22"/>
                <w:lang w:val="en-US" w:eastAsia="nl-NL"/>
              </w:rPr>
            </w:pPr>
            <w:r w:rsidRPr="00337C97">
              <w:rPr>
                <w:rFonts w:asciiTheme="minorHAnsi" w:hAnsiTheme="minorHAnsi" w:cs="Times New Roman"/>
                <w:b/>
                <w:sz w:val="22"/>
                <w:szCs w:val="22"/>
                <w:lang w:val="en-US" w:eastAsia="nl-NL"/>
              </w:rPr>
              <w:t xml:space="preserve">TOTAL ASSETS </w:t>
            </w:r>
          </w:p>
          <w:p w:rsidR="003573E9" w:rsidRPr="00337C97" w:rsidRDefault="003573E9" w:rsidP="00584B07">
            <w:pPr>
              <w:jc w:val="right"/>
              <w:rPr>
                <w:rFonts w:asciiTheme="minorHAnsi" w:hAnsiTheme="minorHAnsi" w:cs="Times New Roman"/>
                <w:b/>
                <w:sz w:val="22"/>
                <w:szCs w:val="22"/>
                <w:lang w:val="en-US" w:eastAsia="nl-NL"/>
              </w:rPr>
            </w:pPr>
            <w:r w:rsidRPr="00337C97">
              <w:rPr>
                <w:rFonts w:asciiTheme="minorHAnsi" w:hAnsiTheme="minorHAnsi" w:cs="Times New Roman"/>
                <w:b/>
                <w:sz w:val="22"/>
                <w:szCs w:val="22"/>
                <w:lang w:val="en-US" w:eastAsia="nl-NL"/>
              </w:rPr>
              <w:t>(USD, in millions</w:t>
            </w:r>
            <w:r w:rsidR="00254273" w:rsidRPr="00337C97">
              <w:rPr>
                <w:rFonts w:asciiTheme="minorHAnsi" w:hAnsiTheme="minorHAnsi" w:cs="Times New Roman"/>
                <w:b/>
                <w:sz w:val="22"/>
                <w:szCs w:val="22"/>
                <w:lang w:val="en-US" w:eastAsia="nl-NL"/>
              </w:rPr>
              <w:t>, 2007</w:t>
            </w:r>
            <w:r w:rsidRPr="00337C97">
              <w:rPr>
                <w:rFonts w:asciiTheme="minorHAnsi" w:hAnsiTheme="minorHAnsi" w:cs="Times New Roman"/>
                <w:b/>
                <w:sz w:val="22"/>
                <w:szCs w:val="22"/>
                <w:lang w:val="en-US" w:eastAsia="nl-NL"/>
              </w:rPr>
              <w:t>)</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BKS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AUSTRIA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5.752</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KBC Group</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BELGIUM</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523.476</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First Investment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BULGARIA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3.156</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Bank of Cyprus Group</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CYPRUS</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46.759</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Marfin Popular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CYPRUS</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44.542</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Komercni Banka</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CZECH REPUBLIC</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36.609</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Spar Nord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DENMARK</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12.491</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Amagerbanken</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DENMARK</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6.128</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Vestjysk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DENMARK</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3.648</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BNP Paribas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FRANCE</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2.494.412</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Société Générale</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FRANCE</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1.577.745</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Crédit Agricole</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FRANCE</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2.081.883</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Commerzbank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GERMANY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907.514</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Deutsche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GERMANY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2.833.804</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Comdirect Bank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GERMANY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12.120</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Bank of Attica</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GREECE</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5.747</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General Bank of Greece</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GREECE</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6.381</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EFG Eurobank Ergasias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GREECE</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100.676</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Allied Irish Banks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IRELAND</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261.831</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Banca Ifis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ITALY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1.877</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Banca Generali</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ITALY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6.199</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Banca Popolare di Milano</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ITALY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64.223</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Credito Valtellinese Soc Coop</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ITALY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25.362</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Banco Desio SpA</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ITALY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11.893</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Banca popolare dell'Etruria e del Lazio</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ITALY</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12.587</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Siauliu Bankas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LITHUANIA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875</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FIMBank Plc</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MALTA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571</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Van Lanschot</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NETHERLANDS</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31.972</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ING Groep</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NETHERLANDS</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1.932.151</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Bank Zachodni WBK</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POLAND</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16.969</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Banco BPI</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PORTUGAL</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59.688</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Tatra Banka</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SLOVAKIA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11.032</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OTP Banka Slovensko</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SLOVAKIA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2.167</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Probanka d.d. Maribor</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SLOVENIA</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1.613</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Bankinter</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SPAIN</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73.088</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Banco Bilbao Vizcaya Argentaria</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SPAIN</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502.204</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Svenska Handelsbanken</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SWEDEN</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289.915</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Barclays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UNITED KINGDOM</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2.459.149</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Schroders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UNITED KINGDOM</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13.778</w:t>
            </w:r>
          </w:p>
        </w:tc>
      </w:tr>
      <w:tr w:rsidR="003573E9" w:rsidRPr="00337C97" w:rsidTr="003573E9">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HSBC Holdings</w:t>
            </w:r>
          </w:p>
        </w:tc>
        <w:tc>
          <w:tcPr>
            <w:tcW w:w="26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rPr>
                <w:rFonts w:asciiTheme="minorHAnsi" w:hAnsiTheme="minorHAnsi" w:cs="Times New Roman"/>
                <w:sz w:val="22"/>
                <w:szCs w:val="22"/>
                <w:lang w:eastAsia="nl-NL"/>
              </w:rPr>
            </w:pPr>
            <w:r w:rsidRPr="00337C97">
              <w:rPr>
                <w:rFonts w:asciiTheme="minorHAnsi" w:hAnsiTheme="minorHAnsi" w:cs="Times New Roman"/>
                <w:sz w:val="22"/>
                <w:szCs w:val="22"/>
                <w:lang w:eastAsia="nl-NL"/>
              </w:rPr>
              <w:t>UNITED KINGDOM</w:t>
            </w:r>
          </w:p>
        </w:tc>
        <w:tc>
          <w:tcPr>
            <w:tcW w:w="2410" w:type="dxa"/>
            <w:tcBorders>
              <w:top w:val="nil"/>
              <w:left w:val="nil"/>
              <w:bottom w:val="single" w:sz="4" w:space="0" w:color="auto"/>
              <w:right w:val="single" w:sz="4" w:space="0" w:color="auto"/>
            </w:tcBorders>
            <w:shd w:val="clear" w:color="auto" w:fill="auto"/>
            <w:noWrap/>
            <w:vAlign w:val="bottom"/>
            <w:hideMark/>
          </w:tcPr>
          <w:p w:rsidR="003573E9" w:rsidRPr="00337C97" w:rsidRDefault="003573E9" w:rsidP="00A27CED">
            <w:pPr>
              <w:jc w:val="right"/>
              <w:rPr>
                <w:rFonts w:asciiTheme="minorHAnsi" w:hAnsiTheme="minorHAnsi" w:cs="Times New Roman"/>
                <w:sz w:val="22"/>
                <w:szCs w:val="22"/>
                <w:lang w:eastAsia="nl-NL"/>
              </w:rPr>
            </w:pPr>
            <w:r w:rsidRPr="00337C97">
              <w:rPr>
                <w:rFonts w:asciiTheme="minorHAnsi" w:hAnsiTheme="minorHAnsi" w:cs="Times New Roman"/>
                <w:sz w:val="22"/>
                <w:szCs w:val="22"/>
                <w:lang w:eastAsia="nl-NL"/>
              </w:rPr>
              <w:t>2.354.266</w:t>
            </w:r>
          </w:p>
        </w:tc>
      </w:tr>
    </w:tbl>
    <w:p w:rsidR="003573E9" w:rsidRPr="00337C97" w:rsidRDefault="003573E9" w:rsidP="003573E9">
      <w:pPr>
        <w:spacing w:line="360" w:lineRule="auto"/>
        <w:rPr>
          <w:rFonts w:asciiTheme="minorHAnsi" w:hAnsiTheme="minorHAnsi" w:cs="Times New Roman"/>
          <w:sz w:val="22"/>
          <w:szCs w:val="22"/>
          <w:lang w:val="en-US"/>
        </w:rPr>
      </w:pPr>
    </w:p>
    <w:p w:rsidR="003573E9" w:rsidRPr="00337C97" w:rsidRDefault="003573E9" w:rsidP="003573E9">
      <w:pPr>
        <w:spacing w:line="360" w:lineRule="auto"/>
        <w:rPr>
          <w:rFonts w:asciiTheme="minorHAnsi" w:hAnsiTheme="minorHAnsi" w:cs="Times New Roman"/>
          <w:sz w:val="22"/>
          <w:szCs w:val="22"/>
          <w:lang w:val="en-US"/>
        </w:rPr>
      </w:pPr>
    </w:p>
    <w:p w:rsidR="009265C8" w:rsidRPr="00337C97" w:rsidRDefault="0081500E" w:rsidP="00B12C7B">
      <w:pPr>
        <w:spacing w:line="360" w:lineRule="auto"/>
        <w:outlineLvl w:val="0"/>
        <w:rPr>
          <w:rFonts w:asciiTheme="minorHAnsi" w:hAnsiTheme="minorHAnsi"/>
          <w:b/>
          <w:sz w:val="28"/>
          <w:szCs w:val="22"/>
          <w:lang w:val="en-US"/>
        </w:rPr>
      </w:pPr>
      <w:r w:rsidRPr="00337C97">
        <w:rPr>
          <w:rFonts w:asciiTheme="minorHAnsi" w:hAnsiTheme="minorHAnsi" w:cs="Times New Roman"/>
          <w:sz w:val="22"/>
          <w:szCs w:val="22"/>
          <w:lang w:val="en-US"/>
        </w:rPr>
        <w:br w:type="page"/>
      </w:r>
      <w:bookmarkStart w:id="313" w:name="_Toc269658987"/>
      <w:r w:rsidR="009265C8" w:rsidRPr="00337C97">
        <w:rPr>
          <w:rFonts w:asciiTheme="minorHAnsi" w:hAnsiTheme="minorHAnsi"/>
          <w:b/>
          <w:sz w:val="28"/>
          <w:szCs w:val="22"/>
          <w:lang w:val="en-US"/>
        </w:rPr>
        <w:lastRenderedPageBreak/>
        <w:t>Appendix D</w:t>
      </w:r>
      <w:bookmarkEnd w:id="313"/>
    </w:p>
    <w:p w:rsidR="009265C8" w:rsidRPr="00337C97" w:rsidRDefault="009265C8" w:rsidP="009265C8">
      <w:pPr>
        <w:spacing w:line="360" w:lineRule="auto"/>
        <w:rPr>
          <w:rFonts w:asciiTheme="minorHAnsi" w:hAnsiTheme="minorHAnsi"/>
          <w:sz w:val="22"/>
          <w:szCs w:val="22"/>
          <w:u w:val="single"/>
          <w:lang w:val="en-US"/>
        </w:rPr>
      </w:pPr>
    </w:p>
    <w:p w:rsidR="009265C8" w:rsidRPr="00337C97" w:rsidRDefault="009265C8" w:rsidP="009265C8">
      <w:pPr>
        <w:spacing w:line="360" w:lineRule="auto"/>
        <w:rPr>
          <w:rFonts w:asciiTheme="minorHAnsi" w:hAnsiTheme="minorHAnsi"/>
          <w:b/>
          <w:sz w:val="22"/>
          <w:szCs w:val="22"/>
          <w:lang w:val="en-US"/>
        </w:rPr>
      </w:pPr>
      <w:r w:rsidRPr="00337C97">
        <w:rPr>
          <w:rFonts w:asciiTheme="minorHAnsi" w:hAnsiTheme="minorHAnsi"/>
          <w:b/>
          <w:sz w:val="22"/>
          <w:szCs w:val="22"/>
          <w:lang w:val="en-US"/>
        </w:rPr>
        <w:t>Risk classification model</w:t>
      </w:r>
    </w:p>
    <w:tbl>
      <w:tblPr>
        <w:tblW w:w="4546" w:type="pct"/>
        <w:tblBorders>
          <w:top w:val="single" w:sz="8" w:space="0" w:color="000000"/>
          <w:left w:val="single" w:sz="8" w:space="0" w:color="000000"/>
          <w:bottom w:val="single" w:sz="8" w:space="0" w:color="000000"/>
          <w:right w:val="single" w:sz="8" w:space="0" w:color="000000"/>
        </w:tblBorders>
        <w:tblLook w:val="0620"/>
      </w:tblPr>
      <w:tblGrid>
        <w:gridCol w:w="384"/>
        <w:gridCol w:w="3857"/>
        <w:gridCol w:w="4202"/>
      </w:tblGrid>
      <w:tr w:rsidR="009265C8" w:rsidRPr="00337C97" w:rsidTr="005F4859">
        <w:trPr>
          <w:trHeight w:val="284"/>
        </w:trPr>
        <w:tc>
          <w:tcPr>
            <w:tcW w:w="226" w:type="pct"/>
            <w:shd w:val="clear" w:color="auto" w:fill="000000"/>
          </w:tcPr>
          <w:p w:rsidR="009265C8" w:rsidRPr="00337C97" w:rsidRDefault="009265C8" w:rsidP="00A27CED">
            <w:pPr>
              <w:rPr>
                <w:rFonts w:asciiTheme="minorHAnsi" w:hAnsiTheme="minorHAnsi"/>
                <w:b/>
                <w:bCs/>
                <w:color w:val="FFFFFF"/>
                <w:sz w:val="22"/>
                <w:szCs w:val="22"/>
                <w:lang w:val="en-US"/>
              </w:rPr>
            </w:pPr>
          </w:p>
        </w:tc>
        <w:tc>
          <w:tcPr>
            <w:tcW w:w="2285" w:type="pct"/>
            <w:shd w:val="clear" w:color="auto" w:fill="000000"/>
          </w:tcPr>
          <w:p w:rsidR="009265C8" w:rsidRPr="00337C97" w:rsidRDefault="009265C8" w:rsidP="00A27CED">
            <w:pPr>
              <w:rPr>
                <w:rFonts w:asciiTheme="minorHAnsi" w:hAnsiTheme="minorHAnsi"/>
                <w:b/>
                <w:bCs/>
                <w:color w:val="FFFFFF"/>
                <w:sz w:val="22"/>
                <w:szCs w:val="22"/>
                <w:lang w:val="en-US"/>
              </w:rPr>
            </w:pPr>
            <w:r w:rsidRPr="00337C97">
              <w:rPr>
                <w:rFonts w:asciiTheme="minorHAnsi" w:hAnsiTheme="minorHAnsi"/>
                <w:b/>
                <w:bCs/>
                <w:color w:val="FFFFFF"/>
                <w:sz w:val="22"/>
                <w:szCs w:val="22"/>
                <w:lang w:val="en-US"/>
              </w:rPr>
              <w:t>Risk category</w:t>
            </w:r>
          </w:p>
        </w:tc>
        <w:tc>
          <w:tcPr>
            <w:tcW w:w="2490" w:type="pct"/>
            <w:shd w:val="clear" w:color="auto" w:fill="000000"/>
          </w:tcPr>
          <w:p w:rsidR="009265C8" w:rsidRPr="00337C97" w:rsidRDefault="009265C8" w:rsidP="00A27CED">
            <w:pPr>
              <w:rPr>
                <w:rFonts w:asciiTheme="minorHAnsi" w:hAnsiTheme="minorHAnsi"/>
                <w:b/>
                <w:bCs/>
                <w:color w:val="FFFFFF"/>
                <w:sz w:val="22"/>
                <w:szCs w:val="22"/>
                <w:lang w:val="en-US"/>
              </w:rPr>
            </w:pPr>
            <w:r w:rsidRPr="00337C97">
              <w:rPr>
                <w:rFonts w:asciiTheme="minorHAnsi" w:hAnsiTheme="minorHAnsi"/>
                <w:b/>
                <w:bCs/>
                <w:color w:val="FFFFFF"/>
                <w:sz w:val="22"/>
                <w:szCs w:val="22"/>
                <w:lang w:val="en-US"/>
              </w:rPr>
              <w:t>Subcategory</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1</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Market risk</w:t>
            </w:r>
          </w:p>
        </w:tc>
        <w:tc>
          <w:tcPr>
            <w:tcW w:w="2490" w:type="pct"/>
          </w:tcPr>
          <w:p w:rsidR="009265C8" w:rsidRPr="00337C97" w:rsidRDefault="00742E5A" w:rsidP="00A27CED">
            <w:pPr>
              <w:rPr>
                <w:rFonts w:asciiTheme="minorHAnsi" w:hAnsiTheme="minorHAnsi"/>
                <w:sz w:val="22"/>
                <w:szCs w:val="22"/>
                <w:lang w:val="en-US"/>
              </w:rPr>
            </w:pPr>
            <w:r w:rsidRPr="00337C97">
              <w:rPr>
                <w:rFonts w:asciiTheme="minorHAnsi" w:hAnsiTheme="minorHAnsi"/>
                <w:noProof/>
                <w:sz w:val="22"/>
                <w:szCs w:val="22"/>
                <w:lang w:eastAsia="nl-N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7" type="#_x0000_t88" style="position:absolute;margin-left:113.45pt;margin-top:2.1pt;width:10.95pt;height:105.95pt;z-index:251657728;mso-position-horizontal-relative:text;mso-position-vertical-relative:text" adj=",12334"/>
              </w:pict>
            </w:r>
            <w:r w:rsidR="009265C8" w:rsidRPr="00337C97">
              <w:rPr>
                <w:rFonts w:asciiTheme="minorHAnsi" w:hAnsiTheme="minorHAnsi"/>
                <w:sz w:val="22"/>
                <w:szCs w:val="22"/>
                <w:lang w:val="en-US"/>
              </w:rPr>
              <w:t>interest rate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foreign exchange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commodity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equity price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ind w:left="2585"/>
              <w:rPr>
                <w:rFonts w:asciiTheme="minorHAnsi" w:hAnsiTheme="minorHAnsi"/>
                <w:sz w:val="22"/>
                <w:szCs w:val="22"/>
                <w:lang w:val="en-US"/>
              </w:rPr>
            </w:pPr>
            <w:r w:rsidRPr="00337C97">
              <w:rPr>
                <w:rFonts w:asciiTheme="minorHAnsi" w:hAnsiTheme="minorHAnsi"/>
                <w:sz w:val="22"/>
                <w:szCs w:val="22"/>
                <w:lang w:val="en-US"/>
              </w:rPr>
              <w:t>financial risks</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2</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Credit risk</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counterparty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3</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Liquidity risk</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liquidity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4</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Operational risk</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failing of internal processes</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failing of people; human error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failing of systems; IT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information access and availability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fraud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internal control weaknesses</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customer satisfaction</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product and service failure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5</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Business risk</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strategic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competition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 xml:space="preserve">reputation risk </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shd w:val="clear" w:color="auto" w:fill="auto"/>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environmental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shd w:val="clear" w:color="auto" w:fill="auto"/>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systemic risk</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6</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Legal risk</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lawsuits, litigation</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change in political environment</w:t>
            </w:r>
          </w:p>
        </w:tc>
      </w:tr>
      <w:tr w:rsidR="009265C8" w:rsidRPr="00337C97" w:rsidTr="005F4859">
        <w:trPr>
          <w:trHeight w:val="273"/>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change in legislation</w:t>
            </w: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 xml:space="preserve">change in tax law </w:t>
            </w: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7.</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Capital structure and adequacy risk</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off balance structures</w:t>
            </w: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risk based ratios</w:t>
            </w: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risk exposures of on- and off balance assets</w:t>
            </w: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8.</w:t>
            </w:r>
          </w:p>
        </w:tc>
        <w:tc>
          <w:tcPr>
            <w:tcW w:w="2285"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Risk management and policies</w:t>
            </w: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risk management</w:t>
            </w:r>
          </w:p>
        </w:tc>
      </w:tr>
      <w:tr w:rsidR="009265C8" w:rsidRPr="00337C97" w:rsidTr="005F4859">
        <w:trPr>
          <w:trHeight w:val="284"/>
        </w:trPr>
        <w:tc>
          <w:tcPr>
            <w:tcW w:w="226" w:type="pct"/>
          </w:tcPr>
          <w:p w:rsidR="009265C8" w:rsidRPr="00337C97" w:rsidRDefault="009265C8" w:rsidP="00A27CED">
            <w:pPr>
              <w:rPr>
                <w:rFonts w:asciiTheme="minorHAnsi" w:hAnsiTheme="minorHAnsi"/>
                <w:sz w:val="22"/>
                <w:szCs w:val="22"/>
                <w:lang w:val="en-US"/>
              </w:rPr>
            </w:pPr>
          </w:p>
        </w:tc>
        <w:tc>
          <w:tcPr>
            <w:tcW w:w="2285" w:type="pct"/>
          </w:tcPr>
          <w:p w:rsidR="009265C8" w:rsidRPr="00337C97" w:rsidRDefault="009265C8" w:rsidP="00A27CED">
            <w:pPr>
              <w:rPr>
                <w:rFonts w:asciiTheme="minorHAnsi" w:hAnsiTheme="minorHAnsi"/>
                <w:sz w:val="22"/>
                <w:szCs w:val="22"/>
                <w:lang w:val="en-US"/>
              </w:rPr>
            </w:pPr>
          </w:p>
        </w:tc>
        <w:tc>
          <w:tcPr>
            <w:tcW w:w="2490" w:type="pct"/>
          </w:tcPr>
          <w:p w:rsidR="009265C8" w:rsidRPr="00337C97" w:rsidRDefault="009265C8" w:rsidP="00A27CED">
            <w:pPr>
              <w:rPr>
                <w:rFonts w:asciiTheme="minorHAnsi" w:hAnsiTheme="minorHAnsi"/>
                <w:sz w:val="22"/>
                <w:szCs w:val="22"/>
                <w:lang w:val="en-US"/>
              </w:rPr>
            </w:pPr>
            <w:r w:rsidRPr="00337C97">
              <w:rPr>
                <w:rFonts w:asciiTheme="minorHAnsi" w:hAnsiTheme="minorHAnsi"/>
                <w:sz w:val="22"/>
                <w:szCs w:val="22"/>
                <w:lang w:val="en-US"/>
              </w:rPr>
              <w:t>actions and policies</w:t>
            </w:r>
          </w:p>
        </w:tc>
      </w:tr>
    </w:tbl>
    <w:p w:rsidR="009265C8" w:rsidRPr="00337C97" w:rsidRDefault="009265C8" w:rsidP="009265C8">
      <w:pPr>
        <w:spacing w:line="360" w:lineRule="auto"/>
        <w:jc w:val="both"/>
        <w:rPr>
          <w:rFonts w:asciiTheme="minorHAnsi" w:hAnsiTheme="minorHAnsi"/>
          <w:sz w:val="22"/>
          <w:szCs w:val="22"/>
          <w:lang w:val="en-US"/>
        </w:rPr>
      </w:pPr>
    </w:p>
    <w:p w:rsidR="009265C8" w:rsidRPr="00337C97" w:rsidRDefault="009265C8" w:rsidP="009265C8">
      <w:pPr>
        <w:spacing w:line="360" w:lineRule="auto"/>
        <w:jc w:val="both"/>
        <w:rPr>
          <w:rFonts w:asciiTheme="minorHAnsi" w:hAnsiTheme="minorHAnsi"/>
          <w:sz w:val="22"/>
          <w:szCs w:val="22"/>
          <w:lang w:val="nl-NL"/>
        </w:rPr>
      </w:pPr>
      <w:r w:rsidRPr="00337C97">
        <w:rPr>
          <w:rFonts w:asciiTheme="minorHAnsi" w:hAnsiTheme="minorHAnsi"/>
          <w:sz w:val="22"/>
          <w:szCs w:val="22"/>
          <w:lang w:val="en-US"/>
        </w:rPr>
        <w:t xml:space="preserve">* This model shows the most relevant risk areas for the banking industry and is based upon theory and the risk classification models of Linsley et al. </w:t>
      </w:r>
      <w:r w:rsidRPr="00337C97">
        <w:rPr>
          <w:rFonts w:asciiTheme="minorHAnsi" w:hAnsiTheme="minorHAnsi"/>
          <w:sz w:val="22"/>
          <w:szCs w:val="22"/>
          <w:lang w:val="nl-NL"/>
        </w:rPr>
        <w:t xml:space="preserve">(2006), KPMG (2008), Amran et al. (2009) and Michiels et al. (2009). </w:t>
      </w:r>
    </w:p>
    <w:p w:rsidR="00567B33" w:rsidRPr="00337C97" w:rsidRDefault="009265C8" w:rsidP="00B12C7B">
      <w:pPr>
        <w:spacing w:line="360" w:lineRule="auto"/>
        <w:outlineLvl w:val="0"/>
        <w:rPr>
          <w:rFonts w:asciiTheme="minorHAnsi" w:hAnsiTheme="minorHAnsi"/>
          <w:b/>
          <w:sz w:val="28"/>
          <w:lang w:val="nl-NL"/>
        </w:rPr>
      </w:pPr>
      <w:r w:rsidRPr="00337C97">
        <w:rPr>
          <w:rFonts w:asciiTheme="minorHAnsi" w:hAnsiTheme="minorHAnsi" w:cs="Times New Roman"/>
          <w:b/>
          <w:sz w:val="22"/>
          <w:szCs w:val="22"/>
          <w:lang w:val="nl-NL"/>
        </w:rPr>
        <w:br w:type="page"/>
      </w:r>
      <w:bookmarkStart w:id="314" w:name="_Toc269658988"/>
      <w:r w:rsidR="00567B33" w:rsidRPr="00337C97">
        <w:rPr>
          <w:rFonts w:asciiTheme="minorHAnsi" w:hAnsiTheme="minorHAnsi"/>
          <w:b/>
          <w:sz w:val="28"/>
          <w:lang w:val="nl-NL"/>
        </w:rPr>
        <w:lastRenderedPageBreak/>
        <w:t>Appendix E</w:t>
      </w:r>
      <w:bookmarkEnd w:id="314"/>
    </w:p>
    <w:p w:rsidR="00567B33" w:rsidRPr="00337C97" w:rsidRDefault="00567B33" w:rsidP="00567B33">
      <w:pPr>
        <w:spacing w:line="360" w:lineRule="auto"/>
        <w:rPr>
          <w:rFonts w:asciiTheme="minorHAnsi" w:hAnsiTheme="minorHAnsi"/>
          <w:sz w:val="22"/>
          <w:lang w:val="nl-NL"/>
        </w:rPr>
      </w:pPr>
    </w:p>
    <w:p w:rsidR="00567B33" w:rsidRPr="00337C97" w:rsidRDefault="00567B33" w:rsidP="00567B33">
      <w:pPr>
        <w:spacing w:line="360" w:lineRule="auto"/>
        <w:rPr>
          <w:rFonts w:asciiTheme="minorHAnsi" w:hAnsiTheme="minorHAnsi"/>
          <w:sz w:val="22"/>
          <w:lang w:val="nl-NL"/>
        </w:rPr>
      </w:pPr>
      <w:r w:rsidRPr="00337C97">
        <w:rPr>
          <w:rFonts w:asciiTheme="minorHAnsi" w:hAnsiTheme="minorHAnsi"/>
          <w:sz w:val="22"/>
          <w:lang w:val="nl-NL"/>
        </w:rPr>
        <w:t>Coding grid</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708"/>
        <w:gridCol w:w="567"/>
        <w:gridCol w:w="284"/>
        <w:gridCol w:w="709"/>
        <w:gridCol w:w="708"/>
        <w:gridCol w:w="709"/>
        <w:gridCol w:w="709"/>
        <w:gridCol w:w="850"/>
        <w:gridCol w:w="709"/>
        <w:gridCol w:w="1134"/>
        <w:gridCol w:w="1134"/>
      </w:tblGrid>
      <w:tr w:rsidR="001607F0" w:rsidRPr="00337C97" w:rsidTr="001607F0">
        <w:tc>
          <w:tcPr>
            <w:tcW w:w="2660" w:type="dxa"/>
            <w:gridSpan w:val="4"/>
            <w:tcBorders>
              <w:right w:val="nil"/>
            </w:tcBorders>
            <w:shd w:val="clear" w:color="auto" w:fill="BFBFBF"/>
          </w:tcPr>
          <w:p w:rsidR="001607F0" w:rsidRPr="00337C97" w:rsidRDefault="001607F0" w:rsidP="00A27CED">
            <w:pPr>
              <w:rPr>
                <w:rFonts w:asciiTheme="minorHAnsi" w:hAnsiTheme="minorHAnsi"/>
                <w:b/>
                <w:sz w:val="18"/>
                <w:lang w:val="nl-NL"/>
              </w:rPr>
            </w:pPr>
          </w:p>
        </w:tc>
        <w:tc>
          <w:tcPr>
            <w:tcW w:w="709" w:type="dxa"/>
            <w:tcBorders>
              <w:left w:val="nil"/>
              <w:righ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Market risk</w:t>
            </w:r>
          </w:p>
        </w:tc>
        <w:tc>
          <w:tcPr>
            <w:tcW w:w="708" w:type="dxa"/>
            <w:tcBorders>
              <w:left w:val="nil"/>
              <w:righ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Credit risk</w:t>
            </w:r>
          </w:p>
        </w:tc>
        <w:tc>
          <w:tcPr>
            <w:tcW w:w="709" w:type="dxa"/>
            <w:tcBorders>
              <w:left w:val="nil"/>
              <w:righ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Liqui-dity risk</w:t>
            </w:r>
          </w:p>
        </w:tc>
        <w:tc>
          <w:tcPr>
            <w:tcW w:w="709" w:type="dxa"/>
            <w:tcBorders>
              <w:left w:val="nil"/>
              <w:righ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Oper-ational risk</w:t>
            </w:r>
          </w:p>
        </w:tc>
        <w:tc>
          <w:tcPr>
            <w:tcW w:w="850" w:type="dxa"/>
            <w:tcBorders>
              <w:left w:val="nil"/>
              <w:righ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Business risk</w:t>
            </w:r>
          </w:p>
        </w:tc>
        <w:tc>
          <w:tcPr>
            <w:tcW w:w="709" w:type="dxa"/>
            <w:tcBorders>
              <w:left w:val="nil"/>
              <w:righ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Legal risk</w:t>
            </w:r>
          </w:p>
        </w:tc>
        <w:tc>
          <w:tcPr>
            <w:tcW w:w="1134" w:type="dxa"/>
            <w:tcBorders>
              <w:left w:val="nil"/>
              <w:right w:val="nil"/>
            </w:tcBorders>
            <w:shd w:val="clear" w:color="auto" w:fill="BFBFBF"/>
          </w:tcPr>
          <w:p w:rsidR="001607F0" w:rsidRPr="00337C97" w:rsidRDefault="001607F0" w:rsidP="001607F0">
            <w:pPr>
              <w:rPr>
                <w:rFonts w:asciiTheme="minorHAnsi" w:hAnsiTheme="minorHAnsi"/>
                <w:b/>
                <w:sz w:val="18"/>
                <w:lang w:val="en-US"/>
              </w:rPr>
            </w:pPr>
            <w:r w:rsidRPr="00337C97">
              <w:rPr>
                <w:rFonts w:asciiTheme="minorHAnsi" w:hAnsiTheme="minorHAnsi"/>
                <w:b/>
                <w:sz w:val="18"/>
                <w:lang w:val="en-US"/>
              </w:rPr>
              <w:t>Capital structure, adequacy risk</w:t>
            </w:r>
          </w:p>
        </w:tc>
        <w:tc>
          <w:tcPr>
            <w:tcW w:w="1134" w:type="dxa"/>
            <w:tcBorders>
              <w:left w:val="nil"/>
            </w:tcBorders>
            <w:shd w:val="clear" w:color="auto" w:fill="BFBFBF"/>
            <w:tcMar>
              <w:left w:w="57" w:type="dxa"/>
              <w:right w:w="57" w:type="dxa"/>
            </w:tcMar>
          </w:tcPr>
          <w:p w:rsidR="001607F0" w:rsidRPr="00337C97" w:rsidRDefault="001607F0" w:rsidP="00A27CED">
            <w:pPr>
              <w:rPr>
                <w:rFonts w:asciiTheme="minorHAnsi" w:hAnsiTheme="minorHAnsi"/>
                <w:b/>
                <w:sz w:val="18"/>
                <w:lang w:val="en-US"/>
              </w:rPr>
            </w:pPr>
            <w:r w:rsidRPr="00337C97">
              <w:rPr>
                <w:rFonts w:asciiTheme="minorHAnsi" w:hAnsiTheme="minorHAnsi"/>
                <w:b/>
                <w:sz w:val="18"/>
                <w:lang w:val="en-US"/>
              </w:rPr>
              <w:t>Risk management and policies</w:t>
            </w:r>
          </w:p>
        </w:tc>
      </w:tr>
      <w:tr w:rsidR="001607F0" w:rsidRPr="00337C97" w:rsidTr="001607F0">
        <w:tc>
          <w:tcPr>
            <w:tcW w:w="2660" w:type="dxa"/>
            <w:gridSpan w:val="4"/>
            <w:tcBorders>
              <w:bottom w:val="single" w:sz="4" w:space="0" w:color="000000"/>
            </w:tcBorders>
            <w:tcMar>
              <w:left w:w="57" w:type="dxa"/>
            </w:tcMar>
          </w:tcPr>
          <w:p w:rsidR="001607F0" w:rsidRPr="00337C97" w:rsidRDefault="001607F0" w:rsidP="00A27CED">
            <w:pPr>
              <w:rPr>
                <w:rFonts w:asciiTheme="minorHAnsi" w:hAnsiTheme="minorHAnsi"/>
                <w:sz w:val="18"/>
                <w:lang w:val="en-US"/>
              </w:rPr>
            </w:pPr>
            <w:r w:rsidRPr="00337C97">
              <w:rPr>
                <w:rFonts w:asciiTheme="minorHAnsi" w:hAnsiTheme="minorHAnsi"/>
                <w:i/>
                <w:sz w:val="18"/>
                <w:lang w:val="en-US"/>
              </w:rPr>
              <w:t>Sentence characteristics</w:t>
            </w:r>
          </w:p>
        </w:tc>
        <w:tc>
          <w:tcPr>
            <w:tcW w:w="709"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1</w:t>
            </w:r>
          </w:p>
        </w:tc>
        <w:tc>
          <w:tcPr>
            <w:tcW w:w="708"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2</w:t>
            </w:r>
          </w:p>
        </w:tc>
        <w:tc>
          <w:tcPr>
            <w:tcW w:w="709"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3</w:t>
            </w:r>
          </w:p>
        </w:tc>
        <w:tc>
          <w:tcPr>
            <w:tcW w:w="709"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4</w:t>
            </w:r>
          </w:p>
        </w:tc>
        <w:tc>
          <w:tcPr>
            <w:tcW w:w="850"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5</w:t>
            </w:r>
          </w:p>
        </w:tc>
        <w:tc>
          <w:tcPr>
            <w:tcW w:w="709"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6</w:t>
            </w:r>
          </w:p>
        </w:tc>
        <w:tc>
          <w:tcPr>
            <w:tcW w:w="1134"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7</w:t>
            </w:r>
          </w:p>
        </w:tc>
        <w:tc>
          <w:tcPr>
            <w:tcW w:w="1134" w:type="dxa"/>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8</w:t>
            </w:r>
          </w:p>
        </w:tc>
      </w:tr>
      <w:tr w:rsidR="001607F0" w:rsidRPr="00337C97" w:rsidTr="001607F0">
        <w:tc>
          <w:tcPr>
            <w:tcW w:w="1101" w:type="dxa"/>
            <w:tcBorders>
              <w:bottom w:val="nil"/>
              <w:right w:val="nil"/>
            </w:tcBorders>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Quantitative </w:t>
            </w:r>
          </w:p>
        </w:tc>
        <w:tc>
          <w:tcPr>
            <w:tcW w:w="708" w:type="dxa"/>
            <w:tcBorders>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Good </w:t>
            </w:r>
          </w:p>
        </w:tc>
        <w:tc>
          <w:tcPr>
            <w:tcW w:w="567" w:type="dxa"/>
            <w:tcBorders>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Future</w:t>
            </w:r>
          </w:p>
        </w:tc>
        <w:tc>
          <w:tcPr>
            <w:tcW w:w="284" w:type="dxa"/>
            <w:tcBorders>
              <w:left w:val="nil"/>
              <w:bottom w:val="nil"/>
            </w:tcBorders>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A</w:t>
            </w:r>
          </w:p>
        </w:tc>
        <w:tc>
          <w:tcPr>
            <w:tcW w:w="709" w:type="dxa"/>
          </w:tcPr>
          <w:p w:rsidR="001607F0" w:rsidRPr="00337C97" w:rsidRDefault="001607F0" w:rsidP="00A27CED">
            <w:pPr>
              <w:rPr>
                <w:rFonts w:asciiTheme="minorHAnsi" w:hAnsiTheme="minorHAnsi"/>
                <w:sz w:val="18"/>
                <w:lang w:val="en-US"/>
              </w:rPr>
            </w:pPr>
          </w:p>
        </w:tc>
        <w:tc>
          <w:tcPr>
            <w:tcW w:w="708"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850"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Quantitative </w:t>
            </w:r>
          </w:p>
        </w:tc>
        <w:tc>
          <w:tcPr>
            <w:tcW w:w="708"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Bad </w:t>
            </w:r>
          </w:p>
        </w:tc>
        <w:tc>
          <w:tcPr>
            <w:tcW w:w="567"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Future</w:t>
            </w:r>
          </w:p>
        </w:tc>
        <w:tc>
          <w:tcPr>
            <w:tcW w:w="284" w:type="dxa"/>
            <w:tcBorders>
              <w:top w:val="nil"/>
              <w:left w:val="nil"/>
              <w:bottom w:val="nil"/>
            </w:tcBorders>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B</w:t>
            </w:r>
          </w:p>
        </w:tc>
        <w:tc>
          <w:tcPr>
            <w:tcW w:w="709" w:type="dxa"/>
          </w:tcPr>
          <w:p w:rsidR="001607F0" w:rsidRPr="00337C97" w:rsidRDefault="001607F0" w:rsidP="00A27CED">
            <w:pPr>
              <w:rPr>
                <w:rFonts w:asciiTheme="minorHAnsi" w:hAnsiTheme="minorHAnsi"/>
                <w:sz w:val="18"/>
                <w:lang w:val="en-US"/>
              </w:rPr>
            </w:pPr>
          </w:p>
        </w:tc>
        <w:tc>
          <w:tcPr>
            <w:tcW w:w="708"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850"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Quantitative </w:t>
            </w:r>
          </w:p>
        </w:tc>
        <w:tc>
          <w:tcPr>
            <w:tcW w:w="708"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Neutral </w:t>
            </w:r>
          </w:p>
        </w:tc>
        <w:tc>
          <w:tcPr>
            <w:tcW w:w="567"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Future</w:t>
            </w:r>
          </w:p>
        </w:tc>
        <w:tc>
          <w:tcPr>
            <w:tcW w:w="284" w:type="dxa"/>
            <w:tcBorders>
              <w:top w:val="nil"/>
              <w:left w:val="nil"/>
              <w:bottom w:val="nil"/>
            </w:tcBorders>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C</w:t>
            </w: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708" w:type="dxa"/>
            <w:tcBorders>
              <w:bottom w:val="single" w:sz="4" w:space="0" w:color="000000"/>
            </w:tcBorders>
          </w:tcPr>
          <w:p w:rsidR="001607F0" w:rsidRPr="00337C97" w:rsidRDefault="001607F0" w:rsidP="00A27CED">
            <w:pPr>
              <w:rPr>
                <w:rFonts w:asciiTheme="minorHAnsi" w:hAnsiTheme="minorHAnsi"/>
                <w:sz w:val="18"/>
                <w:lang w:val="en-US"/>
              </w:rPr>
            </w:pP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850" w:type="dxa"/>
            <w:tcBorders>
              <w:bottom w:val="single" w:sz="4" w:space="0" w:color="000000"/>
            </w:tcBorders>
          </w:tcPr>
          <w:p w:rsidR="001607F0" w:rsidRPr="00337C97" w:rsidRDefault="001607F0" w:rsidP="00A27CED">
            <w:pPr>
              <w:rPr>
                <w:rFonts w:asciiTheme="minorHAnsi" w:hAnsiTheme="minorHAnsi"/>
                <w:sz w:val="18"/>
                <w:lang w:val="en-US"/>
              </w:rPr>
            </w:pP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1134" w:type="dxa"/>
            <w:tcBorders>
              <w:bottom w:val="single" w:sz="4" w:space="0" w:color="000000"/>
            </w:tcBorders>
          </w:tcPr>
          <w:p w:rsidR="001607F0" w:rsidRPr="00337C97" w:rsidRDefault="001607F0" w:rsidP="00A27CED">
            <w:pPr>
              <w:rPr>
                <w:rFonts w:asciiTheme="minorHAnsi" w:hAnsiTheme="minorHAnsi"/>
                <w:sz w:val="18"/>
                <w:lang w:val="en-US"/>
              </w:rPr>
            </w:pPr>
          </w:p>
        </w:tc>
        <w:tc>
          <w:tcPr>
            <w:tcW w:w="1134" w:type="dxa"/>
            <w:tcBorders>
              <w:bottom w:val="single" w:sz="4" w:space="0" w:color="000000"/>
            </w:tcBorders>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shd w:val="clear" w:color="auto" w:fill="F2F2F2"/>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Qualitative </w:t>
            </w:r>
          </w:p>
        </w:tc>
        <w:tc>
          <w:tcPr>
            <w:tcW w:w="708"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Good </w:t>
            </w:r>
          </w:p>
        </w:tc>
        <w:tc>
          <w:tcPr>
            <w:tcW w:w="567"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Future</w:t>
            </w:r>
          </w:p>
        </w:tc>
        <w:tc>
          <w:tcPr>
            <w:tcW w:w="284" w:type="dxa"/>
            <w:tcBorders>
              <w:top w:val="nil"/>
              <w:left w:val="nil"/>
              <w:bottom w:val="nil"/>
            </w:tcBorders>
            <w:shd w:val="clear" w:color="auto" w:fill="F2F2F2"/>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D</w:t>
            </w:r>
          </w:p>
        </w:tc>
        <w:tc>
          <w:tcPr>
            <w:tcW w:w="709" w:type="dxa"/>
            <w:shd w:val="clear" w:color="auto" w:fill="F2F2F2"/>
          </w:tcPr>
          <w:p w:rsidR="001607F0" w:rsidRPr="00337C97" w:rsidRDefault="001607F0" w:rsidP="00A27CED">
            <w:pPr>
              <w:rPr>
                <w:rFonts w:asciiTheme="minorHAnsi" w:hAnsiTheme="minorHAnsi"/>
                <w:sz w:val="18"/>
                <w:lang w:val="en-US"/>
              </w:rPr>
            </w:pPr>
          </w:p>
        </w:tc>
        <w:tc>
          <w:tcPr>
            <w:tcW w:w="708"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850"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shd w:val="clear" w:color="auto" w:fill="F2F2F2"/>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Qualitative </w:t>
            </w:r>
          </w:p>
        </w:tc>
        <w:tc>
          <w:tcPr>
            <w:tcW w:w="708"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Bad</w:t>
            </w:r>
          </w:p>
        </w:tc>
        <w:tc>
          <w:tcPr>
            <w:tcW w:w="567"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Future</w:t>
            </w:r>
          </w:p>
        </w:tc>
        <w:tc>
          <w:tcPr>
            <w:tcW w:w="284" w:type="dxa"/>
            <w:tcBorders>
              <w:top w:val="nil"/>
              <w:left w:val="nil"/>
              <w:bottom w:val="nil"/>
            </w:tcBorders>
            <w:shd w:val="clear" w:color="auto" w:fill="F2F2F2"/>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E</w:t>
            </w:r>
          </w:p>
        </w:tc>
        <w:tc>
          <w:tcPr>
            <w:tcW w:w="709" w:type="dxa"/>
            <w:shd w:val="clear" w:color="auto" w:fill="F2F2F2"/>
          </w:tcPr>
          <w:p w:rsidR="001607F0" w:rsidRPr="00337C97" w:rsidRDefault="001607F0" w:rsidP="00A27CED">
            <w:pPr>
              <w:rPr>
                <w:rFonts w:asciiTheme="minorHAnsi" w:hAnsiTheme="minorHAnsi"/>
                <w:sz w:val="18"/>
                <w:lang w:val="en-US"/>
              </w:rPr>
            </w:pPr>
          </w:p>
        </w:tc>
        <w:tc>
          <w:tcPr>
            <w:tcW w:w="708"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850"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shd w:val="clear" w:color="auto" w:fill="F2F2F2"/>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Qualitative </w:t>
            </w:r>
          </w:p>
        </w:tc>
        <w:tc>
          <w:tcPr>
            <w:tcW w:w="708"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Neutral </w:t>
            </w:r>
          </w:p>
        </w:tc>
        <w:tc>
          <w:tcPr>
            <w:tcW w:w="567"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Future</w:t>
            </w:r>
          </w:p>
        </w:tc>
        <w:tc>
          <w:tcPr>
            <w:tcW w:w="284" w:type="dxa"/>
            <w:tcBorders>
              <w:top w:val="nil"/>
              <w:left w:val="nil"/>
              <w:bottom w:val="nil"/>
            </w:tcBorders>
            <w:shd w:val="clear" w:color="auto" w:fill="F2F2F2"/>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F</w:t>
            </w:r>
          </w:p>
        </w:tc>
        <w:tc>
          <w:tcPr>
            <w:tcW w:w="709" w:type="dxa"/>
            <w:shd w:val="clear" w:color="auto" w:fill="F2F2F2"/>
          </w:tcPr>
          <w:p w:rsidR="001607F0" w:rsidRPr="00337C97" w:rsidRDefault="001607F0" w:rsidP="00A27CED">
            <w:pPr>
              <w:rPr>
                <w:rFonts w:asciiTheme="minorHAnsi" w:hAnsiTheme="minorHAnsi"/>
                <w:sz w:val="18"/>
                <w:lang w:val="en-US"/>
              </w:rPr>
            </w:pPr>
          </w:p>
        </w:tc>
        <w:tc>
          <w:tcPr>
            <w:tcW w:w="708"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850"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Quantitative </w:t>
            </w:r>
          </w:p>
        </w:tc>
        <w:tc>
          <w:tcPr>
            <w:tcW w:w="708"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Good </w:t>
            </w:r>
          </w:p>
        </w:tc>
        <w:tc>
          <w:tcPr>
            <w:tcW w:w="567"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Past</w:t>
            </w:r>
          </w:p>
        </w:tc>
        <w:tc>
          <w:tcPr>
            <w:tcW w:w="284" w:type="dxa"/>
            <w:tcBorders>
              <w:top w:val="nil"/>
              <w:left w:val="nil"/>
              <w:bottom w:val="nil"/>
            </w:tcBorders>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G</w:t>
            </w:r>
          </w:p>
        </w:tc>
        <w:tc>
          <w:tcPr>
            <w:tcW w:w="709" w:type="dxa"/>
          </w:tcPr>
          <w:p w:rsidR="001607F0" w:rsidRPr="00337C97" w:rsidRDefault="001607F0" w:rsidP="00A27CED">
            <w:pPr>
              <w:rPr>
                <w:rFonts w:asciiTheme="minorHAnsi" w:hAnsiTheme="minorHAnsi"/>
                <w:sz w:val="18"/>
                <w:lang w:val="en-US"/>
              </w:rPr>
            </w:pPr>
          </w:p>
        </w:tc>
        <w:tc>
          <w:tcPr>
            <w:tcW w:w="708"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850"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Quantitative </w:t>
            </w:r>
          </w:p>
        </w:tc>
        <w:tc>
          <w:tcPr>
            <w:tcW w:w="708"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Bad </w:t>
            </w:r>
          </w:p>
        </w:tc>
        <w:tc>
          <w:tcPr>
            <w:tcW w:w="567"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Past</w:t>
            </w:r>
          </w:p>
        </w:tc>
        <w:tc>
          <w:tcPr>
            <w:tcW w:w="284" w:type="dxa"/>
            <w:tcBorders>
              <w:top w:val="nil"/>
              <w:left w:val="nil"/>
              <w:bottom w:val="nil"/>
            </w:tcBorders>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H</w:t>
            </w:r>
          </w:p>
        </w:tc>
        <w:tc>
          <w:tcPr>
            <w:tcW w:w="709" w:type="dxa"/>
          </w:tcPr>
          <w:p w:rsidR="001607F0" w:rsidRPr="00337C97" w:rsidRDefault="001607F0" w:rsidP="00A27CED">
            <w:pPr>
              <w:rPr>
                <w:rFonts w:asciiTheme="minorHAnsi" w:hAnsiTheme="minorHAnsi"/>
                <w:sz w:val="18"/>
                <w:lang w:val="en-US"/>
              </w:rPr>
            </w:pPr>
          </w:p>
        </w:tc>
        <w:tc>
          <w:tcPr>
            <w:tcW w:w="708"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850" w:type="dxa"/>
          </w:tcPr>
          <w:p w:rsidR="001607F0" w:rsidRPr="00337C97" w:rsidRDefault="001607F0" w:rsidP="00A27CED">
            <w:pPr>
              <w:rPr>
                <w:rFonts w:asciiTheme="minorHAnsi" w:hAnsiTheme="minorHAnsi"/>
                <w:sz w:val="18"/>
                <w:lang w:val="en-US"/>
              </w:rPr>
            </w:pPr>
          </w:p>
        </w:tc>
        <w:tc>
          <w:tcPr>
            <w:tcW w:w="709"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c>
          <w:tcPr>
            <w:tcW w:w="1134" w:type="dxa"/>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Quantitative </w:t>
            </w:r>
          </w:p>
        </w:tc>
        <w:tc>
          <w:tcPr>
            <w:tcW w:w="708"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Neutral </w:t>
            </w:r>
          </w:p>
        </w:tc>
        <w:tc>
          <w:tcPr>
            <w:tcW w:w="567" w:type="dxa"/>
            <w:tcBorders>
              <w:top w:val="nil"/>
              <w:left w:val="nil"/>
              <w:bottom w:val="nil"/>
              <w:right w:val="nil"/>
            </w:tcBorders>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Past</w:t>
            </w:r>
          </w:p>
        </w:tc>
        <w:tc>
          <w:tcPr>
            <w:tcW w:w="284" w:type="dxa"/>
            <w:tcBorders>
              <w:top w:val="nil"/>
              <w:left w:val="nil"/>
              <w:bottom w:val="nil"/>
            </w:tcBorders>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I</w:t>
            </w: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708" w:type="dxa"/>
            <w:tcBorders>
              <w:bottom w:val="single" w:sz="4" w:space="0" w:color="000000"/>
            </w:tcBorders>
          </w:tcPr>
          <w:p w:rsidR="001607F0" w:rsidRPr="00337C97" w:rsidRDefault="001607F0" w:rsidP="00A27CED">
            <w:pPr>
              <w:rPr>
                <w:rFonts w:asciiTheme="minorHAnsi" w:hAnsiTheme="minorHAnsi"/>
                <w:sz w:val="18"/>
                <w:lang w:val="en-US"/>
              </w:rPr>
            </w:pP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850" w:type="dxa"/>
            <w:tcBorders>
              <w:bottom w:val="single" w:sz="4" w:space="0" w:color="000000"/>
            </w:tcBorders>
          </w:tcPr>
          <w:p w:rsidR="001607F0" w:rsidRPr="00337C97" w:rsidRDefault="001607F0" w:rsidP="00A27CED">
            <w:pPr>
              <w:rPr>
                <w:rFonts w:asciiTheme="minorHAnsi" w:hAnsiTheme="minorHAnsi"/>
                <w:sz w:val="18"/>
                <w:lang w:val="en-US"/>
              </w:rPr>
            </w:pPr>
          </w:p>
        </w:tc>
        <w:tc>
          <w:tcPr>
            <w:tcW w:w="709" w:type="dxa"/>
            <w:tcBorders>
              <w:bottom w:val="single" w:sz="4" w:space="0" w:color="000000"/>
            </w:tcBorders>
          </w:tcPr>
          <w:p w:rsidR="001607F0" w:rsidRPr="00337C97" w:rsidRDefault="001607F0" w:rsidP="00A27CED">
            <w:pPr>
              <w:rPr>
                <w:rFonts w:asciiTheme="minorHAnsi" w:hAnsiTheme="minorHAnsi"/>
                <w:sz w:val="18"/>
                <w:lang w:val="en-US"/>
              </w:rPr>
            </w:pPr>
          </w:p>
        </w:tc>
        <w:tc>
          <w:tcPr>
            <w:tcW w:w="1134" w:type="dxa"/>
            <w:tcBorders>
              <w:bottom w:val="single" w:sz="4" w:space="0" w:color="000000"/>
            </w:tcBorders>
          </w:tcPr>
          <w:p w:rsidR="001607F0" w:rsidRPr="00337C97" w:rsidRDefault="001607F0" w:rsidP="00A27CED">
            <w:pPr>
              <w:rPr>
                <w:rFonts w:asciiTheme="minorHAnsi" w:hAnsiTheme="minorHAnsi"/>
                <w:sz w:val="18"/>
                <w:lang w:val="en-US"/>
              </w:rPr>
            </w:pPr>
          </w:p>
        </w:tc>
        <w:tc>
          <w:tcPr>
            <w:tcW w:w="1134" w:type="dxa"/>
            <w:tcBorders>
              <w:bottom w:val="single" w:sz="4" w:space="0" w:color="000000"/>
            </w:tcBorders>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shd w:val="clear" w:color="auto" w:fill="F2F2F2"/>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Qualitative </w:t>
            </w:r>
          </w:p>
        </w:tc>
        <w:tc>
          <w:tcPr>
            <w:tcW w:w="708"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Good </w:t>
            </w:r>
          </w:p>
        </w:tc>
        <w:tc>
          <w:tcPr>
            <w:tcW w:w="567"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Past</w:t>
            </w:r>
          </w:p>
        </w:tc>
        <w:tc>
          <w:tcPr>
            <w:tcW w:w="284" w:type="dxa"/>
            <w:tcBorders>
              <w:top w:val="nil"/>
              <w:left w:val="nil"/>
              <w:bottom w:val="nil"/>
            </w:tcBorders>
            <w:shd w:val="clear" w:color="auto" w:fill="F2F2F2"/>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J</w:t>
            </w:r>
          </w:p>
        </w:tc>
        <w:tc>
          <w:tcPr>
            <w:tcW w:w="709" w:type="dxa"/>
            <w:shd w:val="clear" w:color="auto" w:fill="F2F2F2"/>
          </w:tcPr>
          <w:p w:rsidR="001607F0" w:rsidRPr="00337C97" w:rsidRDefault="001607F0" w:rsidP="00A27CED">
            <w:pPr>
              <w:rPr>
                <w:rFonts w:asciiTheme="minorHAnsi" w:hAnsiTheme="minorHAnsi"/>
                <w:sz w:val="18"/>
                <w:lang w:val="en-US"/>
              </w:rPr>
            </w:pPr>
          </w:p>
        </w:tc>
        <w:tc>
          <w:tcPr>
            <w:tcW w:w="708"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850"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bottom w:val="nil"/>
              <w:right w:val="nil"/>
            </w:tcBorders>
            <w:shd w:val="clear" w:color="auto" w:fill="F2F2F2"/>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Qualitative </w:t>
            </w:r>
          </w:p>
        </w:tc>
        <w:tc>
          <w:tcPr>
            <w:tcW w:w="708"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Bad </w:t>
            </w:r>
          </w:p>
        </w:tc>
        <w:tc>
          <w:tcPr>
            <w:tcW w:w="567" w:type="dxa"/>
            <w:tcBorders>
              <w:top w:val="nil"/>
              <w:left w:val="nil"/>
              <w:bottom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Past</w:t>
            </w:r>
          </w:p>
        </w:tc>
        <w:tc>
          <w:tcPr>
            <w:tcW w:w="284" w:type="dxa"/>
            <w:tcBorders>
              <w:top w:val="nil"/>
              <w:left w:val="nil"/>
              <w:bottom w:val="nil"/>
            </w:tcBorders>
            <w:shd w:val="clear" w:color="auto" w:fill="F2F2F2"/>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K</w:t>
            </w:r>
          </w:p>
        </w:tc>
        <w:tc>
          <w:tcPr>
            <w:tcW w:w="709" w:type="dxa"/>
            <w:shd w:val="clear" w:color="auto" w:fill="F2F2F2"/>
          </w:tcPr>
          <w:p w:rsidR="001607F0" w:rsidRPr="00337C97" w:rsidRDefault="001607F0" w:rsidP="00A27CED">
            <w:pPr>
              <w:rPr>
                <w:rFonts w:asciiTheme="minorHAnsi" w:hAnsiTheme="minorHAnsi"/>
                <w:sz w:val="18"/>
                <w:lang w:val="en-US"/>
              </w:rPr>
            </w:pPr>
          </w:p>
        </w:tc>
        <w:tc>
          <w:tcPr>
            <w:tcW w:w="708"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850"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r>
      <w:tr w:rsidR="001607F0" w:rsidRPr="00337C97" w:rsidTr="001607F0">
        <w:tc>
          <w:tcPr>
            <w:tcW w:w="1101" w:type="dxa"/>
            <w:tcBorders>
              <w:top w:val="nil"/>
              <w:right w:val="nil"/>
            </w:tcBorders>
            <w:shd w:val="clear" w:color="auto" w:fill="F2F2F2"/>
            <w:tcMar>
              <w:left w:w="57"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Qualitative </w:t>
            </w:r>
          </w:p>
        </w:tc>
        <w:tc>
          <w:tcPr>
            <w:tcW w:w="708" w:type="dxa"/>
            <w:tcBorders>
              <w:top w:val="nil"/>
              <w:left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 xml:space="preserve">Neutral </w:t>
            </w:r>
          </w:p>
        </w:tc>
        <w:tc>
          <w:tcPr>
            <w:tcW w:w="567" w:type="dxa"/>
            <w:tcBorders>
              <w:top w:val="nil"/>
              <w:left w:val="nil"/>
              <w:right w:val="nil"/>
            </w:tcBorders>
            <w:shd w:val="clear" w:color="auto" w:fill="F2F2F2"/>
            <w:tcMar>
              <w:left w:w="28" w:type="dxa"/>
              <w:right w:w="28" w:type="dxa"/>
            </w:tcMar>
          </w:tcPr>
          <w:p w:rsidR="001607F0" w:rsidRPr="00337C97" w:rsidRDefault="001607F0" w:rsidP="00A27CED">
            <w:pPr>
              <w:rPr>
                <w:rFonts w:asciiTheme="minorHAnsi" w:hAnsiTheme="minorHAnsi"/>
                <w:sz w:val="18"/>
                <w:lang w:val="en-US"/>
              </w:rPr>
            </w:pPr>
            <w:r w:rsidRPr="00337C97">
              <w:rPr>
                <w:rFonts w:asciiTheme="minorHAnsi" w:hAnsiTheme="minorHAnsi"/>
                <w:sz w:val="18"/>
                <w:lang w:val="en-US"/>
              </w:rPr>
              <w:t>Past</w:t>
            </w:r>
          </w:p>
        </w:tc>
        <w:tc>
          <w:tcPr>
            <w:tcW w:w="284" w:type="dxa"/>
            <w:tcBorders>
              <w:top w:val="nil"/>
              <w:left w:val="nil"/>
            </w:tcBorders>
            <w:shd w:val="clear" w:color="auto" w:fill="F2F2F2"/>
            <w:tcMar>
              <w:left w:w="28" w:type="dxa"/>
              <w:right w:w="28" w:type="dxa"/>
            </w:tcMar>
          </w:tcPr>
          <w:p w:rsidR="001607F0" w:rsidRPr="00337C97" w:rsidRDefault="001607F0" w:rsidP="00A27CED">
            <w:pPr>
              <w:jc w:val="center"/>
              <w:rPr>
                <w:rFonts w:asciiTheme="minorHAnsi" w:hAnsiTheme="minorHAnsi"/>
                <w:b/>
                <w:sz w:val="18"/>
                <w:lang w:val="en-US"/>
              </w:rPr>
            </w:pPr>
            <w:r w:rsidRPr="00337C97">
              <w:rPr>
                <w:rFonts w:asciiTheme="minorHAnsi" w:hAnsiTheme="minorHAnsi"/>
                <w:b/>
                <w:sz w:val="18"/>
                <w:lang w:val="en-US"/>
              </w:rPr>
              <w:t>L</w:t>
            </w:r>
          </w:p>
        </w:tc>
        <w:tc>
          <w:tcPr>
            <w:tcW w:w="709" w:type="dxa"/>
            <w:shd w:val="clear" w:color="auto" w:fill="F2F2F2"/>
          </w:tcPr>
          <w:p w:rsidR="001607F0" w:rsidRPr="00337C97" w:rsidRDefault="001607F0" w:rsidP="00A27CED">
            <w:pPr>
              <w:rPr>
                <w:rFonts w:asciiTheme="minorHAnsi" w:hAnsiTheme="minorHAnsi"/>
                <w:sz w:val="18"/>
                <w:lang w:val="en-US"/>
              </w:rPr>
            </w:pPr>
          </w:p>
        </w:tc>
        <w:tc>
          <w:tcPr>
            <w:tcW w:w="708"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850" w:type="dxa"/>
            <w:shd w:val="clear" w:color="auto" w:fill="F2F2F2"/>
          </w:tcPr>
          <w:p w:rsidR="001607F0" w:rsidRPr="00337C97" w:rsidRDefault="001607F0" w:rsidP="00A27CED">
            <w:pPr>
              <w:rPr>
                <w:rFonts w:asciiTheme="minorHAnsi" w:hAnsiTheme="minorHAnsi"/>
                <w:sz w:val="18"/>
                <w:lang w:val="en-US"/>
              </w:rPr>
            </w:pPr>
          </w:p>
        </w:tc>
        <w:tc>
          <w:tcPr>
            <w:tcW w:w="709"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c>
          <w:tcPr>
            <w:tcW w:w="1134" w:type="dxa"/>
            <w:shd w:val="clear" w:color="auto" w:fill="F2F2F2"/>
          </w:tcPr>
          <w:p w:rsidR="001607F0" w:rsidRPr="00337C97" w:rsidRDefault="001607F0" w:rsidP="00A27CED">
            <w:pPr>
              <w:rPr>
                <w:rFonts w:asciiTheme="minorHAnsi" w:hAnsiTheme="minorHAnsi"/>
                <w:sz w:val="18"/>
                <w:lang w:val="en-US"/>
              </w:rPr>
            </w:pPr>
          </w:p>
        </w:tc>
      </w:tr>
    </w:tbl>
    <w:p w:rsidR="00567B33" w:rsidRPr="00337C97" w:rsidRDefault="00567B33" w:rsidP="00567B33">
      <w:pPr>
        <w:rPr>
          <w:rFonts w:asciiTheme="minorHAnsi" w:hAnsiTheme="minorHAnsi"/>
          <w:lang w:val="en-US"/>
        </w:rPr>
      </w:pPr>
    </w:p>
    <w:p w:rsidR="00567B33" w:rsidRPr="00337C97" w:rsidRDefault="00567B33" w:rsidP="00EF02D4">
      <w:pPr>
        <w:spacing w:line="360" w:lineRule="auto"/>
        <w:rPr>
          <w:rFonts w:asciiTheme="minorHAnsi" w:hAnsiTheme="minorHAnsi" w:cs="Times New Roman"/>
          <w:b/>
          <w:sz w:val="22"/>
          <w:szCs w:val="22"/>
          <w:lang w:val="nl-NL"/>
        </w:rPr>
      </w:pPr>
    </w:p>
    <w:p w:rsidR="00EF02D4" w:rsidRPr="00337C97" w:rsidRDefault="00567B33" w:rsidP="00B12C7B">
      <w:pPr>
        <w:spacing w:line="360" w:lineRule="auto"/>
        <w:outlineLvl w:val="0"/>
        <w:rPr>
          <w:rFonts w:asciiTheme="minorHAnsi" w:hAnsiTheme="minorHAnsi" w:cs="Times New Roman"/>
          <w:b/>
          <w:sz w:val="28"/>
          <w:szCs w:val="28"/>
          <w:lang w:val="en-US"/>
        </w:rPr>
      </w:pPr>
      <w:r w:rsidRPr="00337C97">
        <w:rPr>
          <w:rFonts w:asciiTheme="minorHAnsi" w:hAnsiTheme="minorHAnsi" w:cs="Times New Roman"/>
          <w:b/>
          <w:sz w:val="22"/>
          <w:szCs w:val="22"/>
          <w:lang w:val="en-US"/>
        </w:rPr>
        <w:br w:type="page"/>
      </w:r>
      <w:bookmarkStart w:id="315" w:name="_Toc269658989"/>
      <w:r w:rsidR="00D447E6" w:rsidRPr="00337C97">
        <w:rPr>
          <w:rFonts w:asciiTheme="minorHAnsi" w:hAnsiTheme="minorHAnsi" w:cs="Times New Roman"/>
          <w:b/>
          <w:sz w:val="28"/>
          <w:szCs w:val="28"/>
          <w:lang w:val="en-US"/>
        </w:rPr>
        <w:lastRenderedPageBreak/>
        <w:t>Appendix F</w:t>
      </w:r>
      <w:bookmarkEnd w:id="315"/>
    </w:p>
    <w:p w:rsidR="00EF02D4" w:rsidRPr="00337C97" w:rsidRDefault="00EF02D4" w:rsidP="00EF02D4">
      <w:pPr>
        <w:spacing w:line="360" w:lineRule="auto"/>
        <w:rPr>
          <w:rFonts w:asciiTheme="minorHAnsi" w:hAnsiTheme="minorHAnsi" w:cs="Times New Roman"/>
          <w:sz w:val="22"/>
          <w:szCs w:val="22"/>
          <w:lang w:val="en-US"/>
        </w:rPr>
      </w:pPr>
    </w:p>
    <w:p w:rsidR="00EF02D4" w:rsidRPr="00337C97" w:rsidRDefault="000D4B03" w:rsidP="00EF02D4">
      <w:pPr>
        <w:spacing w:line="360" w:lineRule="auto"/>
        <w:rPr>
          <w:rFonts w:asciiTheme="minorHAnsi" w:hAnsiTheme="minorHAnsi"/>
          <w:sz w:val="22"/>
          <w:lang w:val="en-US"/>
        </w:rPr>
      </w:pPr>
      <w:r w:rsidRPr="00337C97">
        <w:rPr>
          <w:rFonts w:asciiTheme="minorHAnsi" w:hAnsiTheme="minorHAnsi" w:cs="Times New Roman"/>
          <w:sz w:val="22"/>
          <w:szCs w:val="22"/>
          <w:lang w:val="en-US"/>
        </w:rPr>
        <w:t xml:space="preserve">Based upon </w:t>
      </w:r>
      <w:r w:rsidR="00EF02D4" w:rsidRPr="00337C97">
        <w:rPr>
          <w:rFonts w:asciiTheme="minorHAnsi" w:hAnsiTheme="minorHAnsi" w:cs="Times New Roman"/>
          <w:sz w:val="22"/>
          <w:szCs w:val="22"/>
          <w:lang w:val="en-US"/>
        </w:rPr>
        <w:t>Linsley et al.</w:t>
      </w:r>
      <w:r w:rsidRPr="00337C97">
        <w:rPr>
          <w:rFonts w:asciiTheme="minorHAnsi" w:hAnsiTheme="minorHAnsi" w:cs="Times New Roman"/>
          <w:sz w:val="22"/>
          <w:szCs w:val="22"/>
          <w:lang w:val="en-US"/>
        </w:rPr>
        <w:t xml:space="preserve"> (2006) </w:t>
      </w:r>
      <w:r w:rsidR="00EF02D4" w:rsidRPr="00337C97">
        <w:rPr>
          <w:rFonts w:asciiTheme="minorHAnsi" w:hAnsiTheme="minorHAnsi" w:cs="Times New Roman"/>
          <w:sz w:val="22"/>
          <w:szCs w:val="22"/>
          <w:lang w:val="en-US"/>
        </w:rPr>
        <w:t>and Amran</w:t>
      </w:r>
      <w:r w:rsidR="00EF02D4" w:rsidRPr="00337C97">
        <w:rPr>
          <w:rFonts w:asciiTheme="minorHAnsi" w:hAnsiTheme="minorHAnsi"/>
          <w:sz w:val="22"/>
          <w:lang w:val="en-US"/>
        </w:rPr>
        <w:t xml:space="preserve"> et al. </w:t>
      </w:r>
      <w:r w:rsidRPr="00337C97">
        <w:rPr>
          <w:rFonts w:asciiTheme="minorHAnsi" w:hAnsiTheme="minorHAnsi"/>
          <w:sz w:val="22"/>
          <w:lang w:val="en-US"/>
        </w:rPr>
        <w:t>(</w:t>
      </w:r>
      <w:r w:rsidR="00EF02D4" w:rsidRPr="00337C97">
        <w:rPr>
          <w:rFonts w:asciiTheme="minorHAnsi" w:hAnsiTheme="minorHAnsi"/>
          <w:sz w:val="22"/>
          <w:lang w:val="en-US"/>
        </w:rPr>
        <w:t>2009</w:t>
      </w:r>
      <w:r w:rsidRPr="00337C97">
        <w:rPr>
          <w:rFonts w:asciiTheme="minorHAnsi" w:hAnsiTheme="minorHAnsi"/>
          <w:sz w:val="22"/>
          <w:lang w:val="en-US"/>
        </w:rPr>
        <w:t>)</w:t>
      </w:r>
    </w:p>
    <w:p w:rsidR="00EF02D4" w:rsidRPr="00337C97" w:rsidRDefault="00EF02D4" w:rsidP="00EF02D4">
      <w:pPr>
        <w:spacing w:line="360" w:lineRule="auto"/>
        <w:rPr>
          <w:rFonts w:asciiTheme="minorHAnsi" w:hAnsiTheme="minorHAnsi"/>
          <w:sz w:val="22"/>
          <w:lang w:val="en-US"/>
        </w:rPr>
      </w:pPr>
    </w:p>
    <w:p w:rsidR="00EF02D4" w:rsidRPr="00337C97" w:rsidRDefault="00EF02D4" w:rsidP="00EF02D4">
      <w:pPr>
        <w:spacing w:line="360" w:lineRule="auto"/>
        <w:rPr>
          <w:rFonts w:asciiTheme="minorHAnsi" w:hAnsiTheme="minorHAnsi"/>
          <w:sz w:val="22"/>
          <w:lang w:val="en-US"/>
        </w:rPr>
      </w:pPr>
      <w:r w:rsidRPr="00337C97">
        <w:rPr>
          <w:rFonts w:asciiTheme="minorHAnsi" w:hAnsiTheme="minorHAnsi"/>
          <w:sz w:val="22"/>
          <w:lang w:val="en-US"/>
        </w:rPr>
        <w:t xml:space="preserve">Decision rules for </w:t>
      </w:r>
      <w:r w:rsidR="002D64C1" w:rsidRPr="00337C97">
        <w:rPr>
          <w:rFonts w:asciiTheme="minorHAnsi" w:hAnsiTheme="minorHAnsi"/>
          <w:sz w:val="22"/>
          <w:lang w:val="en-US"/>
        </w:rPr>
        <w:t xml:space="preserve">coding </w:t>
      </w:r>
      <w:r w:rsidRPr="00337C97">
        <w:rPr>
          <w:rFonts w:asciiTheme="minorHAnsi" w:hAnsiTheme="minorHAnsi"/>
          <w:sz w:val="22"/>
          <w:lang w:val="en-US"/>
        </w:rPr>
        <w:t>risk disclosures</w:t>
      </w:r>
    </w:p>
    <w:p w:rsidR="00EF02D4" w:rsidRPr="00337C97" w:rsidRDefault="00EF02D4" w:rsidP="00EF02D4">
      <w:pPr>
        <w:spacing w:line="360" w:lineRule="auto"/>
        <w:rPr>
          <w:rFonts w:asciiTheme="minorHAnsi" w:hAnsiTheme="minorHAnsi"/>
          <w:sz w:val="22"/>
          <w:lang w:val="en-US"/>
        </w:rPr>
      </w:pP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To identify risk disclosures, a broad definition of risk is adopted as explained below.</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 xml:space="preserve">Sentences are to be coded as risk disclosures if the reader is informed of any opportunity or prospect, or of any hazard, danger, harm, threat or exposure, that has </w:t>
      </w:r>
      <w:r w:rsidRPr="00337C97">
        <w:rPr>
          <w:rFonts w:asciiTheme="minorHAnsi" w:hAnsiTheme="minorHAnsi"/>
          <w:sz w:val="22"/>
          <w:u w:val="single"/>
          <w:lang w:val="en-US"/>
        </w:rPr>
        <w:t>already</w:t>
      </w:r>
      <w:r w:rsidRPr="00337C97">
        <w:rPr>
          <w:rFonts w:asciiTheme="minorHAnsi" w:hAnsiTheme="minorHAnsi"/>
          <w:sz w:val="22"/>
          <w:lang w:val="en-US"/>
        </w:rPr>
        <w:t xml:space="preserve"> impacted upon the company, or </w:t>
      </w:r>
      <w:r w:rsidRPr="00337C97">
        <w:rPr>
          <w:rFonts w:asciiTheme="minorHAnsi" w:hAnsiTheme="minorHAnsi"/>
          <w:sz w:val="22"/>
          <w:u w:val="single"/>
          <w:lang w:val="en-US"/>
        </w:rPr>
        <w:t>may</w:t>
      </w:r>
      <w:r w:rsidRPr="00337C97">
        <w:rPr>
          <w:rFonts w:asciiTheme="minorHAnsi" w:hAnsiTheme="minorHAnsi"/>
          <w:sz w:val="22"/>
          <w:lang w:val="en-US"/>
        </w:rPr>
        <w:t xml:space="preserve"> impact upon the company in the future or of the </w:t>
      </w:r>
      <w:r w:rsidRPr="00337C97">
        <w:rPr>
          <w:rFonts w:asciiTheme="minorHAnsi" w:hAnsiTheme="minorHAnsi"/>
          <w:sz w:val="22"/>
          <w:u w:val="single"/>
          <w:lang w:val="en-US"/>
        </w:rPr>
        <w:t>management</w:t>
      </w:r>
      <w:r w:rsidRPr="00337C97">
        <w:rPr>
          <w:rFonts w:asciiTheme="minorHAnsi" w:hAnsiTheme="minorHAnsi"/>
          <w:sz w:val="22"/>
          <w:lang w:val="en-US"/>
        </w:rPr>
        <w:t xml:space="preserve"> of any such opportunity, prospect, hazard, harm, threat or exposure.</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The risk definition just stated shall be interpreted such that “good” or “bad” “risk” and uncertainties will be deemed to be contained within the definition.</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The type of risk disclosure shall be classified according to</w:t>
      </w:r>
      <w:r w:rsidR="00D447E6" w:rsidRPr="00337C97">
        <w:rPr>
          <w:rFonts w:asciiTheme="minorHAnsi" w:hAnsiTheme="minorHAnsi"/>
          <w:sz w:val="22"/>
          <w:lang w:val="en-US"/>
        </w:rPr>
        <w:t xml:space="preserve"> appendix E</w:t>
      </w:r>
      <w:r w:rsidRPr="00337C97">
        <w:rPr>
          <w:rFonts w:asciiTheme="minorHAnsi" w:hAnsiTheme="minorHAnsi"/>
          <w:sz w:val="22"/>
          <w:lang w:val="en-US"/>
        </w:rPr>
        <w:t>.</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If a sentence has more than one possible classification, the information will be classified into the category that is most emphasized within the sentences.</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Tables (quantitative and qualitative) that provide risk information should be interpreted as one line equals one sentence and classified accordingly.</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 xml:space="preserve">Any disclosure that is repeated shall be recorded as a risk disclosure sentence </w:t>
      </w:r>
      <w:r w:rsidR="007E69BD" w:rsidRPr="00337C97">
        <w:rPr>
          <w:rFonts w:asciiTheme="minorHAnsi" w:hAnsiTheme="minorHAnsi"/>
          <w:sz w:val="22"/>
          <w:lang w:val="en-US"/>
        </w:rPr>
        <w:t>only when new information is revealed</w:t>
      </w:r>
      <w:r w:rsidR="00CE606A" w:rsidRPr="00337C97">
        <w:rPr>
          <w:rFonts w:asciiTheme="minorHAnsi" w:hAnsiTheme="minorHAnsi"/>
          <w:sz w:val="22"/>
          <w:lang w:val="en-US"/>
        </w:rPr>
        <w:t xml:space="preserve"> or discussed.</w:t>
      </w:r>
    </w:p>
    <w:p w:rsidR="00EF02D4" w:rsidRPr="00337C97" w:rsidRDefault="00EF02D4" w:rsidP="00EF02D4">
      <w:pPr>
        <w:numPr>
          <w:ilvl w:val="0"/>
          <w:numId w:val="21"/>
        </w:numPr>
        <w:overflowPunct w:val="0"/>
        <w:autoSpaceDE w:val="0"/>
        <w:autoSpaceDN w:val="0"/>
        <w:adjustRightInd w:val="0"/>
        <w:spacing w:line="360" w:lineRule="auto"/>
        <w:jc w:val="both"/>
        <w:textAlignment w:val="baseline"/>
        <w:rPr>
          <w:rFonts w:asciiTheme="minorHAnsi" w:hAnsiTheme="minorHAnsi"/>
          <w:sz w:val="22"/>
          <w:lang w:val="en-US"/>
        </w:rPr>
      </w:pPr>
      <w:r w:rsidRPr="00337C97">
        <w:rPr>
          <w:rFonts w:asciiTheme="minorHAnsi" w:hAnsiTheme="minorHAnsi"/>
          <w:sz w:val="22"/>
          <w:lang w:val="en-US"/>
        </w:rPr>
        <w:t>If a disclosure is too vague in its reference to risk, then it shall not be recorded as risk disclosure.</w:t>
      </w:r>
    </w:p>
    <w:p w:rsidR="00EF02D4" w:rsidRPr="00337C97" w:rsidRDefault="00EF02D4" w:rsidP="00B12C7B">
      <w:pPr>
        <w:spacing w:line="360" w:lineRule="auto"/>
        <w:outlineLvl w:val="0"/>
        <w:rPr>
          <w:rFonts w:asciiTheme="minorHAnsi" w:hAnsiTheme="minorHAnsi" w:cs="Times New Roman"/>
          <w:b/>
          <w:sz w:val="22"/>
          <w:lang w:val="en-US"/>
        </w:rPr>
      </w:pPr>
      <w:r w:rsidRPr="00337C97">
        <w:rPr>
          <w:rFonts w:asciiTheme="minorHAnsi" w:hAnsiTheme="minorHAnsi" w:cs="Times New Roman"/>
          <w:sz w:val="22"/>
          <w:szCs w:val="22"/>
          <w:lang w:val="en-US"/>
        </w:rPr>
        <w:br w:type="page"/>
      </w:r>
      <w:bookmarkStart w:id="316" w:name="_Toc269658990"/>
      <w:r w:rsidR="00FE1223" w:rsidRPr="00337C97">
        <w:rPr>
          <w:rFonts w:asciiTheme="minorHAnsi" w:hAnsiTheme="minorHAnsi" w:cs="Times New Roman"/>
          <w:b/>
          <w:sz w:val="28"/>
          <w:lang w:val="en-US"/>
        </w:rPr>
        <w:lastRenderedPageBreak/>
        <w:t>Appendix</w:t>
      </w:r>
      <w:r w:rsidR="00FE1223" w:rsidRPr="00584B07">
        <w:rPr>
          <w:rFonts w:asciiTheme="minorHAnsi" w:hAnsiTheme="minorHAnsi" w:cs="Times New Roman"/>
          <w:b/>
          <w:sz w:val="28"/>
          <w:szCs w:val="28"/>
          <w:lang w:val="en-US"/>
        </w:rPr>
        <w:t xml:space="preserve"> G</w:t>
      </w:r>
      <w:bookmarkEnd w:id="316"/>
    </w:p>
    <w:p w:rsidR="00EF02D4" w:rsidRPr="00337C97" w:rsidRDefault="00EF02D4" w:rsidP="00EF02D4">
      <w:pPr>
        <w:spacing w:line="360" w:lineRule="auto"/>
        <w:rPr>
          <w:rFonts w:asciiTheme="minorHAnsi" w:hAnsiTheme="minorHAnsi" w:cs="Times New Roman"/>
          <w:sz w:val="22"/>
          <w:szCs w:val="22"/>
          <w:lang w:val="en-US"/>
        </w:rPr>
      </w:pPr>
    </w:p>
    <w:p w:rsidR="006C3F6F" w:rsidRPr="00337C97" w:rsidRDefault="006C3F6F" w:rsidP="00EF02D4">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Examples of risk disclosure in the sampled banks’ annual reports</w:t>
      </w:r>
      <w:r w:rsidR="00584B07">
        <w:rPr>
          <w:rFonts w:asciiTheme="minorHAnsi" w:hAnsiTheme="minorHAnsi" w:cs="Times New Roman"/>
          <w:sz w:val="22"/>
          <w:szCs w:val="22"/>
          <w:lang w:val="en-US"/>
        </w:rPr>
        <w:t>:</w:t>
      </w:r>
    </w:p>
    <w:p w:rsidR="006C3F6F" w:rsidRPr="00337C97" w:rsidRDefault="006C3F6F" w:rsidP="00EF02D4">
      <w:pPr>
        <w:spacing w:line="360" w:lineRule="auto"/>
        <w:rPr>
          <w:rFonts w:asciiTheme="minorHAnsi" w:hAnsiTheme="minorHAnsi" w:cs="Times New Roman"/>
          <w:sz w:val="22"/>
          <w:szCs w:val="22"/>
          <w:lang w:val="en-US"/>
        </w:rPr>
      </w:pPr>
    </w:p>
    <w:p w:rsidR="00FE1223" w:rsidRPr="00337C97" w:rsidRDefault="00FE1223" w:rsidP="00EF02D4">
      <w:pPr>
        <w:spacing w:line="360" w:lineRule="auto"/>
        <w:rPr>
          <w:rFonts w:asciiTheme="minorHAnsi" w:hAnsiTheme="minorHAnsi" w:cs="Times New Roman"/>
          <w:i/>
          <w:sz w:val="22"/>
          <w:szCs w:val="22"/>
          <w:lang w:val="en-US"/>
        </w:rPr>
      </w:pPr>
      <w:r w:rsidRPr="00337C97">
        <w:rPr>
          <w:rFonts w:asciiTheme="minorHAnsi" w:hAnsiTheme="minorHAnsi" w:cs="Times New Roman"/>
          <w:sz w:val="22"/>
          <w:szCs w:val="22"/>
          <w:lang w:val="en-US"/>
        </w:rPr>
        <w:t>Commerzbank, Germany, p. 99</w:t>
      </w:r>
      <w:r w:rsidR="006C3F6F" w:rsidRPr="00337C97">
        <w:rPr>
          <w:rFonts w:asciiTheme="minorHAnsi" w:hAnsiTheme="minorHAnsi" w:cs="Times New Roman"/>
          <w:sz w:val="22"/>
          <w:szCs w:val="22"/>
          <w:lang w:val="en-US"/>
        </w:rPr>
        <w:t>:</w:t>
      </w:r>
      <w:r w:rsidR="00584B07">
        <w:rPr>
          <w:rFonts w:asciiTheme="minorHAnsi" w:hAnsiTheme="minorHAnsi" w:cs="Times New Roman"/>
          <w:sz w:val="22"/>
          <w:szCs w:val="22"/>
          <w:lang w:val="en-US"/>
        </w:rPr>
        <w:t xml:space="preserve"> </w:t>
      </w:r>
      <w:r w:rsidRPr="00337C97">
        <w:rPr>
          <w:rFonts w:asciiTheme="minorHAnsi" w:hAnsiTheme="minorHAnsi" w:cs="Times New Roman"/>
          <w:i/>
          <w:sz w:val="22"/>
          <w:szCs w:val="22"/>
          <w:lang w:val="en-US"/>
        </w:rPr>
        <w:t xml:space="preserve">“Commerzbank has been able to respond quickly and strategically to changing market situations using the liquidity risk measurement and control method that was developed </w:t>
      </w:r>
      <w:r w:rsidR="006C3F6F" w:rsidRPr="00337C97">
        <w:rPr>
          <w:rFonts w:asciiTheme="minorHAnsi" w:hAnsiTheme="minorHAnsi" w:cs="Times New Roman"/>
          <w:i/>
          <w:sz w:val="22"/>
          <w:szCs w:val="22"/>
          <w:lang w:val="en-US"/>
        </w:rPr>
        <w:t>and established internally years ago – the available net liquidity (ANL) concept.”</w:t>
      </w:r>
    </w:p>
    <w:p w:rsidR="00FE1223" w:rsidRPr="00337C97" w:rsidRDefault="006C3F6F" w:rsidP="00EF02D4">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Coded as </w:t>
      </w:r>
      <w:r w:rsidRPr="00337C97">
        <w:rPr>
          <w:rFonts w:asciiTheme="minorHAnsi" w:hAnsiTheme="minorHAnsi" w:cs="Times New Roman"/>
          <w:b/>
          <w:sz w:val="22"/>
          <w:szCs w:val="22"/>
          <w:lang w:val="en-US"/>
        </w:rPr>
        <w:t xml:space="preserve">J3 </w:t>
      </w:r>
      <w:r w:rsidRPr="00337C97">
        <w:rPr>
          <w:rFonts w:asciiTheme="minorHAnsi" w:hAnsiTheme="minorHAnsi" w:cs="Times New Roman"/>
          <w:sz w:val="22"/>
          <w:szCs w:val="22"/>
          <w:lang w:val="en-US"/>
        </w:rPr>
        <w:t>in the coding grid: liquidity risk, good news, qualitative and referring to the past.</w:t>
      </w:r>
    </w:p>
    <w:p w:rsidR="006C3F6F" w:rsidRPr="00337C97" w:rsidRDefault="006C3F6F" w:rsidP="00EF02D4">
      <w:pPr>
        <w:spacing w:line="360" w:lineRule="auto"/>
        <w:rPr>
          <w:rFonts w:asciiTheme="minorHAnsi" w:hAnsiTheme="minorHAnsi" w:cs="Times New Roman"/>
          <w:sz w:val="22"/>
          <w:szCs w:val="22"/>
          <w:lang w:val="en-US"/>
        </w:rPr>
      </w:pPr>
    </w:p>
    <w:p w:rsidR="006C3F6F" w:rsidRPr="00337C97" w:rsidRDefault="006C3F6F" w:rsidP="00EF02D4">
      <w:pPr>
        <w:spacing w:line="360" w:lineRule="auto"/>
        <w:rPr>
          <w:rFonts w:asciiTheme="minorHAnsi" w:hAnsiTheme="minorHAnsi" w:cs="Times New Roman"/>
          <w:i/>
          <w:sz w:val="22"/>
          <w:szCs w:val="22"/>
          <w:lang w:val="en-US"/>
        </w:rPr>
      </w:pPr>
      <w:r w:rsidRPr="00337C97">
        <w:rPr>
          <w:rFonts w:asciiTheme="minorHAnsi" w:hAnsiTheme="minorHAnsi" w:cs="Times New Roman"/>
          <w:sz w:val="22"/>
          <w:szCs w:val="22"/>
          <w:lang w:val="en-US"/>
        </w:rPr>
        <w:t>FIMBank, Malta, p. 51:</w:t>
      </w:r>
      <w:r w:rsidR="00584B07">
        <w:rPr>
          <w:rFonts w:asciiTheme="minorHAnsi" w:hAnsiTheme="minorHAnsi" w:cs="Times New Roman"/>
          <w:sz w:val="22"/>
          <w:szCs w:val="22"/>
          <w:lang w:val="en-US"/>
        </w:rPr>
        <w:t xml:space="preserve"> </w:t>
      </w:r>
      <w:r w:rsidRPr="00337C97">
        <w:rPr>
          <w:rFonts w:asciiTheme="minorHAnsi" w:hAnsiTheme="minorHAnsi" w:cs="Times New Roman"/>
          <w:i/>
          <w:sz w:val="22"/>
          <w:szCs w:val="22"/>
          <w:lang w:val="en-US"/>
        </w:rPr>
        <w:t>“As the Group carries out activities with counter-parties in emerging markets, there are certain risk factors which are particular to such activities and which require careful consideration by prospective investors since they are not usually associated with activities in more developed markets.”</w:t>
      </w:r>
    </w:p>
    <w:p w:rsidR="00EF02D4" w:rsidRPr="00337C97" w:rsidRDefault="006C3F6F" w:rsidP="00D449CA">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Coded as </w:t>
      </w:r>
      <w:r w:rsidR="00D449CA" w:rsidRPr="00337C97">
        <w:rPr>
          <w:rFonts w:asciiTheme="minorHAnsi" w:hAnsiTheme="minorHAnsi" w:cs="Times New Roman"/>
          <w:b/>
          <w:sz w:val="22"/>
          <w:szCs w:val="22"/>
          <w:lang w:val="en-US"/>
        </w:rPr>
        <w:t>F2</w:t>
      </w:r>
      <w:r w:rsidR="00D449CA" w:rsidRPr="00337C97">
        <w:rPr>
          <w:rFonts w:asciiTheme="minorHAnsi" w:hAnsiTheme="minorHAnsi" w:cs="Times New Roman"/>
          <w:sz w:val="22"/>
          <w:szCs w:val="22"/>
          <w:lang w:val="en-US"/>
        </w:rPr>
        <w:t xml:space="preserve"> in the coding grid. Counterparty</w:t>
      </w:r>
      <w:r w:rsidR="00B1001A" w:rsidRPr="00337C97">
        <w:rPr>
          <w:rFonts w:asciiTheme="minorHAnsi" w:hAnsiTheme="minorHAnsi" w:cs="Times New Roman"/>
          <w:sz w:val="22"/>
          <w:szCs w:val="22"/>
          <w:lang w:val="en-US"/>
        </w:rPr>
        <w:t xml:space="preserve"> risk</w:t>
      </w:r>
      <w:r w:rsidR="00D449CA" w:rsidRPr="00337C97">
        <w:rPr>
          <w:rFonts w:asciiTheme="minorHAnsi" w:hAnsiTheme="minorHAnsi" w:cs="Times New Roman"/>
          <w:sz w:val="22"/>
          <w:szCs w:val="22"/>
          <w:lang w:val="en-US"/>
        </w:rPr>
        <w:t xml:space="preserve"> is subcategorized under credit risk, it is neutral news and refers to current practices that are in place and will be, and as such characterized as future news.</w:t>
      </w:r>
    </w:p>
    <w:p w:rsidR="00D449CA" w:rsidRPr="00337C97" w:rsidRDefault="00D449CA" w:rsidP="00D449CA">
      <w:pPr>
        <w:spacing w:line="360" w:lineRule="auto"/>
        <w:rPr>
          <w:rFonts w:asciiTheme="minorHAnsi" w:hAnsiTheme="minorHAnsi" w:cs="Times New Roman"/>
          <w:sz w:val="22"/>
          <w:szCs w:val="22"/>
          <w:lang w:val="en-US"/>
        </w:rPr>
      </w:pPr>
    </w:p>
    <w:p w:rsidR="00D449CA" w:rsidRPr="00337C97" w:rsidRDefault="00D449CA" w:rsidP="00D449CA">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Barclays, United Kingdom, p. 81:</w:t>
      </w:r>
      <w:r w:rsidR="00584B07">
        <w:rPr>
          <w:rFonts w:asciiTheme="minorHAnsi" w:hAnsiTheme="minorHAnsi" w:cs="Times New Roman"/>
          <w:sz w:val="22"/>
          <w:szCs w:val="22"/>
          <w:lang w:val="en-US"/>
        </w:rPr>
        <w:t xml:space="preserve"> </w:t>
      </w:r>
      <w:r w:rsidRPr="00337C97">
        <w:rPr>
          <w:rFonts w:asciiTheme="minorHAnsi" w:hAnsiTheme="minorHAnsi" w:cs="Times New Roman"/>
          <w:i/>
          <w:sz w:val="22"/>
          <w:szCs w:val="22"/>
          <w:lang w:val="en-US"/>
        </w:rPr>
        <w:t>“Barclays Capital’s market risk exposure, as measured by average total Daily Value at Risk (DVaR), increased to an average of £42m in 2007.”</w:t>
      </w:r>
    </w:p>
    <w:p w:rsidR="00C127F7" w:rsidRPr="00337C97" w:rsidRDefault="00D449CA" w:rsidP="00567B33">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Coded as </w:t>
      </w:r>
      <w:r w:rsidRPr="00337C97">
        <w:rPr>
          <w:rFonts w:asciiTheme="minorHAnsi" w:hAnsiTheme="minorHAnsi" w:cs="Times New Roman"/>
          <w:b/>
          <w:sz w:val="22"/>
          <w:szCs w:val="22"/>
          <w:lang w:val="en-US"/>
        </w:rPr>
        <w:t>H1</w:t>
      </w:r>
      <w:r w:rsidRPr="00337C97">
        <w:rPr>
          <w:rFonts w:asciiTheme="minorHAnsi" w:hAnsiTheme="minorHAnsi" w:cs="Times New Roman"/>
          <w:sz w:val="22"/>
          <w:szCs w:val="22"/>
          <w:lang w:val="en-US"/>
        </w:rPr>
        <w:t xml:space="preserve"> in the coding grid. Market risk, quantitative, refers to the past and can be interpreted as bad news, taking the context into consideration.</w:t>
      </w:r>
    </w:p>
    <w:p w:rsidR="00C127F7" w:rsidRPr="00337C97" w:rsidRDefault="00C127F7" w:rsidP="00567B33">
      <w:pPr>
        <w:spacing w:line="360" w:lineRule="auto"/>
        <w:rPr>
          <w:rFonts w:asciiTheme="minorHAnsi" w:hAnsiTheme="minorHAnsi" w:cs="Times New Roman"/>
          <w:sz w:val="22"/>
          <w:szCs w:val="22"/>
          <w:lang w:val="en-US"/>
        </w:rPr>
      </w:pPr>
    </w:p>
    <w:p w:rsidR="00667AC0" w:rsidRPr="00337C97" w:rsidRDefault="00667AC0" w:rsidP="00567B33">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ING, Netherlands, p. 83:</w:t>
      </w:r>
      <w:r w:rsidR="00584B07">
        <w:rPr>
          <w:rFonts w:asciiTheme="minorHAnsi" w:hAnsiTheme="minorHAnsi" w:cs="Times New Roman"/>
          <w:sz w:val="22"/>
          <w:szCs w:val="22"/>
          <w:lang w:val="en-US"/>
        </w:rPr>
        <w:t xml:space="preserve"> </w:t>
      </w:r>
      <w:r w:rsidRPr="00337C97">
        <w:rPr>
          <w:rFonts w:asciiTheme="minorHAnsi" w:hAnsiTheme="minorHAnsi" w:cs="Times New Roman"/>
          <w:i/>
          <w:sz w:val="22"/>
          <w:szCs w:val="22"/>
          <w:lang w:val="en-US"/>
        </w:rPr>
        <w:t>“ING Bank has a framework of risk management policies, procedures and standards in place to create consistency throughout the organization, and to define minimum requirements that are binding on all business units.”</w:t>
      </w:r>
    </w:p>
    <w:p w:rsidR="00B1001A" w:rsidRPr="00337C97" w:rsidRDefault="00667AC0" w:rsidP="00567B33">
      <w:pPr>
        <w:spacing w:line="360" w:lineRule="auto"/>
        <w:rPr>
          <w:rFonts w:asciiTheme="minorHAnsi" w:hAnsiTheme="minorHAnsi" w:cs="Times New Roman"/>
          <w:sz w:val="22"/>
          <w:szCs w:val="22"/>
          <w:lang w:val="en-US"/>
        </w:rPr>
      </w:pPr>
      <w:r w:rsidRPr="00337C97">
        <w:rPr>
          <w:rFonts w:asciiTheme="minorHAnsi" w:hAnsiTheme="minorHAnsi" w:cs="Times New Roman"/>
          <w:sz w:val="22"/>
          <w:szCs w:val="22"/>
          <w:lang w:val="en-US"/>
        </w:rPr>
        <w:t xml:space="preserve">Coded as </w:t>
      </w:r>
      <w:r w:rsidRPr="00337C97">
        <w:rPr>
          <w:rFonts w:asciiTheme="minorHAnsi" w:hAnsiTheme="minorHAnsi" w:cs="Times New Roman"/>
          <w:b/>
          <w:sz w:val="22"/>
          <w:szCs w:val="22"/>
          <w:lang w:val="en-US"/>
        </w:rPr>
        <w:t>F8</w:t>
      </w:r>
      <w:r w:rsidRPr="00337C97">
        <w:rPr>
          <w:rFonts w:asciiTheme="minorHAnsi" w:hAnsiTheme="minorHAnsi" w:cs="Times New Roman"/>
          <w:sz w:val="22"/>
          <w:szCs w:val="22"/>
          <w:lang w:val="en-US"/>
        </w:rPr>
        <w:t xml:space="preserve"> in the coding grid. Disclosure about risk management policies, currently in place, neutral and qualitative of nature.</w:t>
      </w:r>
    </w:p>
    <w:p w:rsidR="00B1001A" w:rsidRPr="00337C97" w:rsidRDefault="00B1001A" w:rsidP="00567B33">
      <w:pPr>
        <w:spacing w:line="360" w:lineRule="auto"/>
        <w:rPr>
          <w:rFonts w:asciiTheme="minorHAnsi" w:hAnsiTheme="minorHAnsi" w:cs="Times New Roman"/>
          <w:sz w:val="22"/>
          <w:szCs w:val="22"/>
          <w:lang w:val="en-US"/>
        </w:rPr>
      </w:pPr>
    </w:p>
    <w:p w:rsidR="001B6C8F" w:rsidRPr="00337C97" w:rsidRDefault="001B6C8F" w:rsidP="00567B33">
      <w:pPr>
        <w:spacing w:line="360" w:lineRule="auto"/>
        <w:rPr>
          <w:rFonts w:asciiTheme="minorHAnsi" w:hAnsiTheme="minorHAnsi" w:cs="Times New Roman"/>
          <w:i/>
          <w:sz w:val="22"/>
          <w:szCs w:val="22"/>
          <w:lang w:val="en-US"/>
        </w:rPr>
      </w:pPr>
      <w:r w:rsidRPr="00337C97">
        <w:rPr>
          <w:rFonts w:asciiTheme="minorHAnsi" w:hAnsiTheme="minorHAnsi" w:cs="Times New Roman"/>
          <w:sz w:val="22"/>
          <w:szCs w:val="22"/>
          <w:lang w:val="en-US"/>
        </w:rPr>
        <w:t>Svenska Handelsbanken, Sweden,  p. 54:</w:t>
      </w:r>
      <w:r w:rsidR="00584B07">
        <w:rPr>
          <w:rFonts w:asciiTheme="minorHAnsi" w:hAnsiTheme="minorHAnsi" w:cs="Times New Roman"/>
          <w:sz w:val="22"/>
          <w:szCs w:val="22"/>
          <w:lang w:val="en-US"/>
        </w:rPr>
        <w:t xml:space="preserve"> </w:t>
      </w:r>
      <w:r w:rsidRPr="00337C97">
        <w:rPr>
          <w:rFonts w:asciiTheme="minorHAnsi" w:hAnsiTheme="minorHAnsi" w:cs="Times New Roman"/>
          <w:i/>
          <w:sz w:val="22"/>
          <w:szCs w:val="22"/>
          <w:lang w:val="en-US"/>
        </w:rPr>
        <w:t>“The economic capital model which is a component in this, is designed to ensure that the Group has sufficient capital in relation to all its risks at any point in time.”</w:t>
      </w:r>
    </w:p>
    <w:p w:rsidR="00A63FAE" w:rsidRPr="00337C97" w:rsidRDefault="001B6C8F" w:rsidP="001B6C8F">
      <w:pPr>
        <w:spacing w:line="360" w:lineRule="auto"/>
        <w:rPr>
          <w:rFonts w:asciiTheme="minorHAnsi" w:hAnsiTheme="minorHAnsi"/>
          <w:sz w:val="22"/>
          <w:szCs w:val="22"/>
          <w:lang w:val="en-US"/>
        </w:rPr>
      </w:pPr>
      <w:r w:rsidRPr="00337C97">
        <w:rPr>
          <w:rFonts w:asciiTheme="minorHAnsi" w:hAnsiTheme="minorHAnsi"/>
          <w:sz w:val="22"/>
          <w:szCs w:val="22"/>
          <w:lang w:val="en-US"/>
        </w:rPr>
        <w:t xml:space="preserve">Coded as </w:t>
      </w:r>
      <w:r w:rsidRPr="00337C97">
        <w:rPr>
          <w:rFonts w:asciiTheme="minorHAnsi" w:hAnsiTheme="minorHAnsi"/>
          <w:b/>
          <w:sz w:val="22"/>
          <w:szCs w:val="22"/>
          <w:lang w:val="en-US"/>
        </w:rPr>
        <w:t>F7</w:t>
      </w:r>
      <w:r w:rsidRPr="00337C97">
        <w:rPr>
          <w:rFonts w:asciiTheme="minorHAnsi" w:hAnsiTheme="minorHAnsi"/>
          <w:sz w:val="22"/>
          <w:szCs w:val="22"/>
          <w:lang w:val="en-US"/>
        </w:rPr>
        <w:t xml:space="preserve"> in the coding grid. Capital structure and  adequacy risk, qualitative, and future information.</w:t>
      </w:r>
    </w:p>
    <w:p w:rsidR="00173F1B" w:rsidRPr="00337C97" w:rsidRDefault="00A63FAE" w:rsidP="00173F1B">
      <w:pPr>
        <w:spacing w:line="360" w:lineRule="auto"/>
        <w:outlineLvl w:val="0"/>
        <w:rPr>
          <w:rFonts w:asciiTheme="minorHAnsi" w:hAnsiTheme="minorHAnsi" w:cs="Times New Roman"/>
          <w:b/>
          <w:sz w:val="28"/>
          <w:szCs w:val="22"/>
          <w:lang w:val="en-US"/>
        </w:rPr>
      </w:pPr>
      <w:r w:rsidRPr="00337C97">
        <w:rPr>
          <w:rFonts w:asciiTheme="minorHAnsi" w:hAnsiTheme="minorHAnsi"/>
          <w:sz w:val="22"/>
          <w:szCs w:val="22"/>
          <w:lang w:val="en-US"/>
        </w:rPr>
        <w:br w:type="page"/>
      </w:r>
      <w:bookmarkStart w:id="317" w:name="_Toc269658991"/>
      <w:r w:rsidRPr="00337C97">
        <w:rPr>
          <w:rFonts w:asciiTheme="minorHAnsi" w:hAnsiTheme="minorHAnsi" w:cs="Times New Roman"/>
          <w:b/>
          <w:sz w:val="28"/>
          <w:szCs w:val="22"/>
          <w:lang w:val="en-US"/>
        </w:rPr>
        <w:lastRenderedPageBreak/>
        <w:t>Appendix H</w:t>
      </w:r>
      <w:bookmarkEnd w:id="317"/>
    </w:p>
    <w:p w:rsidR="00173F1B" w:rsidRPr="00337C97" w:rsidRDefault="00173F1B" w:rsidP="001B6C8F">
      <w:pPr>
        <w:spacing w:line="360" w:lineRule="auto"/>
        <w:rPr>
          <w:rFonts w:asciiTheme="minorHAnsi" w:hAnsiTheme="minorHAnsi" w:cs="Times New Roman"/>
          <w:sz w:val="22"/>
          <w:szCs w:val="22"/>
          <w:lang w:val="en-US"/>
        </w:rPr>
      </w:pPr>
    </w:p>
    <w:tbl>
      <w:tblPr>
        <w:tblW w:w="7245" w:type="dxa"/>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4A0"/>
      </w:tblPr>
      <w:tblGrid>
        <w:gridCol w:w="4268"/>
        <w:gridCol w:w="2977"/>
      </w:tblGrid>
      <w:tr w:rsidR="00A63FAE" w:rsidRPr="00337C97" w:rsidTr="00173F1B">
        <w:trPr>
          <w:trHeight w:val="300"/>
        </w:trPr>
        <w:tc>
          <w:tcPr>
            <w:tcW w:w="4268" w:type="dxa"/>
            <w:shd w:val="clear" w:color="auto" w:fill="auto"/>
            <w:noWrap/>
            <w:hideMark/>
          </w:tcPr>
          <w:p w:rsidR="00A63FAE" w:rsidRPr="00337C97" w:rsidRDefault="00A63FAE" w:rsidP="009B3472">
            <w:pPr>
              <w:rPr>
                <w:rFonts w:asciiTheme="minorHAnsi" w:hAnsiTheme="minorHAnsi" w:cs="Times New Roman"/>
                <w:b/>
                <w:sz w:val="22"/>
                <w:szCs w:val="20"/>
                <w:lang w:val="nl-NL" w:eastAsia="nl-NL" w:bidi="ar-SA"/>
              </w:rPr>
            </w:pPr>
            <w:r w:rsidRPr="00337C97">
              <w:rPr>
                <w:rFonts w:asciiTheme="minorHAnsi" w:hAnsiTheme="minorHAnsi" w:cs="Times New Roman"/>
                <w:b/>
                <w:sz w:val="22"/>
                <w:szCs w:val="20"/>
                <w:lang w:val="nl-NL" w:eastAsia="nl-NL" w:bidi="ar-SA"/>
              </w:rPr>
              <w:t>BANK NAME</w:t>
            </w:r>
          </w:p>
        </w:tc>
        <w:tc>
          <w:tcPr>
            <w:tcW w:w="2977" w:type="dxa"/>
          </w:tcPr>
          <w:p w:rsidR="00A63FAE" w:rsidRPr="00337C97" w:rsidRDefault="00A63FAE" w:rsidP="009B3472">
            <w:pPr>
              <w:jc w:val="center"/>
              <w:rPr>
                <w:rFonts w:asciiTheme="minorHAnsi" w:hAnsiTheme="minorHAnsi" w:cs="Times New Roman"/>
                <w:b/>
                <w:sz w:val="22"/>
                <w:szCs w:val="20"/>
              </w:rPr>
            </w:pPr>
            <w:r w:rsidRPr="00337C97">
              <w:rPr>
                <w:rFonts w:asciiTheme="minorHAnsi" w:hAnsiTheme="minorHAnsi" w:cs="Times New Roman"/>
                <w:b/>
                <w:sz w:val="22"/>
                <w:szCs w:val="20"/>
              </w:rPr>
              <w:t>RISK DISCLOSURE SCORE</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Svenska Handelsbanken</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321</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Spar Nord 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163</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Amagerbanken</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158</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Vestjysk 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59</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BNP Paribas</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314</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Société Générale</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288</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Crédit Agricole</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518</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Commerzbank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461</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Deutsche 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506</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Comdirect 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158</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Banca Ifis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175</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Banca Generali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155</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Bank of Attica SA</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40</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 xml:space="preserve">General Bank of Greece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104</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Allied Irish Banks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393</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EFG Eurobank Ergasias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122</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 xml:space="preserve">Banca Popolare di Milano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279</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Van Lanschot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239</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ING Groep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701</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Bankinter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211</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 xml:space="preserve">Banco Bilbao Vizcaya Argentaria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350</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Barclays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753</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Schroders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152</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Bank of Cyprus Group</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182</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Marfin Popular 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168</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Komercni Banka</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243</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Bank Zachodni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248</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Banco BPI</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285</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 xml:space="preserve">HSBC Holdings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735</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Tatra Banka</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142</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OTP Banka Slovensko</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70</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Siauliu Bankas</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117</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Probanka d.d. Maribor</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189</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Credito Valtellinese</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225</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FIMBank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112</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Banco Desio</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247</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en-US" w:eastAsia="nl-NL" w:bidi="ar-SA"/>
              </w:rPr>
            </w:pPr>
            <w:r w:rsidRPr="00337C97">
              <w:rPr>
                <w:rFonts w:asciiTheme="minorHAnsi" w:hAnsiTheme="minorHAnsi" w:cs="Times New Roman"/>
                <w:sz w:val="22"/>
                <w:szCs w:val="20"/>
                <w:lang w:val="en-US" w:eastAsia="nl-NL" w:bidi="ar-SA"/>
              </w:rPr>
              <w:t xml:space="preserve">Banca popolare dell'Etruria e del Lazio </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170</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BKS Bank AG</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167</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KBC Group</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300</w:t>
            </w:r>
          </w:p>
        </w:tc>
      </w:tr>
      <w:tr w:rsidR="00A63FAE" w:rsidRPr="00337C97" w:rsidTr="00173F1B">
        <w:trPr>
          <w:trHeight w:val="300"/>
        </w:trPr>
        <w:tc>
          <w:tcPr>
            <w:tcW w:w="4268" w:type="dxa"/>
            <w:shd w:val="clear" w:color="auto" w:fill="auto"/>
            <w:noWrap/>
            <w:vAlign w:val="center"/>
            <w:hideMark/>
          </w:tcPr>
          <w:p w:rsidR="00A63FAE" w:rsidRPr="00337C97" w:rsidRDefault="00A63FAE" w:rsidP="00A63FAE">
            <w:pPr>
              <w:rPr>
                <w:rFonts w:asciiTheme="minorHAnsi" w:hAnsiTheme="minorHAnsi" w:cs="Times New Roman"/>
                <w:sz w:val="22"/>
                <w:szCs w:val="20"/>
                <w:lang w:val="nl-NL" w:eastAsia="nl-NL" w:bidi="ar-SA"/>
              </w:rPr>
            </w:pPr>
            <w:r w:rsidRPr="00337C97">
              <w:rPr>
                <w:rFonts w:asciiTheme="minorHAnsi" w:hAnsiTheme="minorHAnsi" w:cs="Times New Roman"/>
                <w:sz w:val="22"/>
                <w:szCs w:val="20"/>
                <w:lang w:val="nl-NL" w:eastAsia="nl-NL" w:bidi="ar-SA"/>
              </w:rPr>
              <w:t>First Investment Bank</w:t>
            </w:r>
          </w:p>
        </w:tc>
        <w:tc>
          <w:tcPr>
            <w:tcW w:w="2977" w:type="dxa"/>
            <w:vAlign w:val="center"/>
          </w:tcPr>
          <w:p w:rsidR="00A63FAE" w:rsidRPr="00337C97" w:rsidRDefault="00A63FAE" w:rsidP="009B3472">
            <w:pPr>
              <w:jc w:val="center"/>
              <w:rPr>
                <w:rFonts w:asciiTheme="minorHAnsi" w:hAnsiTheme="minorHAnsi" w:cs="Times New Roman"/>
                <w:sz w:val="22"/>
                <w:szCs w:val="20"/>
              </w:rPr>
            </w:pPr>
            <w:r w:rsidRPr="00337C97">
              <w:rPr>
                <w:rFonts w:asciiTheme="minorHAnsi" w:hAnsiTheme="minorHAnsi" w:cs="Times New Roman"/>
                <w:sz w:val="22"/>
                <w:szCs w:val="20"/>
              </w:rPr>
              <w:t>109</w:t>
            </w:r>
          </w:p>
        </w:tc>
      </w:tr>
    </w:tbl>
    <w:p w:rsidR="00A63FAE" w:rsidRPr="00337C97" w:rsidRDefault="00A63FAE" w:rsidP="00173F1B">
      <w:pPr>
        <w:spacing w:line="360" w:lineRule="auto"/>
        <w:rPr>
          <w:rFonts w:asciiTheme="minorHAnsi" w:hAnsiTheme="minorHAnsi" w:cs="Times New Roman"/>
          <w:sz w:val="22"/>
          <w:szCs w:val="22"/>
          <w:lang w:val="en-US"/>
        </w:rPr>
      </w:pPr>
    </w:p>
    <w:p w:rsidR="00E249F5" w:rsidRPr="00337C97" w:rsidRDefault="00E249F5" w:rsidP="00E249F5">
      <w:pPr>
        <w:spacing w:line="360" w:lineRule="auto"/>
        <w:outlineLvl w:val="0"/>
        <w:rPr>
          <w:rFonts w:asciiTheme="minorHAnsi" w:hAnsiTheme="minorHAnsi" w:cs="Times New Roman"/>
          <w:b/>
          <w:sz w:val="28"/>
          <w:szCs w:val="22"/>
          <w:lang w:val="en-US"/>
        </w:rPr>
      </w:pPr>
      <w:bookmarkStart w:id="318" w:name="_Toc269658992"/>
      <w:r w:rsidRPr="00337C97">
        <w:rPr>
          <w:rFonts w:asciiTheme="minorHAnsi" w:hAnsiTheme="minorHAnsi" w:cs="Times New Roman"/>
          <w:b/>
          <w:sz w:val="28"/>
          <w:szCs w:val="22"/>
          <w:lang w:val="en-US"/>
        </w:rPr>
        <w:lastRenderedPageBreak/>
        <w:t>Appendix I</w:t>
      </w:r>
      <w:bookmarkEnd w:id="318"/>
    </w:p>
    <w:p w:rsidR="00C14D27" w:rsidRPr="00337C97" w:rsidRDefault="00C14D27">
      <w:pPr>
        <w:spacing w:line="360" w:lineRule="auto"/>
        <w:rPr>
          <w:rFonts w:asciiTheme="minorHAnsi" w:hAnsiTheme="minorHAnsi" w:cs="Times New Roman"/>
          <w:sz w:val="22"/>
          <w:szCs w:val="22"/>
          <w:lang w:val="en-US"/>
        </w:rPr>
      </w:pPr>
    </w:p>
    <w:p w:rsidR="00E249F5" w:rsidRPr="00337C97" w:rsidRDefault="00E249F5">
      <w:pPr>
        <w:spacing w:line="360" w:lineRule="auto"/>
        <w:rPr>
          <w:rFonts w:asciiTheme="minorHAnsi" w:hAnsiTheme="minorHAnsi" w:cs="Times New Roman"/>
          <w:sz w:val="22"/>
          <w:szCs w:val="22"/>
          <w:lang w:val="nl-NL"/>
        </w:rPr>
      </w:pPr>
      <w:r w:rsidRPr="00337C97">
        <w:rPr>
          <w:rFonts w:asciiTheme="minorHAnsi" w:hAnsiTheme="minorHAnsi" w:cs="Times New Roman"/>
          <w:sz w:val="22"/>
          <w:szCs w:val="22"/>
          <w:lang w:val="en-US"/>
        </w:rPr>
        <w:t>Output SPSS</w:t>
      </w:r>
      <w:r w:rsidR="00C06879" w:rsidRPr="00337C97">
        <w:rPr>
          <w:rFonts w:asciiTheme="minorHAnsi" w:hAnsiTheme="minorHAnsi" w:cs="Times New Roman"/>
          <w:sz w:val="22"/>
          <w:szCs w:val="22"/>
          <w:lang w:val="en-US"/>
        </w:rPr>
        <w:t xml:space="preserve"> – OLS Regression</w:t>
      </w:r>
    </w:p>
    <w:p w:rsidR="00E249F5" w:rsidRDefault="00E249F5">
      <w:pPr>
        <w:spacing w:line="360" w:lineRule="auto"/>
        <w:rPr>
          <w:rFonts w:cs="Times New Roman"/>
          <w:sz w:val="22"/>
          <w:szCs w:val="22"/>
          <w:lang w:val="en-US"/>
        </w:rPr>
      </w:pPr>
    </w:p>
    <w:p w:rsidR="00E249F5" w:rsidRPr="00E249F5" w:rsidRDefault="00E249F5" w:rsidP="00E249F5">
      <w:pPr>
        <w:autoSpaceDE w:val="0"/>
        <w:autoSpaceDN w:val="0"/>
        <w:adjustRightInd w:val="0"/>
        <w:rPr>
          <w:rFonts w:cs="Times New Roman"/>
          <w:lang w:val="nl-NL" w:eastAsia="nl-NL" w:bidi="ar-SA"/>
        </w:rPr>
      </w:pPr>
    </w:p>
    <w:tbl>
      <w:tblPr>
        <w:tblW w:w="718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011"/>
        <w:gridCol w:w="1077"/>
        <w:gridCol w:w="1455"/>
        <w:gridCol w:w="1455"/>
        <w:gridCol w:w="1455"/>
      </w:tblGrid>
      <w:tr w:rsidR="00E249F5" w:rsidRPr="00E249F5">
        <w:trPr>
          <w:cantSplit/>
          <w:tblHeader/>
        </w:trPr>
        <w:tc>
          <w:tcPr>
            <w:tcW w:w="7179" w:type="dxa"/>
            <w:gridSpan w:val="6"/>
            <w:tcBorders>
              <w:top w:val="nil"/>
              <w:left w:val="nil"/>
              <w:bottom w:val="nil"/>
              <w:right w:val="nil"/>
            </w:tcBorders>
            <w:shd w:val="clear" w:color="auto" w:fill="FFFFFF"/>
            <w:tcMar>
              <w:top w:w="30" w:type="dxa"/>
              <w:left w:w="30" w:type="dxa"/>
              <w:bottom w:w="30" w:type="dxa"/>
              <w:right w:w="30" w:type="dxa"/>
            </w:tcMar>
            <w:vAlign w:val="center"/>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b/>
                <w:bCs/>
                <w:color w:val="000000"/>
                <w:sz w:val="18"/>
                <w:szCs w:val="18"/>
                <w:lang w:val="nl-NL" w:eastAsia="nl-NL" w:bidi="ar-SA"/>
              </w:rPr>
              <w:t>Model Summary</w:t>
            </w:r>
            <w:r w:rsidRPr="00E249F5">
              <w:rPr>
                <w:rFonts w:ascii="Arial" w:hAnsi="Arial" w:cs="Arial"/>
                <w:b/>
                <w:bCs/>
                <w:color w:val="000000"/>
                <w:sz w:val="18"/>
                <w:szCs w:val="18"/>
                <w:vertAlign w:val="superscript"/>
                <w:lang w:val="nl-NL" w:eastAsia="nl-NL" w:bidi="ar-SA"/>
              </w:rPr>
              <w:t>b</w:t>
            </w:r>
          </w:p>
        </w:tc>
      </w:tr>
      <w:tr w:rsidR="00E249F5" w:rsidRPr="00E249F5">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Adjusted 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en-US" w:eastAsia="nl-NL" w:bidi="ar-SA"/>
              </w:rPr>
            </w:pPr>
            <w:r w:rsidRPr="00E249F5">
              <w:rPr>
                <w:rFonts w:ascii="Arial" w:hAnsi="Arial" w:cs="Arial"/>
                <w:color w:val="000000"/>
                <w:sz w:val="18"/>
                <w:szCs w:val="18"/>
                <w:lang w:val="en-US" w:eastAsia="nl-NL" w:bidi="ar-SA"/>
              </w:rPr>
              <w:t>Std. Error of the Estimate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Durbin-Watson</w:t>
            </w:r>
          </w:p>
        </w:tc>
      </w:tr>
      <w:tr w:rsidR="00E249F5" w:rsidRPr="00E249F5">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,849</w:t>
            </w:r>
            <w:r w:rsidRPr="00E249F5">
              <w:rPr>
                <w:rFonts w:ascii="Arial" w:hAnsi="Arial" w:cs="Arial"/>
                <w:color w:val="000000"/>
                <w:sz w:val="18"/>
                <w:szCs w:val="18"/>
                <w:vertAlign w:val="superscript"/>
                <w:lang w:val="nl-NL" w:eastAsia="nl-NL" w:bidi="ar-SA"/>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,720</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,669</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,37605</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1,684</w:t>
            </w:r>
          </w:p>
        </w:tc>
      </w:tr>
      <w:tr w:rsidR="00E249F5" w:rsidRPr="00E249F5">
        <w:trPr>
          <w:cantSplit/>
          <w:tblHeader/>
        </w:trPr>
        <w:tc>
          <w:tcPr>
            <w:tcW w:w="7179" w:type="dxa"/>
            <w:gridSpan w:val="6"/>
            <w:tcBorders>
              <w:top w:val="nil"/>
              <w:left w:val="nil"/>
              <w:bottom w:val="nil"/>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en-US" w:eastAsia="nl-NL" w:bidi="ar-SA"/>
              </w:rPr>
            </w:pPr>
            <w:r w:rsidRPr="00E249F5">
              <w:rPr>
                <w:rFonts w:ascii="Arial" w:hAnsi="Arial" w:cs="Arial"/>
                <w:color w:val="000000"/>
                <w:sz w:val="18"/>
                <w:szCs w:val="18"/>
                <w:lang w:val="en-US" w:eastAsia="nl-NL" w:bidi="ar-SA"/>
              </w:rPr>
              <w:t>a. Predictors: (Constant), TIER, LNLEV, ML, CR_TF, LNPROF, LNSIZE</w:t>
            </w:r>
          </w:p>
        </w:tc>
      </w:tr>
      <w:tr w:rsidR="00E249F5" w:rsidRPr="00E249F5">
        <w:trPr>
          <w:cantSplit/>
        </w:trPr>
        <w:tc>
          <w:tcPr>
            <w:tcW w:w="7179" w:type="dxa"/>
            <w:gridSpan w:val="6"/>
            <w:tcBorders>
              <w:top w:val="nil"/>
              <w:left w:val="nil"/>
              <w:bottom w:val="nil"/>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b. Dependent Variable: LNRDSCORE</w:t>
            </w:r>
          </w:p>
        </w:tc>
      </w:tr>
    </w:tbl>
    <w:p w:rsidR="00E249F5" w:rsidRPr="00E249F5" w:rsidRDefault="00E249F5" w:rsidP="00E249F5">
      <w:pPr>
        <w:autoSpaceDE w:val="0"/>
        <w:autoSpaceDN w:val="0"/>
        <w:adjustRightInd w:val="0"/>
        <w:spacing w:line="400" w:lineRule="atLeast"/>
        <w:rPr>
          <w:rFonts w:cs="Times New Roman"/>
          <w:lang w:val="nl-NL" w:eastAsia="nl-NL" w:bidi="ar-SA"/>
        </w:rPr>
      </w:pPr>
    </w:p>
    <w:p w:rsidR="00E249F5" w:rsidRPr="00E249F5" w:rsidRDefault="00E249F5" w:rsidP="00E249F5">
      <w:pPr>
        <w:autoSpaceDE w:val="0"/>
        <w:autoSpaceDN w:val="0"/>
        <w:adjustRightInd w:val="0"/>
        <w:rPr>
          <w:rFonts w:cs="Times New Roman"/>
          <w:lang w:val="nl-NL" w:eastAsia="nl-NL" w:bidi="ar-SA"/>
        </w:rPr>
      </w:pP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426"/>
        <w:gridCol w:w="1134"/>
        <w:gridCol w:w="992"/>
        <w:gridCol w:w="1134"/>
        <w:gridCol w:w="1417"/>
        <w:gridCol w:w="1134"/>
        <w:gridCol w:w="1134"/>
        <w:gridCol w:w="993"/>
        <w:gridCol w:w="850"/>
      </w:tblGrid>
      <w:tr w:rsidR="00E249F5" w:rsidRPr="00E249F5" w:rsidTr="000E0E13">
        <w:trPr>
          <w:cantSplit/>
          <w:tblHeader/>
        </w:trPr>
        <w:tc>
          <w:tcPr>
            <w:tcW w:w="9214" w:type="dxa"/>
            <w:gridSpan w:val="9"/>
            <w:tcBorders>
              <w:top w:val="nil"/>
              <w:left w:val="nil"/>
              <w:bottom w:val="nil"/>
              <w:right w:val="nil"/>
            </w:tcBorders>
            <w:shd w:val="clear" w:color="auto" w:fill="FFFFFF"/>
            <w:tcMar>
              <w:top w:w="30" w:type="dxa"/>
              <w:left w:w="30" w:type="dxa"/>
              <w:bottom w:w="30" w:type="dxa"/>
              <w:right w:w="30" w:type="dxa"/>
            </w:tcMar>
            <w:vAlign w:val="center"/>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b/>
                <w:bCs/>
                <w:color w:val="000000"/>
                <w:sz w:val="18"/>
                <w:szCs w:val="18"/>
                <w:lang w:val="nl-NL" w:eastAsia="nl-NL" w:bidi="ar-SA"/>
              </w:rPr>
              <w:t>Coefficients</w:t>
            </w:r>
            <w:r w:rsidRPr="00E249F5">
              <w:rPr>
                <w:rFonts w:ascii="Arial" w:hAnsi="Arial" w:cs="Arial"/>
                <w:b/>
                <w:bCs/>
                <w:color w:val="000000"/>
                <w:sz w:val="18"/>
                <w:szCs w:val="18"/>
                <w:vertAlign w:val="superscript"/>
                <w:lang w:val="nl-NL" w:eastAsia="nl-NL" w:bidi="ar-SA"/>
              </w:rPr>
              <w:t>a</w:t>
            </w:r>
          </w:p>
        </w:tc>
      </w:tr>
      <w:tr w:rsidR="00E249F5" w:rsidRPr="00E249F5" w:rsidTr="000E0E13">
        <w:trPr>
          <w:cantSplit/>
          <w:tblHeader/>
        </w:trPr>
        <w:tc>
          <w:tcPr>
            <w:tcW w:w="156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Model</w:t>
            </w:r>
          </w:p>
        </w:tc>
        <w:tc>
          <w:tcPr>
            <w:tcW w:w="212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Unstandardized Coefficients</w:t>
            </w:r>
          </w:p>
        </w:tc>
        <w:tc>
          <w:tcPr>
            <w:tcW w:w="1417" w:type="dxa"/>
            <w:tcBorders>
              <w:top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Standardized Coefficients</w:t>
            </w:r>
          </w:p>
        </w:tc>
        <w:tc>
          <w:tcPr>
            <w:tcW w:w="1134"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t</w:t>
            </w:r>
          </w:p>
        </w:tc>
        <w:tc>
          <w:tcPr>
            <w:tcW w:w="1134"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Sig.</w:t>
            </w:r>
          </w:p>
        </w:tc>
        <w:tc>
          <w:tcPr>
            <w:tcW w:w="1843"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Collinearity Statistics</w:t>
            </w:r>
          </w:p>
        </w:tc>
      </w:tr>
      <w:tr w:rsidR="000E0E13" w:rsidRPr="00E249F5" w:rsidTr="000E0E13">
        <w:trPr>
          <w:cantSplit/>
          <w:tblHeader/>
        </w:trPr>
        <w:tc>
          <w:tcPr>
            <w:tcW w:w="1560"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992"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B</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Std. Error</w:t>
            </w:r>
          </w:p>
        </w:tc>
        <w:tc>
          <w:tcPr>
            <w:tcW w:w="1417" w:type="dxa"/>
            <w:tcBorders>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Beta</w:t>
            </w:r>
          </w:p>
        </w:tc>
        <w:tc>
          <w:tcPr>
            <w:tcW w:w="1134"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993" w:type="dxa"/>
            <w:tcBorders>
              <w:bottom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Tolerance</w:t>
            </w:r>
          </w:p>
        </w:tc>
        <w:tc>
          <w:tcPr>
            <w:tcW w:w="850"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49F5" w:rsidRPr="00E249F5" w:rsidRDefault="00E249F5" w:rsidP="00E249F5">
            <w:pPr>
              <w:autoSpaceDE w:val="0"/>
              <w:autoSpaceDN w:val="0"/>
              <w:adjustRightInd w:val="0"/>
              <w:spacing w:line="320" w:lineRule="atLeast"/>
              <w:jc w:val="center"/>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VIF</w:t>
            </w:r>
          </w:p>
        </w:tc>
      </w:tr>
      <w:tr w:rsidR="000E0E13" w:rsidRPr="00E249F5" w:rsidTr="000E0E13">
        <w:trPr>
          <w:cantSplit/>
          <w:tblHeader/>
        </w:trPr>
        <w:tc>
          <w:tcPr>
            <w:tcW w:w="4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w:t>
            </w:r>
          </w:p>
        </w:tc>
        <w:tc>
          <w:tcPr>
            <w:tcW w:w="1134"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(Constant)</w:t>
            </w:r>
          </w:p>
        </w:tc>
        <w:tc>
          <w:tcPr>
            <w:tcW w:w="992"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3,252</w:t>
            </w:r>
          </w:p>
        </w:tc>
        <w:tc>
          <w:tcPr>
            <w:tcW w:w="1134" w:type="dxa"/>
            <w:tcBorders>
              <w:top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,931</w:t>
            </w:r>
          </w:p>
        </w:tc>
        <w:tc>
          <w:tcPr>
            <w:tcW w:w="1417" w:type="dxa"/>
            <w:tcBorders>
              <w:top w:val="single" w:sz="16" w:space="0" w:color="000000"/>
              <w:bottom w:val="nil"/>
            </w:tcBorders>
            <w:shd w:val="clear" w:color="auto" w:fill="FFFFFF"/>
            <w:tcMar>
              <w:top w:w="30" w:type="dxa"/>
              <w:left w:w="30" w:type="dxa"/>
              <w:bottom w:w="30" w:type="dxa"/>
              <w:right w:w="30" w:type="dxa"/>
            </w:tcMar>
            <w:vAlign w:val="center"/>
          </w:tcPr>
          <w:p w:rsidR="00E249F5" w:rsidRPr="00E249F5" w:rsidRDefault="00E249F5" w:rsidP="00E249F5">
            <w:pPr>
              <w:autoSpaceDE w:val="0"/>
              <w:autoSpaceDN w:val="0"/>
              <w:adjustRightInd w:val="0"/>
              <w:jc w:val="center"/>
              <w:rPr>
                <w:rFonts w:cs="Times New Roman"/>
                <w:lang w:val="nl-NL" w:eastAsia="nl-NL" w:bidi="ar-SA"/>
              </w:rPr>
            </w:pPr>
          </w:p>
        </w:tc>
        <w:tc>
          <w:tcPr>
            <w:tcW w:w="1134" w:type="dxa"/>
            <w:tcBorders>
              <w:top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3,493</w:t>
            </w:r>
          </w:p>
        </w:tc>
        <w:tc>
          <w:tcPr>
            <w:tcW w:w="1134" w:type="dxa"/>
            <w:tcBorders>
              <w:top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,001</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E249F5" w:rsidRPr="00E249F5" w:rsidRDefault="00E249F5" w:rsidP="00E249F5">
            <w:pPr>
              <w:autoSpaceDE w:val="0"/>
              <w:autoSpaceDN w:val="0"/>
              <w:adjustRightInd w:val="0"/>
              <w:jc w:val="center"/>
              <w:rPr>
                <w:rFonts w:cs="Times New Roman"/>
                <w:lang w:val="nl-NL" w:eastAsia="nl-NL" w:bidi="ar-SA"/>
              </w:rPr>
            </w:pPr>
          </w:p>
        </w:tc>
        <w:tc>
          <w:tcPr>
            <w:tcW w:w="85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249F5" w:rsidRPr="00E249F5" w:rsidRDefault="00E249F5" w:rsidP="00E249F5">
            <w:pPr>
              <w:autoSpaceDE w:val="0"/>
              <w:autoSpaceDN w:val="0"/>
              <w:adjustRightInd w:val="0"/>
              <w:jc w:val="center"/>
              <w:rPr>
                <w:rFonts w:cs="Times New Roman"/>
                <w:lang w:val="nl-NL" w:eastAsia="nl-NL" w:bidi="ar-SA"/>
              </w:rPr>
            </w:pPr>
          </w:p>
        </w:tc>
      </w:tr>
      <w:tr w:rsidR="000E0E13" w:rsidRPr="00E249F5" w:rsidTr="000E0E13">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cs="Times New Roman"/>
                <w:lang w:val="nl-NL" w:eastAsia="nl-NL" w:bidi="ar-SA"/>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LNSIZE</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,205</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,054</w:t>
            </w:r>
          </w:p>
        </w:tc>
        <w:tc>
          <w:tcPr>
            <w:tcW w:w="1417"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,786</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3,784</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,001</w:t>
            </w:r>
          </w:p>
        </w:tc>
        <w:tc>
          <w:tcPr>
            <w:tcW w:w="993"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,197</w:t>
            </w: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5,086</w:t>
            </w:r>
          </w:p>
        </w:tc>
      </w:tr>
      <w:tr w:rsidR="000E0E13" w:rsidRPr="00E249F5" w:rsidTr="000E0E13">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LNPROF</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,134</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,170</w:t>
            </w:r>
          </w:p>
        </w:tc>
        <w:tc>
          <w:tcPr>
            <w:tcW w:w="1417"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,136</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,790</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,435</w:t>
            </w:r>
          </w:p>
        </w:tc>
        <w:tc>
          <w:tcPr>
            <w:tcW w:w="993"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,284</w:t>
            </w: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3,517</w:t>
            </w:r>
          </w:p>
        </w:tc>
      </w:tr>
      <w:tr w:rsidR="000E0E13" w:rsidRPr="00E249F5" w:rsidTr="000E0E13">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LNLEV</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-,007</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,249</w:t>
            </w:r>
          </w:p>
        </w:tc>
        <w:tc>
          <w:tcPr>
            <w:tcW w:w="1417"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-,007</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-,029</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,977</w:t>
            </w:r>
          </w:p>
        </w:tc>
        <w:tc>
          <w:tcPr>
            <w:tcW w:w="993"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,163</w:t>
            </w: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6,152</w:t>
            </w:r>
          </w:p>
        </w:tc>
      </w:tr>
      <w:tr w:rsidR="000E0E13" w:rsidRPr="00E249F5" w:rsidTr="000E0E13">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ML</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,133</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,200</w:t>
            </w:r>
          </w:p>
        </w:tc>
        <w:tc>
          <w:tcPr>
            <w:tcW w:w="1417"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,089</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,665</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,511</w:t>
            </w:r>
          </w:p>
        </w:tc>
        <w:tc>
          <w:tcPr>
            <w:tcW w:w="993"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,471</w:t>
            </w: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2,125</w:t>
            </w:r>
          </w:p>
        </w:tc>
      </w:tr>
      <w:tr w:rsidR="000E0E13" w:rsidRPr="00E249F5" w:rsidTr="000E0E13">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tcBorders>
              <w:top w:val="nil"/>
              <w:left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CR_TF</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-,064</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,101</w:t>
            </w:r>
          </w:p>
        </w:tc>
        <w:tc>
          <w:tcPr>
            <w:tcW w:w="1417"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-,093</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-,631</w:t>
            </w:r>
          </w:p>
        </w:tc>
        <w:tc>
          <w:tcPr>
            <w:tcW w:w="1134"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,532</w:t>
            </w:r>
          </w:p>
        </w:tc>
        <w:tc>
          <w:tcPr>
            <w:tcW w:w="993" w:type="dxa"/>
            <w:tcBorders>
              <w:top w:val="nil"/>
              <w:bottom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,388</w:t>
            </w:r>
          </w:p>
        </w:tc>
        <w:tc>
          <w:tcPr>
            <w:tcW w:w="850" w:type="dxa"/>
            <w:tcBorders>
              <w:top w:val="nil"/>
              <w:bottom w:val="nil"/>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2,575</w:t>
            </w:r>
          </w:p>
        </w:tc>
      </w:tr>
      <w:tr w:rsidR="000E0E13" w:rsidRPr="00E249F5" w:rsidTr="000E0E13">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TIER</w:t>
            </w:r>
          </w:p>
        </w:tc>
        <w:tc>
          <w:tcPr>
            <w:tcW w:w="992"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,170</w:t>
            </w:r>
          </w:p>
        </w:tc>
        <w:tc>
          <w:tcPr>
            <w:tcW w:w="1134"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,137</w:t>
            </w:r>
          </w:p>
        </w:tc>
        <w:tc>
          <w:tcPr>
            <w:tcW w:w="1417"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,126</w:t>
            </w:r>
          </w:p>
        </w:tc>
        <w:tc>
          <w:tcPr>
            <w:tcW w:w="1134"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1,241</w:t>
            </w:r>
          </w:p>
        </w:tc>
        <w:tc>
          <w:tcPr>
            <w:tcW w:w="1134"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,223</w:t>
            </w:r>
          </w:p>
        </w:tc>
        <w:tc>
          <w:tcPr>
            <w:tcW w:w="993"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,825</w:t>
            </w:r>
          </w:p>
        </w:tc>
        <w:tc>
          <w:tcPr>
            <w:tcW w:w="85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1,213</w:t>
            </w:r>
          </w:p>
        </w:tc>
      </w:tr>
      <w:tr w:rsidR="00E249F5" w:rsidRPr="00E249F5" w:rsidTr="000E0E13">
        <w:trPr>
          <w:cantSplit/>
        </w:trPr>
        <w:tc>
          <w:tcPr>
            <w:tcW w:w="9214" w:type="dxa"/>
            <w:gridSpan w:val="9"/>
            <w:tcBorders>
              <w:top w:val="nil"/>
              <w:left w:val="nil"/>
              <w:bottom w:val="nil"/>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a. Dependent Variable: LNRDSCORE</w:t>
            </w:r>
          </w:p>
        </w:tc>
      </w:tr>
    </w:tbl>
    <w:p w:rsidR="00E249F5" w:rsidRPr="00E249F5" w:rsidRDefault="00E249F5" w:rsidP="00E249F5">
      <w:pPr>
        <w:autoSpaceDE w:val="0"/>
        <w:autoSpaceDN w:val="0"/>
        <w:adjustRightInd w:val="0"/>
        <w:spacing w:line="400" w:lineRule="atLeast"/>
        <w:rPr>
          <w:rFonts w:cs="Times New Roman"/>
          <w:lang w:val="nl-NL" w:eastAsia="nl-NL" w:bidi="ar-SA"/>
        </w:rPr>
      </w:pPr>
    </w:p>
    <w:p w:rsidR="00E249F5" w:rsidRPr="00E249F5" w:rsidRDefault="00E249F5" w:rsidP="00E249F5">
      <w:pPr>
        <w:autoSpaceDE w:val="0"/>
        <w:autoSpaceDN w:val="0"/>
        <w:adjustRightInd w:val="0"/>
        <w:rPr>
          <w:rFonts w:cs="Times New Roman"/>
          <w:lang w:val="nl-NL" w:eastAsia="nl-NL" w:bidi="ar-SA"/>
        </w:rPr>
      </w:pPr>
    </w:p>
    <w:tbl>
      <w:tblPr>
        <w:tblW w:w="921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426"/>
        <w:gridCol w:w="1134"/>
        <w:gridCol w:w="992"/>
        <w:gridCol w:w="1134"/>
        <w:gridCol w:w="1417"/>
        <w:gridCol w:w="1134"/>
        <w:gridCol w:w="1134"/>
        <w:gridCol w:w="993"/>
        <w:gridCol w:w="850"/>
      </w:tblGrid>
      <w:tr w:rsidR="00E249F5" w:rsidRPr="00E249F5" w:rsidTr="00C06879">
        <w:trPr>
          <w:cantSplit/>
          <w:tblHeader/>
        </w:trPr>
        <w:tc>
          <w:tcPr>
            <w:tcW w:w="426"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rPr>
                <w:rFonts w:ascii="Arial" w:hAnsi="Arial" w:cs="Arial"/>
                <w:color w:val="000000"/>
                <w:sz w:val="18"/>
                <w:szCs w:val="18"/>
                <w:lang w:val="nl-NL" w:eastAsia="nl-NL" w:bidi="ar-SA"/>
              </w:rPr>
            </w:pPr>
          </w:p>
        </w:tc>
        <w:tc>
          <w:tcPr>
            <w:tcW w:w="1134"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NONEXEC</w:t>
            </w:r>
          </w:p>
        </w:tc>
        <w:tc>
          <w:tcPr>
            <w:tcW w:w="992"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-1,130</w:t>
            </w:r>
          </w:p>
        </w:tc>
        <w:tc>
          <w:tcPr>
            <w:tcW w:w="1134"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,805</w:t>
            </w:r>
          </w:p>
        </w:tc>
        <w:tc>
          <w:tcPr>
            <w:tcW w:w="1417"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-,204</w:t>
            </w:r>
          </w:p>
        </w:tc>
        <w:tc>
          <w:tcPr>
            <w:tcW w:w="1134"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-1,404</w:t>
            </w:r>
          </w:p>
        </w:tc>
        <w:tc>
          <w:tcPr>
            <w:tcW w:w="1134"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,176</w:t>
            </w:r>
          </w:p>
        </w:tc>
        <w:tc>
          <w:tcPr>
            <w:tcW w:w="993" w:type="dxa"/>
            <w:tcBorders>
              <w:top w:val="nil"/>
              <w:bottom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,738</w:t>
            </w:r>
          </w:p>
        </w:tc>
        <w:tc>
          <w:tcPr>
            <w:tcW w:w="850"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249F5" w:rsidRPr="00E249F5" w:rsidRDefault="00E249F5" w:rsidP="00E249F5">
            <w:pPr>
              <w:autoSpaceDE w:val="0"/>
              <w:autoSpaceDN w:val="0"/>
              <w:adjustRightInd w:val="0"/>
              <w:spacing w:line="320" w:lineRule="atLeast"/>
              <w:jc w:val="right"/>
              <w:rPr>
                <w:rFonts w:ascii="Arial" w:hAnsi="Arial" w:cs="Arial"/>
                <w:color w:val="000000"/>
                <w:sz w:val="18"/>
                <w:szCs w:val="18"/>
                <w:lang w:val="nl-NL" w:eastAsia="nl-NL" w:bidi="ar-SA"/>
              </w:rPr>
            </w:pPr>
            <w:r w:rsidRPr="00E249F5">
              <w:rPr>
                <w:rFonts w:ascii="Arial" w:hAnsi="Arial" w:cs="Arial"/>
                <w:color w:val="000000"/>
                <w:sz w:val="18"/>
                <w:szCs w:val="18"/>
                <w:lang w:val="nl-NL" w:eastAsia="nl-NL" w:bidi="ar-SA"/>
              </w:rPr>
              <w:t>1,355</w:t>
            </w:r>
          </w:p>
        </w:tc>
      </w:tr>
    </w:tbl>
    <w:p w:rsidR="00E249F5" w:rsidRPr="00E249F5" w:rsidRDefault="00E249F5" w:rsidP="00E249F5">
      <w:pPr>
        <w:autoSpaceDE w:val="0"/>
        <w:autoSpaceDN w:val="0"/>
        <w:adjustRightInd w:val="0"/>
        <w:spacing w:line="400" w:lineRule="atLeast"/>
        <w:rPr>
          <w:rFonts w:cs="Times New Roman"/>
          <w:lang w:val="nl-NL" w:eastAsia="nl-NL" w:bidi="ar-SA"/>
        </w:rPr>
      </w:pPr>
    </w:p>
    <w:p w:rsidR="000E0E13" w:rsidRDefault="000E0E13">
      <w:pPr>
        <w:rPr>
          <w:rFonts w:cs="Times New Roman"/>
          <w:sz w:val="22"/>
          <w:szCs w:val="22"/>
          <w:lang w:val="en-US"/>
        </w:rPr>
      </w:pPr>
      <w:r>
        <w:rPr>
          <w:rFonts w:cs="Times New Roman"/>
          <w:sz w:val="22"/>
          <w:szCs w:val="22"/>
          <w:lang w:val="en-US"/>
        </w:rPr>
        <w:br w:type="page"/>
      </w:r>
    </w:p>
    <w:p w:rsidR="000E0E13" w:rsidRPr="00584B07" w:rsidRDefault="00C06879" w:rsidP="000E0E13">
      <w:pPr>
        <w:autoSpaceDE w:val="0"/>
        <w:autoSpaceDN w:val="0"/>
        <w:adjustRightInd w:val="0"/>
        <w:rPr>
          <w:rFonts w:asciiTheme="minorHAnsi" w:hAnsiTheme="minorHAnsi" w:cs="Times New Roman"/>
          <w:sz w:val="22"/>
          <w:szCs w:val="22"/>
          <w:lang w:val="nl-NL" w:eastAsia="nl-NL" w:bidi="ar-SA"/>
        </w:rPr>
      </w:pPr>
      <w:r w:rsidRPr="00584B07">
        <w:rPr>
          <w:rFonts w:asciiTheme="minorHAnsi" w:hAnsiTheme="minorHAnsi" w:cs="Times New Roman"/>
          <w:sz w:val="22"/>
          <w:szCs w:val="22"/>
          <w:lang w:val="nl-NL" w:eastAsia="nl-NL" w:bidi="ar-SA"/>
        </w:rPr>
        <w:lastRenderedPageBreak/>
        <w:t>Output SPSS – Rank Regression</w:t>
      </w:r>
    </w:p>
    <w:p w:rsidR="00C06879" w:rsidRDefault="00C06879" w:rsidP="000E0E13">
      <w:pPr>
        <w:autoSpaceDE w:val="0"/>
        <w:autoSpaceDN w:val="0"/>
        <w:adjustRightInd w:val="0"/>
        <w:rPr>
          <w:rFonts w:cs="Times New Roman"/>
          <w:lang w:val="nl-NL" w:eastAsia="nl-NL" w:bidi="ar-SA"/>
        </w:rPr>
      </w:pPr>
    </w:p>
    <w:p w:rsidR="00C06879" w:rsidRPr="000E0E13" w:rsidRDefault="00C06879" w:rsidP="000E0E13">
      <w:pPr>
        <w:autoSpaceDE w:val="0"/>
        <w:autoSpaceDN w:val="0"/>
        <w:adjustRightInd w:val="0"/>
        <w:rPr>
          <w:rFonts w:cs="Times New Roman"/>
          <w:lang w:val="nl-NL" w:eastAsia="nl-NL" w:bidi="ar-SA"/>
        </w:rPr>
      </w:pPr>
    </w:p>
    <w:tbl>
      <w:tblPr>
        <w:tblW w:w="718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011"/>
        <w:gridCol w:w="1077"/>
        <w:gridCol w:w="1455"/>
        <w:gridCol w:w="1455"/>
        <w:gridCol w:w="1455"/>
      </w:tblGrid>
      <w:tr w:rsidR="000E0E13" w:rsidRPr="000E0E13">
        <w:trPr>
          <w:cantSplit/>
          <w:tblHeader/>
        </w:trPr>
        <w:tc>
          <w:tcPr>
            <w:tcW w:w="7179" w:type="dxa"/>
            <w:gridSpan w:val="6"/>
            <w:tcBorders>
              <w:top w:val="nil"/>
              <w:left w:val="nil"/>
              <w:bottom w:val="nil"/>
              <w:right w:val="nil"/>
            </w:tcBorders>
            <w:shd w:val="clear" w:color="auto" w:fill="FFFFFF"/>
            <w:tcMar>
              <w:top w:w="30" w:type="dxa"/>
              <w:left w:w="30" w:type="dxa"/>
              <w:bottom w:w="30" w:type="dxa"/>
              <w:right w:w="30" w:type="dxa"/>
            </w:tcMar>
            <w:vAlign w:val="center"/>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b/>
                <w:bCs/>
                <w:color w:val="000000"/>
                <w:sz w:val="18"/>
                <w:szCs w:val="18"/>
                <w:lang w:val="nl-NL" w:eastAsia="nl-NL" w:bidi="ar-SA"/>
              </w:rPr>
              <w:t>Model Summary</w:t>
            </w:r>
            <w:r w:rsidRPr="000E0E13">
              <w:rPr>
                <w:rFonts w:ascii="Arial" w:hAnsi="Arial" w:cs="Arial"/>
                <w:b/>
                <w:bCs/>
                <w:color w:val="000000"/>
                <w:sz w:val="18"/>
                <w:szCs w:val="18"/>
                <w:vertAlign w:val="superscript"/>
                <w:lang w:val="nl-NL" w:eastAsia="nl-NL" w:bidi="ar-SA"/>
              </w:rPr>
              <w:t>b</w:t>
            </w:r>
          </w:p>
        </w:tc>
      </w:tr>
      <w:tr w:rsidR="000E0E13" w:rsidRPr="000E0E13">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Adjusted 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en-US" w:eastAsia="nl-NL" w:bidi="ar-SA"/>
              </w:rPr>
            </w:pPr>
            <w:r w:rsidRPr="000E0E13">
              <w:rPr>
                <w:rFonts w:ascii="Arial" w:hAnsi="Arial" w:cs="Arial"/>
                <w:color w:val="000000"/>
                <w:sz w:val="18"/>
                <w:szCs w:val="18"/>
                <w:lang w:val="en-US" w:eastAsia="nl-NL" w:bidi="ar-SA"/>
              </w:rPr>
              <w:t>Std. Error of the Estimate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Durbin-Watson</w:t>
            </w:r>
          </w:p>
        </w:tc>
      </w:tr>
      <w:tr w:rsidR="000E0E13" w:rsidRPr="000E0E13">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,857</w:t>
            </w:r>
            <w:r w:rsidRPr="000E0E13">
              <w:rPr>
                <w:rFonts w:ascii="Arial" w:hAnsi="Arial" w:cs="Arial"/>
                <w:color w:val="000000"/>
                <w:sz w:val="18"/>
                <w:szCs w:val="18"/>
                <w:vertAlign w:val="superscript"/>
                <w:lang w:val="nl-NL" w:eastAsia="nl-NL" w:bidi="ar-SA"/>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,734</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,686</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6,551275</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1,857</w:t>
            </w:r>
          </w:p>
        </w:tc>
      </w:tr>
      <w:tr w:rsidR="000E0E13" w:rsidRPr="000E0E13">
        <w:trPr>
          <w:cantSplit/>
          <w:tblHeader/>
        </w:trPr>
        <w:tc>
          <w:tcPr>
            <w:tcW w:w="7179" w:type="dxa"/>
            <w:gridSpan w:val="6"/>
            <w:tcBorders>
              <w:top w:val="nil"/>
              <w:left w:val="nil"/>
              <w:bottom w:val="nil"/>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en-US" w:eastAsia="nl-NL" w:bidi="ar-SA"/>
              </w:rPr>
            </w:pPr>
            <w:r w:rsidRPr="000E0E13">
              <w:rPr>
                <w:rFonts w:ascii="Arial" w:hAnsi="Arial" w:cs="Arial"/>
                <w:color w:val="000000"/>
                <w:sz w:val="18"/>
                <w:szCs w:val="18"/>
                <w:lang w:val="en-US" w:eastAsia="nl-NL" w:bidi="ar-SA"/>
              </w:rPr>
              <w:t>a. Predictors: (Constant), TIER, Rank of LEV_ED, ML, CR_TF, Rank of ROA, Rank of TA_USD_MIL</w:t>
            </w:r>
          </w:p>
        </w:tc>
      </w:tr>
      <w:tr w:rsidR="000E0E13" w:rsidRPr="000E0E13">
        <w:trPr>
          <w:cantSplit/>
        </w:trPr>
        <w:tc>
          <w:tcPr>
            <w:tcW w:w="7179" w:type="dxa"/>
            <w:gridSpan w:val="6"/>
            <w:tcBorders>
              <w:top w:val="nil"/>
              <w:left w:val="nil"/>
              <w:bottom w:val="nil"/>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en-US" w:eastAsia="nl-NL" w:bidi="ar-SA"/>
              </w:rPr>
            </w:pPr>
            <w:r w:rsidRPr="000E0E13">
              <w:rPr>
                <w:rFonts w:ascii="Arial" w:hAnsi="Arial" w:cs="Arial"/>
                <w:color w:val="000000"/>
                <w:sz w:val="18"/>
                <w:szCs w:val="18"/>
                <w:lang w:val="en-US" w:eastAsia="nl-NL" w:bidi="ar-SA"/>
              </w:rPr>
              <w:t>b. Dependent Variable: Rank of RDSCORE</w:t>
            </w:r>
          </w:p>
        </w:tc>
      </w:tr>
    </w:tbl>
    <w:p w:rsidR="000E0E13" w:rsidRPr="000E0E13" w:rsidRDefault="000E0E13" w:rsidP="000E0E13">
      <w:pPr>
        <w:autoSpaceDE w:val="0"/>
        <w:autoSpaceDN w:val="0"/>
        <w:adjustRightInd w:val="0"/>
        <w:spacing w:line="400" w:lineRule="atLeast"/>
        <w:rPr>
          <w:rFonts w:cs="Times New Roman"/>
          <w:lang w:val="en-US" w:eastAsia="nl-NL" w:bidi="ar-SA"/>
        </w:rPr>
      </w:pPr>
    </w:p>
    <w:p w:rsidR="000E0E13" w:rsidRPr="00395387" w:rsidRDefault="000E0E13" w:rsidP="000E0E13">
      <w:pPr>
        <w:autoSpaceDE w:val="0"/>
        <w:autoSpaceDN w:val="0"/>
        <w:adjustRightInd w:val="0"/>
        <w:rPr>
          <w:rFonts w:cs="Times New Roman"/>
          <w:lang w:val="en-US" w:eastAsia="nl-NL" w:bidi="ar-SA"/>
        </w:rPr>
      </w:pP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426"/>
        <w:gridCol w:w="2126"/>
        <w:gridCol w:w="850"/>
        <w:gridCol w:w="1134"/>
        <w:gridCol w:w="1134"/>
        <w:gridCol w:w="993"/>
        <w:gridCol w:w="850"/>
        <w:gridCol w:w="992"/>
        <w:gridCol w:w="851"/>
      </w:tblGrid>
      <w:tr w:rsidR="000E0E13" w:rsidRPr="000E0E13" w:rsidTr="00C06879">
        <w:trPr>
          <w:cantSplit/>
          <w:tblHeader/>
        </w:trPr>
        <w:tc>
          <w:tcPr>
            <w:tcW w:w="9356" w:type="dxa"/>
            <w:gridSpan w:val="9"/>
            <w:tcBorders>
              <w:top w:val="nil"/>
              <w:left w:val="nil"/>
              <w:bottom w:val="nil"/>
              <w:right w:val="nil"/>
            </w:tcBorders>
            <w:shd w:val="clear" w:color="auto" w:fill="FFFFFF"/>
            <w:tcMar>
              <w:top w:w="30" w:type="dxa"/>
              <w:left w:w="30" w:type="dxa"/>
              <w:bottom w:w="30" w:type="dxa"/>
              <w:right w:w="30" w:type="dxa"/>
            </w:tcMar>
            <w:vAlign w:val="center"/>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b/>
                <w:bCs/>
                <w:color w:val="000000"/>
                <w:sz w:val="18"/>
                <w:szCs w:val="18"/>
                <w:lang w:val="nl-NL" w:eastAsia="nl-NL" w:bidi="ar-SA"/>
              </w:rPr>
              <w:t>Coefficients</w:t>
            </w:r>
            <w:r w:rsidRPr="000E0E13">
              <w:rPr>
                <w:rFonts w:ascii="Arial" w:hAnsi="Arial" w:cs="Arial"/>
                <w:b/>
                <w:bCs/>
                <w:color w:val="000000"/>
                <w:sz w:val="18"/>
                <w:szCs w:val="18"/>
                <w:vertAlign w:val="superscript"/>
                <w:lang w:val="nl-NL" w:eastAsia="nl-NL" w:bidi="ar-SA"/>
              </w:rPr>
              <w:t>a</w:t>
            </w:r>
          </w:p>
        </w:tc>
      </w:tr>
      <w:tr w:rsidR="000E0E13" w:rsidRPr="000E0E13" w:rsidTr="00C06879">
        <w:trPr>
          <w:cantSplit/>
          <w:tblHeader/>
        </w:trPr>
        <w:tc>
          <w:tcPr>
            <w:tcW w:w="25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Model</w:t>
            </w:r>
          </w:p>
        </w:tc>
        <w:tc>
          <w:tcPr>
            <w:tcW w:w="1984"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Unstandardized Coefficients</w:t>
            </w:r>
          </w:p>
        </w:tc>
        <w:tc>
          <w:tcPr>
            <w:tcW w:w="1134" w:type="dxa"/>
            <w:tcBorders>
              <w:top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Standardized Coefficients</w:t>
            </w:r>
          </w:p>
        </w:tc>
        <w:tc>
          <w:tcPr>
            <w:tcW w:w="993"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t</w:t>
            </w:r>
          </w:p>
        </w:tc>
        <w:tc>
          <w:tcPr>
            <w:tcW w:w="85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Sig.</w:t>
            </w:r>
          </w:p>
        </w:tc>
        <w:tc>
          <w:tcPr>
            <w:tcW w:w="1843"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Collinearity Statistics</w:t>
            </w:r>
          </w:p>
        </w:tc>
      </w:tr>
      <w:tr w:rsidR="000E0E13" w:rsidRPr="000E0E13" w:rsidTr="00C06879">
        <w:trPr>
          <w:cantSplit/>
          <w:tblHeader/>
        </w:trPr>
        <w:tc>
          <w:tcPr>
            <w:tcW w:w="25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85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B</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Std. Error</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Beta</w:t>
            </w:r>
          </w:p>
        </w:tc>
        <w:tc>
          <w:tcPr>
            <w:tcW w:w="993"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85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992" w:type="dxa"/>
            <w:tcBorders>
              <w:bottom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Tolerance</w:t>
            </w:r>
          </w:p>
        </w:tc>
        <w:tc>
          <w:tcPr>
            <w:tcW w:w="851"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0E0E13" w:rsidRPr="000E0E13" w:rsidRDefault="000E0E13" w:rsidP="000E0E13">
            <w:pPr>
              <w:autoSpaceDE w:val="0"/>
              <w:autoSpaceDN w:val="0"/>
              <w:adjustRightInd w:val="0"/>
              <w:spacing w:line="320" w:lineRule="atLeast"/>
              <w:jc w:val="center"/>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VIF</w:t>
            </w:r>
          </w:p>
        </w:tc>
      </w:tr>
      <w:tr w:rsidR="00C06879" w:rsidRPr="000E0E13" w:rsidTr="00C06879">
        <w:trPr>
          <w:cantSplit/>
          <w:tblHeader/>
        </w:trPr>
        <w:tc>
          <w:tcPr>
            <w:tcW w:w="4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w:t>
            </w:r>
          </w:p>
        </w:tc>
        <w:tc>
          <w:tcPr>
            <w:tcW w:w="2126"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(Constant)</w:t>
            </w:r>
          </w:p>
        </w:tc>
        <w:tc>
          <w:tcPr>
            <w:tcW w:w="85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3,348</w:t>
            </w:r>
          </w:p>
        </w:tc>
        <w:tc>
          <w:tcPr>
            <w:tcW w:w="1134" w:type="dxa"/>
            <w:tcBorders>
              <w:top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8,354</w:t>
            </w:r>
          </w:p>
        </w:tc>
        <w:tc>
          <w:tcPr>
            <w:tcW w:w="1134" w:type="dxa"/>
            <w:tcBorders>
              <w:top w:val="single" w:sz="16" w:space="0" w:color="000000"/>
              <w:bottom w:val="nil"/>
            </w:tcBorders>
            <w:shd w:val="clear" w:color="auto" w:fill="FFFFFF"/>
            <w:tcMar>
              <w:top w:w="30" w:type="dxa"/>
              <w:left w:w="30" w:type="dxa"/>
              <w:bottom w:w="30" w:type="dxa"/>
              <w:right w:w="30" w:type="dxa"/>
            </w:tcMar>
            <w:vAlign w:val="center"/>
          </w:tcPr>
          <w:p w:rsidR="000E0E13" w:rsidRPr="000E0E13" w:rsidRDefault="000E0E13" w:rsidP="000E0E13">
            <w:pPr>
              <w:autoSpaceDE w:val="0"/>
              <w:autoSpaceDN w:val="0"/>
              <w:adjustRightInd w:val="0"/>
              <w:jc w:val="center"/>
              <w:rPr>
                <w:rFonts w:cs="Times New Roman"/>
                <w:lang w:val="nl-NL" w:eastAsia="nl-NL" w:bidi="ar-SA"/>
              </w:rPr>
            </w:pPr>
          </w:p>
        </w:tc>
        <w:tc>
          <w:tcPr>
            <w:tcW w:w="993" w:type="dxa"/>
            <w:tcBorders>
              <w:top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,401</w:t>
            </w:r>
          </w:p>
        </w:tc>
        <w:tc>
          <w:tcPr>
            <w:tcW w:w="850" w:type="dxa"/>
            <w:tcBorders>
              <w:top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,691</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0E0E13" w:rsidRPr="000E0E13" w:rsidRDefault="000E0E13" w:rsidP="000E0E13">
            <w:pPr>
              <w:autoSpaceDE w:val="0"/>
              <w:autoSpaceDN w:val="0"/>
              <w:adjustRightInd w:val="0"/>
              <w:jc w:val="center"/>
              <w:rPr>
                <w:rFonts w:cs="Times New Roman"/>
                <w:lang w:val="nl-NL" w:eastAsia="nl-NL" w:bidi="ar-SA"/>
              </w:rPr>
            </w:pPr>
          </w:p>
        </w:tc>
        <w:tc>
          <w:tcPr>
            <w:tcW w:w="851"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0E0E13" w:rsidRPr="000E0E13" w:rsidRDefault="000E0E13" w:rsidP="000E0E13">
            <w:pPr>
              <w:autoSpaceDE w:val="0"/>
              <w:autoSpaceDN w:val="0"/>
              <w:adjustRightInd w:val="0"/>
              <w:jc w:val="center"/>
              <w:rPr>
                <w:rFonts w:cs="Times New Roman"/>
                <w:lang w:val="nl-NL" w:eastAsia="nl-NL" w:bidi="ar-SA"/>
              </w:rPr>
            </w:pPr>
          </w:p>
        </w:tc>
      </w:tr>
      <w:tr w:rsidR="00C06879" w:rsidRPr="000E0E13" w:rsidTr="00C06879">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cs="Times New Roman"/>
                <w:lang w:val="nl-NL" w:eastAsia="nl-NL" w:bidi="ar-SA"/>
              </w:rPr>
            </w:pPr>
          </w:p>
        </w:tc>
        <w:tc>
          <w:tcPr>
            <w:tcW w:w="2126" w:type="dxa"/>
            <w:tcBorders>
              <w:top w:val="nil"/>
              <w:left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en-US" w:eastAsia="nl-NL" w:bidi="ar-SA"/>
              </w:rPr>
            </w:pPr>
            <w:r w:rsidRPr="000E0E13">
              <w:rPr>
                <w:rFonts w:ascii="Arial" w:hAnsi="Arial" w:cs="Arial"/>
                <w:color w:val="000000"/>
                <w:sz w:val="18"/>
                <w:szCs w:val="18"/>
                <w:lang w:val="en-US" w:eastAsia="nl-NL" w:bidi="ar-SA"/>
              </w:rPr>
              <w:t>Rank of TA_USD_MIL</w:t>
            </w:r>
          </w:p>
        </w:tc>
        <w:tc>
          <w:tcPr>
            <w:tcW w:w="850" w:type="dxa"/>
            <w:tcBorders>
              <w:top w:val="nil"/>
              <w:left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,769</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,179</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,769</w:t>
            </w:r>
          </w:p>
        </w:tc>
        <w:tc>
          <w:tcPr>
            <w:tcW w:w="993"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4,284</w:t>
            </w:r>
          </w:p>
        </w:tc>
        <w:tc>
          <w:tcPr>
            <w:tcW w:w="850"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,000</w:t>
            </w:r>
          </w:p>
        </w:tc>
        <w:tc>
          <w:tcPr>
            <w:tcW w:w="992"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,250</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3,997</w:t>
            </w:r>
          </w:p>
        </w:tc>
      </w:tr>
      <w:tr w:rsidR="00C06879" w:rsidRPr="000E0E13" w:rsidTr="00C06879">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2126" w:type="dxa"/>
            <w:tcBorders>
              <w:top w:val="nil"/>
              <w:left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Rank of ROA</w:t>
            </w:r>
          </w:p>
        </w:tc>
        <w:tc>
          <w:tcPr>
            <w:tcW w:w="850" w:type="dxa"/>
            <w:tcBorders>
              <w:top w:val="nil"/>
              <w:left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,071</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,132</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,071</w:t>
            </w:r>
          </w:p>
        </w:tc>
        <w:tc>
          <w:tcPr>
            <w:tcW w:w="993"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,537</w:t>
            </w:r>
          </w:p>
        </w:tc>
        <w:tc>
          <w:tcPr>
            <w:tcW w:w="850"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,595</w:t>
            </w:r>
          </w:p>
        </w:tc>
        <w:tc>
          <w:tcPr>
            <w:tcW w:w="992"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,461</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2,171</w:t>
            </w:r>
          </w:p>
        </w:tc>
      </w:tr>
      <w:tr w:rsidR="00C06879" w:rsidRPr="000E0E13" w:rsidTr="00C06879">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2126" w:type="dxa"/>
            <w:tcBorders>
              <w:top w:val="nil"/>
              <w:left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Rank of LEV_ED</w:t>
            </w:r>
          </w:p>
        </w:tc>
        <w:tc>
          <w:tcPr>
            <w:tcW w:w="850" w:type="dxa"/>
            <w:tcBorders>
              <w:top w:val="nil"/>
              <w:left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-,034</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,187</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-,034</w:t>
            </w:r>
          </w:p>
        </w:tc>
        <w:tc>
          <w:tcPr>
            <w:tcW w:w="993"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-,183</w:t>
            </w:r>
          </w:p>
        </w:tc>
        <w:tc>
          <w:tcPr>
            <w:tcW w:w="850"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,856</w:t>
            </w:r>
          </w:p>
        </w:tc>
        <w:tc>
          <w:tcPr>
            <w:tcW w:w="992"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,230</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4,350</w:t>
            </w:r>
          </w:p>
        </w:tc>
      </w:tr>
      <w:tr w:rsidR="00C06879" w:rsidRPr="000E0E13" w:rsidTr="00C06879">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2126" w:type="dxa"/>
            <w:tcBorders>
              <w:top w:val="nil"/>
              <w:left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ML</w:t>
            </w:r>
          </w:p>
        </w:tc>
        <w:tc>
          <w:tcPr>
            <w:tcW w:w="850" w:type="dxa"/>
            <w:tcBorders>
              <w:top w:val="nil"/>
              <w:left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3,353</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3,326</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,126</w:t>
            </w:r>
          </w:p>
        </w:tc>
        <w:tc>
          <w:tcPr>
            <w:tcW w:w="993"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1,008</w:t>
            </w:r>
          </w:p>
        </w:tc>
        <w:tc>
          <w:tcPr>
            <w:tcW w:w="850"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,321</w:t>
            </w:r>
          </w:p>
        </w:tc>
        <w:tc>
          <w:tcPr>
            <w:tcW w:w="992"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,517</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1,934</w:t>
            </w:r>
          </w:p>
        </w:tc>
      </w:tr>
      <w:tr w:rsidR="00C06879" w:rsidRPr="000E0E13" w:rsidTr="00C06879">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2126" w:type="dxa"/>
            <w:tcBorders>
              <w:top w:val="nil"/>
              <w:left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CR_TF</w:t>
            </w:r>
          </w:p>
        </w:tc>
        <w:tc>
          <w:tcPr>
            <w:tcW w:w="850" w:type="dxa"/>
            <w:tcBorders>
              <w:top w:val="nil"/>
              <w:left w:val="single" w:sz="16" w:space="0" w:color="000000"/>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-,263</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1,788</w:t>
            </w:r>
          </w:p>
        </w:tc>
        <w:tc>
          <w:tcPr>
            <w:tcW w:w="1134"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-,022</w:t>
            </w:r>
          </w:p>
        </w:tc>
        <w:tc>
          <w:tcPr>
            <w:tcW w:w="993"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-,147</w:t>
            </w:r>
          </w:p>
        </w:tc>
        <w:tc>
          <w:tcPr>
            <w:tcW w:w="850"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,884</w:t>
            </w:r>
          </w:p>
        </w:tc>
        <w:tc>
          <w:tcPr>
            <w:tcW w:w="992" w:type="dxa"/>
            <w:tcBorders>
              <w:top w:val="nil"/>
              <w:bottom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,374</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2,675</w:t>
            </w:r>
          </w:p>
        </w:tc>
      </w:tr>
      <w:tr w:rsidR="00C06879" w:rsidRPr="000E0E13" w:rsidTr="00C06879">
        <w:trPr>
          <w:cantSplit/>
          <w:tblHeader/>
        </w:trPr>
        <w:tc>
          <w:tcPr>
            <w:tcW w:w="4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ascii="Arial" w:hAnsi="Arial" w:cs="Arial"/>
                <w:color w:val="000000"/>
                <w:sz w:val="18"/>
                <w:szCs w:val="18"/>
                <w:lang w:val="nl-NL" w:eastAsia="nl-NL" w:bidi="ar-SA"/>
              </w:rPr>
            </w:pPr>
          </w:p>
        </w:tc>
        <w:tc>
          <w:tcPr>
            <w:tcW w:w="2126"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TIER</w:t>
            </w:r>
          </w:p>
        </w:tc>
        <w:tc>
          <w:tcPr>
            <w:tcW w:w="85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1,738</w:t>
            </w:r>
          </w:p>
        </w:tc>
        <w:tc>
          <w:tcPr>
            <w:tcW w:w="1134"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2,355</w:t>
            </w:r>
          </w:p>
        </w:tc>
        <w:tc>
          <w:tcPr>
            <w:tcW w:w="1134"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,072</w:t>
            </w:r>
          </w:p>
        </w:tc>
        <w:tc>
          <w:tcPr>
            <w:tcW w:w="993"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,738</w:t>
            </w:r>
          </w:p>
        </w:tc>
        <w:tc>
          <w:tcPr>
            <w:tcW w:w="850"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,466</w:t>
            </w:r>
          </w:p>
        </w:tc>
        <w:tc>
          <w:tcPr>
            <w:tcW w:w="992"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,850</w:t>
            </w:r>
          </w:p>
        </w:tc>
        <w:tc>
          <w:tcPr>
            <w:tcW w:w="85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1,176</w:t>
            </w:r>
          </w:p>
        </w:tc>
      </w:tr>
      <w:tr w:rsidR="000E0E13" w:rsidRPr="000E0E13" w:rsidTr="00C06879">
        <w:trPr>
          <w:cantSplit/>
        </w:trPr>
        <w:tc>
          <w:tcPr>
            <w:tcW w:w="9356" w:type="dxa"/>
            <w:gridSpan w:val="9"/>
            <w:tcBorders>
              <w:top w:val="nil"/>
              <w:left w:val="nil"/>
              <w:bottom w:val="nil"/>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en-US" w:eastAsia="nl-NL" w:bidi="ar-SA"/>
              </w:rPr>
            </w:pPr>
            <w:r w:rsidRPr="000E0E13">
              <w:rPr>
                <w:rFonts w:ascii="Arial" w:hAnsi="Arial" w:cs="Arial"/>
                <w:color w:val="000000"/>
                <w:sz w:val="18"/>
                <w:szCs w:val="18"/>
                <w:lang w:val="en-US" w:eastAsia="nl-NL" w:bidi="ar-SA"/>
              </w:rPr>
              <w:t>a. Dependent Variable: Rank of RDSCORE</w:t>
            </w:r>
          </w:p>
        </w:tc>
      </w:tr>
    </w:tbl>
    <w:p w:rsidR="000E0E13" w:rsidRPr="000E0E13" w:rsidRDefault="000E0E13" w:rsidP="000E0E13">
      <w:pPr>
        <w:autoSpaceDE w:val="0"/>
        <w:autoSpaceDN w:val="0"/>
        <w:adjustRightInd w:val="0"/>
        <w:spacing w:line="400" w:lineRule="atLeast"/>
        <w:rPr>
          <w:rFonts w:cs="Times New Roman"/>
          <w:lang w:val="en-US" w:eastAsia="nl-NL" w:bidi="ar-SA"/>
        </w:rPr>
      </w:pPr>
    </w:p>
    <w:p w:rsidR="000E0E13" w:rsidRPr="000E0E13" w:rsidRDefault="000E0E13" w:rsidP="000E0E13">
      <w:pPr>
        <w:autoSpaceDE w:val="0"/>
        <w:autoSpaceDN w:val="0"/>
        <w:adjustRightInd w:val="0"/>
        <w:rPr>
          <w:rFonts w:cs="Times New Roman"/>
          <w:lang w:val="en-US" w:eastAsia="nl-NL" w:bidi="ar-SA"/>
        </w:rPr>
      </w:pP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825"/>
        <w:gridCol w:w="850"/>
        <w:gridCol w:w="1134"/>
        <w:gridCol w:w="1134"/>
        <w:gridCol w:w="993"/>
        <w:gridCol w:w="850"/>
        <w:gridCol w:w="992"/>
        <w:gridCol w:w="851"/>
      </w:tblGrid>
      <w:tr w:rsidR="000E0E13" w:rsidRPr="000E0E13" w:rsidTr="00C06879">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rPr>
                <w:rFonts w:ascii="Arial" w:hAnsi="Arial" w:cs="Arial"/>
                <w:color w:val="000000"/>
                <w:sz w:val="18"/>
                <w:szCs w:val="18"/>
                <w:lang w:val="en-US" w:eastAsia="nl-NL" w:bidi="ar-SA"/>
              </w:rPr>
            </w:pPr>
          </w:p>
        </w:tc>
        <w:tc>
          <w:tcPr>
            <w:tcW w:w="18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Rank of NONEXEC</w:t>
            </w:r>
          </w:p>
        </w:tc>
        <w:tc>
          <w:tcPr>
            <w:tcW w:w="85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-,171</w:t>
            </w:r>
          </w:p>
        </w:tc>
        <w:tc>
          <w:tcPr>
            <w:tcW w:w="1134"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,220</w:t>
            </w:r>
          </w:p>
        </w:tc>
        <w:tc>
          <w:tcPr>
            <w:tcW w:w="1134"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-,110</w:t>
            </w:r>
          </w:p>
        </w:tc>
        <w:tc>
          <w:tcPr>
            <w:tcW w:w="993"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-,779</w:t>
            </w:r>
          </w:p>
        </w:tc>
        <w:tc>
          <w:tcPr>
            <w:tcW w:w="850"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,446</w:t>
            </w:r>
          </w:p>
        </w:tc>
        <w:tc>
          <w:tcPr>
            <w:tcW w:w="992" w:type="dxa"/>
            <w:tcBorders>
              <w:top w:val="nil"/>
              <w:bottom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,723</w:t>
            </w:r>
          </w:p>
        </w:tc>
        <w:tc>
          <w:tcPr>
            <w:tcW w:w="85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jc w:val="right"/>
              <w:rPr>
                <w:rFonts w:ascii="Arial" w:hAnsi="Arial" w:cs="Arial"/>
                <w:color w:val="000000"/>
                <w:sz w:val="18"/>
                <w:szCs w:val="18"/>
                <w:lang w:val="nl-NL" w:eastAsia="nl-NL" w:bidi="ar-SA"/>
              </w:rPr>
            </w:pPr>
            <w:r w:rsidRPr="000E0E13">
              <w:rPr>
                <w:rFonts w:ascii="Arial" w:hAnsi="Arial" w:cs="Arial"/>
                <w:color w:val="000000"/>
                <w:sz w:val="18"/>
                <w:szCs w:val="18"/>
                <w:lang w:val="nl-NL" w:eastAsia="nl-NL" w:bidi="ar-SA"/>
              </w:rPr>
              <w:t>1,383</w:t>
            </w:r>
          </w:p>
        </w:tc>
      </w:tr>
      <w:tr w:rsidR="000E0E13" w:rsidRPr="000E0E13" w:rsidTr="00C06879">
        <w:trPr>
          <w:cantSplit/>
        </w:trPr>
        <w:tc>
          <w:tcPr>
            <w:tcW w:w="9356" w:type="dxa"/>
            <w:gridSpan w:val="9"/>
            <w:tcBorders>
              <w:top w:val="nil"/>
              <w:left w:val="nil"/>
              <w:bottom w:val="nil"/>
              <w:right w:val="nil"/>
            </w:tcBorders>
            <w:shd w:val="clear" w:color="auto" w:fill="FFFFFF"/>
            <w:tcMar>
              <w:top w:w="30" w:type="dxa"/>
              <w:left w:w="30" w:type="dxa"/>
              <w:bottom w:w="30" w:type="dxa"/>
              <w:right w:w="30" w:type="dxa"/>
            </w:tcMar>
          </w:tcPr>
          <w:p w:rsidR="000E0E13" w:rsidRPr="000E0E13" w:rsidRDefault="000E0E13" w:rsidP="000E0E13">
            <w:pPr>
              <w:autoSpaceDE w:val="0"/>
              <w:autoSpaceDN w:val="0"/>
              <w:adjustRightInd w:val="0"/>
              <w:spacing w:line="320" w:lineRule="atLeast"/>
              <w:rPr>
                <w:rFonts w:ascii="Arial" w:hAnsi="Arial" w:cs="Arial"/>
                <w:color w:val="000000"/>
                <w:sz w:val="18"/>
                <w:szCs w:val="18"/>
                <w:lang w:val="en-US" w:eastAsia="nl-NL" w:bidi="ar-SA"/>
              </w:rPr>
            </w:pPr>
          </w:p>
        </w:tc>
      </w:tr>
    </w:tbl>
    <w:p w:rsidR="000E0E13" w:rsidRPr="000E0E13" w:rsidRDefault="000E0E13" w:rsidP="000E0E13">
      <w:pPr>
        <w:autoSpaceDE w:val="0"/>
        <w:autoSpaceDN w:val="0"/>
        <w:adjustRightInd w:val="0"/>
        <w:spacing w:line="400" w:lineRule="atLeast"/>
        <w:rPr>
          <w:rFonts w:cs="Times New Roman"/>
          <w:lang w:val="en-US" w:eastAsia="nl-NL" w:bidi="ar-SA"/>
        </w:rPr>
      </w:pPr>
    </w:p>
    <w:p w:rsidR="00E249F5" w:rsidRPr="00A63FAE" w:rsidRDefault="00E249F5">
      <w:pPr>
        <w:spacing w:line="360" w:lineRule="auto"/>
        <w:rPr>
          <w:rFonts w:cs="Times New Roman"/>
          <w:sz w:val="22"/>
          <w:szCs w:val="22"/>
          <w:lang w:val="en-US"/>
        </w:rPr>
      </w:pPr>
    </w:p>
    <w:sectPr w:rsidR="00E249F5" w:rsidRPr="00A63FAE" w:rsidSect="000177F7">
      <w:footerReference w:type="default" r:id="rId30"/>
      <w:pgSz w:w="11906" w:h="16838" w:code="9"/>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0EAE" w:rsidRDefault="00090EAE" w:rsidP="00141170">
      <w:r>
        <w:separator/>
      </w:r>
    </w:p>
  </w:endnote>
  <w:endnote w:type="continuationSeparator" w:id="0">
    <w:p w:rsidR="00090EAE" w:rsidRDefault="00090EAE" w:rsidP="0014117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EYInterstate Light">
    <w:altName w:val="Franklin Gothic Medium Cond"/>
    <w:charset w:val="00"/>
    <w:family w:val="auto"/>
    <w:pitch w:val="variable"/>
    <w:sig w:usb0="00000001" w:usb1="5000206A" w:usb2="00000000" w:usb3="00000000" w:csb0="0000009F" w:csb1="00000000"/>
  </w:font>
  <w:font w:name="DCANMK+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0F1" w:rsidRPr="008407EA" w:rsidRDefault="00EA10F1" w:rsidP="005F4859">
    <w:pPr>
      <w:pStyle w:val="Voettekst"/>
      <w:tabs>
        <w:tab w:val="clear" w:pos="4536"/>
        <w:tab w:val="clear" w:pos="9072"/>
        <w:tab w:val="center" w:pos="4535"/>
        <w:tab w:val="right" w:pos="9070"/>
      </w:tabs>
      <w:rPr>
        <w:rFonts w:asciiTheme="minorHAnsi" w:hAnsiTheme="minorHAnsi"/>
      </w:rPr>
    </w:pPr>
    <w:r>
      <w:tab/>
    </w:r>
    <w:r>
      <w:tab/>
    </w:r>
    <w:r w:rsidRPr="008407EA">
      <w:rPr>
        <w:rFonts w:asciiTheme="minorHAnsi" w:hAnsiTheme="minorHAnsi"/>
      </w:rPr>
      <w:fldChar w:fldCharType="begin"/>
    </w:r>
    <w:r w:rsidRPr="008407EA">
      <w:rPr>
        <w:rFonts w:asciiTheme="minorHAnsi" w:hAnsiTheme="minorHAnsi"/>
      </w:rPr>
      <w:instrText xml:space="preserve"> PAGE   \* MERGEFORMAT </w:instrText>
    </w:r>
    <w:r w:rsidRPr="008407EA">
      <w:rPr>
        <w:rFonts w:asciiTheme="minorHAnsi" w:hAnsiTheme="minorHAnsi"/>
      </w:rPr>
      <w:fldChar w:fldCharType="separate"/>
    </w:r>
    <w:r w:rsidR="00C47573">
      <w:rPr>
        <w:rFonts w:asciiTheme="minorHAnsi" w:hAnsiTheme="minorHAnsi"/>
        <w:noProof/>
      </w:rPr>
      <w:t>3</w:t>
    </w:r>
    <w:r w:rsidRPr="008407EA">
      <w:rPr>
        <w:rFonts w:asciiTheme="minorHAnsi" w:hAnsiTheme="minorHAnsi"/>
      </w:rPr>
      <w:fldChar w:fldCharType="end"/>
    </w:r>
  </w:p>
  <w:p w:rsidR="00EA10F1" w:rsidRDefault="00EA10F1">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0EAE" w:rsidRDefault="00090EAE" w:rsidP="00141170">
      <w:r>
        <w:separator/>
      </w:r>
    </w:p>
  </w:footnote>
  <w:footnote w:type="continuationSeparator" w:id="0">
    <w:p w:rsidR="00090EAE" w:rsidRDefault="00090EAE" w:rsidP="00141170">
      <w:r>
        <w:continuationSeparator/>
      </w:r>
    </w:p>
  </w:footnote>
  <w:footnote w:id="1">
    <w:p w:rsidR="00EA10F1" w:rsidRPr="00067583" w:rsidRDefault="00EA10F1" w:rsidP="005021E4">
      <w:pPr>
        <w:pStyle w:val="Voetnoottekst"/>
        <w:rPr>
          <w:rFonts w:asciiTheme="minorHAnsi" w:hAnsiTheme="minorHAnsi"/>
          <w:lang w:val="en-US"/>
        </w:rPr>
      </w:pPr>
      <w:r w:rsidRPr="00067583">
        <w:rPr>
          <w:rStyle w:val="Voetnootmarkering"/>
          <w:rFonts w:asciiTheme="minorHAnsi" w:hAnsiTheme="minorHAnsi"/>
        </w:rPr>
        <w:footnoteRef/>
      </w:r>
      <w:r w:rsidRPr="00067583">
        <w:rPr>
          <w:rFonts w:asciiTheme="minorHAnsi" w:hAnsiTheme="minorHAnsi"/>
        </w:rPr>
        <w:t xml:space="preserve"> </w:t>
      </w:r>
      <w:r w:rsidRPr="00067583">
        <w:rPr>
          <w:rFonts w:asciiTheme="minorHAnsi" w:hAnsiTheme="minorHAnsi"/>
          <w:i/>
        </w:rPr>
        <w:t>E-mail address</w:t>
      </w:r>
      <w:r w:rsidRPr="00067583">
        <w:rPr>
          <w:rFonts w:asciiTheme="minorHAnsi" w:hAnsiTheme="minorHAnsi"/>
        </w:rPr>
        <w:t>: jaapwillemdon@live.com</w:t>
      </w:r>
    </w:p>
  </w:footnote>
  <w:footnote w:id="2">
    <w:p w:rsidR="00EA10F1" w:rsidRPr="00697666" w:rsidRDefault="00EA10F1">
      <w:pPr>
        <w:pStyle w:val="Voetnoottekst"/>
        <w:rPr>
          <w:rFonts w:asciiTheme="minorHAnsi" w:hAnsiTheme="minorHAnsi"/>
          <w:sz w:val="18"/>
          <w:szCs w:val="18"/>
          <w:lang w:val="en-US"/>
        </w:rPr>
      </w:pPr>
      <w:r w:rsidRPr="00697666">
        <w:rPr>
          <w:rStyle w:val="Voetnootmarkering"/>
          <w:rFonts w:asciiTheme="minorHAnsi" w:hAnsiTheme="minorHAnsi"/>
          <w:sz w:val="18"/>
          <w:szCs w:val="18"/>
        </w:rPr>
        <w:footnoteRef/>
      </w:r>
      <w:r w:rsidRPr="00697666">
        <w:rPr>
          <w:rFonts w:asciiTheme="minorHAnsi" w:hAnsiTheme="minorHAnsi"/>
          <w:sz w:val="18"/>
          <w:szCs w:val="18"/>
        </w:rPr>
        <w:t xml:space="preserve"> Consisting of the Directives 2006/48/EC and 2006/49/EC.</w:t>
      </w:r>
    </w:p>
  </w:footnote>
  <w:footnote w:id="3">
    <w:p w:rsidR="00EA10F1" w:rsidRPr="00697666" w:rsidRDefault="00EA10F1">
      <w:pPr>
        <w:pStyle w:val="Voetnoottekst"/>
        <w:rPr>
          <w:rFonts w:asciiTheme="minorHAnsi" w:hAnsiTheme="minorHAnsi"/>
          <w:sz w:val="18"/>
        </w:rPr>
      </w:pPr>
      <w:r w:rsidRPr="00697666">
        <w:rPr>
          <w:rStyle w:val="Voetnootmarkering"/>
          <w:rFonts w:asciiTheme="minorHAnsi" w:hAnsiTheme="minorHAnsi"/>
          <w:sz w:val="18"/>
        </w:rPr>
        <w:footnoteRef/>
      </w:r>
      <w:r w:rsidRPr="00697666">
        <w:rPr>
          <w:rFonts w:asciiTheme="minorHAnsi" w:hAnsiTheme="minorHAnsi"/>
          <w:sz w:val="18"/>
        </w:rPr>
        <w:t xml:space="preserve"> A positive theory is a theory that seeks to explain and predict particular phenomena (Deegan and Unerman, 2006, p. 206)</w:t>
      </w:r>
    </w:p>
  </w:footnote>
  <w:footnote w:id="4">
    <w:p w:rsidR="00EA10F1" w:rsidRPr="00697666" w:rsidRDefault="00EA10F1">
      <w:pPr>
        <w:pStyle w:val="Voetnoottekst"/>
        <w:rPr>
          <w:rFonts w:asciiTheme="minorHAnsi" w:hAnsiTheme="minorHAnsi"/>
          <w:sz w:val="18"/>
          <w:lang w:val="en-US"/>
        </w:rPr>
      </w:pPr>
      <w:r w:rsidRPr="00697666">
        <w:rPr>
          <w:rStyle w:val="Voetnootmarkering"/>
          <w:rFonts w:asciiTheme="minorHAnsi" w:hAnsiTheme="minorHAnsi"/>
          <w:sz w:val="18"/>
        </w:rPr>
        <w:footnoteRef/>
      </w:r>
      <w:r w:rsidRPr="00697666">
        <w:rPr>
          <w:rFonts w:asciiTheme="minorHAnsi" w:hAnsiTheme="minorHAnsi"/>
          <w:sz w:val="18"/>
        </w:rPr>
        <w:t xml:space="preserve"> See also </w:t>
      </w:r>
      <w:r w:rsidRPr="00697666">
        <w:rPr>
          <w:rFonts w:asciiTheme="minorHAnsi" w:hAnsiTheme="minorHAnsi"/>
          <w:sz w:val="18"/>
          <w:lang w:val="en-US"/>
        </w:rPr>
        <w:t>Amran et al. (2009, p. 51).</w:t>
      </w:r>
    </w:p>
  </w:footnote>
  <w:footnote w:id="5">
    <w:p w:rsidR="00EA10F1" w:rsidRPr="00A62C7E" w:rsidRDefault="00EA10F1">
      <w:pPr>
        <w:pStyle w:val="Voetnoottekst"/>
        <w:rPr>
          <w:sz w:val="18"/>
          <w:szCs w:val="20"/>
          <w:lang w:val="en-US"/>
        </w:rPr>
      </w:pPr>
      <w:r w:rsidRPr="00B9319A">
        <w:rPr>
          <w:rStyle w:val="Voetnootmarkering"/>
          <w:sz w:val="18"/>
        </w:rPr>
        <w:footnoteRef/>
      </w:r>
      <w:r w:rsidRPr="00B9319A">
        <w:rPr>
          <w:sz w:val="18"/>
        </w:rPr>
        <w:t xml:space="preserve"> </w:t>
      </w:r>
      <w:r w:rsidRPr="00B9319A">
        <w:rPr>
          <w:rFonts w:cs="Times New Roman"/>
          <w:sz w:val="18"/>
          <w:szCs w:val="20"/>
          <w:lang w:val="en-US"/>
        </w:rPr>
        <w:t>This is also argued by Solomon et al. (2000, p. 450) and Dobler (2008, p. 187).</w:t>
      </w:r>
    </w:p>
  </w:footnote>
  <w:footnote w:id="6">
    <w:p w:rsidR="00EA10F1" w:rsidRPr="00697666" w:rsidRDefault="00EA10F1">
      <w:pPr>
        <w:pStyle w:val="Voetnoottekst"/>
        <w:rPr>
          <w:rFonts w:asciiTheme="minorHAnsi" w:hAnsiTheme="minorHAnsi"/>
          <w:sz w:val="18"/>
          <w:szCs w:val="18"/>
          <w:lang w:val="en-US"/>
        </w:rPr>
      </w:pPr>
      <w:r w:rsidRPr="00697666">
        <w:rPr>
          <w:rStyle w:val="Voetnootmarkering"/>
          <w:rFonts w:asciiTheme="minorHAnsi" w:hAnsiTheme="minorHAnsi"/>
          <w:sz w:val="18"/>
          <w:szCs w:val="18"/>
          <w:lang w:val="en-US"/>
        </w:rPr>
        <w:footnoteRef/>
      </w:r>
      <w:r w:rsidRPr="00697666">
        <w:rPr>
          <w:rFonts w:asciiTheme="minorHAnsi" w:hAnsiTheme="minorHAnsi"/>
          <w:sz w:val="18"/>
          <w:szCs w:val="18"/>
          <w:lang w:val="en-US"/>
        </w:rPr>
        <w:t xml:space="preserve"> QuiScores are developed and maintained by CRIF Decision Solutions Ltd. and are measures of the likelihood of company failure in the year following the date of calculation.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830AD"/>
    <w:multiLevelType w:val="hybridMultilevel"/>
    <w:tmpl w:val="1ACEC52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0124765D"/>
    <w:multiLevelType w:val="hybridMultilevel"/>
    <w:tmpl w:val="63B6C1AE"/>
    <w:lvl w:ilvl="0" w:tplc="0409000F">
      <w:start w:val="1"/>
      <w:numFmt w:val="decimal"/>
      <w:lvlText w:val="%1."/>
      <w:lvlJc w:val="left"/>
      <w:pPr>
        <w:tabs>
          <w:tab w:val="num" w:pos="720"/>
        </w:tabs>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15E1942"/>
    <w:multiLevelType w:val="hybridMultilevel"/>
    <w:tmpl w:val="2916A4CA"/>
    <w:lvl w:ilvl="0" w:tplc="04130005">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
    <w:nsid w:val="0AA50C59"/>
    <w:multiLevelType w:val="hybridMultilevel"/>
    <w:tmpl w:val="CA44214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CF66F08"/>
    <w:multiLevelType w:val="hybridMultilevel"/>
    <w:tmpl w:val="8FAAE87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0D603F68"/>
    <w:multiLevelType w:val="hybridMultilevel"/>
    <w:tmpl w:val="63B6C1AE"/>
    <w:lvl w:ilvl="0" w:tplc="0409000F">
      <w:start w:val="1"/>
      <w:numFmt w:val="decimal"/>
      <w:lvlText w:val="%1."/>
      <w:lvlJc w:val="left"/>
      <w:pPr>
        <w:tabs>
          <w:tab w:val="num" w:pos="720"/>
        </w:tabs>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05123B0"/>
    <w:multiLevelType w:val="hybridMultilevel"/>
    <w:tmpl w:val="A9386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12E3B23"/>
    <w:multiLevelType w:val="hybridMultilevel"/>
    <w:tmpl w:val="913AD294"/>
    <w:lvl w:ilvl="0" w:tplc="7C64AE7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3F375C4"/>
    <w:multiLevelType w:val="hybridMultilevel"/>
    <w:tmpl w:val="86B416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17C76432"/>
    <w:multiLevelType w:val="hybridMultilevel"/>
    <w:tmpl w:val="1E76F3C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90E72E7"/>
    <w:multiLevelType w:val="hybridMultilevel"/>
    <w:tmpl w:val="FD76386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3DE28A7"/>
    <w:multiLevelType w:val="hybridMultilevel"/>
    <w:tmpl w:val="741832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7B25A0A"/>
    <w:multiLevelType w:val="hybridMultilevel"/>
    <w:tmpl w:val="D194C684"/>
    <w:lvl w:ilvl="0" w:tplc="04130005">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AC42391"/>
    <w:multiLevelType w:val="hybridMultilevel"/>
    <w:tmpl w:val="69AEA99E"/>
    <w:lvl w:ilvl="0" w:tplc="7180C88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F921520"/>
    <w:multiLevelType w:val="hybridMultilevel"/>
    <w:tmpl w:val="F4A057D0"/>
    <w:lvl w:ilvl="0" w:tplc="68BC81E0">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5">
    <w:nsid w:val="40BE69A8"/>
    <w:multiLevelType w:val="hybridMultilevel"/>
    <w:tmpl w:val="4E5EDB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48E23B16"/>
    <w:multiLevelType w:val="multilevel"/>
    <w:tmpl w:val="E0829B76"/>
    <w:lvl w:ilvl="0">
      <w:start w:val="2"/>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nsid w:val="4F3C01E0"/>
    <w:multiLevelType w:val="hybridMultilevel"/>
    <w:tmpl w:val="42DA2D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5F046BFD"/>
    <w:multiLevelType w:val="hybridMultilevel"/>
    <w:tmpl w:val="63B69902"/>
    <w:lvl w:ilvl="0" w:tplc="E8F21120">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62E53749"/>
    <w:multiLevelType w:val="hybridMultilevel"/>
    <w:tmpl w:val="717AE0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7F7497D"/>
    <w:multiLevelType w:val="hybridMultilevel"/>
    <w:tmpl w:val="2A7E9D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72D47297"/>
    <w:multiLevelType w:val="hybridMultilevel"/>
    <w:tmpl w:val="A93268D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nsid w:val="7CE37227"/>
    <w:multiLevelType w:val="hybridMultilevel"/>
    <w:tmpl w:val="2BFCDBC0"/>
    <w:lvl w:ilvl="0" w:tplc="CFF22882">
      <w:start w:val="1"/>
      <w:numFmt w:val="bullet"/>
      <w:lvlText w:val=""/>
      <w:lvlJc w:val="left"/>
      <w:pPr>
        <w:tabs>
          <w:tab w:val="num" w:pos="720"/>
        </w:tabs>
        <w:ind w:left="720" w:hanging="360"/>
      </w:pPr>
      <w:rPr>
        <w:rFonts w:ascii="Wingdings" w:hAnsi="Wingdings" w:hint="default"/>
      </w:rPr>
    </w:lvl>
    <w:lvl w:ilvl="1" w:tplc="56AC7F3A">
      <w:start w:val="184"/>
      <w:numFmt w:val="bullet"/>
      <w:lvlText w:val=""/>
      <w:lvlJc w:val="left"/>
      <w:pPr>
        <w:tabs>
          <w:tab w:val="num" w:pos="1440"/>
        </w:tabs>
        <w:ind w:left="1440" w:hanging="360"/>
      </w:pPr>
      <w:rPr>
        <w:rFonts w:ascii="Wingdings" w:hAnsi="Wingdings" w:hint="default"/>
      </w:rPr>
    </w:lvl>
    <w:lvl w:ilvl="2" w:tplc="389C1316" w:tentative="1">
      <w:start w:val="1"/>
      <w:numFmt w:val="bullet"/>
      <w:lvlText w:val=""/>
      <w:lvlJc w:val="left"/>
      <w:pPr>
        <w:tabs>
          <w:tab w:val="num" w:pos="2160"/>
        </w:tabs>
        <w:ind w:left="2160" w:hanging="360"/>
      </w:pPr>
      <w:rPr>
        <w:rFonts w:ascii="Wingdings" w:hAnsi="Wingdings" w:hint="default"/>
      </w:rPr>
    </w:lvl>
    <w:lvl w:ilvl="3" w:tplc="977C1104" w:tentative="1">
      <w:start w:val="1"/>
      <w:numFmt w:val="bullet"/>
      <w:lvlText w:val=""/>
      <w:lvlJc w:val="left"/>
      <w:pPr>
        <w:tabs>
          <w:tab w:val="num" w:pos="2880"/>
        </w:tabs>
        <w:ind w:left="2880" w:hanging="360"/>
      </w:pPr>
      <w:rPr>
        <w:rFonts w:ascii="Wingdings" w:hAnsi="Wingdings" w:hint="default"/>
      </w:rPr>
    </w:lvl>
    <w:lvl w:ilvl="4" w:tplc="060A0AD2" w:tentative="1">
      <w:start w:val="1"/>
      <w:numFmt w:val="bullet"/>
      <w:lvlText w:val=""/>
      <w:lvlJc w:val="left"/>
      <w:pPr>
        <w:tabs>
          <w:tab w:val="num" w:pos="3600"/>
        </w:tabs>
        <w:ind w:left="3600" w:hanging="360"/>
      </w:pPr>
      <w:rPr>
        <w:rFonts w:ascii="Wingdings" w:hAnsi="Wingdings" w:hint="default"/>
      </w:rPr>
    </w:lvl>
    <w:lvl w:ilvl="5" w:tplc="9D1E2FB6" w:tentative="1">
      <w:start w:val="1"/>
      <w:numFmt w:val="bullet"/>
      <w:lvlText w:val=""/>
      <w:lvlJc w:val="left"/>
      <w:pPr>
        <w:tabs>
          <w:tab w:val="num" w:pos="4320"/>
        </w:tabs>
        <w:ind w:left="4320" w:hanging="360"/>
      </w:pPr>
      <w:rPr>
        <w:rFonts w:ascii="Wingdings" w:hAnsi="Wingdings" w:hint="default"/>
      </w:rPr>
    </w:lvl>
    <w:lvl w:ilvl="6" w:tplc="B7142CA2" w:tentative="1">
      <w:start w:val="1"/>
      <w:numFmt w:val="bullet"/>
      <w:lvlText w:val=""/>
      <w:lvlJc w:val="left"/>
      <w:pPr>
        <w:tabs>
          <w:tab w:val="num" w:pos="5040"/>
        </w:tabs>
        <w:ind w:left="5040" w:hanging="360"/>
      </w:pPr>
      <w:rPr>
        <w:rFonts w:ascii="Wingdings" w:hAnsi="Wingdings" w:hint="default"/>
      </w:rPr>
    </w:lvl>
    <w:lvl w:ilvl="7" w:tplc="A252C36C" w:tentative="1">
      <w:start w:val="1"/>
      <w:numFmt w:val="bullet"/>
      <w:lvlText w:val=""/>
      <w:lvlJc w:val="left"/>
      <w:pPr>
        <w:tabs>
          <w:tab w:val="num" w:pos="5760"/>
        </w:tabs>
        <w:ind w:left="5760" w:hanging="360"/>
      </w:pPr>
      <w:rPr>
        <w:rFonts w:ascii="Wingdings" w:hAnsi="Wingdings" w:hint="default"/>
      </w:rPr>
    </w:lvl>
    <w:lvl w:ilvl="8" w:tplc="B6962DF4"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5"/>
  </w:num>
  <w:num w:numId="3">
    <w:abstractNumId w:val="4"/>
  </w:num>
  <w:num w:numId="4">
    <w:abstractNumId w:val="17"/>
  </w:num>
  <w:num w:numId="5">
    <w:abstractNumId w:val="6"/>
  </w:num>
  <w:num w:numId="6">
    <w:abstractNumId w:val="19"/>
  </w:num>
  <w:num w:numId="7">
    <w:abstractNumId w:val="20"/>
  </w:num>
  <w:num w:numId="8">
    <w:abstractNumId w:val="2"/>
  </w:num>
  <w:num w:numId="9">
    <w:abstractNumId w:val="8"/>
  </w:num>
  <w:num w:numId="10">
    <w:abstractNumId w:val="10"/>
  </w:num>
  <w:num w:numId="11">
    <w:abstractNumId w:val="11"/>
  </w:num>
  <w:num w:numId="12">
    <w:abstractNumId w:val="18"/>
  </w:num>
  <w:num w:numId="13">
    <w:abstractNumId w:val="16"/>
  </w:num>
  <w:num w:numId="14">
    <w:abstractNumId w:val="1"/>
  </w:num>
  <w:num w:numId="15">
    <w:abstractNumId w:val="22"/>
  </w:num>
  <w:num w:numId="16">
    <w:abstractNumId w:val="21"/>
  </w:num>
  <w:num w:numId="17">
    <w:abstractNumId w:val="0"/>
  </w:num>
  <w:num w:numId="18">
    <w:abstractNumId w:val="7"/>
  </w:num>
  <w:num w:numId="19">
    <w:abstractNumId w:val="14"/>
  </w:num>
  <w:num w:numId="20">
    <w:abstractNumId w:val="9"/>
  </w:num>
  <w:num w:numId="21">
    <w:abstractNumId w:val="13"/>
  </w:num>
  <w:num w:numId="22">
    <w:abstractNumId w:val="5"/>
  </w:num>
  <w:num w:numId="2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hyphenationZone w:val="425"/>
  <w:characterSpacingControl w:val="doNotCompress"/>
  <w:hdrShapeDefaults>
    <o:shapedefaults v:ext="edit" spidmax="12290"/>
  </w:hdrShapeDefaults>
  <w:footnotePr>
    <w:footnote w:id="-1"/>
    <w:footnote w:id="0"/>
  </w:footnotePr>
  <w:endnotePr>
    <w:endnote w:id="-1"/>
    <w:endnote w:id="0"/>
  </w:endnotePr>
  <w:compat>
    <w:applyBreakingRules/>
  </w:compat>
  <w:rsids>
    <w:rsidRoot w:val="00074E65"/>
    <w:rsid w:val="00000031"/>
    <w:rsid w:val="00000704"/>
    <w:rsid w:val="00001A54"/>
    <w:rsid w:val="00002854"/>
    <w:rsid w:val="0000345E"/>
    <w:rsid w:val="00003697"/>
    <w:rsid w:val="000052C5"/>
    <w:rsid w:val="00006EBA"/>
    <w:rsid w:val="0000700C"/>
    <w:rsid w:val="00007A93"/>
    <w:rsid w:val="000100D2"/>
    <w:rsid w:val="00012F54"/>
    <w:rsid w:val="0001358F"/>
    <w:rsid w:val="00013E6A"/>
    <w:rsid w:val="00014F4A"/>
    <w:rsid w:val="000177F7"/>
    <w:rsid w:val="0001789A"/>
    <w:rsid w:val="00017A9A"/>
    <w:rsid w:val="00017C30"/>
    <w:rsid w:val="000202C5"/>
    <w:rsid w:val="00020B5C"/>
    <w:rsid w:val="00020E2E"/>
    <w:rsid w:val="00022F0A"/>
    <w:rsid w:val="00023EED"/>
    <w:rsid w:val="00031730"/>
    <w:rsid w:val="0003219B"/>
    <w:rsid w:val="00032FBA"/>
    <w:rsid w:val="0003357B"/>
    <w:rsid w:val="00033FAB"/>
    <w:rsid w:val="00035D47"/>
    <w:rsid w:val="000372B7"/>
    <w:rsid w:val="000464FA"/>
    <w:rsid w:val="00047274"/>
    <w:rsid w:val="00050AB1"/>
    <w:rsid w:val="000527D6"/>
    <w:rsid w:val="00052FA2"/>
    <w:rsid w:val="00054012"/>
    <w:rsid w:val="0005524E"/>
    <w:rsid w:val="000600FA"/>
    <w:rsid w:val="00063062"/>
    <w:rsid w:val="000632AC"/>
    <w:rsid w:val="0006482B"/>
    <w:rsid w:val="00067583"/>
    <w:rsid w:val="00070B63"/>
    <w:rsid w:val="000712E2"/>
    <w:rsid w:val="000724CA"/>
    <w:rsid w:val="00072799"/>
    <w:rsid w:val="00074637"/>
    <w:rsid w:val="00074769"/>
    <w:rsid w:val="00074E65"/>
    <w:rsid w:val="000751A1"/>
    <w:rsid w:val="0007637F"/>
    <w:rsid w:val="000808E3"/>
    <w:rsid w:val="00081B4A"/>
    <w:rsid w:val="000846E0"/>
    <w:rsid w:val="000848AD"/>
    <w:rsid w:val="0008504B"/>
    <w:rsid w:val="00086276"/>
    <w:rsid w:val="00086B82"/>
    <w:rsid w:val="00087012"/>
    <w:rsid w:val="0008742E"/>
    <w:rsid w:val="00090A2C"/>
    <w:rsid w:val="00090EAE"/>
    <w:rsid w:val="00090F03"/>
    <w:rsid w:val="00091013"/>
    <w:rsid w:val="00091E53"/>
    <w:rsid w:val="00093F11"/>
    <w:rsid w:val="00094ABB"/>
    <w:rsid w:val="00094DE5"/>
    <w:rsid w:val="000A061E"/>
    <w:rsid w:val="000A1195"/>
    <w:rsid w:val="000A1F12"/>
    <w:rsid w:val="000B52DB"/>
    <w:rsid w:val="000B583F"/>
    <w:rsid w:val="000B6CC0"/>
    <w:rsid w:val="000B6EBE"/>
    <w:rsid w:val="000B738B"/>
    <w:rsid w:val="000C07BB"/>
    <w:rsid w:val="000C1CFB"/>
    <w:rsid w:val="000C20B5"/>
    <w:rsid w:val="000C23DF"/>
    <w:rsid w:val="000C2515"/>
    <w:rsid w:val="000C432E"/>
    <w:rsid w:val="000C46CB"/>
    <w:rsid w:val="000C4776"/>
    <w:rsid w:val="000C5289"/>
    <w:rsid w:val="000C6AC8"/>
    <w:rsid w:val="000C731A"/>
    <w:rsid w:val="000C7E7C"/>
    <w:rsid w:val="000D1B49"/>
    <w:rsid w:val="000D1BEF"/>
    <w:rsid w:val="000D2A1C"/>
    <w:rsid w:val="000D2C52"/>
    <w:rsid w:val="000D3599"/>
    <w:rsid w:val="000D3A62"/>
    <w:rsid w:val="000D3FB5"/>
    <w:rsid w:val="000D42D8"/>
    <w:rsid w:val="000D4B03"/>
    <w:rsid w:val="000E0E13"/>
    <w:rsid w:val="000E3074"/>
    <w:rsid w:val="000E582E"/>
    <w:rsid w:val="000E6D4F"/>
    <w:rsid w:val="000F1646"/>
    <w:rsid w:val="000F473D"/>
    <w:rsid w:val="000F4AB6"/>
    <w:rsid w:val="000F73AB"/>
    <w:rsid w:val="00100352"/>
    <w:rsid w:val="00101B5A"/>
    <w:rsid w:val="00101CD1"/>
    <w:rsid w:val="00102683"/>
    <w:rsid w:val="00104AC8"/>
    <w:rsid w:val="00106C8D"/>
    <w:rsid w:val="001071A5"/>
    <w:rsid w:val="00107613"/>
    <w:rsid w:val="00107C5D"/>
    <w:rsid w:val="00110DCE"/>
    <w:rsid w:val="00112A36"/>
    <w:rsid w:val="00113348"/>
    <w:rsid w:val="00113401"/>
    <w:rsid w:val="00113799"/>
    <w:rsid w:val="00114D58"/>
    <w:rsid w:val="0011530D"/>
    <w:rsid w:val="00115665"/>
    <w:rsid w:val="00115E10"/>
    <w:rsid w:val="00121F67"/>
    <w:rsid w:val="0012504F"/>
    <w:rsid w:val="00125316"/>
    <w:rsid w:val="001257C4"/>
    <w:rsid w:val="00125DFC"/>
    <w:rsid w:val="00126735"/>
    <w:rsid w:val="00126CDA"/>
    <w:rsid w:val="001275B0"/>
    <w:rsid w:val="00127A63"/>
    <w:rsid w:val="00127EB6"/>
    <w:rsid w:val="001308F7"/>
    <w:rsid w:val="00130A60"/>
    <w:rsid w:val="00130E15"/>
    <w:rsid w:val="00132B3D"/>
    <w:rsid w:val="00133816"/>
    <w:rsid w:val="00135EDF"/>
    <w:rsid w:val="00136B59"/>
    <w:rsid w:val="00141170"/>
    <w:rsid w:val="00142825"/>
    <w:rsid w:val="00142893"/>
    <w:rsid w:val="00143FE2"/>
    <w:rsid w:val="0014400F"/>
    <w:rsid w:val="00145A44"/>
    <w:rsid w:val="0014655E"/>
    <w:rsid w:val="00146808"/>
    <w:rsid w:val="00146E68"/>
    <w:rsid w:val="00147041"/>
    <w:rsid w:val="00151C31"/>
    <w:rsid w:val="00153324"/>
    <w:rsid w:val="00153725"/>
    <w:rsid w:val="00153D0E"/>
    <w:rsid w:val="00154170"/>
    <w:rsid w:val="00155296"/>
    <w:rsid w:val="00155E92"/>
    <w:rsid w:val="00156783"/>
    <w:rsid w:val="00157B10"/>
    <w:rsid w:val="001607F0"/>
    <w:rsid w:val="001612B0"/>
    <w:rsid w:val="001628BA"/>
    <w:rsid w:val="001635E6"/>
    <w:rsid w:val="00163AB9"/>
    <w:rsid w:val="00164FC9"/>
    <w:rsid w:val="00165071"/>
    <w:rsid w:val="001665A1"/>
    <w:rsid w:val="0016691E"/>
    <w:rsid w:val="001702EE"/>
    <w:rsid w:val="001717CF"/>
    <w:rsid w:val="001718A8"/>
    <w:rsid w:val="00172672"/>
    <w:rsid w:val="00172E01"/>
    <w:rsid w:val="00173203"/>
    <w:rsid w:val="0017389F"/>
    <w:rsid w:val="00173F1B"/>
    <w:rsid w:val="001742FC"/>
    <w:rsid w:val="0017466A"/>
    <w:rsid w:val="00177A3B"/>
    <w:rsid w:val="00181D20"/>
    <w:rsid w:val="00183643"/>
    <w:rsid w:val="001836A0"/>
    <w:rsid w:val="00184176"/>
    <w:rsid w:val="00184BFD"/>
    <w:rsid w:val="00185AA2"/>
    <w:rsid w:val="001878C1"/>
    <w:rsid w:val="001919AE"/>
    <w:rsid w:val="00191AE1"/>
    <w:rsid w:val="0019299A"/>
    <w:rsid w:val="00193445"/>
    <w:rsid w:val="001A088C"/>
    <w:rsid w:val="001A1C06"/>
    <w:rsid w:val="001A3765"/>
    <w:rsid w:val="001A62D7"/>
    <w:rsid w:val="001B2C77"/>
    <w:rsid w:val="001B4FA0"/>
    <w:rsid w:val="001B5B11"/>
    <w:rsid w:val="001B61D4"/>
    <w:rsid w:val="001B6C8F"/>
    <w:rsid w:val="001B6FC2"/>
    <w:rsid w:val="001C01D3"/>
    <w:rsid w:val="001C12EC"/>
    <w:rsid w:val="001C211C"/>
    <w:rsid w:val="001C23BE"/>
    <w:rsid w:val="001C38BE"/>
    <w:rsid w:val="001C7CDB"/>
    <w:rsid w:val="001D130B"/>
    <w:rsid w:val="001D1328"/>
    <w:rsid w:val="001D13F6"/>
    <w:rsid w:val="001D3AFC"/>
    <w:rsid w:val="001D6A81"/>
    <w:rsid w:val="001E03F7"/>
    <w:rsid w:val="001E0E12"/>
    <w:rsid w:val="001E12AA"/>
    <w:rsid w:val="001E1586"/>
    <w:rsid w:val="001E1BA3"/>
    <w:rsid w:val="001E1DA6"/>
    <w:rsid w:val="001E6627"/>
    <w:rsid w:val="001E6BF4"/>
    <w:rsid w:val="001E78A0"/>
    <w:rsid w:val="001E7A5D"/>
    <w:rsid w:val="001F0B39"/>
    <w:rsid w:val="001F0B8E"/>
    <w:rsid w:val="001F1D80"/>
    <w:rsid w:val="001F3D02"/>
    <w:rsid w:val="001F4699"/>
    <w:rsid w:val="001F5AB7"/>
    <w:rsid w:val="002001BF"/>
    <w:rsid w:val="00200B97"/>
    <w:rsid w:val="002015D5"/>
    <w:rsid w:val="00202C73"/>
    <w:rsid w:val="00203D15"/>
    <w:rsid w:val="002042DA"/>
    <w:rsid w:val="002065A1"/>
    <w:rsid w:val="00207B2C"/>
    <w:rsid w:val="00213552"/>
    <w:rsid w:val="00213F51"/>
    <w:rsid w:val="00214FBD"/>
    <w:rsid w:val="00216066"/>
    <w:rsid w:val="00220D47"/>
    <w:rsid w:val="00221622"/>
    <w:rsid w:val="002236B8"/>
    <w:rsid w:val="002258C1"/>
    <w:rsid w:val="002261F0"/>
    <w:rsid w:val="00227F9F"/>
    <w:rsid w:val="00230448"/>
    <w:rsid w:val="00230652"/>
    <w:rsid w:val="002311F7"/>
    <w:rsid w:val="00234152"/>
    <w:rsid w:val="00235F17"/>
    <w:rsid w:val="00237163"/>
    <w:rsid w:val="00237362"/>
    <w:rsid w:val="00241435"/>
    <w:rsid w:val="00242864"/>
    <w:rsid w:val="00243941"/>
    <w:rsid w:val="00245FFC"/>
    <w:rsid w:val="0024771E"/>
    <w:rsid w:val="002477AC"/>
    <w:rsid w:val="0025046C"/>
    <w:rsid w:val="0025190E"/>
    <w:rsid w:val="00252A4B"/>
    <w:rsid w:val="00252D84"/>
    <w:rsid w:val="00252EF7"/>
    <w:rsid w:val="00254273"/>
    <w:rsid w:val="00254CB3"/>
    <w:rsid w:val="00255150"/>
    <w:rsid w:val="002558A7"/>
    <w:rsid w:val="00260444"/>
    <w:rsid w:val="00260D62"/>
    <w:rsid w:val="00260F0E"/>
    <w:rsid w:val="0026118B"/>
    <w:rsid w:val="002611BB"/>
    <w:rsid w:val="002617B4"/>
    <w:rsid w:val="00261849"/>
    <w:rsid w:val="00262D3F"/>
    <w:rsid w:val="002635D9"/>
    <w:rsid w:val="002645B2"/>
    <w:rsid w:val="002656F7"/>
    <w:rsid w:val="00271961"/>
    <w:rsid w:val="00272265"/>
    <w:rsid w:val="002728E9"/>
    <w:rsid w:val="00273727"/>
    <w:rsid w:val="00273E37"/>
    <w:rsid w:val="00273FE3"/>
    <w:rsid w:val="0027433E"/>
    <w:rsid w:val="0027673D"/>
    <w:rsid w:val="00276D21"/>
    <w:rsid w:val="00276D29"/>
    <w:rsid w:val="0027720A"/>
    <w:rsid w:val="00280C26"/>
    <w:rsid w:val="00280D3D"/>
    <w:rsid w:val="0028137B"/>
    <w:rsid w:val="0028170A"/>
    <w:rsid w:val="00281F08"/>
    <w:rsid w:val="002825A0"/>
    <w:rsid w:val="00283ABA"/>
    <w:rsid w:val="0028441A"/>
    <w:rsid w:val="00286719"/>
    <w:rsid w:val="00291007"/>
    <w:rsid w:val="00291F9F"/>
    <w:rsid w:val="00292567"/>
    <w:rsid w:val="00292C2F"/>
    <w:rsid w:val="00293338"/>
    <w:rsid w:val="00295138"/>
    <w:rsid w:val="00295EBB"/>
    <w:rsid w:val="0029726E"/>
    <w:rsid w:val="002A0C14"/>
    <w:rsid w:val="002A0D02"/>
    <w:rsid w:val="002A10B1"/>
    <w:rsid w:val="002A163D"/>
    <w:rsid w:val="002A1A53"/>
    <w:rsid w:val="002A28E5"/>
    <w:rsid w:val="002A3F23"/>
    <w:rsid w:val="002A4F17"/>
    <w:rsid w:val="002B06AF"/>
    <w:rsid w:val="002B1D5C"/>
    <w:rsid w:val="002B2F95"/>
    <w:rsid w:val="002B3178"/>
    <w:rsid w:val="002B32C5"/>
    <w:rsid w:val="002B4ED9"/>
    <w:rsid w:val="002B615B"/>
    <w:rsid w:val="002B6CDB"/>
    <w:rsid w:val="002B700D"/>
    <w:rsid w:val="002B7F57"/>
    <w:rsid w:val="002C0EC5"/>
    <w:rsid w:val="002C173D"/>
    <w:rsid w:val="002C1AF4"/>
    <w:rsid w:val="002C1FA0"/>
    <w:rsid w:val="002C2344"/>
    <w:rsid w:val="002C4879"/>
    <w:rsid w:val="002C5C2F"/>
    <w:rsid w:val="002D1236"/>
    <w:rsid w:val="002D14AF"/>
    <w:rsid w:val="002D1E53"/>
    <w:rsid w:val="002D2027"/>
    <w:rsid w:val="002D20FB"/>
    <w:rsid w:val="002D2953"/>
    <w:rsid w:val="002D37DB"/>
    <w:rsid w:val="002D3841"/>
    <w:rsid w:val="002D4430"/>
    <w:rsid w:val="002D5098"/>
    <w:rsid w:val="002D64C1"/>
    <w:rsid w:val="002D6530"/>
    <w:rsid w:val="002D7007"/>
    <w:rsid w:val="002D7834"/>
    <w:rsid w:val="002E194B"/>
    <w:rsid w:val="002E23F9"/>
    <w:rsid w:val="002E3F1F"/>
    <w:rsid w:val="002E5B0B"/>
    <w:rsid w:val="002E5C2E"/>
    <w:rsid w:val="002E615A"/>
    <w:rsid w:val="002E7BA9"/>
    <w:rsid w:val="002F2F48"/>
    <w:rsid w:val="002F322D"/>
    <w:rsid w:val="002F4F06"/>
    <w:rsid w:val="002F6498"/>
    <w:rsid w:val="002F6A7E"/>
    <w:rsid w:val="002F7ABB"/>
    <w:rsid w:val="00300C20"/>
    <w:rsid w:val="00302709"/>
    <w:rsid w:val="0030317C"/>
    <w:rsid w:val="00306498"/>
    <w:rsid w:val="00306EE0"/>
    <w:rsid w:val="00307D4A"/>
    <w:rsid w:val="003106B3"/>
    <w:rsid w:val="00312279"/>
    <w:rsid w:val="003123B1"/>
    <w:rsid w:val="003124A3"/>
    <w:rsid w:val="00312C01"/>
    <w:rsid w:val="00312F35"/>
    <w:rsid w:val="0031540C"/>
    <w:rsid w:val="0031572A"/>
    <w:rsid w:val="00320780"/>
    <w:rsid w:val="003245C3"/>
    <w:rsid w:val="003247B8"/>
    <w:rsid w:val="00325C4C"/>
    <w:rsid w:val="003304B8"/>
    <w:rsid w:val="00330EC1"/>
    <w:rsid w:val="00330FB7"/>
    <w:rsid w:val="003311DD"/>
    <w:rsid w:val="003314B9"/>
    <w:rsid w:val="003336A4"/>
    <w:rsid w:val="003339AC"/>
    <w:rsid w:val="003354A5"/>
    <w:rsid w:val="0033797E"/>
    <w:rsid w:val="00337C97"/>
    <w:rsid w:val="00337D19"/>
    <w:rsid w:val="00337D53"/>
    <w:rsid w:val="0034068C"/>
    <w:rsid w:val="00341A42"/>
    <w:rsid w:val="0034316F"/>
    <w:rsid w:val="003434F3"/>
    <w:rsid w:val="00343793"/>
    <w:rsid w:val="003443C8"/>
    <w:rsid w:val="00344F83"/>
    <w:rsid w:val="0034566B"/>
    <w:rsid w:val="00345B9B"/>
    <w:rsid w:val="00346518"/>
    <w:rsid w:val="003477FA"/>
    <w:rsid w:val="00350DD5"/>
    <w:rsid w:val="003517C9"/>
    <w:rsid w:val="00352694"/>
    <w:rsid w:val="00353A49"/>
    <w:rsid w:val="00353E26"/>
    <w:rsid w:val="00353F10"/>
    <w:rsid w:val="0035554D"/>
    <w:rsid w:val="003573E9"/>
    <w:rsid w:val="00360044"/>
    <w:rsid w:val="00362429"/>
    <w:rsid w:val="0036263C"/>
    <w:rsid w:val="00362EE6"/>
    <w:rsid w:val="00362EE9"/>
    <w:rsid w:val="0036305B"/>
    <w:rsid w:val="00365CE3"/>
    <w:rsid w:val="00366AB6"/>
    <w:rsid w:val="00366AF3"/>
    <w:rsid w:val="00366B83"/>
    <w:rsid w:val="00367A19"/>
    <w:rsid w:val="00367F88"/>
    <w:rsid w:val="00370DF0"/>
    <w:rsid w:val="0037305B"/>
    <w:rsid w:val="00373084"/>
    <w:rsid w:val="0037312D"/>
    <w:rsid w:val="00373429"/>
    <w:rsid w:val="0037557E"/>
    <w:rsid w:val="00376F97"/>
    <w:rsid w:val="00380475"/>
    <w:rsid w:val="00381391"/>
    <w:rsid w:val="00382EEF"/>
    <w:rsid w:val="003839DF"/>
    <w:rsid w:val="00385718"/>
    <w:rsid w:val="00386CC7"/>
    <w:rsid w:val="00387D70"/>
    <w:rsid w:val="003902DF"/>
    <w:rsid w:val="00391601"/>
    <w:rsid w:val="00391DB5"/>
    <w:rsid w:val="00391F8F"/>
    <w:rsid w:val="0039440A"/>
    <w:rsid w:val="00394A87"/>
    <w:rsid w:val="00394CA7"/>
    <w:rsid w:val="00395387"/>
    <w:rsid w:val="003957D0"/>
    <w:rsid w:val="00396506"/>
    <w:rsid w:val="00397144"/>
    <w:rsid w:val="003A077A"/>
    <w:rsid w:val="003A204B"/>
    <w:rsid w:val="003A39EF"/>
    <w:rsid w:val="003A4761"/>
    <w:rsid w:val="003A5045"/>
    <w:rsid w:val="003A626C"/>
    <w:rsid w:val="003A6F52"/>
    <w:rsid w:val="003A7F40"/>
    <w:rsid w:val="003B06A2"/>
    <w:rsid w:val="003B17FC"/>
    <w:rsid w:val="003B1FEE"/>
    <w:rsid w:val="003B4369"/>
    <w:rsid w:val="003B74EA"/>
    <w:rsid w:val="003B7EF6"/>
    <w:rsid w:val="003C006B"/>
    <w:rsid w:val="003C49D4"/>
    <w:rsid w:val="003C729B"/>
    <w:rsid w:val="003C7AF5"/>
    <w:rsid w:val="003C7E49"/>
    <w:rsid w:val="003D0511"/>
    <w:rsid w:val="003D0674"/>
    <w:rsid w:val="003D237C"/>
    <w:rsid w:val="003D3BB7"/>
    <w:rsid w:val="003D4ECD"/>
    <w:rsid w:val="003E00B3"/>
    <w:rsid w:val="003E06B9"/>
    <w:rsid w:val="003E08D4"/>
    <w:rsid w:val="003E18D7"/>
    <w:rsid w:val="003E2F9A"/>
    <w:rsid w:val="003E4E8B"/>
    <w:rsid w:val="003E7478"/>
    <w:rsid w:val="003F47ED"/>
    <w:rsid w:val="003F6500"/>
    <w:rsid w:val="00401CD3"/>
    <w:rsid w:val="00401DCC"/>
    <w:rsid w:val="00403DAE"/>
    <w:rsid w:val="00407022"/>
    <w:rsid w:val="00411AD6"/>
    <w:rsid w:val="004130AC"/>
    <w:rsid w:val="00415501"/>
    <w:rsid w:val="004202EF"/>
    <w:rsid w:val="004208FB"/>
    <w:rsid w:val="00420CBD"/>
    <w:rsid w:val="004224D9"/>
    <w:rsid w:val="004237E0"/>
    <w:rsid w:val="00423BA9"/>
    <w:rsid w:val="00427242"/>
    <w:rsid w:val="004277C3"/>
    <w:rsid w:val="004314B0"/>
    <w:rsid w:val="00434791"/>
    <w:rsid w:val="004353F6"/>
    <w:rsid w:val="00435828"/>
    <w:rsid w:val="00440B9E"/>
    <w:rsid w:val="00440BCA"/>
    <w:rsid w:val="00440C2B"/>
    <w:rsid w:val="004416CE"/>
    <w:rsid w:val="0044278E"/>
    <w:rsid w:val="00443A84"/>
    <w:rsid w:val="00443FAD"/>
    <w:rsid w:val="00450360"/>
    <w:rsid w:val="004510F1"/>
    <w:rsid w:val="004514F4"/>
    <w:rsid w:val="00453663"/>
    <w:rsid w:val="00455E16"/>
    <w:rsid w:val="00456FBD"/>
    <w:rsid w:val="00457A1B"/>
    <w:rsid w:val="0046056E"/>
    <w:rsid w:val="00460B45"/>
    <w:rsid w:val="00460D57"/>
    <w:rsid w:val="00462F8E"/>
    <w:rsid w:val="004632F9"/>
    <w:rsid w:val="00463759"/>
    <w:rsid w:val="004648D5"/>
    <w:rsid w:val="00466140"/>
    <w:rsid w:val="00466F6C"/>
    <w:rsid w:val="00470283"/>
    <w:rsid w:val="00472BD1"/>
    <w:rsid w:val="0047361C"/>
    <w:rsid w:val="004752EE"/>
    <w:rsid w:val="00477644"/>
    <w:rsid w:val="00480187"/>
    <w:rsid w:val="00480442"/>
    <w:rsid w:val="00483573"/>
    <w:rsid w:val="00483F21"/>
    <w:rsid w:val="00490158"/>
    <w:rsid w:val="00490AB6"/>
    <w:rsid w:val="00490FA5"/>
    <w:rsid w:val="004911A7"/>
    <w:rsid w:val="0049274F"/>
    <w:rsid w:val="00493AA6"/>
    <w:rsid w:val="00493FA6"/>
    <w:rsid w:val="00495AC6"/>
    <w:rsid w:val="00496B36"/>
    <w:rsid w:val="00496EED"/>
    <w:rsid w:val="004A1200"/>
    <w:rsid w:val="004A1595"/>
    <w:rsid w:val="004A2837"/>
    <w:rsid w:val="004A4AEF"/>
    <w:rsid w:val="004A59FB"/>
    <w:rsid w:val="004A7E83"/>
    <w:rsid w:val="004B1D27"/>
    <w:rsid w:val="004B3B69"/>
    <w:rsid w:val="004B53E8"/>
    <w:rsid w:val="004B5D81"/>
    <w:rsid w:val="004B5DF4"/>
    <w:rsid w:val="004B5F63"/>
    <w:rsid w:val="004B67CE"/>
    <w:rsid w:val="004B7ED6"/>
    <w:rsid w:val="004C00CA"/>
    <w:rsid w:val="004C1008"/>
    <w:rsid w:val="004C14DD"/>
    <w:rsid w:val="004C1F11"/>
    <w:rsid w:val="004C342A"/>
    <w:rsid w:val="004C345F"/>
    <w:rsid w:val="004C3FDA"/>
    <w:rsid w:val="004C42FC"/>
    <w:rsid w:val="004C64D8"/>
    <w:rsid w:val="004C69FE"/>
    <w:rsid w:val="004C72BF"/>
    <w:rsid w:val="004D0E84"/>
    <w:rsid w:val="004D2D9F"/>
    <w:rsid w:val="004D4A4F"/>
    <w:rsid w:val="004D5012"/>
    <w:rsid w:val="004D5234"/>
    <w:rsid w:val="004D626A"/>
    <w:rsid w:val="004D68DA"/>
    <w:rsid w:val="004E03EE"/>
    <w:rsid w:val="004E0F70"/>
    <w:rsid w:val="004E1F73"/>
    <w:rsid w:val="004E4827"/>
    <w:rsid w:val="004E7EFB"/>
    <w:rsid w:val="004F1801"/>
    <w:rsid w:val="004F379E"/>
    <w:rsid w:val="004F57A7"/>
    <w:rsid w:val="004F6876"/>
    <w:rsid w:val="004F79EF"/>
    <w:rsid w:val="004F7C7D"/>
    <w:rsid w:val="005004E4"/>
    <w:rsid w:val="005007D2"/>
    <w:rsid w:val="005021E4"/>
    <w:rsid w:val="0050368C"/>
    <w:rsid w:val="005053A5"/>
    <w:rsid w:val="005063CB"/>
    <w:rsid w:val="00506B8C"/>
    <w:rsid w:val="005074E3"/>
    <w:rsid w:val="00507FA0"/>
    <w:rsid w:val="00510A9B"/>
    <w:rsid w:val="00513384"/>
    <w:rsid w:val="005152FA"/>
    <w:rsid w:val="00516A99"/>
    <w:rsid w:val="00516E8F"/>
    <w:rsid w:val="00521270"/>
    <w:rsid w:val="005226EB"/>
    <w:rsid w:val="00522BF2"/>
    <w:rsid w:val="005248EF"/>
    <w:rsid w:val="00524B4B"/>
    <w:rsid w:val="00525C84"/>
    <w:rsid w:val="0052745A"/>
    <w:rsid w:val="0052749B"/>
    <w:rsid w:val="005307F9"/>
    <w:rsid w:val="005324B8"/>
    <w:rsid w:val="005325E0"/>
    <w:rsid w:val="00532F19"/>
    <w:rsid w:val="00535136"/>
    <w:rsid w:val="0053548C"/>
    <w:rsid w:val="00536F66"/>
    <w:rsid w:val="0054586E"/>
    <w:rsid w:val="005465DB"/>
    <w:rsid w:val="005466EB"/>
    <w:rsid w:val="005505E6"/>
    <w:rsid w:val="00551C38"/>
    <w:rsid w:val="00553058"/>
    <w:rsid w:val="00553414"/>
    <w:rsid w:val="0055385B"/>
    <w:rsid w:val="00554252"/>
    <w:rsid w:val="00554CDF"/>
    <w:rsid w:val="00555170"/>
    <w:rsid w:val="00555379"/>
    <w:rsid w:val="00555BC5"/>
    <w:rsid w:val="00556ED9"/>
    <w:rsid w:val="00560881"/>
    <w:rsid w:val="005613CC"/>
    <w:rsid w:val="0056148A"/>
    <w:rsid w:val="005623A4"/>
    <w:rsid w:val="0056246A"/>
    <w:rsid w:val="00563AB2"/>
    <w:rsid w:val="005644F1"/>
    <w:rsid w:val="005649D2"/>
    <w:rsid w:val="00565545"/>
    <w:rsid w:val="00567B33"/>
    <w:rsid w:val="00567CE3"/>
    <w:rsid w:val="00570E4A"/>
    <w:rsid w:val="00571818"/>
    <w:rsid w:val="00571C4C"/>
    <w:rsid w:val="00573C33"/>
    <w:rsid w:val="00574077"/>
    <w:rsid w:val="00575796"/>
    <w:rsid w:val="00576F69"/>
    <w:rsid w:val="00580DCC"/>
    <w:rsid w:val="00582C27"/>
    <w:rsid w:val="00582E06"/>
    <w:rsid w:val="00583D97"/>
    <w:rsid w:val="00584B07"/>
    <w:rsid w:val="005853B2"/>
    <w:rsid w:val="00586176"/>
    <w:rsid w:val="005872CE"/>
    <w:rsid w:val="00587CAB"/>
    <w:rsid w:val="00591F7F"/>
    <w:rsid w:val="005922C3"/>
    <w:rsid w:val="00592908"/>
    <w:rsid w:val="00592972"/>
    <w:rsid w:val="00596048"/>
    <w:rsid w:val="00597A8E"/>
    <w:rsid w:val="005A1588"/>
    <w:rsid w:val="005A15DC"/>
    <w:rsid w:val="005A39EF"/>
    <w:rsid w:val="005A4165"/>
    <w:rsid w:val="005A4CE9"/>
    <w:rsid w:val="005A5F3D"/>
    <w:rsid w:val="005A621D"/>
    <w:rsid w:val="005A687A"/>
    <w:rsid w:val="005A6950"/>
    <w:rsid w:val="005A7C41"/>
    <w:rsid w:val="005A7E41"/>
    <w:rsid w:val="005B1183"/>
    <w:rsid w:val="005B208B"/>
    <w:rsid w:val="005B2497"/>
    <w:rsid w:val="005B26FD"/>
    <w:rsid w:val="005B289C"/>
    <w:rsid w:val="005B2F15"/>
    <w:rsid w:val="005B31F6"/>
    <w:rsid w:val="005B3C7C"/>
    <w:rsid w:val="005B3DCF"/>
    <w:rsid w:val="005B4E7A"/>
    <w:rsid w:val="005C0501"/>
    <w:rsid w:val="005C052A"/>
    <w:rsid w:val="005C09C4"/>
    <w:rsid w:val="005C23A6"/>
    <w:rsid w:val="005C242E"/>
    <w:rsid w:val="005C4AC2"/>
    <w:rsid w:val="005C516A"/>
    <w:rsid w:val="005C57A9"/>
    <w:rsid w:val="005C6EA3"/>
    <w:rsid w:val="005C6F18"/>
    <w:rsid w:val="005D0B3B"/>
    <w:rsid w:val="005D77DA"/>
    <w:rsid w:val="005E0147"/>
    <w:rsid w:val="005E1740"/>
    <w:rsid w:val="005E2766"/>
    <w:rsid w:val="005E379B"/>
    <w:rsid w:val="005E473E"/>
    <w:rsid w:val="005E501F"/>
    <w:rsid w:val="005E50FF"/>
    <w:rsid w:val="005E59D0"/>
    <w:rsid w:val="005E6DEA"/>
    <w:rsid w:val="005F1BF5"/>
    <w:rsid w:val="005F29C8"/>
    <w:rsid w:val="005F3FE7"/>
    <w:rsid w:val="005F4050"/>
    <w:rsid w:val="005F420E"/>
    <w:rsid w:val="005F4859"/>
    <w:rsid w:val="005F5ADB"/>
    <w:rsid w:val="00600959"/>
    <w:rsid w:val="00601F1A"/>
    <w:rsid w:val="006035C1"/>
    <w:rsid w:val="00603FB9"/>
    <w:rsid w:val="006045FB"/>
    <w:rsid w:val="00604EF4"/>
    <w:rsid w:val="0060646F"/>
    <w:rsid w:val="00606D01"/>
    <w:rsid w:val="0061337A"/>
    <w:rsid w:val="00614EA3"/>
    <w:rsid w:val="006150D6"/>
    <w:rsid w:val="00615F8C"/>
    <w:rsid w:val="006165DC"/>
    <w:rsid w:val="00617E22"/>
    <w:rsid w:val="00617EF7"/>
    <w:rsid w:val="00620243"/>
    <w:rsid w:val="00620CF3"/>
    <w:rsid w:val="00623EDA"/>
    <w:rsid w:val="00624799"/>
    <w:rsid w:val="00625E73"/>
    <w:rsid w:val="00626025"/>
    <w:rsid w:val="00632188"/>
    <w:rsid w:val="006357A6"/>
    <w:rsid w:val="006364CF"/>
    <w:rsid w:val="0064080F"/>
    <w:rsid w:val="0064369C"/>
    <w:rsid w:val="00643F63"/>
    <w:rsid w:val="006444F9"/>
    <w:rsid w:val="00646047"/>
    <w:rsid w:val="006477FA"/>
    <w:rsid w:val="00647826"/>
    <w:rsid w:val="00647EFB"/>
    <w:rsid w:val="00651D8F"/>
    <w:rsid w:val="00651DAF"/>
    <w:rsid w:val="00651EC8"/>
    <w:rsid w:val="006529E0"/>
    <w:rsid w:val="00654CAF"/>
    <w:rsid w:val="00656CB4"/>
    <w:rsid w:val="00663A0D"/>
    <w:rsid w:val="00664A60"/>
    <w:rsid w:val="00665C97"/>
    <w:rsid w:val="00665DC5"/>
    <w:rsid w:val="00667AC0"/>
    <w:rsid w:val="00670EFD"/>
    <w:rsid w:val="00671EBE"/>
    <w:rsid w:val="0067227E"/>
    <w:rsid w:val="00674563"/>
    <w:rsid w:val="0067572D"/>
    <w:rsid w:val="0067586D"/>
    <w:rsid w:val="00677A1F"/>
    <w:rsid w:val="0068149F"/>
    <w:rsid w:val="00682B93"/>
    <w:rsid w:val="006841ED"/>
    <w:rsid w:val="0068631D"/>
    <w:rsid w:val="006866FB"/>
    <w:rsid w:val="00687A1C"/>
    <w:rsid w:val="00693555"/>
    <w:rsid w:val="00693F5E"/>
    <w:rsid w:val="00697582"/>
    <w:rsid w:val="00697666"/>
    <w:rsid w:val="00697BB9"/>
    <w:rsid w:val="006A3DF7"/>
    <w:rsid w:val="006A403B"/>
    <w:rsid w:val="006A5DA2"/>
    <w:rsid w:val="006B07D2"/>
    <w:rsid w:val="006B17A8"/>
    <w:rsid w:val="006B1A80"/>
    <w:rsid w:val="006B2B75"/>
    <w:rsid w:val="006B385D"/>
    <w:rsid w:val="006B5487"/>
    <w:rsid w:val="006B7DC6"/>
    <w:rsid w:val="006C0591"/>
    <w:rsid w:val="006C2920"/>
    <w:rsid w:val="006C294C"/>
    <w:rsid w:val="006C3190"/>
    <w:rsid w:val="006C3F6F"/>
    <w:rsid w:val="006C46C7"/>
    <w:rsid w:val="006C6C46"/>
    <w:rsid w:val="006C6D48"/>
    <w:rsid w:val="006C7B68"/>
    <w:rsid w:val="006D072F"/>
    <w:rsid w:val="006D681D"/>
    <w:rsid w:val="006D703A"/>
    <w:rsid w:val="006D74F0"/>
    <w:rsid w:val="006E025F"/>
    <w:rsid w:val="006E039F"/>
    <w:rsid w:val="006E1004"/>
    <w:rsid w:val="006E167E"/>
    <w:rsid w:val="006E3B37"/>
    <w:rsid w:val="006E5D51"/>
    <w:rsid w:val="006E6654"/>
    <w:rsid w:val="006E682C"/>
    <w:rsid w:val="006E7B7C"/>
    <w:rsid w:val="006F05C9"/>
    <w:rsid w:val="006F1312"/>
    <w:rsid w:val="006F1D73"/>
    <w:rsid w:val="006F33E9"/>
    <w:rsid w:val="0070028A"/>
    <w:rsid w:val="007006AC"/>
    <w:rsid w:val="00700E38"/>
    <w:rsid w:val="007050C3"/>
    <w:rsid w:val="007053A8"/>
    <w:rsid w:val="00706374"/>
    <w:rsid w:val="007075D2"/>
    <w:rsid w:val="00707E5F"/>
    <w:rsid w:val="00710138"/>
    <w:rsid w:val="00710C81"/>
    <w:rsid w:val="00711CDF"/>
    <w:rsid w:val="0071403D"/>
    <w:rsid w:val="007146B0"/>
    <w:rsid w:val="0071476F"/>
    <w:rsid w:val="00714E1B"/>
    <w:rsid w:val="0072111C"/>
    <w:rsid w:val="00721125"/>
    <w:rsid w:val="007225E2"/>
    <w:rsid w:val="00722728"/>
    <w:rsid w:val="00723BF2"/>
    <w:rsid w:val="00725523"/>
    <w:rsid w:val="00727313"/>
    <w:rsid w:val="007309EC"/>
    <w:rsid w:val="00732B52"/>
    <w:rsid w:val="00736403"/>
    <w:rsid w:val="0073649B"/>
    <w:rsid w:val="00736761"/>
    <w:rsid w:val="007416FF"/>
    <w:rsid w:val="00741A22"/>
    <w:rsid w:val="00742E5A"/>
    <w:rsid w:val="00743548"/>
    <w:rsid w:val="00743D31"/>
    <w:rsid w:val="007444C9"/>
    <w:rsid w:val="00744A8C"/>
    <w:rsid w:val="00745323"/>
    <w:rsid w:val="007459F6"/>
    <w:rsid w:val="00745A6E"/>
    <w:rsid w:val="00746907"/>
    <w:rsid w:val="00746B33"/>
    <w:rsid w:val="007477CA"/>
    <w:rsid w:val="007507C8"/>
    <w:rsid w:val="0075095F"/>
    <w:rsid w:val="00751FE9"/>
    <w:rsid w:val="007534B7"/>
    <w:rsid w:val="0075394A"/>
    <w:rsid w:val="00753ACF"/>
    <w:rsid w:val="00753F9C"/>
    <w:rsid w:val="00756B51"/>
    <w:rsid w:val="00757FC0"/>
    <w:rsid w:val="00761916"/>
    <w:rsid w:val="0076297A"/>
    <w:rsid w:val="00763A59"/>
    <w:rsid w:val="00763F1D"/>
    <w:rsid w:val="00765A25"/>
    <w:rsid w:val="00770E89"/>
    <w:rsid w:val="00771150"/>
    <w:rsid w:val="00771A7D"/>
    <w:rsid w:val="007743D4"/>
    <w:rsid w:val="00774C4E"/>
    <w:rsid w:val="00775DB0"/>
    <w:rsid w:val="00775F6E"/>
    <w:rsid w:val="00777A51"/>
    <w:rsid w:val="00780E89"/>
    <w:rsid w:val="00782923"/>
    <w:rsid w:val="007834CB"/>
    <w:rsid w:val="00783973"/>
    <w:rsid w:val="0078514A"/>
    <w:rsid w:val="00785D3A"/>
    <w:rsid w:val="007876DA"/>
    <w:rsid w:val="00787B22"/>
    <w:rsid w:val="00790600"/>
    <w:rsid w:val="007907BE"/>
    <w:rsid w:val="00792DD4"/>
    <w:rsid w:val="007930AA"/>
    <w:rsid w:val="00795AB9"/>
    <w:rsid w:val="00795F84"/>
    <w:rsid w:val="007A1A42"/>
    <w:rsid w:val="007B0FEC"/>
    <w:rsid w:val="007B1422"/>
    <w:rsid w:val="007B640D"/>
    <w:rsid w:val="007B6CA0"/>
    <w:rsid w:val="007C1A8A"/>
    <w:rsid w:val="007C216F"/>
    <w:rsid w:val="007C2315"/>
    <w:rsid w:val="007C3234"/>
    <w:rsid w:val="007C4013"/>
    <w:rsid w:val="007C41B5"/>
    <w:rsid w:val="007C4978"/>
    <w:rsid w:val="007C5A04"/>
    <w:rsid w:val="007C5BCA"/>
    <w:rsid w:val="007C5C50"/>
    <w:rsid w:val="007C6EF0"/>
    <w:rsid w:val="007D0049"/>
    <w:rsid w:val="007D1DCD"/>
    <w:rsid w:val="007D3478"/>
    <w:rsid w:val="007D3D77"/>
    <w:rsid w:val="007D795E"/>
    <w:rsid w:val="007E0C62"/>
    <w:rsid w:val="007E266F"/>
    <w:rsid w:val="007E4D34"/>
    <w:rsid w:val="007E5F81"/>
    <w:rsid w:val="007E61C9"/>
    <w:rsid w:val="007E6765"/>
    <w:rsid w:val="007E69BD"/>
    <w:rsid w:val="007E6E3B"/>
    <w:rsid w:val="007E77E9"/>
    <w:rsid w:val="007F4A42"/>
    <w:rsid w:val="007F5731"/>
    <w:rsid w:val="007F5F7F"/>
    <w:rsid w:val="007F6A33"/>
    <w:rsid w:val="007F6BA6"/>
    <w:rsid w:val="007F729B"/>
    <w:rsid w:val="007F7312"/>
    <w:rsid w:val="0080048C"/>
    <w:rsid w:val="00803033"/>
    <w:rsid w:val="00805A0B"/>
    <w:rsid w:val="00805DF0"/>
    <w:rsid w:val="0080703D"/>
    <w:rsid w:val="0080766F"/>
    <w:rsid w:val="0080798B"/>
    <w:rsid w:val="008105A0"/>
    <w:rsid w:val="00810E2C"/>
    <w:rsid w:val="0081101E"/>
    <w:rsid w:val="0081192D"/>
    <w:rsid w:val="00812472"/>
    <w:rsid w:val="00814409"/>
    <w:rsid w:val="0081500E"/>
    <w:rsid w:val="0081515F"/>
    <w:rsid w:val="00815875"/>
    <w:rsid w:val="00816B86"/>
    <w:rsid w:val="00817995"/>
    <w:rsid w:val="00817EB6"/>
    <w:rsid w:val="008200A0"/>
    <w:rsid w:val="00825EF3"/>
    <w:rsid w:val="008267C0"/>
    <w:rsid w:val="008272DC"/>
    <w:rsid w:val="00830FBF"/>
    <w:rsid w:val="0083159F"/>
    <w:rsid w:val="008337B7"/>
    <w:rsid w:val="008354C6"/>
    <w:rsid w:val="008407EA"/>
    <w:rsid w:val="0084237F"/>
    <w:rsid w:val="0084300E"/>
    <w:rsid w:val="0084394C"/>
    <w:rsid w:val="00843CC4"/>
    <w:rsid w:val="00843E4D"/>
    <w:rsid w:val="00844767"/>
    <w:rsid w:val="00844C44"/>
    <w:rsid w:val="00846D61"/>
    <w:rsid w:val="00847EAB"/>
    <w:rsid w:val="008507E4"/>
    <w:rsid w:val="00852744"/>
    <w:rsid w:val="008527B0"/>
    <w:rsid w:val="00852A85"/>
    <w:rsid w:val="008545B7"/>
    <w:rsid w:val="00855596"/>
    <w:rsid w:val="00856065"/>
    <w:rsid w:val="00857008"/>
    <w:rsid w:val="0086087C"/>
    <w:rsid w:val="00861420"/>
    <w:rsid w:val="00861509"/>
    <w:rsid w:val="00861CF0"/>
    <w:rsid w:val="00861D6D"/>
    <w:rsid w:val="008635AA"/>
    <w:rsid w:val="008655F6"/>
    <w:rsid w:val="0087353B"/>
    <w:rsid w:val="00873B6E"/>
    <w:rsid w:val="00874171"/>
    <w:rsid w:val="00874E27"/>
    <w:rsid w:val="00880A52"/>
    <w:rsid w:val="00882965"/>
    <w:rsid w:val="00883C97"/>
    <w:rsid w:val="00884191"/>
    <w:rsid w:val="00885347"/>
    <w:rsid w:val="00886FF5"/>
    <w:rsid w:val="008908E3"/>
    <w:rsid w:val="00890952"/>
    <w:rsid w:val="00892021"/>
    <w:rsid w:val="00894044"/>
    <w:rsid w:val="008A0C4C"/>
    <w:rsid w:val="008A1B0A"/>
    <w:rsid w:val="008A58CD"/>
    <w:rsid w:val="008A6077"/>
    <w:rsid w:val="008A77CC"/>
    <w:rsid w:val="008B0482"/>
    <w:rsid w:val="008B058D"/>
    <w:rsid w:val="008B2E4F"/>
    <w:rsid w:val="008B3275"/>
    <w:rsid w:val="008B38D3"/>
    <w:rsid w:val="008B3B83"/>
    <w:rsid w:val="008B5D50"/>
    <w:rsid w:val="008C158C"/>
    <w:rsid w:val="008C16DF"/>
    <w:rsid w:val="008C1DDB"/>
    <w:rsid w:val="008C51D1"/>
    <w:rsid w:val="008C5725"/>
    <w:rsid w:val="008C777E"/>
    <w:rsid w:val="008D0CC7"/>
    <w:rsid w:val="008D139D"/>
    <w:rsid w:val="008D4F9B"/>
    <w:rsid w:val="008D5114"/>
    <w:rsid w:val="008D55EC"/>
    <w:rsid w:val="008D56D3"/>
    <w:rsid w:val="008D68DE"/>
    <w:rsid w:val="008D7610"/>
    <w:rsid w:val="008D764E"/>
    <w:rsid w:val="008E0912"/>
    <w:rsid w:val="008E0FD2"/>
    <w:rsid w:val="008E248F"/>
    <w:rsid w:val="008E3533"/>
    <w:rsid w:val="008E6A18"/>
    <w:rsid w:val="008E6A47"/>
    <w:rsid w:val="008E6F4D"/>
    <w:rsid w:val="008F1B54"/>
    <w:rsid w:val="008F2474"/>
    <w:rsid w:val="008F2F73"/>
    <w:rsid w:val="008F7370"/>
    <w:rsid w:val="00900D27"/>
    <w:rsid w:val="00901E57"/>
    <w:rsid w:val="009020CD"/>
    <w:rsid w:val="00903352"/>
    <w:rsid w:val="009035AF"/>
    <w:rsid w:val="00903739"/>
    <w:rsid w:val="00906FC0"/>
    <w:rsid w:val="00907418"/>
    <w:rsid w:val="0091057A"/>
    <w:rsid w:val="00910902"/>
    <w:rsid w:val="00911354"/>
    <w:rsid w:val="009127EC"/>
    <w:rsid w:val="00914280"/>
    <w:rsid w:val="00915323"/>
    <w:rsid w:val="0091537A"/>
    <w:rsid w:val="00915ED0"/>
    <w:rsid w:val="00917060"/>
    <w:rsid w:val="0092107E"/>
    <w:rsid w:val="009215FB"/>
    <w:rsid w:val="00921810"/>
    <w:rsid w:val="00922C20"/>
    <w:rsid w:val="00924823"/>
    <w:rsid w:val="00924D61"/>
    <w:rsid w:val="009265C8"/>
    <w:rsid w:val="00926868"/>
    <w:rsid w:val="009272D2"/>
    <w:rsid w:val="00927C5B"/>
    <w:rsid w:val="00930320"/>
    <w:rsid w:val="009307F4"/>
    <w:rsid w:val="00933D38"/>
    <w:rsid w:val="00935665"/>
    <w:rsid w:val="00935BF2"/>
    <w:rsid w:val="009436A2"/>
    <w:rsid w:val="00944A34"/>
    <w:rsid w:val="00944B2C"/>
    <w:rsid w:val="0094530B"/>
    <w:rsid w:val="00946277"/>
    <w:rsid w:val="009464A1"/>
    <w:rsid w:val="00950BBC"/>
    <w:rsid w:val="00950F56"/>
    <w:rsid w:val="00952D6F"/>
    <w:rsid w:val="00952F22"/>
    <w:rsid w:val="00954D77"/>
    <w:rsid w:val="00955578"/>
    <w:rsid w:val="009605F4"/>
    <w:rsid w:val="00960792"/>
    <w:rsid w:val="00961685"/>
    <w:rsid w:val="00962252"/>
    <w:rsid w:val="00963893"/>
    <w:rsid w:val="00963A29"/>
    <w:rsid w:val="00963B06"/>
    <w:rsid w:val="00967738"/>
    <w:rsid w:val="0096793F"/>
    <w:rsid w:val="0097214F"/>
    <w:rsid w:val="00973934"/>
    <w:rsid w:val="0097464C"/>
    <w:rsid w:val="0097673C"/>
    <w:rsid w:val="00982FD6"/>
    <w:rsid w:val="0098300E"/>
    <w:rsid w:val="00984362"/>
    <w:rsid w:val="009858C0"/>
    <w:rsid w:val="00986078"/>
    <w:rsid w:val="009866E5"/>
    <w:rsid w:val="00991B11"/>
    <w:rsid w:val="00993261"/>
    <w:rsid w:val="0099568A"/>
    <w:rsid w:val="00996071"/>
    <w:rsid w:val="00996228"/>
    <w:rsid w:val="009974CA"/>
    <w:rsid w:val="0099750D"/>
    <w:rsid w:val="00997816"/>
    <w:rsid w:val="009A01BE"/>
    <w:rsid w:val="009A1231"/>
    <w:rsid w:val="009A3C6D"/>
    <w:rsid w:val="009A5060"/>
    <w:rsid w:val="009A61A1"/>
    <w:rsid w:val="009A6693"/>
    <w:rsid w:val="009A74A5"/>
    <w:rsid w:val="009A7BB8"/>
    <w:rsid w:val="009A7EC0"/>
    <w:rsid w:val="009B1279"/>
    <w:rsid w:val="009B1D1F"/>
    <w:rsid w:val="009B22C3"/>
    <w:rsid w:val="009B3472"/>
    <w:rsid w:val="009B3751"/>
    <w:rsid w:val="009B40FE"/>
    <w:rsid w:val="009B669C"/>
    <w:rsid w:val="009C27BE"/>
    <w:rsid w:val="009C299D"/>
    <w:rsid w:val="009C4178"/>
    <w:rsid w:val="009C4CF6"/>
    <w:rsid w:val="009C4DB4"/>
    <w:rsid w:val="009C55D3"/>
    <w:rsid w:val="009C605D"/>
    <w:rsid w:val="009C6622"/>
    <w:rsid w:val="009C7B06"/>
    <w:rsid w:val="009D4E84"/>
    <w:rsid w:val="009D588E"/>
    <w:rsid w:val="009D6B23"/>
    <w:rsid w:val="009D75F6"/>
    <w:rsid w:val="009E06A3"/>
    <w:rsid w:val="009E152D"/>
    <w:rsid w:val="009E19AF"/>
    <w:rsid w:val="009E25A0"/>
    <w:rsid w:val="009E2813"/>
    <w:rsid w:val="009E4232"/>
    <w:rsid w:val="009E5FDC"/>
    <w:rsid w:val="009E79B8"/>
    <w:rsid w:val="009E7CE8"/>
    <w:rsid w:val="009F151D"/>
    <w:rsid w:val="009F1BC2"/>
    <w:rsid w:val="009F2159"/>
    <w:rsid w:val="009F239B"/>
    <w:rsid w:val="009F2545"/>
    <w:rsid w:val="009F2F43"/>
    <w:rsid w:val="009F5945"/>
    <w:rsid w:val="009F60B1"/>
    <w:rsid w:val="009F64EF"/>
    <w:rsid w:val="009F786E"/>
    <w:rsid w:val="00A0000C"/>
    <w:rsid w:val="00A01176"/>
    <w:rsid w:val="00A02E78"/>
    <w:rsid w:val="00A03863"/>
    <w:rsid w:val="00A04662"/>
    <w:rsid w:val="00A05582"/>
    <w:rsid w:val="00A055AD"/>
    <w:rsid w:val="00A06114"/>
    <w:rsid w:val="00A067D5"/>
    <w:rsid w:val="00A07469"/>
    <w:rsid w:val="00A12F62"/>
    <w:rsid w:val="00A171E2"/>
    <w:rsid w:val="00A21633"/>
    <w:rsid w:val="00A220DA"/>
    <w:rsid w:val="00A22CC8"/>
    <w:rsid w:val="00A23779"/>
    <w:rsid w:val="00A24B45"/>
    <w:rsid w:val="00A25F8B"/>
    <w:rsid w:val="00A26055"/>
    <w:rsid w:val="00A2689F"/>
    <w:rsid w:val="00A2723D"/>
    <w:rsid w:val="00A27CED"/>
    <w:rsid w:val="00A30DE4"/>
    <w:rsid w:val="00A31B2B"/>
    <w:rsid w:val="00A32028"/>
    <w:rsid w:val="00A3225D"/>
    <w:rsid w:val="00A32D4D"/>
    <w:rsid w:val="00A33EBC"/>
    <w:rsid w:val="00A349B7"/>
    <w:rsid w:val="00A36D03"/>
    <w:rsid w:val="00A4161B"/>
    <w:rsid w:val="00A42274"/>
    <w:rsid w:val="00A42D6A"/>
    <w:rsid w:val="00A43090"/>
    <w:rsid w:val="00A434B3"/>
    <w:rsid w:val="00A43FF6"/>
    <w:rsid w:val="00A44633"/>
    <w:rsid w:val="00A4557F"/>
    <w:rsid w:val="00A457ED"/>
    <w:rsid w:val="00A50C76"/>
    <w:rsid w:val="00A50FE8"/>
    <w:rsid w:val="00A52E8D"/>
    <w:rsid w:val="00A54716"/>
    <w:rsid w:val="00A55E83"/>
    <w:rsid w:val="00A56680"/>
    <w:rsid w:val="00A5751C"/>
    <w:rsid w:val="00A57B86"/>
    <w:rsid w:val="00A601B4"/>
    <w:rsid w:val="00A601CF"/>
    <w:rsid w:val="00A60D59"/>
    <w:rsid w:val="00A62C7E"/>
    <w:rsid w:val="00A62EE8"/>
    <w:rsid w:val="00A63FAE"/>
    <w:rsid w:val="00A6435C"/>
    <w:rsid w:val="00A70A3F"/>
    <w:rsid w:val="00A71348"/>
    <w:rsid w:val="00A71AF6"/>
    <w:rsid w:val="00A72040"/>
    <w:rsid w:val="00A72162"/>
    <w:rsid w:val="00A73406"/>
    <w:rsid w:val="00A73EC1"/>
    <w:rsid w:val="00A77499"/>
    <w:rsid w:val="00A81CEA"/>
    <w:rsid w:val="00A82337"/>
    <w:rsid w:val="00A93217"/>
    <w:rsid w:val="00A94237"/>
    <w:rsid w:val="00A94A15"/>
    <w:rsid w:val="00A968DF"/>
    <w:rsid w:val="00A96FE1"/>
    <w:rsid w:val="00A97065"/>
    <w:rsid w:val="00AA0125"/>
    <w:rsid w:val="00AA0600"/>
    <w:rsid w:val="00AA1067"/>
    <w:rsid w:val="00AA3252"/>
    <w:rsid w:val="00AA3370"/>
    <w:rsid w:val="00AA41F0"/>
    <w:rsid w:val="00AA48B1"/>
    <w:rsid w:val="00AA5A3E"/>
    <w:rsid w:val="00AA6F44"/>
    <w:rsid w:val="00AA7045"/>
    <w:rsid w:val="00AB011E"/>
    <w:rsid w:val="00AB1BD2"/>
    <w:rsid w:val="00AB58EA"/>
    <w:rsid w:val="00AB5F08"/>
    <w:rsid w:val="00AB7798"/>
    <w:rsid w:val="00AC026C"/>
    <w:rsid w:val="00AC20BC"/>
    <w:rsid w:val="00AC2384"/>
    <w:rsid w:val="00AC2F46"/>
    <w:rsid w:val="00AC5FDD"/>
    <w:rsid w:val="00AC7670"/>
    <w:rsid w:val="00AD2733"/>
    <w:rsid w:val="00AD279C"/>
    <w:rsid w:val="00AD31C3"/>
    <w:rsid w:val="00AE0728"/>
    <w:rsid w:val="00AE1D4B"/>
    <w:rsid w:val="00AF177B"/>
    <w:rsid w:val="00AF2542"/>
    <w:rsid w:val="00AF35E3"/>
    <w:rsid w:val="00AF3AC2"/>
    <w:rsid w:val="00AF46AC"/>
    <w:rsid w:val="00AF725C"/>
    <w:rsid w:val="00B00DA2"/>
    <w:rsid w:val="00B0434F"/>
    <w:rsid w:val="00B048D1"/>
    <w:rsid w:val="00B06402"/>
    <w:rsid w:val="00B1001A"/>
    <w:rsid w:val="00B11D76"/>
    <w:rsid w:val="00B124AA"/>
    <w:rsid w:val="00B12B5B"/>
    <w:rsid w:val="00B12C7B"/>
    <w:rsid w:val="00B13E13"/>
    <w:rsid w:val="00B172A2"/>
    <w:rsid w:val="00B232E0"/>
    <w:rsid w:val="00B240DF"/>
    <w:rsid w:val="00B2497D"/>
    <w:rsid w:val="00B24B6F"/>
    <w:rsid w:val="00B25C64"/>
    <w:rsid w:val="00B30560"/>
    <w:rsid w:val="00B30AA9"/>
    <w:rsid w:val="00B31641"/>
    <w:rsid w:val="00B329DF"/>
    <w:rsid w:val="00B335C7"/>
    <w:rsid w:val="00B35464"/>
    <w:rsid w:val="00B357F6"/>
    <w:rsid w:val="00B409E4"/>
    <w:rsid w:val="00B40B90"/>
    <w:rsid w:val="00B41A5E"/>
    <w:rsid w:val="00B41B2E"/>
    <w:rsid w:val="00B43C5F"/>
    <w:rsid w:val="00B4675C"/>
    <w:rsid w:val="00B47CB9"/>
    <w:rsid w:val="00B51A7B"/>
    <w:rsid w:val="00B5439C"/>
    <w:rsid w:val="00B55DA4"/>
    <w:rsid w:val="00B56131"/>
    <w:rsid w:val="00B562E7"/>
    <w:rsid w:val="00B608EE"/>
    <w:rsid w:val="00B60917"/>
    <w:rsid w:val="00B659BD"/>
    <w:rsid w:val="00B66996"/>
    <w:rsid w:val="00B679C2"/>
    <w:rsid w:val="00B67B5F"/>
    <w:rsid w:val="00B7025B"/>
    <w:rsid w:val="00B719F8"/>
    <w:rsid w:val="00B7304D"/>
    <w:rsid w:val="00B731A4"/>
    <w:rsid w:val="00B736CD"/>
    <w:rsid w:val="00B7589E"/>
    <w:rsid w:val="00B75FED"/>
    <w:rsid w:val="00B7732F"/>
    <w:rsid w:val="00B7768D"/>
    <w:rsid w:val="00B804A4"/>
    <w:rsid w:val="00B80EE0"/>
    <w:rsid w:val="00B82BD4"/>
    <w:rsid w:val="00B8459A"/>
    <w:rsid w:val="00B86570"/>
    <w:rsid w:val="00B87F56"/>
    <w:rsid w:val="00B9319A"/>
    <w:rsid w:val="00B94ABA"/>
    <w:rsid w:val="00B95BF0"/>
    <w:rsid w:val="00B95FBB"/>
    <w:rsid w:val="00B967CB"/>
    <w:rsid w:val="00BA05B0"/>
    <w:rsid w:val="00BA1B6F"/>
    <w:rsid w:val="00BA4612"/>
    <w:rsid w:val="00BA528E"/>
    <w:rsid w:val="00BA7025"/>
    <w:rsid w:val="00BA7560"/>
    <w:rsid w:val="00BB14E0"/>
    <w:rsid w:val="00BB5AB0"/>
    <w:rsid w:val="00BB6C2C"/>
    <w:rsid w:val="00BC075B"/>
    <w:rsid w:val="00BC0F1F"/>
    <w:rsid w:val="00BC4141"/>
    <w:rsid w:val="00BC6021"/>
    <w:rsid w:val="00BC7EEF"/>
    <w:rsid w:val="00BD03EB"/>
    <w:rsid w:val="00BD277D"/>
    <w:rsid w:val="00BD304A"/>
    <w:rsid w:val="00BD34AF"/>
    <w:rsid w:val="00BD500F"/>
    <w:rsid w:val="00BD5044"/>
    <w:rsid w:val="00BD66A2"/>
    <w:rsid w:val="00BD6C2E"/>
    <w:rsid w:val="00BE0049"/>
    <w:rsid w:val="00BE10A0"/>
    <w:rsid w:val="00BE18E9"/>
    <w:rsid w:val="00BE3846"/>
    <w:rsid w:val="00BE38A4"/>
    <w:rsid w:val="00BE5620"/>
    <w:rsid w:val="00BE7BE0"/>
    <w:rsid w:val="00BE7D74"/>
    <w:rsid w:val="00BF183E"/>
    <w:rsid w:val="00BF2C9A"/>
    <w:rsid w:val="00BF386F"/>
    <w:rsid w:val="00BF4813"/>
    <w:rsid w:val="00BF52CF"/>
    <w:rsid w:val="00C00563"/>
    <w:rsid w:val="00C00D40"/>
    <w:rsid w:val="00C01803"/>
    <w:rsid w:val="00C021D2"/>
    <w:rsid w:val="00C06080"/>
    <w:rsid w:val="00C06879"/>
    <w:rsid w:val="00C07AF7"/>
    <w:rsid w:val="00C07BB8"/>
    <w:rsid w:val="00C1021F"/>
    <w:rsid w:val="00C11A73"/>
    <w:rsid w:val="00C11E2A"/>
    <w:rsid w:val="00C127F7"/>
    <w:rsid w:val="00C12CED"/>
    <w:rsid w:val="00C14D27"/>
    <w:rsid w:val="00C1695D"/>
    <w:rsid w:val="00C1716A"/>
    <w:rsid w:val="00C17642"/>
    <w:rsid w:val="00C17998"/>
    <w:rsid w:val="00C17B7D"/>
    <w:rsid w:val="00C2023C"/>
    <w:rsid w:val="00C25292"/>
    <w:rsid w:val="00C26521"/>
    <w:rsid w:val="00C26BD0"/>
    <w:rsid w:val="00C2725B"/>
    <w:rsid w:val="00C312BE"/>
    <w:rsid w:val="00C31300"/>
    <w:rsid w:val="00C3369E"/>
    <w:rsid w:val="00C34695"/>
    <w:rsid w:val="00C34A91"/>
    <w:rsid w:val="00C34BD4"/>
    <w:rsid w:val="00C351D9"/>
    <w:rsid w:val="00C355DD"/>
    <w:rsid w:val="00C37437"/>
    <w:rsid w:val="00C40EC4"/>
    <w:rsid w:val="00C43116"/>
    <w:rsid w:val="00C44A18"/>
    <w:rsid w:val="00C459C1"/>
    <w:rsid w:val="00C46F07"/>
    <w:rsid w:val="00C47573"/>
    <w:rsid w:val="00C5194B"/>
    <w:rsid w:val="00C5369E"/>
    <w:rsid w:val="00C53F14"/>
    <w:rsid w:val="00C55EAC"/>
    <w:rsid w:val="00C60D9D"/>
    <w:rsid w:val="00C61C18"/>
    <w:rsid w:val="00C631E7"/>
    <w:rsid w:val="00C63EBF"/>
    <w:rsid w:val="00C670C2"/>
    <w:rsid w:val="00C73C56"/>
    <w:rsid w:val="00C75E68"/>
    <w:rsid w:val="00C821FE"/>
    <w:rsid w:val="00C83742"/>
    <w:rsid w:val="00C83BD1"/>
    <w:rsid w:val="00C853D5"/>
    <w:rsid w:val="00C854F4"/>
    <w:rsid w:val="00C85B80"/>
    <w:rsid w:val="00C87587"/>
    <w:rsid w:val="00C90EA7"/>
    <w:rsid w:val="00C91BB5"/>
    <w:rsid w:val="00C91D76"/>
    <w:rsid w:val="00C92C40"/>
    <w:rsid w:val="00C92DB3"/>
    <w:rsid w:val="00C93015"/>
    <w:rsid w:val="00C936E2"/>
    <w:rsid w:val="00C93B10"/>
    <w:rsid w:val="00C940A1"/>
    <w:rsid w:val="00C94AEC"/>
    <w:rsid w:val="00C9624F"/>
    <w:rsid w:val="00C97FAB"/>
    <w:rsid w:val="00CA1B0B"/>
    <w:rsid w:val="00CA31B8"/>
    <w:rsid w:val="00CA32F0"/>
    <w:rsid w:val="00CA63B2"/>
    <w:rsid w:val="00CA6A22"/>
    <w:rsid w:val="00CB09F9"/>
    <w:rsid w:val="00CB2C11"/>
    <w:rsid w:val="00CB34A1"/>
    <w:rsid w:val="00CB3525"/>
    <w:rsid w:val="00CB3B20"/>
    <w:rsid w:val="00CB536A"/>
    <w:rsid w:val="00CB6CBF"/>
    <w:rsid w:val="00CC2AEF"/>
    <w:rsid w:val="00CC5F40"/>
    <w:rsid w:val="00CD10BA"/>
    <w:rsid w:val="00CD3584"/>
    <w:rsid w:val="00CD379E"/>
    <w:rsid w:val="00CD7B2F"/>
    <w:rsid w:val="00CE4BFC"/>
    <w:rsid w:val="00CE508A"/>
    <w:rsid w:val="00CE606A"/>
    <w:rsid w:val="00CF1E66"/>
    <w:rsid w:val="00CF2DD0"/>
    <w:rsid w:val="00CF4930"/>
    <w:rsid w:val="00D02167"/>
    <w:rsid w:val="00D06BF3"/>
    <w:rsid w:val="00D10CFA"/>
    <w:rsid w:val="00D1179A"/>
    <w:rsid w:val="00D134FD"/>
    <w:rsid w:val="00D147D3"/>
    <w:rsid w:val="00D1629F"/>
    <w:rsid w:val="00D17661"/>
    <w:rsid w:val="00D17F18"/>
    <w:rsid w:val="00D205C7"/>
    <w:rsid w:val="00D21515"/>
    <w:rsid w:val="00D231A5"/>
    <w:rsid w:val="00D2390F"/>
    <w:rsid w:val="00D24FAF"/>
    <w:rsid w:val="00D25361"/>
    <w:rsid w:val="00D25BA1"/>
    <w:rsid w:val="00D272AD"/>
    <w:rsid w:val="00D27DEE"/>
    <w:rsid w:val="00D313DA"/>
    <w:rsid w:val="00D3307C"/>
    <w:rsid w:val="00D3335B"/>
    <w:rsid w:val="00D34798"/>
    <w:rsid w:val="00D36219"/>
    <w:rsid w:val="00D405B0"/>
    <w:rsid w:val="00D414CC"/>
    <w:rsid w:val="00D4213D"/>
    <w:rsid w:val="00D42FD8"/>
    <w:rsid w:val="00D43056"/>
    <w:rsid w:val="00D43711"/>
    <w:rsid w:val="00D44298"/>
    <w:rsid w:val="00D447E6"/>
    <w:rsid w:val="00D44872"/>
    <w:rsid w:val="00D449CA"/>
    <w:rsid w:val="00D4570C"/>
    <w:rsid w:val="00D46AFF"/>
    <w:rsid w:val="00D47329"/>
    <w:rsid w:val="00D47F3B"/>
    <w:rsid w:val="00D52015"/>
    <w:rsid w:val="00D522EC"/>
    <w:rsid w:val="00D52711"/>
    <w:rsid w:val="00D5313D"/>
    <w:rsid w:val="00D54031"/>
    <w:rsid w:val="00D55FEC"/>
    <w:rsid w:val="00D57F86"/>
    <w:rsid w:val="00D60109"/>
    <w:rsid w:val="00D60607"/>
    <w:rsid w:val="00D64201"/>
    <w:rsid w:val="00D645C6"/>
    <w:rsid w:val="00D6519A"/>
    <w:rsid w:val="00D6628B"/>
    <w:rsid w:val="00D6648E"/>
    <w:rsid w:val="00D678B6"/>
    <w:rsid w:val="00D700C3"/>
    <w:rsid w:val="00D70C1D"/>
    <w:rsid w:val="00D732E3"/>
    <w:rsid w:val="00D734BA"/>
    <w:rsid w:val="00D7683F"/>
    <w:rsid w:val="00D7708C"/>
    <w:rsid w:val="00D77BEA"/>
    <w:rsid w:val="00D80510"/>
    <w:rsid w:val="00D80975"/>
    <w:rsid w:val="00D81117"/>
    <w:rsid w:val="00D81388"/>
    <w:rsid w:val="00D81A66"/>
    <w:rsid w:val="00D81AF8"/>
    <w:rsid w:val="00D829D3"/>
    <w:rsid w:val="00D83285"/>
    <w:rsid w:val="00D8472A"/>
    <w:rsid w:val="00D85A53"/>
    <w:rsid w:val="00D861D2"/>
    <w:rsid w:val="00D866E5"/>
    <w:rsid w:val="00D873D4"/>
    <w:rsid w:val="00D90061"/>
    <w:rsid w:val="00D92111"/>
    <w:rsid w:val="00D93770"/>
    <w:rsid w:val="00D94BA5"/>
    <w:rsid w:val="00D950F8"/>
    <w:rsid w:val="00D9571E"/>
    <w:rsid w:val="00D969AE"/>
    <w:rsid w:val="00D97B9B"/>
    <w:rsid w:val="00DA011F"/>
    <w:rsid w:val="00DA2432"/>
    <w:rsid w:val="00DA442D"/>
    <w:rsid w:val="00DA66AF"/>
    <w:rsid w:val="00DB0784"/>
    <w:rsid w:val="00DB14C9"/>
    <w:rsid w:val="00DB2CB8"/>
    <w:rsid w:val="00DB44D3"/>
    <w:rsid w:val="00DB63F5"/>
    <w:rsid w:val="00DB7046"/>
    <w:rsid w:val="00DB7F0E"/>
    <w:rsid w:val="00DC41EB"/>
    <w:rsid w:val="00DC49E6"/>
    <w:rsid w:val="00DC61C9"/>
    <w:rsid w:val="00DD0B94"/>
    <w:rsid w:val="00DD1520"/>
    <w:rsid w:val="00DD511A"/>
    <w:rsid w:val="00DD5C01"/>
    <w:rsid w:val="00DE0BAB"/>
    <w:rsid w:val="00DE2CC6"/>
    <w:rsid w:val="00DE4292"/>
    <w:rsid w:val="00DE5C81"/>
    <w:rsid w:val="00DE6FDC"/>
    <w:rsid w:val="00DF137D"/>
    <w:rsid w:val="00DF18DF"/>
    <w:rsid w:val="00DF294A"/>
    <w:rsid w:val="00DF394D"/>
    <w:rsid w:val="00DF3CC0"/>
    <w:rsid w:val="00E008E2"/>
    <w:rsid w:val="00E024CD"/>
    <w:rsid w:val="00E028CB"/>
    <w:rsid w:val="00E036F7"/>
    <w:rsid w:val="00E0482D"/>
    <w:rsid w:val="00E069FD"/>
    <w:rsid w:val="00E11D59"/>
    <w:rsid w:val="00E120E2"/>
    <w:rsid w:val="00E1211B"/>
    <w:rsid w:val="00E14061"/>
    <w:rsid w:val="00E14545"/>
    <w:rsid w:val="00E1462D"/>
    <w:rsid w:val="00E14E01"/>
    <w:rsid w:val="00E15877"/>
    <w:rsid w:val="00E15BDD"/>
    <w:rsid w:val="00E17C40"/>
    <w:rsid w:val="00E202A6"/>
    <w:rsid w:val="00E21ABF"/>
    <w:rsid w:val="00E22BA0"/>
    <w:rsid w:val="00E24098"/>
    <w:rsid w:val="00E243F0"/>
    <w:rsid w:val="00E249F5"/>
    <w:rsid w:val="00E24B74"/>
    <w:rsid w:val="00E2576A"/>
    <w:rsid w:val="00E266E7"/>
    <w:rsid w:val="00E26A12"/>
    <w:rsid w:val="00E31355"/>
    <w:rsid w:val="00E321A5"/>
    <w:rsid w:val="00E32241"/>
    <w:rsid w:val="00E37276"/>
    <w:rsid w:val="00E40006"/>
    <w:rsid w:val="00E40D6F"/>
    <w:rsid w:val="00E41599"/>
    <w:rsid w:val="00E52A0E"/>
    <w:rsid w:val="00E534D7"/>
    <w:rsid w:val="00E53FCB"/>
    <w:rsid w:val="00E54187"/>
    <w:rsid w:val="00E60B42"/>
    <w:rsid w:val="00E60CAB"/>
    <w:rsid w:val="00E623A1"/>
    <w:rsid w:val="00E625E1"/>
    <w:rsid w:val="00E637D9"/>
    <w:rsid w:val="00E64324"/>
    <w:rsid w:val="00E66B2F"/>
    <w:rsid w:val="00E7205C"/>
    <w:rsid w:val="00E72E0F"/>
    <w:rsid w:val="00E72EC4"/>
    <w:rsid w:val="00E7560A"/>
    <w:rsid w:val="00E772F9"/>
    <w:rsid w:val="00E805A5"/>
    <w:rsid w:val="00E81F91"/>
    <w:rsid w:val="00E82F60"/>
    <w:rsid w:val="00E83F0D"/>
    <w:rsid w:val="00E83F21"/>
    <w:rsid w:val="00E87BFD"/>
    <w:rsid w:val="00E907B8"/>
    <w:rsid w:val="00E90982"/>
    <w:rsid w:val="00E90FD3"/>
    <w:rsid w:val="00E91582"/>
    <w:rsid w:val="00E9165B"/>
    <w:rsid w:val="00E91F95"/>
    <w:rsid w:val="00E926C2"/>
    <w:rsid w:val="00E944DC"/>
    <w:rsid w:val="00E956E9"/>
    <w:rsid w:val="00E967B7"/>
    <w:rsid w:val="00E974B1"/>
    <w:rsid w:val="00EA10F1"/>
    <w:rsid w:val="00EA12ED"/>
    <w:rsid w:val="00EA4BE0"/>
    <w:rsid w:val="00EA578C"/>
    <w:rsid w:val="00EA593A"/>
    <w:rsid w:val="00EA649D"/>
    <w:rsid w:val="00EB047E"/>
    <w:rsid w:val="00EB0F78"/>
    <w:rsid w:val="00EB2007"/>
    <w:rsid w:val="00EB423C"/>
    <w:rsid w:val="00EB49C0"/>
    <w:rsid w:val="00EB5A6B"/>
    <w:rsid w:val="00EB667A"/>
    <w:rsid w:val="00EB698B"/>
    <w:rsid w:val="00EC0ED6"/>
    <w:rsid w:val="00EC4A3F"/>
    <w:rsid w:val="00EC6E8E"/>
    <w:rsid w:val="00ED0168"/>
    <w:rsid w:val="00ED0F62"/>
    <w:rsid w:val="00ED37BA"/>
    <w:rsid w:val="00ED4110"/>
    <w:rsid w:val="00EE14AF"/>
    <w:rsid w:val="00EE1985"/>
    <w:rsid w:val="00EE2FF7"/>
    <w:rsid w:val="00EE4A3F"/>
    <w:rsid w:val="00EE5306"/>
    <w:rsid w:val="00EE6AD7"/>
    <w:rsid w:val="00EE7D5B"/>
    <w:rsid w:val="00EF02D4"/>
    <w:rsid w:val="00EF0C9A"/>
    <w:rsid w:val="00EF27CA"/>
    <w:rsid w:val="00EF4AAC"/>
    <w:rsid w:val="00EF58E0"/>
    <w:rsid w:val="00EF77D7"/>
    <w:rsid w:val="00EF799B"/>
    <w:rsid w:val="00F01283"/>
    <w:rsid w:val="00F03121"/>
    <w:rsid w:val="00F040A0"/>
    <w:rsid w:val="00F05D4A"/>
    <w:rsid w:val="00F05ECD"/>
    <w:rsid w:val="00F06AF0"/>
    <w:rsid w:val="00F0707B"/>
    <w:rsid w:val="00F11F7F"/>
    <w:rsid w:val="00F12286"/>
    <w:rsid w:val="00F12CA3"/>
    <w:rsid w:val="00F12EE0"/>
    <w:rsid w:val="00F16949"/>
    <w:rsid w:val="00F17E5C"/>
    <w:rsid w:val="00F17FC0"/>
    <w:rsid w:val="00F22A1B"/>
    <w:rsid w:val="00F266A6"/>
    <w:rsid w:val="00F31439"/>
    <w:rsid w:val="00F358EB"/>
    <w:rsid w:val="00F35C0B"/>
    <w:rsid w:val="00F3731F"/>
    <w:rsid w:val="00F427DA"/>
    <w:rsid w:val="00F4400A"/>
    <w:rsid w:val="00F4425D"/>
    <w:rsid w:val="00F44CF5"/>
    <w:rsid w:val="00F463AF"/>
    <w:rsid w:val="00F466F5"/>
    <w:rsid w:val="00F47B15"/>
    <w:rsid w:val="00F50580"/>
    <w:rsid w:val="00F517A8"/>
    <w:rsid w:val="00F52020"/>
    <w:rsid w:val="00F53357"/>
    <w:rsid w:val="00F53B16"/>
    <w:rsid w:val="00F53BF2"/>
    <w:rsid w:val="00F54051"/>
    <w:rsid w:val="00F552F1"/>
    <w:rsid w:val="00F57379"/>
    <w:rsid w:val="00F57EFD"/>
    <w:rsid w:val="00F608C8"/>
    <w:rsid w:val="00F619B0"/>
    <w:rsid w:val="00F6256F"/>
    <w:rsid w:val="00F63CFC"/>
    <w:rsid w:val="00F63E26"/>
    <w:rsid w:val="00F64B4C"/>
    <w:rsid w:val="00F66639"/>
    <w:rsid w:val="00F67780"/>
    <w:rsid w:val="00F703A7"/>
    <w:rsid w:val="00F7145A"/>
    <w:rsid w:val="00F72926"/>
    <w:rsid w:val="00F74954"/>
    <w:rsid w:val="00F75DE0"/>
    <w:rsid w:val="00F76FB8"/>
    <w:rsid w:val="00F836CD"/>
    <w:rsid w:val="00F8399B"/>
    <w:rsid w:val="00F9095B"/>
    <w:rsid w:val="00F92650"/>
    <w:rsid w:val="00F933E3"/>
    <w:rsid w:val="00F94352"/>
    <w:rsid w:val="00F94B34"/>
    <w:rsid w:val="00F9629A"/>
    <w:rsid w:val="00FA1455"/>
    <w:rsid w:val="00FA202A"/>
    <w:rsid w:val="00FA7641"/>
    <w:rsid w:val="00FA78DA"/>
    <w:rsid w:val="00FA7FBF"/>
    <w:rsid w:val="00FB1673"/>
    <w:rsid w:val="00FB34D3"/>
    <w:rsid w:val="00FB3502"/>
    <w:rsid w:val="00FB441A"/>
    <w:rsid w:val="00FB57D3"/>
    <w:rsid w:val="00FB6308"/>
    <w:rsid w:val="00FB6E63"/>
    <w:rsid w:val="00FB75B3"/>
    <w:rsid w:val="00FB7EAA"/>
    <w:rsid w:val="00FC401B"/>
    <w:rsid w:val="00FC55A1"/>
    <w:rsid w:val="00FC7E0A"/>
    <w:rsid w:val="00FC7EBE"/>
    <w:rsid w:val="00FC7EC6"/>
    <w:rsid w:val="00FD205F"/>
    <w:rsid w:val="00FD23C4"/>
    <w:rsid w:val="00FD3F57"/>
    <w:rsid w:val="00FD3FF6"/>
    <w:rsid w:val="00FD48C3"/>
    <w:rsid w:val="00FD7457"/>
    <w:rsid w:val="00FE1223"/>
    <w:rsid w:val="00FE1C43"/>
    <w:rsid w:val="00FE2D9A"/>
    <w:rsid w:val="00FE311B"/>
    <w:rsid w:val="00FE38FB"/>
    <w:rsid w:val="00FE43CF"/>
    <w:rsid w:val="00FE4715"/>
    <w:rsid w:val="00FE4936"/>
    <w:rsid w:val="00FE746C"/>
    <w:rsid w:val="00FE75AC"/>
    <w:rsid w:val="00FF0442"/>
    <w:rsid w:val="00FF3369"/>
    <w:rsid w:val="00FF45D0"/>
    <w:rsid w:val="00FF49D7"/>
    <w:rsid w:val="00FF6108"/>
    <w:rsid w:val="00FF635C"/>
    <w:rsid w:val="00FF740A"/>
    <w:rsid w:val="00FF75A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Standaard">
    <w:name w:val="Normal"/>
    <w:qFormat/>
    <w:rsid w:val="002645B2"/>
    <w:rPr>
      <w:rFonts w:cs="Angsana New"/>
      <w:sz w:val="24"/>
      <w:szCs w:val="24"/>
      <w:lang w:val="en-AU" w:eastAsia="en-AU" w:bidi="th-TH"/>
    </w:rPr>
  </w:style>
  <w:style w:type="paragraph" w:styleId="Kop1">
    <w:name w:val="heading 1"/>
    <w:basedOn w:val="Standaard"/>
    <w:next w:val="Standaard"/>
    <w:link w:val="Kop1Char"/>
    <w:qFormat/>
    <w:rsid w:val="00D205C7"/>
    <w:pPr>
      <w:keepNext/>
      <w:outlineLvl w:val="0"/>
    </w:pPr>
    <w:rPr>
      <w:rFonts w:cs="Times New Roman"/>
      <w:b/>
      <w:bCs/>
      <w:lang w:val="nl-NL" w:eastAsia="nl-NL" w:bidi="ar-SA"/>
    </w:rPr>
  </w:style>
  <w:style w:type="paragraph" w:styleId="Kop2">
    <w:name w:val="heading 2"/>
    <w:basedOn w:val="Standaard"/>
    <w:next w:val="Standaard"/>
    <w:qFormat/>
    <w:rsid w:val="00A434B3"/>
    <w:pPr>
      <w:keepNext/>
      <w:spacing w:before="240" w:after="60"/>
      <w:outlineLvl w:val="1"/>
    </w:pPr>
    <w:rPr>
      <w:rFonts w:ascii="Arial" w:hAnsi="Arial" w:cs="Arial"/>
      <w:b/>
      <w:bCs/>
      <w:i/>
      <w:iCs/>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D205C7"/>
    <w:rPr>
      <w:b/>
      <w:bCs/>
      <w:sz w:val="24"/>
      <w:szCs w:val="24"/>
    </w:rPr>
  </w:style>
  <w:style w:type="paragraph" w:styleId="Plattetekst">
    <w:name w:val="Body Text"/>
    <w:basedOn w:val="Standaard"/>
    <w:link w:val="PlattetekstChar"/>
    <w:rsid w:val="00D205C7"/>
    <w:pPr>
      <w:spacing w:after="120" w:line="276" w:lineRule="auto"/>
    </w:pPr>
    <w:rPr>
      <w:rFonts w:cs="Times New Roman"/>
      <w:sz w:val="22"/>
      <w:lang w:val="nl-NL" w:eastAsia="nl-NL" w:bidi="ar-SA"/>
    </w:rPr>
  </w:style>
  <w:style w:type="character" w:customStyle="1" w:styleId="PlattetekstChar">
    <w:name w:val="Platte tekst Char"/>
    <w:basedOn w:val="Standaardalinea-lettertype"/>
    <w:link w:val="Plattetekst"/>
    <w:rsid w:val="00D205C7"/>
    <w:rPr>
      <w:sz w:val="22"/>
      <w:szCs w:val="24"/>
    </w:rPr>
  </w:style>
  <w:style w:type="paragraph" w:styleId="Koptekst">
    <w:name w:val="header"/>
    <w:basedOn w:val="Standaard"/>
    <w:link w:val="KoptekstChar"/>
    <w:rsid w:val="00141170"/>
    <w:pPr>
      <w:tabs>
        <w:tab w:val="center" w:pos="4536"/>
        <w:tab w:val="right" w:pos="9072"/>
      </w:tabs>
    </w:pPr>
    <w:rPr>
      <w:szCs w:val="30"/>
    </w:rPr>
  </w:style>
  <w:style w:type="character" w:customStyle="1" w:styleId="KoptekstChar">
    <w:name w:val="Koptekst Char"/>
    <w:basedOn w:val="Standaardalinea-lettertype"/>
    <w:link w:val="Koptekst"/>
    <w:rsid w:val="00141170"/>
    <w:rPr>
      <w:rFonts w:cs="Angsana New"/>
      <w:sz w:val="24"/>
      <w:szCs w:val="30"/>
      <w:lang w:val="en-AU" w:eastAsia="en-AU" w:bidi="th-TH"/>
    </w:rPr>
  </w:style>
  <w:style w:type="paragraph" w:styleId="Voettekst">
    <w:name w:val="footer"/>
    <w:basedOn w:val="Standaard"/>
    <w:link w:val="VoettekstChar"/>
    <w:uiPriority w:val="99"/>
    <w:rsid w:val="00141170"/>
    <w:pPr>
      <w:tabs>
        <w:tab w:val="center" w:pos="4536"/>
        <w:tab w:val="right" w:pos="9072"/>
      </w:tabs>
    </w:pPr>
    <w:rPr>
      <w:szCs w:val="30"/>
    </w:rPr>
  </w:style>
  <w:style w:type="character" w:customStyle="1" w:styleId="VoettekstChar">
    <w:name w:val="Voettekst Char"/>
    <w:basedOn w:val="Standaardalinea-lettertype"/>
    <w:link w:val="Voettekst"/>
    <w:uiPriority w:val="99"/>
    <w:rsid w:val="00141170"/>
    <w:rPr>
      <w:rFonts w:cs="Angsana New"/>
      <w:sz w:val="24"/>
      <w:szCs w:val="30"/>
      <w:lang w:val="en-AU" w:eastAsia="en-AU" w:bidi="th-TH"/>
    </w:rPr>
  </w:style>
  <w:style w:type="character" w:customStyle="1" w:styleId="apple-style-span">
    <w:name w:val="apple-style-span"/>
    <w:basedOn w:val="Standaardalinea-lettertype"/>
    <w:rsid w:val="0016691E"/>
  </w:style>
  <w:style w:type="character" w:customStyle="1" w:styleId="apple-converted-space">
    <w:name w:val="apple-converted-space"/>
    <w:basedOn w:val="Standaardalinea-lettertype"/>
    <w:rsid w:val="00E028CB"/>
  </w:style>
  <w:style w:type="paragraph" w:styleId="Normaalweb">
    <w:name w:val="Normal (Web)"/>
    <w:basedOn w:val="Standaard"/>
    <w:uiPriority w:val="99"/>
    <w:unhideWhenUsed/>
    <w:rsid w:val="00E24B74"/>
    <w:pPr>
      <w:spacing w:before="100" w:beforeAutospacing="1" w:after="100" w:afterAutospacing="1"/>
    </w:pPr>
    <w:rPr>
      <w:rFonts w:cs="Times New Roman"/>
      <w:lang w:val="nl-NL" w:eastAsia="nl-NL" w:bidi="ar-SA"/>
    </w:rPr>
  </w:style>
  <w:style w:type="character" w:customStyle="1" w:styleId="addmd1">
    <w:name w:val="addmd1"/>
    <w:basedOn w:val="Standaardalinea-lettertype"/>
    <w:rsid w:val="00E926C2"/>
    <w:rPr>
      <w:rFonts w:ascii="Arial" w:hAnsi="Arial" w:cs="Arial" w:hint="default"/>
      <w:sz w:val="20"/>
      <w:szCs w:val="20"/>
    </w:rPr>
  </w:style>
  <w:style w:type="character" w:customStyle="1" w:styleId="opties4">
    <w:name w:val="opties4"/>
    <w:basedOn w:val="Standaardalinea-lettertype"/>
    <w:rsid w:val="0081192D"/>
    <w:rPr>
      <w:vanish w:val="0"/>
      <w:webHidden w:val="0"/>
      <w:sz w:val="24"/>
      <w:szCs w:val="24"/>
      <w:specVanish w:val="0"/>
    </w:rPr>
  </w:style>
  <w:style w:type="character" w:customStyle="1" w:styleId="author5">
    <w:name w:val="author5"/>
    <w:basedOn w:val="Standaardalinea-lettertype"/>
    <w:rsid w:val="0081192D"/>
    <w:rPr>
      <w:color w:val="6D97A7"/>
    </w:rPr>
  </w:style>
  <w:style w:type="paragraph" w:styleId="Inhopg1">
    <w:name w:val="toc 1"/>
    <w:basedOn w:val="Standaard"/>
    <w:next w:val="Standaard"/>
    <w:autoRedefine/>
    <w:uiPriority w:val="39"/>
    <w:rsid w:val="00FB1673"/>
    <w:pPr>
      <w:tabs>
        <w:tab w:val="left" w:pos="480"/>
        <w:tab w:val="right" w:leader="dot" w:pos="9062"/>
      </w:tabs>
      <w:spacing w:line="360" w:lineRule="auto"/>
    </w:pPr>
    <w:rPr>
      <w:rFonts w:cs="Times New Roman"/>
      <w:b/>
      <w:noProof/>
      <w:lang w:val="en-US"/>
    </w:rPr>
  </w:style>
  <w:style w:type="paragraph" w:styleId="Inhopg2">
    <w:name w:val="toc 2"/>
    <w:basedOn w:val="Standaard"/>
    <w:next w:val="Standaard"/>
    <w:autoRedefine/>
    <w:uiPriority w:val="39"/>
    <w:rsid w:val="001B5B11"/>
    <w:pPr>
      <w:tabs>
        <w:tab w:val="left" w:pos="880"/>
        <w:tab w:val="right" w:leader="dot" w:pos="9062"/>
      </w:tabs>
      <w:ind w:left="238"/>
    </w:pPr>
    <w:rPr>
      <w:rFonts w:cs="Times New Roman"/>
      <w:noProof/>
      <w:lang w:val="en-US"/>
    </w:rPr>
  </w:style>
  <w:style w:type="paragraph" w:styleId="Inhopg3">
    <w:name w:val="toc 3"/>
    <w:basedOn w:val="Standaard"/>
    <w:next w:val="Standaard"/>
    <w:autoRedefine/>
    <w:uiPriority w:val="39"/>
    <w:rsid w:val="00AF177B"/>
    <w:pPr>
      <w:ind w:left="480"/>
    </w:pPr>
  </w:style>
  <w:style w:type="character" w:styleId="Hyperlink">
    <w:name w:val="Hyperlink"/>
    <w:basedOn w:val="Standaardalinea-lettertype"/>
    <w:uiPriority w:val="99"/>
    <w:rsid w:val="00AF177B"/>
    <w:rPr>
      <w:color w:val="0000FF"/>
      <w:u w:val="single"/>
    </w:rPr>
  </w:style>
  <w:style w:type="character" w:styleId="GevolgdeHyperlink">
    <w:name w:val="FollowedHyperlink"/>
    <w:basedOn w:val="Standaardalinea-lettertype"/>
    <w:rsid w:val="00A434B3"/>
    <w:rPr>
      <w:color w:val="800080"/>
      <w:u w:val="single"/>
    </w:rPr>
  </w:style>
  <w:style w:type="paragraph" w:styleId="Kopvaninhoudsopgave">
    <w:name w:val="TOC Heading"/>
    <w:basedOn w:val="Kop1"/>
    <w:next w:val="Standaard"/>
    <w:uiPriority w:val="39"/>
    <w:qFormat/>
    <w:rsid w:val="00FE4715"/>
    <w:pPr>
      <w:keepLines/>
      <w:spacing w:before="480" w:line="276" w:lineRule="auto"/>
      <w:outlineLvl w:val="9"/>
    </w:pPr>
    <w:rPr>
      <w:rFonts w:ascii="Cambria" w:hAnsi="Cambria"/>
      <w:color w:val="365F91"/>
      <w:sz w:val="28"/>
      <w:szCs w:val="28"/>
      <w:lang w:eastAsia="en-US"/>
    </w:rPr>
  </w:style>
  <w:style w:type="paragraph" w:customStyle="1" w:styleId="000">
    <w:name w:val="000"/>
    <w:aliases w:val="standaard"/>
    <w:basedOn w:val="Standaard"/>
    <w:rsid w:val="00366AF3"/>
    <w:pPr>
      <w:overflowPunct w:val="0"/>
      <w:autoSpaceDE w:val="0"/>
      <w:autoSpaceDN w:val="0"/>
      <w:adjustRightInd w:val="0"/>
      <w:spacing w:line="260" w:lineRule="atLeast"/>
      <w:textAlignment w:val="baseline"/>
    </w:pPr>
    <w:rPr>
      <w:rFonts w:ascii="EYInterstate Light" w:hAnsi="EYInterstate Light" w:cs="Times New Roman"/>
      <w:sz w:val="22"/>
      <w:szCs w:val="20"/>
      <w:lang w:val="nl-NL" w:eastAsia="en-US" w:bidi="ar-SA"/>
    </w:rPr>
  </w:style>
  <w:style w:type="paragraph" w:styleId="Voetnoottekst">
    <w:name w:val="footnote text"/>
    <w:basedOn w:val="Standaard"/>
    <w:link w:val="VoetnoottekstChar"/>
    <w:rsid w:val="003957D0"/>
    <w:rPr>
      <w:sz w:val="20"/>
      <w:szCs w:val="25"/>
    </w:rPr>
  </w:style>
  <w:style w:type="character" w:customStyle="1" w:styleId="VoetnoottekstChar">
    <w:name w:val="Voetnoottekst Char"/>
    <w:basedOn w:val="Standaardalinea-lettertype"/>
    <w:link w:val="Voetnoottekst"/>
    <w:rsid w:val="003957D0"/>
    <w:rPr>
      <w:rFonts w:cs="Angsana New"/>
      <w:szCs w:val="25"/>
      <w:lang w:val="en-AU" w:eastAsia="en-AU" w:bidi="th-TH"/>
    </w:rPr>
  </w:style>
  <w:style w:type="character" w:styleId="Voetnootmarkering">
    <w:name w:val="footnote reference"/>
    <w:basedOn w:val="Standaardalinea-lettertype"/>
    <w:rsid w:val="003957D0"/>
    <w:rPr>
      <w:vertAlign w:val="superscript"/>
    </w:rPr>
  </w:style>
  <w:style w:type="paragraph" w:customStyle="1" w:styleId="resume">
    <w:name w:val="resume"/>
    <w:basedOn w:val="Standaard"/>
    <w:rsid w:val="00A067D5"/>
    <w:pPr>
      <w:spacing w:before="100" w:beforeAutospacing="1" w:after="100" w:afterAutospacing="1"/>
    </w:pPr>
    <w:rPr>
      <w:rFonts w:cs="Times New Roman"/>
      <w:lang w:val="nl-NL" w:eastAsia="nl-NL" w:bidi="ar-SA"/>
    </w:rPr>
  </w:style>
  <w:style w:type="table" w:styleId="Tabelraster">
    <w:name w:val="Table Grid"/>
    <w:basedOn w:val="Standaardtabel"/>
    <w:rsid w:val="00A02E7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ndent">
    <w:name w:val="indent"/>
    <w:basedOn w:val="Standaard"/>
    <w:rsid w:val="008E6A18"/>
    <w:pPr>
      <w:spacing w:before="100" w:beforeAutospacing="1" w:after="100" w:afterAutospacing="1"/>
    </w:pPr>
    <w:rPr>
      <w:rFonts w:cs="Times New Roman"/>
      <w:lang w:val="nl-NL" w:eastAsia="nl-NL" w:bidi="ar-SA"/>
    </w:rPr>
  </w:style>
  <w:style w:type="paragraph" w:styleId="Eindnoottekst">
    <w:name w:val="endnote text"/>
    <w:basedOn w:val="Standaard"/>
    <w:link w:val="EindnoottekstChar"/>
    <w:rsid w:val="008E6A18"/>
    <w:rPr>
      <w:sz w:val="20"/>
      <w:szCs w:val="25"/>
    </w:rPr>
  </w:style>
  <w:style w:type="character" w:customStyle="1" w:styleId="EindnoottekstChar">
    <w:name w:val="Eindnoottekst Char"/>
    <w:basedOn w:val="Standaardalinea-lettertype"/>
    <w:link w:val="Eindnoottekst"/>
    <w:rsid w:val="008E6A18"/>
    <w:rPr>
      <w:rFonts w:cs="Angsana New"/>
      <w:szCs w:val="25"/>
      <w:lang w:val="en-AU" w:eastAsia="en-AU" w:bidi="th-TH"/>
    </w:rPr>
  </w:style>
  <w:style w:type="character" w:styleId="Eindnootmarkering">
    <w:name w:val="endnote reference"/>
    <w:basedOn w:val="Standaardalinea-lettertype"/>
    <w:rsid w:val="008E6A18"/>
    <w:rPr>
      <w:vertAlign w:val="superscript"/>
    </w:rPr>
  </w:style>
  <w:style w:type="paragraph" w:customStyle="1" w:styleId="Default">
    <w:name w:val="Default"/>
    <w:rsid w:val="002825A0"/>
    <w:pPr>
      <w:autoSpaceDE w:val="0"/>
      <w:autoSpaceDN w:val="0"/>
      <w:adjustRightInd w:val="0"/>
    </w:pPr>
    <w:rPr>
      <w:rFonts w:ascii="DCANMK+TimesNewRoman" w:hAnsi="DCANMK+TimesNewRoman" w:cs="DCANMK+TimesNewRoman"/>
      <w:color w:val="000000"/>
      <w:sz w:val="24"/>
      <w:szCs w:val="24"/>
    </w:rPr>
  </w:style>
  <w:style w:type="paragraph" w:styleId="Ballontekst">
    <w:name w:val="Balloon Text"/>
    <w:basedOn w:val="Standaard"/>
    <w:link w:val="BallontekstChar"/>
    <w:rsid w:val="00A62C7E"/>
    <w:rPr>
      <w:rFonts w:ascii="Tahoma" w:hAnsi="Tahoma"/>
      <w:sz w:val="16"/>
      <w:szCs w:val="20"/>
    </w:rPr>
  </w:style>
  <w:style w:type="character" w:customStyle="1" w:styleId="BallontekstChar">
    <w:name w:val="Ballontekst Char"/>
    <w:basedOn w:val="Standaardalinea-lettertype"/>
    <w:link w:val="Ballontekst"/>
    <w:rsid w:val="00A62C7E"/>
    <w:rPr>
      <w:rFonts w:ascii="Tahoma" w:hAnsi="Tahoma" w:cs="Angsana New"/>
      <w:sz w:val="16"/>
      <w:lang w:val="en-AU" w:eastAsia="en-AU" w:bidi="th-TH"/>
    </w:rPr>
  </w:style>
  <w:style w:type="paragraph" w:styleId="Lijstalinea">
    <w:name w:val="List Paragraph"/>
    <w:basedOn w:val="Standaard"/>
    <w:uiPriority w:val="34"/>
    <w:qFormat/>
    <w:rsid w:val="00D81A66"/>
    <w:pPr>
      <w:ind w:left="720"/>
      <w:contextualSpacing/>
    </w:pPr>
    <w:rPr>
      <w:szCs w:val="30"/>
    </w:rPr>
  </w:style>
  <w:style w:type="paragraph" w:styleId="Inhopg4">
    <w:name w:val="toc 4"/>
    <w:basedOn w:val="Standaard"/>
    <w:next w:val="Standaard"/>
    <w:autoRedefine/>
    <w:uiPriority w:val="39"/>
    <w:unhideWhenUsed/>
    <w:rsid w:val="00AC20BC"/>
    <w:pPr>
      <w:spacing w:after="100" w:line="276" w:lineRule="auto"/>
      <w:ind w:left="660"/>
    </w:pPr>
    <w:rPr>
      <w:rFonts w:asciiTheme="minorHAnsi" w:eastAsiaTheme="minorEastAsia" w:hAnsiTheme="minorHAnsi" w:cstheme="minorBidi"/>
      <w:sz w:val="22"/>
      <w:szCs w:val="22"/>
      <w:lang w:val="nl-NL" w:eastAsia="nl-NL" w:bidi="ar-SA"/>
    </w:rPr>
  </w:style>
  <w:style w:type="paragraph" w:styleId="Inhopg5">
    <w:name w:val="toc 5"/>
    <w:basedOn w:val="Standaard"/>
    <w:next w:val="Standaard"/>
    <w:autoRedefine/>
    <w:uiPriority w:val="39"/>
    <w:unhideWhenUsed/>
    <w:rsid w:val="00AC20BC"/>
    <w:pPr>
      <w:spacing w:after="100" w:line="276" w:lineRule="auto"/>
      <w:ind w:left="880"/>
    </w:pPr>
    <w:rPr>
      <w:rFonts w:asciiTheme="minorHAnsi" w:eastAsiaTheme="minorEastAsia" w:hAnsiTheme="minorHAnsi" w:cstheme="minorBidi"/>
      <w:sz w:val="22"/>
      <w:szCs w:val="22"/>
      <w:lang w:val="nl-NL" w:eastAsia="nl-NL" w:bidi="ar-SA"/>
    </w:rPr>
  </w:style>
  <w:style w:type="paragraph" w:styleId="Inhopg6">
    <w:name w:val="toc 6"/>
    <w:basedOn w:val="Standaard"/>
    <w:next w:val="Standaard"/>
    <w:autoRedefine/>
    <w:uiPriority w:val="39"/>
    <w:unhideWhenUsed/>
    <w:rsid w:val="00AC20BC"/>
    <w:pPr>
      <w:spacing w:after="100" w:line="276" w:lineRule="auto"/>
      <w:ind w:left="1100"/>
    </w:pPr>
    <w:rPr>
      <w:rFonts w:asciiTheme="minorHAnsi" w:eastAsiaTheme="minorEastAsia" w:hAnsiTheme="minorHAnsi" w:cstheme="minorBidi"/>
      <w:sz w:val="22"/>
      <w:szCs w:val="22"/>
      <w:lang w:val="nl-NL" w:eastAsia="nl-NL" w:bidi="ar-SA"/>
    </w:rPr>
  </w:style>
  <w:style w:type="paragraph" w:styleId="Inhopg7">
    <w:name w:val="toc 7"/>
    <w:basedOn w:val="Standaard"/>
    <w:next w:val="Standaard"/>
    <w:autoRedefine/>
    <w:uiPriority w:val="39"/>
    <w:unhideWhenUsed/>
    <w:rsid w:val="00AC20BC"/>
    <w:pPr>
      <w:spacing w:after="100" w:line="276" w:lineRule="auto"/>
      <w:ind w:left="1320"/>
    </w:pPr>
    <w:rPr>
      <w:rFonts w:asciiTheme="minorHAnsi" w:eastAsiaTheme="minorEastAsia" w:hAnsiTheme="minorHAnsi" w:cstheme="minorBidi"/>
      <w:sz w:val="22"/>
      <w:szCs w:val="22"/>
      <w:lang w:val="nl-NL" w:eastAsia="nl-NL" w:bidi="ar-SA"/>
    </w:rPr>
  </w:style>
  <w:style w:type="paragraph" w:styleId="Inhopg8">
    <w:name w:val="toc 8"/>
    <w:basedOn w:val="Standaard"/>
    <w:next w:val="Standaard"/>
    <w:autoRedefine/>
    <w:uiPriority w:val="39"/>
    <w:unhideWhenUsed/>
    <w:rsid w:val="00AC20BC"/>
    <w:pPr>
      <w:spacing w:after="100" w:line="276" w:lineRule="auto"/>
      <w:ind w:left="1540"/>
    </w:pPr>
    <w:rPr>
      <w:rFonts w:asciiTheme="minorHAnsi" w:eastAsiaTheme="minorEastAsia" w:hAnsiTheme="minorHAnsi" w:cstheme="minorBidi"/>
      <w:sz w:val="22"/>
      <w:szCs w:val="22"/>
      <w:lang w:val="nl-NL" w:eastAsia="nl-NL" w:bidi="ar-SA"/>
    </w:rPr>
  </w:style>
  <w:style w:type="paragraph" w:styleId="Inhopg9">
    <w:name w:val="toc 9"/>
    <w:basedOn w:val="Standaard"/>
    <w:next w:val="Standaard"/>
    <w:autoRedefine/>
    <w:uiPriority w:val="39"/>
    <w:unhideWhenUsed/>
    <w:rsid w:val="00AC20BC"/>
    <w:pPr>
      <w:spacing w:after="100" w:line="276" w:lineRule="auto"/>
      <w:ind w:left="1760"/>
    </w:pPr>
    <w:rPr>
      <w:rFonts w:asciiTheme="minorHAnsi" w:eastAsiaTheme="minorEastAsia" w:hAnsiTheme="minorHAnsi" w:cstheme="minorBidi"/>
      <w:sz w:val="22"/>
      <w:szCs w:val="22"/>
      <w:lang w:val="nl-NL" w:eastAsia="nl-NL" w:bidi="ar-SA"/>
    </w:rPr>
  </w:style>
</w:styles>
</file>

<file path=word/webSettings.xml><?xml version="1.0" encoding="utf-8"?>
<w:webSettings xmlns:r="http://schemas.openxmlformats.org/officeDocument/2006/relationships" xmlns:w="http://schemas.openxmlformats.org/wordprocessingml/2006/main">
  <w:divs>
    <w:div w:id="92478205">
      <w:bodyDiv w:val="1"/>
      <w:marLeft w:val="0"/>
      <w:marRight w:val="0"/>
      <w:marTop w:val="0"/>
      <w:marBottom w:val="0"/>
      <w:divBdr>
        <w:top w:val="none" w:sz="0" w:space="0" w:color="auto"/>
        <w:left w:val="none" w:sz="0" w:space="0" w:color="auto"/>
        <w:bottom w:val="none" w:sz="0" w:space="0" w:color="auto"/>
        <w:right w:val="none" w:sz="0" w:space="0" w:color="auto"/>
      </w:divBdr>
    </w:div>
    <w:div w:id="119229472">
      <w:bodyDiv w:val="1"/>
      <w:marLeft w:val="0"/>
      <w:marRight w:val="0"/>
      <w:marTop w:val="0"/>
      <w:marBottom w:val="0"/>
      <w:divBdr>
        <w:top w:val="none" w:sz="0" w:space="0" w:color="auto"/>
        <w:left w:val="none" w:sz="0" w:space="0" w:color="auto"/>
        <w:bottom w:val="none" w:sz="0" w:space="0" w:color="auto"/>
        <w:right w:val="none" w:sz="0" w:space="0" w:color="auto"/>
      </w:divBdr>
      <w:divsChild>
        <w:div w:id="1949307755">
          <w:marLeft w:val="120"/>
          <w:marRight w:val="120"/>
          <w:marTop w:val="45"/>
          <w:marBottom w:val="0"/>
          <w:divBdr>
            <w:top w:val="none" w:sz="0" w:space="0" w:color="auto"/>
            <w:left w:val="none" w:sz="0" w:space="0" w:color="auto"/>
            <w:bottom w:val="none" w:sz="0" w:space="0" w:color="auto"/>
            <w:right w:val="none" w:sz="0" w:space="0" w:color="auto"/>
          </w:divBdr>
          <w:divsChild>
            <w:div w:id="151499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866">
      <w:bodyDiv w:val="1"/>
      <w:marLeft w:val="0"/>
      <w:marRight w:val="0"/>
      <w:marTop w:val="0"/>
      <w:marBottom w:val="0"/>
      <w:divBdr>
        <w:top w:val="none" w:sz="0" w:space="0" w:color="auto"/>
        <w:left w:val="none" w:sz="0" w:space="0" w:color="auto"/>
        <w:bottom w:val="none" w:sz="0" w:space="0" w:color="auto"/>
        <w:right w:val="none" w:sz="0" w:space="0" w:color="auto"/>
      </w:divBdr>
    </w:div>
    <w:div w:id="233781983">
      <w:bodyDiv w:val="1"/>
      <w:marLeft w:val="0"/>
      <w:marRight w:val="0"/>
      <w:marTop w:val="0"/>
      <w:marBottom w:val="0"/>
      <w:divBdr>
        <w:top w:val="none" w:sz="0" w:space="0" w:color="auto"/>
        <w:left w:val="none" w:sz="0" w:space="0" w:color="auto"/>
        <w:bottom w:val="none" w:sz="0" w:space="0" w:color="auto"/>
        <w:right w:val="none" w:sz="0" w:space="0" w:color="auto"/>
      </w:divBdr>
    </w:div>
    <w:div w:id="252249464">
      <w:bodyDiv w:val="1"/>
      <w:marLeft w:val="0"/>
      <w:marRight w:val="0"/>
      <w:marTop w:val="0"/>
      <w:marBottom w:val="0"/>
      <w:divBdr>
        <w:top w:val="none" w:sz="0" w:space="0" w:color="auto"/>
        <w:left w:val="none" w:sz="0" w:space="0" w:color="auto"/>
        <w:bottom w:val="none" w:sz="0" w:space="0" w:color="auto"/>
        <w:right w:val="none" w:sz="0" w:space="0" w:color="auto"/>
      </w:divBdr>
      <w:divsChild>
        <w:div w:id="1810631584">
          <w:marLeft w:val="3075"/>
          <w:marRight w:val="3075"/>
          <w:marTop w:val="0"/>
          <w:marBottom w:val="0"/>
          <w:divBdr>
            <w:top w:val="none" w:sz="0" w:space="0" w:color="auto"/>
            <w:left w:val="none" w:sz="0" w:space="0" w:color="auto"/>
            <w:bottom w:val="none" w:sz="0" w:space="0" w:color="auto"/>
            <w:right w:val="none" w:sz="0" w:space="0" w:color="auto"/>
          </w:divBdr>
          <w:divsChild>
            <w:div w:id="173469341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57179464">
      <w:bodyDiv w:val="1"/>
      <w:marLeft w:val="0"/>
      <w:marRight w:val="0"/>
      <w:marTop w:val="0"/>
      <w:marBottom w:val="0"/>
      <w:divBdr>
        <w:top w:val="none" w:sz="0" w:space="0" w:color="auto"/>
        <w:left w:val="none" w:sz="0" w:space="0" w:color="auto"/>
        <w:bottom w:val="none" w:sz="0" w:space="0" w:color="auto"/>
        <w:right w:val="none" w:sz="0" w:space="0" w:color="auto"/>
      </w:divBdr>
    </w:div>
    <w:div w:id="313141728">
      <w:bodyDiv w:val="1"/>
      <w:marLeft w:val="0"/>
      <w:marRight w:val="0"/>
      <w:marTop w:val="0"/>
      <w:marBottom w:val="0"/>
      <w:divBdr>
        <w:top w:val="none" w:sz="0" w:space="0" w:color="auto"/>
        <w:left w:val="none" w:sz="0" w:space="0" w:color="auto"/>
        <w:bottom w:val="none" w:sz="0" w:space="0" w:color="auto"/>
        <w:right w:val="none" w:sz="0" w:space="0" w:color="auto"/>
      </w:divBdr>
    </w:div>
    <w:div w:id="414791785">
      <w:bodyDiv w:val="1"/>
      <w:marLeft w:val="0"/>
      <w:marRight w:val="0"/>
      <w:marTop w:val="0"/>
      <w:marBottom w:val="0"/>
      <w:divBdr>
        <w:top w:val="none" w:sz="0" w:space="0" w:color="auto"/>
        <w:left w:val="none" w:sz="0" w:space="0" w:color="auto"/>
        <w:bottom w:val="none" w:sz="0" w:space="0" w:color="auto"/>
        <w:right w:val="none" w:sz="0" w:space="0" w:color="auto"/>
      </w:divBdr>
      <w:divsChild>
        <w:div w:id="986786463">
          <w:marLeft w:val="120"/>
          <w:marRight w:val="120"/>
          <w:marTop w:val="45"/>
          <w:marBottom w:val="0"/>
          <w:divBdr>
            <w:top w:val="none" w:sz="0" w:space="0" w:color="auto"/>
            <w:left w:val="none" w:sz="0" w:space="0" w:color="auto"/>
            <w:bottom w:val="none" w:sz="0" w:space="0" w:color="auto"/>
            <w:right w:val="none" w:sz="0" w:space="0" w:color="auto"/>
          </w:divBdr>
          <w:divsChild>
            <w:div w:id="110614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152437">
      <w:bodyDiv w:val="1"/>
      <w:marLeft w:val="0"/>
      <w:marRight w:val="0"/>
      <w:marTop w:val="0"/>
      <w:marBottom w:val="0"/>
      <w:divBdr>
        <w:top w:val="none" w:sz="0" w:space="0" w:color="auto"/>
        <w:left w:val="none" w:sz="0" w:space="0" w:color="auto"/>
        <w:bottom w:val="none" w:sz="0" w:space="0" w:color="auto"/>
        <w:right w:val="none" w:sz="0" w:space="0" w:color="auto"/>
      </w:divBdr>
      <w:divsChild>
        <w:div w:id="79719652">
          <w:marLeft w:val="0"/>
          <w:marRight w:val="0"/>
          <w:marTop w:val="0"/>
          <w:marBottom w:val="0"/>
          <w:divBdr>
            <w:top w:val="none" w:sz="0" w:space="0" w:color="auto"/>
            <w:left w:val="none" w:sz="0" w:space="0" w:color="auto"/>
            <w:bottom w:val="none" w:sz="0" w:space="0" w:color="auto"/>
            <w:right w:val="none" w:sz="0" w:space="0" w:color="auto"/>
          </w:divBdr>
          <w:divsChild>
            <w:div w:id="476339583">
              <w:marLeft w:val="0"/>
              <w:marRight w:val="0"/>
              <w:marTop w:val="0"/>
              <w:marBottom w:val="0"/>
              <w:divBdr>
                <w:top w:val="none" w:sz="0" w:space="0" w:color="auto"/>
                <w:left w:val="none" w:sz="0" w:space="0" w:color="auto"/>
                <w:bottom w:val="none" w:sz="0" w:space="0" w:color="auto"/>
                <w:right w:val="none" w:sz="0" w:space="0" w:color="auto"/>
              </w:divBdr>
              <w:divsChild>
                <w:div w:id="2043092264">
                  <w:marLeft w:val="0"/>
                  <w:marRight w:val="0"/>
                  <w:marTop w:val="0"/>
                  <w:marBottom w:val="0"/>
                  <w:divBdr>
                    <w:top w:val="none" w:sz="0" w:space="0" w:color="auto"/>
                    <w:left w:val="none" w:sz="0" w:space="0" w:color="auto"/>
                    <w:bottom w:val="none" w:sz="0" w:space="0" w:color="auto"/>
                    <w:right w:val="none" w:sz="0" w:space="0" w:color="auto"/>
                  </w:divBdr>
                  <w:divsChild>
                    <w:div w:id="1188103455">
                      <w:marLeft w:val="0"/>
                      <w:marRight w:val="0"/>
                      <w:marTop w:val="0"/>
                      <w:marBottom w:val="0"/>
                      <w:divBdr>
                        <w:top w:val="none" w:sz="0" w:space="0" w:color="auto"/>
                        <w:left w:val="none" w:sz="0" w:space="0" w:color="auto"/>
                        <w:bottom w:val="none" w:sz="0" w:space="0" w:color="auto"/>
                        <w:right w:val="none" w:sz="0" w:space="0" w:color="auto"/>
                      </w:divBdr>
                      <w:divsChild>
                        <w:div w:id="7463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882951">
      <w:bodyDiv w:val="1"/>
      <w:marLeft w:val="0"/>
      <w:marRight w:val="0"/>
      <w:marTop w:val="0"/>
      <w:marBottom w:val="0"/>
      <w:divBdr>
        <w:top w:val="none" w:sz="0" w:space="0" w:color="auto"/>
        <w:left w:val="none" w:sz="0" w:space="0" w:color="auto"/>
        <w:bottom w:val="none" w:sz="0" w:space="0" w:color="auto"/>
        <w:right w:val="none" w:sz="0" w:space="0" w:color="auto"/>
      </w:divBdr>
    </w:div>
    <w:div w:id="652609984">
      <w:bodyDiv w:val="1"/>
      <w:marLeft w:val="0"/>
      <w:marRight w:val="0"/>
      <w:marTop w:val="0"/>
      <w:marBottom w:val="0"/>
      <w:divBdr>
        <w:top w:val="none" w:sz="0" w:space="0" w:color="auto"/>
        <w:left w:val="none" w:sz="0" w:space="0" w:color="auto"/>
        <w:bottom w:val="none" w:sz="0" w:space="0" w:color="auto"/>
        <w:right w:val="none" w:sz="0" w:space="0" w:color="auto"/>
      </w:divBdr>
      <w:divsChild>
        <w:div w:id="1140926031">
          <w:marLeft w:val="75"/>
          <w:marRight w:val="75"/>
          <w:marTop w:val="28"/>
          <w:marBottom w:val="0"/>
          <w:divBdr>
            <w:top w:val="none" w:sz="0" w:space="0" w:color="auto"/>
            <w:left w:val="none" w:sz="0" w:space="0" w:color="auto"/>
            <w:bottom w:val="none" w:sz="0" w:space="0" w:color="auto"/>
            <w:right w:val="none" w:sz="0" w:space="0" w:color="auto"/>
          </w:divBdr>
          <w:divsChild>
            <w:div w:id="203758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5379">
      <w:bodyDiv w:val="1"/>
      <w:marLeft w:val="0"/>
      <w:marRight w:val="0"/>
      <w:marTop w:val="0"/>
      <w:marBottom w:val="0"/>
      <w:divBdr>
        <w:top w:val="none" w:sz="0" w:space="0" w:color="auto"/>
        <w:left w:val="none" w:sz="0" w:space="0" w:color="auto"/>
        <w:bottom w:val="none" w:sz="0" w:space="0" w:color="auto"/>
        <w:right w:val="none" w:sz="0" w:space="0" w:color="auto"/>
      </w:divBdr>
    </w:div>
    <w:div w:id="797770146">
      <w:bodyDiv w:val="1"/>
      <w:marLeft w:val="0"/>
      <w:marRight w:val="0"/>
      <w:marTop w:val="0"/>
      <w:marBottom w:val="0"/>
      <w:divBdr>
        <w:top w:val="none" w:sz="0" w:space="0" w:color="auto"/>
        <w:left w:val="none" w:sz="0" w:space="0" w:color="auto"/>
        <w:bottom w:val="none" w:sz="0" w:space="0" w:color="auto"/>
        <w:right w:val="none" w:sz="0" w:space="0" w:color="auto"/>
      </w:divBdr>
    </w:div>
    <w:div w:id="806052297">
      <w:bodyDiv w:val="1"/>
      <w:marLeft w:val="0"/>
      <w:marRight w:val="0"/>
      <w:marTop w:val="0"/>
      <w:marBottom w:val="0"/>
      <w:divBdr>
        <w:top w:val="none" w:sz="0" w:space="0" w:color="auto"/>
        <w:left w:val="none" w:sz="0" w:space="0" w:color="auto"/>
        <w:bottom w:val="none" w:sz="0" w:space="0" w:color="auto"/>
        <w:right w:val="none" w:sz="0" w:space="0" w:color="auto"/>
      </w:divBdr>
    </w:div>
    <w:div w:id="809327717">
      <w:bodyDiv w:val="1"/>
      <w:marLeft w:val="0"/>
      <w:marRight w:val="0"/>
      <w:marTop w:val="0"/>
      <w:marBottom w:val="0"/>
      <w:divBdr>
        <w:top w:val="none" w:sz="0" w:space="0" w:color="auto"/>
        <w:left w:val="none" w:sz="0" w:space="0" w:color="auto"/>
        <w:bottom w:val="none" w:sz="0" w:space="0" w:color="auto"/>
        <w:right w:val="none" w:sz="0" w:space="0" w:color="auto"/>
      </w:divBdr>
    </w:div>
    <w:div w:id="910316269">
      <w:bodyDiv w:val="1"/>
      <w:marLeft w:val="0"/>
      <w:marRight w:val="0"/>
      <w:marTop w:val="0"/>
      <w:marBottom w:val="0"/>
      <w:divBdr>
        <w:top w:val="none" w:sz="0" w:space="0" w:color="auto"/>
        <w:left w:val="none" w:sz="0" w:space="0" w:color="auto"/>
        <w:bottom w:val="none" w:sz="0" w:space="0" w:color="auto"/>
        <w:right w:val="none" w:sz="0" w:space="0" w:color="auto"/>
      </w:divBdr>
      <w:divsChild>
        <w:div w:id="616570650">
          <w:marLeft w:val="3075"/>
          <w:marRight w:val="3075"/>
          <w:marTop w:val="0"/>
          <w:marBottom w:val="0"/>
          <w:divBdr>
            <w:top w:val="none" w:sz="0" w:space="0" w:color="auto"/>
            <w:left w:val="none" w:sz="0" w:space="0" w:color="auto"/>
            <w:bottom w:val="none" w:sz="0" w:space="0" w:color="auto"/>
            <w:right w:val="none" w:sz="0" w:space="0" w:color="auto"/>
          </w:divBdr>
          <w:divsChild>
            <w:div w:id="479425318">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916862859">
      <w:bodyDiv w:val="1"/>
      <w:marLeft w:val="0"/>
      <w:marRight w:val="0"/>
      <w:marTop w:val="0"/>
      <w:marBottom w:val="0"/>
      <w:divBdr>
        <w:top w:val="none" w:sz="0" w:space="0" w:color="auto"/>
        <w:left w:val="none" w:sz="0" w:space="0" w:color="auto"/>
        <w:bottom w:val="none" w:sz="0" w:space="0" w:color="auto"/>
        <w:right w:val="none" w:sz="0" w:space="0" w:color="auto"/>
      </w:divBdr>
    </w:div>
    <w:div w:id="963657600">
      <w:bodyDiv w:val="1"/>
      <w:marLeft w:val="0"/>
      <w:marRight w:val="0"/>
      <w:marTop w:val="0"/>
      <w:marBottom w:val="0"/>
      <w:divBdr>
        <w:top w:val="none" w:sz="0" w:space="0" w:color="auto"/>
        <w:left w:val="none" w:sz="0" w:space="0" w:color="auto"/>
        <w:bottom w:val="none" w:sz="0" w:space="0" w:color="auto"/>
        <w:right w:val="none" w:sz="0" w:space="0" w:color="auto"/>
      </w:divBdr>
      <w:divsChild>
        <w:div w:id="492794923">
          <w:marLeft w:val="3075"/>
          <w:marRight w:val="3075"/>
          <w:marTop w:val="0"/>
          <w:marBottom w:val="0"/>
          <w:divBdr>
            <w:top w:val="none" w:sz="0" w:space="0" w:color="auto"/>
            <w:left w:val="none" w:sz="0" w:space="0" w:color="auto"/>
            <w:bottom w:val="none" w:sz="0" w:space="0" w:color="auto"/>
            <w:right w:val="none" w:sz="0" w:space="0" w:color="auto"/>
          </w:divBdr>
          <w:divsChild>
            <w:div w:id="80072890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081755252">
      <w:bodyDiv w:val="1"/>
      <w:marLeft w:val="0"/>
      <w:marRight w:val="0"/>
      <w:marTop w:val="0"/>
      <w:marBottom w:val="0"/>
      <w:divBdr>
        <w:top w:val="none" w:sz="0" w:space="0" w:color="auto"/>
        <w:left w:val="none" w:sz="0" w:space="0" w:color="auto"/>
        <w:bottom w:val="none" w:sz="0" w:space="0" w:color="auto"/>
        <w:right w:val="none" w:sz="0" w:space="0" w:color="auto"/>
      </w:divBdr>
      <w:divsChild>
        <w:div w:id="1564440646">
          <w:marLeft w:val="92"/>
          <w:marRight w:val="92"/>
          <w:marTop w:val="35"/>
          <w:marBottom w:val="0"/>
          <w:divBdr>
            <w:top w:val="none" w:sz="0" w:space="0" w:color="auto"/>
            <w:left w:val="none" w:sz="0" w:space="0" w:color="auto"/>
            <w:bottom w:val="none" w:sz="0" w:space="0" w:color="auto"/>
            <w:right w:val="none" w:sz="0" w:space="0" w:color="auto"/>
          </w:divBdr>
          <w:divsChild>
            <w:div w:id="25120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621276">
      <w:bodyDiv w:val="1"/>
      <w:marLeft w:val="0"/>
      <w:marRight w:val="0"/>
      <w:marTop w:val="0"/>
      <w:marBottom w:val="0"/>
      <w:divBdr>
        <w:top w:val="none" w:sz="0" w:space="0" w:color="auto"/>
        <w:left w:val="none" w:sz="0" w:space="0" w:color="auto"/>
        <w:bottom w:val="none" w:sz="0" w:space="0" w:color="auto"/>
        <w:right w:val="none" w:sz="0" w:space="0" w:color="auto"/>
      </w:divBdr>
      <w:divsChild>
        <w:div w:id="1121916304">
          <w:marLeft w:val="0"/>
          <w:marRight w:val="0"/>
          <w:marTop w:val="0"/>
          <w:marBottom w:val="0"/>
          <w:divBdr>
            <w:top w:val="none" w:sz="0" w:space="0" w:color="auto"/>
            <w:left w:val="none" w:sz="0" w:space="0" w:color="auto"/>
            <w:bottom w:val="none" w:sz="0" w:space="0" w:color="auto"/>
            <w:right w:val="none" w:sz="0" w:space="0" w:color="auto"/>
          </w:divBdr>
          <w:divsChild>
            <w:div w:id="1545942221">
              <w:marLeft w:val="0"/>
              <w:marRight w:val="0"/>
              <w:marTop w:val="0"/>
              <w:marBottom w:val="0"/>
              <w:divBdr>
                <w:top w:val="none" w:sz="0" w:space="0" w:color="auto"/>
                <w:left w:val="none" w:sz="0" w:space="0" w:color="auto"/>
                <w:bottom w:val="none" w:sz="0" w:space="0" w:color="auto"/>
                <w:right w:val="none" w:sz="0" w:space="0" w:color="auto"/>
              </w:divBdr>
              <w:divsChild>
                <w:div w:id="415784936">
                  <w:marLeft w:val="0"/>
                  <w:marRight w:val="0"/>
                  <w:marTop w:val="0"/>
                  <w:marBottom w:val="0"/>
                  <w:divBdr>
                    <w:top w:val="none" w:sz="0" w:space="0" w:color="auto"/>
                    <w:left w:val="none" w:sz="0" w:space="0" w:color="auto"/>
                    <w:bottom w:val="none" w:sz="0" w:space="0" w:color="auto"/>
                    <w:right w:val="none" w:sz="0" w:space="0" w:color="auto"/>
                  </w:divBdr>
                  <w:divsChild>
                    <w:div w:id="1858932264">
                      <w:marLeft w:val="0"/>
                      <w:marRight w:val="0"/>
                      <w:marTop w:val="0"/>
                      <w:marBottom w:val="0"/>
                      <w:divBdr>
                        <w:top w:val="none" w:sz="0" w:space="0" w:color="auto"/>
                        <w:left w:val="none" w:sz="0" w:space="0" w:color="auto"/>
                        <w:bottom w:val="none" w:sz="0" w:space="0" w:color="auto"/>
                        <w:right w:val="none" w:sz="0" w:space="0" w:color="auto"/>
                      </w:divBdr>
                      <w:divsChild>
                        <w:div w:id="1341347415">
                          <w:marLeft w:val="0"/>
                          <w:marRight w:val="0"/>
                          <w:marTop w:val="0"/>
                          <w:marBottom w:val="0"/>
                          <w:divBdr>
                            <w:top w:val="none" w:sz="0" w:space="0" w:color="auto"/>
                            <w:left w:val="none" w:sz="0" w:space="0" w:color="auto"/>
                            <w:bottom w:val="none" w:sz="0" w:space="0" w:color="auto"/>
                            <w:right w:val="none" w:sz="0" w:space="0" w:color="auto"/>
                          </w:divBdr>
                          <w:divsChild>
                            <w:div w:id="583926059">
                              <w:marLeft w:val="0"/>
                              <w:marRight w:val="0"/>
                              <w:marTop w:val="0"/>
                              <w:marBottom w:val="0"/>
                              <w:divBdr>
                                <w:top w:val="none" w:sz="0" w:space="0" w:color="auto"/>
                                <w:left w:val="none" w:sz="0" w:space="0" w:color="auto"/>
                                <w:bottom w:val="none" w:sz="0" w:space="0" w:color="auto"/>
                                <w:right w:val="none" w:sz="0" w:space="0" w:color="auto"/>
                              </w:divBdr>
                              <w:divsChild>
                                <w:div w:id="1337734659">
                                  <w:marLeft w:val="0"/>
                                  <w:marRight w:val="0"/>
                                  <w:marTop w:val="0"/>
                                  <w:marBottom w:val="0"/>
                                  <w:divBdr>
                                    <w:top w:val="none" w:sz="0" w:space="0" w:color="auto"/>
                                    <w:left w:val="none" w:sz="0" w:space="0" w:color="auto"/>
                                    <w:bottom w:val="none" w:sz="0" w:space="0" w:color="auto"/>
                                    <w:right w:val="none" w:sz="0" w:space="0" w:color="auto"/>
                                  </w:divBdr>
                                  <w:divsChild>
                                    <w:div w:id="421949446">
                                      <w:marLeft w:val="0"/>
                                      <w:marRight w:val="0"/>
                                      <w:marTop w:val="0"/>
                                      <w:marBottom w:val="0"/>
                                      <w:divBdr>
                                        <w:top w:val="single" w:sz="6" w:space="0" w:color="CCCCCC"/>
                                        <w:left w:val="single" w:sz="6" w:space="0" w:color="CCCCCC"/>
                                        <w:bottom w:val="single" w:sz="6" w:space="0" w:color="CCCCCC"/>
                                        <w:right w:val="single" w:sz="6" w:space="0" w:color="CCCCCC"/>
                                      </w:divBdr>
                                      <w:divsChild>
                                        <w:div w:id="518354352">
                                          <w:marLeft w:val="0"/>
                                          <w:marRight w:val="0"/>
                                          <w:marTop w:val="15"/>
                                          <w:marBottom w:val="0"/>
                                          <w:divBdr>
                                            <w:top w:val="none" w:sz="0" w:space="0" w:color="auto"/>
                                            <w:left w:val="none" w:sz="0" w:space="0" w:color="auto"/>
                                            <w:bottom w:val="none" w:sz="0" w:space="0" w:color="auto"/>
                                            <w:right w:val="none" w:sz="0" w:space="0" w:color="auto"/>
                                          </w:divBdr>
                                          <w:divsChild>
                                            <w:div w:id="807741427">
                                              <w:marLeft w:val="0"/>
                                              <w:marRight w:val="0"/>
                                              <w:marTop w:val="0"/>
                                              <w:marBottom w:val="0"/>
                                              <w:divBdr>
                                                <w:top w:val="none" w:sz="0" w:space="0" w:color="auto"/>
                                                <w:left w:val="none" w:sz="0" w:space="0" w:color="auto"/>
                                                <w:bottom w:val="none" w:sz="0" w:space="0" w:color="auto"/>
                                                <w:right w:val="none" w:sz="0" w:space="0" w:color="auto"/>
                                              </w:divBdr>
                                              <w:divsChild>
                                                <w:div w:id="1929149960">
                                                  <w:marLeft w:val="0"/>
                                                  <w:marRight w:val="0"/>
                                                  <w:marTop w:val="0"/>
                                                  <w:marBottom w:val="0"/>
                                                  <w:divBdr>
                                                    <w:top w:val="none" w:sz="0" w:space="0" w:color="auto"/>
                                                    <w:left w:val="none" w:sz="0" w:space="0" w:color="auto"/>
                                                    <w:bottom w:val="none" w:sz="0" w:space="0" w:color="auto"/>
                                                    <w:right w:val="none" w:sz="0" w:space="0" w:color="auto"/>
                                                  </w:divBdr>
                                                  <w:divsChild>
                                                    <w:div w:id="1016425462">
                                                      <w:marLeft w:val="0"/>
                                                      <w:marRight w:val="0"/>
                                                      <w:marTop w:val="0"/>
                                                      <w:marBottom w:val="0"/>
                                                      <w:divBdr>
                                                        <w:top w:val="none" w:sz="0" w:space="0" w:color="auto"/>
                                                        <w:left w:val="none" w:sz="0" w:space="0" w:color="auto"/>
                                                        <w:bottom w:val="none" w:sz="0" w:space="0" w:color="auto"/>
                                                        <w:right w:val="none" w:sz="0" w:space="0" w:color="auto"/>
                                                      </w:divBdr>
                                                      <w:divsChild>
                                                        <w:div w:id="1146438272">
                                                          <w:marLeft w:val="0"/>
                                                          <w:marRight w:val="0"/>
                                                          <w:marTop w:val="0"/>
                                                          <w:marBottom w:val="0"/>
                                                          <w:divBdr>
                                                            <w:top w:val="none" w:sz="0" w:space="0" w:color="auto"/>
                                                            <w:left w:val="none" w:sz="0" w:space="0" w:color="auto"/>
                                                            <w:bottom w:val="none" w:sz="0" w:space="0" w:color="auto"/>
                                                            <w:right w:val="none" w:sz="0" w:space="0" w:color="auto"/>
                                                          </w:divBdr>
                                                          <w:divsChild>
                                                            <w:div w:id="255094660">
                                                              <w:marLeft w:val="0"/>
                                                              <w:marRight w:val="0"/>
                                                              <w:marTop w:val="0"/>
                                                              <w:marBottom w:val="0"/>
                                                              <w:divBdr>
                                                                <w:top w:val="none" w:sz="0" w:space="0" w:color="auto"/>
                                                                <w:left w:val="none" w:sz="0" w:space="0" w:color="auto"/>
                                                                <w:bottom w:val="none" w:sz="0" w:space="0" w:color="auto"/>
                                                                <w:right w:val="none" w:sz="0" w:space="0" w:color="auto"/>
                                                              </w:divBdr>
                                                            </w:div>
                                                            <w:div w:id="388068324">
                                                              <w:marLeft w:val="0"/>
                                                              <w:marRight w:val="0"/>
                                                              <w:marTop w:val="0"/>
                                                              <w:marBottom w:val="0"/>
                                                              <w:divBdr>
                                                                <w:top w:val="none" w:sz="0" w:space="0" w:color="auto"/>
                                                                <w:left w:val="none" w:sz="0" w:space="0" w:color="auto"/>
                                                                <w:bottom w:val="none" w:sz="0" w:space="0" w:color="auto"/>
                                                                <w:right w:val="none" w:sz="0" w:space="0" w:color="auto"/>
                                                              </w:divBdr>
                                                            </w:div>
                                                            <w:div w:id="603267231">
                                                              <w:marLeft w:val="0"/>
                                                              <w:marRight w:val="0"/>
                                                              <w:marTop w:val="0"/>
                                                              <w:marBottom w:val="0"/>
                                                              <w:divBdr>
                                                                <w:top w:val="none" w:sz="0" w:space="0" w:color="auto"/>
                                                                <w:left w:val="none" w:sz="0" w:space="0" w:color="auto"/>
                                                                <w:bottom w:val="none" w:sz="0" w:space="0" w:color="auto"/>
                                                                <w:right w:val="none" w:sz="0" w:space="0" w:color="auto"/>
                                                              </w:divBdr>
                                                            </w:div>
                                                            <w:div w:id="909266268">
                                                              <w:marLeft w:val="0"/>
                                                              <w:marRight w:val="0"/>
                                                              <w:marTop w:val="0"/>
                                                              <w:marBottom w:val="0"/>
                                                              <w:divBdr>
                                                                <w:top w:val="none" w:sz="0" w:space="0" w:color="auto"/>
                                                                <w:left w:val="none" w:sz="0" w:space="0" w:color="auto"/>
                                                                <w:bottom w:val="none" w:sz="0" w:space="0" w:color="auto"/>
                                                                <w:right w:val="none" w:sz="0" w:space="0" w:color="auto"/>
                                                              </w:divBdr>
                                                            </w:div>
                                                            <w:div w:id="1305770180">
                                                              <w:marLeft w:val="0"/>
                                                              <w:marRight w:val="0"/>
                                                              <w:marTop w:val="0"/>
                                                              <w:marBottom w:val="0"/>
                                                              <w:divBdr>
                                                                <w:top w:val="none" w:sz="0" w:space="0" w:color="auto"/>
                                                                <w:left w:val="none" w:sz="0" w:space="0" w:color="auto"/>
                                                                <w:bottom w:val="none" w:sz="0" w:space="0" w:color="auto"/>
                                                                <w:right w:val="none" w:sz="0" w:space="0" w:color="auto"/>
                                                              </w:divBdr>
                                                            </w:div>
                                                            <w:div w:id="1676498338">
                                                              <w:marLeft w:val="0"/>
                                                              <w:marRight w:val="0"/>
                                                              <w:marTop w:val="0"/>
                                                              <w:marBottom w:val="0"/>
                                                              <w:divBdr>
                                                                <w:top w:val="none" w:sz="0" w:space="0" w:color="auto"/>
                                                                <w:left w:val="none" w:sz="0" w:space="0" w:color="auto"/>
                                                                <w:bottom w:val="none" w:sz="0" w:space="0" w:color="auto"/>
                                                                <w:right w:val="none" w:sz="0" w:space="0" w:color="auto"/>
                                                              </w:divBdr>
                                                            </w:div>
                                                            <w:div w:id="172714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73686699">
      <w:bodyDiv w:val="1"/>
      <w:marLeft w:val="0"/>
      <w:marRight w:val="0"/>
      <w:marTop w:val="0"/>
      <w:marBottom w:val="0"/>
      <w:divBdr>
        <w:top w:val="none" w:sz="0" w:space="0" w:color="auto"/>
        <w:left w:val="none" w:sz="0" w:space="0" w:color="auto"/>
        <w:bottom w:val="none" w:sz="0" w:space="0" w:color="auto"/>
        <w:right w:val="none" w:sz="0" w:space="0" w:color="auto"/>
      </w:divBdr>
      <w:divsChild>
        <w:div w:id="1437291164">
          <w:marLeft w:val="3075"/>
          <w:marRight w:val="3075"/>
          <w:marTop w:val="0"/>
          <w:marBottom w:val="0"/>
          <w:divBdr>
            <w:top w:val="none" w:sz="0" w:space="0" w:color="auto"/>
            <w:left w:val="none" w:sz="0" w:space="0" w:color="auto"/>
            <w:bottom w:val="none" w:sz="0" w:space="0" w:color="auto"/>
            <w:right w:val="none" w:sz="0" w:space="0" w:color="auto"/>
          </w:divBdr>
          <w:divsChild>
            <w:div w:id="424612737">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249851216">
      <w:bodyDiv w:val="1"/>
      <w:marLeft w:val="0"/>
      <w:marRight w:val="0"/>
      <w:marTop w:val="0"/>
      <w:marBottom w:val="0"/>
      <w:divBdr>
        <w:top w:val="none" w:sz="0" w:space="0" w:color="auto"/>
        <w:left w:val="none" w:sz="0" w:space="0" w:color="auto"/>
        <w:bottom w:val="none" w:sz="0" w:space="0" w:color="auto"/>
        <w:right w:val="none" w:sz="0" w:space="0" w:color="auto"/>
      </w:divBdr>
    </w:div>
    <w:div w:id="1267231144">
      <w:bodyDiv w:val="1"/>
      <w:marLeft w:val="0"/>
      <w:marRight w:val="0"/>
      <w:marTop w:val="0"/>
      <w:marBottom w:val="0"/>
      <w:divBdr>
        <w:top w:val="none" w:sz="0" w:space="0" w:color="auto"/>
        <w:left w:val="none" w:sz="0" w:space="0" w:color="auto"/>
        <w:bottom w:val="none" w:sz="0" w:space="0" w:color="auto"/>
        <w:right w:val="none" w:sz="0" w:space="0" w:color="auto"/>
      </w:divBdr>
      <w:divsChild>
        <w:div w:id="1093933493">
          <w:marLeft w:val="0"/>
          <w:marRight w:val="0"/>
          <w:marTop w:val="0"/>
          <w:marBottom w:val="0"/>
          <w:divBdr>
            <w:top w:val="none" w:sz="0" w:space="0" w:color="auto"/>
            <w:left w:val="none" w:sz="0" w:space="0" w:color="auto"/>
            <w:bottom w:val="none" w:sz="0" w:space="0" w:color="auto"/>
            <w:right w:val="none" w:sz="0" w:space="0" w:color="auto"/>
          </w:divBdr>
          <w:divsChild>
            <w:div w:id="14961420">
              <w:marLeft w:val="0"/>
              <w:marRight w:val="0"/>
              <w:marTop w:val="0"/>
              <w:marBottom w:val="0"/>
              <w:divBdr>
                <w:top w:val="none" w:sz="0" w:space="0" w:color="auto"/>
                <w:left w:val="none" w:sz="0" w:space="0" w:color="auto"/>
                <w:bottom w:val="none" w:sz="0" w:space="0" w:color="auto"/>
                <w:right w:val="none" w:sz="0" w:space="0" w:color="auto"/>
              </w:divBdr>
            </w:div>
            <w:div w:id="487014356">
              <w:marLeft w:val="0"/>
              <w:marRight w:val="0"/>
              <w:marTop w:val="0"/>
              <w:marBottom w:val="0"/>
              <w:divBdr>
                <w:top w:val="none" w:sz="0" w:space="0" w:color="auto"/>
                <w:left w:val="none" w:sz="0" w:space="0" w:color="auto"/>
                <w:bottom w:val="none" w:sz="0" w:space="0" w:color="auto"/>
                <w:right w:val="none" w:sz="0" w:space="0" w:color="auto"/>
              </w:divBdr>
            </w:div>
            <w:div w:id="769353870">
              <w:marLeft w:val="0"/>
              <w:marRight w:val="0"/>
              <w:marTop w:val="0"/>
              <w:marBottom w:val="0"/>
              <w:divBdr>
                <w:top w:val="none" w:sz="0" w:space="0" w:color="auto"/>
                <w:left w:val="none" w:sz="0" w:space="0" w:color="auto"/>
                <w:bottom w:val="none" w:sz="0" w:space="0" w:color="auto"/>
                <w:right w:val="none" w:sz="0" w:space="0" w:color="auto"/>
              </w:divBdr>
            </w:div>
            <w:div w:id="98050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045261">
      <w:bodyDiv w:val="1"/>
      <w:marLeft w:val="0"/>
      <w:marRight w:val="0"/>
      <w:marTop w:val="0"/>
      <w:marBottom w:val="0"/>
      <w:divBdr>
        <w:top w:val="none" w:sz="0" w:space="0" w:color="auto"/>
        <w:left w:val="none" w:sz="0" w:space="0" w:color="auto"/>
        <w:bottom w:val="none" w:sz="0" w:space="0" w:color="auto"/>
        <w:right w:val="none" w:sz="0" w:space="0" w:color="auto"/>
      </w:divBdr>
      <w:divsChild>
        <w:div w:id="1154417312">
          <w:marLeft w:val="86"/>
          <w:marRight w:val="86"/>
          <w:marTop w:val="32"/>
          <w:marBottom w:val="0"/>
          <w:divBdr>
            <w:top w:val="none" w:sz="0" w:space="0" w:color="auto"/>
            <w:left w:val="none" w:sz="0" w:space="0" w:color="auto"/>
            <w:bottom w:val="none" w:sz="0" w:space="0" w:color="auto"/>
            <w:right w:val="none" w:sz="0" w:space="0" w:color="auto"/>
          </w:divBdr>
          <w:divsChild>
            <w:div w:id="210425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364731">
      <w:bodyDiv w:val="1"/>
      <w:marLeft w:val="0"/>
      <w:marRight w:val="0"/>
      <w:marTop w:val="0"/>
      <w:marBottom w:val="0"/>
      <w:divBdr>
        <w:top w:val="none" w:sz="0" w:space="0" w:color="auto"/>
        <w:left w:val="none" w:sz="0" w:space="0" w:color="auto"/>
        <w:bottom w:val="none" w:sz="0" w:space="0" w:color="auto"/>
        <w:right w:val="none" w:sz="0" w:space="0" w:color="auto"/>
      </w:divBdr>
      <w:divsChild>
        <w:div w:id="49156204">
          <w:marLeft w:val="0"/>
          <w:marRight w:val="0"/>
          <w:marTop w:val="0"/>
          <w:marBottom w:val="0"/>
          <w:divBdr>
            <w:top w:val="none" w:sz="0" w:space="0" w:color="auto"/>
            <w:left w:val="none" w:sz="0" w:space="0" w:color="auto"/>
            <w:bottom w:val="none" w:sz="0" w:space="0" w:color="auto"/>
            <w:right w:val="none" w:sz="0" w:space="0" w:color="auto"/>
          </w:divBdr>
        </w:div>
        <w:div w:id="195434887">
          <w:marLeft w:val="0"/>
          <w:marRight w:val="0"/>
          <w:marTop w:val="0"/>
          <w:marBottom w:val="0"/>
          <w:divBdr>
            <w:top w:val="none" w:sz="0" w:space="0" w:color="auto"/>
            <w:left w:val="none" w:sz="0" w:space="0" w:color="auto"/>
            <w:bottom w:val="none" w:sz="0" w:space="0" w:color="auto"/>
            <w:right w:val="none" w:sz="0" w:space="0" w:color="auto"/>
          </w:divBdr>
        </w:div>
        <w:div w:id="382599693">
          <w:marLeft w:val="0"/>
          <w:marRight w:val="0"/>
          <w:marTop w:val="0"/>
          <w:marBottom w:val="0"/>
          <w:divBdr>
            <w:top w:val="none" w:sz="0" w:space="0" w:color="auto"/>
            <w:left w:val="none" w:sz="0" w:space="0" w:color="auto"/>
            <w:bottom w:val="none" w:sz="0" w:space="0" w:color="auto"/>
            <w:right w:val="none" w:sz="0" w:space="0" w:color="auto"/>
          </w:divBdr>
        </w:div>
        <w:div w:id="427778400">
          <w:marLeft w:val="0"/>
          <w:marRight w:val="0"/>
          <w:marTop w:val="0"/>
          <w:marBottom w:val="0"/>
          <w:divBdr>
            <w:top w:val="none" w:sz="0" w:space="0" w:color="auto"/>
            <w:left w:val="none" w:sz="0" w:space="0" w:color="auto"/>
            <w:bottom w:val="none" w:sz="0" w:space="0" w:color="auto"/>
            <w:right w:val="none" w:sz="0" w:space="0" w:color="auto"/>
          </w:divBdr>
        </w:div>
        <w:div w:id="695423334">
          <w:marLeft w:val="0"/>
          <w:marRight w:val="0"/>
          <w:marTop w:val="0"/>
          <w:marBottom w:val="0"/>
          <w:divBdr>
            <w:top w:val="none" w:sz="0" w:space="0" w:color="auto"/>
            <w:left w:val="none" w:sz="0" w:space="0" w:color="auto"/>
            <w:bottom w:val="none" w:sz="0" w:space="0" w:color="auto"/>
            <w:right w:val="none" w:sz="0" w:space="0" w:color="auto"/>
          </w:divBdr>
        </w:div>
        <w:div w:id="1031228728">
          <w:marLeft w:val="0"/>
          <w:marRight w:val="0"/>
          <w:marTop w:val="0"/>
          <w:marBottom w:val="0"/>
          <w:divBdr>
            <w:top w:val="none" w:sz="0" w:space="0" w:color="auto"/>
            <w:left w:val="none" w:sz="0" w:space="0" w:color="auto"/>
            <w:bottom w:val="none" w:sz="0" w:space="0" w:color="auto"/>
            <w:right w:val="none" w:sz="0" w:space="0" w:color="auto"/>
          </w:divBdr>
        </w:div>
        <w:div w:id="1527257930">
          <w:marLeft w:val="0"/>
          <w:marRight w:val="0"/>
          <w:marTop w:val="0"/>
          <w:marBottom w:val="0"/>
          <w:divBdr>
            <w:top w:val="none" w:sz="0" w:space="0" w:color="auto"/>
            <w:left w:val="none" w:sz="0" w:space="0" w:color="auto"/>
            <w:bottom w:val="none" w:sz="0" w:space="0" w:color="auto"/>
            <w:right w:val="none" w:sz="0" w:space="0" w:color="auto"/>
          </w:divBdr>
        </w:div>
        <w:div w:id="1549880985">
          <w:marLeft w:val="0"/>
          <w:marRight w:val="0"/>
          <w:marTop w:val="0"/>
          <w:marBottom w:val="0"/>
          <w:divBdr>
            <w:top w:val="none" w:sz="0" w:space="0" w:color="auto"/>
            <w:left w:val="none" w:sz="0" w:space="0" w:color="auto"/>
            <w:bottom w:val="none" w:sz="0" w:space="0" w:color="auto"/>
            <w:right w:val="none" w:sz="0" w:space="0" w:color="auto"/>
          </w:divBdr>
        </w:div>
        <w:div w:id="1775515191">
          <w:marLeft w:val="0"/>
          <w:marRight w:val="0"/>
          <w:marTop w:val="0"/>
          <w:marBottom w:val="0"/>
          <w:divBdr>
            <w:top w:val="none" w:sz="0" w:space="0" w:color="auto"/>
            <w:left w:val="none" w:sz="0" w:space="0" w:color="auto"/>
            <w:bottom w:val="none" w:sz="0" w:space="0" w:color="auto"/>
            <w:right w:val="none" w:sz="0" w:space="0" w:color="auto"/>
          </w:divBdr>
        </w:div>
        <w:div w:id="1861627843">
          <w:marLeft w:val="0"/>
          <w:marRight w:val="0"/>
          <w:marTop w:val="0"/>
          <w:marBottom w:val="0"/>
          <w:divBdr>
            <w:top w:val="none" w:sz="0" w:space="0" w:color="auto"/>
            <w:left w:val="none" w:sz="0" w:space="0" w:color="auto"/>
            <w:bottom w:val="none" w:sz="0" w:space="0" w:color="auto"/>
            <w:right w:val="none" w:sz="0" w:space="0" w:color="auto"/>
          </w:divBdr>
        </w:div>
        <w:div w:id="1864055959">
          <w:marLeft w:val="0"/>
          <w:marRight w:val="0"/>
          <w:marTop w:val="0"/>
          <w:marBottom w:val="0"/>
          <w:divBdr>
            <w:top w:val="none" w:sz="0" w:space="0" w:color="auto"/>
            <w:left w:val="none" w:sz="0" w:space="0" w:color="auto"/>
            <w:bottom w:val="none" w:sz="0" w:space="0" w:color="auto"/>
            <w:right w:val="none" w:sz="0" w:space="0" w:color="auto"/>
          </w:divBdr>
        </w:div>
        <w:div w:id="2127693313">
          <w:marLeft w:val="0"/>
          <w:marRight w:val="0"/>
          <w:marTop w:val="0"/>
          <w:marBottom w:val="0"/>
          <w:divBdr>
            <w:top w:val="none" w:sz="0" w:space="0" w:color="auto"/>
            <w:left w:val="none" w:sz="0" w:space="0" w:color="auto"/>
            <w:bottom w:val="none" w:sz="0" w:space="0" w:color="auto"/>
            <w:right w:val="none" w:sz="0" w:space="0" w:color="auto"/>
          </w:divBdr>
        </w:div>
      </w:divsChild>
    </w:div>
    <w:div w:id="1507212840">
      <w:bodyDiv w:val="1"/>
      <w:marLeft w:val="0"/>
      <w:marRight w:val="0"/>
      <w:marTop w:val="0"/>
      <w:marBottom w:val="0"/>
      <w:divBdr>
        <w:top w:val="none" w:sz="0" w:space="0" w:color="auto"/>
        <w:left w:val="none" w:sz="0" w:space="0" w:color="auto"/>
        <w:bottom w:val="none" w:sz="0" w:space="0" w:color="auto"/>
        <w:right w:val="none" w:sz="0" w:space="0" w:color="auto"/>
      </w:divBdr>
      <w:divsChild>
        <w:div w:id="998190189">
          <w:marLeft w:val="120"/>
          <w:marRight w:val="75"/>
          <w:marTop w:val="0"/>
          <w:marBottom w:val="0"/>
          <w:divBdr>
            <w:top w:val="none" w:sz="0" w:space="0" w:color="auto"/>
            <w:left w:val="none" w:sz="0" w:space="0" w:color="auto"/>
            <w:bottom w:val="none" w:sz="0" w:space="0" w:color="auto"/>
            <w:right w:val="none" w:sz="0" w:space="0" w:color="auto"/>
          </w:divBdr>
          <w:divsChild>
            <w:div w:id="347878715">
              <w:marLeft w:val="0"/>
              <w:marRight w:val="0"/>
              <w:marTop w:val="0"/>
              <w:marBottom w:val="0"/>
              <w:divBdr>
                <w:top w:val="none" w:sz="0" w:space="0" w:color="auto"/>
                <w:left w:val="none" w:sz="0" w:space="0" w:color="auto"/>
                <w:bottom w:val="none" w:sz="0" w:space="0" w:color="auto"/>
                <w:right w:val="none" w:sz="0" w:space="0" w:color="auto"/>
              </w:divBdr>
              <w:divsChild>
                <w:div w:id="104660999">
                  <w:marLeft w:val="0"/>
                  <w:marRight w:val="0"/>
                  <w:marTop w:val="0"/>
                  <w:marBottom w:val="0"/>
                  <w:divBdr>
                    <w:top w:val="none" w:sz="0" w:space="0" w:color="auto"/>
                    <w:left w:val="none" w:sz="0" w:space="0" w:color="auto"/>
                    <w:bottom w:val="none" w:sz="0" w:space="0" w:color="auto"/>
                    <w:right w:val="none" w:sz="0" w:space="0" w:color="auto"/>
                  </w:divBdr>
                  <w:divsChild>
                    <w:div w:id="480585871">
                      <w:marLeft w:val="0"/>
                      <w:marRight w:val="0"/>
                      <w:marTop w:val="0"/>
                      <w:marBottom w:val="0"/>
                      <w:divBdr>
                        <w:top w:val="none" w:sz="0" w:space="0" w:color="auto"/>
                        <w:left w:val="none" w:sz="0" w:space="0" w:color="auto"/>
                        <w:bottom w:val="none" w:sz="0" w:space="0" w:color="auto"/>
                        <w:right w:val="none" w:sz="0" w:space="0" w:color="auto"/>
                      </w:divBdr>
                      <w:divsChild>
                        <w:div w:id="1239709361">
                          <w:marLeft w:val="0"/>
                          <w:marRight w:val="0"/>
                          <w:marTop w:val="0"/>
                          <w:marBottom w:val="0"/>
                          <w:divBdr>
                            <w:top w:val="single" w:sz="6" w:space="4" w:color="999999"/>
                            <w:left w:val="single" w:sz="6" w:space="4" w:color="999999"/>
                            <w:bottom w:val="single" w:sz="6" w:space="4" w:color="999999"/>
                            <w:right w:val="single" w:sz="6" w:space="4" w:color="999999"/>
                          </w:divBdr>
                          <w:divsChild>
                            <w:div w:id="52967246">
                              <w:marLeft w:val="0"/>
                              <w:marRight w:val="0"/>
                              <w:marTop w:val="0"/>
                              <w:marBottom w:val="0"/>
                              <w:divBdr>
                                <w:top w:val="none" w:sz="0" w:space="0" w:color="auto"/>
                                <w:left w:val="none" w:sz="0" w:space="0" w:color="auto"/>
                                <w:bottom w:val="none" w:sz="0" w:space="0" w:color="auto"/>
                                <w:right w:val="none" w:sz="0" w:space="0" w:color="auto"/>
                              </w:divBdr>
                              <w:divsChild>
                                <w:div w:id="1861897758">
                                  <w:marLeft w:val="0"/>
                                  <w:marRight w:val="5250"/>
                                  <w:marTop w:val="0"/>
                                  <w:marBottom w:val="0"/>
                                  <w:divBdr>
                                    <w:top w:val="none" w:sz="0" w:space="0" w:color="auto"/>
                                    <w:left w:val="none" w:sz="0" w:space="0" w:color="auto"/>
                                    <w:bottom w:val="none" w:sz="0" w:space="0" w:color="auto"/>
                                    <w:right w:val="none" w:sz="0" w:space="0" w:color="auto"/>
                                  </w:divBdr>
                                  <w:divsChild>
                                    <w:div w:id="11358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3258967">
      <w:bodyDiv w:val="1"/>
      <w:marLeft w:val="0"/>
      <w:marRight w:val="0"/>
      <w:marTop w:val="0"/>
      <w:marBottom w:val="0"/>
      <w:divBdr>
        <w:top w:val="none" w:sz="0" w:space="0" w:color="auto"/>
        <w:left w:val="none" w:sz="0" w:space="0" w:color="auto"/>
        <w:bottom w:val="none" w:sz="0" w:space="0" w:color="auto"/>
        <w:right w:val="none" w:sz="0" w:space="0" w:color="auto"/>
      </w:divBdr>
      <w:divsChild>
        <w:div w:id="1456413497">
          <w:marLeft w:val="0"/>
          <w:marRight w:val="0"/>
          <w:marTop w:val="0"/>
          <w:marBottom w:val="0"/>
          <w:divBdr>
            <w:top w:val="single" w:sz="2" w:space="2" w:color="6B90DA"/>
            <w:left w:val="none" w:sz="0" w:space="0" w:color="auto"/>
            <w:bottom w:val="none" w:sz="0" w:space="0" w:color="auto"/>
            <w:right w:val="none" w:sz="0" w:space="0" w:color="auto"/>
          </w:divBdr>
        </w:div>
      </w:divsChild>
    </w:div>
    <w:div w:id="1691494437">
      <w:bodyDiv w:val="1"/>
      <w:marLeft w:val="0"/>
      <w:marRight w:val="0"/>
      <w:marTop w:val="0"/>
      <w:marBottom w:val="0"/>
      <w:divBdr>
        <w:top w:val="none" w:sz="0" w:space="0" w:color="auto"/>
        <w:left w:val="none" w:sz="0" w:space="0" w:color="auto"/>
        <w:bottom w:val="none" w:sz="0" w:space="0" w:color="auto"/>
        <w:right w:val="none" w:sz="0" w:space="0" w:color="auto"/>
      </w:divBdr>
    </w:div>
    <w:div w:id="1776753350">
      <w:bodyDiv w:val="1"/>
      <w:marLeft w:val="0"/>
      <w:marRight w:val="0"/>
      <w:marTop w:val="0"/>
      <w:marBottom w:val="0"/>
      <w:divBdr>
        <w:top w:val="none" w:sz="0" w:space="0" w:color="auto"/>
        <w:left w:val="none" w:sz="0" w:space="0" w:color="auto"/>
        <w:bottom w:val="none" w:sz="0" w:space="0" w:color="auto"/>
        <w:right w:val="none" w:sz="0" w:space="0" w:color="auto"/>
      </w:divBdr>
      <w:divsChild>
        <w:div w:id="511800267">
          <w:marLeft w:val="3075"/>
          <w:marRight w:val="3075"/>
          <w:marTop w:val="0"/>
          <w:marBottom w:val="0"/>
          <w:divBdr>
            <w:top w:val="none" w:sz="0" w:space="0" w:color="auto"/>
            <w:left w:val="none" w:sz="0" w:space="0" w:color="auto"/>
            <w:bottom w:val="none" w:sz="0" w:space="0" w:color="auto"/>
            <w:right w:val="none" w:sz="0" w:space="0" w:color="auto"/>
          </w:divBdr>
          <w:divsChild>
            <w:div w:id="922374507">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784954118">
      <w:bodyDiv w:val="1"/>
      <w:marLeft w:val="0"/>
      <w:marRight w:val="0"/>
      <w:marTop w:val="0"/>
      <w:marBottom w:val="0"/>
      <w:divBdr>
        <w:top w:val="none" w:sz="0" w:space="0" w:color="auto"/>
        <w:left w:val="none" w:sz="0" w:space="0" w:color="auto"/>
        <w:bottom w:val="none" w:sz="0" w:space="0" w:color="auto"/>
        <w:right w:val="none" w:sz="0" w:space="0" w:color="auto"/>
      </w:divBdr>
      <w:divsChild>
        <w:div w:id="1359307832">
          <w:marLeft w:val="0"/>
          <w:marRight w:val="0"/>
          <w:marTop w:val="0"/>
          <w:marBottom w:val="0"/>
          <w:divBdr>
            <w:top w:val="single" w:sz="6" w:space="0" w:color="6B90DA"/>
            <w:left w:val="none" w:sz="0" w:space="0" w:color="auto"/>
            <w:bottom w:val="none" w:sz="0" w:space="0" w:color="auto"/>
            <w:right w:val="none" w:sz="0" w:space="0" w:color="auto"/>
          </w:divBdr>
          <w:divsChild>
            <w:div w:id="155624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300362">
      <w:bodyDiv w:val="1"/>
      <w:marLeft w:val="0"/>
      <w:marRight w:val="0"/>
      <w:marTop w:val="0"/>
      <w:marBottom w:val="0"/>
      <w:divBdr>
        <w:top w:val="none" w:sz="0" w:space="0" w:color="auto"/>
        <w:left w:val="none" w:sz="0" w:space="0" w:color="auto"/>
        <w:bottom w:val="none" w:sz="0" w:space="0" w:color="auto"/>
        <w:right w:val="none" w:sz="0" w:space="0" w:color="auto"/>
      </w:divBdr>
      <w:divsChild>
        <w:div w:id="1617059346">
          <w:marLeft w:val="3075"/>
          <w:marRight w:val="3075"/>
          <w:marTop w:val="0"/>
          <w:marBottom w:val="0"/>
          <w:divBdr>
            <w:top w:val="none" w:sz="0" w:space="0" w:color="auto"/>
            <w:left w:val="none" w:sz="0" w:space="0" w:color="auto"/>
            <w:bottom w:val="none" w:sz="0" w:space="0" w:color="auto"/>
            <w:right w:val="none" w:sz="0" w:space="0" w:color="auto"/>
          </w:divBdr>
          <w:divsChild>
            <w:div w:id="799810508">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098865671">
      <w:bodyDiv w:val="1"/>
      <w:marLeft w:val="0"/>
      <w:marRight w:val="0"/>
      <w:marTop w:val="0"/>
      <w:marBottom w:val="0"/>
      <w:divBdr>
        <w:top w:val="none" w:sz="0" w:space="0" w:color="auto"/>
        <w:left w:val="none" w:sz="0" w:space="0" w:color="auto"/>
        <w:bottom w:val="none" w:sz="0" w:space="0" w:color="auto"/>
        <w:right w:val="none" w:sz="0" w:space="0" w:color="auto"/>
      </w:divBdr>
    </w:div>
    <w:div w:id="212245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bis.org" TargetMode="External"/><Relationship Id="rId18" Type="http://schemas.openxmlformats.org/officeDocument/2006/relationships/hyperlink" Target="http://www.dnb.nl/openboek/extern/id/nl/all/40-158788.html" TargetMode="External"/><Relationship Id="rId26" Type="http://schemas.openxmlformats.org/officeDocument/2006/relationships/hyperlink" Target="http://www.pwc.com" TargetMode="External"/><Relationship Id="rId3" Type="http://schemas.openxmlformats.org/officeDocument/2006/relationships/settings" Target="settings.xml"/><Relationship Id="rId21" Type="http://schemas.openxmlformats.org/officeDocument/2006/relationships/hyperlink" Target="http://www.ecgi.org" TargetMode="External"/><Relationship Id="rId7" Type="http://schemas.openxmlformats.org/officeDocument/2006/relationships/image" Target="media/image1.jpeg"/><Relationship Id="rId12" Type="http://schemas.openxmlformats.org/officeDocument/2006/relationships/chart" Target="charts/chart1.xml"/><Relationship Id="rId17" Type="http://schemas.openxmlformats.org/officeDocument/2006/relationships/hyperlink" Target="http://www.dnb.nl" TargetMode="External"/><Relationship Id="rId25" Type="http://schemas.openxmlformats.org/officeDocument/2006/relationships/hyperlink" Target="http://www.kpmg.com" TargetMode="External"/><Relationship Id="rId2" Type="http://schemas.openxmlformats.org/officeDocument/2006/relationships/styles" Target="styles.xml"/><Relationship Id="rId16" Type="http://schemas.openxmlformats.org/officeDocument/2006/relationships/hyperlink" Target="http://www.bis.org/speeches/sp030213.htm" TargetMode="External"/><Relationship Id="rId20" Type="http://schemas.openxmlformats.org/officeDocument/2006/relationships/hyperlink" Target="http://www.ey.com" TargetMode="External"/><Relationship Id="rId29"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hyperlink" Target="http://www.iasb.org"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iadi.org/speeches/050702.pdf" TargetMode="External"/><Relationship Id="rId23" Type="http://schemas.openxmlformats.org/officeDocument/2006/relationships/hyperlink" Target="http://www.books.google.com" TargetMode="External"/><Relationship Id="rId28" Type="http://schemas.openxmlformats.org/officeDocument/2006/relationships/hyperlink" Target="http://ec.europa.eu" TargetMode="External"/><Relationship Id="rId10" Type="http://schemas.openxmlformats.org/officeDocument/2006/relationships/image" Target="media/image4.wmf"/><Relationship Id="rId19" Type="http://schemas.openxmlformats.org/officeDocument/2006/relationships/hyperlink" Target="http://www.nedprod.com/NeoCapitalism/MN3101%20Essay.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ssrn.com" TargetMode="External"/><Relationship Id="rId22" Type="http://schemas.openxmlformats.org/officeDocument/2006/relationships/hyperlink" Target="http://www.frc.org.uk" TargetMode="External"/><Relationship Id="rId27" Type="http://schemas.openxmlformats.org/officeDocument/2006/relationships/hyperlink" Target="http://ec.europa.eu" TargetMode="External"/><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H:\Documents%20and%20Settings\JW\Bureaublad\FINAL%20THESIS%20PROJECT%20JULY%202010\DATA_CODING_GRIDS.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style val="3"/>
  <c:chart>
    <c:plotArea>
      <c:layout>
        <c:manualLayout>
          <c:layoutTarget val="inner"/>
          <c:xMode val="edge"/>
          <c:yMode val="edge"/>
          <c:x val="0.14194205970725479"/>
          <c:y val="4.9822132142366179E-2"/>
          <c:w val="0.81947991304031564"/>
          <c:h val="0.7864796513192116"/>
        </c:manualLayout>
      </c:layout>
      <c:barChart>
        <c:barDir val="col"/>
        <c:grouping val="clustered"/>
        <c:ser>
          <c:idx val="1"/>
          <c:order val="0"/>
          <c:dLbls>
            <c:dLblPos val="outEnd"/>
            <c:showVal val="1"/>
          </c:dLbls>
          <c:cat>
            <c:strRef>
              <c:f>'TOTAL SAMPLE'!$F$4:$M$4</c:f>
              <c:strCache>
                <c:ptCount val="8"/>
                <c:pt idx="0">
                  <c:v>Market risk</c:v>
                </c:pt>
                <c:pt idx="1">
                  <c:v>Credit risk</c:v>
                </c:pt>
                <c:pt idx="2">
                  <c:v>Liquidity risk</c:v>
                </c:pt>
                <c:pt idx="3">
                  <c:v>Operational risk</c:v>
                </c:pt>
                <c:pt idx="4">
                  <c:v>Business risk</c:v>
                </c:pt>
                <c:pt idx="5">
                  <c:v>Legal risk</c:v>
                </c:pt>
                <c:pt idx="6">
                  <c:v>Capital structure and adequacy risk</c:v>
                </c:pt>
                <c:pt idx="7">
                  <c:v>Risk mgt frameworks and policies</c:v>
                </c:pt>
              </c:strCache>
            </c:strRef>
          </c:cat>
          <c:val>
            <c:numRef>
              <c:f>'TOTAL SAMPLE'!$F$19:$M$19</c:f>
              <c:numCache>
                <c:formatCode>General</c:formatCode>
                <c:ptCount val="8"/>
                <c:pt idx="0">
                  <c:v>2625</c:v>
                </c:pt>
                <c:pt idx="1">
                  <c:v>3270</c:v>
                </c:pt>
                <c:pt idx="2">
                  <c:v>1026</c:v>
                </c:pt>
                <c:pt idx="3">
                  <c:v>804</c:v>
                </c:pt>
                <c:pt idx="4">
                  <c:v>635</c:v>
                </c:pt>
                <c:pt idx="5">
                  <c:v>282</c:v>
                </c:pt>
                <c:pt idx="6">
                  <c:v>660</c:v>
                </c:pt>
                <c:pt idx="7">
                  <c:v>1027</c:v>
                </c:pt>
              </c:numCache>
            </c:numRef>
          </c:val>
        </c:ser>
        <c:axId val="128194816"/>
        <c:axId val="145940864"/>
      </c:barChart>
      <c:catAx>
        <c:axId val="128194816"/>
        <c:scaling>
          <c:orientation val="minMax"/>
        </c:scaling>
        <c:axPos val="b"/>
        <c:numFmt formatCode="General" sourceLinked="1"/>
        <c:tickLblPos val="nextTo"/>
        <c:txPr>
          <a:bodyPr rot="0" vert="horz"/>
          <a:lstStyle/>
          <a:p>
            <a:pPr>
              <a:defRPr sz="800" b="0"/>
            </a:pPr>
            <a:endParaRPr lang="nl-NL"/>
          </a:p>
        </c:txPr>
        <c:crossAx val="145940864"/>
        <c:crosses val="autoZero"/>
        <c:auto val="1"/>
        <c:lblAlgn val="ctr"/>
        <c:lblOffset val="100"/>
      </c:catAx>
      <c:valAx>
        <c:axId val="145940864"/>
        <c:scaling>
          <c:orientation val="minMax"/>
        </c:scaling>
        <c:axPos val="l"/>
        <c:majorGridlines/>
        <c:title>
          <c:tx>
            <c:rich>
              <a:bodyPr rot="-5400000" vert="horz"/>
              <a:lstStyle/>
              <a:p>
                <a:pPr>
                  <a:defRPr/>
                </a:pPr>
                <a:r>
                  <a:rPr lang="nl-NL" sz="1000" b="0"/>
                  <a:t>Number of disclosures</a:t>
                </a:r>
              </a:p>
            </c:rich>
          </c:tx>
          <c:layout>
            <c:manualLayout>
              <c:xMode val="edge"/>
              <c:yMode val="edge"/>
              <c:x val="2.0422602009601352E-2"/>
              <c:y val="0.21082847559772619"/>
            </c:manualLayout>
          </c:layout>
        </c:title>
        <c:numFmt formatCode="General" sourceLinked="1"/>
        <c:tickLblPos val="nextTo"/>
        <c:txPr>
          <a:bodyPr rot="0" vert="horz"/>
          <a:lstStyle/>
          <a:p>
            <a:pPr>
              <a:defRPr/>
            </a:pPr>
            <a:endParaRPr lang="nl-NL"/>
          </a:p>
        </c:txPr>
        <c:crossAx val="128194816"/>
        <c:crosses val="autoZero"/>
        <c:crossBetween val="between"/>
      </c:valAx>
    </c:plotArea>
    <c:plotVisOnly val="1"/>
    <c:dispBlanksAs val="gap"/>
  </c:chart>
  <c:spPr>
    <a:ln w="3175">
      <a:noFill/>
    </a:ln>
  </c:spPr>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32437</Words>
  <Characters>178405</Characters>
  <Application>Microsoft Office Word</Application>
  <DocSecurity>0</DocSecurity>
  <Lines>1486</Lines>
  <Paragraphs>420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Introduction</vt:lpstr>
      <vt:lpstr>Introduction</vt:lpstr>
    </vt:vector>
  </TitlesOfParts>
  <Company>Erasmus Universiteit Rotterdam</Company>
  <LinksUpToDate>false</LinksUpToDate>
  <CharactersWithSpaces>210422</CharactersWithSpaces>
  <SharedDoc>false</SharedDoc>
  <HLinks>
    <vt:vector size="612" baseType="variant">
      <vt:variant>
        <vt:i4>5308502</vt:i4>
      </vt:variant>
      <vt:variant>
        <vt:i4>567</vt:i4>
      </vt:variant>
      <vt:variant>
        <vt:i4>0</vt:i4>
      </vt:variant>
      <vt:variant>
        <vt:i4>5</vt:i4>
      </vt:variant>
      <vt:variant>
        <vt:lpwstr>http://ec.europa.eu/</vt:lpwstr>
      </vt:variant>
      <vt:variant>
        <vt:lpwstr/>
      </vt:variant>
      <vt:variant>
        <vt:i4>5308502</vt:i4>
      </vt:variant>
      <vt:variant>
        <vt:i4>564</vt:i4>
      </vt:variant>
      <vt:variant>
        <vt:i4>0</vt:i4>
      </vt:variant>
      <vt:variant>
        <vt:i4>5</vt:i4>
      </vt:variant>
      <vt:variant>
        <vt:lpwstr>http://ec.europa.eu/</vt:lpwstr>
      </vt:variant>
      <vt:variant>
        <vt:lpwstr/>
      </vt:variant>
      <vt:variant>
        <vt:i4>3539046</vt:i4>
      </vt:variant>
      <vt:variant>
        <vt:i4>561</vt:i4>
      </vt:variant>
      <vt:variant>
        <vt:i4>0</vt:i4>
      </vt:variant>
      <vt:variant>
        <vt:i4>5</vt:i4>
      </vt:variant>
      <vt:variant>
        <vt:lpwstr>http://www.pwc.com/</vt:lpwstr>
      </vt:variant>
      <vt:variant>
        <vt:lpwstr/>
      </vt:variant>
      <vt:variant>
        <vt:i4>4390985</vt:i4>
      </vt:variant>
      <vt:variant>
        <vt:i4>558</vt:i4>
      </vt:variant>
      <vt:variant>
        <vt:i4>0</vt:i4>
      </vt:variant>
      <vt:variant>
        <vt:i4>5</vt:i4>
      </vt:variant>
      <vt:variant>
        <vt:lpwstr>http://www.kpmg.com/</vt:lpwstr>
      </vt:variant>
      <vt:variant>
        <vt:lpwstr/>
      </vt:variant>
      <vt:variant>
        <vt:i4>4325467</vt:i4>
      </vt:variant>
      <vt:variant>
        <vt:i4>555</vt:i4>
      </vt:variant>
      <vt:variant>
        <vt:i4>0</vt:i4>
      </vt:variant>
      <vt:variant>
        <vt:i4>5</vt:i4>
      </vt:variant>
      <vt:variant>
        <vt:lpwstr>http://www.iasb.org/</vt:lpwstr>
      </vt:variant>
      <vt:variant>
        <vt:lpwstr/>
      </vt:variant>
      <vt:variant>
        <vt:i4>6225945</vt:i4>
      </vt:variant>
      <vt:variant>
        <vt:i4>552</vt:i4>
      </vt:variant>
      <vt:variant>
        <vt:i4>0</vt:i4>
      </vt:variant>
      <vt:variant>
        <vt:i4>5</vt:i4>
      </vt:variant>
      <vt:variant>
        <vt:lpwstr>http://www.books.google.com/</vt:lpwstr>
      </vt:variant>
      <vt:variant>
        <vt:lpwstr/>
      </vt:variant>
      <vt:variant>
        <vt:i4>8126523</vt:i4>
      </vt:variant>
      <vt:variant>
        <vt:i4>549</vt:i4>
      </vt:variant>
      <vt:variant>
        <vt:i4>0</vt:i4>
      </vt:variant>
      <vt:variant>
        <vt:i4>5</vt:i4>
      </vt:variant>
      <vt:variant>
        <vt:lpwstr>http://www.frc.org.uk/</vt:lpwstr>
      </vt:variant>
      <vt:variant>
        <vt:lpwstr/>
      </vt:variant>
      <vt:variant>
        <vt:i4>5898322</vt:i4>
      </vt:variant>
      <vt:variant>
        <vt:i4>546</vt:i4>
      </vt:variant>
      <vt:variant>
        <vt:i4>0</vt:i4>
      </vt:variant>
      <vt:variant>
        <vt:i4>5</vt:i4>
      </vt:variant>
      <vt:variant>
        <vt:lpwstr>http://www.ecgi.org/</vt:lpwstr>
      </vt:variant>
      <vt:variant>
        <vt:lpwstr/>
      </vt:variant>
      <vt:variant>
        <vt:i4>2097191</vt:i4>
      </vt:variant>
      <vt:variant>
        <vt:i4>543</vt:i4>
      </vt:variant>
      <vt:variant>
        <vt:i4>0</vt:i4>
      </vt:variant>
      <vt:variant>
        <vt:i4>5</vt:i4>
      </vt:variant>
      <vt:variant>
        <vt:lpwstr>http://www.ey.com/</vt:lpwstr>
      </vt:variant>
      <vt:variant>
        <vt:lpwstr/>
      </vt:variant>
      <vt:variant>
        <vt:i4>4390919</vt:i4>
      </vt:variant>
      <vt:variant>
        <vt:i4>540</vt:i4>
      </vt:variant>
      <vt:variant>
        <vt:i4>0</vt:i4>
      </vt:variant>
      <vt:variant>
        <vt:i4>5</vt:i4>
      </vt:variant>
      <vt:variant>
        <vt:lpwstr>http://www.nedprod.com/NeoCapitalism/MN3101 Essay.pdf</vt:lpwstr>
      </vt:variant>
      <vt:variant>
        <vt:lpwstr/>
      </vt:variant>
      <vt:variant>
        <vt:i4>7012396</vt:i4>
      </vt:variant>
      <vt:variant>
        <vt:i4>537</vt:i4>
      </vt:variant>
      <vt:variant>
        <vt:i4>0</vt:i4>
      </vt:variant>
      <vt:variant>
        <vt:i4>5</vt:i4>
      </vt:variant>
      <vt:variant>
        <vt:lpwstr>http://www.dnb.nl/openboek/extern/id/nl/all/40-158788.html</vt:lpwstr>
      </vt:variant>
      <vt:variant>
        <vt:lpwstr/>
      </vt:variant>
      <vt:variant>
        <vt:i4>7078012</vt:i4>
      </vt:variant>
      <vt:variant>
        <vt:i4>534</vt:i4>
      </vt:variant>
      <vt:variant>
        <vt:i4>0</vt:i4>
      </vt:variant>
      <vt:variant>
        <vt:i4>5</vt:i4>
      </vt:variant>
      <vt:variant>
        <vt:lpwstr>http://www.dnb.nl/</vt:lpwstr>
      </vt:variant>
      <vt:variant>
        <vt:lpwstr/>
      </vt:variant>
      <vt:variant>
        <vt:i4>4849756</vt:i4>
      </vt:variant>
      <vt:variant>
        <vt:i4>531</vt:i4>
      </vt:variant>
      <vt:variant>
        <vt:i4>0</vt:i4>
      </vt:variant>
      <vt:variant>
        <vt:i4>5</vt:i4>
      </vt:variant>
      <vt:variant>
        <vt:lpwstr>http://www.bis.org/speeches/sp030213.htm</vt:lpwstr>
      </vt:variant>
      <vt:variant>
        <vt:lpwstr/>
      </vt:variant>
      <vt:variant>
        <vt:i4>2162735</vt:i4>
      </vt:variant>
      <vt:variant>
        <vt:i4>528</vt:i4>
      </vt:variant>
      <vt:variant>
        <vt:i4>0</vt:i4>
      </vt:variant>
      <vt:variant>
        <vt:i4>5</vt:i4>
      </vt:variant>
      <vt:variant>
        <vt:lpwstr>http://www.iadi.org/speeches/050702.pdf</vt:lpwstr>
      </vt:variant>
      <vt:variant>
        <vt:lpwstr/>
      </vt:variant>
      <vt:variant>
        <vt:i4>4456515</vt:i4>
      </vt:variant>
      <vt:variant>
        <vt:i4>525</vt:i4>
      </vt:variant>
      <vt:variant>
        <vt:i4>0</vt:i4>
      </vt:variant>
      <vt:variant>
        <vt:i4>5</vt:i4>
      </vt:variant>
      <vt:variant>
        <vt:lpwstr>http://www.ssrn.com/</vt:lpwstr>
      </vt:variant>
      <vt:variant>
        <vt:lpwstr/>
      </vt:variant>
      <vt:variant>
        <vt:i4>3276901</vt:i4>
      </vt:variant>
      <vt:variant>
        <vt:i4>522</vt:i4>
      </vt:variant>
      <vt:variant>
        <vt:i4>0</vt:i4>
      </vt:variant>
      <vt:variant>
        <vt:i4>5</vt:i4>
      </vt:variant>
      <vt:variant>
        <vt:lpwstr>http://www.bis.org/</vt:lpwstr>
      </vt:variant>
      <vt:variant>
        <vt:lpwstr/>
      </vt:variant>
      <vt:variant>
        <vt:i4>1048629</vt:i4>
      </vt:variant>
      <vt:variant>
        <vt:i4>512</vt:i4>
      </vt:variant>
      <vt:variant>
        <vt:i4>0</vt:i4>
      </vt:variant>
      <vt:variant>
        <vt:i4>5</vt:i4>
      </vt:variant>
      <vt:variant>
        <vt:lpwstr/>
      </vt:variant>
      <vt:variant>
        <vt:lpwstr>_Toc269176965</vt:lpwstr>
      </vt:variant>
      <vt:variant>
        <vt:i4>1048629</vt:i4>
      </vt:variant>
      <vt:variant>
        <vt:i4>506</vt:i4>
      </vt:variant>
      <vt:variant>
        <vt:i4>0</vt:i4>
      </vt:variant>
      <vt:variant>
        <vt:i4>5</vt:i4>
      </vt:variant>
      <vt:variant>
        <vt:lpwstr/>
      </vt:variant>
      <vt:variant>
        <vt:lpwstr>_Toc269176964</vt:lpwstr>
      </vt:variant>
      <vt:variant>
        <vt:i4>1048629</vt:i4>
      </vt:variant>
      <vt:variant>
        <vt:i4>500</vt:i4>
      </vt:variant>
      <vt:variant>
        <vt:i4>0</vt:i4>
      </vt:variant>
      <vt:variant>
        <vt:i4>5</vt:i4>
      </vt:variant>
      <vt:variant>
        <vt:lpwstr/>
      </vt:variant>
      <vt:variant>
        <vt:lpwstr>_Toc269176963</vt:lpwstr>
      </vt:variant>
      <vt:variant>
        <vt:i4>1048629</vt:i4>
      </vt:variant>
      <vt:variant>
        <vt:i4>494</vt:i4>
      </vt:variant>
      <vt:variant>
        <vt:i4>0</vt:i4>
      </vt:variant>
      <vt:variant>
        <vt:i4>5</vt:i4>
      </vt:variant>
      <vt:variant>
        <vt:lpwstr/>
      </vt:variant>
      <vt:variant>
        <vt:lpwstr>_Toc269176962</vt:lpwstr>
      </vt:variant>
      <vt:variant>
        <vt:i4>1048629</vt:i4>
      </vt:variant>
      <vt:variant>
        <vt:i4>488</vt:i4>
      </vt:variant>
      <vt:variant>
        <vt:i4>0</vt:i4>
      </vt:variant>
      <vt:variant>
        <vt:i4>5</vt:i4>
      </vt:variant>
      <vt:variant>
        <vt:lpwstr/>
      </vt:variant>
      <vt:variant>
        <vt:lpwstr>_Toc269176961</vt:lpwstr>
      </vt:variant>
      <vt:variant>
        <vt:i4>1048629</vt:i4>
      </vt:variant>
      <vt:variant>
        <vt:i4>482</vt:i4>
      </vt:variant>
      <vt:variant>
        <vt:i4>0</vt:i4>
      </vt:variant>
      <vt:variant>
        <vt:i4>5</vt:i4>
      </vt:variant>
      <vt:variant>
        <vt:lpwstr/>
      </vt:variant>
      <vt:variant>
        <vt:lpwstr>_Toc269176960</vt:lpwstr>
      </vt:variant>
      <vt:variant>
        <vt:i4>1245237</vt:i4>
      </vt:variant>
      <vt:variant>
        <vt:i4>476</vt:i4>
      </vt:variant>
      <vt:variant>
        <vt:i4>0</vt:i4>
      </vt:variant>
      <vt:variant>
        <vt:i4>5</vt:i4>
      </vt:variant>
      <vt:variant>
        <vt:lpwstr/>
      </vt:variant>
      <vt:variant>
        <vt:lpwstr>_Toc269176959</vt:lpwstr>
      </vt:variant>
      <vt:variant>
        <vt:i4>1245237</vt:i4>
      </vt:variant>
      <vt:variant>
        <vt:i4>470</vt:i4>
      </vt:variant>
      <vt:variant>
        <vt:i4>0</vt:i4>
      </vt:variant>
      <vt:variant>
        <vt:i4>5</vt:i4>
      </vt:variant>
      <vt:variant>
        <vt:lpwstr/>
      </vt:variant>
      <vt:variant>
        <vt:lpwstr>_Toc269176958</vt:lpwstr>
      </vt:variant>
      <vt:variant>
        <vt:i4>1245237</vt:i4>
      </vt:variant>
      <vt:variant>
        <vt:i4>464</vt:i4>
      </vt:variant>
      <vt:variant>
        <vt:i4>0</vt:i4>
      </vt:variant>
      <vt:variant>
        <vt:i4>5</vt:i4>
      </vt:variant>
      <vt:variant>
        <vt:lpwstr/>
      </vt:variant>
      <vt:variant>
        <vt:lpwstr>_Toc269176957</vt:lpwstr>
      </vt:variant>
      <vt:variant>
        <vt:i4>1245237</vt:i4>
      </vt:variant>
      <vt:variant>
        <vt:i4>458</vt:i4>
      </vt:variant>
      <vt:variant>
        <vt:i4>0</vt:i4>
      </vt:variant>
      <vt:variant>
        <vt:i4>5</vt:i4>
      </vt:variant>
      <vt:variant>
        <vt:lpwstr/>
      </vt:variant>
      <vt:variant>
        <vt:lpwstr>_Toc269176956</vt:lpwstr>
      </vt:variant>
      <vt:variant>
        <vt:i4>1245237</vt:i4>
      </vt:variant>
      <vt:variant>
        <vt:i4>452</vt:i4>
      </vt:variant>
      <vt:variant>
        <vt:i4>0</vt:i4>
      </vt:variant>
      <vt:variant>
        <vt:i4>5</vt:i4>
      </vt:variant>
      <vt:variant>
        <vt:lpwstr/>
      </vt:variant>
      <vt:variant>
        <vt:lpwstr>_Toc269176955</vt:lpwstr>
      </vt:variant>
      <vt:variant>
        <vt:i4>1245237</vt:i4>
      </vt:variant>
      <vt:variant>
        <vt:i4>446</vt:i4>
      </vt:variant>
      <vt:variant>
        <vt:i4>0</vt:i4>
      </vt:variant>
      <vt:variant>
        <vt:i4>5</vt:i4>
      </vt:variant>
      <vt:variant>
        <vt:lpwstr/>
      </vt:variant>
      <vt:variant>
        <vt:lpwstr>_Toc269176954</vt:lpwstr>
      </vt:variant>
      <vt:variant>
        <vt:i4>1245237</vt:i4>
      </vt:variant>
      <vt:variant>
        <vt:i4>440</vt:i4>
      </vt:variant>
      <vt:variant>
        <vt:i4>0</vt:i4>
      </vt:variant>
      <vt:variant>
        <vt:i4>5</vt:i4>
      </vt:variant>
      <vt:variant>
        <vt:lpwstr/>
      </vt:variant>
      <vt:variant>
        <vt:lpwstr>_Toc269176953</vt:lpwstr>
      </vt:variant>
      <vt:variant>
        <vt:i4>1245237</vt:i4>
      </vt:variant>
      <vt:variant>
        <vt:i4>434</vt:i4>
      </vt:variant>
      <vt:variant>
        <vt:i4>0</vt:i4>
      </vt:variant>
      <vt:variant>
        <vt:i4>5</vt:i4>
      </vt:variant>
      <vt:variant>
        <vt:lpwstr/>
      </vt:variant>
      <vt:variant>
        <vt:lpwstr>_Toc269176952</vt:lpwstr>
      </vt:variant>
      <vt:variant>
        <vt:i4>1245237</vt:i4>
      </vt:variant>
      <vt:variant>
        <vt:i4>428</vt:i4>
      </vt:variant>
      <vt:variant>
        <vt:i4>0</vt:i4>
      </vt:variant>
      <vt:variant>
        <vt:i4>5</vt:i4>
      </vt:variant>
      <vt:variant>
        <vt:lpwstr/>
      </vt:variant>
      <vt:variant>
        <vt:lpwstr>_Toc269176951</vt:lpwstr>
      </vt:variant>
      <vt:variant>
        <vt:i4>1245237</vt:i4>
      </vt:variant>
      <vt:variant>
        <vt:i4>422</vt:i4>
      </vt:variant>
      <vt:variant>
        <vt:i4>0</vt:i4>
      </vt:variant>
      <vt:variant>
        <vt:i4>5</vt:i4>
      </vt:variant>
      <vt:variant>
        <vt:lpwstr/>
      </vt:variant>
      <vt:variant>
        <vt:lpwstr>_Toc269176951</vt:lpwstr>
      </vt:variant>
      <vt:variant>
        <vt:i4>1245237</vt:i4>
      </vt:variant>
      <vt:variant>
        <vt:i4>416</vt:i4>
      </vt:variant>
      <vt:variant>
        <vt:i4>0</vt:i4>
      </vt:variant>
      <vt:variant>
        <vt:i4>5</vt:i4>
      </vt:variant>
      <vt:variant>
        <vt:lpwstr/>
      </vt:variant>
      <vt:variant>
        <vt:lpwstr>_Toc269176950</vt:lpwstr>
      </vt:variant>
      <vt:variant>
        <vt:i4>1179701</vt:i4>
      </vt:variant>
      <vt:variant>
        <vt:i4>410</vt:i4>
      </vt:variant>
      <vt:variant>
        <vt:i4>0</vt:i4>
      </vt:variant>
      <vt:variant>
        <vt:i4>5</vt:i4>
      </vt:variant>
      <vt:variant>
        <vt:lpwstr/>
      </vt:variant>
      <vt:variant>
        <vt:lpwstr>_Toc269176949</vt:lpwstr>
      </vt:variant>
      <vt:variant>
        <vt:i4>1179701</vt:i4>
      </vt:variant>
      <vt:variant>
        <vt:i4>404</vt:i4>
      </vt:variant>
      <vt:variant>
        <vt:i4>0</vt:i4>
      </vt:variant>
      <vt:variant>
        <vt:i4>5</vt:i4>
      </vt:variant>
      <vt:variant>
        <vt:lpwstr/>
      </vt:variant>
      <vt:variant>
        <vt:lpwstr>_Toc269176948</vt:lpwstr>
      </vt:variant>
      <vt:variant>
        <vt:i4>1179701</vt:i4>
      </vt:variant>
      <vt:variant>
        <vt:i4>398</vt:i4>
      </vt:variant>
      <vt:variant>
        <vt:i4>0</vt:i4>
      </vt:variant>
      <vt:variant>
        <vt:i4>5</vt:i4>
      </vt:variant>
      <vt:variant>
        <vt:lpwstr/>
      </vt:variant>
      <vt:variant>
        <vt:lpwstr>_Toc269176947</vt:lpwstr>
      </vt:variant>
      <vt:variant>
        <vt:i4>1179701</vt:i4>
      </vt:variant>
      <vt:variant>
        <vt:i4>392</vt:i4>
      </vt:variant>
      <vt:variant>
        <vt:i4>0</vt:i4>
      </vt:variant>
      <vt:variant>
        <vt:i4>5</vt:i4>
      </vt:variant>
      <vt:variant>
        <vt:lpwstr/>
      </vt:variant>
      <vt:variant>
        <vt:lpwstr>_Toc269176946</vt:lpwstr>
      </vt:variant>
      <vt:variant>
        <vt:i4>1179701</vt:i4>
      </vt:variant>
      <vt:variant>
        <vt:i4>386</vt:i4>
      </vt:variant>
      <vt:variant>
        <vt:i4>0</vt:i4>
      </vt:variant>
      <vt:variant>
        <vt:i4>5</vt:i4>
      </vt:variant>
      <vt:variant>
        <vt:lpwstr/>
      </vt:variant>
      <vt:variant>
        <vt:lpwstr>_Toc269176945</vt:lpwstr>
      </vt:variant>
      <vt:variant>
        <vt:i4>1179701</vt:i4>
      </vt:variant>
      <vt:variant>
        <vt:i4>380</vt:i4>
      </vt:variant>
      <vt:variant>
        <vt:i4>0</vt:i4>
      </vt:variant>
      <vt:variant>
        <vt:i4>5</vt:i4>
      </vt:variant>
      <vt:variant>
        <vt:lpwstr/>
      </vt:variant>
      <vt:variant>
        <vt:lpwstr>_Toc269176944</vt:lpwstr>
      </vt:variant>
      <vt:variant>
        <vt:i4>1179701</vt:i4>
      </vt:variant>
      <vt:variant>
        <vt:i4>374</vt:i4>
      </vt:variant>
      <vt:variant>
        <vt:i4>0</vt:i4>
      </vt:variant>
      <vt:variant>
        <vt:i4>5</vt:i4>
      </vt:variant>
      <vt:variant>
        <vt:lpwstr/>
      </vt:variant>
      <vt:variant>
        <vt:lpwstr>_Toc269176943</vt:lpwstr>
      </vt:variant>
      <vt:variant>
        <vt:i4>1179701</vt:i4>
      </vt:variant>
      <vt:variant>
        <vt:i4>368</vt:i4>
      </vt:variant>
      <vt:variant>
        <vt:i4>0</vt:i4>
      </vt:variant>
      <vt:variant>
        <vt:i4>5</vt:i4>
      </vt:variant>
      <vt:variant>
        <vt:lpwstr/>
      </vt:variant>
      <vt:variant>
        <vt:lpwstr>_Toc269176942</vt:lpwstr>
      </vt:variant>
      <vt:variant>
        <vt:i4>1179701</vt:i4>
      </vt:variant>
      <vt:variant>
        <vt:i4>362</vt:i4>
      </vt:variant>
      <vt:variant>
        <vt:i4>0</vt:i4>
      </vt:variant>
      <vt:variant>
        <vt:i4>5</vt:i4>
      </vt:variant>
      <vt:variant>
        <vt:lpwstr/>
      </vt:variant>
      <vt:variant>
        <vt:lpwstr>_Toc269176941</vt:lpwstr>
      </vt:variant>
      <vt:variant>
        <vt:i4>1179701</vt:i4>
      </vt:variant>
      <vt:variant>
        <vt:i4>356</vt:i4>
      </vt:variant>
      <vt:variant>
        <vt:i4>0</vt:i4>
      </vt:variant>
      <vt:variant>
        <vt:i4>5</vt:i4>
      </vt:variant>
      <vt:variant>
        <vt:lpwstr/>
      </vt:variant>
      <vt:variant>
        <vt:lpwstr>_Toc269176940</vt:lpwstr>
      </vt:variant>
      <vt:variant>
        <vt:i4>1376309</vt:i4>
      </vt:variant>
      <vt:variant>
        <vt:i4>350</vt:i4>
      </vt:variant>
      <vt:variant>
        <vt:i4>0</vt:i4>
      </vt:variant>
      <vt:variant>
        <vt:i4>5</vt:i4>
      </vt:variant>
      <vt:variant>
        <vt:lpwstr/>
      </vt:variant>
      <vt:variant>
        <vt:lpwstr>_Toc269176939</vt:lpwstr>
      </vt:variant>
      <vt:variant>
        <vt:i4>1376309</vt:i4>
      </vt:variant>
      <vt:variant>
        <vt:i4>344</vt:i4>
      </vt:variant>
      <vt:variant>
        <vt:i4>0</vt:i4>
      </vt:variant>
      <vt:variant>
        <vt:i4>5</vt:i4>
      </vt:variant>
      <vt:variant>
        <vt:lpwstr/>
      </vt:variant>
      <vt:variant>
        <vt:lpwstr>_Toc269176938</vt:lpwstr>
      </vt:variant>
      <vt:variant>
        <vt:i4>1376309</vt:i4>
      </vt:variant>
      <vt:variant>
        <vt:i4>338</vt:i4>
      </vt:variant>
      <vt:variant>
        <vt:i4>0</vt:i4>
      </vt:variant>
      <vt:variant>
        <vt:i4>5</vt:i4>
      </vt:variant>
      <vt:variant>
        <vt:lpwstr/>
      </vt:variant>
      <vt:variant>
        <vt:lpwstr>_Toc269176937</vt:lpwstr>
      </vt:variant>
      <vt:variant>
        <vt:i4>1376309</vt:i4>
      </vt:variant>
      <vt:variant>
        <vt:i4>332</vt:i4>
      </vt:variant>
      <vt:variant>
        <vt:i4>0</vt:i4>
      </vt:variant>
      <vt:variant>
        <vt:i4>5</vt:i4>
      </vt:variant>
      <vt:variant>
        <vt:lpwstr/>
      </vt:variant>
      <vt:variant>
        <vt:lpwstr>_Toc269176936</vt:lpwstr>
      </vt:variant>
      <vt:variant>
        <vt:i4>1376309</vt:i4>
      </vt:variant>
      <vt:variant>
        <vt:i4>326</vt:i4>
      </vt:variant>
      <vt:variant>
        <vt:i4>0</vt:i4>
      </vt:variant>
      <vt:variant>
        <vt:i4>5</vt:i4>
      </vt:variant>
      <vt:variant>
        <vt:lpwstr/>
      </vt:variant>
      <vt:variant>
        <vt:lpwstr>_Toc269176935</vt:lpwstr>
      </vt:variant>
      <vt:variant>
        <vt:i4>1376309</vt:i4>
      </vt:variant>
      <vt:variant>
        <vt:i4>320</vt:i4>
      </vt:variant>
      <vt:variant>
        <vt:i4>0</vt:i4>
      </vt:variant>
      <vt:variant>
        <vt:i4>5</vt:i4>
      </vt:variant>
      <vt:variant>
        <vt:lpwstr/>
      </vt:variant>
      <vt:variant>
        <vt:lpwstr>_Toc269176934</vt:lpwstr>
      </vt:variant>
      <vt:variant>
        <vt:i4>1376309</vt:i4>
      </vt:variant>
      <vt:variant>
        <vt:i4>314</vt:i4>
      </vt:variant>
      <vt:variant>
        <vt:i4>0</vt:i4>
      </vt:variant>
      <vt:variant>
        <vt:i4>5</vt:i4>
      </vt:variant>
      <vt:variant>
        <vt:lpwstr/>
      </vt:variant>
      <vt:variant>
        <vt:lpwstr>_Toc269176933</vt:lpwstr>
      </vt:variant>
      <vt:variant>
        <vt:i4>1376309</vt:i4>
      </vt:variant>
      <vt:variant>
        <vt:i4>308</vt:i4>
      </vt:variant>
      <vt:variant>
        <vt:i4>0</vt:i4>
      </vt:variant>
      <vt:variant>
        <vt:i4>5</vt:i4>
      </vt:variant>
      <vt:variant>
        <vt:lpwstr/>
      </vt:variant>
      <vt:variant>
        <vt:lpwstr>_Toc269176932</vt:lpwstr>
      </vt:variant>
      <vt:variant>
        <vt:i4>1376309</vt:i4>
      </vt:variant>
      <vt:variant>
        <vt:i4>302</vt:i4>
      </vt:variant>
      <vt:variant>
        <vt:i4>0</vt:i4>
      </vt:variant>
      <vt:variant>
        <vt:i4>5</vt:i4>
      </vt:variant>
      <vt:variant>
        <vt:lpwstr/>
      </vt:variant>
      <vt:variant>
        <vt:lpwstr>_Toc269176931</vt:lpwstr>
      </vt:variant>
      <vt:variant>
        <vt:i4>1376309</vt:i4>
      </vt:variant>
      <vt:variant>
        <vt:i4>296</vt:i4>
      </vt:variant>
      <vt:variant>
        <vt:i4>0</vt:i4>
      </vt:variant>
      <vt:variant>
        <vt:i4>5</vt:i4>
      </vt:variant>
      <vt:variant>
        <vt:lpwstr/>
      </vt:variant>
      <vt:variant>
        <vt:lpwstr>_Toc269176930</vt:lpwstr>
      </vt:variant>
      <vt:variant>
        <vt:i4>1310773</vt:i4>
      </vt:variant>
      <vt:variant>
        <vt:i4>290</vt:i4>
      </vt:variant>
      <vt:variant>
        <vt:i4>0</vt:i4>
      </vt:variant>
      <vt:variant>
        <vt:i4>5</vt:i4>
      </vt:variant>
      <vt:variant>
        <vt:lpwstr/>
      </vt:variant>
      <vt:variant>
        <vt:lpwstr>_Toc269176929</vt:lpwstr>
      </vt:variant>
      <vt:variant>
        <vt:i4>1310773</vt:i4>
      </vt:variant>
      <vt:variant>
        <vt:i4>284</vt:i4>
      </vt:variant>
      <vt:variant>
        <vt:i4>0</vt:i4>
      </vt:variant>
      <vt:variant>
        <vt:i4>5</vt:i4>
      </vt:variant>
      <vt:variant>
        <vt:lpwstr/>
      </vt:variant>
      <vt:variant>
        <vt:lpwstr>_Toc269176928</vt:lpwstr>
      </vt:variant>
      <vt:variant>
        <vt:i4>1310773</vt:i4>
      </vt:variant>
      <vt:variant>
        <vt:i4>278</vt:i4>
      </vt:variant>
      <vt:variant>
        <vt:i4>0</vt:i4>
      </vt:variant>
      <vt:variant>
        <vt:i4>5</vt:i4>
      </vt:variant>
      <vt:variant>
        <vt:lpwstr/>
      </vt:variant>
      <vt:variant>
        <vt:lpwstr>_Toc269176927</vt:lpwstr>
      </vt:variant>
      <vt:variant>
        <vt:i4>1310773</vt:i4>
      </vt:variant>
      <vt:variant>
        <vt:i4>272</vt:i4>
      </vt:variant>
      <vt:variant>
        <vt:i4>0</vt:i4>
      </vt:variant>
      <vt:variant>
        <vt:i4>5</vt:i4>
      </vt:variant>
      <vt:variant>
        <vt:lpwstr/>
      </vt:variant>
      <vt:variant>
        <vt:lpwstr>_Toc269176926</vt:lpwstr>
      </vt:variant>
      <vt:variant>
        <vt:i4>1310773</vt:i4>
      </vt:variant>
      <vt:variant>
        <vt:i4>266</vt:i4>
      </vt:variant>
      <vt:variant>
        <vt:i4>0</vt:i4>
      </vt:variant>
      <vt:variant>
        <vt:i4>5</vt:i4>
      </vt:variant>
      <vt:variant>
        <vt:lpwstr/>
      </vt:variant>
      <vt:variant>
        <vt:lpwstr>_Toc269176925</vt:lpwstr>
      </vt:variant>
      <vt:variant>
        <vt:i4>1310773</vt:i4>
      </vt:variant>
      <vt:variant>
        <vt:i4>260</vt:i4>
      </vt:variant>
      <vt:variant>
        <vt:i4>0</vt:i4>
      </vt:variant>
      <vt:variant>
        <vt:i4>5</vt:i4>
      </vt:variant>
      <vt:variant>
        <vt:lpwstr/>
      </vt:variant>
      <vt:variant>
        <vt:lpwstr>_Toc269176924</vt:lpwstr>
      </vt:variant>
      <vt:variant>
        <vt:i4>1310773</vt:i4>
      </vt:variant>
      <vt:variant>
        <vt:i4>254</vt:i4>
      </vt:variant>
      <vt:variant>
        <vt:i4>0</vt:i4>
      </vt:variant>
      <vt:variant>
        <vt:i4>5</vt:i4>
      </vt:variant>
      <vt:variant>
        <vt:lpwstr/>
      </vt:variant>
      <vt:variant>
        <vt:lpwstr>_Toc269176923</vt:lpwstr>
      </vt:variant>
      <vt:variant>
        <vt:i4>1310773</vt:i4>
      </vt:variant>
      <vt:variant>
        <vt:i4>248</vt:i4>
      </vt:variant>
      <vt:variant>
        <vt:i4>0</vt:i4>
      </vt:variant>
      <vt:variant>
        <vt:i4>5</vt:i4>
      </vt:variant>
      <vt:variant>
        <vt:lpwstr/>
      </vt:variant>
      <vt:variant>
        <vt:lpwstr>_Toc269176922</vt:lpwstr>
      </vt:variant>
      <vt:variant>
        <vt:i4>1310773</vt:i4>
      </vt:variant>
      <vt:variant>
        <vt:i4>242</vt:i4>
      </vt:variant>
      <vt:variant>
        <vt:i4>0</vt:i4>
      </vt:variant>
      <vt:variant>
        <vt:i4>5</vt:i4>
      </vt:variant>
      <vt:variant>
        <vt:lpwstr/>
      </vt:variant>
      <vt:variant>
        <vt:lpwstr>_Toc269176921</vt:lpwstr>
      </vt:variant>
      <vt:variant>
        <vt:i4>1310773</vt:i4>
      </vt:variant>
      <vt:variant>
        <vt:i4>236</vt:i4>
      </vt:variant>
      <vt:variant>
        <vt:i4>0</vt:i4>
      </vt:variant>
      <vt:variant>
        <vt:i4>5</vt:i4>
      </vt:variant>
      <vt:variant>
        <vt:lpwstr/>
      </vt:variant>
      <vt:variant>
        <vt:lpwstr>_Toc269176920</vt:lpwstr>
      </vt:variant>
      <vt:variant>
        <vt:i4>1507381</vt:i4>
      </vt:variant>
      <vt:variant>
        <vt:i4>230</vt:i4>
      </vt:variant>
      <vt:variant>
        <vt:i4>0</vt:i4>
      </vt:variant>
      <vt:variant>
        <vt:i4>5</vt:i4>
      </vt:variant>
      <vt:variant>
        <vt:lpwstr/>
      </vt:variant>
      <vt:variant>
        <vt:lpwstr>_Toc269176919</vt:lpwstr>
      </vt:variant>
      <vt:variant>
        <vt:i4>1507381</vt:i4>
      </vt:variant>
      <vt:variant>
        <vt:i4>224</vt:i4>
      </vt:variant>
      <vt:variant>
        <vt:i4>0</vt:i4>
      </vt:variant>
      <vt:variant>
        <vt:i4>5</vt:i4>
      </vt:variant>
      <vt:variant>
        <vt:lpwstr/>
      </vt:variant>
      <vt:variant>
        <vt:lpwstr>_Toc269176918</vt:lpwstr>
      </vt:variant>
      <vt:variant>
        <vt:i4>1507381</vt:i4>
      </vt:variant>
      <vt:variant>
        <vt:i4>218</vt:i4>
      </vt:variant>
      <vt:variant>
        <vt:i4>0</vt:i4>
      </vt:variant>
      <vt:variant>
        <vt:i4>5</vt:i4>
      </vt:variant>
      <vt:variant>
        <vt:lpwstr/>
      </vt:variant>
      <vt:variant>
        <vt:lpwstr>_Toc269176917</vt:lpwstr>
      </vt:variant>
      <vt:variant>
        <vt:i4>1507381</vt:i4>
      </vt:variant>
      <vt:variant>
        <vt:i4>212</vt:i4>
      </vt:variant>
      <vt:variant>
        <vt:i4>0</vt:i4>
      </vt:variant>
      <vt:variant>
        <vt:i4>5</vt:i4>
      </vt:variant>
      <vt:variant>
        <vt:lpwstr/>
      </vt:variant>
      <vt:variant>
        <vt:lpwstr>_Toc269176916</vt:lpwstr>
      </vt:variant>
      <vt:variant>
        <vt:i4>1507381</vt:i4>
      </vt:variant>
      <vt:variant>
        <vt:i4>206</vt:i4>
      </vt:variant>
      <vt:variant>
        <vt:i4>0</vt:i4>
      </vt:variant>
      <vt:variant>
        <vt:i4>5</vt:i4>
      </vt:variant>
      <vt:variant>
        <vt:lpwstr/>
      </vt:variant>
      <vt:variant>
        <vt:lpwstr>_Toc269176915</vt:lpwstr>
      </vt:variant>
      <vt:variant>
        <vt:i4>1507381</vt:i4>
      </vt:variant>
      <vt:variant>
        <vt:i4>200</vt:i4>
      </vt:variant>
      <vt:variant>
        <vt:i4>0</vt:i4>
      </vt:variant>
      <vt:variant>
        <vt:i4>5</vt:i4>
      </vt:variant>
      <vt:variant>
        <vt:lpwstr/>
      </vt:variant>
      <vt:variant>
        <vt:lpwstr>_Toc269176914</vt:lpwstr>
      </vt:variant>
      <vt:variant>
        <vt:i4>1507381</vt:i4>
      </vt:variant>
      <vt:variant>
        <vt:i4>194</vt:i4>
      </vt:variant>
      <vt:variant>
        <vt:i4>0</vt:i4>
      </vt:variant>
      <vt:variant>
        <vt:i4>5</vt:i4>
      </vt:variant>
      <vt:variant>
        <vt:lpwstr/>
      </vt:variant>
      <vt:variant>
        <vt:lpwstr>_Toc269176913</vt:lpwstr>
      </vt:variant>
      <vt:variant>
        <vt:i4>1507381</vt:i4>
      </vt:variant>
      <vt:variant>
        <vt:i4>188</vt:i4>
      </vt:variant>
      <vt:variant>
        <vt:i4>0</vt:i4>
      </vt:variant>
      <vt:variant>
        <vt:i4>5</vt:i4>
      </vt:variant>
      <vt:variant>
        <vt:lpwstr/>
      </vt:variant>
      <vt:variant>
        <vt:lpwstr>_Toc269176912</vt:lpwstr>
      </vt:variant>
      <vt:variant>
        <vt:i4>1507381</vt:i4>
      </vt:variant>
      <vt:variant>
        <vt:i4>182</vt:i4>
      </vt:variant>
      <vt:variant>
        <vt:i4>0</vt:i4>
      </vt:variant>
      <vt:variant>
        <vt:i4>5</vt:i4>
      </vt:variant>
      <vt:variant>
        <vt:lpwstr/>
      </vt:variant>
      <vt:variant>
        <vt:lpwstr>_Toc269176911</vt:lpwstr>
      </vt:variant>
      <vt:variant>
        <vt:i4>1507381</vt:i4>
      </vt:variant>
      <vt:variant>
        <vt:i4>176</vt:i4>
      </vt:variant>
      <vt:variant>
        <vt:i4>0</vt:i4>
      </vt:variant>
      <vt:variant>
        <vt:i4>5</vt:i4>
      </vt:variant>
      <vt:variant>
        <vt:lpwstr/>
      </vt:variant>
      <vt:variant>
        <vt:lpwstr>_Toc269176910</vt:lpwstr>
      </vt:variant>
      <vt:variant>
        <vt:i4>1441845</vt:i4>
      </vt:variant>
      <vt:variant>
        <vt:i4>170</vt:i4>
      </vt:variant>
      <vt:variant>
        <vt:i4>0</vt:i4>
      </vt:variant>
      <vt:variant>
        <vt:i4>5</vt:i4>
      </vt:variant>
      <vt:variant>
        <vt:lpwstr/>
      </vt:variant>
      <vt:variant>
        <vt:lpwstr>_Toc269176909</vt:lpwstr>
      </vt:variant>
      <vt:variant>
        <vt:i4>1441845</vt:i4>
      </vt:variant>
      <vt:variant>
        <vt:i4>164</vt:i4>
      </vt:variant>
      <vt:variant>
        <vt:i4>0</vt:i4>
      </vt:variant>
      <vt:variant>
        <vt:i4>5</vt:i4>
      </vt:variant>
      <vt:variant>
        <vt:lpwstr/>
      </vt:variant>
      <vt:variant>
        <vt:lpwstr>_Toc269176908</vt:lpwstr>
      </vt:variant>
      <vt:variant>
        <vt:i4>1441845</vt:i4>
      </vt:variant>
      <vt:variant>
        <vt:i4>158</vt:i4>
      </vt:variant>
      <vt:variant>
        <vt:i4>0</vt:i4>
      </vt:variant>
      <vt:variant>
        <vt:i4>5</vt:i4>
      </vt:variant>
      <vt:variant>
        <vt:lpwstr/>
      </vt:variant>
      <vt:variant>
        <vt:lpwstr>_Toc269176907</vt:lpwstr>
      </vt:variant>
      <vt:variant>
        <vt:i4>1441845</vt:i4>
      </vt:variant>
      <vt:variant>
        <vt:i4>152</vt:i4>
      </vt:variant>
      <vt:variant>
        <vt:i4>0</vt:i4>
      </vt:variant>
      <vt:variant>
        <vt:i4>5</vt:i4>
      </vt:variant>
      <vt:variant>
        <vt:lpwstr/>
      </vt:variant>
      <vt:variant>
        <vt:lpwstr>_Toc269176906</vt:lpwstr>
      </vt:variant>
      <vt:variant>
        <vt:i4>1441845</vt:i4>
      </vt:variant>
      <vt:variant>
        <vt:i4>146</vt:i4>
      </vt:variant>
      <vt:variant>
        <vt:i4>0</vt:i4>
      </vt:variant>
      <vt:variant>
        <vt:i4>5</vt:i4>
      </vt:variant>
      <vt:variant>
        <vt:lpwstr/>
      </vt:variant>
      <vt:variant>
        <vt:lpwstr>_Toc269176905</vt:lpwstr>
      </vt:variant>
      <vt:variant>
        <vt:i4>1441845</vt:i4>
      </vt:variant>
      <vt:variant>
        <vt:i4>140</vt:i4>
      </vt:variant>
      <vt:variant>
        <vt:i4>0</vt:i4>
      </vt:variant>
      <vt:variant>
        <vt:i4>5</vt:i4>
      </vt:variant>
      <vt:variant>
        <vt:lpwstr/>
      </vt:variant>
      <vt:variant>
        <vt:lpwstr>_Toc269176904</vt:lpwstr>
      </vt:variant>
      <vt:variant>
        <vt:i4>1441845</vt:i4>
      </vt:variant>
      <vt:variant>
        <vt:i4>134</vt:i4>
      </vt:variant>
      <vt:variant>
        <vt:i4>0</vt:i4>
      </vt:variant>
      <vt:variant>
        <vt:i4>5</vt:i4>
      </vt:variant>
      <vt:variant>
        <vt:lpwstr/>
      </vt:variant>
      <vt:variant>
        <vt:lpwstr>_Toc269176903</vt:lpwstr>
      </vt:variant>
      <vt:variant>
        <vt:i4>1441845</vt:i4>
      </vt:variant>
      <vt:variant>
        <vt:i4>128</vt:i4>
      </vt:variant>
      <vt:variant>
        <vt:i4>0</vt:i4>
      </vt:variant>
      <vt:variant>
        <vt:i4>5</vt:i4>
      </vt:variant>
      <vt:variant>
        <vt:lpwstr/>
      </vt:variant>
      <vt:variant>
        <vt:lpwstr>_Toc269176902</vt:lpwstr>
      </vt:variant>
      <vt:variant>
        <vt:i4>1441845</vt:i4>
      </vt:variant>
      <vt:variant>
        <vt:i4>122</vt:i4>
      </vt:variant>
      <vt:variant>
        <vt:i4>0</vt:i4>
      </vt:variant>
      <vt:variant>
        <vt:i4>5</vt:i4>
      </vt:variant>
      <vt:variant>
        <vt:lpwstr/>
      </vt:variant>
      <vt:variant>
        <vt:lpwstr>_Toc269176901</vt:lpwstr>
      </vt:variant>
      <vt:variant>
        <vt:i4>1441845</vt:i4>
      </vt:variant>
      <vt:variant>
        <vt:i4>116</vt:i4>
      </vt:variant>
      <vt:variant>
        <vt:i4>0</vt:i4>
      </vt:variant>
      <vt:variant>
        <vt:i4>5</vt:i4>
      </vt:variant>
      <vt:variant>
        <vt:lpwstr/>
      </vt:variant>
      <vt:variant>
        <vt:lpwstr>_Toc269176900</vt:lpwstr>
      </vt:variant>
      <vt:variant>
        <vt:i4>2031668</vt:i4>
      </vt:variant>
      <vt:variant>
        <vt:i4>110</vt:i4>
      </vt:variant>
      <vt:variant>
        <vt:i4>0</vt:i4>
      </vt:variant>
      <vt:variant>
        <vt:i4>5</vt:i4>
      </vt:variant>
      <vt:variant>
        <vt:lpwstr/>
      </vt:variant>
      <vt:variant>
        <vt:lpwstr>_Toc269176899</vt:lpwstr>
      </vt:variant>
      <vt:variant>
        <vt:i4>2031668</vt:i4>
      </vt:variant>
      <vt:variant>
        <vt:i4>104</vt:i4>
      </vt:variant>
      <vt:variant>
        <vt:i4>0</vt:i4>
      </vt:variant>
      <vt:variant>
        <vt:i4>5</vt:i4>
      </vt:variant>
      <vt:variant>
        <vt:lpwstr/>
      </vt:variant>
      <vt:variant>
        <vt:lpwstr>_Toc269176898</vt:lpwstr>
      </vt:variant>
      <vt:variant>
        <vt:i4>2031668</vt:i4>
      </vt:variant>
      <vt:variant>
        <vt:i4>98</vt:i4>
      </vt:variant>
      <vt:variant>
        <vt:i4>0</vt:i4>
      </vt:variant>
      <vt:variant>
        <vt:i4>5</vt:i4>
      </vt:variant>
      <vt:variant>
        <vt:lpwstr/>
      </vt:variant>
      <vt:variant>
        <vt:lpwstr>_Toc269176897</vt:lpwstr>
      </vt:variant>
      <vt:variant>
        <vt:i4>2031668</vt:i4>
      </vt:variant>
      <vt:variant>
        <vt:i4>92</vt:i4>
      </vt:variant>
      <vt:variant>
        <vt:i4>0</vt:i4>
      </vt:variant>
      <vt:variant>
        <vt:i4>5</vt:i4>
      </vt:variant>
      <vt:variant>
        <vt:lpwstr/>
      </vt:variant>
      <vt:variant>
        <vt:lpwstr>_Toc269176896</vt:lpwstr>
      </vt:variant>
      <vt:variant>
        <vt:i4>2031668</vt:i4>
      </vt:variant>
      <vt:variant>
        <vt:i4>86</vt:i4>
      </vt:variant>
      <vt:variant>
        <vt:i4>0</vt:i4>
      </vt:variant>
      <vt:variant>
        <vt:i4>5</vt:i4>
      </vt:variant>
      <vt:variant>
        <vt:lpwstr/>
      </vt:variant>
      <vt:variant>
        <vt:lpwstr>_Toc269176895</vt:lpwstr>
      </vt:variant>
      <vt:variant>
        <vt:i4>2031668</vt:i4>
      </vt:variant>
      <vt:variant>
        <vt:i4>80</vt:i4>
      </vt:variant>
      <vt:variant>
        <vt:i4>0</vt:i4>
      </vt:variant>
      <vt:variant>
        <vt:i4>5</vt:i4>
      </vt:variant>
      <vt:variant>
        <vt:lpwstr/>
      </vt:variant>
      <vt:variant>
        <vt:lpwstr>_Toc269176894</vt:lpwstr>
      </vt:variant>
      <vt:variant>
        <vt:i4>2031668</vt:i4>
      </vt:variant>
      <vt:variant>
        <vt:i4>74</vt:i4>
      </vt:variant>
      <vt:variant>
        <vt:i4>0</vt:i4>
      </vt:variant>
      <vt:variant>
        <vt:i4>5</vt:i4>
      </vt:variant>
      <vt:variant>
        <vt:lpwstr/>
      </vt:variant>
      <vt:variant>
        <vt:lpwstr>_Toc269176893</vt:lpwstr>
      </vt:variant>
      <vt:variant>
        <vt:i4>2031668</vt:i4>
      </vt:variant>
      <vt:variant>
        <vt:i4>68</vt:i4>
      </vt:variant>
      <vt:variant>
        <vt:i4>0</vt:i4>
      </vt:variant>
      <vt:variant>
        <vt:i4>5</vt:i4>
      </vt:variant>
      <vt:variant>
        <vt:lpwstr/>
      </vt:variant>
      <vt:variant>
        <vt:lpwstr>_Toc269176892</vt:lpwstr>
      </vt:variant>
      <vt:variant>
        <vt:i4>2031668</vt:i4>
      </vt:variant>
      <vt:variant>
        <vt:i4>62</vt:i4>
      </vt:variant>
      <vt:variant>
        <vt:i4>0</vt:i4>
      </vt:variant>
      <vt:variant>
        <vt:i4>5</vt:i4>
      </vt:variant>
      <vt:variant>
        <vt:lpwstr/>
      </vt:variant>
      <vt:variant>
        <vt:lpwstr>_Toc269176891</vt:lpwstr>
      </vt:variant>
      <vt:variant>
        <vt:i4>2031668</vt:i4>
      </vt:variant>
      <vt:variant>
        <vt:i4>56</vt:i4>
      </vt:variant>
      <vt:variant>
        <vt:i4>0</vt:i4>
      </vt:variant>
      <vt:variant>
        <vt:i4>5</vt:i4>
      </vt:variant>
      <vt:variant>
        <vt:lpwstr/>
      </vt:variant>
      <vt:variant>
        <vt:lpwstr>_Toc269176890</vt:lpwstr>
      </vt:variant>
      <vt:variant>
        <vt:i4>1966132</vt:i4>
      </vt:variant>
      <vt:variant>
        <vt:i4>50</vt:i4>
      </vt:variant>
      <vt:variant>
        <vt:i4>0</vt:i4>
      </vt:variant>
      <vt:variant>
        <vt:i4>5</vt:i4>
      </vt:variant>
      <vt:variant>
        <vt:lpwstr/>
      </vt:variant>
      <vt:variant>
        <vt:lpwstr>_Toc269176889</vt:lpwstr>
      </vt:variant>
      <vt:variant>
        <vt:i4>1966132</vt:i4>
      </vt:variant>
      <vt:variant>
        <vt:i4>44</vt:i4>
      </vt:variant>
      <vt:variant>
        <vt:i4>0</vt:i4>
      </vt:variant>
      <vt:variant>
        <vt:i4>5</vt:i4>
      </vt:variant>
      <vt:variant>
        <vt:lpwstr/>
      </vt:variant>
      <vt:variant>
        <vt:lpwstr>_Toc269176888</vt:lpwstr>
      </vt:variant>
      <vt:variant>
        <vt:i4>1966132</vt:i4>
      </vt:variant>
      <vt:variant>
        <vt:i4>38</vt:i4>
      </vt:variant>
      <vt:variant>
        <vt:i4>0</vt:i4>
      </vt:variant>
      <vt:variant>
        <vt:i4>5</vt:i4>
      </vt:variant>
      <vt:variant>
        <vt:lpwstr/>
      </vt:variant>
      <vt:variant>
        <vt:lpwstr>_Toc269176887</vt:lpwstr>
      </vt:variant>
      <vt:variant>
        <vt:i4>1966132</vt:i4>
      </vt:variant>
      <vt:variant>
        <vt:i4>32</vt:i4>
      </vt:variant>
      <vt:variant>
        <vt:i4>0</vt:i4>
      </vt:variant>
      <vt:variant>
        <vt:i4>5</vt:i4>
      </vt:variant>
      <vt:variant>
        <vt:lpwstr/>
      </vt:variant>
      <vt:variant>
        <vt:lpwstr>_Toc269176886</vt:lpwstr>
      </vt:variant>
      <vt:variant>
        <vt:i4>1966132</vt:i4>
      </vt:variant>
      <vt:variant>
        <vt:i4>26</vt:i4>
      </vt:variant>
      <vt:variant>
        <vt:i4>0</vt:i4>
      </vt:variant>
      <vt:variant>
        <vt:i4>5</vt:i4>
      </vt:variant>
      <vt:variant>
        <vt:lpwstr/>
      </vt:variant>
      <vt:variant>
        <vt:lpwstr>_Toc269176885</vt:lpwstr>
      </vt:variant>
      <vt:variant>
        <vt:i4>1966132</vt:i4>
      </vt:variant>
      <vt:variant>
        <vt:i4>20</vt:i4>
      </vt:variant>
      <vt:variant>
        <vt:i4>0</vt:i4>
      </vt:variant>
      <vt:variant>
        <vt:i4>5</vt:i4>
      </vt:variant>
      <vt:variant>
        <vt:lpwstr/>
      </vt:variant>
      <vt:variant>
        <vt:lpwstr>_Toc269176884</vt:lpwstr>
      </vt:variant>
      <vt:variant>
        <vt:i4>1966132</vt:i4>
      </vt:variant>
      <vt:variant>
        <vt:i4>14</vt:i4>
      </vt:variant>
      <vt:variant>
        <vt:i4>0</vt:i4>
      </vt:variant>
      <vt:variant>
        <vt:i4>5</vt:i4>
      </vt:variant>
      <vt:variant>
        <vt:lpwstr/>
      </vt:variant>
      <vt:variant>
        <vt:lpwstr>_Toc269176883</vt:lpwstr>
      </vt:variant>
      <vt:variant>
        <vt:i4>1966132</vt:i4>
      </vt:variant>
      <vt:variant>
        <vt:i4>8</vt:i4>
      </vt:variant>
      <vt:variant>
        <vt:i4>0</vt:i4>
      </vt:variant>
      <vt:variant>
        <vt:i4>5</vt:i4>
      </vt:variant>
      <vt:variant>
        <vt:lpwstr/>
      </vt:variant>
      <vt:variant>
        <vt:lpwstr>_Toc269176882</vt:lpwstr>
      </vt:variant>
      <vt:variant>
        <vt:i4>1966132</vt:i4>
      </vt:variant>
      <vt:variant>
        <vt:i4>2</vt:i4>
      </vt:variant>
      <vt:variant>
        <vt:i4>0</vt:i4>
      </vt:variant>
      <vt:variant>
        <vt:i4>5</vt:i4>
      </vt:variant>
      <vt:variant>
        <vt:lpwstr/>
      </vt:variant>
      <vt:variant>
        <vt:lpwstr>_Toc269176881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Universiteitsbibliotheek</dc:creator>
  <cp:keywords/>
  <cp:lastModifiedBy>Yapie</cp:lastModifiedBy>
  <cp:revision>18</cp:revision>
  <cp:lastPrinted>2010-08-15T16:12:00Z</cp:lastPrinted>
  <dcterms:created xsi:type="dcterms:W3CDTF">2010-08-15T14:48:00Z</dcterms:created>
  <dcterms:modified xsi:type="dcterms:W3CDTF">2010-08-15T16:12:00Z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