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971" w:rsidRDefault="00BA7971" w:rsidP="00F47404">
      <w:pPr>
        <w:rPr>
          <w:sz w:val="28"/>
          <w:szCs w:val="28"/>
        </w:rPr>
      </w:pPr>
    </w:p>
    <w:p w:rsidR="00BA7971" w:rsidRDefault="00BA7971" w:rsidP="00F47404">
      <w:pPr>
        <w:rPr>
          <w:sz w:val="28"/>
          <w:szCs w:val="28"/>
        </w:rPr>
      </w:pPr>
    </w:p>
    <w:p w:rsidR="00BA7971" w:rsidRPr="00F47404" w:rsidRDefault="00BA7971" w:rsidP="00F47404">
      <w:r w:rsidRPr="00F47404">
        <w:rPr>
          <w:sz w:val="28"/>
          <w:szCs w:val="28"/>
        </w:rPr>
        <w:t>ERASMUS UNIVERSITEIT  ROTTERDAM</w:t>
      </w:r>
      <w:r>
        <w:t xml:space="preserve">        </w:t>
      </w:r>
      <w:r w:rsidRPr="00F47404">
        <w:t xml:space="preserve"> </w:t>
      </w:r>
      <w:r w:rsidRPr="00F47404">
        <w:rPr>
          <w:sz w:val="28"/>
          <w:szCs w:val="28"/>
        </w:rPr>
        <w:t>NADRUK VERBODEN</w:t>
      </w:r>
    </w:p>
    <w:p w:rsidR="00BA7971" w:rsidRPr="00F47404" w:rsidRDefault="00BA7971" w:rsidP="00F47404"/>
    <w:p w:rsidR="00BA7971" w:rsidRPr="00402470" w:rsidRDefault="00BA7971" w:rsidP="00F47404">
      <w:pPr>
        <w:rPr>
          <w:sz w:val="28"/>
          <w:szCs w:val="28"/>
        </w:rPr>
      </w:pPr>
      <w:r w:rsidRPr="00402470">
        <w:rPr>
          <w:sz w:val="28"/>
          <w:szCs w:val="28"/>
        </w:rPr>
        <w:t>Faculteit der Economische Wetenschappen</w:t>
      </w:r>
    </w:p>
    <w:p w:rsidR="00BA7971" w:rsidRPr="00402470" w:rsidRDefault="00BA7971" w:rsidP="00F47404">
      <w:pPr>
        <w:jc w:val="center"/>
        <w:rPr>
          <w:sz w:val="28"/>
          <w:szCs w:val="28"/>
        </w:rPr>
      </w:pPr>
    </w:p>
    <w:p w:rsidR="00BA7971" w:rsidRPr="00402470" w:rsidRDefault="00BA7971" w:rsidP="00F47404">
      <w:pPr>
        <w:rPr>
          <w:sz w:val="28"/>
          <w:szCs w:val="28"/>
        </w:rPr>
      </w:pPr>
      <w:r w:rsidRPr="00402470">
        <w:rPr>
          <w:sz w:val="28"/>
          <w:szCs w:val="28"/>
        </w:rPr>
        <w:t>Bachelorscriptie</w:t>
      </w: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Pr="00D34084" w:rsidRDefault="00BA7971">
      <w:pPr>
        <w:widowControl/>
        <w:suppressAutoHyphens w:val="0"/>
        <w:spacing w:after="200" w:line="276" w:lineRule="auto"/>
        <w:rPr>
          <w:b/>
          <w:sz w:val="40"/>
          <w:szCs w:val="40"/>
        </w:rPr>
      </w:pPr>
      <w:r w:rsidRPr="00D34084">
        <w:rPr>
          <w:b/>
          <w:sz w:val="40"/>
          <w:szCs w:val="40"/>
        </w:rPr>
        <w:t xml:space="preserve">HET LEERSTUK </w:t>
      </w:r>
      <w:r>
        <w:rPr>
          <w:b/>
          <w:sz w:val="40"/>
          <w:szCs w:val="40"/>
        </w:rPr>
        <w:t xml:space="preserve">VAN </w:t>
      </w:r>
      <w:r w:rsidRPr="00D34084">
        <w:rPr>
          <w:b/>
          <w:sz w:val="40"/>
          <w:szCs w:val="40"/>
        </w:rPr>
        <w:t>FRAUS LEGIS NAAST ARTIKEL 10A WET VPB 1969</w:t>
      </w: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b/>
          <w:sz w:val="28"/>
          <w:szCs w:val="28"/>
        </w:rPr>
      </w:pPr>
    </w:p>
    <w:p w:rsidR="00BA7971" w:rsidRDefault="00BA7971">
      <w:pPr>
        <w:widowControl/>
        <w:suppressAutoHyphens w:val="0"/>
        <w:spacing w:after="200" w:line="276" w:lineRule="auto"/>
        <w:rPr>
          <w:sz w:val="28"/>
          <w:szCs w:val="28"/>
        </w:rPr>
      </w:pPr>
    </w:p>
    <w:p w:rsidR="00BA7971" w:rsidRDefault="00BA7971">
      <w:pPr>
        <w:widowControl/>
        <w:suppressAutoHyphens w:val="0"/>
        <w:spacing w:after="200" w:line="276" w:lineRule="auto"/>
        <w:rPr>
          <w:sz w:val="28"/>
          <w:szCs w:val="28"/>
        </w:rPr>
      </w:pPr>
    </w:p>
    <w:p w:rsidR="00BA7971" w:rsidRPr="00F47404" w:rsidRDefault="00BA7971">
      <w:pPr>
        <w:widowControl/>
        <w:suppressAutoHyphens w:val="0"/>
        <w:spacing w:after="200" w:line="276" w:lineRule="auto"/>
        <w:rPr>
          <w:sz w:val="28"/>
          <w:szCs w:val="28"/>
        </w:rPr>
      </w:pPr>
      <w:r w:rsidRPr="00F47404">
        <w:rPr>
          <w:sz w:val="28"/>
          <w:szCs w:val="28"/>
        </w:rPr>
        <w:t>R</w:t>
      </w:r>
      <w:r>
        <w:rPr>
          <w:sz w:val="28"/>
          <w:szCs w:val="28"/>
        </w:rPr>
        <w:t>.</w:t>
      </w:r>
      <w:r w:rsidRPr="00F47404">
        <w:rPr>
          <w:sz w:val="28"/>
          <w:szCs w:val="28"/>
        </w:rPr>
        <w:t>G.R.Mingeli</w:t>
      </w:r>
    </w:p>
    <w:p w:rsidR="00BA7971" w:rsidRPr="00F47404" w:rsidRDefault="00BA7971">
      <w:pPr>
        <w:widowControl/>
        <w:suppressAutoHyphens w:val="0"/>
        <w:spacing w:after="200" w:line="276" w:lineRule="auto"/>
        <w:rPr>
          <w:sz w:val="28"/>
          <w:szCs w:val="28"/>
        </w:rPr>
      </w:pPr>
      <w:r w:rsidRPr="00F47404">
        <w:rPr>
          <w:sz w:val="28"/>
          <w:szCs w:val="28"/>
        </w:rPr>
        <w:t>Studentnummer: 289021</w:t>
      </w:r>
    </w:p>
    <w:p w:rsidR="00BA7971" w:rsidRDefault="00BA7971">
      <w:pPr>
        <w:widowControl/>
        <w:suppressAutoHyphens w:val="0"/>
        <w:spacing w:after="200" w:line="276" w:lineRule="auto"/>
        <w:rPr>
          <w:sz w:val="28"/>
          <w:szCs w:val="28"/>
        </w:rPr>
      </w:pPr>
      <w:r w:rsidRPr="00F47404">
        <w:rPr>
          <w:sz w:val="28"/>
          <w:szCs w:val="28"/>
        </w:rPr>
        <w:t>Begeleider</w:t>
      </w:r>
      <w:r>
        <w:rPr>
          <w:sz w:val="28"/>
          <w:szCs w:val="28"/>
        </w:rPr>
        <w:t>s</w:t>
      </w:r>
      <w:r w:rsidRPr="00F47404">
        <w:rPr>
          <w:sz w:val="28"/>
          <w:szCs w:val="28"/>
        </w:rPr>
        <w:t>: Prof. Dr. P. Kavelaars</w:t>
      </w:r>
    </w:p>
    <w:p w:rsidR="00BA7971" w:rsidRDefault="00BA7971" w:rsidP="00C02743">
      <w:pPr>
        <w:widowControl/>
        <w:suppressAutoHyphens w:val="0"/>
        <w:spacing w:after="200" w:line="276" w:lineRule="auto"/>
        <w:ind w:left="708" w:firstLine="708"/>
        <w:rPr>
          <w:sz w:val="28"/>
          <w:szCs w:val="28"/>
        </w:rPr>
      </w:pPr>
      <w:r w:rsidRPr="00F47404">
        <w:rPr>
          <w:sz w:val="28"/>
          <w:szCs w:val="28"/>
        </w:rPr>
        <w:t>Mr. R.B.N van Ovost</w:t>
      </w:r>
    </w:p>
    <w:p w:rsidR="00BA7971" w:rsidRPr="00F47404" w:rsidRDefault="00BA7971" w:rsidP="00D34084">
      <w:pPr>
        <w:widowControl/>
        <w:suppressAutoHyphens w:val="0"/>
        <w:spacing w:after="200" w:line="276" w:lineRule="auto"/>
        <w:rPr>
          <w:sz w:val="28"/>
          <w:szCs w:val="28"/>
        </w:rPr>
      </w:pPr>
      <w:r w:rsidRPr="00F47404">
        <w:rPr>
          <w:sz w:val="28"/>
          <w:szCs w:val="28"/>
        </w:rPr>
        <w:t>Rotterdam, 28 juli 2010</w:t>
      </w:r>
    </w:p>
    <w:p w:rsidR="00BA7971" w:rsidRPr="00F47404" w:rsidRDefault="00BA7971" w:rsidP="00C02743">
      <w:pPr>
        <w:widowControl/>
        <w:suppressAutoHyphens w:val="0"/>
        <w:spacing w:after="200" w:line="276" w:lineRule="auto"/>
        <w:jc w:val="right"/>
        <w:rPr>
          <w:sz w:val="28"/>
          <w:szCs w:val="28"/>
        </w:rPr>
      </w:pPr>
      <w:r w:rsidRPr="00FD504C">
        <w:rPr>
          <w:noProof/>
          <w:sz w:val="28"/>
          <w:szCs w:val="28"/>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erasmus logo groen.jpg" style="width:288.75pt;height:1in;visibility:visible">
            <v:imagedata r:id="rId7" o:title=""/>
          </v:shape>
        </w:pict>
      </w:r>
    </w:p>
    <w:p w:rsidR="00BA7971" w:rsidRDefault="00BA7971" w:rsidP="00D00771">
      <w:pPr>
        <w:widowControl/>
        <w:suppressAutoHyphens w:val="0"/>
        <w:spacing w:after="200" w:line="276" w:lineRule="auto"/>
        <w:rPr>
          <w:b/>
          <w:i/>
          <w:sz w:val="22"/>
          <w:szCs w:val="22"/>
        </w:rPr>
      </w:pPr>
      <w:r>
        <w:rPr>
          <w:b/>
          <w:i/>
          <w:sz w:val="22"/>
          <w:szCs w:val="22"/>
        </w:rPr>
        <w:br w:type="page"/>
      </w:r>
    </w:p>
    <w:p w:rsidR="00BA7971" w:rsidRDefault="00BA7971" w:rsidP="00D00771">
      <w:pPr>
        <w:widowControl/>
        <w:suppressAutoHyphens w:val="0"/>
        <w:spacing w:after="200" w:line="276" w:lineRule="auto"/>
        <w:rPr>
          <w:b/>
          <w:i/>
          <w:sz w:val="22"/>
          <w:szCs w:val="22"/>
        </w:rPr>
      </w:pPr>
    </w:p>
    <w:p w:rsidR="00BA7971" w:rsidRDefault="00BA7971" w:rsidP="00D00771">
      <w:pPr>
        <w:widowControl/>
        <w:suppressAutoHyphens w:val="0"/>
        <w:spacing w:after="200" w:line="276" w:lineRule="auto"/>
        <w:rPr>
          <w:rFonts w:ascii="Courier New" w:hAnsi="Courier New" w:cs="Courier New"/>
          <w:b/>
          <w:bCs/>
          <w:sz w:val="20"/>
          <w:szCs w:val="20"/>
        </w:rPr>
      </w:pPr>
    </w:p>
    <w:p w:rsidR="00BA7971" w:rsidRPr="00D00771" w:rsidRDefault="00BA7971" w:rsidP="00D00771">
      <w:pPr>
        <w:widowControl/>
        <w:suppressAutoHyphens w:val="0"/>
        <w:spacing w:line="360" w:lineRule="auto"/>
        <w:rPr>
          <w:b/>
          <w:bCs/>
        </w:rPr>
      </w:pPr>
      <w:r w:rsidRPr="00D00771">
        <w:rPr>
          <w:b/>
          <w:bCs/>
        </w:rPr>
        <w:t>"Men kan slimmer zijn dan een ander, maar niet slimmer dan alle anderen."</w:t>
      </w:r>
    </w:p>
    <w:p w:rsidR="00BA7971" w:rsidRPr="00E445F6" w:rsidRDefault="00BA7971" w:rsidP="00D00771">
      <w:pPr>
        <w:widowControl/>
        <w:suppressAutoHyphens w:val="0"/>
        <w:spacing w:line="360" w:lineRule="auto"/>
        <w:jc w:val="right"/>
        <w:rPr>
          <w:b/>
          <w:i/>
          <w:sz w:val="22"/>
          <w:szCs w:val="22"/>
        </w:rPr>
      </w:pPr>
      <w:r w:rsidRPr="00D00771">
        <w:rPr>
          <w:b/>
          <w:bCs/>
        </w:rPr>
        <w:tab/>
        <w:t>Francois de la Rochefoucauld</w:t>
      </w:r>
      <w:r>
        <w:rPr>
          <w:b/>
          <w:i/>
          <w:sz w:val="22"/>
          <w:szCs w:val="22"/>
        </w:rPr>
        <w:br w:type="page"/>
      </w:r>
      <w:r w:rsidRPr="00E445F6">
        <w:rPr>
          <w:b/>
          <w:i/>
          <w:sz w:val="22"/>
          <w:szCs w:val="22"/>
        </w:rPr>
        <w:t>Inhoudsopgave</w:t>
      </w:r>
    </w:p>
    <w:p w:rsidR="00BA7971" w:rsidRPr="00076AC4" w:rsidRDefault="00BA7971" w:rsidP="002E4CD8">
      <w:pPr>
        <w:widowControl/>
        <w:pBdr>
          <w:top w:val="single" w:sz="4" w:space="1" w:color="auto"/>
        </w:pBdr>
        <w:suppressAutoHyphens w:val="0"/>
        <w:spacing w:after="200"/>
        <w:jc w:val="center"/>
        <w:rPr>
          <w:b/>
          <w:sz w:val="22"/>
          <w:szCs w:val="22"/>
        </w:rPr>
      </w:pPr>
    </w:p>
    <w:p w:rsidR="00BA7971" w:rsidRPr="00704D19" w:rsidRDefault="00BA7971" w:rsidP="002E4CD8">
      <w:pPr>
        <w:widowControl/>
        <w:pBdr>
          <w:top w:val="single" w:sz="4" w:space="1" w:color="auto"/>
        </w:pBdr>
        <w:suppressAutoHyphens w:val="0"/>
        <w:spacing w:after="200"/>
        <w:jc w:val="center"/>
        <w:rPr>
          <w:b/>
          <w:sz w:val="28"/>
          <w:szCs w:val="28"/>
        </w:rPr>
      </w:pPr>
      <w:r w:rsidRPr="00704D19">
        <w:rPr>
          <w:b/>
          <w:sz w:val="28"/>
          <w:szCs w:val="28"/>
        </w:rPr>
        <w:t>INHOUDSOPGAVE</w:t>
      </w:r>
    </w:p>
    <w:p w:rsidR="00BA7971" w:rsidRDefault="00BA7971" w:rsidP="00194B37">
      <w:pPr>
        <w:spacing w:line="360" w:lineRule="auto"/>
        <w:rPr>
          <w:b/>
        </w:rPr>
      </w:pPr>
    </w:p>
    <w:p w:rsidR="00BA7971" w:rsidRPr="00345BC2" w:rsidRDefault="00BA7971" w:rsidP="00194B37">
      <w:pPr>
        <w:spacing w:line="360" w:lineRule="auto"/>
        <w:rPr>
          <w:b/>
        </w:rPr>
      </w:pPr>
      <w:r w:rsidRPr="00345BC2">
        <w:rPr>
          <w:b/>
        </w:rPr>
        <w:t xml:space="preserve">Hoofdstuk </w:t>
      </w:r>
      <w:r w:rsidRPr="00345BC2">
        <w:rPr>
          <w:b/>
        </w:rPr>
        <w:tab/>
      </w:r>
      <w:r w:rsidRPr="00345BC2">
        <w:rPr>
          <w:b/>
        </w:rPr>
        <w:tab/>
      </w:r>
      <w:r w:rsidRPr="00345BC2">
        <w:rPr>
          <w:b/>
        </w:rPr>
        <w:tab/>
      </w:r>
      <w:r w:rsidRPr="00345BC2">
        <w:rPr>
          <w:b/>
        </w:rPr>
        <w:tab/>
      </w:r>
      <w:r w:rsidRPr="00345BC2">
        <w:rPr>
          <w:b/>
        </w:rPr>
        <w:tab/>
      </w:r>
      <w:r w:rsidRPr="00345BC2">
        <w:rPr>
          <w:b/>
        </w:rPr>
        <w:tab/>
      </w:r>
      <w:r w:rsidRPr="00345BC2">
        <w:rPr>
          <w:b/>
        </w:rPr>
        <w:tab/>
      </w:r>
      <w:r w:rsidRPr="00345BC2">
        <w:rPr>
          <w:b/>
        </w:rPr>
        <w:tab/>
      </w:r>
      <w:r w:rsidRPr="00345BC2">
        <w:rPr>
          <w:b/>
        </w:rPr>
        <w:tab/>
      </w:r>
      <w:r>
        <w:rPr>
          <w:b/>
        </w:rPr>
        <w:tab/>
        <w:t xml:space="preserve">  </w:t>
      </w:r>
      <w:r w:rsidRPr="00345BC2">
        <w:rPr>
          <w:b/>
        </w:rPr>
        <w:t>Pagina</w:t>
      </w:r>
    </w:p>
    <w:p w:rsidR="00BA7971" w:rsidRDefault="00BA7971" w:rsidP="00194B37">
      <w:pPr>
        <w:spacing w:line="360" w:lineRule="auto"/>
        <w:rPr>
          <w:b/>
        </w:rPr>
      </w:pPr>
      <w:r w:rsidRPr="00345BC2">
        <w:rPr>
          <w:b/>
        </w:rPr>
        <w:t>1. Inleiding</w:t>
      </w:r>
      <w:r>
        <w:rPr>
          <w:b/>
        </w:rPr>
        <w:tab/>
      </w:r>
      <w:r>
        <w:rPr>
          <w:b/>
        </w:rPr>
        <w:tab/>
      </w:r>
      <w:r>
        <w:rPr>
          <w:b/>
        </w:rPr>
        <w:tab/>
      </w:r>
      <w:r>
        <w:rPr>
          <w:b/>
        </w:rPr>
        <w:tab/>
      </w:r>
      <w:r>
        <w:rPr>
          <w:b/>
        </w:rPr>
        <w:tab/>
      </w:r>
      <w:r>
        <w:rPr>
          <w:b/>
        </w:rPr>
        <w:tab/>
      </w:r>
      <w:r>
        <w:rPr>
          <w:b/>
        </w:rPr>
        <w:tab/>
      </w:r>
      <w:r>
        <w:rPr>
          <w:b/>
        </w:rPr>
        <w:tab/>
      </w:r>
      <w:r>
        <w:rPr>
          <w:b/>
        </w:rPr>
        <w:tab/>
      </w:r>
      <w:r>
        <w:rPr>
          <w:b/>
        </w:rPr>
        <w:tab/>
      </w:r>
      <w:r>
        <w:rPr>
          <w:b/>
        </w:rPr>
        <w:tab/>
        <w:t>4</w:t>
      </w:r>
    </w:p>
    <w:p w:rsidR="00BA7971" w:rsidRDefault="00BA7971" w:rsidP="00194B37">
      <w:pPr>
        <w:spacing w:line="360" w:lineRule="auto"/>
        <w:ind w:firstLine="708"/>
      </w:pPr>
      <w:r>
        <w:t>1.1 Algemene inleiding</w:t>
      </w:r>
      <w:r>
        <w:tab/>
      </w:r>
      <w:r>
        <w:tab/>
      </w:r>
      <w:r>
        <w:tab/>
      </w:r>
      <w:r>
        <w:tab/>
      </w:r>
      <w:r>
        <w:tab/>
      </w:r>
      <w:r>
        <w:tab/>
      </w:r>
      <w:r>
        <w:tab/>
      </w:r>
      <w:r>
        <w:tab/>
        <w:t xml:space="preserve">4 </w:t>
      </w:r>
    </w:p>
    <w:p w:rsidR="00BA7971" w:rsidRDefault="00BA7971" w:rsidP="00194B37">
      <w:pPr>
        <w:spacing w:line="360" w:lineRule="auto"/>
        <w:ind w:firstLine="708"/>
      </w:pPr>
      <w:r>
        <w:t xml:space="preserve">1.2 Probleem- en doelstelling </w:t>
      </w:r>
      <w:r>
        <w:tab/>
      </w:r>
      <w:r>
        <w:tab/>
      </w:r>
      <w:r>
        <w:tab/>
      </w:r>
      <w:r>
        <w:tab/>
      </w:r>
      <w:r>
        <w:tab/>
      </w:r>
      <w:r>
        <w:tab/>
      </w:r>
      <w:r>
        <w:tab/>
        <w:t>4</w:t>
      </w:r>
    </w:p>
    <w:p w:rsidR="00BA7971" w:rsidRDefault="00BA7971" w:rsidP="00194B37">
      <w:pPr>
        <w:spacing w:line="360" w:lineRule="auto"/>
        <w:ind w:firstLine="708"/>
      </w:pPr>
      <w:r>
        <w:t xml:space="preserve">1.3 Opzet onderzoek </w:t>
      </w:r>
      <w:r>
        <w:tab/>
      </w:r>
      <w:r>
        <w:tab/>
      </w:r>
      <w:r>
        <w:tab/>
      </w:r>
      <w:r>
        <w:tab/>
      </w:r>
      <w:r>
        <w:tab/>
      </w:r>
      <w:r>
        <w:tab/>
      </w:r>
      <w:r>
        <w:tab/>
      </w:r>
      <w:r>
        <w:tab/>
      </w:r>
      <w:r>
        <w:tab/>
        <w:t>5</w:t>
      </w:r>
    </w:p>
    <w:p w:rsidR="00BA7971" w:rsidRDefault="00BA7971" w:rsidP="00194B37">
      <w:pPr>
        <w:spacing w:line="360" w:lineRule="auto"/>
      </w:pPr>
    </w:p>
    <w:p w:rsidR="00BA7971" w:rsidRDefault="00BA7971" w:rsidP="00F27AAA">
      <w:pPr>
        <w:spacing w:line="360" w:lineRule="auto"/>
        <w:rPr>
          <w:b/>
        </w:rPr>
      </w:pPr>
      <w:r w:rsidRPr="00345BC2">
        <w:rPr>
          <w:b/>
        </w:rPr>
        <w:t xml:space="preserve">2. Winstdrainage </w:t>
      </w:r>
      <w:r>
        <w:rPr>
          <w:b/>
        </w:rPr>
        <w:tab/>
      </w:r>
      <w:r>
        <w:rPr>
          <w:b/>
        </w:rPr>
        <w:tab/>
      </w:r>
      <w:r>
        <w:rPr>
          <w:b/>
        </w:rPr>
        <w:tab/>
      </w:r>
      <w:r>
        <w:rPr>
          <w:b/>
        </w:rPr>
        <w:tab/>
      </w:r>
      <w:r>
        <w:rPr>
          <w:b/>
        </w:rPr>
        <w:tab/>
      </w:r>
      <w:r>
        <w:rPr>
          <w:b/>
        </w:rPr>
        <w:tab/>
      </w:r>
      <w:r>
        <w:rPr>
          <w:b/>
        </w:rPr>
        <w:tab/>
      </w:r>
      <w:r>
        <w:rPr>
          <w:b/>
        </w:rPr>
        <w:tab/>
      </w:r>
      <w:r>
        <w:rPr>
          <w:b/>
        </w:rPr>
        <w:tab/>
      </w:r>
      <w:r>
        <w:rPr>
          <w:b/>
        </w:rPr>
        <w:tab/>
        <w:t>7</w:t>
      </w:r>
    </w:p>
    <w:p w:rsidR="00BA7971" w:rsidRPr="00277285" w:rsidRDefault="00BA7971" w:rsidP="00F27AAA">
      <w:pPr>
        <w:spacing w:line="360" w:lineRule="auto"/>
        <w:ind w:firstLine="708"/>
        <w:rPr>
          <w:b/>
        </w:rPr>
      </w:pPr>
      <w:r>
        <w:t>2.1 Inleiding</w:t>
      </w:r>
      <w:r>
        <w:tab/>
      </w:r>
      <w:r>
        <w:tab/>
      </w:r>
      <w:r>
        <w:tab/>
      </w:r>
      <w:r>
        <w:tab/>
      </w:r>
      <w:r>
        <w:tab/>
      </w:r>
      <w:r>
        <w:tab/>
      </w:r>
      <w:r>
        <w:tab/>
      </w:r>
      <w:r>
        <w:tab/>
      </w:r>
      <w:r>
        <w:tab/>
      </w:r>
      <w:r>
        <w:tab/>
        <w:t>7</w:t>
      </w:r>
    </w:p>
    <w:p w:rsidR="00BA7971" w:rsidRDefault="00BA7971" w:rsidP="00F27AAA">
      <w:pPr>
        <w:spacing w:line="360" w:lineRule="auto"/>
      </w:pPr>
      <w:r>
        <w:tab/>
        <w:t>2.2 Beschrijving van winstdrainage</w:t>
      </w:r>
      <w:r>
        <w:tab/>
      </w:r>
      <w:r>
        <w:tab/>
      </w:r>
      <w:r>
        <w:tab/>
      </w:r>
      <w:r>
        <w:tab/>
      </w:r>
      <w:r>
        <w:tab/>
      </w:r>
      <w:r>
        <w:tab/>
      </w:r>
      <w:r>
        <w:tab/>
        <w:t>7</w:t>
      </w:r>
    </w:p>
    <w:p w:rsidR="00BA7971" w:rsidRDefault="00BA7971" w:rsidP="00194B37">
      <w:pPr>
        <w:spacing w:line="360" w:lineRule="auto"/>
      </w:pPr>
      <w:r>
        <w:tab/>
        <w:t>2.3 De kernstructuren van winstdrainage</w:t>
      </w:r>
      <w:r>
        <w:tab/>
      </w:r>
      <w:r>
        <w:tab/>
      </w:r>
      <w:r>
        <w:tab/>
      </w:r>
      <w:r>
        <w:tab/>
      </w:r>
      <w:r>
        <w:tab/>
      </w:r>
      <w:r>
        <w:tab/>
        <w:t>8</w:t>
      </w:r>
    </w:p>
    <w:p w:rsidR="00BA7971" w:rsidRDefault="00BA7971" w:rsidP="00194B37">
      <w:pPr>
        <w:spacing w:line="360" w:lineRule="auto"/>
      </w:pPr>
      <w:r>
        <w:tab/>
        <w:t>2.3 Conclusie</w:t>
      </w:r>
      <w:r>
        <w:tab/>
      </w:r>
      <w:r>
        <w:tab/>
      </w:r>
      <w:r>
        <w:tab/>
      </w:r>
      <w:r>
        <w:tab/>
      </w:r>
      <w:r>
        <w:tab/>
      </w:r>
      <w:r>
        <w:tab/>
      </w:r>
      <w:r>
        <w:tab/>
      </w:r>
      <w:r>
        <w:tab/>
      </w:r>
      <w:r>
        <w:tab/>
      </w:r>
      <w:r>
        <w:tab/>
        <w:t>9</w:t>
      </w:r>
    </w:p>
    <w:p w:rsidR="00BA7971" w:rsidRDefault="00BA7971" w:rsidP="00194B37">
      <w:pPr>
        <w:spacing w:line="360" w:lineRule="auto"/>
      </w:pPr>
    </w:p>
    <w:p w:rsidR="00BA7971" w:rsidRPr="00702659" w:rsidRDefault="00BA7971" w:rsidP="00194B37">
      <w:pPr>
        <w:spacing w:line="360" w:lineRule="auto"/>
        <w:rPr>
          <w:b/>
        </w:rPr>
      </w:pPr>
      <w:r w:rsidRPr="00702659">
        <w:rPr>
          <w:b/>
        </w:rPr>
        <w:t>3. Het leerstuk van fraus legis</w:t>
      </w:r>
      <w:r>
        <w:rPr>
          <w:b/>
        </w:rPr>
        <w:tab/>
      </w:r>
      <w:r>
        <w:rPr>
          <w:b/>
        </w:rPr>
        <w:tab/>
      </w:r>
      <w:r>
        <w:rPr>
          <w:b/>
        </w:rPr>
        <w:tab/>
      </w:r>
      <w:r>
        <w:rPr>
          <w:b/>
        </w:rPr>
        <w:tab/>
      </w:r>
      <w:r>
        <w:rPr>
          <w:b/>
        </w:rPr>
        <w:tab/>
      </w:r>
      <w:r>
        <w:rPr>
          <w:b/>
        </w:rPr>
        <w:tab/>
      </w:r>
      <w:r>
        <w:rPr>
          <w:b/>
        </w:rPr>
        <w:tab/>
      </w:r>
      <w:r>
        <w:rPr>
          <w:b/>
        </w:rPr>
        <w:tab/>
        <w:t>10</w:t>
      </w:r>
    </w:p>
    <w:p w:rsidR="00BA7971" w:rsidRPr="00F01D31" w:rsidRDefault="00BA7971" w:rsidP="00194B37">
      <w:pPr>
        <w:spacing w:line="360" w:lineRule="auto"/>
      </w:pPr>
      <w:r w:rsidRPr="00F01D31">
        <w:t xml:space="preserve">            </w:t>
      </w:r>
      <w:r>
        <w:t>3</w:t>
      </w:r>
      <w:r w:rsidRPr="00F01D31">
        <w:t>.1 Inleiding</w:t>
      </w:r>
      <w:r>
        <w:tab/>
      </w:r>
      <w:r>
        <w:tab/>
      </w:r>
      <w:r>
        <w:tab/>
      </w:r>
      <w:r>
        <w:tab/>
      </w:r>
      <w:r>
        <w:tab/>
      </w:r>
      <w:r>
        <w:tab/>
      </w:r>
      <w:r>
        <w:tab/>
      </w:r>
      <w:r>
        <w:tab/>
      </w:r>
      <w:r>
        <w:tab/>
      </w:r>
      <w:r>
        <w:tab/>
        <w:t>10</w:t>
      </w:r>
    </w:p>
    <w:p w:rsidR="00BA7971" w:rsidRPr="00F01D31" w:rsidRDefault="00BA7971" w:rsidP="00194B37">
      <w:pPr>
        <w:spacing w:line="360" w:lineRule="auto"/>
        <w:ind w:left="720"/>
      </w:pPr>
      <w:r>
        <w:t xml:space="preserve">3.2 </w:t>
      </w:r>
      <w:r w:rsidRPr="00F01D31">
        <w:t xml:space="preserve">Richtige heffing </w:t>
      </w:r>
      <w:r>
        <w:tab/>
      </w:r>
      <w:r>
        <w:tab/>
      </w:r>
      <w:r>
        <w:tab/>
      </w:r>
      <w:r>
        <w:tab/>
      </w:r>
      <w:r>
        <w:tab/>
      </w:r>
      <w:r>
        <w:tab/>
      </w:r>
      <w:r>
        <w:tab/>
      </w:r>
      <w:r>
        <w:tab/>
      </w:r>
      <w:r>
        <w:tab/>
        <w:t>10</w:t>
      </w:r>
    </w:p>
    <w:p w:rsidR="00BA7971" w:rsidRDefault="00BA7971" w:rsidP="00194B37">
      <w:pPr>
        <w:spacing w:line="360" w:lineRule="auto"/>
      </w:pPr>
      <w:r w:rsidRPr="00F01D31">
        <w:t xml:space="preserve">            </w:t>
      </w:r>
      <w:r>
        <w:t>3</w:t>
      </w:r>
      <w:r w:rsidRPr="00F01D31">
        <w:t xml:space="preserve">.3 </w:t>
      </w:r>
      <w:r>
        <w:t>Fraus legis</w:t>
      </w:r>
      <w:r w:rsidRPr="00F01D31">
        <w:t xml:space="preserve"> </w:t>
      </w:r>
      <w:r>
        <w:tab/>
      </w:r>
      <w:r>
        <w:tab/>
      </w:r>
      <w:r>
        <w:tab/>
      </w:r>
      <w:r>
        <w:tab/>
      </w:r>
      <w:r>
        <w:tab/>
      </w:r>
      <w:r>
        <w:tab/>
      </w:r>
      <w:r>
        <w:tab/>
      </w:r>
      <w:r>
        <w:tab/>
      </w:r>
      <w:r>
        <w:tab/>
        <w:t>13</w:t>
      </w:r>
    </w:p>
    <w:p w:rsidR="00BA7971" w:rsidRDefault="00BA7971" w:rsidP="00194B37">
      <w:pPr>
        <w:spacing w:line="360" w:lineRule="auto"/>
        <w:ind w:left="708" w:firstLine="708"/>
      </w:pPr>
      <w:r>
        <w:t>3.3.1 Wat is fraus legis?</w:t>
      </w:r>
      <w:r>
        <w:tab/>
      </w:r>
      <w:r>
        <w:tab/>
      </w:r>
      <w:r>
        <w:tab/>
      </w:r>
      <w:r>
        <w:tab/>
      </w:r>
      <w:r>
        <w:tab/>
      </w:r>
      <w:r>
        <w:tab/>
      </w:r>
      <w:r>
        <w:tab/>
        <w:t>13</w:t>
      </w:r>
    </w:p>
    <w:p w:rsidR="00BA7971" w:rsidRPr="00F01D31" w:rsidRDefault="00BA7971" w:rsidP="00F27AAA">
      <w:pPr>
        <w:spacing w:line="360" w:lineRule="auto"/>
        <w:ind w:left="708" w:firstLine="708"/>
      </w:pPr>
      <w:r>
        <w:t>3</w:t>
      </w:r>
      <w:r w:rsidRPr="00F01D31">
        <w:t>.3.</w:t>
      </w:r>
      <w:r>
        <w:t>2</w:t>
      </w:r>
      <w:r w:rsidRPr="00F01D31">
        <w:t xml:space="preserve"> </w:t>
      </w:r>
      <w:r>
        <w:t>Het motiefvereiste</w:t>
      </w:r>
      <w:r>
        <w:tab/>
      </w:r>
      <w:r>
        <w:tab/>
      </w:r>
      <w:r>
        <w:tab/>
      </w:r>
      <w:r>
        <w:tab/>
      </w:r>
      <w:r>
        <w:tab/>
      </w:r>
      <w:r>
        <w:tab/>
      </w:r>
      <w:r>
        <w:tab/>
        <w:t>13</w:t>
      </w:r>
    </w:p>
    <w:p w:rsidR="00BA7971" w:rsidRPr="00F01D31" w:rsidRDefault="00BA7971" w:rsidP="00194B37">
      <w:pPr>
        <w:spacing w:line="360" w:lineRule="auto"/>
      </w:pPr>
      <w:r w:rsidRPr="00F01D31">
        <w:tab/>
        <w:t xml:space="preserve">     </w:t>
      </w:r>
      <w:r>
        <w:tab/>
        <w:t>3</w:t>
      </w:r>
      <w:r w:rsidRPr="00F01D31">
        <w:t>.3.</w:t>
      </w:r>
      <w:r>
        <w:t>3</w:t>
      </w:r>
      <w:r w:rsidRPr="00F01D31">
        <w:t xml:space="preserve"> </w:t>
      </w:r>
      <w:r>
        <w:t>Het normvereiste</w:t>
      </w:r>
      <w:r>
        <w:tab/>
      </w:r>
      <w:r>
        <w:tab/>
      </w:r>
      <w:r>
        <w:tab/>
      </w:r>
      <w:r>
        <w:tab/>
      </w:r>
      <w:r>
        <w:tab/>
      </w:r>
      <w:r>
        <w:tab/>
      </w:r>
      <w:r>
        <w:tab/>
        <w:t>14</w:t>
      </w:r>
    </w:p>
    <w:p w:rsidR="00BA7971" w:rsidRPr="00F01D31" w:rsidRDefault="00BA7971" w:rsidP="00194B37">
      <w:pPr>
        <w:spacing w:line="360" w:lineRule="auto"/>
        <w:ind w:left="709"/>
      </w:pPr>
      <w:r>
        <w:t xml:space="preserve">     </w:t>
      </w:r>
      <w:r>
        <w:tab/>
        <w:t>3.3.4 Uitwerking van het leerstuk van fraus legis</w:t>
      </w:r>
      <w:r>
        <w:tab/>
      </w:r>
      <w:r>
        <w:tab/>
      </w:r>
      <w:r>
        <w:tab/>
      </w:r>
      <w:r>
        <w:tab/>
        <w:t>15</w:t>
      </w:r>
    </w:p>
    <w:p w:rsidR="00BA7971" w:rsidRPr="00F01D31" w:rsidRDefault="00BA7971" w:rsidP="00194B37">
      <w:pPr>
        <w:spacing w:line="360" w:lineRule="auto"/>
      </w:pPr>
      <w:r w:rsidRPr="00F01D31">
        <w:t xml:space="preserve">             </w:t>
      </w:r>
      <w:r>
        <w:t>3</w:t>
      </w:r>
      <w:r w:rsidRPr="00F01D31">
        <w:t>.4 Conclusie</w:t>
      </w:r>
      <w:r>
        <w:tab/>
      </w:r>
      <w:r>
        <w:tab/>
      </w:r>
      <w:r>
        <w:tab/>
      </w:r>
      <w:r>
        <w:tab/>
      </w:r>
      <w:r>
        <w:tab/>
      </w:r>
      <w:r>
        <w:tab/>
      </w:r>
      <w:r>
        <w:tab/>
      </w:r>
      <w:r>
        <w:tab/>
      </w:r>
      <w:r>
        <w:tab/>
      </w:r>
      <w:r>
        <w:tab/>
        <w:t>16</w:t>
      </w:r>
    </w:p>
    <w:p w:rsidR="00BA7971" w:rsidRDefault="00BA7971" w:rsidP="00194B37">
      <w:pPr>
        <w:spacing w:line="360" w:lineRule="auto"/>
        <w:rPr>
          <w:color w:val="FF0000"/>
        </w:rPr>
      </w:pPr>
    </w:p>
    <w:p w:rsidR="00BA7971" w:rsidRPr="00473213" w:rsidRDefault="00BA7971" w:rsidP="00194B37">
      <w:pPr>
        <w:spacing w:line="360" w:lineRule="auto"/>
        <w:rPr>
          <w:b/>
        </w:rPr>
      </w:pPr>
      <w:r w:rsidRPr="00473213">
        <w:rPr>
          <w:b/>
        </w:rPr>
        <w:t xml:space="preserve">4. De codificatie </w:t>
      </w:r>
      <w:r>
        <w:rPr>
          <w:b/>
        </w:rPr>
        <w:tab/>
      </w:r>
      <w:r>
        <w:rPr>
          <w:b/>
        </w:rPr>
        <w:tab/>
      </w:r>
      <w:r>
        <w:rPr>
          <w:b/>
        </w:rPr>
        <w:tab/>
      </w:r>
      <w:r>
        <w:rPr>
          <w:b/>
        </w:rPr>
        <w:tab/>
      </w:r>
      <w:r>
        <w:rPr>
          <w:b/>
        </w:rPr>
        <w:tab/>
      </w:r>
      <w:r>
        <w:rPr>
          <w:b/>
        </w:rPr>
        <w:tab/>
      </w:r>
      <w:r>
        <w:rPr>
          <w:b/>
        </w:rPr>
        <w:tab/>
      </w:r>
      <w:r>
        <w:rPr>
          <w:b/>
        </w:rPr>
        <w:tab/>
      </w:r>
      <w:r>
        <w:rPr>
          <w:b/>
        </w:rPr>
        <w:tab/>
      </w:r>
      <w:r>
        <w:rPr>
          <w:b/>
        </w:rPr>
        <w:tab/>
        <w:t>17</w:t>
      </w:r>
    </w:p>
    <w:p w:rsidR="00BA7971" w:rsidRDefault="00BA7971" w:rsidP="00194B37">
      <w:pPr>
        <w:spacing w:line="360" w:lineRule="auto"/>
      </w:pPr>
      <w:r>
        <w:tab/>
        <w:t>4.1 Inleiding</w:t>
      </w:r>
      <w:r>
        <w:tab/>
      </w:r>
      <w:r>
        <w:tab/>
      </w:r>
      <w:r>
        <w:tab/>
      </w:r>
      <w:r>
        <w:tab/>
      </w:r>
      <w:r>
        <w:tab/>
      </w:r>
      <w:r>
        <w:tab/>
      </w:r>
      <w:r>
        <w:tab/>
      </w:r>
      <w:r>
        <w:tab/>
      </w:r>
      <w:r>
        <w:tab/>
      </w:r>
      <w:r>
        <w:tab/>
        <w:t>17</w:t>
      </w:r>
    </w:p>
    <w:p w:rsidR="00BA7971" w:rsidRDefault="00BA7971" w:rsidP="00194B37">
      <w:pPr>
        <w:spacing w:line="360" w:lineRule="auto"/>
      </w:pPr>
      <w:r>
        <w:tab/>
        <w:t>4.2 Enkele winstdrainage arresten vóór de codificatie</w:t>
      </w:r>
      <w:r>
        <w:tab/>
      </w:r>
      <w:r>
        <w:tab/>
      </w:r>
      <w:r>
        <w:tab/>
      </w:r>
      <w:r>
        <w:tab/>
        <w:t>17</w:t>
      </w:r>
    </w:p>
    <w:p w:rsidR="00BA7971" w:rsidRPr="00473213" w:rsidRDefault="00BA7971" w:rsidP="00194B37">
      <w:pPr>
        <w:spacing w:line="360" w:lineRule="auto"/>
      </w:pPr>
      <w:r>
        <w:tab/>
        <w:t xml:space="preserve">4.3 </w:t>
      </w:r>
      <w:r w:rsidRPr="00473213">
        <w:t>Het ontstaan van artikel 10a Wet Vpb 1969</w:t>
      </w:r>
      <w:r>
        <w:tab/>
      </w:r>
      <w:r>
        <w:tab/>
      </w:r>
      <w:r>
        <w:tab/>
      </w:r>
      <w:r>
        <w:tab/>
      </w:r>
      <w:r>
        <w:tab/>
        <w:t>22</w:t>
      </w:r>
    </w:p>
    <w:p w:rsidR="00BA7971" w:rsidRPr="00143E06" w:rsidRDefault="00BA7971" w:rsidP="00194B37">
      <w:pPr>
        <w:spacing w:line="360" w:lineRule="auto"/>
      </w:pPr>
      <w:r>
        <w:tab/>
        <w:t>4.4 Conclusie</w:t>
      </w:r>
      <w:r>
        <w:tab/>
      </w:r>
      <w:r>
        <w:tab/>
      </w:r>
      <w:r>
        <w:tab/>
      </w:r>
      <w:r>
        <w:tab/>
      </w:r>
      <w:r>
        <w:tab/>
      </w:r>
      <w:r>
        <w:tab/>
      </w:r>
      <w:r>
        <w:tab/>
      </w:r>
      <w:r>
        <w:tab/>
      </w:r>
      <w:r>
        <w:tab/>
      </w:r>
      <w:r>
        <w:tab/>
        <w:t>23</w:t>
      </w:r>
    </w:p>
    <w:p w:rsidR="00BA7971" w:rsidRDefault="00BA7971" w:rsidP="00194B37">
      <w:pPr>
        <w:spacing w:line="360" w:lineRule="auto"/>
      </w:pPr>
    </w:p>
    <w:p w:rsidR="00BA7971" w:rsidRPr="00E445F6" w:rsidRDefault="00BA7971" w:rsidP="007F3DDF">
      <w:pPr>
        <w:widowControl/>
        <w:suppressAutoHyphens w:val="0"/>
        <w:spacing w:after="200" w:line="276" w:lineRule="auto"/>
        <w:jc w:val="right"/>
        <w:rPr>
          <w:b/>
          <w:i/>
          <w:sz w:val="22"/>
          <w:szCs w:val="22"/>
        </w:rPr>
      </w:pPr>
      <w:r>
        <w:rPr>
          <w:b/>
        </w:rPr>
        <w:br w:type="page"/>
      </w:r>
      <w:r w:rsidRPr="00E445F6">
        <w:rPr>
          <w:b/>
          <w:i/>
          <w:sz w:val="22"/>
          <w:szCs w:val="22"/>
        </w:rPr>
        <w:t>Inhoudsopgave</w:t>
      </w:r>
    </w:p>
    <w:p w:rsidR="00BA7971" w:rsidRDefault="00BA7971" w:rsidP="00076AC4">
      <w:pPr>
        <w:pBdr>
          <w:top w:val="single" w:sz="4" w:space="1" w:color="auto"/>
        </w:pBdr>
        <w:spacing w:line="360" w:lineRule="auto"/>
        <w:rPr>
          <w:b/>
        </w:rPr>
      </w:pPr>
    </w:p>
    <w:p w:rsidR="00BA7971" w:rsidRPr="00FF75A7" w:rsidRDefault="00BA7971" w:rsidP="00194B37">
      <w:pPr>
        <w:spacing w:line="360" w:lineRule="auto"/>
        <w:rPr>
          <w:b/>
        </w:rPr>
      </w:pPr>
      <w:r w:rsidRPr="00FF75A7">
        <w:rPr>
          <w:b/>
        </w:rPr>
        <w:t xml:space="preserve">5. </w:t>
      </w:r>
      <w:r>
        <w:rPr>
          <w:b/>
        </w:rPr>
        <w:t>Art 10a Wet Vpb</w:t>
      </w:r>
      <w:r w:rsidRPr="00FF75A7">
        <w:rPr>
          <w:b/>
        </w:rPr>
        <w:t xml:space="preserve"> 1969</w:t>
      </w:r>
      <w:r>
        <w:rPr>
          <w:b/>
        </w:rPr>
        <w:tab/>
      </w:r>
      <w:r>
        <w:rPr>
          <w:b/>
        </w:rPr>
        <w:tab/>
      </w:r>
      <w:r>
        <w:rPr>
          <w:b/>
        </w:rPr>
        <w:tab/>
      </w:r>
      <w:r>
        <w:rPr>
          <w:b/>
        </w:rPr>
        <w:tab/>
      </w:r>
      <w:r>
        <w:rPr>
          <w:b/>
        </w:rPr>
        <w:tab/>
      </w:r>
      <w:r>
        <w:rPr>
          <w:b/>
        </w:rPr>
        <w:tab/>
      </w:r>
      <w:r>
        <w:rPr>
          <w:b/>
        </w:rPr>
        <w:tab/>
      </w:r>
      <w:r>
        <w:rPr>
          <w:b/>
        </w:rPr>
        <w:tab/>
      </w:r>
      <w:r>
        <w:rPr>
          <w:b/>
        </w:rPr>
        <w:tab/>
        <w:t>25</w:t>
      </w:r>
    </w:p>
    <w:p w:rsidR="00BA7971" w:rsidRDefault="00BA7971" w:rsidP="00076AC4">
      <w:pPr>
        <w:spacing w:line="360" w:lineRule="auto"/>
      </w:pPr>
      <w:r>
        <w:tab/>
        <w:t>5.1 Inleiding</w:t>
      </w:r>
      <w:r>
        <w:tab/>
      </w:r>
      <w:r>
        <w:tab/>
      </w:r>
      <w:r>
        <w:tab/>
      </w:r>
      <w:r>
        <w:tab/>
      </w:r>
      <w:r>
        <w:tab/>
      </w:r>
      <w:r>
        <w:tab/>
      </w:r>
      <w:r>
        <w:tab/>
      </w:r>
      <w:r>
        <w:tab/>
      </w:r>
      <w:r>
        <w:tab/>
      </w:r>
      <w:r>
        <w:tab/>
        <w:t>25</w:t>
      </w:r>
    </w:p>
    <w:p w:rsidR="00BA7971" w:rsidRDefault="00BA7971" w:rsidP="00194B37">
      <w:pPr>
        <w:spacing w:line="360" w:lineRule="auto"/>
      </w:pPr>
      <w:r>
        <w:tab/>
        <w:t xml:space="preserve">5.2 </w:t>
      </w:r>
      <w:r w:rsidRPr="00277285">
        <w:t>Artikel 10a Wet Vpb 1969 in beschouwing</w:t>
      </w:r>
      <w:r>
        <w:tab/>
      </w:r>
      <w:r>
        <w:tab/>
      </w:r>
      <w:r>
        <w:tab/>
      </w:r>
      <w:r>
        <w:tab/>
      </w:r>
      <w:r>
        <w:tab/>
        <w:t>25</w:t>
      </w:r>
    </w:p>
    <w:p w:rsidR="00BA7971" w:rsidRPr="00277285" w:rsidRDefault="00BA7971" w:rsidP="005715D8">
      <w:pPr>
        <w:spacing w:line="360" w:lineRule="auto"/>
      </w:pPr>
      <w:r>
        <w:tab/>
      </w:r>
      <w:r>
        <w:tab/>
      </w:r>
      <w:r w:rsidRPr="00277285">
        <w:t xml:space="preserve">5.2.1 </w:t>
      </w:r>
      <w:r>
        <w:t>V</w:t>
      </w:r>
      <w:r w:rsidRPr="00277285">
        <w:t xml:space="preserve">erband tussen een schuld en een besmette rechtshandeling </w:t>
      </w:r>
      <w:r>
        <w:tab/>
      </w:r>
      <w:r>
        <w:tab/>
        <w:t>25</w:t>
      </w:r>
    </w:p>
    <w:p w:rsidR="00BA7971" w:rsidRDefault="00BA7971" w:rsidP="00194B37">
      <w:pPr>
        <w:spacing w:line="360" w:lineRule="auto"/>
        <w:ind w:left="708" w:firstLine="708"/>
      </w:pPr>
      <w:r w:rsidRPr="00277285">
        <w:t>5.2.2 Verbonden lichaam en verbonden persoon</w:t>
      </w:r>
      <w:r>
        <w:tab/>
      </w:r>
      <w:r>
        <w:tab/>
      </w:r>
      <w:r>
        <w:tab/>
      </w:r>
      <w:r>
        <w:tab/>
        <w:t>26</w:t>
      </w:r>
    </w:p>
    <w:p w:rsidR="00BA7971" w:rsidRDefault="00BA7971" w:rsidP="00194B37">
      <w:pPr>
        <w:spacing w:line="360" w:lineRule="auto"/>
        <w:ind w:left="708" w:firstLine="708"/>
      </w:pPr>
      <w:r w:rsidRPr="00277285">
        <w:t>5.2.3 Tegenbewijsregeling</w:t>
      </w:r>
      <w:r>
        <w:tab/>
      </w:r>
      <w:r>
        <w:tab/>
      </w:r>
      <w:r>
        <w:tab/>
      </w:r>
      <w:r>
        <w:tab/>
      </w:r>
      <w:r>
        <w:tab/>
      </w:r>
      <w:r>
        <w:tab/>
      </w:r>
      <w:r>
        <w:tab/>
        <w:t>27</w:t>
      </w:r>
    </w:p>
    <w:p w:rsidR="00BA7971" w:rsidRPr="00277285" w:rsidRDefault="00BA7971" w:rsidP="00194B37">
      <w:pPr>
        <w:spacing w:line="360" w:lineRule="auto"/>
        <w:ind w:left="708" w:firstLine="708"/>
      </w:pPr>
      <w:r w:rsidRPr="00277285">
        <w:t>5.2.4 Artikel 15ad Wet Vpb 1969</w:t>
      </w:r>
      <w:r>
        <w:tab/>
      </w:r>
      <w:r>
        <w:tab/>
      </w:r>
      <w:r>
        <w:tab/>
      </w:r>
      <w:r>
        <w:tab/>
      </w:r>
      <w:r>
        <w:tab/>
      </w:r>
      <w:r>
        <w:tab/>
        <w:t>30</w:t>
      </w:r>
    </w:p>
    <w:p w:rsidR="00BA7971" w:rsidRDefault="00BA7971" w:rsidP="00194B37">
      <w:pPr>
        <w:spacing w:line="360" w:lineRule="auto"/>
        <w:rPr>
          <w:color w:val="0000FF"/>
        </w:rPr>
      </w:pPr>
      <w:r>
        <w:tab/>
        <w:t xml:space="preserve">5.3 </w:t>
      </w:r>
      <w:r w:rsidRPr="00277285">
        <w:t>Het Ierland arrest</w:t>
      </w:r>
      <w:r>
        <w:tab/>
      </w:r>
      <w:r>
        <w:tab/>
      </w:r>
      <w:r>
        <w:tab/>
      </w:r>
      <w:r>
        <w:tab/>
      </w:r>
      <w:r>
        <w:tab/>
      </w:r>
      <w:r>
        <w:tab/>
      </w:r>
      <w:r>
        <w:tab/>
      </w:r>
      <w:r>
        <w:tab/>
      </w:r>
      <w:r>
        <w:tab/>
        <w:t>30</w:t>
      </w:r>
    </w:p>
    <w:p w:rsidR="00BA7971" w:rsidRDefault="00BA7971" w:rsidP="00194B37">
      <w:pPr>
        <w:spacing w:line="360" w:lineRule="auto"/>
      </w:pPr>
      <w:r>
        <w:tab/>
        <w:t>5.4 Conclusie</w:t>
      </w:r>
      <w:r>
        <w:tab/>
      </w:r>
      <w:r>
        <w:tab/>
      </w:r>
      <w:r>
        <w:tab/>
      </w:r>
      <w:r>
        <w:tab/>
      </w:r>
      <w:r>
        <w:tab/>
      </w:r>
      <w:r>
        <w:tab/>
      </w:r>
      <w:r>
        <w:tab/>
      </w:r>
      <w:r>
        <w:tab/>
      </w:r>
      <w:r>
        <w:tab/>
      </w:r>
      <w:r>
        <w:tab/>
        <w:t>32</w:t>
      </w:r>
    </w:p>
    <w:p w:rsidR="00BA7971" w:rsidRDefault="00BA7971" w:rsidP="00194B37">
      <w:pPr>
        <w:spacing w:line="360" w:lineRule="auto"/>
      </w:pPr>
    </w:p>
    <w:p w:rsidR="00BA7971" w:rsidRPr="00E4275D" w:rsidRDefault="00BA7971" w:rsidP="00194B37">
      <w:pPr>
        <w:spacing w:line="360" w:lineRule="auto"/>
        <w:rPr>
          <w:b/>
        </w:rPr>
      </w:pPr>
      <w:r w:rsidRPr="00E4275D">
        <w:rPr>
          <w:b/>
        </w:rPr>
        <w:t>6.</w:t>
      </w:r>
      <w:r w:rsidRPr="00E4275D">
        <w:t xml:space="preserve"> </w:t>
      </w:r>
      <w:r w:rsidRPr="00E4275D">
        <w:rPr>
          <w:b/>
        </w:rPr>
        <w:t>F</w:t>
      </w:r>
      <w:r>
        <w:rPr>
          <w:b/>
        </w:rPr>
        <w:t>raus legis naast artikel 10a Wet Vpb 1969?</w:t>
      </w:r>
      <w:r>
        <w:rPr>
          <w:b/>
        </w:rPr>
        <w:tab/>
      </w:r>
      <w:r>
        <w:rPr>
          <w:b/>
        </w:rPr>
        <w:tab/>
      </w:r>
      <w:r>
        <w:rPr>
          <w:b/>
        </w:rPr>
        <w:tab/>
      </w:r>
      <w:r>
        <w:rPr>
          <w:b/>
        </w:rPr>
        <w:tab/>
      </w:r>
      <w:r>
        <w:rPr>
          <w:b/>
        </w:rPr>
        <w:tab/>
      </w:r>
      <w:r>
        <w:rPr>
          <w:b/>
        </w:rPr>
        <w:tab/>
        <w:t>33</w:t>
      </w:r>
    </w:p>
    <w:p w:rsidR="00BA7971" w:rsidRDefault="00BA7971" w:rsidP="00194B37">
      <w:pPr>
        <w:spacing w:line="360" w:lineRule="auto"/>
      </w:pPr>
      <w:r w:rsidRPr="00E4275D">
        <w:tab/>
      </w:r>
      <w:r>
        <w:t>6.1 Inleiding</w:t>
      </w:r>
      <w:r>
        <w:tab/>
      </w:r>
      <w:r>
        <w:tab/>
      </w:r>
      <w:r>
        <w:tab/>
      </w:r>
      <w:r>
        <w:tab/>
      </w:r>
      <w:r>
        <w:tab/>
      </w:r>
      <w:r>
        <w:tab/>
      </w:r>
      <w:r>
        <w:tab/>
      </w:r>
      <w:r>
        <w:tab/>
      </w:r>
      <w:r>
        <w:tab/>
      </w:r>
      <w:r>
        <w:tab/>
        <w:t>33</w:t>
      </w:r>
    </w:p>
    <w:p w:rsidR="00BA7971" w:rsidRDefault="00BA7971" w:rsidP="00194B37">
      <w:pPr>
        <w:spacing w:line="360" w:lineRule="auto"/>
      </w:pPr>
      <w:r>
        <w:tab/>
        <w:t>6.2 Fraus legis en a</w:t>
      </w:r>
      <w:r w:rsidRPr="00277285">
        <w:t>rtikel 1</w:t>
      </w:r>
      <w:r>
        <w:t>0</w:t>
      </w:r>
      <w:r w:rsidRPr="00277285">
        <w:t>a Wet Vpb 1969</w:t>
      </w:r>
      <w:r>
        <w:tab/>
      </w:r>
      <w:r>
        <w:tab/>
      </w:r>
      <w:r>
        <w:tab/>
      </w:r>
      <w:r>
        <w:tab/>
      </w:r>
      <w:r>
        <w:tab/>
      </w:r>
      <w:r>
        <w:tab/>
        <w:t>33</w:t>
      </w:r>
    </w:p>
    <w:p w:rsidR="00BA7971" w:rsidRDefault="00BA7971" w:rsidP="00194B37">
      <w:pPr>
        <w:tabs>
          <w:tab w:val="left" w:pos="567"/>
        </w:tabs>
        <w:spacing w:line="360" w:lineRule="auto"/>
        <w:ind w:left="709" w:hanging="709"/>
      </w:pPr>
      <w:r>
        <w:tab/>
      </w:r>
      <w:r>
        <w:tab/>
        <w:t xml:space="preserve">6.3 </w:t>
      </w:r>
      <w:r w:rsidRPr="00E4275D">
        <w:t>Open ruimte voor fraus legis naast artikel 10a Wet Vpb 1969?</w:t>
      </w:r>
      <w:r>
        <w:tab/>
      </w:r>
      <w:r>
        <w:tab/>
      </w:r>
      <w:r>
        <w:tab/>
        <w:t>35</w:t>
      </w:r>
    </w:p>
    <w:p w:rsidR="00BA7971" w:rsidRDefault="00BA7971" w:rsidP="00194B37">
      <w:pPr>
        <w:spacing w:line="360" w:lineRule="auto"/>
      </w:pPr>
      <w:r>
        <w:tab/>
      </w:r>
      <w:r>
        <w:tab/>
        <w:t>6.3.1 Tegenstrijdige opvattingen</w:t>
      </w:r>
      <w:r>
        <w:tab/>
      </w:r>
      <w:r>
        <w:tab/>
      </w:r>
      <w:r>
        <w:tab/>
      </w:r>
      <w:r>
        <w:tab/>
      </w:r>
      <w:r>
        <w:tab/>
      </w:r>
      <w:r>
        <w:tab/>
        <w:t>35</w:t>
      </w:r>
    </w:p>
    <w:p w:rsidR="00BA7971" w:rsidRDefault="00BA7971" w:rsidP="00194B37">
      <w:pPr>
        <w:spacing w:line="360" w:lineRule="auto"/>
      </w:pPr>
      <w:r>
        <w:tab/>
      </w:r>
      <w:r>
        <w:tab/>
        <w:t>6.3.2 Eigen opvatting</w:t>
      </w:r>
      <w:r>
        <w:tab/>
      </w:r>
      <w:r>
        <w:tab/>
      </w:r>
      <w:r>
        <w:tab/>
      </w:r>
      <w:r>
        <w:tab/>
      </w:r>
      <w:r>
        <w:tab/>
      </w:r>
      <w:r>
        <w:tab/>
      </w:r>
      <w:r>
        <w:tab/>
      </w:r>
      <w:r>
        <w:tab/>
        <w:t>36</w:t>
      </w:r>
    </w:p>
    <w:p w:rsidR="00BA7971" w:rsidRDefault="00BA7971" w:rsidP="00194B37">
      <w:pPr>
        <w:spacing w:line="360" w:lineRule="auto"/>
        <w:ind w:firstLine="708"/>
      </w:pPr>
      <w:r>
        <w:t xml:space="preserve">6.4 Conclusie </w:t>
      </w:r>
      <w:r>
        <w:tab/>
      </w:r>
      <w:r>
        <w:tab/>
      </w:r>
      <w:r>
        <w:tab/>
      </w:r>
      <w:r>
        <w:tab/>
      </w:r>
      <w:r>
        <w:tab/>
      </w:r>
      <w:r>
        <w:tab/>
      </w:r>
      <w:r>
        <w:tab/>
      </w:r>
      <w:r>
        <w:tab/>
      </w:r>
      <w:r>
        <w:tab/>
      </w:r>
      <w:r>
        <w:tab/>
        <w:t>37</w:t>
      </w:r>
    </w:p>
    <w:p w:rsidR="00BA7971" w:rsidRDefault="00BA7971" w:rsidP="00194B37">
      <w:pPr>
        <w:spacing w:line="360" w:lineRule="auto"/>
      </w:pPr>
    </w:p>
    <w:p w:rsidR="00BA7971" w:rsidRPr="000C6FF2" w:rsidRDefault="00BA7971" w:rsidP="00194B37">
      <w:pPr>
        <w:spacing w:line="360" w:lineRule="auto"/>
        <w:rPr>
          <w:b/>
        </w:rPr>
      </w:pPr>
      <w:r w:rsidRPr="000C6FF2">
        <w:rPr>
          <w:b/>
        </w:rPr>
        <w:t>7 Samenvatting en conclusie</w:t>
      </w:r>
      <w:r>
        <w:rPr>
          <w:b/>
        </w:rPr>
        <w:tab/>
      </w:r>
      <w:r>
        <w:rPr>
          <w:b/>
        </w:rPr>
        <w:tab/>
      </w:r>
      <w:r>
        <w:rPr>
          <w:b/>
        </w:rPr>
        <w:tab/>
      </w:r>
      <w:r>
        <w:rPr>
          <w:b/>
        </w:rPr>
        <w:tab/>
      </w:r>
      <w:r>
        <w:rPr>
          <w:b/>
        </w:rPr>
        <w:tab/>
      </w:r>
      <w:r>
        <w:rPr>
          <w:b/>
        </w:rPr>
        <w:tab/>
      </w:r>
      <w:r>
        <w:rPr>
          <w:b/>
        </w:rPr>
        <w:tab/>
      </w:r>
      <w:r>
        <w:rPr>
          <w:b/>
        </w:rPr>
        <w:tab/>
        <w:t>39</w:t>
      </w:r>
    </w:p>
    <w:p w:rsidR="00BA7971" w:rsidRDefault="00BA7971" w:rsidP="00194B37">
      <w:pPr>
        <w:spacing w:line="360" w:lineRule="auto"/>
      </w:pPr>
      <w:r>
        <w:tab/>
        <w:t>7.1 Probleemstelling</w:t>
      </w:r>
      <w:r>
        <w:tab/>
      </w:r>
      <w:r>
        <w:tab/>
      </w:r>
      <w:r>
        <w:tab/>
      </w:r>
      <w:r>
        <w:tab/>
      </w:r>
      <w:r>
        <w:tab/>
      </w:r>
      <w:r>
        <w:tab/>
      </w:r>
      <w:r>
        <w:tab/>
      </w:r>
      <w:r>
        <w:tab/>
      </w:r>
      <w:r>
        <w:tab/>
        <w:t>39</w:t>
      </w:r>
    </w:p>
    <w:p w:rsidR="00BA7971" w:rsidRDefault="00BA7971" w:rsidP="00194B37">
      <w:pPr>
        <w:spacing w:line="360" w:lineRule="auto"/>
      </w:pPr>
      <w:r>
        <w:tab/>
        <w:t xml:space="preserve">7.2 Samenvatting en conclusie </w:t>
      </w:r>
      <w:r>
        <w:tab/>
      </w:r>
      <w:r>
        <w:tab/>
      </w:r>
      <w:r>
        <w:tab/>
      </w:r>
      <w:r>
        <w:tab/>
      </w:r>
      <w:r>
        <w:tab/>
      </w:r>
      <w:r>
        <w:tab/>
      </w:r>
      <w:r>
        <w:tab/>
        <w:t>39</w:t>
      </w:r>
    </w:p>
    <w:p w:rsidR="00BA7971" w:rsidRDefault="00BA7971" w:rsidP="00194B37">
      <w:pPr>
        <w:spacing w:line="360" w:lineRule="auto"/>
      </w:pPr>
      <w:r>
        <w:tab/>
        <w:t>7.3 Aanbevelingen</w:t>
      </w:r>
      <w:r>
        <w:tab/>
      </w:r>
      <w:r>
        <w:tab/>
      </w:r>
      <w:r>
        <w:tab/>
      </w:r>
      <w:r>
        <w:tab/>
      </w:r>
      <w:r>
        <w:tab/>
      </w:r>
      <w:r>
        <w:tab/>
      </w:r>
      <w:r>
        <w:tab/>
      </w:r>
      <w:r>
        <w:tab/>
      </w:r>
      <w:r>
        <w:tab/>
        <w:t>40</w:t>
      </w:r>
    </w:p>
    <w:p w:rsidR="00BA7971" w:rsidRDefault="00BA7971" w:rsidP="00194B37">
      <w:pPr>
        <w:spacing w:line="360" w:lineRule="auto"/>
      </w:pPr>
    </w:p>
    <w:p w:rsidR="00BA7971" w:rsidRPr="003A611F" w:rsidRDefault="00BA7971" w:rsidP="00194B37">
      <w:pPr>
        <w:spacing w:line="360" w:lineRule="auto"/>
        <w:rPr>
          <w:b/>
        </w:rPr>
      </w:pPr>
      <w:r w:rsidRPr="003A611F">
        <w:rPr>
          <w:b/>
        </w:rPr>
        <w:t xml:space="preserve">Bronvermelding </w:t>
      </w:r>
      <w:r>
        <w:rPr>
          <w:b/>
        </w:rPr>
        <w:tab/>
      </w:r>
      <w:r>
        <w:rPr>
          <w:b/>
        </w:rPr>
        <w:tab/>
      </w:r>
      <w:r>
        <w:rPr>
          <w:b/>
        </w:rPr>
        <w:tab/>
      </w:r>
      <w:r>
        <w:rPr>
          <w:b/>
        </w:rPr>
        <w:tab/>
      </w:r>
      <w:r>
        <w:rPr>
          <w:b/>
        </w:rPr>
        <w:tab/>
      </w:r>
      <w:r>
        <w:rPr>
          <w:b/>
        </w:rPr>
        <w:tab/>
      </w:r>
      <w:r>
        <w:rPr>
          <w:b/>
        </w:rPr>
        <w:tab/>
      </w:r>
      <w:r>
        <w:rPr>
          <w:b/>
        </w:rPr>
        <w:tab/>
      </w:r>
      <w:r>
        <w:rPr>
          <w:b/>
        </w:rPr>
        <w:tab/>
      </w:r>
      <w:r>
        <w:rPr>
          <w:b/>
        </w:rPr>
        <w:tab/>
        <w:t>43</w:t>
      </w:r>
      <w:r>
        <w:rPr>
          <w:b/>
        </w:rPr>
        <w:tab/>
      </w:r>
      <w:r>
        <w:rPr>
          <w:b/>
        </w:rPr>
        <w:tab/>
      </w:r>
      <w:r>
        <w:rPr>
          <w:b/>
        </w:rPr>
        <w:tab/>
      </w:r>
      <w:r>
        <w:rPr>
          <w:b/>
        </w:rPr>
        <w:tab/>
      </w:r>
      <w:r>
        <w:rPr>
          <w:b/>
        </w:rPr>
        <w:tab/>
      </w:r>
      <w:r>
        <w:rPr>
          <w:b/>
        </w:rPr>
        <w:tab/>
      </w:r>
    </w:p>
    <w:p w:rsidR="00BA7971" w:rsidRDefault="00BA7971" w:rsidP="00194B37">
      <w:pPr>
        <w:spacing w:line="360" w:lineRule="auto"/>
        <w:rPr>
          <w:u w:val="single"/>
        </w:rPr>
      </w:pPr>
    </w:p>
    <w:p w:rsidR="00BA7971" w:rsidRDefault="00BA7971" w:rsidP="00194B37">
      <w:pPr>
        <w:spacing w:line="360" w:lineRule="auto"/>
      </w:pPr>
    </w:p>
    <w:p w:rsidR="00BA7971" w:rsidRDefault="00BA7971">
      <w:pPr>
        <w:widowControl/>
        <w:suppressAutoHyphens w:val="0"/>
        <w:spacing w:after="200" w:line="276" w:lineRule="auto"/>
        <w:rPr>
          <w:b/>
          <w:bCs/>
          <w:sz w:val="28"/>
          <w:szCs w:val="28"/>
        </w:rPr>
      </w:pPr>
    </w:p>
    <w:p w:rsidR="00BA7971" w:rsidRPr="00AA54F7" w:rsidRDefault="00BA7971" w:rsidP="007F3DDF">
      <w:pPr>
        <w:widowControl/>
        <w:suppressAutoHyphens w:val="0"/>
        <w:spacing w:after="200" w:line="276" w:lineRule="auto"/>
        <w:jc w:val="right"/>
        <w:rPr>
          <w:b/>
          <w:bCs/>
          <w:i/>
          <w:sz w:val="22"/>
          <w:szCs w:val="22"/>
        </w:rPr>
      </w:pPr>
      <w:r>
        <w:rPr>
          <w:b/>
          <w:bCs/>
          <w:sz w:val="28"/>
          <w:szCs w:val="28"/>
        </w:rPr>
        <w:br w:type="page"/>
      </w:r>
      <w:r w:rsidRPr="00AA54F7">
        <w:rPr>
          <w:b/>
          <w:bCs/>
          <w:i/>
          <w:sz w:val="22"/>
          <w:szCs w:val="22"/>
        </w:rPr>
        <w:t>Hoofdstuk 1: Inleiding</w:t>
      </w:r>
    </w:p>
    <w:p w:rsidR="00BA7971" w:rsidRDefault="00BA7971" w:rsidP="00C06A63">
      <w:pPr>
        <w:pBdr>
          <w:top w:val="single" w:sz="4" w:space="1" w:color="auto"/>
        </w:pBdr>
        <w:jc w:val="center"/>
        <w:rPr>
          <w:b/>
          <w:bCs/>
          <w:sz w:val="28"/>
          <w:szCs w:val="28"/>
        </w:rPr>
      </w:pPr>
    </w:p>
    <w:p w:rsidR="00BA7971" w:rsidRDefault="00BA7971" w:rsidP="00C06A63">
      <w:pPr>
        <w:jc w:val="center"/>
        <w:rPr>
          <w:b/>
          <w:bCs/>
          <w:sz w:val="28"/>
          <w:szCs w:val="28"/>
        </w:rPr>
      </w:pPr>
      <w:r>
        <w:rPr>
          <w:b/>
          <w:bCs/>
          <w:sz w:val="28"/>
          <w:szCs w:val="28"/>
        </w:rPr>
        <w:t>Hoofdstuk 1</w:t>
      </w:r>
    </w:p>
    <w:p w:rsidR="00BA7971" w:rsidRDefault="00BA7971" w:rsidP="00C06A63">
      <w:pPr>
        <w:jc w:val="center"/>
        <w:rPr>
          <w:b/>
          <w:bCs/>
          <w:sz w:val="28"/>
          <w:szCs w:val="28"/>
        </w:rPr>
      </w:pPr>
      <w:r>
        <w:rPr>
          <w:b/>
          <w:bCs/>
          <w:sz w:val="28"/>
          <w:szCs w:val="28"/>
        </w:rPr>
        <w:t>INLEIDING</w:t>
      </w:r>
    </w:p>
    <w:p w:rsidR="00BA7971" w:rsidRDefault="00BA7971" w:rsidP="00D73D49">
      <w:pPr>
        <w:spacing w:line="360" w:lineRule="auto"/>
        <w:rPr>
          <w:b/>
          <w:bCs/>
        </w:rPr>
      </w:pPr>
    </w:p>
    <w:p w:rsidR="00BA7971" w:rsidRDefault="00BA7971" w:rsidP="00D73D49">
      <w:pPr>
        <w:numPr>
          <w:ilvl w:val="1"/>
          <w:numId w:val="1"/>
        </w:numPr>
        <w:spacing w:line="360" w:lineRule="auto"/>
        <w:rPr>
          <w:b/>
          <w:bCs/>
        </w:rPr>
      </w:pPr>
      <w:r>
        <w:rPr>
          <w:b/>
          <w:bCs/>
        </w:rPr>
        <w:t>Algemene inleiding</w:t>
      </w:r>
    </w:p>
    <w:p w:rsidR="00BA7971" w:rsidRDefault="00BA7971" w:rsidP="00D73D49">
      <w:pPr>
        <w:spacing w:line="360" w:lineRule="auto"/>
        <w:ind w:hanging="17"/>
      </w:pPr>
      <w:r>
        <w:t>De vennootschapsbelasting wordt geheven op grond van de Wet op de vennootschapsbelasting 1969 ( hierna: Wet Vpb 1969</w:t>
      </w:r>
      <w:r>
        <w:rPr>
          <w:color w:val="000000"/>
        </w:rPr>
        <w:t xml:space="preserve"> </w:t>
      </w:r>
      <w:r>
        <w:t>). Het betreft een directe belasting geheven van de jaarlijkse winsten van lichamen verminderd met de nog te verrekenen verliezen (artikel 7, lid 2 Wet Vpb 1969). D</w:t>
      </w:r>
      <w:r w:rsidRPr="00E00600">
        <w:t xml:space="preserve">e belastingplichtigen zijn </w:t>
      </w:r>
      <w:r>
        <w:t>lichamen, meer specifiek rechtspersonen en andere rechtsentiteiten die in artikel 2 en 3 Wet Vpb 1969</w:t>
      </w:r>
      <w:r w:rsidRPr="00562B6D">
        <w:t xml:space="preserve"> </w:t>
      </w:r>
      <w:r>
        <w:t>worden opgesomd</w:t>
      </w:r>
      <w:r>
        <w:rPr>
          <w:rStyle w:val="FootnoteReference"/>
        </w:rPr>
        <w:footnoteReference w:id="1"/>
      </w:r>
      <w:r>
        <w:t>. Behoudens een aantal aanvullende regels, opgenomen in afdeling 2.2 van de Wet Vpb 1969, wordt de totale winst voor de vennootschapsbelasting volgens dezelfde regels inzake winstbepaling die gelden voor de inkomstenbelasting</w:t>
      </w:r>
      <w:r w:rsidRPr="00844C01">
        <w:t xml:space="preserve"> </w:t>
      </w:r>
      <w:r>
        <w:t>bepaald</w:t>
      </w:r>
      <w:r>
        <w:rPr>
          <w:rStyle w:val="FootnoteReference"/>
        </w:rPr>
        <w:footnoteReference w:id="2"/>
      </w:r>
      <w:r>
        <w:t>. Op de winst komen in mindering de op zakelijke wijze bepaalde uitgaven die als vergoeding gelden voor prestaties jegens het lichaam. Winstuitdelingen aan aandeelhouders zijn daarvan echter uitgesloten</w:t>
      </w:r>
      <w:r>
        <w:rPr>
          <w:rStyle w:val="FootnoteReference"/>
        </w:rPr>
        <w:footnoteReference w:id="3"/>
      </w:r>
      <w:r>
        <w:t xml:space="preserve">. </w:t>
      </w:r>
    </w:p>
    <w:p w:rsidR="00BA7971" w:rsidRDefault="00BA7971" w:rsidP="00D73D49">
      <w:pPr>
        <w:spacing w:line="360" w:lineRule="auto"/>
        <w:ind w:hanging="17"/>
      </w:pPr>
      <w:r>
        <w:t xml:space="preserve">Rente ter zake van geldleningen zijn in beginsel aftrekbaar </w:t>
      </w:r>
      <w:r w:rsidRPr="00C34B9E">
        <w:t xml:space="preserve">(artikel </w:t>
      </w:r>
      <w:r>
        <w:t>8 Wet Vpb 1969 juncto artikel 3.8 Wet IB 2001</w:t>
      </w:r>
      <w:r w:rsidRPr="00C34B9E">
        <w:t>)</w:t>
      </w:r>
      <w:r>
        <w:t>. Niettemin legt de wet onder bepaalde omstandigheden ter voorkoming van misbruik een beperking op de aftrek van dergelijke rente</w:t>
      </w:r>
      <w:r>
        <w:rPr>
          <w:rStyle w:val="FootnoteReference"/>
        </w:rPr>
        <w:footnoteReference w:id="4"/>
      </w:r>
      <w:r>
        <w:t xml:space="preserve">. </w:t>
      </w:r>
    </w:p>
    <w:p w:rsidR="00BA7971" w:rsidRDefault="00BA7971"/>
    <w:p w:rsidR="00BA7971" w:rsidRDefault="00BA7971" w:rsidP="00C80A33">
      <w:pPr>
        <w:numPr>
          <w:ilvl w:val="1"/>
          <w:numId w:val="1"/>
        </w:numPr>
        <w:spacing w:line="360" w:lineRule="auto"/>
        <w:rPr>
          <w:b/>
          <w:bCs/>
        </w:rPr>
      </w:pPr>
      <w:r>
        <w:rPr>
          <w:b/>
          <w:bCs/>
        </w:rPr>
        <w:t xml:space="preserve">Probleem- en doelstelling </w:t>
      </w:r>
    </w:p>
    <w:p w:rsidR="00BA7971" w:rsidRDefault="00BA7971" w:rsidP="003B7AB2">
      <w:pPr>
        <w:spacing w:line="360" w:lineRule="auto"/>
        <w:ind w:left="15"/>
        <w:rPr>
          <w:color w:val="000000"/>
        </w:rPr>
      </w:pPr>
      <w:r>
        <w:t>In het verleden zijn er verschillende door rechtspersonen uitgevoerde constructies geweest om rente in aftrek te krijgen. Het waren gekunstelde constructies waarbij onder andere</w:t>
      </w:r>
      <w:r>
        <w:rPr>
          <w:rStyle w:val="FootnoteReference"/>
        </w:rPr>
        <w:footnoteReference w:id="5"/>
      </w:r>
      <w:r>
        <w:t xml:space="preserve"> sprake was van uitholling van de belastinggrondslag (ook bekend als winstdrainage</w:t>
      </w:r>
      <w:r>
        <w:rPr>
          <w:rStyle w:val="FootnoteReference"/>
          <w:color w:val="000000"/>
        </w:rPr>
        <w:footnoteReference w:id="6"/>
      </w:r>
      <w:r>
        <w:t xml:space="preserve">). Ten aanzien van deze constructies was het de vraag was of ze in overeenstemming waren met de wet. De fiscus heeft daarop het leerstuk van fraus legis in stelling gebracht. Reden daarvoor was </w:t>
      </w:r>
      <w:r w:rsidRPr="008879C2">
        <w:t>de strijdigheid met doel en strekking van de</w:t>
      </w:r>
      <w:r>
        <w:t xml:space="preserve"> fiscale wetgeving</w:t>
      </w:r>
      <w:r w:rsidRPr="008879C2">
        <w:t xml:space="preserve"> en </w:t>
      </w:r>
      <w:r>
        <w:t>de verijdeling van belastingheffing als doorslaggevend motief</w:t>
      </w:r>
      <w:r w:rsidRPr="008879C2">
        <w:t>.</w:t>
      </w:r>
      <w:r>
        <w:rPr>
          <w:color w:val="000000"/>
        </w:rPr>
        <w:t xml:space="preserve"> </w:t>
      </w:r>
    </w:p>
    <w:p w:rsidR="00BA7971" w:rsidRDefault="00BA7971" w:rsidP="003B7AB2">
      <w:pPr>
        <w:spacing w:line="360" w:lineRule="auto"/>
        <w:ind w:left="15" w:firstLine="693"/>
        <w:rPr>
          <w:color w:val="000000"/>
        </w:rPr>
      </w:pPr>
      <w:r>
        <w:rPr>
          <w:color w:val="000000"/>
        </w:rPr>
        <w:t xml:space="preserve">Het leerstuk van fraus legis (ook bekend als leerstuk van wetsontduiking) is in de </w:t>
      </w:r>
    </w:p>
    <w:p w:rsidR="00BA7971" w:rsidRDefault="00BA7971" w:rsidP="00AA54F7">
      <w:pPr>
        <w:spacing w:line="360" w:lineRule="auto"/>
        <w:ind w:left="15"/>
        <w:jc w:val="right"/>
        <w:rPr>
          <w:b/>
          <w:i/>
          <w:color w:val="000000"/>
          <w:sz w:val="22"/>
          <w:szCs w:val="22"/>
        </w:rPr>
      </w:pPr>
    </w:p>
    <w:p w:rsidR="00BA7971" w:rsidRPr="00AA54F7" w:rsidRDefault="00BA7971" w:rsidP="00AA54F7">
      <w:pPr>
        <w:spacing w:line="360" w:lineRule="auto"/>
        <w:ind w:left="15"/>
        <w:jc w:val="right"/>
        <w:rPr>
          <w:b/>
          <w:i/>
          <w:color w:val="000000"/>
          <w:sz w:val="22"/>
          <w:szCs w:val="22"/>
        </w:rPr>
      </w:pPr>
      <w:r w:rsidRPr="00AA54F7">
        <w:rPr>
          <w:b/>
          <w:i/>
          <w:color w:val="000000"/>
          <w:sz w:val="22"/>
          <w:szCs w:val="22"/>
        </w:rPr>
        <w:t>Hoofdstuk 1: Inleiding</w:t>
      </w:r>
    </w:p>
    <w:p w:rsidR="00BA7971" w:rsidRDefault="00BA7971" w:rsidP="00AA54F7">
      <w:pPr>
        <w:pBdr>
          <w:top w:val="single" w:sz="4" w:space="1" w:color="auto"/>
        </w:pBdr>
        <w:spacing w:line="360" w:lineRule="auto"/>
        <w:ind w:left="15"/>
        <w:rPr>
          <w:color w:val="000000"/>
        </w:rPr>
      </w:pPr>
    </w:p>
    <w:p w:rsidR="00BA7971" w:rsidRDefault="00BA7971" w:rsidP="00AA54F7">
      <w:pPr>
        <w:spacing w:line="360" w:lineRule="auto"/>
        <w:ind w:left="15"/>
        <w:rPr>
          <w:color w:val="000000"/>
        </w:rPr>
      </w:pPr>
      <w:r>
        <w:rPr>
          <w:color w:val="000000"/>
        </w:rPr>
        <w:t xml:space="preserve">jurisprudentie ontwikkeld. Met betrekking tot renteaftrek waarbij winstdrainage sprake is, is het </w:t>
      </w:r>
      <w:r w:rsidRPr="00EB111E">
        <w:rPr>
          <w:i/>
          <w:color w:val="000000"/>
        </w:rPr>
        <w:t>Bovag-arrest</w:t>
      </w:r>
      <w:r>
        <w:rPr>
          <w:rStyle w:val="FootnoteReference"/>
          <w:color w:val="000000"/>
        </w:rPr>
        <w:footnoteReference w:id="7"/>
      </w:r>
      <w:r>
        <w:rPr>
          <w:color w:val="000000"/>
        </w:rPr>
        <w:t xml:space="preserve">een belangrijke uitspraak geweest. Fraus legis werd in dit arrest door de Hoge Raad aanwezig geacht. De uitgevoerde rechtshandeling zou niet verenigbaar met doel en strekking van de wet zijn indien de rente toevloeit aan een lichaam dat niet (of nauwelijks) aan de heffing van enige belasting van zijn winst of inkomsten is onderworpen. Mede doordat er steeds meer gekunstelde constructies ontstonden en de wetgever niet in elk geval van de rechter de mogelijkheid kreeg om via fraus legis of richtige heffing alsnog te belasten werd de wetgever gedwongen om een antimisbruikbepaling in de wet op te nemen, ter bestrijding van de winstdrainage. </w:t>
      </w:r>
    </w:p>
    <w:p w:rsidR="00BA7971" w:rsidRDefault="00BA7971" w:rsidP="003B7AB2">
      <w:pPr>
        <w:spacing w:line="360" w:lineRule="auto"/>
        <w:ind w:left="15" w:firstLine="693"/>
        <w:rPr>
          <w:b/>
          <w:i/>
          <w:color w:val="000000"/>
        </w:rPr>
      </w:pPr>
      <w:r>
        <w:rPr>
          <w:color w:val="000000"/>
        </w:rPr>
        <w:t>Per 26 december 1996</w:t>
      </w:r>
      <w:r>
        <w:rPr>
          <w:rStyle w:val="FootnoteReference"/>
          <w:color w:val="000000"/>
        </w:rPr>
        <w:footnoteReference w:id="8"/>
      </w:r>
      <w:r>
        <w:rPr>
          <w:color w:val="000000"/>
        </w:rPr>
        <w:t xml:space="preserve"> werd daarom de rechtspraak met betrekking tot winstdrainage gecodificeerd in artikel 10a Wet </w:t>
      </w:r>
      <w:r>
        <w:t xml:space="preserve">Vpb 1969. </w:t>
      </w:r>
      <w:r>
        <w:rPr>
          <w:color w:val="000000"/>
        </w:rPr>
        <w:t xml:space="preserve">Echter, uit de praktijk is bekend dat de introductie van een wettelijke bepaling niet altijd leidt tot een volledige oplossing van een heersend probleem in de fiscaliteit. Dit leidt mij naar de onderzoeksvraag: </w:t>
      </w:r>
    </w:p>
    <w:p w:rsidR="00BA7971" w:rsidRDefault="00BA7971" w:rsidP="003B7AB2">
      <w:pPr>
        <w:spacing w:line="360" w:lineRule="auto"/>
        <w:ind w:left="15"/>
        <w:rPr>
          <w:b/>
          <w:i/>
          <w:color w:val="000000"/>
        </w:rPr>
      </w:pPr>
      <w:r w:rsidRPr="00BC6493">
        <w:rPr>
          <w:b/>
          <w:i/>
          <w:color w:val="000000"/>
        </w:rPr>
        <w:t>Is er nog ruimte voor</w:t>
      </w:r>
      <w:r>
        <w:rPr>
          <w:b/>
          <w:i/>
          <w:color w:val="000000"/>
        </w:rPr>
        <w:t xml:space="preserve"> </w:t>
      </w:r>
      <w:r w:rsidRPr="00C53BAC">
        <w:rPr>
          <w:b/>
          <w:i/>
        </w:rPr>
        <w:t>het stellen van het leerstuk van fraus legis, met betrekking tot winstdrainage, naast het</w:t>
      </w:r>
      <w:r w:rsidRPr="00BC6493">
        <w:rPr>
          <w:b/>
          <w:i/>
          <w:color w:val="000000"/>
        </w:rPr>
        <w:t xml:space="preserve"> bestaan van artikel 10a Wet </w:t>
      </w:r>
      <w:r w:rsidRPr="004F3EE5">
        <w:rPr>
          <w:b/>
          <w:i/>
        </w:rPr>
        <w:t>Vpb 1969</w:t>
      </w:r>
      <w:r w:rsidRPr="00BC6493">
        <w:rPr>
          <w:b/>
          <w:i/>
          <w:color w:val="000000"/>
        </w:rPr>
        <w:t>?</w:t>
      </w:r>
    </w:p>
    <w:p w:rsidR="00BA7971" w:rsidRDefault="00BA7971" w:rsidP="00DD6D0D">
      <w:pPr>
        <w:spacing w:line="360" w:lineRule="auto"/>
        <w:ind w:left="15"/>
        <w:rPr>
          <w:color w:val="000000"/>
        </w:rPr>
      </w:pPr>
    </w:p>
    <w:p w:rsidR="00BA7971" w:rsidRDefault="00BA7971" w:rsidP="00DD6D0D">
      <w:pPr>
        <w:spacing w:line="360" w:lineRule="auto"/>
        <w:ind w:left="15"/>
        <w:rPr>
          <w:color w:val="000000"/>
        </w:rPr>
      </w:pPr>
      <w:r>
        <w:rPr>
          <w:color w:val="000000"/>
        </w:rPr>
        <w:t xml:space="preserve">Doelstelling van het onderzoek is vaststellen of de wettelijke bepaling alle situaties afdekt en indien dit niet geval is of er de mogelijkheid bestaat om een beroep te doen op het leerstuk van fraus legis ter beperking of uitsluiting van renteaftrek. Tot slot zal een aanbeveling worden gegeven voor een mogelijke aanpassing van de wet. </w:t>
      </w:r>
    </w:p>
    <w:p w:rsidR="00BA7971" w:rsidRDefault="00BA7971"/>
    <w:p w:rsidR="00BA7971" w:rsidRDefault="00BA7971"/>
    <w:p w:rsidR="00BA7971" w:rsidRPr="0037279E" w:rsidRDefault="00BA7971" w:rsidP="00D33AEC">
      <w:pPr>
        <w:spacing w:line="360" w:lineRule="auto"/>
        <w:rPr>
          <w:b/>
        </w:rPr>
      </w:pPr>
      <w:r w:rsidRPr="0037279E">
        <w:rPr>
          <w:b/>
        </w:rPr>
        <w:t>1.3 Opzet onderzoek</w:t>
      </w:r>
    </w:p>
    <w:p w:rsidR="00BA7971" w:rsidRDefault="00BA7971" w:rsidP="00EB7333">
      <w:pPr>
        <w:spacing w:line="360" w:lineRule="auto"/>
      </w:pPr>
      <w:r w:rsidRPr="00E91314">
        <w:t xml:space="preserve">De onderzoeksvraag zal aan de hand van een aantal deelvragen </w:t>
      </w:r>
      <w:r>
        <w:t>beantwoord</w:t>
      </w:r>
      <w:r w:rsidRPr="00E91314">
        <w:t xml:space="preserve"> worden</w:t>
      </w:r>
      <w:r>
        <w:t xml:space="preserve"> die elk in een hoofdstuk worden behandeld.</w:t>
      </w:r>
      <w:r w:rsidRPr="00E91314">
        <w:t xml:space="preserve"> </w:t>
      </w:r>
      <w:r>
        <w:t xml:space="preserve">De hoofdstukopbouw is als volgt: </w:t>
      </w:r>
    </w:p>
    <w:p w:rsidR="00BA7971" w:rsidRDefault="00BA7971" w:rsidP="00647A8A">
      <w:pPr>
        <w:spacing w:line="360" w:lineRule="auto"/>
        <w:ind w:left="142" w:hanging="142"/>
      </w:pPr>
      <w:r>
        <w:t>Hoofdstuk 2: Wat houdt winstdrainage in en wat zijn de kernstructuren die daaronder vallen?</w:t>
      </w:r>
    </w:p>
    <w:p w:rsidR="00BA7971" w:rsidRDefault="00BA7971" w:rsidP="00647A8A">
      <w:pPr>
        <w:spacing w:line="360" w:lineRule="auto"/>
        <w:ind w:left="142" w:hanging="142"/>
        <w:rPr>
          <w:color w:val="000000"/>
        </w:rPr>
      </w:pPr>
      <w:r>
        <w:rPr>
          <w:color w:val="000000"/>
        </w:rPr>
        <w:t xml:space="preserve">Hoofdstuk 3: </w:t>
      </w:r>
      <w:r>
        <w:t>Wat houdt het leerstuk van fraus legis in en wat zijn de specifieke kenmerken?</w:t>
      </w:r>
    </w:p>
    <w:p w:rsidR="00BA7971" w:rsidRDefault="00BA7971" w:rsidP="00647A8A">
      <w:pPr>
        <w:spacing w:line="360" w:lineRule="auto"/>
        <w:ind w:left="142" w:hanging="142"/>
        <w:rPr>
          <w:color w:val="000000"/>
        </w:rPr>
      </w:pPr>
      <w:r>
        <w:rPr>
          <w:color w:val="000000"/>
        </w:rPr>
        <w:t>Hoofdstuk 4: W</w:t>
      </w:r>
      <w:r>
        <w:t>at was de reden voor codificatie van de rechtspraak met betrekking tot winstdrainage in artikel 10a Wet Vpb 1969?</w:t>
      </w:r>
    </w:p>
    <w:p w:rsidR="00BA7971" w:rsidRDefault="00BA7971" w:rsidP="00647A8A">
      <w:pPr>
        <w:spacing w:line="360" w:lineRule="auto"/>
        <w:ind w:left="142" w:hanging="142"/>
      </w:pPr>
      <w:r>
        <w:rPr>
          <w:color w:val="000000"/>
        </w:rPr>
        <w:t xml:space="preserve">Hoofdstuk 5: Hoe werkt artikel 10a Wet </w:t>
      </w:r>
      <w:r>
        <w:t>Vpb 1969</w:t>
      </w:r>
      <w:r>
        <w:rPr>
          <w:color w:val="000000"/>
        </w:rPr>
        <w:t xml:space="preserve"> uit en </w:t>
      </w:r>
      <w:r w:rsidRPr="00066FAF">
        <w:t xml:space="preserve">wat zijn de belangrijkste ontwikkelingen op het terrein van fraus legis, met betrekking tot </w:t>
      </w:r>
      <w:r w:rsidRPr="00DB7B42">
        <w:t>winstdrainage</w:t>
      </w:r>
      <w:r>
        <w:t>,</w:t>
      </w:r>
      <w:r w:rsidRPr="00066FAF">
        <w:t xml:space="preserve"> sinds het </w:t>
      </w:r>
    </w:p>
    <w:p w:rsidR="00BA7971" w:rsidRPr="00AA54F7" w:rsidRDefault="00BA7971" w:rsidP="00AA54F7">
      <w:pPr>
        <w:spacing w:line="360" w:lineRule="auto"/>
        <w:ind w:left="142" w:hanging="142"/>
        <w:jc w:val="right"/>
        <w:rPr>
          <w:b/>
          <w:i/>
        </w:rPr>
      </w:pPr>
      <w:r w:rsidRPr="00AA54F7">
        <w:rPr>
          <w:b/>
          <w:i/>
        </w:rPr>
        <w:t>Hoofdstuk 1: Inleiding</w:t>
      </w:r>
    </w:p>
    <w:p w:rsidR="00BA7971" w:rsidRDefault="00BA7971" w:rsidP="00AA54F7">
      <w:pPr>
        <w:pBdr>
          <w:top w:val="single" w:sz="4" w:space="1" w:color="auto"/>
        </w:pBdr>
        <w:spacing w:line="360" w:lineRule="auto"/>
        <w:ind w:left="142" w:hanging="142"/>
      </w:pPr>
    </w:p>
    <w:p w:rsidR="00BA7971" w:rsidRPr="003B7AB2" w:rsidRDefault="00BA7971" w:rsidP="00647A8A">
      <w:pPr>
        <w:spacing w:line="360" w:lineRule="auto"/>
        <w:ind w:left="142" w:hanging="142"/>
        <w:rPr>
          <w:color w:val="FF0000"/>
        </w:rPr>
      </w:pPr>
      <w:r w:rsidRPr="00066FAF">
        <w:t>bestaan van dit artikel?</w:t>
      </w:r>
    </w:p>
    <w:p w:rsidR="00BA7971" w:rsidRDefault="00BA7971" w:rsidP="00647A8A">
      <w:pPr>
        <w:spacing w:line="360" w:lineRule="auto"/>
        <w:ind w:left="142" w:hanging="142"/>
        <w:rPr>
          <w:color w:val="000000"/>
        </w:rPr>
      </w:pPr>
      <w:r>
        <w:rPr>
          <w:color w:val="000000"/>
        </w:rPr>
        <w:t xml:space="preserve">Hoofdstuk 6: De hoofdvraag zal in dit hoofdstuk worden uitgewerkt. </w:t>
      </w:r>
    </w:p>
    <w:p w:rsidR="00BA7971" w:rsidRDefault="00BA7971" w:rsidP="00647A8A">
      <w:pPr>
        <w:spacing w:line="360" w:lineRule="auto"/>
        <w:ind w:left="142" w:hanging="142"/>
        <w:rPr>
          <w:color w:val="000000"/>
        </w:rPr>
      </w:pPr>
      <w:r>
        <w:rPr>
          <w:color w:val="000000"/>
        </w:rPr>
        <w:t>Hoofdstuk 7: Dit hoofdstuk bevat eventuele conclusies en aanbevelingen.</w:t>
      </w:r>
    </w:p>
    <w:p w:rsidR="00BA7971" w:rsidRPr="00402470" w:rsidRDefault="00BA7971" w:rsidP="007F3DDF">
      <w:pPr>
        <w:widowControl/>
        <w:suppressAutoHyphens w:val="0"/>
        <w:spacing w:after="200" w:line="276" w:lineRule="auto"/>
        <w:jc w:val="right"/>
        <w:rPr>
          <w:b/>
          <w:i/>
          <w:sz w:val="22"/>
          <w:szCs w:val="22"/>
        </w:rPr>
      </w:pPr>
      <w:r>
        <w:rPr>
          <w:b/>
          <w:sz w:val="28"/>
          <w:szCs w:val="28"/>
        </w:rPr>
        <w:br w:type="page"/>
      </w:r>
      <w:r w:rsidRPr="00402470">
        <w:rPr>
          <w:b/>
          <w:i/>
          <w:sz w:val="22"/>
          <w:szCs w:val="22"/>
        </w:rPr>
        <w:t>Hoofdstuk 2: Winstdrainage</w:t>
      </w:r>
    </w:p>
    <w:p w:rsidR="00BA7971" w:rsidRDefault="00BA7971" w:rsidP="00402470">
      <w:pPr>
        <w:pBdr>
          <w:top w:val="single" w:sz="4" w:space="1" w:color="auto"/>
        </w:pBdr>
        <w:spacing w:line="360" w:lineRule="auto"/>
        <w:jc w:val="center"/>
        <w:rPr>
          <w:b/>
          <w:sz w:val="28"/>
          <w:szCs w:val="28"/>
        </w:rPr>
      </w:pPr>
    </w:p>
    <w:p w:rsidR="00BA7971" w:rsidRPr="00725A73" w:rsidRDefault="00BA7971" w:rsidP="00902B38">
      <w:pPr>
        <w:spacing w:line="360" w:lineRule="auto"/>
        <w:jc w:val="center"/>
        <w:rPr>
          <w:b/>
          <w:sz w:val="28"/>
          <w:szCs w:val="28"/>
        </w:rPr>
      </w:pPr>
      <w:r w:rsidRPr="00725A73">
        <w:rPr>
          <w:b/>
          <w:sz w:val="28"/>
          <w:szCs w:val="28"/>
        </w:rPr>
        <w:t>Hoofdstuk 2</w:t>
      </w:r>
    </w:p>
    <w:p w:rsidR="00BA7971" w:rsidRPr="00725A73" w:rsidRDefault="00BA7971" w:rsidP="00902B38">
      <w:pPr>
        <w:spacing w:line="360" w:lineRule="auto"/>
        <w:jc w:val="center"/>
        <w:rPr>
          <w:b/>
          <w:sz w:val="28"/>
          <w:szCs w:val="28"/>
        </w:rPr>
      </w:pPr>
      <w:r w:rsidRPr="00725A73">
        <w:rPr>
          <w:b/>
          <w:sz w:val="28"/>
          <w:szCs w:val="28"/>
        </w:rPr>
        <w:t>WINSTDRAINAGE</w:t>
      </w:r>
    </w:p>
    <w:p w:rsidR="00BA7971" w:rsidRPr="00902B38" w:rsidRDefault="00BA7971" w:rsidP="00B713A3">
      <w:pPr>
        <w:spacing w:line="360" w:lineRule="auto"/>
      </w:pPr>
    </w:p>
    <w:p w:rsidR="00BA7971" w:rsidRPr="00D135C4" w:rsidRDefault="00BA7971" w:rsidP="00B713A3">
      <w:pPr>
        <w:spacing w:line="360" w:lineRule="auto"/>
        <w:rPr>
          <w:b/>
        </w:rPr>
      </w:pPr>
      <w:r w:rsidRPr="00D135C4">
        <w:rPr>
          <w:b/>
        </w:rPr>
        <w:t>2.1 Inleiding</w:t>
      </w:r>
    </w:p>
    <w:p w:rsidR="00BA7971" w:rsidRDefault="00BA7971" w:rsidP="00B713A3">
      <w:pPr>
        <w:spacing w:line="360" w:lineRule="auto"/>
      </w:pPr>
      <w:r>
        <w:t>Er zijn twee financieringsvormen, namelijk financiering uit</w:t>
      </w:r>
      <w:r w:rsidRPr="004D5646">
        <w:t xml:space="preserve"> eigen vermogen </w:t>
      </w:r>
      <w:r>
        <w:t>en financiering door</w:t>
      </w:r>
      <w:r w:rsidRPr="004D5646">
        <w:t xml:space="preserve"> vreemd vermogen</w:t>
      </w:r>
      <w:r>
        <w:t xml:space="preserve"> aan te trekken</w:t>
      </w:r>
      <w:r w:rsidRPr="004D5646">
        <w:t>.</w:t>
      </w:r>
      <w:r>
        <w:t xml:space="preserve"> Het verschil in de fiscale behandeling tussen beide financieringsmethodes is van belang. </w:t>
      </w:r>
      <w:r w:rsidRPr="00CD2F83">
        <w:t>Dit verschil is het kernpunt voor de renteaftrek problematiek</w:t>
      </w:r>
      <w:r>
        <w:t xml:space="preserve"> in de fiscaliteit. Verschuldigde rente van leningen die onder zodanige voorwaarden zijn aangegaan dat deze feitelijk functioneren als eigen vermogen van de belastingplichtige, zoals een hybride lening, is niet aftrekbaar</w:t>
      </w:r>
      <w:r>
        <w:rPr>
          <w:rStyle w:val="FootnoteReference"/>
        </w:rPr>
        <w:footnoteReference w:id="9"/>
      </w:r>
      <w:r>
        <w:t>. Daartegenover is rente op leningen die niet als zodanig worden aangemerkt, wel aftrekbaar</w:t>
      </w:r>
      <w:r>
        <w:rPr>
          <w:rStyle w:val="FootnoteReference"/>
        </w:rPr>
        <w:footnoteReference w:id="10"/>
      </w:r>
      <w:r>
        <w:t>. Het is mijns inziens logisch dat belastingplichtigen de voorkeur geven aan uit vreemd vermogen gefinancierde leningen. Indien dergelijke financiering niet mogelijk was, werd in het verleden getracht dit op een gekunstelde manier te bereiken. Deze gekunstelde constructies hadden onder ander de uitholling van de Nederlandse belastinggrondslag</w:t>
      </w:r>
      <w:r>
        <w:rPr>
          <w:rStyle w:val="FootnoteReference"/>
        </w:rPr>
        <w:footnoteReference w:id="11"/>
      </w:r>
      <w:r>
        <w:t xml:space="preserve"> tot gevolg. Dit fenomeen staat ook bekend als winstdrainage. In dit hoofdstuk zal in het vervolg daaraan aandacht besteden worden. Tevens zullen de kernstructuren van winstdrainage worden uitgewerkt. De deelvraag hierbij luidt: </w:t>
      </w:r>
    </w:p>
    <w:p w:rsidR="00BA7971" w:rsidRPr="00ED71C8" w:rsidRDefault="00BA7971" w:rsidP="00B713A3">
      <w:pPr>
        <w:spacing w:line="360" w:lineRule="auto"/>
        <w:rPr>
          <w:b/>
          <w:i/>
        </w:rPr>
      </w:pPr>
      <w:r w:rsidRPr="00ED71C8">
        <w:rPr>
          <w:b/>
          <w:i/>
        </w:rPr>
        <w:t>Wat houdt winstdrainage in en w</w:t>
      </w:r>
      <w:r>
        <w:rPr>
          <w:b/>
          <w:i/>
        </w:rPr>
        <w:t>at</w:t>
      </w:r>
      <w:r w:rsidRPr="00ED71C8">
        <w:rPr>
          <w:b/>
          <w:i/>
        </w:rPr>
        <w:t xml:space="preserve"> zijn de kernstructuren die daaronder vallen? </w:t>
      </w:r>
    </w:p>
    <w:p w:rsidR="00BA7971" w:rsidRDefault="00BA7971" w:rsidP="00B713A3">
      <w:pPr>
        <w:spacing w:line="360" w:lineRule="auto"/>
      </w:pPr>
    </w:p>
    <w:p w:rsidR="00BA7971" w:rsidRPr="00494CCE" w:rsidRDefault="00BA7971" w:rsidP="00B713A3">
      <w:pPr>
        <w:spacing w:line="360" w:lineRule="auto"/>
        <w:rPr>
          <w:b/>
        </w:rPr>
      </w:pPr>
      <w:r w:rsidRPr="00494CCE">
        <w:rPr>
          <w:b/>
        </w:rPr>
        <w:t xml:space="preserve">2.2 </w:t>
      </w:r>
      <w:r>
        <w:rPr>
          <w:b/>
        </w:rPr>
        <w:t>Beschrijving</w:t>
      </w:r>
      <w:r w:rsidRPr="00494CCE">
        <w:rPr>
          <w:b/>
        </w:rPr>
        <w:t xml:space="preserve"> van winstdrainage</w:t>
      </w:r>
    </w:p>
    <w:p w:rsidR="00BA7971" w:rsidRDefault="00BA7971" w:rsidP="007F3DDF">
      <w:pPr>
        <w:spacing w:line="360" w:lineRule="auto"/>
        <w:ind w:hanging="142"/>
      </w:pPr>
      <w:r>
        <w:t xml:space="preserve">‘Winstdrainage kan worden omschreven als een georkestreerd geheel van (rechts)handelingen waardoor op Nederlandse belastbare winsten lasten komen te drukken zonder dat de tegenover die lasten staande baten hier te lande of elders in de wereld (effectief) belast worden’ </w:t>
      </w:r>
      <w:r>
        <w:rPr>
          <w:rStyle w:val="FootnoteReference"/>
        </w:rPr>
        <w:footnoteReference w:id="12"/>
      </w:r>
      <w:r>
        <w:t xml:space="preserve">. Zoals ook kort in de inleiding is aangegeven, betekent winstdrainage een uitholling van de Nederlandse belastinggrondslag. Dit gebeurt algemeen formulerend op de volgende manier. Door een schuldverhouding wordt een rentelast gecreëerd die ten laste komt </w:t>
      </w:r>
    </w:p>
    <w:p w:rsidR="00BA7971" w:rsidRPr="00402470" w:rsidRDefault="00BA7971" w:rsidP="00402470">
      <w:pPr>
        <w:spacing w:line="360" w:lineRule="auto"/>
        <w:jc w:val="right"/>
        <w:rPr>
          <w:b/>
          <w:i/>
          <w:sz w:val="22"/>
          <w:szCs w:val="22"/>
        </w:rPr>
      </w:pPr>
      <w:r w:rsidRPr="00402470">
        <w:rPr>
          <w:b/>
          <w:i/>
          <w:sz w:val="22"/>
          <w:szCs w:val="22"/>
        </w:rPr>
        <w:t>Hoofdstuk 2: Winstdrainage</w:t>
      </w:r>
    </w:p>
    <w:p w:rsidR="00BA7971" w:rsidRDefault="00BA7971" w:rsidP="00402470">
      <w:pPr>
        <w:pBdr>
          <w:top w:val="single" w:sz="4" w:space="1" w:color="auto"/>
        </w:pBdr>
        <w:spacing w:line="360" w:lineRule="auto"/>
        <w:ind w:hanging="142"/>
      </w:pPr>
      <w:r>
        <w:t xml:space="preserve"> </w:t>
      </w:r>
      <w:r>
        <w:tab/>
      </w:r>
    </w:p>
    <w:p w:rsidR="00BA7971" w:rsidRDefault="00BA7971" w:rsidP="00402470">
      <w:pPr>
        <w:pBdr>
          <w:top w:val="single" w:sz="4" w:space="1" w:color="auto"/>
        </w:pBdr>
        <w:spacing w:line="360" w:lineRule="auto"/>
        <w:ind w:hanging="142"/>
      </w:pPr>
      <w:r>
        <w:t xml:space="preserve">  van de winst bij een lichaam die hier in Nederland belastingplichtige is, terwijl bij het lichaam</w:t>
      </w:r>
    </w:p>
    <w:p w:rsidR="00BA7971" w:rsidRDefault="00BA7971" w:rsidP="003C51BC">
      <w:pPr>
        <w:spacing w:line="360" w:lineRule="auto"/>
        <w:ind w:hanging="142"/>
      </w:pPr>
      <w:r>
        <w:t xml:space="preserve">  die de rentebate ontvangt geen of weinig belastingheffing plaatsvindt. Dat geen of weinig belastingheffing plaatsvindt, komt onder andere door het feit dat de rentebate toekomt aan een lichaam dat gevestigd is in een taxhaven, dan wel een vrijgesteld lichaam is of dat een lichaam beschikt verrekenbare verliezen</w:t>
      </w:r>
      <w:r>
        <w:rPr>
          <w:rStyle w:val="FootnoteReference"/>
        </w:rPr>
        <w:footnoteReference w:id="13"/>
      </w:r>
      <w:r>
        <w:t xml:space="preserve">. In de volgende paragraaf zal dit laatste nader toegelicht worden. </w:t>
      </w:r>
    </w:p>
    <w:p w:rsidR="00BA7971" w:rsidRDefault="00BA7971" w:rsidP="00B713A3">
      <w:pPr>
        <w:spacing w:line="360" w:lineRule="auto"/>
      </w:pPr>
    </w:p>
    <w:p w:rsidR="00BA7971" w:rsidRPr="00AE2802" w:rsidRDefault="00BA7971" w:rsidP="00B713A3">
      <w:pPr>
        <w:spacing w:line="360" w:lineRule="auto"/>
        <w:rPr>
          <w:b/>
        </w:rPr>
      </w:pPr>
      <w:r w:rsidRPr="00AE2802">
        <w:rPr>
          <w:b/>
        </w:rPr>
        <w:t xml:space="preserve">2.3 De kernstructuren </w:t>
      </w:r>
      <w:r>
        <w:rPr>
          <w:b/>
        </w:rPr>
        <w:t>van winstdrainage</w:t>
      </w:r>
    </w:p>
    <w:p w:rsidR="00BA7971" w:rsidRDefault="00BA7971" w:rsidP="00B713A3">
      <w:pPr>
        <w:spacing w:line="360" w:lineRule="auto"/>
      </w:pPr>
      <w:r>
        <w:t>In het vorige onderdeel is een algemene beschrijving gegeven van wat winstdrainage inhoudt. Deze problematiek kent enkele kernstructuren, te weten</w:t>
      </w:r>
      <w:r>
        <w:rPr>
          <w:rStyle w:val="FootnoteReference"/>
          <w:rFonts w:eastAsia="Times New Roman"/>
        </w:rPr>
        <w:footnoteReference w:id="14"/>
      </w:r>
      <w:r>
        <w:t xml:space="preserve">: </w:t>
      </w:r>
    </w:p>
    <w:p w:rsidR="00BA7971" w:rsidRDefault="00BA7971" w:rsidP="0061065B">
      <w:pPr>
        <w:pStyle w:val="ListParagraph"/>
        <w:numPr>
          <w:ilvl w:val="0"/>
          <w:numId w:val="3"/>
        </w:numPr>
        <w:tabs>
          <w:tab w:val="left" w:pos="709"/>
        </w:tabs>
        <w:spacing w:after="0" w:line="360" w:lineRule="auto"/>
        <w:ind w:left="567" w:hanging="283"/>
        <w:rPr>
          <w:rFonts w:ascii="Times New Roman" w:hAnsi="Times New Roman" w:cs="Times New Roman"/>
        </w:rPr>
      </w:pPr>
      <w:r w:rsidRPr="00162F1D">
        <w:rPr>
          <w:rFonts w:ascii="Times New Roman" w:hAnsi="Times New Roman" w:cs="Times New Roman"/>
        </w:rPr>
        <w:t>Kasrondjes in de vorm van dividenden, teruggaven van kapitaal en kapitaalstortingen die schuldig zijn gebleven.</w:t>
      </w:r>
    </w:p>
    <w:p w:rsidR="00BA7971" w:rsidRPr="00162F1D" w:rsidRDefault="00BA7971" w:rsidP="0061065B">
      <w:pPr>
        <w:pStyle w:val="ListParagraph"/>
        <w:numPr>
          <w:ilvl w:val="0"/>
          <w:numId w:val="3"/>
        </w:numPr>
        <w:tabs>
          <w:tab w:val="left" w:pos="284"/>
          <w:tab w:val="left" w:pos="709"/>
        </w:tabs>
        <w:spacing w:after="0" w:line="360" w:lineRule="auto"/>
        <w:ind w:left="567" w:hanging="283"/>
        <w:rPr>
          <w:rFonts w:ascii="Times New Roman" w:hAnsi="Times New Roman" w:cs="Times New Roman"/>
        </w:rPr>
      </w:pPr>
      <w:r w:rsidRPr="00162F1D">
        <w:rPr>
          <w:rFonts w:ascii="Times New Roman" w:hAnsi="Times New Roman" w:cs="Times New Roman"/>
        </w:rPr>
        <w:t xml:space="preserve">Kasrondjes die gefinancierd zijn met een lening van een groepsmaatschappij. </w:t>
      </w:r>
    </w:p>
    <w:p w:rsidR="00BA7971" w:rsidRDefault="00BA7971" w:rsidP="0061065B">
      <w:pPr>
        <w:widowControl/>
        <w:numPr>
          <w:ilvl w:val="0"/>
          <w:numId w:val="3"/>
        </w:numPr>
        <w:tabs>
          <w:tab w:val="left" w:pos="284"/>
          <w:tab w:val="left" w:pos="709"/>
        </w:tabs>
        <w:suppressAutoHyphens w:val="0"/>
        <w:spacing w:line="360" w:lineRule="auto"/>
        <w:ind w:left="567" w:hanging="283"/>
      </w:pPr>
      <w:r>
        <w:t>V</w:t>
      </w:r>
      <w:r>
        <w:rPr>
          <w:rFonts w:eastAsia="Times New Roman"/>
        </w:rPr>
        <w:t>erhanging van deelnemingen gefinancierd met lening van een groepsmaatschappij.</w:t>
      </w:r>
    </w:p>
    <w:p w:rsidR="00BA7971" w:rsidRDefault="00BA7971" w:rsidP="0061065B">
      <w:pPr>
        <w:widowControl/>
        <w:numPr>
          <w:ilvl w:val="0"/>
          <w:numId w:val="3"/>
        </w:numPr>
        <w:tabs>
          <w:tab w:val="left" w:pos="284"/>
          <w:tab w:val="left" w:pos="709"/>
        </w:tabs>
        <w:suppressAutoHyphens w:val="0"/>
        <w:spacing w:line="360" w:lineRule="auto"/>
        <w:ind w:left="567" w:hanging="283"/>
      </w:pPr>
      <w:r>
        <w:t>E</w:t>
      </w:r>
      <w:r>
        <w:rPr>
          <w:rFonts w:eastAsia="Times New Roman"/>
        </w:rPr>
        <w:t>xterne acquisities die als groepsmaatschappij functioneren</w:t>
      </w:r>
      <w:r w:rsidRPr="006123FD">
        <w:rPr>
          <w:rFonts w:eastAsia="Times New Roman"/>
        </w:rPr>
        <w:t>.</w:t>
      </w:r>
    </w:p>
    <w:p w:rsidR="00BA7971" w:rsidRDefault="00BA7971" w:rsidP="00B713A3">
      <w:pPr>
        <w:spacing w:line="360" w:lineRule="auto"/>
      </w:pPr>
      <w:r>
        <w:t>Aan de hand van de vier volgende voorbeelden</w:t>
      </w:r>
      <w:r>
        <w:rPr>
          <w:rStyle w:val="FootnoteReference"/>
        </w:rPr>
        <w:footnoteReference w:id="15"/>
      </w:r>
      <w:r>
        <w:t xml:space="preserve"> zullen deze kernstructuren nader worden besproken. </w:t>
      </w:r>
    </w:p>
    <w:p w:rsidR="00BA7971" w:rsidRPr="00AA2F8B" w:rsidRDefault="00BA7971" w:rsidP="00B713A3">
      <w:pPr>
        <w:spacing w:line="360" w:lineRule="auto"/>
        <w:rPr>
          <w:u w:val="single"/>
        </w:rPr>
      </w:pPr>
    </w:p>
    <w:p w:rsidR="00BA7971" w:rsidRDefault="00BA7971" w:rsidP="00B713A3">
      <w:pPr>
        <w:spacing w:line="360" w:lineRule="auto"/>
      </w:pPr>
      <w:r>
        <w:t>Een eerste voorbeeld betreft een Nederlandse dochtermaatschappij die winstreserves ten titel van dividend uitkeert aan haar moedermaatschappij gevestigd op de Nederlandse Antillen. De dividenduitkering blijft aan de moeder verschuldigd. Hierdoor ontstaat een situatie, aangeduid als teruggeleend dividend. De rentelast wordt hier te lande ten laste van de winst van de dochter gebracht. De Nederlandse Antillen staat in de fiscaliteit bekend als een taxhaven, zodat de rentebate laag zal worden belast.</w:t>
      </w:r>
    </w:p>
    <w:p w:rsidR="00BA7971" w:rsidRDefault="00BA7971" w:rsidP="00B713A3">
      <w:pPr>
        <w:spacing w:line="360" w:lineRule="auto"/>
      </w:pPr>
    </w:p>
    <w:p w:rsidR="00BA7971" w:rsidRDefault="00BA7971" w:rsidP="00590DBF">
      <w:pPr>
        <w:spacing w:line="360" w:lineRule="auto"/>
      </w:pPr>
      <w:r>
        <w:t xml:space="preserve">Het tweede voorbeeld betreft een Nederlandse dochtermaatschappij die over eigen vermogen beschikt die zij als kapitaal stort in een (buitenlandse) dochter met grote compensabele verliezen. De kapitaalstorting blijft verschuldigd. Hierdoor ontstaat een schuldverhouding, die bestempeld kan worden als kernstructuur 1. De Nederlandse dochter brengt rente ten laste van haar winst, terwijl de rentebate door de aanwezigheid van de verrekenbare verliezen niet </w:t>
      </w:r>
    </w:p>
    <w:p w:rsidR="00BA7971" w:rsidRPr="00402470" w:rsidRDefault="00BA7971" w:rsidP="00402470">
      <w:pPr>
        <w:spacing w:line="360" w:lineRule="auto"/>
        <w:jc w:val="right"/>
        <w:rPr>
          <w:b/>
          <w:i/>
          <w:sz w:val="22"/>
          <w:szCs w:val="22"/>
        </w:rPr>
      </w:pPr>
      <w:r w:rsidRPr="00402470">
        <w:rPr>
          <w:b/>
          <w:i/>
          <w:sz w:val="22"/>
          <w:szCs w:val="22"/>
        </w:rPr>
        <w:t>Hoofdstuk 2: Winstdrainage</w:t>
      </w:r>
    </w:p>
    <w:p w:rsidR="00BA7971" w:rsidRDefault="00BA7971" w:rsidP="00402470">
      <w:pPr>
        <w:pBdr>
          <w:top w:val="single" w:sz="4" w:space="1" w:color="auto"/>
        </w:pBdr>
        <w:spacing w:line="360" w:lineRule="auto"/>
      </w:pPr>
    </w:p>
    <w:p w:rsidR="00BA7971" w:rsidRDefault="00BA7971" w:rsidP="00402470">
      <w:pPr>
        <w:pBdr>
          <w:top w:val="single" w:sz="4" w:space="1" w:color="auto"/>
        </w:pBdr>
        <w:spacing w:line="360" w:lineRule="auto"/>
      </w:pPr>
      <w:r>
        <w:t>effectief zal worden belast.</w:t>
      </w:r>
    </w:p>
    <w:p w:rsidR="00BA7971" w:rsidRDefault="00BA7971" w:rsidP="00B713A3">
      <w:pPr>
        <w:spacing w:line="360" w:lineRule="auto"/>
      </w:pPr>
      <w:r>
        <w:t>Een derde voorbeeld betreft de herstructurering van een concern bestaand uit een Antilliaanse tophoudstermaatschappij en twee werkmaatschappijen (C BV en B BV). De tophoudster verkoopt de aandelen C BV aan B BV, waardoor B BV een tussenholding wordt. Hier is er sprake van een interne verhanging (kernstructuur 3). Het belang van de tophoudster is slechts veranderd in de zin dat dit in plaats van een rechtstreeks belang nu een middellijk belang in C BV heeft. B BV blijft de koopsom verschuldigd aan de tophoudster, zodat een schuldverhouding ontstaat tussen deze gelieerde vennootschappen. Tussen C BV en B Bv bestaat tevens een fiscale eenheid. De rente komt te drukken op de winst van deze fiscale eenheid.</w:t>
      </w:r>
    </w:p>
    <w:p w:rsidR="00BA7971" w:rsidRDefault="00BA7971" w:rsidP="00B713A3">
      <w:pPr>
        <w:spacing w:line="360" w:lineRule="auto"/>
      </w:pPr>
    </w:p>
    <w:p w:rsidR="00BA7971" w:rsidRDefault="00BA7971" w:rsidP="00B713A3">
      <w:pPr>
        <w:spacing w:line="360" w:lineRule="auto"/>
      </w:pPr>
      <w:r>
        <w:t xml:space="preserve">Het laatste voorbeeld betreft externe acquisitie (kernstructuur 4), wat betekent het verwerven van de aandelen in een nog niet tot een concern behorende vennootschap, de zogenaamde ‘target’. Hiervoor maakt het concern gebruik van een Nederlandse tussenholding die tevens de moedermaatschappij is van een fiscale eenheid. Deze tussenholding zal de aandelen in de target verwerven, wat gefinancierd wordt met vreemd vermogen van een concernvennootschap die gevestigd is in een taxhaven. Terwijl de rentebate laag belast zal worden, drukt de rentelast op de winst in Nederland. </w:t>
      </w:r>
    </w:p>
    <w:p w:rsidR="00BA7971" w:rsidRDefault="00BA7971" w:rsidP="00B713A3">
      <w:pPr>
        <w:spacing w:line="360" w:lineRule="auto"/>
      </w:pPr>
    </w:p>
    <w:p w:rsidR="00BA7971" w:rsidRPr="004C15BA" w:rsidRDefault="00BA7971" w:rsidP="00B713A3">
      <w:pPr>
        <w:spacing w:line="360" w:lineRule="auto"/>
        <w:rPr>
          <w:b/>
        </w:rPr>
      </w:pPr>
      <w:r w:rsidRPr="004C15BA">
        <w:rPr>
          <w:b/>
        </w:rPr>
        <w:t>2.4 Conclusie</w:t>
      </w:r>
    </w:p>
    <w:p w:rsidR="00BA7971" w:rsidRDefault="00BA7971" w:rsidP="00B713A3">
      <w:pPr>
        <w:spacing w:line="360" w:lineRule="auto"/>
      </w:pPr>
      <w:r>
        <w:t xml:space="preserve">Winstdrainage bevat alle situaties waarbij een schuldverhouding wordt gecreëerd, met als doel rente ten laste van de Nederlandse belastbare winst te kunnen brengen. In zulke situaties treedt een versmalling van de belastbare winst in Nederland op, terwijl de rentebate daartegenover noch hier te lande noch in een ander land aan enige belastingheffing zal worden onderworpen. </w:t>
      </w:r>
    </w:p>
    <w:p w:rsidR="00BA7971" w:rsidRDefault="00BA7971" w:rsidP="00B713A3">
      <w:pPr>
        <w:spacing w:line="360" w:lineRule="auto"/>
      </w:pPr>
      <w:r>
        <w:t xml:space="preserve">Situaties waarbij een schuldverhouding ontstaat, kunnen onderverdeeld worden in vier kernstructuren, namelijk kasrondjes die schuldig zijn gebleven, kasrondjes gefinancierd met een lening van een concern, interne verhangingen en externe acquisities. </w:t>
      </w:r>
    </w:p>
    <w:p w:rsidR="00BA7971" w:rsidRDefault="00BA7971" w:rsidP="00B713A3">
      <w:pPr>
        <w:spacing w:line="360" w:lineRule="auto"/>
      </w:pPr>
    </w:p>
    <w:p w:rsidR="00BA7971" w:rsidRDefault="00BA7971" w:rsidP="00B713A3">
      <w:pPr>
        <w:spacing w:line="360" w:lineRule="auto"/>
      </w:pPr>
      <w:r>
        <w:t xml:space="preserve">In het volgende hoofdstuk zal de inhoud en specifieke kenmerken van het leerstuk van fraus legis onderzocht worden. </w:t>
      </w:r>
    </w:p>
    <w:p w:rsidR="00BA7971" w:rsidRDefault="00BA7971" w:rsidP="00B713A3">
      <w:pPr>
        <w:spacing w:line="360" w:lineRule="auto"/>
      </w:pP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widowControl/>
        <w:pBdr>
          <w:top w:val="single" w:sz="4" w:space="1" w:color="auto"/>
        </w:pBdr>
        <w:suppressAutoHyphens w:val="0"/>
        <w:spacing w:after="200" w:line="276" w:lineRule="auto"/>
        <w:rPr>
          <w:color w:val="000000"/>
        </w:rPr>
      </w:pPr>
    </w:p>
    <w:p w:rsidR="00BA7971" w:rsidRDefault="00BA7971" w:rsidP="0037021A">
      <w:pPr>
        <w:spacing w:line="360" w:lineRule="auto"/>
        <w:jc w:val="center"/>
        <w:rPr>
          <w:b/>
          <w:bCs/>
          <w:sz w:val="28"/>
          <w:szCs w:val="28"/>
        </w:rPr>
      </w:pPr>
      <w:r>
        <w:rPr>
          <w:b/>
          <w:bCs/>
          <w:sz w:val="28"/>
          <w:szCs w:val="28"/>
        </w:rPr>
        <w:t>Hoofdstuk 3</w:t>
      </w:r>
    </w:p>
    <w:p w:rsidR="00BA7971" w:rsidRDefault="00BA7971" w:rsidP="0037021A">
      <w:pPr>
        <w:spacing w:line="360" w:lineRule="auto"/>
        <w:jc w:val="center"/>
        <w:rPr>
          <w:b/>
          <w:bCs/>
          <w:sz w:val="28"/>
          <w:szCs w:val="28"/>
        </w:rPr>
      </w:pPr>
      <w:r>
        <w:rPr>
          <w:b/>
          <w:bCs/>
          <w:sz w:val="28"/>
          <w:szCs w:val="28"/>
        </w:rPr>
        <w:t>HET LEERSTUK VAN FRAUS LEGIS</w:t>
      </w:r>
    </w:p>
    <w:p w:rsidR="00BA7971" w:rsidRDefault="00BA7971" w:rsidP="000E4C8F">
      <w:pPr>
        <w:spacing w:line="360" w:lineRule="auto"/>
        <w:rPr>
          <w:b/>
          <w:bCs/>
        </w:rPr>
      </w:pPr>
    </w:p>
    <w:p w:rsidR="00BA7971" w:rsidRDefault="00BA7971" w:rsidP="000E4C8F">
      <w:pPr>
        <w:spacing w:line="360" w:lineRule="auto"/>
        <w:rPr>
          <w:b/>
          <w:bCs/>
        </w:rPr>
      </w:pPr>
      <w:r>
        <w:rPr>
          <w:b/>
          <w:bCs/>
        </w:rPr>
        <w:t>3.1 Inleiding</w:t>
      </w:r>
      <w:r>
        <w:rPr>
          <w:rStyle w:val="FootnoteReference"/>
          <w:b/>
          <w:bCs/>
        </w:rPr>
        <w:footnoteReference w:id="16"/>
      </w:r>
    </w:p>
    <w:p w:rsidR="00BA7971" w:rsidRDefault="00BA7971" w:rsidP="000E4C8F">
      <w:pPr>
        <w:spacing w:line="360" w:lineRule="auto"/>
        <w:rPr>
          <w:color w:val="000000"/>
        </w:rPr>
      </w:pPr>
      <w:r>
        <w:rPr>
          <w:color w:val="000000"/>
        </w:rPr>
        <w:t xml:space="preserve">De wet dient conform de bedoeling van de wetgever te worden toegepast. Indien de fiscus en een belanghebbende van mening verschillen omtrent de bedoeling van de wetgever, ontstaat een geschil die met behulp van een onpartijdige rechter wordt uitgevochten. De rechter mag in geen geval de innerlijke waarde of billijkheid der wet beoordelen, zodat hij slechts als wetstoepasser fungeert. Het uitgangspunt is daarbij nog steeds de letterlijke tekst van de wet. Indien de tekst geen duidelijkheid bevat over een specifiek punt, kan de rechter dit oplossen met behulp van de verschillende interpretatiemethoden. Deze interpretatiemethoden kunnen de bedoeling van de wetgever (wetsgeschiedenis), de eisen welke het maatschappelijk verkeer stelt (teleologische methode) of de systematiek van de wet (de systematische methode) zijn. Verder kan de rechter de reikwijdte van een wetsbepaling oprekken (extensieve interpretatie), dan wel inperken (restrictieve interpretatie) zodoende om een gewenste toepassing van de wet te bereiken. </w:t>
      </w:r>
    </w:p>
    <w:p w:rsidR="00BA7971" w:rsidRDefault="00BA7971" w:rsidP="000E4C8F">
      <w:pPr>
        <w:spacing w:line="360" w:lineRule="auto"/>
        <w:rPr>
          <w:color w:val="000000"/>
        </w:rPr>
      </w:pPr>
      <w:r>
        <w:rPr>
          <w:color w:val="000000"/>
        </w:rPr>
        <w:t xml:space="preserve">Naast de genoemde vormen van wetsinterpretatie zijn er twee bijzondere rechtsmiddelen, de richtige heffing en het leerstuk van fraus legis. Deze komen pas aan de orde indien de strijdigheid met doel en strekking van de wet niet aan de hand van de wetsinterpretatie kan worden opgeheven. Ook indien sprake is van een handeling die verricht wordt en daarbij niets of iets anders tot stand is gekomen dan belanghebbenden pretenderen (schijnhandeling), kunnen deze bijzondere rechtsmiddelen niet worden toegepast. </w:t>
      </w:r>
    </w:p>
    <w:p w:rsidR="00BA7971" w:rsidRPr="00EF28F0" w:rsidRDefault="00BA7971" w:rsidP="000E4C8F">
      <w:pPr>
        <w:spacing w:line="360" w:lineRule="auto"/>
      </w:pPr>
      <w:r>
        <w:rPr>
          <w:color w:val="000000"/>
        </w:rPr>
        <w:t>Nu dat bekend is wanneer van fraus legis gebruik gemaakt kan worden, rijst de vraag waarom de fiscus in een bepaalde situatie dit leerstuk in stelling brengt. Vandaar dat</w:t>
      </w:r>
      <w:r>
        <w:t xml:space="preserve"> dit</w:t>
      </w:r>
      <w:r w:rsidRPr="00EF28F0">
        <w:t xml:space="preserve"> hoofdstuk geri</w:t>
      </w:r>
      <w:r>
        <w:t>cht is</w:t>
      </w:r>
      <w:r w:rsidRPr="00EF28F0">
        <w:t xml:space="preserve"> op de beantwoording van de volgende deelvraag:</w:t>
      </w:r>
    </w:p>
    <w:p w:rsidR="00BA7971" w:rsidRPr="00291144" w:rsidRDefault="00BA7971" w:rsidP="000E4C8F">
      <w:pPr>
        <w:spacing w:line="360" w:lineRule="auto"/>
        <w:rPr>
          <w:b/>
          <w:i/>
          <w:iCs/>
        </w:rPr>
      </w:pPr>
      <w:r w:rsidRPr="00291144">
        <w:rPr>
          <w:b/>
          <w:i/>
          <w:iCs/>
        </w:rPr>
        <w:t>Wat houdt het leerstuk van fraus legis in en w</w:t>
      </w:r>
      <w:r>
        <w:rPr>
          <w:b/>
          <w:i/>
          <w:iCs/>
        </w:rPr>
        <w:t xml:space="preserve">at </w:t>
      </w:r>
      <w:r w:rsidRPr="00291144">
        <w:rPr>
          <w:b/>
          <w:i/>
          <w:iCs/>
        </w:rPr>
        <w:t xml:space="preserve">zijn de </w:t>
      </w:r>
      <w:r>
        <w:rPr>
          <w:b/>
          <w:i/>
          <w:iCs/>
        </w:rPr>
        <w:t>toepassingsvereisten</w:t>
      </w:r>
      <w:r w:rsidRPr="00291144">
        <w:rPr>
          <w:b/>
          <w:i/>
          <w:iCs/>
        </w:rPr>
        <w:t xml:space="preserve">? </w:t>
      </w:r>
    </w:p>
    <w:p w:rsidR="00BA7971" w:rsidRDefault="00BA7971" w:rsidP="000E4C8F">
      <w:pPr>
        <w:spacing w:line="360" w:lineRule="auto"/>
        <w:rPr>
          <w:b/>
        </w:rPr>
      </w:pPr>
    </w:p>
    <w:p w:rsidR="00BA7971" w:rsidRDefault="00BA7971" w:rsidP="000E4C8F">
      <w:pPr>
        <w:spacing w:line="360" w:lineRule="auto"/>
        <w:rPr>
          <w:b/>
          <w:bCs/>
        </w:rPr>
      </w:pPr>
      <w:r>
        <w:rPr>
          <w:b/>
          <w:bCs/>
        </w:rPr>
        <w:t>3.2 Richtige heffing</w:t>
      </w:r>
    </w:p>
    <w:p w:rsidR="00BA7971" w:rsidRDefault="00BA7971" w:rsidP="000E4C8F">
      <w:pPr>
        <w:spacing w:line="360" w:lineRule="auto"/>
      </w:pPr>
      <w:r>
        <w:t xml:space="preserve">De bepalingen inzake de bevordering van de richtige heffing zijn opgenomen in artikel 31 tot en met 36 AWR. Deze wetsartikelen hebben een preventieve werking, namelijk de bestrijding </w:t>
      </w: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pPr>
    </w:p>
    <w:p w:rsidR="00BA7971" w:rsidRDefault="00BA7971" w:rsidP="000E4C8F">
      <w:pPr>
        <w:spacing w:line="360" w:lineRule="auto"/>
      </w:pPr>
      <w:r>
        <w:t>van belastingontwijking</w:t>
      </w:r>
      <w:r w:rsidRPr="000861BA">
        <w:rPr>
          <w:rStyle w:val="FootnoteReference"/>
        </w:rPr>
        <w:footnoteReference w:id="17"/>
      </w:r>
      <w:r>
        <w:t xml:space="preserve">. </w:t>
      </w:r>
    </w:p>
    <w:p w:rsidR="00BA7971" w:rsidRDefault="00BA7971" w:rsidP="006B5C5E">
      <w:pPr>
        <w:spacing w:line="360" w:lineRule="auto"/>
      </w:pPr>
      <w:r>
        <w:t xml:space="preserve">Volgens </w:t>
      </w:r>
      <w:r w:rsidRPr="00FA3C04">
        <w:rPr>
          <w:i/>
        </w:rPr>
        <w:t>Niessen</w:t>
      </w:r>
      <w:r>
        <w:rPr>
          <w:i/>
        </w:rPr>
        <w:t>-Cobben</w:t>
      </w:r>
      <w:r w:rsidRPr="0081740C">
        <w:t xml:space="preserve"> </w:t>
      </w:r>
      <w:r>
        <w:t>kleefden er enige nadelen</w:t>
      </w:r>
      <w:r w:rsidRPr="009A6004">
        <w:rPr>
          <w:rStyle w:val="FootnoteReference"/>
        </w:rPr>
        <w:footnoteReference w:id="18"/>
      </w:r>
      <w:r w:rsidRPr="007A0A0A">
        <w:t xml:space="preserve"> </w:t>
      </w:r>
      <w:r>
        <w:t xml:space="preserve">aan dit leerstuk. </w:t>
      </w:r>
      <w:r w:rsidRPr="00643D4C">
        <w:t>Ten eerste is de richtige</w:t>
      </w:r>
      <w:r>
        <w:t xml:space="preserve"> heffing slechts van toepassing bij de heffing van directe belastingen</w:t>
      </w:r>
      <w:r>
        <w:rPr>
          <w:rStyle w:val="FootnoteReference"/>
        </w:rPr>
        <w:footnoteReference w:id="19"/>
      </w:r>
      <w:r>
        <w:t>. Ondanks het feit dat de inkomstenbelasting een directe belasting is, staat expliciet vermeld dat deze ook onder de wetsbepaling valt</w:t>
      </w:r>
      <w:r w:rsidRPr="00BD08AC">
        <w:rPr>
          <w:rStyle w:val="FootnoteReference"/>
        </w:rPr>
        <w:footnoteReference w:id="20"/>
      </w:r>
      <w:r w:rsidRPr="00BD08AC">
        <w:t>.</w:t>
      </w:r>
      <w:r>
        <w:t xml:space="preserve"> Bezien vanuit het uitgangspunt van het belastingrecht, namelijk dat het de </w:t>
      </w:r>
      <w:r w:rsidRPr="00FA3C04">
        <w:t>belastingplichtige vrijstaat om zijn zaken</w:t>
      </w:r>
      <w:r>
        <w:t xml:space="preserve"> zodanig in te richten dat hij zo weinig mogelijk belasting betaalt, is mijns inziens de kans aanwezig dat de belastingplichtige dit ook zal trachten bij de heffing van indirecte belastingen. Het nadeel zit dus in het feit dat het rechtsmiddel niet bruikbaar is op de gehele belastingwetgeving. </w:t>
      </w:r>
    </w:p>
    <w:p w:rsidR="00BA7971" w:rsidRDefault="00BA7971" w:rsidP="006B5C5E">
      <w:pPr>
        <w:spacing w:line="360" w:lineRule="auto"/>
      </w:pPr>
      <w:r>
        <w:t>Ten tweede bood artikel 31 AWR de fiscus slechts de mogelijkheid van ‘eliminatie’ van een bepaalde rechtshandeling. Het feit dat de mogelijkheid</w:t>
      </w:r>
      <w:r w:rsidRPr="00AD100D">
        <w:t xml:space="preserve"> </w:t>
      </w:r>
      <w:r>
        <w:t>ontbrak</w:t>
      </w:r>
      <w:r w:rsidRPr="00AD100D">
        <w:t xml:space="preserve"> </w:t>
      </w:r>
      <w:r>
        <w:t xml:space="preserve">om de gepleegde (niet- of laagbelaste) rechtshandeling te vervangen door een vergelijkbare niet-gepleegde maar (wel) belaste andere rechtshandeling brengt mee dat de fiscus niet altijd baat heeft bij de uitwerking van richtige heffing. </w:t>
      </w:r>
    </w:p>
    <w:p w:rsidR="00BA7971" w:rsidRDefault="00BA7971" w:rsidP="006B5C5E">
      <w:pPr>
        <w:spacing w:line="360" w:lineRule="auto"/>
      </w:pPr>
      <w:r>
        <w:t>Als laatste nadeel is de nog wat ingewikkelde rechtsgang om richtige heffing toegepast te krijgen. Eerst dient de inspecteur een beschikking te nemen inhoudende dat hij richtige heffing wenst toe te passen waarna hij vervolgens op een machtiging van de minister van Financiën moet afwachten. De belastingplichtige kan daartegen in bezwaar en beroep komen. Pas nadat dit proces is afgerond kan de aanslag worden opgelegd, met daaraan opnieuw een mogelijkheid voor de belastingplichtige om bezwaar en beroep aan te tekenen. Een van de beoordelingscriteria voor een goed functionerend belastingstelsel is efficiëntie</w:t>
      </w:r>
      <w:r>
        <w:rPr>
          <w:rStyle w:val="FootnoteReference"/>
        </w:rPr>
        <w:footnoteReference w:id="21"/>
      </w:r>
      <w:r>
        <w:t xml:space="preserve">. Het zal ook niet verbazingwekkend zijn dat richtige heffing in steeds mindere mate de voorkeur had en gezocht is naar een rechtsmiddel waarvoor minder inspanning nodig is en mogelijk sneller uitwerkt. </w:t>
      </w:r>
    </w:p>
    <w:p w:rsidR="00BA7971" w:rsidRPr="00114E03" w:rsidRDefault="00BA7971" w:rsidP="006B5C5E">
      <w:pPr>
        <w:spacing w:line="360" w:lineRule="auto"/>
      </w:pPr>
    </w:p>
    <w:p w:rsidR="00BA7971" w:rsidRDefault="00BA7971" w:rsidP="000E4C8F">
      <w:pPr>
        <w:spacing w:line="360" w:lineRule="auto"/>
      </w:pPr>
      <w:r w:rsidRPr="00114E03">
        <w:t xml:space="preserve">Mijns inziens </w:t>
      </w:r>
      <w:r>
        <w:t>zijn</w:t>
      </w:r>
      <w:r w:rsidRPr="00114E03">
        <w:t xml:space="preserve"> deze nadelen </w:t>
      </w:r>
      <w:r>
        <w:t xml:space="preserve">de aanleiding geweest dat </w:t>
      </w:r>
      <w:r w:rsidRPr="00114E03">
        <w:t xml:space="preserve">richtige heffing steeds minder werd </w:t>
      </w: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pPr>
    </w:p>
    <w:p w:rsidR="00BA7971" w:rsidRDefault="00BA7971" w:rsidP="000E4C8F">
      <w:pPr>
        <w:spacing w:line="360" w:lineRule="auto"/>
        <w:rPr>
          <w:iCs/>
          <w:color w:val="000000"/>
          <w:lang w:eastAsia="nl-NL"/>
        </w:rPr>
      </w:pPr>
      <w:r w:rsidRPr="00114E03">
        <w:t xml:space="preserve">toegepast en dat een nieuw leerstuk, namelijk het leerstuk van fraus legis, geleidelijk zijn plaats </w:t>
      </w:r>
      <w:r>
        <w:t>heeft</w:t>
      </w:r>
      <w:r w:rsidRPr="00114E03">
        <w:t xml:space="preserve"> over</w:t>
      </w:r>
      <w:r>
        <w:t>ge</w:t>
      </w:r>
      <w:r w:rsidRPr="00114E03">
        <w:t>n</w:t>
      </w:r>
      <w:r>
        <w:t>o</w:t>
      </w:r>
      <w:r w:rsidRPr="00114E03">
        <w:t xml:space="preserve">men. </w:t>
      </w:r>
      <w:r>
        <w:t>In</w:t>
      </w:r>
      <w:r w:rsidRPr="00114E03">
        <w:t xml:space="preserve"> </w:t>
      </w:r>
      <w:r w:rsidRPr="00114E03">
        <w:rPr>
          <w:i/>
          <w:iCs/>
        </w:rPr>
        <w:t>HR 21 november 1984, nr. 22 092, BNB1985/32</w:t>
      </w:r>
      <w:r>
        <w:rPr>
          <w:i/>
          <w:iCs/>
        </w:rPr>
        <w:t xml:space="preserve"> </w:t>
      </w:r>
      <w:r w:rsidRPr="00F82E34">
        <w:rPr>
          <w:iCs/>
        </w:rPr>
        <w:t>acht</w:t>
      </w:r>
      <w:r w:rsidRPr="00114E03">
        <w:rPr>
          <w:iCs/>
        </w:rPr>
        <w:t xml:space="preserve"> de Hoge Raad </w:t>
      </w:r>
      <w:r>
        <w:rPr>
          <w:iCs/>
        </w:rPr>
        <w:t>dit ruimere leer</w:t>
      </w:r>
      <w:r w:rsidRPr="00114E03">
        <w:rPr>
          <w:iCs/>
        </w:rPr>
        <w:t xml:space="preserve"> aanvaardbaar. </w:t>
      </w:r>
      <w:r>
        <w:rPr>
          <w:iCs/>
        </w:rPr>
        <w:t>In dit arrest is sprake van a</w:t>
      </w:r>
      <w:r w:rsidRPr="004511BD">
        <w:rPr>
          <w:iCs/>
          <w:color w:val="000000"/>
          <w:lang w:eastAsia="nl-NL"/>
        </w:rPr>
        <w:t xml:space="preserve">ankoop van obligaties met lopende rente, </w:t>
      </w:r>
      <w:r>
        <w:rPr>
          <w:iCs/>
          <w:color w:val="000000"/>
          <w:lang w:eastAsia="nl-NL"/>
        </w:rPr>
        <w:t xml:space="preserve">welke aankoop </w:t>
      </w:r>
      <w:r w:rsidRPr="004511BD">
        <w:rPr>
          <w:iCs/>
          <w:color w:val="000000"/>
          <w:lang w:eastAsia="nl-NL"/>
        </w:rPr>
        <w:t xml:space="preserve">grotendeels gefinancierd </w:t>
      </w:r>
      <w:r>
        <w:rPr>
          <w:iCs/>
          <w:color w:val="000000"/>
          <w:lang w:eastAsia="nl-NL"/>
        </w:rPr>
        <w:t xml:space="preserve">is </w:t>
      </w:r>
      <w:r w:rsidRPr="004511BD">
        <w:rPr>
          <w:iCs/>
          <w:color w:val="000000"/>
          <w:lang w:eastAsia="nl-NL"/>
        </w:rPr>
        <w:t xml:space="preserve">met geleend geld, in het zicht van emigratie naar België, gevolgd door verkoop van die stukken na de emigratie, maar voor de coupondatum. </w:t>
      </w:r>
      <w:r>
        <w:rPr>
          <w:iCs/>
          <w:color w:val="000000"/>
          <w:lang w:eastAsia="nl-NL"/>
        </w:rPr>
        <w:t>Gevolgen van deze rechtshandelingen was een fiscaal positief</w:t>
      </w:r>
      <w:r w:rsidRPr="004511BD">
        <w:rPr>
          <w:iCs/>
          <w:color w:val="000000"/>
          <w:lang w:eastAsia="nl-NL"/>
        </w:rPr>
        <w:t xml:space="preserve"> resultaat</w:t>
      </w:r>
      <w:r>
        <w:rPr>
          <w:iCs/>
          <w:color w:val="000000"/>
          <w:lang w:eastAsia="nl-NL"/>
        </w:rPr>
        <w:t xml:space="preserve">, namelijk aftrek van rente, meegekochte couponrente en onbelastbaarheid van de bate, maar een economisch negatief resultaat indien de fiscale effecten weggedacht worden. </w:t>
      </w:r>
    </w:p>
    <w:p w:rsidR="00BA7971" w:rsidRDefault="00BA7971" w:rsidP="000E4C8F">
      <w:pPr>
        <w:spacing w:line="360" w:lineRule="auto"/>
        <w:rPr>
          <w:iCs/>
        </w:rPr>
      </w:pPr>
      <w:r>
        <w:rPr>
          <w:iCs/>
        </w:rPr>
        <w:t xml:space="preserve">De inspecteur was van mening dat </w:t>
      </w:r>
      <w:r w:rsidRPr="00442AD7">
        <w:rPr>
          <w:iCs/>
        </w:rPr>
        <w:t>de op gekunstelde wijze toegepaste constructie zou leiden tot ontgaan van belastingheffing en dat de aftrek in strijd is met doel en strekking van de wet. In het kader van de verhuizing van de belanghebbende naar België, zijn de te plaatsen aan- en verkopen van die stukken in fraudem legis verricht. De aankoop van de obligaties heeft bovendien buiten het beoogde fiscaal voordeel geen reële praktische betekenis gehad. Doorslaggevend motief was om via deze constructie een hoge belastingbesparing te behalen. De transactie bevat ongebruikelijkheid in de zin dat financiering met vreemd vermogen met een hogere rente is aangegaan dan de obligaties in werkelijkheid dragen.</w:t>
      </w:r>
      <w:r>
        <w:rPr>
          <w:iCs/>
          <w:color w:val="FF0000"/>
        </w:rPr>
        <w:t xml:space="preserve"> </w:t>
      </w:r>
    </w:p>
    <w:p w:rsidR="00BA7971" w:rsidRPr="00014D0E" w:rsidRDefault="00BA7971" w:rsidP="000E4C8F">
      <w:pPr>
        <w:spacing w:line="360" w:lineRule="auto"/>
        <w:rPr>
          <w:iCs/>
        </w:rPr>
      </w:pPr>
      <w:r w:rsidRPr="00442AD7">
        <w:rPr>
          <w:iCs/>
        </w:rPr>
        <w:t xml:space="preserve">De Hoge Raad </w:t>
      </w:r>
      <w:r>
        <w:rPr>
          <w:iCs/>
        </w:rPr>
        <w:t>is van oordeel dat op dit samenstel van transacties de leer</w:t>
      </w:r>
      <w:r w:rsidRPr="00442AD7">
        <w:rPr>
          <w:iCs/>
        </w:rPr>
        <w:t xml:space="preserve"> van fraus legis</w:t>
      </w:r>
      <w:r>
        <w:rPr>
          <w:iCs/>
        </w:rPr>
        <w:t xml:space="preserve"> kan worden toegepast</w:t>
      </w:r>
      <w:r w:rsidRPr="00442AD7">
        <w:rPr>
          <w:iCs/>
        </w:rPr>
        <w:t>.</w:t>
      </w:r>
      <w:r>
        <w:rPr>
          <w:iCs/>
          <w:color w:val="FF0000"/>
        </w:rPr>
        <w:t xml:space="preserve"> </w:t>
      </w:r>
      <w:r w:rsidRPr="00014D0E">
        <w:rPr>
          <w:iCs/>
        </w:rPr>
        <w:t xml:space="preserve">De methode om via aan- en verkoop van Nederlandse obligaties tot belastingbesparing te komen is expliciet aan de belanghebbende voorgehouden of was daarvoor al aan haar bekend. De transacties hebben buiten het beoogde fiscaal voordeel geen reële praktische betekenis gehad. Bovendien zou belanghebbende daarmee helemaal geen wettelijke belegging van vermogen hebben beoogd. In samenhang met de emigratie van belanghebbende naar België, was belastingbesparing het volstrekt doorslaggevend motief geweest bij het aangaan van deze gekunstelde transacties. Doel en strekking van de wet zouden worden miskend door aftrek van meegekochte rente toe te laten. </w:t>
      </w:r>
    </w:p>
    <w:p w:rsidR="00BA7971" w:rsidRDefault="00BA7971" w:rsidP="000E4C8F">
      <w:pPr>
        <w:spacing w:line="360" w:lineRule="auto"/>
        <w:rPr>
          <w:iCs/>
          <w:color w:val="FF0000"/>
        </w:rPr>
      </w:pPr>
    </w:p>
    <w:p w:rsidR="00BA7971" w:rsidRDefault="00BA7971" w:rsidP="000E4C8F">
      <w:pPr>
        <w:spacing w:line="360" w:lineRule="auto"/>
      </w:pPr>
      <w:r w:rsidRPr="001B77FD">
        <w:rPr>
          <w:i/>
        </w:rPr>
        <w:t>BNB 1985/32</w:t>
      </w:r>
      <w:r w:rsidRPr="001B77FD">
        <w:t xml:space="preserve"> bracht mee dat de regeling van richtige heffing vanaf toen niet meer de enige toegepaste regeling is.</w:t>
      </w:r>
      <w:r>
        <w:rPr>
          <w:color w:val="FF0000"/>
        </w:rPr>
        <w:t xml:space="preserve"> </w:t>
      </w:r>
      <w:r w:rsidRPr="00C3594A">
        <w:t>Per</w:t>
      </w:r>
      <w:r w:rsidRPr="00053BA3">
        <w:t xml:space="preserve"> 1 augustus 1987 zou de staatssecretaris van Financiën voor een periode van vijf jaar geen machtigingen meer verlenen voor de toepassing van de richtige heffing. Ook de jaren na deze periode zijn er geen machtigen meer verleend, zodat het </w:t>
      </w:r>
    </w:p>
    <w:p w:rsidR="00BA7971" w:rsidRDefault="00BA7971" w:rsidP="000E4C8F">
      <w:pPr>
        <w:spacing w:line="360" w:lineRule="auto"/>
      </w:pPr>
    </w:p>
    <w:p w:rsidR="00BA7971" w:rsidRDefault="00BA7971" w:rsidP="00402470">
      <w:pPr>
        <w:spacing w:line="360" w:lineRule="auto"/>
        <w:jc w:val="right"/>
        <w:rPr>
          <w:b/>
          <w:i/>
          <w:sz w:val="22"/>
          <w:szCs w:val="22"/>
        </w:rPr>
      </w:pP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pPr>
    </w:p>
    <w:p w:rsidR="00BA7971" w:rsidRDefault="00BA7971" w:rsidP="000E4C8F">
      <w:pPr>
        <w:spacing w:line="360" w:lineRule="auto"/>
      </w:pPr>
      <w:r w:rsidRPr="00053BA3">
        <w:t>leerstuk van richtige heffing sinds 1987 niet meer is toegepast</w:t>
      </w:r>
      <w:r>
        <w:rPr>
          <w:rStyle w:val="FootnoteReference"/>
        </w:rPr>
        <w:footnoteReference w:id="22"/>
      </w:r>
      <w:r w:rsidRPr="00053BA3">
        <w:t>. Dit kwam doordat de werking van fraus legis zich zo</w:t>
      </w:r>
      <w:r>
        <w:t xml:space="preserve"> heeft ontwikkeld dat daarmee hetzelfde resultaat kan worden bereikt als met</w:t>
      </w:r>
      <w:r w:rsidRPr="00053BA3">
        <w:t xml:space="preserve"> richtige heffing</w:t>
      </w:r>
      <w:r>
        <w:t>.</w:t>
      </w:r>
    </w:p>
    <w:p w:rsidR="00BA7971" w:rsidRDefault="00BA7971" w:rsidP="000E4C8F">
      <w:pPr>
        <w:spacing w:line="360" w:lineRule="auto"/>
      </w:pPr>
      <w:r>
        <w:tab/>
      </w:r>
      <w:r>
        <w:tab/>
        <w:t xml:space="preserve">                                                                                    </w:t>
      </w:r>
      <w:r w:rsidRPr="000861BA">
        <w:t xml:space="preserve">                                                                                                                                                                                                                                                                                                                                                                                                                                                                                                                                                                                                                                                                                                                                                                                                                                                                    </w:t>
      </w:r>
    </w:p>
    <w:p w:rsidR="00BA7971" w:rsidRPr="007F3DDF" w:rsidRDefault="00BA7971" w:rsidP="000E4C8F">
      <w:pPr>
        <w:spacing w:line="360" w:lineRule="auto"/>
        <w:rPr>
          <w:b/>
          <w:lang w:val="de-DE"/>
        </w:rPr>
      </w:pPr>
      <w:r w:rsidRPr="007F3DDF">
        <w:rPr>
          <w:b/>
          <w:lang w:val="de-DE"/>
        </w:rPr>
        <w:t>3.3 Fraus legis</w:t>
      </w:r>
    </w:p>
    <w:p w:rsidR="00BA7971" w:rsidRPr="007F3DDF" w:rsidRDefault="00BA7971" w:rsidP="000E4C8F">
      <w:pPr>
        <w:spacing w:line="360" w:lineRule="auto"/>
        <w:rPr>
          <w:b/>
          <w:lang w:val="de-DE"/>
        </w:rPr>
      </w:pPr>
      <w:r w:rsidRPr="007F3DDF">
        <w:rPr>
          <w:b/>
          <w:lang w:val="de-DE"/>
        </w:rPr>
        <w:t>3.3.1 Wat is fraus legis?</w:t>
      </w:r>
    </w:p>
    <w:p w:rsidR="00BA7971" w:rsidRDefault="00BA7971" w:rsidP="000E4C8F">
      <w:pPr>
        <w:spacing w:line="360" w:lineRule="auto"/>
      </w:pPr>
      <w:r w:rsidRPr="002E5FF6">
        <w:t xml:space="preserve">Het leerstuk van fraus legis kan geïnterpreteerd worden als het ontgaan of ontwijken van belastingheffing door middel van </w:t>
      </w:r>
      <w:r>
        <w:t>een samenstel van rechtshandelingen</w:t>
      </w:r>
      <w:r w:rsidRPr="002E5FF6">
        <w:t>, waarbij de belastingplichtige</w:t>
      </w:r>
      <w:r>
        <w:t xml:space="preserve"> handelt</w:t>
      </w:r>
      <w:r w:rsidRPr="002E5FF6">
        <w:t xml:space="preserve"> in strijd met doel en strekking van de wet. Vergelijk </w:t>
      </w:r>
      <w:r w:rsidRPr="002E5FF6">
        <w:rPr>
          <w:i/>
        </w:rPr>
        <w:t>Niessen-Cobben</w:t>
      </w:r>
      <w:r w:rsidRPr="0053592C">
        <w:rPr>
          <w:rStyle w:val="FootnoteReference"/>
        </w:rPr>
        <w:footnoteReference w:id="23"/>
      </w:r>
      <w:r w:rsidRPr="002E5FF6">
        <w:t xml:space="preserve"> die het leerstuk </w:t>
      </w:r>
      <w:r>
        <w:t>in alle</w:t>
      </w:r>
      <w:r w:rsidRPr="002E5FF6">
        <w:t>daagse taal formuleert als het op een listige wijze gebruik maken van de mazen van de wet.</w:t>
      </w:r>
      <w:r>
        <w:t xml:space="preserve"> Deze omstandigheid leidde vroeger tot toepassing van de richtige heffing maar sinds 1987 worden ze bestreden met het leerstuk van fraus legis. </w:t>
      </w:r>
    </w:p>
    <w:p w:rsidR="00BA7971" w:rsidRDefault="00BA7971" w:rsidP="000E4C8F">
      <w:pPr>
        <w:spacing w:line="360" w:lineRule="auto"/>
      </w:pPr>
      <w:r>
        <w:t>In tegenstelling tot de richtige heffing geldt fraus legis zowel voor de heffing van directe belastingen als de heffing en invordering van andere belastingen</w:t>
      </w:r>
      <w:r w:rsidRPr="0053592C">
        <w:rPr>
          <w:rStyle w:val="FootnoteReference"/>
        </w:rPr>
        <w:footnoteReference w:id="24"/>
      </w:r>
      <w:r>
        <w:t>. De toepassing van fraus legis is mogelijk indien aan de volgende twee toepassingsvereisten worden voldaan</w:t>
      </w:r>
      <w:r w:rsidRPr="004B3C12">
        <w:rPr>
          <w:rStyle w:val="FootnoteReference"/>
        </w:rPr>
        <w:footnoteReference w:id="25"/>
      </w:r>
      <w:r w:rsidRPr="004B3C12">
        <w:t>:</w:t>
      </w:r>
    </w:p>
    <w:p w:rsidR="00BA7971" w:rsidRDefault="00BA7971" w:rsidP="000E4C8F">
      <w:pPr>
        <w:widowControl/>
        <w:numPr>
          <w:ilvl w:val="0"/>
          <w:numId w:val="4"/>
        </w:numPr>
        <w:spacing w:line="360" w:lineRule="auto"/>
        <w:ind w:left="567" w:hanging="283"/>
        <w:rPr>
          <w:iCs/>
        </w:rPr>
      </w:pPr>
      <w:r w:rsidRPr="00401806">
        <w:rPr>
          <w:iCs/>
        </w:rPr>
        <w:t xml:space="preserve">Belastingverijdeling is het doorslaggevend motief </w:t>
      </w:r>
      <w:r>
        <w:rPr>
          <w:iCs/>
        </w:rPr>
        <w:t>(het motiefvereiste), en</w:t>
      </w:r>
    </w:p>
    <w:p w:rsidR="00BA7971" w:rsidRPr="00AD0B81" w:rsidRDefault="00BA7971" w:rsidP="000E4C8F">
      <w:pPr>
        <w:widowControl/>
        <w:numPr>
          <w:ilvl w:val="0"/>
          <w:numId w:val="4"/>
        </w:numPr>
        <w:spacing w:line="360" w:lineRule="auto"/>
        <w:ind w:left="567" w:hanging="283"/>
      </w:pPr>
      <w:r w:rsidRPr="00AD0B81">
        <w:rPr>
          <w:iCs/>
        </w:rPr>
        <w:t xml:space="preserve">De rechtshandeling is in strijd met doel en strekking van de wet (het normvereiste). </w:t>
      </w:r>
      <w:r w:rsidRPr="00AD0B81">
        <w:rPr>
          <w:iCs/>
        </w:rPr>
        <w:tab/>
        <w:t xml:space="preserve"> </w:t>
      </w:r>
    </w:p>
    <w:p w:rsidR="00BA7971" w:rsidRDefault="00BA7971" w:rsidP="000E4C8F">
      <w:pPr>
        <w:spacing w:line="360" w:lineRule="auto"/>
        <w:rPr>
          <w:b/>
          <w:bCs/>
          <w:iCs/>
        </w:rPr>
      </w:pPr>
      <w:r>
        <w:rPr>
          <w:b/>
          <w:bCs/>
          <w:iCs/>
        </w:rPr>
        <w:t>3.3.2 Het motiefvereiste</w:t>
      </w:r>
    </w:p>
    <w:p w:rsidR="00BA7971" w:rsidRDefault="00BA7971" w:rsidP="000E4C8F">
      <w:pPr>
        <w:spacing w:line="360" w:lineRule="auto"/>
        <w:rPr>
          <w:iCs/>
          <w:color w:val="000000"/>
        </w:rPr>
      </w:pPr>
      <w:r>
        <w:rPr>
          <w:iCs/>
          <w:color w:val="000000"/>
        </w:rPr>
        <w:t>Het motiefvereiste is het eerste vereiste dat nodig is voor de toepassing van het leerstuk van fraus legis. Het houdt in dat een rechtshandeling is uitgevoerd, terwijl ondanks de aanwezigheid van een zakelijk motief de wil (slechts) gericht is op het behalen van een door de wetgever niet-bedoeld fiscaal voordeel</w:t>
      </w:r>
      <w:r w:rsidRPr="003C0282">
        <w:rPr>
          <w:rStyle w:val="FootnoteReference"/>
          <w:iCs/>
        </w:rPr>
        <w:footnoteReference w:id="26"/>
      </w:r>
      <w:r>
        <w:rPr>
          <w:iCs/>
          <w:color w:val="000000"/>
        </w:rPr>
        <w:t xml:space="preserve">. In </w:t>
      </w:r>
      <w:r w:rsidRPr="0095387D">
        <w:rPr>
          <w:i/>
          <w:iCs/>
          <w:color w:val="000000"/>
        </w:rPr>
        <w:t>HR 21 september 1983</w:t>
      </w:r>
      <w:r>
        <w:rPr>
          <w:i/>
          <w:iCs/>
          <w:color w:val="000000"/>
        </w:rPr>
        <w:t xml:space="preserve">, nr. 22060, BNB 1983/316 </w:t>
      </w:r>
      <w:r w:rsidRPr="00D61E65">
        <w:rPr>
          <w:iCs/>
          <w:color w:val="000000"/>
        </w:rPr>
        <w:t xml:space="preserve">wordt </w:t>
      </w:r>
      <w:r>
        <w:rPr>
          <w:iCs/>
          <w:color w:val="000000"/>
        </w:rPr>
        <w:t xml:space="preserve">dit gerefereerd als andere dan fiscale oogmerken die een meer dan bijkomstige rol hebben gespeeld bij het in het leven roepen van de gewraakte rechtshandelingen. De fiscale redenen van de belanghebbende namen niet weg dat met het samenstel van de rechtshandelingen werd beoogd de Nederlandse belastingheffing te verijdelen. </w:t>
      </w: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ind w:firstLine="708"/>
        <w:rPr>
          <w:iCs/>
          <w:color w:val="000000"/>
        </w:rPr>
      </w:pPr>
    </w:p>
    <w:p w:rsidR="00BA7971" w:rsidRDefault="00BA7971" w:rsidP="006C0067">
      <w:pPr>
        <w:spacing w:line="360" w:lineRule="auto"/>
        <w:rPr>
          <w:b/>
          <w:bCs/>
          <w:iCs/>
          <w:color w:val="FF0000"/>
        </w:rPr>
      </w:pPr>
      <w:r>
        <w:rPr>
          <w:iCs/>
          <w:color w:val="000000"/>
        </w:rPr>
        <w:t>Echter, v</w:t>
      </w:r>
      <w:r w:rsidRPr="00C85DFA">
        <w:rPr>
          <w:bCs/>
          <w:iCs/>
        </w:rPr>
        <w:t xml:space="preserve">oor het eerst in </w:t>
      </w:r>
      <w:r w:rsidRPr="00D67804">
        <w:rPr>
          <w:bCs/>
          <w:i/>
          <w:iCs/>
        </w:rPr>
        <w:t>HR 11 juli 1990, nr. 26306, BNB 1990/293</w:t>
      </w:r>
      <w:r w:rsidRPr="00C85DFA">
        <w:rPr>
          <w:bCs/>
          <w:iCs/>
        </w:rPr>
        <w:t xml:space="preserve"> blijken zowel belastingverijdeling als de ‘verschillende wegen’ leer van belang te zijn voor de beoordeling op aanwezigheid van het motiefvereiste</w:t>
      </w:r>
      <w:r w:rsidRPr="002A06A7">
        <w:rPr>
          <w:rStyle w:val="FootnoteReference"/>
          <w:bCs/>
          <w:iCs/>
        </w:rPr>
        <w:footnoteReference w:id="27"/>
      </w:r>
      <w:r w:rsidRPr="002A06A7">
        <w:rPr>
          <w:bCs/>
          <w:iCs/>
        </w:rPr>
        <w:t>.</w:t>
      </w:r>
      <w:r>
        <w:rPr>
          <w:bCs/>
          <w:iCs/>
        </w:rPr>
        <w:t xml:space="preserve"> </w:t>
      </w:r>
    </w:p>
    <w:p w:rsidR="00BA7971" w:rsidRDefault="00BA7971" w:rsidP="000E4C8F">
      <w:pPr>
        <w:spacing w:line="360" w:lineRule="auto"/>
        <w:rPr>
          <w:color w:val="000000"/>
        </w:rPr>
      </w:pPr>
      <w:r w:rsidRPr="00DF423C">
        <w:rPr>
          <w:bCs/>
          <w:iCs/>
        </w:rPr>
        <w:t>De ‘verschillende</w:t>
      </w:r>
      <w:r>
        <w:rPr>
          <w:bCs/>
          <w:iCs/>
        </w:rPr>
        <w:t>-</w:t>
      </w:r>
      <w:r w:rsidRPr="00DF423C">
        <w:rPr>
          <w:bCs/>
          <w:iCs/>
        </w:rPr>
        <w:t xml:space="preserve">wegen’ leer </w:t>
      </w:r>
      <w:r>
        <w:rPr>
          <w:bCs/>
          <w:iCs/>
        </w:rPr>
        <w:t xml:space="preserve">wordt in </w:t>
      </w:r>
      <w:r w:rsidRPr="00F74EAC">
        <w:rPr>
          <w:i/>
        </w:rPr>
        <w:t>HR 6 september, nr. 27 927, BNB 1996/4c</w:t>
      </w:r>
      <w:r>
        <w:rPr>
          <w:bCs/>
          <w:iCs/>
        </w:rPr>
        <w:t xml:space="preserve"> als volgt </w:t>
      </w:r>
      <w:r w:rsidRPr="00DF423C">
        <w:rPr>
          <w:bCs/>
          <w:iCs/>
        </w:rPr>
        <w:t>omschreven</w:t>
      </w:r>
      <w:r w:rsidRPr="00040214">
        <w:rPr>
          <w:bCs/>
        </w:rPr>
        <w:t>:</w:t>
      </w:r>
      <w:r>
        <w:rPr>
          <w:color w:val="000000"/>
        </w:rPr>
        <w:t xml:space="preserve"> “De omstandigheid dat een samenstel van rechtshandeling, in zijn geheel bezien, strekt ter verwezenlijking van zakelijk gefundeerde doeleinden, sluit niet uit dat daarin rechtshandelingen zijn begrepen die voor het bereiken van de doeleinden niet noodzakelijk zijn en die - indien zij voor de heffing van de vennootschapsbelasting zouden worden aanvaard- zouden leiden tot een willekeurige en voortdurende verijdeling van deze heffing”.</w:t>
      </w:r>
    </w:p>
    <w:p w:rsidR="00BA7971" w:rsidRDefault="00BA7971" w:rsidP="000E4C8F">
      <w:pPr>
        <w:spacing w:line="360" w:lineRule="auto"/>
        <w:ind w:firstLine="708"/>
        <w:rPr>
          <w:color w:val="FF0000"/>
        </w:rPr>
      </w:pPr>
      <w:r>
        <w:rPr>
          <w:color w:val="000000"/>
        </w:rPr>
        <w:t>In zijn noot bij BNB 1983/316 noemt Hofstra twee punten die belangrijk zijn bij de beoordeling van het motiefvereiste. Het eerste punt betreft de reikwijdte van de richtige heffing (welke</w:t>
      </w:r>
      <w:r w:rsidRPr="00E66282">
        <w:rPr>
          <w:color w:val="000000"/>
        </w:rPr>
        <w:t xml:space="preserve"> mijns inzien</w:t>
      </w:r>
      <w:r>
        <w:rPr>
          <w:color w:val="000000"/>
        </w:rPr>
        <w:t>s</w:t>
      </w:r>
      <w:r w:rsidRPr="00E66282">
        <w:rPr>
          <w:color w:val="000000"/>
        </w:rPr>
        <w:t xml:space="preserve"> ook zou gelden voor het leerstuk van fraus legis</w:t>
      </w:r>
      <w:r>
        <w:rPr>
          <w:color w:val="000000"/>
        </w:rPr>
        <w:t>) die</w:t>
      </w:r>
      <w:r w:rsidRPr="00E66282">
        <w:rPr>
          <w:color w:val="000000"/>
        </w:rPr>
        <w:t xml:space="preserve"> beperkt is tot de Nederlandse belastingheffing.</w:t>
      </w:r>
      <w:r>
        <w:rPr>
          <w:color w:val="000000"/>
        </w:rPr>
        <w:t xml:space="preserve"> In dit arrest achtte het Hof niet aannemelijk gemaakt dat ten opzichte van de Nederlandse belastingheffing de Belgische fiscale redenen die belanghebbende heeft gesteld een meer dan bijkomstige rol hebben gespeeld. Het tweede punt is dat de Hoge Raad heeft besloten dat de richtige heffing mede op een gedeelte van een rechtshandeling plaats kan vinden</w:t>
      </w:r>
      <w:r w:rsidRPr="00CB395C">
        <w:rPr>
          <w:rStyle w:val="FootnoteReference"/>
        </w:rPr>
        <w:footnoteReference w:id="28"/>
      </w:r>
      <w:r>
        <w:rPr>
          <w:color w:val="000000"/>
        </w:rPr>
        <w:t xml:space="preserve">. </w:t>
      </w:r>
      <w:r w:rsidRPr="00592674">
        <w:t>Mijns inziens is dit de correcte manier.</w:t>
      </w:r>
      <w:r>
        <w:rPr>
          <w:color w:val="FF0000"/>
        </w:rPr>
        <w:t xml:space="preserve"> </w:t>
      </w:r>
      <w:r w:rsidRPr="008679A1">
        <w:t>Bij een samenstel van rechtshandelingen kan het voorkomen dat slechts een gedeelte van dat samenstel niet in overeenstemming is met de wet.</w:t>
      </w:r>
      <w:r w:rsidRPr="00B30110">
        <w:rPr>
          <w:color w:val="FF0000"/>
        </w:rPr>
        <w:t xml:space="preserve"> </w:t>
      </w:r>
      <w:r w:rsidRPr="00457CAB">
        <w:t>Door de toetsing zo uit te voeren, wordt voorkomen dat ten onrechte het motiefvereiste aanwezig wordt geacht en de belastingplichtige zodoende ten onrechte wordt geconfronteerd met fraus legis.</w:t>
      </w:r>
      <w:r>
        <w:rPr>
          <w:color w:val="FF0000"/>
        </w:rPr>
        <w:t xml:space="preserve"> </w:t>
      </w:r>
    </w:p>
    <w:p w:rsidR="00BA7971" w:rsidRDefault="00BA7971" w:rsidP="000E4C8F">
      <w:pPr>
        <w:spacing w:line="360" w:lineRule="auto"/>
        <w:ind w:firstLine="708"/>
        <w:rPr>
          <w:b/>
        </w:rPr>
      </w:pPr>
    </w:p>
    <w:p w:rsidR="00BA7971" w:rsidRDefault="00BA7971" w:rsidP="000E4C8F">
      <w:pPr>
        <w:spacing w:line="360" w:lineRule="auto"/>
        <w:rPr>
          <w:b/>
        </w:rPr>
      </w:pPr>
      <w:r>
        <w:rPr>
          <w:b/>
        </w:rPr>
        <w:t xml:space="preserve">3.3.3 Het normvereiste </w:t>
      </w:r>
      <w:r>
        <w:rPr>
          <w:rStyle w:val="FootnoteReference"/>
          <w:b/>
        </w:rPr>
        <w:footnoteReference w:id="29"/>
      </w:r>
    </w:p>
    <w:p w:rsidR="00BA7971" w:rsidRDefault="00BA7971" w:rsidP="000E4C8F">
      <w:pPr>
        <w:spacing w:line="360" w:lineRule="auto"/>
      </w:pPr>
      <w:r>
        <w:t>Gegeven het motiefvereiste is het normvereiste het tweede vereiste dat aanwezig moet zijn wil het leerstuk van wetsontduiking toegepast worden. Dit vereiste houdt in dat een rechtshandeling verricht is waarbij sprake is van strijdigheid met doel en strekking van de wet</w:t>
      </w:r>
      <w:r w:rsidRPr="00C416BB">
        <w:t xml:space="preserve">. </w:t>
      </w:r>
      <w:r>
        <w:t>De rechtshandeling is uitgevoerd door een bepaalde wetsbepaling toe te passen, terwijl het door de belastingplichtige beoogde fiscale voordeel niet zo is gewild door de wetgever</w:t>
      </w:r>
      <w:r w:rsidRPr="003872DD">
        <w:rPr>
          <w:rStyle w:val="FootnoteReference"/>
        </w:rPr>
        <w:footnoteReference w:id="30"/>
      </w:r>
      <w:r w:rsidRPr="003872DD">
        <w:t>.</w:t>
      </w:r>
    </w:p>
    <w:p w:rsidR="00BA7971" w:rsidRDefault="00BA7971" w:rsidP="000E4C8F">
      <w:pPr>
        <w:spacing w:line="360" w:lineRule="auto"/>
      </w:pPr>
      <w:r>
        <w:t xml:space="preserve">Afgevraagd moet worden wat het doel is van de belastingwetgeving. In dit kader dient </w:t>
      </w: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pPr>
    </w:p>
    <w:p w:rsidR="00BA7971" w:rsidRPr="00C1045F" w:rsidRDefault="00BA7971" w:rsidP="000E4C8F">
      <w:pPr>
        <w:spacing w:line="360" w:lineRule="auto"/>
      </w:pPr>
      <w:r>
        <w:t>uitdrukkelijk te worden vermeld dat hiermee niet wordt bedoeld om zoveel mogelijk geld te innen voor de staatskas</w:t>
      </w:r>
      <w:r w:rsidRPr="00F86523">
        <w:rPr>
          <w:rStyle w:val="FootnoteReference"/>
        </w:rPr>
        <w:footnoteReference w:id="31"/>
      </w:r>
      <w:r w:rsidRPr="00F86523">
        <w:t>.</w:t>
      </w:r>
      <w:r>
        <w:t xml:space="preserve"> </w:t>
      </w:r>
      <w:r w:rsidRPr="00C1045F">
        <w:t>Volgens Besselaar</w:t>
      </w:r>
      <w:r w:rsidRPr="00C1045F">
        <w:rPr>
          <w:rStyle w:val="FootnoteReference"/>
        </w:rPr>
        <w:footnoteReference w:id="32"/>
      </w:r>
      <w:r w:rsidRPr="00C1045F">
        <w:t xml:space="preserve"> is het doel van de wet het heffen van belasting. Het normvereiste dient volgens hem </w:t>
      </w:r>
      <w:r>
        <w:t xml:space="preserve">zodanig </w:t>
      </w:r>
      <w:r w:rsidRPr="00C1045F">
        <w:t xml:space="preserve">te worden geformuleerd dat sprake is van strijd met doel en strekking van een specifieke wetsbepaling. Doel en strekking van </w:t>
      </w:r>
      <w:r>
        <w:t>dit laatste</w:t>
      </w:r>
      <w:r w:rsidRPr="00C1045F">
        <w:t xml:space="preserve"> </w:t>
      </w:r>
      <w:r>
        <w:t>levert m</w:t>
      </w:r>
      <w:r w:rsidRPr="00C1045F">
        <w:t xml:space="preserve">eer duidelijkheid op over </w:t>
      </w:r>
      <w:r>
        <w:t>welke</w:t>
      </w:r>
      <w:r w:rsidRPr="00C1045F">
        <w:t xml:space="preserve"> rechtsregel zou zijn geschonden. Ik sluit me aan bij deze mening</w:t>
      </w:r>
      <w:r>
        <w:t>.</w:t>
      </w:r>
      <w:r w:rsidRPr="00C1045F">
        <w:t xml:space="preserve"> </w:t>
      </w:r>
      <w:r>
        <w:t>Deze kijkwijze</w:t>
      </w:r>
      <w:r w:rsidRPr="00C1045F">
        <w:t xml:space="preserve"> zorgt voor een soepeler verloop van het onderzoek. </w:t>
      </w:r>
      <w:r>
        <w:t xml:space="preserve">Het onderzoek is namelijk direct gericht op datgene dat getoetst mot worden. Bovendien </w:t>
      </w:r>
      <w:r w:rsidRPr="00550004">
        <w:t xml:space="preserve">is het zo dat de belastingplichtige een </w:t>
      </w:r>
      <w:r>
        <w:t>specifieke wetsbepaling schendt. M</w:t>
      </w:r>
      <w:r w:rsidRPr="00550004">
        <w:t xml:space="preserve">ijns inziens </w:t>
      </w:r>
      <w:r>
        <w:t xml:space="preserve">is het een </w:t>
      </w:r>
      <w:r w:rsidRPr="00550004">
        <w:t>tijdverdrijf</w:t>
      </w:r>
      <w:r>
        <w:t xml:space="preserve"> </w:t>
      </w:r>
      <w:r w:rsidRPr="00550004">
        <w:t>om de gepleegde rechtshandeling te</w:t>
      </w:r>
      <w:r>
        <w:t xml:space="preserve"> </w:t>
      </w:r>
      <w:r w:rsidRPr="00550004">
        <w:t>toetsen op doel en strekking van de gehele belastingwet.</w:t>
      </w:r>
      <w:r w:rsidRPr="00C1045F">
        <w:t xml:space="preserve"> </w:t>
      </w:r>
    </w:p>
    <w:p w:rsidR="00BA7971" w:rsidRDefault="00BA7971" w:rsidP="000E4C8F">
      <w:pPr>
        <w:spacing w:line="360" w:lineRule="auto"/>
      </w:pPr>
    </w:p>
    <w:p w:rsidR="00BA7971" w:rsidRDefault="00BA7971" w:rsidP="000E4C8F">
      <w:pPr>
        <w:spacing w:line="360" w:lineRule="auto"/>
        <w:rPr>
          <w:b/>
        </w:rPr>
      </w:pPr>
      <w:r>
        <w:rPr>
          <w:b/>
        </w:rPr>
        <w:t>3</w:t>
      </w:r>
      <w:r w:rsidRPr="002F414C">
        <w:rPr>
          <w:b/>
        </w:rPr>
        <w:t>.3.</w:t>
      </w:r>
      <w:r>
        <w:rPr>
          <w:b/>
        </w:rPr>
        <w:t>4</w:t>
      </w:r>
      <w:r w:rsidRPr="002F414C">
        <w:rPr>
          <w:b/>
        </w:rPr>
        <w:t xml:space="preserve"> </w:t>
      </w:r>
      <w:r>
        <w:rPr>
          <w:b/>
        </w:rPr>
        <w:t>Uitwerking van het leerstuk fraus legis</w:t>
      </w:r>
    </w:p>
    <w:p w:rsidR="00BA7971" w:rsidRDefault="00BA7971" w:rsidP="000E4C8F">
      <w:pPr>
        <w:spacing w:line="360" w:lineRule="auto"/>
      </w:pPr>
      <w:r>
        <w:t xml:space="preserve">Voor de toepassing van het leerstuk fraus legis moet uiteraard eerst aan de zojuist behandelde twee criteria worden voldaan. Als vaststaat dat aan deze toepassingsvereisten is voldaan, volgt de uitwerking van het leerstuk. </w:t>
      </w:r>
    </w:p>
    <w:p w:rsidR="00BA7971" w:rsidRDefault="00BA7971" w:rsidP="000E4C8F">
      <w:pPr>
        <w:spacing w:line="360" w:lineRule="auto"/>
        <w:ind w:firstLine="708"/>
      </w:pPr>
      <w:r>
        <w:t xml:space="preserve">Richtige heffing geeft de fiscus slechts de mogelijkheid van ‘eliminatie’ (zie § 3.2), terwijl het leerstuk van fraus legis daartegenover de mogelijkheid geeft van vervanging van de gepleegde rechtshandeling door de meest nabijgelegen, wel tot belastingheffing leidende, rechtshandeling </w:t>
      </w:r>
      <w:r w:rsidRPr="00B634FA">
        <w:rPr>
          <w:rStyle w:val="FootnoteReference"/>
        </w:rPr>
        <w:footnoteReference w:id="33"/>
      </w:r>
      <w:r w:rsidRPr="00B634FA">
        <w:t xml:space="preserve">. </w:t>
      </w:r>
      <w:r w:rsidRPr="00D260E0">
        <w:t xml:space="preserve">Toepassing van fraus legis in het belastingrecht </w:t>
      </w:r>
      <w:r>
        <w:t>zal volgens IJ</w:t>
      </w:r>
      <w:r w:rsidRPr="00D260E0">
        <w:t>zerman</w:t>
      </w:r>
      <w:r w:rsidRPr="00D260E0">
        <w:rPr>
          <w:rStyle w:val="FootnoteReference"/>
        </w:rPr>
        <w:footnoteReference w:id="34"/>
      </w:r>
      <w:r>
        <w:t xml:space="preserve"> geen sanctie bevatten, maar zal slechts</w:t>
      </w:r>
      <w:r w:rsidRPr="00D260E0">
        <w:t xml:space="preserve"> </w:t>
      </w:r>
      <w:r>
        <w:t xml:space="preserve">leiden </w:t>
      </w:r>
      <w:r w:rsidRPr="00D260E0">
        <w:t xml:space="preserve">tot een naar doel en strekking </w:t>
      </w:r>
      <w:r>
        <w:t xml:space="preserve">van de wet </w:t>
      </w:r>
      <w:r w:rsidRPr="00D260E0">
        <w:t xml:space="preserve">geconverteerd feitencomplex. </w:t>
      </w:r>
      <w:r>
        <w:t xml:space="preserve">Mijns inziens is het woordgebruik van IJzerman in deze context wat onduidelijk. Sanctie betekent mijns inziens hier een straf, zodat het als zodanig converteren van de rechtshandeling vanuit mijn oogpunt wel een sanctie bevat. Bovendien kan er nog bij sprake van grove schuld of opzet een vergrijpboete worden opgelegd. </w:t>
      </w:r>
    </w:p>
    <w:p w:rsidR="00BA7971" w:rsidRDefault="00BA7971" w:rsidP="000E4C8F">
      <w:pPr>
        <w:spacing w:line="360" w:lineRule="auto"/>
        <w:ind w:firstLine="708"/>
      </w:pPr>
      <w:r>
        <w:t xml:space="preserve">Opgemerkt dient te worden dat fiscale conversie en de uitwerking van fraus legis niet hetzelfde is. Ze resulteren meestal wel in dezelfde uitkomst, namelijk een situatie die meer beantwoordt aan doel en strekking van de wet. </w:t>
      </w:r>
      <w:r w:rsidRPr="000203FA">
        <w:t>Bij fraus legis strekt de rechter de wettelijke norm zodanig op dat de voorgelegde situatie toch onder de wettelijke bepaling valt</w:t>
      </w:r>
      <w:r>
        <w:t>, terwijl a</w:t>
      </w:r>
      <w:r w:rsidRPr="000203FA">
        <w:t>an de fiscale conversie een zodanig rechtsgevolg wordt verbonden dat deze met de in de wetsnorm begrepen bedoeling harmonieert.</w:t>
      </w:r>
      <w:r>
        <w:t xml:space="preserve"> Dit </w:t>
      </w:r>
      <w:r w:rsidRPr="000203FA">
        <w:t xml:space="preserve">verschil </w:t>
      </w:r>
      <w:r>
        <w:t xml:space="preserve">duidt aan </w:t>
      </w:r>
      <w:r w:rsidRPr="000203FA">
        <w:t xml:space="preserve">dat fiscale conversie anders </w:t>
      </w:r>
    </w:p>
    <w:p w:rsidR="00BA7971" w:rsidRPr="00402470" w:rsidRDefault="00BA7971" w:rsidP="00402470">
      <w:pPr>
        <w:spacing w:line="360" w:lineRule="auto"/>
        <w:jc w:val="right"/>
        <w:rPr>
          <w:b/>
          <w:i/>
          <w:sz w:val="22"/>
          <w:szCs w:val="22"/>
        </w:rPr>
      </w:pPr>
      <w:r w:rsidRPr="00402470">
        <w:rPr>
          <w:b/>
          <w:i/>
          <w:sz w:val="22"/>
          <w:szCs w:val="22"/>
        </w:rPr>
        <w:t xml:space="preserve">Hoofdstuk </w:t>
      </w:r>
      <w:r>
        <w:rPr>
          <w:b/>
          <w:i/>
          <w:sz w:val="22"/>
          <w:szCs w:val="22"/>
        </w:rPr>
        <w:t>3: Het leerstuk van fraus legis</w:t>
      </w:r>
    </w:p>
    <w:p w:rsidR="00BA7971" w:rsidRDefault="00BA7971" w:rsidP="00402470">
      <w:pPr>
        <w:pBdr>
          <w:top w:val="single" w:sz="4" w:space="1" w:color="auto"/>
        </w:pBdr>
        <w:spacing w:line="360" w:lineRule="auto"/>
      </w:pPr>
    </w:p>
    <w:p w:rsidR="00BA7971" w:rsidRPr="000203FA" w:rsidRDefault="00BA7971" w:rsidP="00402470">
      <w:pPr>
        <w:spacing w:line="360" w:lineRule="auto"/>
      </w:pPr>
      <w:r w:rsidRPr="000203FA">
        <w:t>dan fraus legis ook in het voordeel van een belanghebbende kan uitpakken</w:t>
      </w:r>
      <w:r>
        <w:rPr>
          <w:rStyle w:val="FootnoteReference"/>
        </w:rPr>
        <w:footnoteReference w:id="35"/>
      </w:r>
      <w:r w:rsidRPr="000203FA">
        <w:t>.</w:t>
      </w:r>
    </w:p>
    <w:p w:rsidR="00BA7971" w:rsidRDefault="00BA7971" w:rsidP="000E4C8F">
      <w:pPr>
        <w:spacing w:line="360" w:lineRule="auto"/>
      </w:pPr>
    </w:p>
    <w:p w:rsidR="00BA7971" w:rsidRDefault="00BA7971" w:rsidP="000E4C8F">
      <w:pPr>
        <w:spacing w:line="360" w:lineRule="auto"/>
        <w:rPr>
          <w:b/>
        </w:rPr>
      </w:pPr>
      <w:r>
        <w:rPr>
          <w:b/>
        </w:rPr>
        <w:t>3</w:t>
      </w:r>
      <w:r w:rsidRPr="005B0A9D">
        <w:rPr>
          <w:b/>
        </w:rPr>
        <w:t>.4 Conclusie</w:t>
      </w:r>
    </w:p>
    <w:p w:rsidR="00BA7971" w:rsidRDefault="00BA7971" w:rsidP="000E4C8F">
      <w:pPr>
        <w:spacing w:line="360" w:lineRule="auto"/>
      </w:pPr>
      <w:r>
        <w:t xml:space="preserve">Sinds 1987 is het leerstuk van fraus legis de enige in de praktijk gebruikte rechtsmiddel, dit vanwege zijn bredere reikwijdte zoals de mogelijkheid om die op de gehele belastingwet toe te passen. De twee benodigde vereisten voor toepassing van dit leerstuk zijn belastingverijdeling als doorslaggevend motief en de strijdigheid met doel en strekking van de wet. </w:t>
      </w:r>
      <w:r w:rsidRPr="00996B16">
        <w:t>Fraus legis werkt uit in de vorm van substitutie van de verrichte handeling door een (wel) belaste rechtshandeling</w:t>
      </w:r>
      <w:r>
        <w:t>.</w:t>
      </w:r>
      <w:r w:rsidRPr="00996B16">
        <w:t xml:space="preserve"> </w:t>
      </w:r>
      <w:r>
        <w:t>Dit</w:t>
      </w:r>
      <w:r w:rsidRPr="00EE4E6D">
        <w:t xml:space="preserve"> komt overeen met het resultaat van fiscale conversie, </w:t>
      </w:r>
      <w:r>
        <w:t>welke</w:t>
      </w:r>
      <w:r w:rsidRPr="00EE4E6D">
        <w:t xml:space="preserve"> leidt naar een situatie die de wetgever heeft beoogd.</w:t>
      </w:r>
      <w:r>
        <w:t xml:space="preserve"> </w:t>
      </w:r>
    </w:p>
    <w:p w:rsidR="00BA7971" w:rsidRDefault="00BA7971" w:rsidP="000E4C8F">
      <w:pPr>
        <w:spacing w:line="360" w:lineRule="auto"/>
      </w:pPr>
    </w:p>
    <w:p w:rsidR="00BA7971" w:rsidRDefault="00BA7971" w:rsidP="000E4C8F">
      <w:pPr>
        <w:spacing w:line="360" w:lineRule="auto"/>
      </w:pPr>
      <w:r>
        <w:t xml:space="preserve">In het volgende hoofdstuk zal de codificatie van de rechtspraken met betrekking tot winstdrainage in artikel 10a Wet Vpb 1969 behandeld worden, met als doel de reden ervan te ontdekken. </w:t>
      </w:r>
    </w:p>
    <w:p w:rsidR="00BA7971" w:rsidRPr="00402470" w:rsidRDefault="00BA7971" w:rsidP="006C0067">
      <w:pPr>
        <w:widowControl/>
        <w:suppressAutoHyphens w:val="0"/>
        <w:spacing w:after="200" w:line="276" w:lineRule="auto"/>
        <w:jc w:val="right"/>
        <w:rPr>
          <w:b/>
          <w:i/>
          <w:sz w:val="22"/>
          <w:szCs w:val="22"/>
        </w:rPr>
      </w:pPr>
      <w:r>
        <w:rPr>
          <w:b/>
          <w:sz w:val="28"/>
          <w:szCs w:val="28"/>
        </w:rPr>
        <w:br w:type="page"/>
      </w: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jc w:val="center"/>
        <w:rPr>
          <w:b/>
          <w:sz w:val="28"/>
          <w:szCs w:val="28"/>
        </w:rPr>
      </w:pPr>
    </w:p>
    <w:p w:rsidR="00BA7971" w:rsidRPr="00251758" w:rsidRDefault="00BA7971" w:rsidP="00A65600">
      <w:pPr>
        <w:spacing w:line="360" w:lineRule="auto"/>
        <w:jc w:val="center"/>
        <w:rPr>
          <w:b/>
          <w:sz w:val="28"/>
          <w:szCs w:val="28"/>
        </w:rPr>
      </w:pPr>
      <w:r w:rsidRPr="00251758">
        <w:rPr>
          <w:b/>
          <w:sz w:val="28"/>
          <w:szCs w:val="28"/>
        </w:rPr>
        <w:t xml:space="preserve">Hoofdstuk </w:t>
      </w:r>
      <w:r>
        <w:rPr>
          <w:b/>
          <w:sz w:val="28"/>
          <w:szCs w:val="28"/>
        </w:rPr>
        <w:t>4</w:t>
      </w:r>
    </w:p>
    <w:p w:rsidR="00BA7971" w:rsidRPr="00251758" w:rsidRDefault="00BA7971" w:rsidP="00A65600">
      <w:pPr>
        <w:spacing w:line="360" w:lineRule="auto"/>
        <w:jc w:val="center"/>
        <w:rPr>
          <w:b/>
          <w:sz w:val="28"/>
          <w:szCs w:val="28"/>
        </w:rPr>
      </w:pPr>
      <w:r>
        <w:rPr>
          <w:b/>
          <w:sz w:val="28"/>
          <w:szCs w:val="28"/>
        </w:rPr>
        <w:t>DE CODIFICATIE</w:t>
      </w:r>
    </w:p>
    <w:p w:rsidR="00BA7971" w:rsidRPr="00251758" w:rsidRDefault="00BA7971" w:rsidP="00294F74">
      <w:pPr>
        <w:spacing w:line="360" w:lineRule="auto"/>
        <w:rPr>
          <w:b/>
        </w:rPr>
      </w:pPr>
    </w:p>
    <w:p w:rsidR="00BA7971" w:rsidRPr="00251758" w:rsidRDefault="00BA7971" w:rsidP="00294F74">
      <w:pPr>
        <w:spacing w:line="360" w:lineRule="auto"/>
        <w:rPr>
          <w:b/>
        </w:rPr>
      </w:pPr>
      <w:r>
        <w:rPr>
          <w:b/>
        </w:rPr>
        <w:t>4</w:t>
      </w:r>
      <w:r w:rsidRPr="00251758">
        <w:rPr>
          <w:b/>
        </w:rPr>
        <w:t>.1 Inleiding</w:t>
      </w:r>
    </w:p>
    <w:p w:rsidR="00BA7971" w:rsidRDefault="00BA7971" w:rsidP="00294F74">
      <w:pPr>
        <w:spacing w:line="360" w:lineRule="auto"/>
      </w:pPr>
      <w:r w:rsidRPr="00251758">
        <w:t>In het vorig</w:t>
      </w:r>
      <w:r>
        <w:t>e</w:t>
      </w:r>
      <w:r w:rsidRPr="00251758">
        <w:t xml:space="preserve"> hoofdstuk is </w:t>
      </w:r>
      <w:r>
        <w:t xml:space="preserve">het leerstuk van fraus legis behandeld. Daarin werd </w:t>
      </w:r>
      <w:r w:rsidRPr="00251758">
        <w:t xml:space="preserve">bepaald dat </w:t>
      </w:r>
      <w:r>
        <w:t>di</w:t>
      </w:r>
      <w:r w:rsidRPr="00251758">
        <w:t xml:space="preserve">t leerstuk slechts kan worden toegepast indien er rechtshandelingen zijn verricht waarbij het doorslaggevend motief belastingverijdeling is en daarbij tevens sprake is van het in strijd zijn met doel en strekking van de wetgeving. </w:t>
      </w:r>
      <w:r>
        <w:t xml:space="preserve">Er is veel jurisprudentie geweest inzake fraus legis, met name met betrekking tot de problematiek van winstdrainage. In deze arresten was er steeds een geschil over de vraag of renteaftrek door toepassing van fraus legis geweigerd kan worden. De wetgever besloot om </w:t>
      </w:r>
      <w:r w:rsidRPr="00251758">
        <w:t>d</w:t>
      </w:r>
      <w:r>
        <w:t>eze uitspraken p</w:t>
      </w:r>
      <w:r w:rsidRPr="00251758">
        <w:t xml:space="preserve">er 26 december 1996 </w:t>
      </w:r>
      <w:r>
        <w:t xml:space="preserve">in </w:t>
      </w:r>
      <w:r w:rsidRPr="00251758">
        <w:t>een specifieke wetsbepaling</w:t>
      </w:r>
      <w:r>
        <w:t xml:space="preserve"> te </w:t>
      </w:r>
      <w:r w:rsidRPr="00251758">
        <w:t>codifice</w:t>
      </w:r>
      <w:r>
        <w:t>ren</w:t>
      </w:r>
      <w:r w:rsidRPr="00251758">
        <w:t xml:space="preserve">, </w:t>
      </w:r>
      <w:r>
        <w:t>namelijk</w:t>
      </w:r>
      <w:r w:rsidRPr="00251758">
        <w:t xml:space="preserve"> in artikel 10a Wet V</w:t>
      </w:r>
      <w:r>
        <w:t>pb 1969</w:t>
      </w:r>
      <w:r w:rsidRPr="00251758">
        <w:t xml:space="preserve">. </w:t>
      </w:r>
    </w:p>
    <w:p w:rsidR="00BA7971" w:rsidRDefault="00BA7971" w:rsidP="00294F74">
      <w:pPr>
        <w:spacing w:line="360" w:lineRule="auto"/>
      </w:pPr>
      <w:r w:rsidRPr="00251758">
        <w:t xml:space="preserve">Aan de introductie van elke wetsbepaling is een reden verbonden en dat zal mijns inziens </w:t>
      </w:r>
      <w:r>
        <w:t>ook</w:t>
      </w:r>
      <w:r w:rsidRPr="00251758">
        <w:t xml:space="preserve"> het geval zijn geweest bij de introductie van artikel 10a Wet V</w:t>
      </w:r>
      <w:r>
        <w:t>pb 1969</w:t>
      </w:r>
      <w:r w:rsidRPr="00251758">
        <w:t xml:space="preserve">. </w:t>
      </w:r>
      <w:r>
        <w:t xml:space="preserve">Vandaar dat aan de hand van enkele winstdrainage arresten de volgende deelvraag onderzocht zal worden: </w:t>
      </w:r>
    </w:p>
    <w:p w:rsidR="00BA7971" w:rsidRPr="00251758" w:rsidRDefault="00BA7971" w:rsidP="00022707">
      <w:pPr>
        <w:spacing w:line="360" w:lineRule="auto"/>
        <w:rPr>
          <w:b/>
          <w:i/>
        </w:rPr>
      </w:pPr>
      <w:r w:rsidRPr="00251758">
        <w:rPr>
          <w:b/>
          <w:i/>
        </w:rPr>
        <w:t>Wat was de reden voor codificatie van</w:t>
      </w:r>
      <w:r>
        <w:rPr>
          <w:b/>
          <w:i/>
        </w:rPr>
        <w:t xml:space="preserve"> de rechtspraak met betrekking tot winstdrainage</w:t>
      </w:r>
      <w:r w:rsidRPr="00251758">
        <w:rPr>
          <w:b/>
          <w:i/>
        </w:rPr>
        <w:t xml:space="preserve"> in artikel 10a Wet V</w:t>
      </w:r>
      <w:r>
        <w:rPr>
          <w:b/>
          <w:i/>
        </w:rPr>
        <w:t>pb 1969</w:t>
      </w:r>
      <w:r w:rsidRPr="00251758">
        <w:rPr>
          <w:b/>
          <w:i/>
        </w:rPr>
        <w:t xml:space="preserve">? </w:t>
      </w:r>
    </w:p>
    <w:p w:rsidR="00BA7971" w:rsidRDefault="00BA7971" w:rsidP="000E4C8F">
      <w:pPr>
        <w:spacing w:line="360" w:lineRule="auto"/>
      </w:pPr>
    </w:p>
    <w:p w:rsidR="00BA7971" w:rsidRPr="00251758" w:rsidRDefault="00BA7971" w:rsidP="005A7634">
      <w:pPr>
        <w:spacing w:line="360" w:lineRule="auto"/>
        <w:rPr>
          <w:b/>
        </w:rPr>
      </w:pPr>
      <w:r>
        <w:rPr>
          <w:b/>
        </w:rPr>
        <w:t>4</w:t>
      </w:r>
      <w:r w:rsidRPr="00251758">
        <w:rPr>
          <w:b/>
        </w:rPr>
        <w:t xml:space="preserve">.2 Enkele winstdrainage arresten vóór de codificatie. </w:t>
      </w:r>
    </w:p>
    <w:p w:rsidR="00BA7971" w:rsidRDefault="00BA7971" w:rsidP="005A7634">
      <w:pPr>
        <w:spacing w:line="360" w:lineRule="auto"/>
      </w:pPr>
      <w:r>
        <w:t xml:space="preserve">In hoofdstuk 2 is de problematiek van winstdrainage behandeld. Recapitulerend uit dat hoofdstuk volgt dat van winstdrainage sprake is indien een schuldverhouding wordt gecreëerd, met als doel rente ten laste van de winst te brengen, terwijl de rentebate niet of nauwelijks aan belastingheffing wordt onderworpen. Een schuldverhouding kon tot stand komen in gevallen waarin kasrondjes schuldig zijn gebleven en gevallen waarin kasrondjes, interne verhangingen of externe acquisities gefinancierd worden met een lening van een concern. Tegenover de rentelast was er tevens geen sprake van heffing doordat de rentebate toekomt aan een vennootschap gevestigd is in een taxhaven, dan wel vrijgesteld is, of van compenserende verliezen sprake is. Door middel van een aantal arresten zal worden toegelicht hoe deze situaties, maar ook andere varianten, door de fiscus zijn aangepakt. Met andere woorden hoe winstdrainage voor het bestaan van artikel 10a Wet Vpb 1969 werd bestreden. </w:t>
      </w:r>
    </w:p>
    <w:p w:rsidR="00BA7971" w:rsidRDefault="00BA7971" w:rsidP="005A7634">
      <w:pPr>
        <w:spacing w:line="360" w:lineRule="auto"/>
      </w:pP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pPr>
    </w:p>
    <w:p w:rsidR="00BA7971" w:rsidRDefault="00BA7971" w:rsidP="00022707">
      <w:pPr>
        <w:spacing w:line="360" w:lineRule="auto"/>
      </w:pPr>
      <w:r>
        <w:t>I</w:t>
      </w:r>
      <w:r w:rsidRPr="00251758">
        <w:t xml:space="preserve">n </w:t>
      </w:r>
      <w:r w:rsidRPr="00251758">
        <w:rPr>
          <w:i/>
        </w:rPr>
        <w:t xml:space="preserve">HR 26 april 1989, nr. 24 446, BNB 1989/217 </w:t>
      </w:r>
      <w:r w:rsidRPr="00251758">
        <w:t xml:space="preserve">behandelt de Hoge Raad voor het eerst een </w:t>
      </w:r>
    </w:p>
    <w:p w:rsidR="00BA7971" w:rsidRPr="00CC0ABE" w:rsidRDefault="00BA7971" w:rsidP="005A7634">
      <w:pPr>
        <w:spacing w:line="360" w:lineRule="auto"/>
      </w:pPr>
      <w:r w:rsidRPr="00251758">
        <w:t>geschil betreffende winstdrainage. Dit zou de eerste in een reeks arresten zijn die de jaren daarna zouden volgen.</w:t>
      </w:r>
      <w:r>
        <w:t xml:space="preserve"> In dit arrest ontstaat een schuldverhouding tussen moedermaatschappij (A) en dochtermaatschappij (B) door een interne verhanging. A leent B een bedrag uit waarmee deze alle aandelen in zijn zustermaatschappij(C), andere dochter van A, verwerft. B blijft aan A de koopsom verschuldigd. Het gevolg is slechts dat </w:t>
      </w:r>
      <w:r w:rsidRPr="00DD1FC1">
        <w:t xml:space="preserve">A door de rechtshandeling </w:t>
      </w:r>
      <w:r>
        <w:t>een</w:t>
      </w:r>
      <w:r w:rsidRPr="00DD1FC1">
        <w:t xml:space="preserve"> middellijk aandeelhouder van C </w:t>
      </w:r>
      <w:r>
        <w:t xml:space="preserve">is </w:t>
      </w:r>
      <w:r w:rsidRPr="00DD1FC1">
        <w:t>geworden.</w:t>
      </w:r>
      <w:r>
        <w:t xml:space="preserve"> B en C gaan na de transactie een fiscale eenheid aan. B brengt rente ten laste van haar winst</w:t>
      </w:r>
      <w:r w:rsidRPr="00CC0ABE">
        <w:t>, terwijl deze geen functie vervult in de financiering van de onderneming van C.</w:t>
      </w:r>
      <w:r>
        <w:t xml:space="preserve"> </w:t>
      </w:r>
    </w:p>
    <w:p w:rsidR="00BA7971" w:rsidRDefault="00BA7971" w:rsidP="005A7634">
      <w:pPr>
        <w:spacing w:line="360" w:lineRule="auto"/>
      </w:pPr>
      <w:r>
        <w:t xml:space="preserve">De inspecteur stelt dat de verrichte transacties gericht waren op het ontgaan van belastingheffing en dat er sprake is van het in strijd zijn met doel en strekking van de wet. Het Hof stelt hem in zijn gelijk. Het antwoord van de Hoge Raad op het beroep in cassatie van B is, dat aanvaarding van zulke constructie ertoe zou leiden dat een belastingplichtige naar willekeur voor aanzienlijke bedragen rente ten laste van de winst zou kunnen brengen en hierdoor geheel of ten dele belastingheffing zou kunnen verijdelen (desgewenst herhaaldelijk) zonder dat er sprake zou zijn van een wezenlijke verandering in vermogenspositie of zeggenschap van A in C. Tevens zou het aanvaarden van renteaftrek waarvoor een toereikende rechtvaardiging ontbreekt in strijd zijn met doel en strekking van de Wet Vpb 1969. De conclusie van deze zaak is dat fraus legis dient te worden toegepast. </w:t>
      </w:r>
    </w:p>
    <w:p w:rsidR="00BA7971" w:rsidRDefault="00BA7971" w:rsidP="005A7634">
      <w:pPr>
        <w:spacing w:line="360" w:lineRule="auto"/>
      </w:pPr>
    </w:p>
    <w:p w:rsidR="00BA7971" w:rsidRDefault="00BA7971" w:rsidP="005A7634">
      <w:pPr>
        <w:spacing w:line="360" w:lineRule="auto"/>
      </w:pPr>
      <w:r w:rsidRPr="0019349D">
        <w:t>In</w:t>
      </w:r>
      <w:r>
        <w:rPr>
          <w:i/>
        </w:rPr>
        <w:t xml:space="preserve"> </w:t>
      </w:r>
      <w:r w:rsidRPr="00461B9C">
        <w:rPr>
          <w:i/>
        </w:rPr>
        <w:t>HR 10 maart 1993, nr. 27992, BNB1993/195</w:t>
      </w:r>
      <w:r w:rsidRPr="00461B9C">
        <w:t xml:space="preserve"> </w:t>
      </w:r>
      <w:r>
        <w:t xml:space="preserve">was er evenals in BNB 1989/217 sprake van een interne verhanging. Belanghebbende verwerft alle aandelen in C BV, D BV en E BV van haar oprichter( B BV), die tot aan deze transactie tevens de moedermaatschappij was van de verwerfde vennootschappen. De belanghebbende blijft de koopsom aan B BV verschuldigd. </w:t>
      </w:r>
      <w:r>
        <w:br/>
        <w:t xml:space="preserve">Op een latere datum wordt een geldlening aangegaan, welke in plaats treedt van de eerdere transactie. De overdracht heeft volgens het Hof geen wezenlijke verandering in de feitelijke verhoudingen tussen B BV en de aangekochte vennootschappen ten doel heeft gehad. B BV kan nog steeds alle invloed in de maatschappijen uitoefenen en ook over alle reserves beschikken. De doorslaggevende reden voor de transacties was het verijdelen van belastingheffing. De verschuldigde lening strekte er niet toe bij te dragen in de financiering van de ondernemingen, zodat de daarop verschuldigde rente met de uitoefening van die onderneming geen verband hield. Doordat dit laatste juist door de wetgever is beoogd, zou het aanvaarden van een renteaftrek in een dergelijk geval in strijd zijn met doel en strekking van de wet. De conclusie luidt dat er van fraus legis sprake is, zodat renteaftrek zal worden geweigerd. </w:t>
      </w:r>
    </w:p>
    <w:p w:rsidR="00BA7971" w:rsidRDefault="00BA7971" w:rsidP="005A7634">
      <w:pPr>
        <w:spacing w:line="360" w:lineRule="auto"/>
      </w:pPr>
    </w:p>
    <w:p w:rsidR="00BA7971" w:rsidRPr="00605924" w:rsidRDefault="00BA7971" w:rsidP="005A7634">
      <w:pPr>
        <w:spacing w:line="360" w:lineRule="auto"/>
      </w:pPr>
      <w:r w:rsidRPr="00D313D5">
        <w:rPr>
          <w:i/>
        </w:rPr>
        <w:t>HR 10 maart 1993, nr. 28 139, BNB 1993/196</w:t>
      </w:r>
      <w:r w:rsidRPr="00605924">
        <w:t xml:space="preserve"> betreft een geval van verliesverrekening waarop een beroep op fraus legis niet succesvol is geweest.</w:t>
      </w:r>
      <w:r>
        <w:t xml:space="preserve"> Uit hoofdstuk 5</w:t>
      </w:r>
      <w:r w:rsidRPr="00F27A32">
        <w:t xml:space="preserve"> zal bli</w:t>
      </w:r>
      <w:r>
        <w:t>jken dat de wetgever het ook niet nodig achtte om dergelijk gevallen in artikel 10a Wet Vpb 1969 op te nemen. Dit arrest</w:t>
      </w:r>
      <w:r w:rsidRPr="00605924">
        <w:t xml:space="preserve"> kan als volgt worden </w:t>
      </w:r>
      <w:r>
        <w:t>beschreven</w:t>
      </w:r>
      <w:r w:rsidRPr="00605924">
        <w:t xml:space="preserve">. C BV en B BV zijn de oprichters van A BV en zijn voor 50% gerechtigd in de vennootschap. Ze maken gebruik van hun recht van een eerder gesloten samenwerkingsovereenkomst en dragen hun deelneming over aan een 100% -dochtervennootschap. Sindsdien zijn de aandelen van A BV voor 50% in handen van D BV, respectievelijk C-A BV. Vervolgens wordt belanghebbende opgericht door C BV en B BV, die hun deelneming daarin volstorten door inbreng van hun aandelen in A BV tegen een bedrag. </w:t>
      </w:r>
    </w:p>
    <w:p w:rsidR="00BA7971" w:rsidRDefault="00BA7971" w:rsidP="005A7634">
      <w:pPr>
        <w:spacing w:line="360" w:lineRule="auto"/>
        <w:rPr>
          <w:color w:val="000000"/>
          <w:lang w:eastAsia="nl-NL"/>
        </w:rPr>
      </w:pPr>
      <w:r w:rsidRPr="00605924">
        <w:t xml:space="preserve">De oprichter worden in de boeken van belanghebbende gecrediteerd voor een bedrag gelijk aan het verschil tussen de inbrengwaarde en </w:t>
      </w:r>
      <w:r w:rsidRPr="00605924">
        <w:rPr>
          <w:color w:val="000000"/>
          <w:lang w:eastAsia="nl-NL"/>
        </w:rPr>
        <w:t>het gestorte kapitaal</w:t>
      </w:r>
      <w:r>
        <w:rPr>
          <w:color w:val="000000"/>
          <w:lang w:eastAsia="nl-NL"/>
        </w:rPr>
        <w:t xml:space="preserve">. Ter zake daarvan werd een rentedragend lening overeengekomen. A BV en belanghebbende zijn daarna een fiscale eenheid aangegaan. </w:t>
      </w:r>
    </w:p>
    <w:p w:rsidR="00BA7971" w:rsidRPr="00A04C4E" w:rsidRDefault="00BA7971" w:rsidP="00A04C4E">
      <w:pPr>
        <w:spacing w:line="360" w:lineRule="auto"/>
        <w:rPr>
          <w:color w:val="000000"/>
          <w:lang w:eastAsia="nl-NL"/>
        </w:rPr>
      </w:pPr>
      <w:r w:rsidRPr="00AE194A">
        <w:rPr>
          <w:iCs/>
          <w:lang w:eastAsia="nl-NL"/>
        </w:rPr>
        <w:t>Het Hof</w:t>
      </w:r>
      <w:r>
        <w:rPr>
          <w:iCs/>
          <w:lang w:eastAsia="nl-NL"/>
        </w:rPr>
        <w:t xml:space="preserve"> redeneert als volgt. </w:t>
      </w:r>
      <w:r w:rsidRPr="00A04C4E">
        <w:rPr>
          <w:color w:val="000000"/>
          <w:lang w:eastAsia="nl-NL"/>
        </w:rPr>
        <w:t xml:space="preserve">De rente die belanghebbende heeft voldaan is in beginsel bij deze lichamen belastbaar. De mogelijkheid </w:t>
      </w:r>
      <w:r>
        <w:rPr>
          <w:color w:val="000000"/>
          <w:lang w:eastAsia="nl-NL"/>
        </w:rPr>
        <w:t xml:space="preserve">om </w:t>
      </w:r>
      <w:r w:rsidRPr="00A04C4E">
        <w:rPr>
          <w:color w:val="000000"/>
          <w:lang w:eastAsia="nl-NL"/>
        </w:rPr>
        <w:t>rentebetalingen te compenseren met winsten van de A BV komt door de werking van de fiscale eenheid, welke door bij de inspecteur is aangevraagd en gekregen. Voor zover die lichamen compensabele verliezen hebben of hadden, heeft de rente het beloop van die compensabele verliezen beïnvloed, althans moeten beïnvloeden. Indien en voor zover er daarna nog compensabele verliezen over</w:t>
      </w:r>
      <w:r>
        <w:rPr>
          <w:color w:val="000000"/>
          <w:lang w:eastAsia="nl-NL"/>
        </w:rPr>
        <w:t xml:space="preserve"> is ge</w:t>
      </w:r>
      <w:r w:rsidRPr="00A04C4E">
        <w:rPr>
          <w:color w:val="000000"/>
          <w:lang w:eastAsia="nl-NL"/>
        </w:rPr>
        <w:t xml:space="preserve">bleven, is dit niet veroorzaakt door de herstructurering. Het aantrekken van positieve winstbestanddelen </w:t>
      </w:r>
      <w:r>
        <w:rPr>
          <w:color w:val="000000"/>
          <w:lang w:eastAsia="nl-NL"/>
        </w:rPr>
        <w:t xml:space="preserve">om </w:t>
      </w:r>
      <w:r w:rsidRPr="00A04C4E">
        <w:rPr>
          <w:color w:val="000000"/>
          <w:lang w:eastAsia="nl-NL"/>
        </w:rPr>
        <w:t>de verrekening van die verliezen te bespoedigen en althans verdamping van die verliezen te voorkomen, is niet in strijd met de strekking van de verliescompensatie.</w:t>
      </w:r>
      <w:r>
        <w:rPr>
          <w:color w:val="000000"/>
          <w:lang w:eastAsia="nl-NL"/>
        </w:rPr>
        <w:t xml:space="preserve"> </w:t>
      </w:r>
      <w:r w:rsidRPr="00A04C4E">
        <w:rPr>
          <w:color w:val="000000"/>
          <w:lang w:eastAsia="nl-NL"/>
        </w:rPr>
        <w:t>De betaling van de rente door belanghebbende kan dan ook niet met doel en strekking van de wet in strijd geoordeeld worden.</w:t>
      </w:r>
      <w:r>
        <w:rPr>
          <w:color w:val="000000"/>
          <w:lang w:eastAsia="nl-NL"/>
        </w:rPr>
        <w:t xml:space="preserve"> Dit brengt het Hof tot de conclusie dat hier geen sprake is van handelen in fraudem legis. </w:t>
      </w:r>
    </w:p>
    <w:p w:rsidR="00BA7971" w:rsidRDefault="00BA7971" w:rsidP="005A7634">
      <w:pPr>
        <w:spacing w:line="360" w:lineRule="auto"/>
      </w:pPr>
    </w:p>
    <w:p w:rsidR="00BA7971" w:rsidRDefault="00BA7971" w:rsidP="009E7B1D">
      <w:pPr>
        <w:spacing w:line="360" w:lineRule="auto"/>
      </w:pPr>
      <w:r w:rsidRPr="00B93770">
        <w:t>In</w:t>
      </w:r>
      <w:r>
        <w:rPr>
          <w:i/>
        </w:rPr>
        <w:t xml:space="preserve"> H</w:t>
      </w:r>
      <w:r w:rsidRPr="00461B9C">
        <w:rPr>
          <w:i/>
        </w:rPr>
        <w:t>R 10 maart 1993, nr. 28484, BNB 1993/197</w:t>
      </w:r>
      <w:r w:rsidRPr="00461B9C">
        <w:t xml:space="preserve"> </w:t>
      </w:r>
      <w:r>
        <w:t>betreft een zaak waarin belanghebbende eerst alle aandelen in A BV</w:t>
      </w:r>
      <w:r w:rsidRPr="00506803">
        <w:t xml:space="preserve"> </w:t>
      </w:r>
      <w:r>
        <w:t xml:space="preserve">verkrijgt, waarbij de laatste vennootschap sinds haar oprichting aanloopverliezen heeft geleden. Op een latere datum worden nieuwe aandelen A BV bij belanghebbende geplaatst. Het bedrag dat belanghebbende door deze transactie bij A BV als </w:t>
      </w: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pPr>
    </w:p>
    <w:p w:rsidR="00BA7971" w:rsidRDefault="00BA7971" w:rsidP="005A7634">
      <w:pPr>
        <w:spacing w:line="360" w:lineRule="auto"/>
      </w:pPr>
      <w:r>
        <w:t>agio heeft gestort, wordt aan hem rentedragend teruggeleend. In geschil was of de door</w:t>
      </w:r>
    </w:p>
    <w:p w:rsidR="00BA7971" w:rsidRDefault="00BA7971" w:rsidP="009E7B1D">
      <w:pPr>
        <w:spacing w:line="360" w:lineRule="auto"/>
      </w:pPr>
      <w:r>
        <w:t xml:space="preserve">belanghebbende te betalen rente ten laste van de winst kan worden gebracht. Het Hof heeft geoordeeld dat besparing van belasting de volstrekt doorslaggevende reden was voor het verrichten van dit samenstel van rechtshandelingen. De toekenning van agio aan A BV heeft geen betekenis gehad voor de financiële positie van de belanghebbende en A BV. Een constructie als onderhavige biedt de mogelijkheid om </w:t>
      </w:r>
      <w:r w:rsidRPr="003E4947">
        <w:rPr>
          <w:color w:val="000000"/>
          <w:lang w:eastAsia="nl-NL"/>
        </w:rPr>
        <w:t xml:space="preserve">door het creëren van rentelasten bij de belastingplichtige zelf en rentebaten bij een dochtervennootschap, eigen winsten van de belastingplichtige onbeperkt en naar willekeur te verrekenen met verliezen van die dochtervennootschap. Hiervan uitgaande moet worden geoordeeld dat het in strijd zou zijn met doel en strekking van de </w:t>
      </w:r>
      <w:r>
        <w:rPr>
          <w:color w:val="000000"/>
          <w:lang w:eastAsia="nl-NL"/>
        </w:rPr>
        <w:t>w</w:t>
      </w:r>
      <w:r w:rsidRPr="003E4947">
        <w:rPr>
          <w:color w:val="000000"/>
          <w:lang w:eastAsia="nl-NL"/>
        </w:rPr>
        <w:t>et indien belanghebbende de door het bovenomschreven samenstel van rechtshandelingen verschuldigd geworden rente ten laste van haar winst zou brengen.</w:t>
      </w:r>
      <w:r>
        <w:rPr>
          <w:color w:val="000000"/>
          <w:lang w:eastAsia="nl-NL"/>
        </w:rPr>
        <w:t xml:space="preserve"> De rente die A BV ontvangt is weliswaar belast, maar zal worden verrekend met haar nog te compenseren </w:t>
      </w:r>
      <w:r>
        <w:t xml:space="preserve">(voorvoegings)verliezen. </w:t>
      </w:r>
      <w:r w:rsidRPr="00461B9C">
        <w:t>Mijns inziens is dit duidelijk</w:t>
      </w:r>
      <w:r>
        <w:t xml:space="preserve"> een</w:t>
      </w:r>
      <w:r w:rsidRPr="00461B9C">
        <w:t xml:space="preserve"> situatie van winstdrainage. Enerzijds wordt er rente </w:t>
      </w:r>
      <w:r>
        <w:t>op de winst in mindering gebracht</w:t>
      </w:r>
      <w:r w:rsidRPr="00461B9C">
        <w:t xml:space="preserve">, terwijl anderzijds de rentebaten niet (genoeg) aan de heffing worden onderworpen. De beslissing van </w:t>
      </w:r>
      <w:r>
        <w:t>het</w:t>
      </w:r>
      <w:r w:rsidRPr="00461B9C">
        <w:t xml:space="preserve"> Ho</w:t>
      </w:r>
      <w:r>
        <w:t>f</w:t>
      </w:r>
      <w:r w:rsidRPr="00461B9C">
        <w:t xml:space="preserve">, </w:t>
      </w:r>
      <w:r>
        <w:t>namelijk dat sprake is van fraus legis</w:t>
      </w:r>
      <w:r w:rsidRPr="00461B9C">
        <w:t xml:space="preserve">, is </w:t>
      </w:r>
      <w:r>
        <w:t xml:space="preserve">dan ook </w:t>
      </w:r>
      <w:r w:rsidRPr="00461B9C">
        <w:t>volkomen terecht.</w:t>
      </w:r>
    </w:p>
    <w:p w:rsidR="00BA7971" w:rsidRDefault="00BA7971" w:rsidP="005A7634">
      <w:pPr>
        <w:spacing w:line="360" w:lineRule="auto"/>
      </w:pPr>
    </w:p>
    <w:p w:rsidR="00BA7971" w:rsidRDefault="00BA7971" w:rsidP="009E7B1D">
      <w:pPr>
        <w:spacing w:line="360" w:lineRule="auto"/>
      </w:pPr>
      <w:r w:rsidRPr="00955845">
        <w:t xml:space="preserve">Het </w:t>
      </w:r>
      <w:r>
        <w:rPr>
          <w:i/>
        </w:rPr>
        <w:t>Bovag-</w:t>
      </w:r>
      <w:r w:rsidRPr="004119A5">
        <w:rPr>
          <w:i/>
        </w:rPr>
        <w:t xml:space="preserve">arrest </w:t>
      </w:r>
      <w:r w:rsidRPr="004119A5">
        <w:rPr>
          <w:rStyle w:val="FootnoteReference"/>
        </w:rPr>
        <w:footnoteReference w:id="36"/>
      </w:r>
      <w:r>
        <w:t xml:space="preserve"> is een van de belangrijkste winstdrainage arresten. Een reactie op deze uitspraak </w:t>
      </w:r>
      <w:r>
        <w:rPr>
          <w:rStyle w:val="FootnoteReference"/>
        </w:rPr>
        <w:footnoteReference w:id="37"/>
      </w:r>
      <w:r>
        <w:t>zal later leiden tot een codificatie in de vorm van artikel 10a Wet Vpb 1969. Dit arrest betreft een interne reorganisatie. Vereniging Y, een vrijgesteld lichaam</w:t>
      </w:r>
      <w:r w:rsidRPr="009E7B1D">
        <w:t xml:space="preserve"> </w:t>
      </w:r>
      <w:r>
        <w:t>voor de vennootschapsbelasting, richt een vennootschap (de belanghebbende) op. De aandelen worden volgestort door inbreng van al haar aandelen in A BV (haar dochtervennootschap),</w:t>
      </w:r>
      <w:r w:rsidRPr="005747CF">
        <w:t xml:space="preserve"> </w:t>
      </w:r>
      <w:r>
        <w:t xml:space="preserve">onder creditering van de meerwaarde tegen een rentepercentage. Belanghebbende gaat een fiscale eenheid aan met A BV en diens dochters B BV en C BV. Het Hof heeft vastgesteld dat de schuldigerkenning geen wijzingen heeft gebracht in de feitelijke machtsverhoudingen. A BV heeft hierdoor geen middelen gekregen voor de financiering van de door haar gedreven onderneming. Tevens dient uit ‘s Hof overwegingen te worden verstaan dat er verschillende wegen openstonden om het nagestreefde doel van deze reorganisatie te bereiken en dat niet kan worden gezegd dat de door Y en belanghebbende daartoe gekozen weg, afgezien van de fiscale gevolgen de voorkeur verdiende. Onderhavige schuldigerkenningen zouden </w:t>
      </w: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pPr>
    </w:p>
    <w:p w:rsidR="00BA7971" w:rsidRDefault="00BA7971" w:rsidP="009E7B1D">
      <w:pPr>
        <w:pBdr>
          <w:top w:val="single" w:sz="4" w:space="1" w:color="auto"/>
        </w:pBdr>
        <w:spacing w:line="360" w:lineRule="auto"/>
      </w:pPr>
      <w:r>
        <w:t xml:space="preserve">willekeurig en voortdurend tot verijdeling van belastingheffing leiden, indien toelaatbaar zou zijn dat rente op een schuld aan de aandeelhouder zonder enige beperking afgetrokken kan worden, terwijl tegenover deze bedragen aan rente niet bij de aandeelhouder aan enige belastingheffing wordt onderworpen. Immers Y is een vrijgesteld lichaam voor de vennootschapsbelasting. Uitgaande van deze overwegingen beslist het Hof dat er sprake is van fraus legis. </w:t>
      </w:r>
    </w:p>
    <w:p w:rsidR="00BA7971" w:rsidRDefault="00BA7971" w:rsidP="005A7634">
      <w:pPr>
        <w:spacing w:line="360" w:lineRule="auto"/>
      </w:pPr>
    </w:p>
    <w:p w:rsidR="00BA7971" w:rsidRDefault="00BA7971" w:rsidP="009E7B1D">
      <w:pPr>
        <w:spacing w:line="360" w:lineRule="auto"/>
      </w:pPr>
      <w:r>
        <w:t>V</w:t>
      </w:r>
      <w:r w:rsidRPr="009E7B1D">
        <w:rPr>
          <w:bCs/>
        </w:rPr>
        <w:t>óó</w:t>
      </w:r>
      <w:r>
        <w:t xml:space="preserve">r de codificatie zijn er nog twee arresten die de moeite waard zijn te vermelden, namelijk </w:t>
      </w:r>
      <w:r w:rsidRPr="00D97F30">
        <w:t>het</w:t>
      </w:r>
      <w:r w:rsidRPr="00D97F30">
        <w:rPr>
          <w:i/>
        </w:rPr>
        <w:t xml:space="preserve"> </w:t>
      </w:r>
      <w:r w:rsidRPr="004119A5">
        <w:rPr>
          <w:i/>
        </w:rPr>
        <w:t>Plc-arrest</w:t>
      </w:r>
      <w:r>
        <w:rPr>
          <w:i/>
        </w:rPr>
        <w:t xml:space="preserve"> </w:t>
      </w:r>
      <w:r w:rsidRPr="004119A5">
        <w:rPr>
          <w:rStyle w:val="FootnoteReference"/>
        </w:rPr>
        <w:footnoteReference w:id="38"/>
      </w:r>
      <w:r w:rsidRPr="004119A5">
        <w:t xml:space="preserve"> en het </w:t>
      </w:r>
      <w:r w:rsidRPr="004119A5">
        <w:rPr>
          <w:i/>
        </w:rPr>
        <w:t>Noorwegen-arrest</w:t>
      </w:r>
      <w:r>
        <w:rPr>
          <w:i/>
        </w:rPr>
        <w:t xml:space="preserve"> </w:t>
      </w:r>
      <w:r w:rsidRPr="004119A5">
        <w:rPr>
          <w:rStyle w:val="FootnoteReference"/>
        </w:rPr>
        <w:footnoteReference w:id="39"/>
      </w:r>
      <w:r w:rsidRPr="004119A5">
        <w:t>.</w:t>
      </w:r>
      <w:r>
        <w:t xml:space="preserve"> Volgens de Hoge Raad is in beide arresten geen sprake van fraus legis. Behoudens deze overeenkomst, heeft elk arrest op hun eigen manier bijgedragen aan de ontwikkelingen in de jurisprudentie. Samen met </w:t>
      </w:r>
      <w:r w:rsidRPr="009E7B1D">
        <w:rPr>
          <w:i/>
          <w:iCs/>
        </w:rPr>
        <w:t>BNB 1996/4c</w:t>
      </w:r>
      <w:r>
        <w:t xml:space="preserve"> doen deze arresten de wetgever namelijk besluiten om de rechtspraak met betrekking tot winstdrainage te codificeren. </w:t>
      </w:r>
    </w:p>
    <w:p w:rsidR="00BA7971" w:rsidRDefault="00BA7971" w:rsidP="005A7634">
      <w:pPr>
        <w:spacing w:line="360" w:lineRule="auto"/>
      </w:pPr>
    </w:p>
    <w:p w:rsidR="00BA7971" w:rsidRDefault="00BA7971" w:rsidP="005A7634">
      <w:pPr>
        <w:spacing w:line="360" w:lineRule="auto"/>
      </w:pPr>
      <w:r w:rsidRPr="00A113C0">
        <w:t>In</w:t>
      </w:r>
      <w:r>
        <w:rPr>
          <w:i/>
        </w:rPr>
        <w:t xml:space="preserve"> </w:t>
      </w:r>
      <w:r w:rsidRPr="003725D2">
        <w:rPr>
          <w:i/>
        </w:rPr>
        <w:t>BNB 1996/5</w:t>
      </w:r>
      <w:r>
        <w:rPr>
          <w:i/>
        </w:rPr>
        <w:t xml:space="preserve"> </w:t>
      </w:r>
      <w:r w:rsidRPr="00A113C0">
        <w:t xml:space="preserve">is </w:t>
      </w:r>
      <w:r>
        <w:t xml:space="preserve">de in Engeland gevestigde </w:t>
      </w:r>
      <w:r w:rsidRPr="00A113C0">
        <w:t>A PLC</w:t>
      </w:r>
      <w:r>
        <w:t>,</w:t>
      </w:r>
      <w:r w:rsidRPr="00A113C0">
        <w:t xml:space="preserve"> de moedermaatschappij van zowel B BV als van de belanghebbende.</w:t>
      </w:r>
      <w:r>
        <w:rPr>
          <w:i/>
        </w:rPr>
        <w:t xml:space="preserve"> </w:t>
      </w:r>
      <w:r>
        <w:t xml:space="preserve">A PLC verkoopt al haar aandelen in B BV aan belanghebbende. Belanghebbende voldoet de koopsom daarvan uit een door A PLC eerder verstrekte obligatielening, die rentedragend is. Na deze handeling gaat B BV en belanghebbende een fiscale eenheid aan. De rentelast zal ten laste van de winst van de fiscale eenheid komen, terwijl de rentebate volgens de inspecteur in Engeland niet belast zou worden. De inspecteur brengt daardoor fraus legis in stelling en het Hof honoreert dit. </w:t>
      </w:r>
    </w:p>
    <w:p w:rsidR="00BA7971" w:rsidRDefault="00BA7971" w:rsidP="005A7634">
      <w:pPr>
        <w:spacing w:line="360" w:lineRule="auto"/>
      </w:pPr>
      <w:r>
        <w:t>Dit arrest bevestigt dat compenserende heffing bij het renteontvangende lichaam een cruciale rol speelt voor de bepaling of sprake is van handelen in fraudem legis en renteaftrek toegestaan is</w:t>
      </w:r>
      <w:r w:rsidRPr="005460A9">
        <w:t xml:space="preserve"> </w:t>
      </w:r>
      <w:r>
        <w:t>mits sprake is van een voldoende compenserende heffing. Met compenserende heffing wordt een heffing bedoeld die naar Nederlandse maatstaven</w:t>
      </w:r>
      <w:r w:rsidRPr="0060367F">
        <w:rPr>
          <w:rStyle w:val="FootnoteReference"/>
        </w:rPr>
        <w:footnoteReference w:id="40"/>
      </w:r>
      <w:r w:rsidRPr="0060367F">
        <w:t xml:space="preserve"> </w:t>
      </w:r>
      <w:r>
        <w:t xml:space="preserve">als redelijk is aan te merken. </w:t>
      </w:r>
    </w:p>
    <w:p w:rsidR="00BA7971" w:rsidRDefault="00BA7971" w:rsidP="009E7B1D">
      <w:pPr>
        <w:spacing w:line="360" w:lineRule="auto"/>
      </w:pPr>
      <w:r>
        <w:t xml:space="preserve">De belanghebbende is tegen de uitspraak van het Hof in beroep gegaan. Als middel hiervoor gebruikt hij het feit dat </w:t>
      </w:r>
      <w:r w:rsidRPr="00A65560">
        <w:rPr>
          <w:color w:val="000000"/>
          <w:lang w:eastAsia="nl-NL"/>
        </w:rPr>
        <w:t>Corporation Tax</w:t>
      </w:r>
      <w:r>
        <w:rPr>
          <w:color w:val="000000"/>
          <w:lang w:eastAsia="nl-NL"/>
        </w:rPr>
        <w:t xml:space="preserve"> niet verschuldigd is uit het feit volgt dat </w:t>
      </w:r>
      <w:r w:rsidRPr="00A65560">
        <w:rPr>
          <w:color w:val="000000"/>
          <w:lang w:eastAsia="nl-NL"/>
        </w:rPr>
        <w:t xml:space="preserve">verrekening plaats vindt met in het buitenland betaalde belasting, ter voorkoming van dubbele belasting, </w:t>
      </w: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pPr>
    </w:p>
    <w:p w:rsidR="00BA7971" w:rsidRDefault="00BA7971" w:rsidP="00A65600">
      <w:pPr>
        <w:pBdr>
          <w:top w:val="single" w:sz="4" w:space="1" w:color="auto"/>
        </w:pBdr>
        <w:spacing w:line="360" w:lineRule="auto"/>
      </w:pPr>
      <w:r w:rsidRPr="00A65560">
        <w:rPr>
          <w:color w:val="000000"/>
          <w:lang w:eastAsia="nl-NL"/>
        </w:rPr>
        <w:t>en met ,,</w:t>
      </w:r>
      <w:r>
        <w:rPr>
          <w:color w:val="000000"/>
          <w:lang w:eastAsia="nl-NL"/>
        </w:rPr>
        <w:t>A</w:t>
      </w:r>
      <w:r w:rsidRPr="00A65560">
        <w:rPr>
          <w:color w:val="000000"/>
          <w:lang w:eastAsia="nl-NL"/>
        </w:rPr>
        <w:t>dvance Corporation Tax’’ die wordt geheven bij de uitbetaling van dividenden vooruitlopend op de uiteindelijke heffing van vennootschapsbelasting.</w:t>
      </w:r>
      <w:r>
        <w:rPr>
          <w:color w:val="000000"/>
          <w:lang w:eastAsia="nl-NL"/>
        </w:rPr>
        <w:t xml:space="preserve"> Bovendien zal </w:t>
      </w:r>
      <w:r>
        <w:t>ondanks</w:t>
      </w:r>
    </w:p>
    <w:p w:rsidR="00BA7971" w:rsidRDefault="00BA7971" w:rsidP="00A65600">
      <w:pPr>
        <w:pBdr>
          <w:top w:val="single" w:sz="4" w:space="1" w:color="auto"/>
        </w:pBdr>
        <w:spacing w:line="360" w:lineRule="auto"/>
      </w:pPr>
      <w:r>
        <w:t>het feit dat in Engeland belasting bij wege van voorheffing is geheven en dat bij de</w:t>
      </w:r>
    </w:p>
    <w:p w:rsidR="00BA7971" w:rsidRDefault="00BA7971" w:rsidP="005A7634">
      <w:pPr>
        <w:spacing w:line="360" w:lineRule="auto"/>
      </w:pPr>
      <w:r>
        <w:t xml:space="preserve">uiteindelijke vaststelling van de belastingschuld blijkt dat deze schuld door die voorheffing is voldaan, kan niet afdoen aan het feit dat belasting wel is betaald. </w:t>
      </w:r>
    </w:p>
    <w:p w:rsidR="00BA7971" w:rsidRDefault="00BA7971" w:rsidP="005A7634">
      <w:pPr>
        <w:spacing w:line="360" w:lineRule="auto"/>
        <w:rPr>
          <w:iCs/>
          <w:color w:val="000000"/>
          <w:lang w:eastAsia="nl-NL"/>
        </w:rPr>
      </w:pPr>
      <w:r>
        <w:rPr>
          <w:iCs/>
          <w:color w:val="000000"/>
          <w:lang w:eastAsia="nl-NL"/>
        </w:rPr>
        <w:t xml:space="preserve">De </w:t>
      </w:r>
      <w:r w:rsidRPr="00624697">
        <w:rPr>
          <w:iCs/>
          <w:color w:val="000000"/>
          <w:lang w:eastAsia="nl-NL"/>
        </w:rPr>
        <w:t xml:space="preserve">Hoge Raad </w:t>
      </w:r>
      <w:r>
        <w:rPr>
          <w:iCs/>
          <w:color w:val="000000"/>
          <w:lang w:eastAsia="nl-NL"/>
        </w:rPr>
        <w:t>vernietigt de uitspraak van het Hof. Ver</w:t>
      </w:r>
      <w:r w:rsidRPr="00624697">
        <w:rPr>
          <w:iCs/>
          <w:color w:val="000000"/>
          <w:lang w:eastAsia="nl-NL"/>
        </w:rPr>
        <w:t>wijzing moet volgen voor een onderzoek omtrent de vraag of de door belanghebbende verschuldigde rente in het Verenigd Koninkrijk heeft geleid tot een heffing van belasting naar de winst of het inkomen, die naar hier te lande geldende maatstaven als redelijk is aan te merken.</w:t>
      </w:r>
      <w:r>
        <w:rPr>
          <w:iCs/>
          <w:color w:val="000000"/>
          <w:lang w:eastAsia="nl-NL"/>
        </w:rPr>
        <w:t xml:space="preserve"> De uitspraak van het Hof wordt vernietigd. </w:t>
      </w:r>
    </w:p>
    <w:p w:rsidR="00BA7971" w:rsidRDefault="00BA7971" w:rsidP="005A7634">
      <w:pPr>
        <w:spacing w:line="360" w:lineRule="auto"/>
        <w:rPr>
          <w:iCs/>
          <w:color w:val="000000"/>
          <w:lang w:eastAsia="nl-NL"/>
        </w:rPr>
      </w:pPr>
    </w:p>
    <w:p w:rsidR="00BA7971" w:rsidRDefault="00BA7971" w:rsidP="005A7634">
      <w:pPr>
        <w:spacing w:line="360" w:lineRule="auto"/>
        <w:rPr>
          <w:rFonts w:ascii="Arial Unicode MS" w:hAnsi="Arial Unicode MS" w:cs="Arial Unicode MS"/>
          <w:color w:val="000000"/>
          <w:sz w:val="17"/>
          <w:szCs w:val="17"/>
          <w:lang w:eastAsia="nl-NL"/>
        </w:rPr>
      </w:pPr>
      <w:r>
        <w:t xml:space="preserve">In </w:t>
      </w:r>
      <w:r w:rsidRPr="002E4142">
        <w:rPr>
          <w:i/>
          <w:iCs/>
        </w:rPr>
        <w:t>BNB 1996/5</w:t>
      </w:r>
      <w:r>
        <w:t xml:space="preserve"> leek dat compenserende heffing te allen tijde getoetst dient te worden, maar </w:t>
      </w:r>
      <w:r w:rsidRPr="002E4142">
        <w:rPr>
          <w:i/>
          <w:iCs/>
        </w:rPr>
        <w:t>BNB 1996/6</w:t>
      </w:r>
      <w:r>
        <w:t xml:space="preserve"> geeft aan dat in bepaalde gevallen niet meer nodig is. Het arrest betreft het volgende. A AS de moedermaatschappij van belanghebbende is gevestigd in Noorwegen. A AS heeft bij een bank een lening afgesloten voor de aankoop van alle aandelen in B BV die in bezit waren van een derde. </w:t>
      </w:r>
      <w:r w:rsidRPr="008960D2">
        <w:t>B</w:t>
      </w:r>
      <w:r w:rsidRPr="008960D2">
        <w:rPr>
          <w:color w:val="000000"/>
          <w:lang w:eastAsia="nl-NL"/>
        </w:rPr>
        <w:t>elanghebbende nam alle aandelen in B BV over van A AS. De koopsom werd door belanghebbende schuldig gebleven in de vorm van een rentedragende lening.</w:t>
      </w:r>
      <w:r>
        <w:rPr>
          <w:color w:val="000000"/>
          <w:lang w:eastAsia="nl-NL"/>
        </w:rPr>
        <w:t xml:space="preserve"> </w:t>
      </w:r>
      <w:r w:rsidRPr="00A16C8E">
        <w:rPr>
          <w:color w:val="000000"/>
          <w:lang w:eastAsia="nl-NL"/>
        </w:rPr>
        <w:t>Na deze rechtshandeling zijn belanghebbende en B BV een fiscale eenheid aangegaan.</w:t>
      </w:r>
      <w:r>
        <w:rPr>
          <w:rFonts w:ascii="Arial Unicode MS" w:hAnsi="Arial Unicode MS" w:cs="Arial Unicode MS"/>
          <w:color w:val="000000"/>
          <w:sz w:val="17"/>
          <w:szCs w:val="17"/>
          <w:lang w:eastAsia="nl-NL"/>
        </w:rPr>
        <w:t xml:space="preserve"> </w:t>
      </w:r>
    </w:p>
    <w:p w:rsidR="00BA7971" w:rsidRPr="00515A28" w:rsidRDefault="00BA7971" w:rsidP="005A7634">
      <w:pPr>
        <w:spacing w:line="360" w:lineRule="auto"/>
      </w:pPr>
      <w:r>
        <w:t>De rentelast komt ten laste van de winst van de fiscale eenheid. De betaalde rente dient bij de moedermaatschappij te worden aangewend voor de voldoening van de door haar verschuldigde rente aan een derde. De Hoge Raad uit zich hierover als volgt: ‘</w:t>
      </w:r>
      <w:r w:rsidRPr="00053C65">
        <w:rPr>
          <w:iCs/>
          <w:color w:val="000000"/>
          <w:lang w:eastAsia="nl-NL"/>
        </w:rPr>
        <w:t>niet kan worden gezegd dat belanghebbende door de onderhavige rente ten laste van haar winst te brengen in strijd kwam met doel en strekking van de belastingwetgeving</w:t>
      </w:r>
      <w:r>
        <w:rPr>
          <w:iCs/>
          <w:color w:val="000000"/>
          <w:lang w:eastAsia="nl-NL"/>
        </w:rPr>
        <w:t>’</w:t>
      </w:r>
      <w:r w:rsidRPr="00053C65">
        <w:rPr>
          <w:iCs/>
          <w:color w:val="000000"/>
          <w:lang w:eastAsia="nl-NL"/>
        </w:rPr>
        <w:t>.</w:t>
      </w:r>
      <w:r>
        <w:rPr>
          <w:iCs/>
          <w:color w:val="000000"/>
          <w:lang w:eastAsia="nl-NL"/>
        </w:rPr>
        <w:t xml:space="preserve"> </w:t>
      </w:r>
      <w:r w:rsidRPr="00515A28">
        <w:rPr>
          <w:color w:val="000000"/>
          <w:lang w:eastAsia="nl-NL"/>
        </w:rPr>
        <w:t>Van het naar willekeur doen ontstaan van rentelasten, zoals de inspecteur betoogt, is in dit geval geen sprake. In dat geval is niet van belang of in Noorwegen een compenserende heffing over de in Nederland afgetrokken rente plaatsvindt.</w:t>
      </w:r>
    </w:p>
    <w:p w:rsidR="00BA7971" w:rsidRPr="00624697" w:rsidRDefault="00BA7971" w:rsidP="005A7634">
      <w:pPr>
        <w:spacing w:line="360" w:lineRule="auto"/>
        <w:rPr>
          <w:iCs/>
          <w:color w:val="000000"/>
          <w:lang w:eastAsia="nl-NL"/>
        </w:rPr>
      </w:pPr>
    </w:p>
    <w:p w:rsidR="00BA7971" w:rsidRPr="00251758" w:rsidRDefault="00BA7971" w:rsidP="005A7634">
      <w:pPr>
        <w:spacing w:line="360" w:lineRule="auto"/>
        <w:rPr>
          <w:b/>
        </w:rPr>
      </w:pPr>
      <w:r>
        <w:rPr>
          <w:b/>
        </w:rPr>
        <w:t>4</w:t>
      </w:r>
      <w:r w:rsidRPr="00251758">
        <w:rPr>
          <w:b/>
        </w:rPr>
        <w:t xml:space="preserve">.3 </w:t>
      </w:r>
      <w:r>
        <w:rPr>
          <w:b/>
        </w:rPr>
        <w:t xml:space="preserve">Het ontstaan van artikel 10a Wet Vpb 1969 </w:t>
      </w:r>
    </w:p>
    <w:p w:rsidR="00BA7971" w:rsidRDefault="00BA7971" w:rsidP="002E4142">
      <w:pPr>
        <w:spacing w:line="360" w:lineRule="auto"/>
        <w:rPr>
          <w:rFonts w:eastAsia="Times New Roman"/>
          <w:lang w:eastAsia="nl-NL"/>
        </w:rPr>
      </w:pPr>
      <w:r>
        <w:rPr>
          <w:rFonts w:eastAsia="Times New Roman"/>
          <w:lang w:eastAsia="nl-NL"/>
        </w:rPr>
        <w:t xml:space="preserve">Door het vele misbruik dat heerste in het kader van winstdrainage, met betrekking tot renteaftrek werd de wetgever gedwongen om hiertegen maatregelen te nemen. </w:t>
      </w:r>
      <w:r>
        <w:t xml:space="preserve">De maatregelen die betreffende de problematiek van winstdrainage zijn voorgesteld, </w:t>
      </w:r>
      <w:r w:rsidRPr="009700F7">
        <w:rPr>
          <w:rFonts w:eastAsia="Times New Roman"/>
          <w:lang w:eastAsia="nl-NL"/>
        </w:rPr>
        <w:t xml:space="preserve">betrof het schrappen van de aftrek van betaalde rente indien sprake is van zogeheten kasrondjes, van </w:t>
      </w: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Bdr>
          <w:top w:val="single" w:sz="4" w:space="1" w:color="auto"/>
        </w:pBdr>
        <w:spacing w:line="360" w:lineRule="auto"/>
        <w:rPr>
          <w:rFonts w:eastAsia="Times New Roman"/>
          <w:lang w:eastAsia="nl-NL"/>
        </w:rPr>
      </w:pPr>
    </w:p>
    <w:p w:rsidR="00BA7971" w:rsidRDefault="00BA7971" w:rsidP="00A65600">
      <w:pPr>
        <w:pBdr>
          <w:top w:val="single" w:sz="4" w:space="1" w:color="auto"/>
        </w:pBdr>
        <w:spacing w:line="360" w:lineRule="auto"/>
        <w:rPr>
          <w:rFonts w:eastAsia="Times New Roman"/>
          <w:lang w:eastAsia="nl-NL"/>
        </w:rPr>
      </w:pPr>
      <w:r w:rsidRPr="009700F7">
        <w:rPr>
          <w:rFonts w:eastAsia="Times New Roman"/>
          <w:lang w:eastAsia="nl-NL"/>
        </w:rPr>
        <w:t>schuldigerkenningen en van verhangingen binnen concernverband</w:t>
      </w:r>
      <w:r>
        <w:rPr>
          <w:rFonts w:eastAsia="Times New Roman"/>
          <w:lang w:eastAsia="nl-NL"/>
        </w:rPr>
        <w:t xml:space="preserve"> </w:t>
      </w:r>
      <w:r>
        <w:rPr>
          <w:rStyle w:val="FootnoteReference"/>
          <w:rFonts w:eastAsia="Times New Roman"/>
          <w:lang w:eastAsia="nl-NL"/>
        </w:rPr>
        <w:footnoteReference w:id="41"/>
      </w:r>
      <w:r>
        <w:rPr>
          <w:rFonts w:eastAsia="Times New Roman"/>
          <w:lang w:eastAsia="nl-NL"/>
        </w:rPr>
        <w:t>. Het voorkomen van</w:t>
      </w:r>
    </w:p>
    <w:p w:rsidR="00BA7971" w:rsidRDefault="00BA7971" w:rsidP="00A65600">
      <w:pPr>
        <w:pBdr>
          <w:top w:val="single" w:sz="4" w:space="1" w:color="auto"/>
        </w:pBdr>
        <w:spacing w:line="360" w:lineRule="auto"/>
        <w:rPr>
          <w:rFonts w:eastAsia="Times New Roman"/>
          <w:lang w:eastAsia="nl-NL"/>
        </w:rPr>
      </w:pPr>
      <w:r>
        <w:rPr>
          <w:rFonts w:eastAsia="Times New Roman"/>
          <w:lang w:eastAsia="nl-NL"/>
        </w:rPr>
        <w:t>situaties die reeds in onderdeel 4.2 aan de hand van enkele arresten zijn besproken was een</w:t>
      </w:r>
    </w:p>
    <w:p w:rsidR="00BA7971" w:rsidRDefault="00BA7971" w:rsidP="005A7634">
      <w:pPr>
        <w:spacing w:line="360" w:lineRule="auto"/>
        <w:rPr>
          <w:rFonts w:eastAsia="Times New Roman"/>
          <w:lang w:eastAsia="nl-NL"/>
        </w:rPr>
      </w:pPr>
      <w:r>
        <w:rPr>
          <w:rFonts w:eastAsia="Times New Roman"/>
          <w:lang w:eastAsia="nl-NL"/>
        </w:rPr>
        <w:t xml:space="preserve">doel voor de invoering van de nieuwe wettelijke bepaling. Dit leidde tot wat nu bekend staat als artikel 10a Wet Vpb 1969. </w:t>
      </w:r>
    </w:p>
    <w:p w:rsidR="00BA7971" w:rsidRDefault="00BA7971" w:rsidP="005A7634">
      <w:pPr>
        <w:spacing w:line="360" w:lineRule="auto"/>
      </w:pPr>
    </w:p>
    <w:p w:rsidR="00BA7971" w:rsidRDefault="00BA7971" w:rsidP="007B6649">
      <w:pPr>
        <w:spacing w:line="360" w:lineRule="auto"/>
      </w:pPr>
      <w:r>
        <w:rPr>
          <w:rFonts w:eastAsia="Times New Roman"/>
          <w:lang w:eastAsia="nl-NL"/>
        </w:rPr>
        <w:t xml:space="preserve">Artikel 10a Wet Vpb 1969 vloeit voort uit </w:t>
      </w:r>
      <w:r w:rsidRPr="005B2BE3">
        <w:t>wetsvoorstel 24</w:t>
      </w:r>
      <w:r w:rsidRPr="005B2BE3">
        <w:rPr>
          <w:rFonts w:cs="Arial Unicode MS" w:hint="eastAsia"/>
          <w:rtl/>
        </w:rPr>
        <w:t> </w:t>
      </w:r>
      <w:r>
        <w:t>696, Wijziging van de Wet Vpb</w:t>
      </w:r>
      <w:r w:rsidRPr="005B2BE3">
        <w:t xml:space="preserve"> </w:t>
      </w:r>
      <w:r>
        <w:t>1</w:t>
      </w:r>
      <w:r w:rsidRPr="005B2BE3">
        <w:t>969</w:t>
      </w:r>
      <w:r>
        <w:t xml:space="preserve"> en </w:t>
      </w:r>
      <w:r>
        <w:rPr>
          <w:rFonts w:eastAsia="Times New Roman"/>
          <w:lang w:eastAsia="nl-NL"/>
        </w:rPr>
        <w:t>is p</w:t>
      </w:r>
      <w:r>
        <w:t xml:space="preserve">er 26 december 1996 in werking getreden. De bepaling is gericht tegen constructies in groepsverband waarbij op gekunstelde wijze rentelasten worden gecreëerd die ten koste gaan van de Nederlandse belastinggrondslag. Artikel 10a Wet Vpb 1969 is een antimisbruikbepaling. Het zorgt ervoor dat rente in gevallen van misbruik niet ten laste van de winst kan worden gebracht </w:t>
      </w:r>
      <w:r>
        <w:rPr>
          <w:rStyle w:val="FootnoteReference"/>
        </w:rPr>
        <w:footnoteReference w:id="42"/>
      </w:r>
      <w:r>
        <w:t>. De wettelijke bepaling vormt voor een belangrijk deel een codificatie van de in onderdeel 4.2 besproken jurisprudentie en voor een deel is het een uitbreiding daarvan. Uitgangspunt daarbij was om de jurisprudentie op het terrein van fraus legis ter wille van de duidelijkheid en rechtszekerheid in de wetgeving neer te leggen</w:t>
      </w:r>
      <w:r>
        <w:rPr>
          <w:rStyle w:val="FootnoteReference"/>
        </w:rPr>
        <w:footnoteReference w:id="43"/>
      </w:r>
      <w:r>
        <w:t xml:space="preserve">. Mijns inziens is dat redelijk gelukt. Nu dat de situaties van winstdrainage wettelijk is vastgelegd, is er weinig kans dat in die gevallen nog getwijfeld kan worden of sprake is van fraus legis. Wat het gevolg daarvan is, zal simpelweg door de wet worden bepaald. Daarnaast heeft de belastingplichtige meer rechtszekerheid dat zijn geval correct wordt afgehandeld. </w:t>
      </w:r>
    </w:p>
    <w:p w:rsidR="00BA7971" w:rsidRPr="00251758" w:rsidRDefault="00BA7971" w:rsidP="00C25509">
      <w:pPr>
        <w:spacing w:line="360" w:lineRule="auto"/>
        <w:rPr>
          <w:b/>
        </w:rPr>
      </w:pPr>
    </w:p>
    <w:p w:rsidR="00BA7971" w:rsidRDefault="00BA7971" w:rsidP="00C25509">
      <w:pPr>
        <w:spacing w:line="360" w:lineRule="auto"/>
        <w:rPr>
          <w:b/>
        </w:rPr>
      </w:pPr>
      <w:r>
        <w:rPr>
          <w:b/>
        </w:rPr>
        <w:t>4.4 Conclusie</w:t>
      </w:r>
    </w:p>
    <w:p w:rsidR="00BA7971" w:rsidRPr="00A4287F" w:rsidRDefault="00BA7971" w:rsidP="00C25509">
      <w:pPr>
        <w:pStyle w:val="CommentText"/>
        <w:spacing w:after="0" w:line="360" w:lineRule="auto"/>
        <w:rPr>
          <w:rFonts w:ascii="Times New Roman" w:hAnsi="Times New Roman" w:cs="Times New Roman"/>
          <w:sz w:val="24"/>
          <w:szCs w:val="24"/>
        </w:rPr>
      </w:pPr>
      <w:r>
        <w:rPr>
          <w:rFonts w:ascii="Times New Roman" w:hAnsi="Times New Roman" w:cs="Times New Roman"/>
          <w:sz w:val="24"/>
          <w:szCs w:val="24"/>
        </w:rPr>
        <w:t>Het probleem</w:t>
      </w:r>
      <w:r w:rsidRPr="00A4287F">
        <w:rPr>
          <w:rFonts w:ascii="Times New Roman" w:hAnsi="Times New Roman" w:cs="Times New Roman"/>
          <w:sz w:val="24"/>
          <w:szCs w:val="24"/>
        </w:rPr>
        <w:t xml:space="preserve"> die winstdrainage meebrengt is de uitholling van de Nederlandse belastinggrondslag. Betaalde rente wordt op de winst van een vennootschap ten laste gebracht, terwijl een andere vennootschap die deze rente ontvangt niet of </w:t>
      </w:r>
      <w:r>
        <w:rPr>
          <w:rFonts w:ascii="Times New Roman" w:hAnsi="Times New Roman" w:cs="Times New Roman"/>
          <w:sz w:val="24"/>
          <w:szCs w:val="24"/>
        </w:rPr>
        <w:t>nauwelijks</w:t>
      </w:r>
      <w:r w:rsidRPr="00A4287F">
        <w:rPr>
          <w:rFonts w:ascii="Times New Roman" w:hAnsi="Times New Roman" w:cs="Times New Roman"/>
          <w:sz w:val="24"/>
          <w:szCs w:val="24"/>
        </w:rPr>
        <w:t xml:space="preserve"> aan belastingheffing wordt onderworpen. In de behandelde arresten (zie paragraaf 4.2) was er steeds geschil omtrent de vraag of in dat ene geval van winstdrainage kan worden gesproken van handelen in fraudem legis. De conclusie was er in bepaalde gevallen wel sprake en in anderen geen sprake van fraus legis. </w:t>
      </w:r>
      <w:r>
        <w:rPr>
          <w:rFonts w:ascii="Times New Roman" w:hAnsi="Times New Roman" w:cs="Times New Roman"/>
          <w:sz w:val="24"/>
          <w:szCs w:val="24"/>
        </w:rPr>
        <w:t>Om tot enige conclusie te komen, dient te worden vastgesteld of de twee toepassingsvereisten van fraus legis in het onderhavige geval aanwezig waren. B</w:t>
      </w:r>
      <w:r w:rsidRPr="00A4287F">
        <w:rPr>
          <w:rFonts w:ascii="Times New Roman" w:hAnsi="Times New Roman" w:cs="Times New Roman"/>
          <w:sz w:val="24"/>
          <w:szCs w:val="24"/>
        </w:rPr>
        <w:t xml:space="preserve">elastingverijdeling </w:t>
      </w:r>
      <w:r>
        <w:rPr>
          <w:rFonts w:ascii="Times New Roman" w:hAnsi="Times New Roman" w:cs="Times New Roman"/>
          <w:sz w:val="24"/>
          <w:szCs w:val="24"/>
        </w:rPr>
        <w:t xml:space="preserve">als </w:t>
      </w:r>
      <w:r w:rsidRPr="00A4287F">
        <w:rPr>
          <w:rFonts w:ascii="Times New Roman" w:hAnsi="Times New Roman" w:cs="Times New Roman"/>
          <w:sz w:val="24"/>
          <w:szCs w:val="24"/>
        </w:rPr>
        <w:t xml:space="preserve">het doorslaggevend motief van de rechtshandelingen en </w:t>
      </w:r>
      <w:r>
        <w:rPr>
          <w:rFonts w:ascii="Times New Roman" w:hAnsi="Times New Roman" w:cs="Times New Roman"/>
          <w:sz w:val="24"/>
          <w:szCs w:val="24"/>
        </w:rPr>
        <w:t xml:space="preserve">het in </w:t>
      </w:r>
    </w:p>
    <w:p w:rsidR="00BA7971" w:rsidRPr="00402470" w:rsidRDefault="00BA7971" w:rsidP="00A65600">
      <w:pPr>
        <w:spacing w:line="360" w:lineRule="auto"/>
        <w:jc w:val="right"/>
        <w:rPr>
          <w:b/>
          <w:i/>
          <w:sz w:val="22"/>
          <w:szCs w:val="22"/>
        </w:rPr>
      </w:pPr>
      <w:r w:rsidRPr="00402470">
        <w:rPr>
          <w:b/>
          <w:i/>
          <w:sz w:val="22"/>
          <w:szCs w:val="22"/>
        </w:rPr>
        <w:t xml:space="preserve">Hoofdstuk </w:t>
      </w:r>
      <w:r>
        <w:rPr>
          <w:b/>
          <w:i/>
          <w:sz w:val="22"/>
          <w:szCs w:val="22"/>
        </w:rPr>
        <w:t>4: De codificatie</w:t>
      </w:r>
    </w:p>
    <w:p w:rsidR="00BA7971" w:rsidRDefault="00BA7971" w:rsidP="00A65600">
      <w:pPr>
        <w:pStyle w:val="CommentText"/>
        <w:pBdr>
          <w:top w:val="single" w:sz="4" w:space="1" w:color="auto"/>
        </w:pBdr>
        <w:spacing w:after="0" w:line="360" w:lineRule="auto"/>
        <w:rPr>
          <w:rFonts w:ascii="Times New Roman" w:hAnsi="Times New Roman" w:cs="Times New Roman"/>
          <w:sz w:val="24"/>
          <w:szCs w:val="24"/>
        </w:rPr>
      </w:pPr>
    </w:p>
    <w:p w:rsidR="00BA7971" w:rsidRDefault="00BA7971" w:rsidP="00A65600">
      <w:pPr>
        <w:pStyle w:val="CommentText"/>
        <w:pBdr>
          <w:top w:val="single" w:sz="4" w:space="1" w:color="auto"/>
        </w:pBdr>
        <w:spacing w:after="0" w:line="360" w:lineRule="auto"/>
        <w:rPr>
          <w:rFonts w:ascii="Times New Roman" w:hAnsi="Times New Roman" w:cs="Times New Roman"/>
          <w:sz w:val="24"/>
          <w:szCs w:val="24"/>
        </w:rPr>
      </w:pPr>
      <w:r>
        <w:rPr>
          <w:rFonts w:ascii="Times New Roman" w:hAnsi="Times New Roman" w:cs="Times New Roman"/>
          <w:sz w:val="24"/>
          <w:szCs w:val="24"/>
        </w:rPr>
        <w:t xml:space="preserve">strijd zijn </w:t>
      </w:r>
      <w:r w:rsidRPr="00A4287F">
        <w:rPr>
          <w:rFonts w:ascii="Times New Roman" w:hAnsi="Times New Roman" w:cs="Times New Roman"/>
          <w:sz w:val="24"/>
          <w:szCs w:val="24"/>
        </w:rPr>
        <w:t>met doel en strekkin</w:t>
      </w:r>
      <w:r>
        <w:rPr>
          <w:rFonts w:ascii="Times New Roman" w:hAnsi="Times New Roman" w:cs="Times New Roman"/>
          <w:sz w:val="24"/>
          <w:szCs w:val="24"/>
        </w:rPr>
        <w:t>g van de vennootschapsbelasting was dus de bepalende factoren voor de weigering van renteaftrek.</w:t>
      </w:r>
    </w:p>
    <w:p w:rsidR="00BA7971" w:rsidRPr="00D51566" w:rsidRDefault="00BA7971" w:rsidP="00C25509">
      <w:pPr>
        <w:pStyle w:val="CommentText"/>
        <w:spacing w:after="0" w:line="360" w:lineRule="auto"/>
        <w:rPr>
          <w:rFonts w:ascii="Times New Roman" w:hAnsi="Times New Roman" w:cs="Times New Roman"/>
          <w:sz w:val="24"/>
          <w:szCs w:val="24"/>
        </w:rPr>
      </w:pPr>
      <w:r w:rsidRPr="00D51566">
        <w:rPr>
          <w:rFonts w:ascii="Times New Roman" w:hAnsi="Times New Roman" w:cs="Times New Roman"/>
          <w:sz w:val="24"/>
          <w:szCs w:val="24"/>
        </w:rPr>
        <w:t>Door het vele misbruik dat onder andere in de winstdrainage arresten voorkwamen, kan geconcludeerd worden dat zij voor de wetgever de aanleiding zijn geweest om deze rechtspraak te codificeren in een specifieke wetsbepaling, namelijk in de vorm van artikel 10a Wet Vpb 1969. Het doel van de introductie van deze wetsbepaling was de v</w:t>
      </w:r>
      <w:r w:rsidRPr="00D51566">
        <w:rPr>
          <w:rFonts w:ascii="Times New Roman" w:hAnsi="Times New Roman" w:cs="Times New Roman"/>
          <w:sz w:val="24"/>
          <w:szCs w:val="24"/>
          <w:lang w:eastAsia="nl-NL"/>
        </w:rPr>
        <w:t xml:space="preserve">ersterking van de fiscale infrastructuur  om zodoende ongewenst en oneigenlijk gebruik van het fiscale stelsel te voorkomen. Hiermee zou belastingbesparende constructies worden bestreden, </w:t>
      </w:r>
      <w:r>
        <w:rPr>
          <w:rFonts w:ascii="Times New Roman" w:hAnsi="Times New Roman" w:cs="Times New Roman"/>
          <w:sz w:val="24"/>
          <w:szCs w:val="24"/>
          <w:lang w:eastAsia="nl-NL"/>
        </w:rPr>
        <w:t>welke</w:t>
      </w:r>
      <w:r w:rsidRPr="00D51566">
        <w:rPr>
          <w:rFonts w:ascii="Times New Roman" w:hAnsi="Times New Roman" w:cs="Times New Roman"/>
          <w:sz w:val="24"/>
          <w:szCs w:val="24"/>
          <w:lang w:eastAsia="nl-NL"/>
        </w:rPr>
        <w:t xml:space="preserve"> bedrijfsinvesteringen niet aanmoedig</w:t>
      </w:r>
      <w:r>
        <w:rPr>
          <w:rFonts w:ascii="Times New Roman" w:hAnsi="Times New Roman" w:cs="Times New Roman"/>
          <w:sz w:val="24"/>
          <w:szCs w:val="24"/>
          <w:lang w:eastAsia="nl-NL"/>
        </w:rPr>
        <w:t>en</w:t>
      </w:r>
      <w:r w:rsidRPr="00D51566">
        <w:rPr>
          <w:rFonts w:ascii="Times New Roman" w:hAnsi="Times New Roman" w:cs="Times New Roman"/>
          <w:sz w:val="24"/>
          <w:szCs w:val="24"/>
          <w:lang w:eastAsia="nl-NL"/>
        </w:rPr>
        <w:t xml:space="preserve"> en ook niet bijdra</w:t>
      </w:r>
      <w:r>
        <w:rPr>
          <w:rFonts w:ascii="Times New Roman" w:hAnsi="Times New Roman" w:cs="Times New Roman"/>
          <w:sz w:val="24"/>
          <w:szCs w:val="24"/>
          <w:lang w:eastAsia="nl-NL"/>
        </w:rPr>
        <w:t>gen</w:t>
      </w:r>
      <w:r w:rsidRPr="00D51566">
        <w:rPr>
          <w:rFonts w:ascii="Times New Roman" w:hAnsi="Times New Roman" w:cs="Times New Roman"/>
          <w:sz w:val="24"/>
          <w:szCs w:val="24"/>
          <w:lang w:eastAsia="nl-NL"/>
        </w:rPr>
        <w:t xml:space="preserve"> aan de werkgelegenheid, terwijl ze wel leiden tot een ongewenste versmalling van de belastinggrondslag. </w:t>
      </w:r>
    </w:p>
    <w:p w:rsidR="00BA7971" w:rsidRDefault="00BA7971" w:rsidP="00C25509">
      <w:pPr>
        <w:spacing w:line="360" w:lineRule="auto"/>
      </w:pPr>
    </w:p>
    <w:p w:rsidR="00BA7971" w:rsidRDefault="00BA7971" w:rsidP="00C25509">
      <w:pPr>
        <w:spacing w:line="360" w:lineRule="auto"/>
      </w:pPr>
      <w:r>
        <w:t xml:space="preserve">Hoe de codificatie in artikel 10a Wet Vpb 1969 is geëffectueerd, zal in het volgende hoofdstuk worden behandeld. </w:t>
      </w:r>
    </w:p>
    <w:p w:rsidR="00BA7971" w:rsidRPr="00402470" w:rsidRDefault="00BA7971" w:rsidP="002E4142">
      <w:pPr>
        <w:widowControl/>
        <w:suppressAutoHyphens w:val="0"/>
        <w:spacing w:after="200" w:line="276" w:lineRule="auto"/>
        <w:jc w:val="right"/>
        <w:rPr>
          <w:b/>
          <w:i/>
          <w:sz w:val="22"/>
          <w:szCs w:val="22"/>
        </w:rPr>
      </w:pPr>
      <w:r>
        <w:br w:type="page"/>
      </w: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jc w:val="center"/>
        <w:rPr>
          <w:b/>
          <w:sz w:val="28"/>
          <w:szCs w:val="28"/>
        </w:rPr>
      </w:pPr>
    </w:p>
    <w:p w:rsidR="00BA7971" w:rsidRPr="00BD6D89" w:rsidRDefault="00BA7971" w:rsidP="00A54965">
      <w:pPr>
        <w:spacing w:line="360" w:lineRule="auto"/>
        <w:jc w:val="center"/>
        <w:rPr>
          <w:b/>
          <w:sz w:val="28"/>
          <w:szCs w:val="28"/>
        </w:rPr>
      </w:pPr>
      <w:r w:rsidRPr="00BD6D89">
        <w:rPr>
          <w:b/>
          <w:sz w:val="28"/>
          <w:szCs w:val="28"/>
        </w:rPr>
        <w:t xml:space="preserve">Hoofdstuk </w:t>
      </w:r>
      <w:r>
        <w:rPr>
          <w:b/>
          <w:sz w:val="28"/>
          <w:szCs w:val="28"/>
        </w:rPr>
        <w:t>5</w:t>
      </w:r>
    </w:p>
    <w:p w:rsidR="00BA7971" w:rsidRPr="00BD6D89" w:rsidRDefault="00BA7971" w:rsidP="00A54965">
      <w:pPr>
        <w:spacing w:line="360" w:lineRule="auto"/>
        <w:jc w:val="center"/>
        <w:rPr>
          <w:b/>
          <w:sz w:val="28"/>
          <w:szCs w:val="28"/>
        </w:rPr>
      </w:pPr>
      <w:r w:rsidRPr="00BD6D89">
        <w:rPr>
          <w:b/>
          <w:sz w:val="28"/>
          <w:szCs w:val="28"/>
        </w:rPr>
        <w:t>ARTIKEL 10A WET VPB</w:t>
      </w:r>
      <w:r>
        <w:rPr>
          <w:b/>
          <w:sz w:val="28"/>
          <w:szCs w:val="28"/>
        </w:rPr>
        <w:t xml:space="preserve"> 1969</w:t>
      </w:r>
    </w:p>
    <w:p w:rsidR="00BA7971" w:rsidRPr="004960E8" w:rsidRDefault="00BA7971" w:rsidP="00785A37">
      <w:pPr>
        <w:spacing w:line="360" w:lineRule="auto"/>
      </w:pPr>
    </w:p>
    <w:p w:rsidR="00BA7971" w:rsidRPr="00BD6D89" w:rsidRDefault="00BA7971" w:rsidP="00785A37">
      <w:pPr>
        <w:spacing w:line="360" w:lineRule="auto"/>
        <w:rPr>
          <w:b/>
        </w:rPr>
      </w:pPr>
      <w:r>
        <w:rPr>
          <w:b/>
        </w:rPr>
        <w:t>5</w:t>
      </w:r>
      <w:r w:rsidRPr="00BD6D89">
        <w:rPr>
          <w:b/>
        </w:rPr>
        <w:t>.1 Inleiding</w:t>
      </w:r>
    </w:p>
    <w:p w:rsidR="00BA7971" w:rsidRDefault="00BA7971" w:rsidP="00785A37">
      <w:pPr>
        <w:spacing w:line="360" w:lineRule="auto"/>
      </w:pPr>
      <w:r>
        <w:t>Uit het vorig hoofdstuk is gebleken, dat de codificatie van een groot deel van winstdrainage jurisprudentie in combinatie met een uitbreiding ervan ertoe hebben geleid tot het ontstaan van artikel 10a Wet Vpb 1969. Het betreft een antimisbruikbepaling die gericht is tegen situaties die tot uitholling van de Nederlandse belastinggrondslag</w:t>
      </w:r>
      <w:r w:rsidRPr="003B6E95">
        <w:t xml:space="preserve"> </w:t>
      </w:r>
      <w:r>
        <w:t>leiden. Indien dergelijk situatie zich voordoet, treedt de wettelijke bepaling in werking met als mogelijk</w:t>
      </w:r>
      <w:r>
        <w:rPr>
          <w:rStyle w:val="FootnoteReference"/>
        </w:rPr>
        <w:footnoteReference w:id="44"/>
      </w:r>
      <w:r>
        <w:t xml:space="preserve"> gevolg de weigering van renteaftrek. </w:t>
      </w:r>
    </w:p>
    <w:p w:rsidR="00BA7971" w:rsidRDefault="00BA7971" w:rsidP="00785A37">
      <w:pPr>
        <w:spacing w:line="360" w:lineRule="auto"/>
      </w:pPr>
      <w:r>
        <w:t xml:space="preserve">Sinds het bestaan van artikel 10a Wet Vpb 1969 zijn er ontwikkelingen geweest, niet alleen betreffende het wetsartikel zelf maar ook in de jurisprudentie. In het kader van dit onderzoek dient te worden gedacht aan jurisprudentie op het terrein van fraus legis met betrekking tot winstdrainage. Vandaar dat in dit hoofdstuk twee deelvragen zal worden behandeld. Deze zijn: </w:t>
      </w:r>
    </w:p>
    <w:p w:rsidR="00BA7971" w:rsidRPr="008E597E" w:rsidRDefault="00BA7971" w:rsidP="00785A37">
      <w:pPr>
        <w:spacing w:line="360" w:lineRule="auto"/>
        <w:rPr>
          <w:b/>
          <w:i/>
        </w:rPr>
      </w:pPr>
      <w:r w:rsidRPr="008E597E">
        <w:rPr>
          <w:b/>
          <w:i/>
        </w:rPr>
        <w:t xml:space="preserve">1) Hoe werkt artikel 10a Wet Vpb 1969 uit? </w:t>
      </w:r>
    </w:p>
    <w:p w:rsidR="00BA7971" w:rsidRPr="001E6679" w:rsidRDefault="00BA7971" w:rsidP="00785A37">
      <w:pPr>
        <w:spacing w:line="360" w:lineRule="auto"/>
        <w:rPr>
          <w:b/>
          <w:i/>
        </w:rPr>
      </w:pPr>
      <w:r w:rsidRPr="008E597E">
        <w:rPr>
          <w:b/>
          <w:i/>
        </w:rPr>
        <w:t>2) Wat zijn de belangrijkste ontwikkelingen op het terrein van fraus legis, met betrekking tot</w:t>
      </w:r>
      <w:r w:rsidRPr="001E6679">
        <w:rPr>
          <w:b/>
          <w:i/>
        </w:rPr>
        <w:t xml:space="preserve"> </w:t>
      </w:r>
      <w:r w:rsidRPr="00AD0EEA">
        <w:rPr>
          <w:b/>
          <w:i/>
        </w:rPr>
        <w:t>winstdrainage,</w:t>
      </w:r>
      <w:r w:rsidRPr="001E6679">
        <w:rPr>
          <w:b/>
          <w:i/>
        </w:rPr>
        <w:t xml:space="preserve"> sinds het bestaan van dit artikel?</w:t>
      </w:r>
    </w:p>
    <w:p w:rsidR="00BA7971" w:rsidRDefault="00BA7971" w:rsidP="00785A37">
      <w:pPr>
        <w:spacing w:line="360" w:lineRule="auto"/>
        <w:rPr>
          <w:b/>
        </w:rPr>
      </w:pPr>
    </w:p>
    <w:p w:rsidR="00BA7971" w:rsidRDefault="00BA7971" w:rsidP="00785A37">
      <w:pPr>
        <w:spacing w:line="360" w:lineRule="auto"/>
        <w:rPr>
          <w:b/>
        </w:rPr>
      </w:pPr>
      <w:r w:rsidRPr="000E2FD2">
        <w:rPr>
          <w:b/>
        </w:rPr>
        <w:t xml:space="preserve">5.2 </w:t>
      </w:r>
      <w:r>
        <w:rPr>
          <w:b/>
        </w:rPr>
        <w:t>A</w:t>
      </w:r>
      <w:r w:rsidRPr="000E2FD2">
        <w:rPr>
          <w:b/>
        </w:rPr>
        <w:t>rtikel 10a Wet Vpb 1969</w:t>
      </w:r>
      <w:r>
        <w:rPr>
          <w:b/>
        </w:rPr>
        <w:t xml:space="preserve"> in beschouwing</w:t>
      </w:r>
    </w:p>
    <w:p w:rsidR="00BA7971" w:rsidRDefault="00BA7971" w:rsidP="00785A37">
      <w:pPr>
        <w:spacing w:line="360" w:lineRule="auto"/>
      </w:pPr>
      <w:r>
        <w:t xml:space="preserve">Zoals eerder gezegd is in de inleiding, is het gevolg van de toepassing van artikel 10a Wet Vpb 1969 de weigering van rente aftrek. Daaronder zijn de ook kosten en valutaresultaten inbegrepen. Echter, voordat de fiscus deze wetsbepaling kan toepassen, dient hij eerst de aanwezigheid van de door deze wet gestelde voorwaarden te constateren. Door middel van de thans geldende wettekst van artikel 10a Wet Vpb 1969 zal een uitleg worden gegeven van wat daaronder begrepen moet worden. </w:t>
      </w:r>
    </w:p>
    <w:p w:rsidR="00BA7971" w:rsidRDefault="00BA7971" w:rsidP="00785A37">
      <w:pPr>
        <w:spacing w:line="360" w:lineRule="auto"/>
      </w:pPr>
    </w:p>
    <w:p w:rsidR="00BA7971" w:rsidRPr="0061103F" w:rsidRDefault="00BA7971" w:rsidP="005715D8">
      <w:pPr>
        <w:spacing w:line="360" w:lineRule="auto"/>
        <w:rPr>
          <w:b/>
        </w:rPr>
      </w:pPr>
      <w:r>
        <w:rPr>
          <w:b/>
        </w:rPr>
        <w:t>5.2.1 Verband tussen een schuld en een b</w:t>
      </w:r>
      <w:r w:rsidRPr="0061103F">
        <w:rPr>
          <w:b/>
        </w:rPr>
        <w:t xml:space="preserve">esmette rechtshandeling </w:t>
      </w:r>
    </w:p>
    <w:p w:rsidR="00BA7971" w:rsidRDefault="00BA7971" w:rsidP="00785A37">
      <w:pPr>
        <w:spacing w:line="360" w:lineRule="auto"/>
      </w:pPr>
      <w:r>
        <w:t xml:space="preserve">Artikel 10a, lid 1 Wet Vpb 1969 geeft aan dat een schuld aan een verbonden lichaam dan wel verbonden persoon in verband dient te worden gebracht met een rechtshandeling. De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pPr>
    </w:p>
    <w:p w:rsidR="00BA7971" w:rsidRDefault="00BA7971" w:rsidP="00785A37">
      <w:pPr>
        <w:spacing w:line="360" w:lineRule="auto"/>
      </w:pPr>
      <w:r>
        <w:t xml:space="preserve">rechtshandelingen die hier worden bedoeld zijn min of meer de in hoofdstuk 2 opgesomde kernvormen van winstdrainage. Kort gezegd gaat het om, winstdelingen, teruggaaf van kapitaal, kapitaalstortingen of verwerving en uitbreiding van een belang. De zogenaamde besmette rechtshandelingen dient te zijn verricht door de belastingplichtige of door een met de belastingplichtige verbonden persoon of lichaam. Deze rechtshandelingen zijn tevens voorgekomen in </w:t>
      </w:r>
      <w:r w:rsidRPr="00785A37">
        <w:rPr>
          <w:i/>
        </w:rPr>
        <w:t>BNB 1989/217, BNB 1996/5</w:t>
      </w:r>
      <w:r w:rsidRPr="00785A37">
        <w:t xml:space="preserve"> en </w:t>
      </w:r>
      <w:r w:rsidRPr="00785A37">
        <w:rPr>
          <w:i/>
        </w:rPr>
        <w:t>BNB 1996/6</w:t>
      </w:r>
      <w:r w:rsidRPr="00785A37">
        <w:t>.</w:t>
      </w:r>
      <w:r>
        <w:t xml:space="preserve"> De wetgever heeft zo specifiek vermeld, door deze handelingen in fraudem legis in de wet op te nemen, dat dergelijke rechtshandelingen niet geoorloofd zijn. </w:t>
      </w:r>
    </w:p>
    <w:p w:rsidR="00BA7971" w:rsidRDefault="00BA7971" w:rsidP="00785A37">
      <w:pPr>
        <w:spacing w:line="360" w:lineRule="auto"/>
      </w:pPr>
    </w:p>
    <w:p w:rsidR="00BA7971" w:rsidRDefault="00BA7971" w:rsidP="00785A37">
      <w:pPr>
        <w:spacing w:line="360" w:lineRule="auto"/>
      </w:pPr>
      <w:r>
        <w:t>De besmette rechtshandeling dient in verband met een schuld te worden gebracht wil de wetsbepaling toegepast worden. Het begrip schuld dient hierbij ruim opgevat te worden, zodat schuldigerkenningen van te betalen geldbedragen maar ook verplichtingen die pas op lange termijn in betalingen van geldbedragen oplossen ook daaronder</w:t>
      </w:r>
      <w:r w:rsidRPr="00D10E35">
        <w:t xml:space="preserve"> </w:t>
      </w:r>
      <w:r>
        <w:t>vallen</w:t>
      </w:r>
      <w:r w:rsidRPr="006653F6">
        <w:rPr>
          <w:rStyle w:val="FootnoteReference"/>
        </w:rPr>
        <w:t xml:space="preserve"> </w:t>
      </w:r>
      <w:r w:rsidRPr="00AA04EB">
        <w:rPr>
          <w:rStyle w:val="FootnoteReference"/>
        </w:rPr>
        <w:footnoteReference w:id="45"/>
      </w:r>
      <w:r w:rsidRPr="00AA04EB">
        <w:t>.</w:t>
      </w:r>
      <w:r>
        <w:t xml:space="preserve"> </w:t>
      </w:r>
    </w:p>
    <w:p w:rsidR="00BA7971" w:rsidRDefault="00BA7971" w:rsidP="00785A37">
      <w:pPr>
        <w:spacing w:line="360" w:lineRule="auto"/>
      </w:pPr>
    </w:p>
    <w:p w:rsidR="00BA7971" w:rsidRPr="006B04F1" w:rsidRDefault="00BA7971" w:rsidP="00785A37">
      <w:pPr>
        <w:spacing w:line="360" w:lineRule="auto"/>
      </w:pPr>
      <w:r w:rsidRPr="006B04F1">
        <w:t>De terminologie van artikel 10a Wet Vpb 1969 is toegespitst op de materiële werkelijkheid. De in de wettekst openomen woorden ‘rechtens dan wel in feite direct of indirect’ geven dit aan. De materiële werkelijkheid moet worden getoetst aan de hand van de aanwezigheid van verschuldigdheid aan verbonden lichaam of persoon en de aanwezigheid op een direct of indirect verband met een besmette rechtshandeling. De bewijslast ligt bij de inspecteur. Dit betekent dat indien een lening formeel afkomstig is van een onafhankelijke partij (een derde), doch door achterliggende afspraken feitelijk afkomstig is van een verbonden lichaam, aan de werking van dit wetsartikel niet ontsnapt kan worden. Deze leningen staan bekend om ‘</w:t>
      </w:r>
      <w:r w:rsidRPr="006B04F1">
        <w:rPr>
          <w:i/>
        </w:rPr>
        <w:t>back-to-back leningen</w:t>
      </w:r>
      <w:r w:rsidRPr="006B04F1">
        <w:t>’. Ook omgekeerde gevallen vallen in de werkingssfeer van artikel 10aWet Vpb 1969, te weten de verschuldigdheid aan een verbonden lichaam of persoon die op zijn beurt geldlening verschuldigd is aan een externe partij</w:t>
      </w:r>
      <w:r w:rsidRPr="006B04F1">
        <w:rPr>
          <w:rStyle w:val="FootnoteReference"/>
        </w:rPr>
        <w:footnoteReference w:id="46"/>
      </w:r>
      <w:r w:rsidRPr="006B04F1">
        <w:t xml:space="preserve">. </w:t>
      </w:r>
      <w:r w:rsidRPr="00785A37">
        <w:rPr>
          <w:i/>
        </w:rPr>
        <w:t>BNB 1996/6</w:t>
      </w:r>
      <w:r w:rsidRPr="00785A37">
        <w:t>,</w:t>
      </w:r>
      <w:r w:rsidRPr="006B04F1">
        <w:t xml:space="preserve"> behandeld in hoofdstuk 3 betreft een dergelijk geval. </w:t>
      </w:r>
    </w:p>
    <w:p w:rsidR="00BA7971" w:rsidRDefault="00BA7971" w:rsidP="00785A37">
      <w:pPr>
        <w:spacing w:line="360" w:lineRule="auto"/>
      </w:pPr>
    </w:p>
    <w:p w:rsidR="00BA7971" w:rsidRPr="0061103F" w:rsidRDefault="00BA7971" w:rsidP="003C0B91">
      <w:pPr>
        <w:spacing w:line="360" w:lineRule="auto"/>
        <w:rPr>
          <w:b/>
        </w:rPr>
      </w:pPr>
      <w:r>
        <w:rPr>
          <w:b/>
        </w:rPr>
        <w:t xml:space="preserve">5.2.2 </w:t>
      </w:r>
      <w:r w:rsidRPr="0061103F">
        <w:rPr>
          <w:b/>
        </w:rPr>
        <w:t>Verbonden lichaam en verbonden persoon</w:t>
      </w:r>
    </w:p>
    <w:p w:rsidR="00BA7971" w:rsidRDefault="00BA7971" w:rsidP="003C0B91">
      <w:pPr>
        <w:spacing w:line="360" w:lineRule="auto"/>
      </w:pPr>
      <w:r>
        <w:t xml:space="preserve">Het begrip verbonden lichaam en natuurlijk persoon is ook erg belangrijk. De wetsbepaling is ook van toepassing indien een besmette rechtshandeling verricht wordt door een verbonden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pPr>
    </w:p>
    <w:p w:rsidR="00BA7971" w:rsidRDefault="00BA7971" w:rsidP="003F31D8">
      <w:pPr>
        <w:pBdr>
          <w:top w:val="single" w:sz="4" w:space="1" w:color="auto"/>
        </w:pBdr>
        <w:spacing w:line="360" w:lineRule="auto"/>
      </w:pPr>
      <w:r>
        <w:t>lichaam/ natuurlijk persoon of de handeling verband houdt met een schuld aan een verbonden</w:t>
      </w:r>
    </w:p>
    <w:p w:rsidR="00BA7971" w:rsidRPr="001500AD" w:rsidRDefault="00BA7971" w:rsidP="003C0B91">
      <w:pPr>
        <w:spacing w:line="360" w:lineRule="auto"/>
      </w:pPr>
      <w:r>
        <w:t xml:space="preserve">lichaam/ natuurlijk persoon. </w:t>
      </w:r>
      <w:r w:rsidRPr="00727A90">
        <w:t>Dit verbondenheidscriterium benadrukt dat artikel 10a Wet V</w:t>
      </w:r>
      <w:r>
        <w:t>pb 1969</w:t>
      </w:r>
      <w:r w:rsidRPr="00727A90">
        <w:t xml:space="preserve"> gericht is tegen onzakelijke constructies in concernverband.</w:t>
      </w:r>
      <w:r w:rsidRPr="0061103F">
        <w:rPr>
          <w:color w:val="00B0F0"/>
        </w:rPr>
        <w:t xml:space="preserve"> </w:t>
      </w:r>
      <w:r>
        <w:t>Afgevraagd wordt wat onder een verbonden lichaam of verbonden natuurlijk persoon dient te worden verstaan. Artikel 10a, lid 4 tot en met 6,</w:t>
      </w:r>
      <w:r w:rsidRPr="00565433">
        <w:t xml:space="preserve"> </w:t>
      </w:r>
      <w:r>
        <w:t xml:space="preserve">Wet Vpb 1969 is het antwoord daarop te vinden. </w:t>
      </w:r>
      <w:r w:rsidRPr="001500AD">
        <w:t>Voor renteaftrekbeperkingen</w:t>
      </w:r>
      <w:r w:rsidRPr="001500AD">
        <w:rPr>
          <w:rStyle w:val="FootnoteReference"/>
        </w:rPr>
        <w:footnoteReference w:id="47"/>
      </w:r>
      <w:r w:rsidRPr="001500AD">
        <w:t xml:space="preserve"> is de eis gesteld op minstens een derde gedeelte belang. Het gaat om een belang van een lichaam in de moedermaatschappij, dochtermaatschappij of zustermaatschappij en een belang van natuurlijke persoon in de belastingplichtige of een met hem verbonden lichaam.</w:t>
      </w:r>
      <w:r>
        <w:t xml:space="preserve"> Indien een lichaam deel uitmaakt van een fiscale eenheid, zullen de andere tot de fiscale eenheid behorende lichamen met hem als verbonden worden gezien. In het verleden werd getracht</w:t>
      </w:r>
      <w:r w:rsidRPr="001500AD">
        <w:t xml:space="preserve"> om via gekunstelde constructies een rentestroom te creëren, bijvoorbeeld van een Nederlandse BV naar een in een taxhaven gevestigde vennootschap, die als aandeelhouders de minderjarige kinderen van de enige aandeelhouder van de BV heeft. Om misbruik hieromtrent te voorkomen is het begrip verbonden lichaam uitgebreid, waardoor ook relaties via de echtgenote, partner of minderjarige kinderen eronder vallen</w:t>
      </w:r>
      <w:r w:rsidRPr="001500AD">
        <w:rPr>
          <w:rStyle w:val="FootnoteReference"/>
        </w:rPr>
        <w:footnoteReference w:id="48"/>
      </w:r>
      <w:r w:rsidRPr="001500AD">
        <w:t>.</w:t>
      </w:r>
      <w:r>
        <w:t xml:space="preserve"> </w:t>
      </w:r>
    </w:p>
    <w:p w:rsidR="00BA7971" w:rsidRDefault="00BA7971" w:rsidP="003C0B91">
      <w:pPr>
        <w:spacing w:line="360" w:lineRule="auto"/>
      </w:pPr>
    </w:p>
    <w:p w:rsidR="00BA7971" w:rsidRPr="00C56AE4" w:rsidRDefault="00BA7971" w:rsidP="003C0B91">
      <w:pPr>
        <w:spacing w:line="360" w:lineRule="auto"/>
      </w:pPr>
      <w:r w:rsidRPr="00C56AE4">
        <w:t>Het begrip belang is zelf niet in de wet gedefinieerd, maar de wetsgeschiedenis biedt daartoe enige duidelijkheid. Hieruit volgt in ieder geval dat een belang ruimer opgevat dient te worden dan een aandeelhouderschap</w:t>
      </w:r>
      <w:r>
        <w:t xml:space="preserve"> om drie redenen. Ten eerste omvat het begrip belang mede vennootschappen waarvan hun kapitaal niet in aandelen verdeeld zijn. Daarbij kan gedacht worden aan een vennootschap onder firma of een besloten commanditaire vennootschap</w:t>
      </w:r>
      <w:r>
        <w:rPr>
          <w:rStyle w:val="FootnoteReference"/>
        </w:rPr>
        <w:footnoteReference w:id="49"/>
      </w:r>
      <w:r>
        <w:t>. Ten tweede dient bij bepaling van een belang zowel met directe als de indirecte relaties rekening worden gehouden. Bedacht kan worden dat de belastingplichtige door het tussenschuiven van een holding, aan de wettelijke bepaling zou kunnen ontsnappen. Vandaar dat de wetgever dit expliciet heeft opgenomen. Als laatste zijn niet slechts de aandelen in een vennootschap beslissend, maar ook de gerechtigdheid in het geplaatste kapitaal</w:t>
      </w:r>
      <w:r w:rsidRPr="00C56AE4">
        <w:rPr>
          <w:rStyle w:val="FootnoteReference"/>
        </w:rPr>
        <w:footnoteReference w:id="50"/>
      </w:r>
      <w:r>
        <w:t xml:space="preserve">. </w:t>
      </w:r>
    </w:p>
    <w:p w:rsidR="00BA7971" w:rsidRPr="0061103F" w:rsidRDefault="00BA7971" w:rsidP="003C0B91">
      <w:pPr>
        <w:spacing w:line="360" w:lineRule="auto"/>
        <w:rPr>
          <w:color w:val="00B0F0"/>
        </w:rPr>
      </w:pP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rPr>
          <w:b/>
        </w:rPr>
      </w:pPr>
    </w:p>
    <w:p w:rsidR="00BA7971" w:rsidRDefault="00BA7971" w:rsidP="003C0B91">
      <w:pPr>
        <w:spacing w:line="360" w:lineRule="auto"/>
        <w:rPr>
          <w:b/>
        </w:rPr>
      </w:pPr>
      <w:r>
        <w:rPr>
          <w:b/>
        </w:rPr>
        <w:t xml:space="preserve">5.2.3 </w:t>
      </w:r>
      <w:r w:rsidRPr="0061103F">
        <w:rPr>
          <w:b/>
        </w:rPr>
        <w:t>Tegenbewijs</w:t>
      </w:r>
      <w:r>
        <w:rPr>
          <w:b/>
        </w:rPr>
        <w:t>regeling</w:t>
      </w:r>
    </w:p>
    <w:p w:rsidR="00BA7971" w:rsidRPr="00000EA6" w:rsidRDefault="00BA7971" w:rsidP="003C0B91">
      <w:pPr>
        <w:spacing w:line="360" w:lineRule="auto"/>
        <w:rPr>
          <w:b/>
        </w:rPr>
      </w:pPr>
      <w:r w:rsidRPr="00000EA6">
        <w:t xml:space="preserve">De belastingplichtige heeft de mogelijkheid om tegenbewijs te leveren indien geconstateerd wordt dat artikel 10a Wet Vpb 1969 dient te worden toegepast. Deze tegenbewijsregeling staat vermeld in artikel 10a, lid 3 Wet Vpb 1969 en zorgt ervoor dat het gevolg van dit wetsartikel niet optreedt. Daarvoor dient de belastingplichtige aannemelijk te maken dat: </w:t>
      </w:r>
    </w:p>
    <w:p w:rsidR="00BA7971" w:rsidRPr="00000EA6" w:rsidRDefault="00BA7971" w:rsidP="003C0B91">
      <w:pPr>
        <w:widowControl/>
        <w:numPr>
          <w:ilvl w:val="0"/>
          <w:numId w:val="5"/>
        </w:numPr>
        <w:suppressAutoHyphens w:val="0"/>
        <w:spacing w:line="360" w:lineRule="auto"/>
      </w:pPr>
      <w:r w:rsidRPr="00000EA6">
        <w:t>aan de schuld en de rechtshandeling zakelijke overwegingen ten grondslag liggen, of</w:t>
      </w:r>
    </w:p>
    <w:p w:rsidR="00BA7971" w:rsidRDefault="00BA7971" w:rsidP="003C0B91">
      <w:pPr>
        <w:widowControl/>
        <w:numPr>
          <w:ilvl w:val="0"/>
          <w:numId w:val="5"/>
        </w:numPr>
        <w:suppressAutoHyphens w:val="0"/>
        <w:spacing w:line="360" w:lineRule="auto"/>
      </w:pPr>
      <w:r w:rsidRPr="00000EA6">
        <w:t xml:space="preserve">bij degene die rente ontvangt van compenserende heffing sprake is. </w:t>
      </w:r>
    </w:p>
    <w:p w:rsidR="00BA7971" w:rsidRDefault="00BA7971" w:rsidP="003C0B91">
      <w:pPr>
        <w:spacing w:line="360" w:lineRule="auto"/>
      </w:pPr>
      <w:r>
        <w:t xml:space="preserve">In het vervolg zullen deze twee manieren waarop tegenbewijs geleverd kan worden, uitgelegd worden. </w:t>
      </w:r>
    </w:p>
    <w:p w:rsidR="00BA7971" w:rsidRDefault="00BA7971" w:rsidP="003C0B91">
      <w:pPr>
        <w:spacing w:line="360" w:lineRule="auto"/>
      </w:pPr>
    </w:p>
    <w:p w:rsidR="00BA7971" w:rsidRPr="00433172" w:rsidRDefault="00BA7971" w:rsidP="003C0B91">
      <w:pPr>
        <w:spacing w:line="360" w:lineRule="auto"/>
      </w:pPr>
      <w:r>
        <w:t xml:space="preserve">De eerste manier om tegenbewijs te leveren betreft de </w:t>
      </w:r>
      <w:r w:rsidRPr="00C963C6">
        <w:t>dubbele zakelijkheidstoets.</w:t>
      </w:r>
      <w:r>
        <w:rPr>
          <w:color w:val="00B050"/>
        </w:rPr>
        <w:t xml:space="preserve"> </w:t>
      </w:r>
      <w:r w:rsidRPr="00C963C6">
        <w:t>Bewezen moet worden dat de rechtshandeling</w:t>
      </w:r>
      <w:r>
        <w:t xml:space="preserve"> en de wijze waarop gefinancierd is</w:t>
      </w:r>
      <w:r w:rsidRPr="00C963C6">
        <w:t xml:space="preserve"> </w:t>
      </w:r>
      <w:r>
        <w:t>op basis van</w:t>
      </w:r>
      <w:r w:rsidRPr="00C963C6">
        <w:t xml:space="preserve"> zakelijke overwegingen tot stand zijn gekomen.</w:t>
      </w:r>
      <w:r>
        <w:t xml:space="preserve"> Mijns inziens dient onder zakelijk te worden verstaan een omstandigheid die ook tussen onafhankelijke partijen zou zijn bereikt. </w:t>
      </w:r>
      <w:r w:rsidRPr="00433172">
        <w:t xml:space="preserve">De zakelijkheid van de </w:t>
      </w:r>
      <w:r>
        <w:t xml:space="preserve">financieringswijze </w:t>
      </w:r>
      <w:r w:rsidRPr="00433172">
        <w:t xml:space="preserve">is afhankelijk van de vraag in hoeverre de groep over vrije besteedbare eigen vermogen beschikt en waarom niet gekozen is voor ter beschikking stellen van dat laatste. </w:t>
      </w:r>
    </w:p>
    <w:p w:rsidR="00BA7971" w:rsidRPr="00433172" w:rsidRDefault="00BA7971" w:rsidP="005602A2">
      <w:pPr>
        <w:spacing w:line="360" w:lineRule="auto"/>
      </w:pPr>
      <w:r w:rsidRPr="00433172">
        <w:t>Volgens de schrijvers van Cursus belastingsrecht Vennootschapsbelasting</w:t>
      </w:r>
      <w:r w:rsidRPr="00433172">
        <w:rPr>
          <w:rStyle w:val="FootnoteReference"/>
        </w:rPr>
        <w:footnoteReference w:id="51"/>
      </w:r>
      <w:r w:rsidRPr="00433172">
        <w:t xml:space="preserve"> is deze </w:t>
      </w:r>
      <w:r>
        <w:t>vorm van tegenb</w:t>
      </w:r>
      <w:r w:rsidRPr="00433172">
        <w:t>e</w:t>
      </w:r>
      <w:r>
        <w:t>wijs</w:t>
      </w:r>
      <w:r w:rsidRPr="00433172">
        <w:t xml:space="preserve"> gebaseerd op de gedachtegang die thans in het fiscaal jargon bekend staat als ‘verschillende wegen leer’. </w:t>
      </w:r>
      <w:r w:rsidRPr="00C3507A">
        <w:t>Daarbij kan een transactie niettemin met fraus legis geconfronteerd worden i</w:t>
      </w:r>
      <w:r>
        <w:t>ndien de wijze waarop deze</w:t>
      </w:r>
      <w:r w:rsidRPr="00C3507A">
        <w:t xml:space="preserve"> is </w:t>
      </w:r>
      <w:r>
        <w:t xml:space="preserve">ingericht </w:t>
      </w:r>
      <w:r w:rsidRPr="00C3507A">
        <w:t xml:space="preserve">in strijd komt met doel en strekking van de wet. </w:t>
      </w:r>
      <w:r>
        <w:t xml:space="preserve">Door </w:t>
      </w:r>
      <w:r w:rsidRPr="003A105D">
        <w:rPr>
          <w:i/>
        </w:rPr>
        <w:t>BNB 2005/169</w:t>
      </w:r>
      <w:r>
        <w:rPr>
          <w:i/>
        </w:rPr>
        <w:t>c</w:t>
      </w:r>
      <w:r>
        <w:t xml:space="preserve"> werd de ‘verschillende wegen leer’ op de proef gesteld. Uit de uitspraak van de Hoge Raad kan afgeleid worden dat hij dit leer niet als een bepalende factor acht</w:t>
      </w:r>
      <w:r>
        <w:rPr>
          <w:rStyle w:val="FootnoteReference"/>
        </w:rPr>
        <w:footnoteReference w:id="52"/>
      </w:r>
      <w:r>
        <w:t>. Echter, de wetgever neemt afstand van deze zienswijze en houdt vast aan de dubbele zakelijkheidstoets. Indien een acquisitie zakelijk is, betekent niet dat de financiering daarvan ook zakelijk is</w:t>
      </w:r>
      <w:r>
        <w:rPr>
          <w:rStyle w:val="FootnoteReference"/>
        </w:rPr>
        <w:footnoteReference w:id="53"/>
      </w:r>
      <w:r>
        <w:t xml:space="preserve">. </w:t>
      </w:r>
    </w:p>
    <w:p w:rsidR="00BA7971" w:rsidRDefault="00BA7971" w:rsidP="00C25509">
      <w:pPr>
        <w:spacing w:line="360" w:lineRule="auto"/>
      </w:pPr>
    </w:p>
    <w:p w:rsidR="00BA7971" w:rsidRDefault="00BA7971" w:rsidP="00A46FE8">
      <w:pPr>
        <w:spacing w:line="360" w:lineRule="auto"/>
      </w:pPr>
      <w:r w:rsidRPr="00DC7B0C">
        <w:t xml:space="preserve">De tweede vorm van tegenbewijs is het aannemelijk maken van compenserende heffing bij de vennootschap die de rente ontvangt. </w:t>
      </w:r>
      <w:r w:rsidRPr="00FD61E5">
        <w:t xml:space="preserve">Thans staat de compenserende heffing ruimer uitgelegd </w:t>
      </w:r>
    </w:p>
    <w:p w:rsidR="00BA7971" w:rsidRDefault="00BA7971" w:rsidP="003F31D8">
      <w:pPr>
        <w:spacing w:line="360" w:lineRule="auto"/>
        <w:jc w:val="right"/>
        <w:rPr>
          <w:b/>
          <w:i/>
          <w:sz w:val="22"/>
          <w:szCs w:val="22"/>
        </w:rPr>
      </w:pP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pPr>
    </w:p>
    <w:p w:rsidR="00BA7971" w:rsidRDefault="00BA7971" w:rsidP="005602A2">
      <w:pPr>
        <w:spacing w:line="360" w:lineRule="auto"/>
      </w:pPr>
      <w:r w:rsidRPr="00FD61E5">
        <w:t>in de wettekst van artikel 10a Wet Vpb</w:t>
      </w:r>
      <w:r>
        <w:t xml:space="preserve"> 1969</w:t>
      </w:r>
      <w:r w:rsidRPr="00FD61E5">
        <w:t xml:space="preserve">, zodat mijns inziens weinig twijfel meer bestaat betreffende de inhoud van dit begrip. Echter, dit was niet altijd zo geweest. Geschillen omtrent de vraag wat onder compenserende heffing dient te worden verstaan kwamen steeds aan de orde. </w:t>
      </w:r>
      <w:r>
        <w:t xml:space="preserve">In zijn conclusie bij </w:t>
      </w:r>
      <w:r w:rsidRPr="00C4463B">
        <w:rPr>
          <w:i/>
        </w:rPr>
        <w:t>BNB 1996/5</w:t>
      </w:r>
      <w:r>
        <w:t xml:space="preserve"> is Advocaat-Generaal mr. Overgaauw </w:t>
      </w:r>
      <w:r>
        <w:rPr>
          <w:rStyle w:val="FootnoteReference"/>
        </w:rPr>
        <w:footnoteReference w:id="54"/>
      </w:r>
      <w:r>
        <w:t xml:space="preserve"> van mening dat de eis van de compenserende heffing door dit arrest verfijnd</w:t>
      </w:r>
      <w:r w:rsidRPr="005602A2">
        <w:t xml:space="preserve"> </w:t>
      </w:r>
      <w:r>
        <w:t xml:space="preserve">is. Dit arrest geeft aan dat daaronder een ‘naar Nederlandse maatstaven redelijke heffing’ dient te worden verstaan. Dit werd opgenomen </w:t>
      </w:r>
      <w:r w:rsidRPr="00F64887">
        <w:t>in artikel 10a, lid 3, onderdeel b</w:t>
      </w:r>
      <w:r>
        <w:t>,</w:t>
      </w:r>
      <w:r w:rsidRPr="00F64887">
        <w:t xml:space="preserve"> (oud) Wet Vpb 1969.</w:t>
      </w:r>
      <w:r>
        <w:t xml:space="preserve"> Opmerkelijk is dat de vraag of van compenserende heffing sprake is in</w:t>
      </w:r>
      <w:r w:rsidRPr="00165D90">
        <w:t xml:space="preserve"> </w:t>
      </w:r>
      <w:r>
        <w:t>sommige gevallen niet eens aan de orde hoeft te komen</w:t>
      </w:r>
      <w:r w:rsidRPr="00165D90">
        <w:t>.</w:t>
      </w:r>
      <w:r>
        <w:t xml:space="preserve"> </w:t>
      </w:r>
      <w:r w:rsidRPr="00CC695E">
        <w:rPr>
          <w:i/>
        </w:rPr>
        <w:t>BNB 2005/169c</w:t>
      </w:r>
      <w:r>
        <w:t xml:space="preserve"> </w:t>
      </w:r>
      <w:r>
        <w:rPr>
          <w:rStyle w:val="FootnoteReference"/>
        </w:rPr>
        <w:footnoteReference w:id="55"/>
      </w:r>
      <w:r>
        <w:t xml:space="preserve"> dient daartoe als voorbeeld. </w:t>
      </w:r>
    </w:p>
    <w:p w:rsidR="00BA7971" w:rsidRDefault="00BA7971" w:rsidP="00F64887">
      <w:pPr>
        <w:spacing w:line="360" w:lineRule="auto"/>
      </w:pPr>
    </w:p>
    <w:p w:rsidR="00BA7971" w:rsidRDefault="00BA7971" w:rsidP="00F24CDA">
      <w:pPr>
        <w:spacing w:line="360" w:lineRule="auto"/>
        <w:rPr>
          <w:color w:val="FF0000"/>
        </w:rPr>
      </w:pPr>
      <w:r>
        <w:t xml:space="preserve">Nu de inhoud van het begrip bekend was, ontstonden er geschillen omtrent de vraag wat een redelijke heffing is. Meer specifiek, welk percentage voldoende is voor een compenserende heffing. In </w:t>
      </w:r>
      <w:r w:rsidRPr="009F70CC">
        <w:rPr>
          <w:i/>
        </w:rPr>
        <w:t xml:space="preserve">Hof ’s-Hertogenbosch, MK III, 8 februari </w:t>
      </w:r>
      <w:r w:rsidRPr="009F70CC">
        <w:rPr>
          <w:rStyle w:val="highlight1"/>
          <w:i/>
        </w:rPr>
        <w:t>2002</w:t>
      </w:r>
      <w:r w:rsidRPr="009F70CC">
        <w:rPr>
          <w:i/>
        </w:rPr>
        <w:t>, nr. 98/0852,</w:t>
      </w:r>
      <w:r>
        <w:rPr>
          <w:i/>
        </w:rPr>
        <w:t xml:space="preserve"> </w:t>
      </w:r>
      <w:r w:rsidRPr="009F70CC">
        <w:rPr>
          <w:i/>
        </w:rPr>
        <w:t>V-N 2002/23.17</w:t>
      </w:r>
      <w:r>
        <w:t xml:space="preserve"> </w:t>
      </w:r>
      <w:r w:rsidRPr="00A46FE8">
        <w:t xml:space="preserve">was een belastingdruk van 15% als redelijk aan te merken. </w:t>
      </w:r>
      <w:r>
        <w:t xml:space="preserve">Kort daarna werd in </w:t>
      </w:r>
      <w:r w:rsidRPr="00A46FE8">
        <w:rPr>
          <w:i/>
        </w:rPr>
        <w:t>BNB 2002/118</w:t>
      </w:r>
      <w:r>
        <w:t xml:space="preserve"> </w:t>
      </w:r>
      <w:r>
        <w:rPr>
          <w:rStyle w:val="FootnoteReference"/>
        </w:rPr>
        <w:footnoteReference w:id="56"/>
      </w:r>
      <w:r>
        <w:t xml:space="preserve"> beslist dat al bij een percentage van 10% sprake is van een redelijk heffing. </w:t>
      </w:r>
    </w:p>
    <w:p w:rsidR="00BA7971" w:rsidRDefault="00BA7971" w:rsidP="00F24CDA">
      <w:pPr>
        <w:spacing w:line="360" w:lineRule="auto"/>
      </w:pPr>
      <w:r>
        <w:t>In de huidige wettekst staat het begrip nu vermeld als</w:t>
      </w:r>
      <w:r w:rsidRPr="00DC7B0C">
        <w:t xml:space="preserve"> een naar de winst geheven belasting die resulteert in een heffing naar een tarief van ten minste 10% over een naar Nederlandse maatstaven bepaalde belastbare winst. Het gaat dus om de effectieve belastingdruk</w:t>
      </w:r>
      <w:r w:rsidRPr="00DC7B0C">
        <w:rPr>
          <w:rStyle w:val="FootnoteReference"/>
        </w:rPr>
        <w:footnoteReference w:id="57"/>
      </w:r>
      <w:r w:rsidRPr="00DC7B0C">
        <w:t xml:space="preserve">. </w:t>
      </w:r>
    </w:p>
    <w:p w:rsidR="00BA7971" w:rsidRDefault="00BA7971" w:rsidP="00F24CDA">
      <w:pPr>
        <w:spacing w:line="360" w:lineRule="auto"/>
      </w:pPr>
    </w:p>
    <w:p w:rsidR="00BA7971" w:rsidRPr="003F3E69" w:rsidRDefault="00BA7971" w:rsidP="00F24CDA">
      <w:pPr>
        <w:spacing w:line="360" w:lineRule="auto"/>
      </w:pPr>
      <w:r w:rsidRPr="003F3E69">
        <w:t xml:space="preserve">Naast de toetsing naar een compenserende heffing wordt additioneel de eis gesteld dat voorafgaand aan het jaar waarin de schuld is aangegaan geen sprake is geweest van verrekenbare verliezen. De belastingplichtige heeft de bewijslast om aan te tonen dat de belasting over de rente bij de ontvanger niet gebruikt zal worden om verliezen te verrekenen. </w:t>
      </w:r>
    </w:p>
    <w:p w:rsidR="00BA7971" w:rsidRDefault="00BA7971" w:rsidP="00F45890">
      <w:pPr>
        <w:spacing w:line="360" w:lineRule="auto"/>
      </w:pPr>
      <w:r>
        <w:t xml:space="preserve">De additionele eis is slechts gericht op vergelijkbare gevallen als in </w:t>
      </w:r>
      <w:r w:rsidRPr="00F45890">
        <w:rPr>
          <w:i/>
        </w:rPr>
        <w:t>BNB 1993/197</w:t>
      </w:r>
      <w:r>
        <w:t xml:space="preserve">. Indien verlies aangekocht is, betreedt de belastingplichtige de reikwijdte van artikel 10a Wet Vpb 1969, want tegenbewijs kan niet met succes worden geleverd. </w:t>
      </w:r>
    </w:p>
    <w:p w:rsidR="00BA7971" w:rsidRDefault="00BA7971" w:rsidP="00C25509">
      <w:pPr>
        <w:spacing w:line="360" w:lineRule="auto"/>
        <w:rPr>
          <w:color w:val="000000"/>
          <w:lang w:eastAsia="nl-NL"/>
        </w:rPr>
      </w:pPr>
      <w:r>
        <w:t xml:space="preserve">De Hoge Raad was in </w:t>
      </w:r>
      <w:r w:rsidRPr="00D313D5">
        <w:rPr>
          <w:i/>
        </w:rPr>
        <w:t>BNB 1993/196</w:t>
      </w:r>
      <w:r>
        <w:t xml:space="preserve"> van mening dat de aanwezigheid van compenseerbare verliezen zelf niet afdoet aan het principe van compenserende heffing. De belastingplichtige mocht </w:t>
      </w:r>
      <w:r w:rsidRPr="00A04C4E">
        <w:rPr>
          <w:color w:val="000000"/>
          <w:lang w:eastAsia="nl-NL"/>
        </w:rPr>
        <w:t>positieve winstbestanddelen aantrekken</w:t>
      </w:r>
      <w:r>
        <w:rPr>
          <w:color w:val="000000"/>
          <w:lang w:eastAsia="nl-NL"/>
        </w:rPr>
        <w:t xml:space="preserve"> om </w:t>
      </w:r>
      <w:r w:rsidRPr="00A04C4E">
        <w:rPr>
          <w:color w:val="000000"/>
          <w:lang w:eastAsia="nl-NL"/>
        </w:rPr>
        <w:t xml:space="preserve">de verrekening van verliezen te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rPr>
          <w:color w:val="000000"/>
          <w:lang w:eastAsia="nl-NL"/>
        </w:rPr>
      </w:pPr>
    </w:p>
    <w:p w:rsidR="00BA7971" w:rsidRDefault="00BA7971" w:rsidP="00C25509">
      <w:pPr>
        <w:spacing w:line="360" w:lineRule="auto"/>
      </w:pPr>
      <w:r w:rsidRPr="00A04C4E">
        <w:rPr>
          <w:color w:val="000000"/>
          <w:lang w:eastAsia="nl-NL"/>
        </w:rPr>
        <w:t xml:space="preserve">bespoedigen en althans verdamping van die verliezen te voorkomen, </w:t>
      </w:r>
      <w:r>
        <w:rPr>
          <w:color w:val="000000"/>
          <w:lang w:eastAsia="nl-NL"/>
        </w:rPr>
        <w:t>zonder dat sprake is van het</w:t>
      </w:r>
      <w:r w:rsidRPr="00A04C4E">
        <w:rPr>
          <w:color w:val="000000"/>
          <w:lang w:eastAsia="nl-NL"/>
        </w:rPr>
        <w:t xml:space="preserve"> in strijd </w:t>
      </w:r>
      <w:r>
        <w:rPr>
          <w:color w:val="000000"/>
          <w:lang w:eastAsia="nl-NL"/>
        </w:rPr>
        <w:t xml:space="preserve">zijn </w:t>
      </w:r>
      <w:r w:rsidRPr="00A04C4E">
        <w:rPr>
          <w:color w:val="000000"/>
          <w:lang w:eastAsia="nl-NL"/>
        </w:rPr>
        <w:t>met de strekking van de verliescompensatie.</w:t>
      </w:r>
      <w:r>
        <w:rPr>
          <w:color w:val="000000"/>
          <w:lang w:eastAsia="nl-NL"/>
        </w:rPr>
        <w:t xml:space="preserve"> Deze situatie is als volgt in de thans geldende wettekst opgenomen. Ingeval de fiscus aannemelijk maakt dat de transacties zijn aangegaan met het oog op de verrekening van verliezen is er toch sprake van een compenserende heffing</w:t>
      </w:r>
      <w:r>
        <w:rPr>
          <w:rStyle w:val="FootnoteReference"/>
          <w:color w:val="000000"/>
          <w:lang w:eastAsia="nl-NL"/>
        </w:rPr>
        <w:footnoteReference w:id="58"/>
      </w:r>
      <w:r>
        <w:rPr>
          <w:color w:val="000000"/>
          <w:lang w:eastAsia="nl-NL"/>
        </w:rPr>
        <w:t xml:space="preserve">. </w:t>
      </w:r>
    </w:p>
    <w:p w:rsidR="00BA7971" w:rsidRDefault="00BA7971" w:rsidP="00C25509">
      <w:pPr>
        <w:spacing w:line="360" w:lineRule="auto"/>
      </w:pPr>
    </w:p>
    <w:p w:rsidR="00BA7971" w:rsidRPr="0061103F" w:rsidRDefault="00BA7971" w:rsidP="005F065C">
      <w:pPr>
        <w:spacing w:line="360" w:lineRule="auto"/>
        <w:rPr>
          <w:b/>
        </w:rPr>
      </w:pPr>
      <w:r w:rsidRPr="0061103F">
        <w:rPr>
          <w:b/>
        </w:rPr>
        <w:t>5.2.4 Artikel 15ad Wet Vpb 1969</w:t>
      </w:r>
    </w:p>
    <w:p w:rsidR="00BA7971" w:rsidRPr="0061103F" w:rsidRDefault="00BA7971" w:rsidP="005F065C">
      <w:pPr>
        <w:spacing w:line="360" w:lineRule="auto"/>
        <w:rPr>
          <w:color w:val="E36C0A"/>
        </w:rPr>
      </w:pPr>
      <w:r w:rsidRPr="00545AA1">
        <w:t>Bij de intreding van Wet werken aan winst is naast de wijzigingen in artikel 10a Wet V</w:t>
      </w:r>
      <w:r>
        <w:t>pb 1969</w:t>
      </w:r>
      <w:r w:rsidRPr="00545AA1">
        <w:t xml:space="preserve"> een belangrijke wijziging geweest die daarmee verband houdt, namelijk het vervallen van artikel 15ad Wet V</w:t>
      </w:r>
      <w:r>
        <w:t>pb 1969</w:t>
      </w:r>
      <w:r w:rsidRPr="00545AA1">
        <w:t>.</w:t>
      </w:r>
      <w:r w:rsidRPr="0061103F">
        <w:rPr>
          <w:color w:val="E36C0A"/>
        </w:rPr>
        <w:t xml:space="preserve"> </w:t>
      </w:r>
      <w:r w:rsidRPr="00545AA1">
        <w:t>Dit artikel was gericht tegen overnameholdingconstructies.</w:t>
      </w:r>
      <w:r w:rsidRPr="0061103F">
        <w:rPr>
          <w:color w:val="E36C0A"/>
        </w:rPr>
        <w:t xml:space="preserve"> </w:t>
      </w:r>
      <w:r w:rsidRPr="00545AA1">
        <w:t>Deze situaties werden toen geïntegreerd in artikel 10a Wet VPB, ten einde een verdere vereenvoudiging en systematisering van renteaftrekbeperkingen te bereiken.</w:t>
      </w:r>
      <w:r w:rsidRPr="0061103F">
        <w:rPr>
          <w:color w:val="E36C0A"/>
        </w:rPr>
        <w:t xml:space="preserve"> </w:t>
      </w:r>
      <w:r w:rsidRPr="00B6638B">
        <w:t>Aan a</w:t>
      </w:r>
      <w:r w:rsidRPr="00545AA1">
        <w:t>rtikel 10a</w:t>
      </w:r>
      <w:r>
        <w:t>, lid 1</w:t>
      </w:r>
      <w:r w:rsidRPr="00545AA1">
        <w:t xml:space="preserve"> Wet Vpb 1969</w:t>
      </w:r>
      <w:r>
        <w:t xml:space="preserve"> werd</w:t>
      </w:r>
      <w:r w:rsidRPr="00545AA1">
        <w:t xml:space="preserve"> </w:t>
      </w:r>
      <w:r>
        <w:t>hierdoor een besmette rechtshandeling toegevoegd. Het betreft</w:t>
      </w:r>
      <w:r w:rsidRPr="00545AA1">
        <w:t xml:space="preserve"> externe acquisities die als groepsmaatschappij functioneren</w:t>
      </w:r>
      <w:r w:rsidRPr="00545AA1">
        <w:rPr>
          <w:rStyle w:val="FootnoteReference"/>
        </w:rPr>
        <w:footnoteReference w:id="59"/>
      </w:r>
      <w:r w:rsidRPr="00545AA1">
        <w:t>.</w:t>
      </w:r>
      <w:r w:rsidRPr="0061103F">
        <w:rPr>
          <w:color w:val="E36C0A"/>
        </w:rPr>
        <w:t xml:space="preserve"> </w:t>
      </w:r>
      <w:r w:rsidRPr="00B6638B">
        <w:t>Dit betekent</w:t>
      </w:r>
      <w:r>
        <w:rPr>
          <w:color w:val="E36C0A"/>
        </w:rPr>
        <w:t xml:space="preserve"> </w:t>
      </w:r>
      <w:r>
        <w:t>h</w:t>
      </w:r>
      <w:r w:rsidRPr="0095344E">
        <w:t>et verwerven van aandelen in een nog niet tot het concern behorende vennootschap</w:t>
      </w:r>
      <w:r>
        <w:t>.</w:t>
      </w:r>
      <w:r w:rsidRPr="00B6638B">
        <w:t xml:space="preserve"> </w:t>
      </w:r>
      <w:r w:rsidRPr="0095344E">
        <w:t>Het gevolg van deze wijziging is dat de temporisering van renteaftrek in artikel 15ad Wet Vpb 1969 vervangen wordt door een uitsluiting van renteaftrek.</w:t>
      </w:r>
    </w:p>
    <w:p w:rsidR="00BA7971" w:rsidRDefault="00BA7971" w:rsidP="005F065C">
      <w:pPr>
        <w:spacing w:line="360" w:lineRule="auto"/>
        <w:rPr>
          <w:color w:val="FF0000"/>
        </w:rPr>
      </w:pPr>
    </w:p>
    <w:p w:rsidR="00BA7971" w:rsidRPr="00C571CE" w:rsidRDefault="00BA7971" w:rsidP="005F065C">
      <w:pPr>
        <w:spacing w:line="360" w:lineRule="auto"/>
        <w:rPr>
          <w:b/>
        </w:rPr>
      </w:pPr>
      <w:r w:rsidRPr="00C571CE">
        <w:rPr>
          <w:b/>
        </w:rPr>
        <w:t>5.3 Het Ierland arrest</w:t>
      </w:r>
    </w:p>
    <w:p w:rsidR="00BA7971" w:rsidRDefault="00BA7971" w:rsidP="005F065C">
      <w:pPr>
        <w:spacing w:line="360" w:lineRule="auto"/>
      </w:pPr>
      <w:r w:rsidRPr="00C553C9">
        <w:t>Sinds het bestaan van artikel 10a Wet Vpb 1969 zijn er enkele ontwikkelingen in de jurisprudentie geweest, waarvan het Ierland arrest</w:t>
      </w:r>
      <w:r w:rsidRPr="005602A2">
        <w:rPr>
          <w:rStyle w:val="FootnoteReference"/>
          <w:bCs/>
        </w:rPr>
        <w:footnoteReference w:id="60"/>
      </w:r>
      <w:r w:rsidRPr="005602A2">
        <w:rPr>
          <w:bCs/>
        </w:rPr>
        <w:t xml:space="preserve"> de</w:t>
      </w:r>
      <w:r w:rsidRPr="00C553C9">
        <w:t xml:space="preserve"> meest belangrijke zaak is geweest. </w:t>
      </w:r>
      <w:r>
        <w:t xml:space="preserve">Dit arrest kan als volgt worden samengevat. </w:t>
      </w:r>
    </w:p>
    <w:p w:rsidR="00BA7971" w:rsidRDefault="00BA7971" w:rsidP="005F065C">
      <w:pPr>
        <w:spacing w:line="360" w:lineRule="auto"/>
      </w:pPr>
      <w:r>
        <w:t xml:space="preserve">X-concern bestaat uit een in Ierland gevestigde tophoudster (Plc), haar dochtermaatschappij (Ltd) die eveneens in Ierland is gevestigd en de belanghebbende (BV) die de dochter is van Ltd. Belanghebbende zelf is de subhoudster van het Nederlandse deel van het concern. Zij is de moedermaatschappij van een fiscale eenheid, waarvan A BV, B BV en C BV deel uitmaken. Belanghebbende koopt 70% van de aandelen in D BV van E BV(een nog niet gelieerde vennootschap van het concern). De resterende aandelen worden gekocht door een andere niet aan het concern gelieerde maatschappij. Belanghebbende financiert deze aankoop met een verstrekte lening van een bank en het restant uit een door Plc verstrekte lening. De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pPr>
    </w:p>
    <w:p w:rsidR="00BA7971" w:rsidRDefault="00BA7971" w:rsidP="005F065C">
      <w:pPr>
        <w:spacing w:line="360" w:lineRule="auto"/>
      </w:pPr>
      <w:r>
        <w:t xml:space="preserve">door Plc uitgeleend bedrag is verkregen uit een uitgifte van (3-5%) aandelen aan E NV tegen volstorting van een bedrag, een aandelenemissie aan derden, een geldleningovereenkomst met een bank en het restant van het bedrag komt uit eigen middelen. </w:t>
      </w:r>
    </w:p>
    <w:p w:rsidR="00BA7971" w:rsidRDefault="00BA7971" w:rsidP="005F065C">
      <w:pPr>
        <w:spacing w:line="360" w:lineRule="auto"/>
      </w:pPr>
      <w:r>
        <w:t xml:space="preserve">Plc neemt een (fictieve) rentelast in aanmerking, welke voor de vennootschapsbelasting aangemerkt wordt als een informeel kapitaalstorting van Plc in belanghebbende. De van belanghebbende niet bedongen rente is niet in de winst van Plc opgenomen. Het geschil in deze zaak was of de inspecteur onder toepassing van fraus legis terecht renteaftrek heeft geweigerd. Het Hof beoordeelt het geschil als volgt. In wezen dient de twee toepassingsvereisten van fraus legis te worden vastgesteld. Verder geeft het Hof aan dat acquisitie niet kon hebben plaatsgevonden indien geen additionele vermogen zou zijn aangetrokken. De tussen Plc en belanghebbende aangegane schuldverhouding was weliswaar niet noodzakelijk geweest, nu dat de financiering geheel mogelijk was geweest door het aantrekken van een externe banklening, dan wel het ter beschikking stellen van eigen vermogen aan de belanghebbende. Niettemin is er geen sprake van willekeurige en voortdurende verijdeling van belastingheffing, doordat er binnen het concern geen eigen vermogen vrij beschikbaar was om de acquisitie te financieren. De aangegane schuldverhouding omvat dus een zakelijk motief. Dit brengt het Hof tot de volgende conclusie. De voortvloeiende rentelasten komen niet in strijd met doel en strekking van de wet,  alsmede dat belastingbesparing niet de doorslaggevende reden is geweest, zodat de vraag of sprake is van compenserende heffing niet aan de orde behoeft te komen. De belanghebbende heeft zijns inziens terecht renteaftrek geclaimd. </w:t>
      </w:r>
    </w:p>
    <w:p w:rsidR="00BA7971" w:rsidRDefault="00BA7971" w:rsidP="005F065C">
      <w:pPr>
        <w:spacing w:line="360" w:lineRule="auto"/>
      </w:pPr>
    </w:p>
    <w:p w:rsidR="00BA7971" w:rsidRPr="009E59F5" w:rsidRDefault="00BA7971" w:rsidP="005F065C">
      <w:pPr>
        <w:spacing w:line="360" w:lineRule="auto"/>
        <w:rPr>
          <w:highlight w:val="yellow"/>
        </w:rPr>
      </w:pPr>
      <w:r>
        <w:t>In dit arrest lijkt het alsof de ‘verschillende wegen leer’</w:t>
      </w:r>
      <w:r w:rsidRPr="00631243">
        <w:t xml:space="preserve"> </w:t>
      </w:r>
      <w:r>
        <w:t xml:space="preserve">in belang is afgenomen, bij de beoordeling van het geschil. Recapitulerend uit hoofdstuk 3, houdt de ‘verschillende wegen leer’ in dat binnen het zakelijk motief van de rechtshandelingen andere rechtshandelingen zijn verricht die niet bijdragen aan dit zakelijke doel. Dit leer werd voor het eerst in </w:t>
      </w:r>
      <w:r w:rsidRPr="002759CD">
        <w:rPr>
          <w:i/>
        </w:rPr>
        <w:t>BNB 1990/293</w:t>
      </w:r>
      <w:r>
        <w:t xml:space="preserve"> geïntroduceerd en was naast belastingverijdeling belangrijk bij het vaststellen van het motiefvereiste, die nodig is voor toepassing van fraus legis. Echter, in het Ierland arrest beoordeelt het Hof dat er verschillende wegen openstonden om de uitbreiding van het concern te bereiken, maar dat door de belanghebbende aannemelijk is gemaakt dat de daartoe gekozen weg, afgezien van de fiscale voordelen, voor hen de voorkeur verdiende boven de andere wegen.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5: Artikel 10a Wet Vpb 1969</w:t>
      </w:r>
    </w:p>
    <w:p w:rsidR="00BA7971" w:rsidRDefault="00BA7971" w:rsidP="003F31D8">
      <w:pPr>
        <w:pBdr>
          <w:top w:val="single" w:sz="4" w:space="1" w:color="auto"/>
        </w:pBdr>
        <w:spacing w:line="360" w:lineRule="auto"/>
      </w:pPr>
    </w:p>
    <w:p w:rsidR="00BA7971" w:rsidRPr="001B354E" w:rsidRDefault="00BA7971" w:rsidP="005F065C">
      <w:pPr>
        <w:spacing w:line="360" w:lineRule="auto"/>
      </w:pPr>
      <w:r w:rsidRPr="00E63DB3">
        <w:t>Michielse</w:t>
      </w:r>
      <w:r w:rsidRPr="00E63DB3">
        <w:rPr>
          <w:rStyle w:val="FootnoteReference"/>
        </w:rPr>
        <w:footnoteReference w:id="61"/>
      </w:r>
      <w:r>
        <w:t xml:space="preserve"> vindt dat de vraag van wat</w:t>
      </w:r>
      <w:r w:rsidRPr="001B354E">
        <w:t xml:space="preserve"> resteert van de vrijheid van de financieringskeuze van de belastingplichtige in een voldoende gemotiveerde zakelij</w:t>
      </w:r>
      <w:r>
        <w:t xml:space="preserve">ke transactie ter principale ter discussie wordt gesteld. </w:t>
      </w:r>
      <w:r w:rsidRPr="001B354E">
        <w:t>Bij mij treedt die vraag ook op</w:t>
      </w:r>
      <w:r>
        <w:t>, voornamelijk</w:t>
      </w:r>
      <w:r w:rsidRPr="001B354E">
        <w:t xml:space="preserve"> indien de verschillende wegen leer </w:t>
      </w:r>
      <w:r>
        <w:t>een beslissende factor is</w:t>
      </w:r>
      <w:r w:rsidRPr="001B354E">
        <w:t>. In dit arrest was de financiering met vreemd vermogen weliswaar niet noodzakelijk, maar herinnerd moet worden dat het de belastingplicht</w:t>
      </w:r>
      <w:r>
        <w:t>ige in beginsel vrijstaat om</w:t>
      </w:r>
      <w:r w:rsidRPr="001B354E">
        <w:t xml:space="preserve"> te kiezen tussen een financiering uit eigen dan wel vreemd vermogen. </w:t>
      </w:r>
      <w:r>
        <w:t xml:space="preserve">Hierdoor zou mijns inziens een versoepeling in het gebruik van de ‘verschillende wegen leer’ voor de bepaling of sprake is van het leerstuk van fraus legis een beter alternatief zijn. </w:t>
      </w:r>
    </w:p>
    <w:p w:rsidR="00BA7971" w:rsidRDefault="00BA7971" w:rsidP="005F065C">
      <w:pPr>
        <w:spacing w:line="360" w:lineRule="auto"/>
        <w:rPr>
          <w:highlight w:val="yellow"/>
        </w:rPr>
      </w:pPr>
    </w:p>
    <w:p w:rsidR="00BA7971" w:rsidRPr="00BF2AD4" w:rsidRDefault="00BA7971" w:rsidP="005F065C">
      <w:pPr>
        <w:spacing w:line="360" w:lineRule="auto"/>
        <w:rPr>
          <w:b/>
        </w:rPr>
      </w:pPr>
      <w:r>
        <w:rPr>
          <w:b/>
        </w:rPr>
        <w:t>5</w:t>
      </w:r>
      <w:r w:rsidRPr="00BF2AD4">
        <w:rPr>
          <w:b/>
        </w:rPr>
        <w:t>.</w:t>
      </w:r>
      <w:r>
        <w:rPr>
          <w:b/>
        </w:rPr>
        <w:t>4</w:t>
      </w:r>
      <w:r w:rsidRPr="00BF2AD4">
        <w:rPr>
          <w:b/>
        </w:rPr>
        <w:t xml:space="preserve"> Conclusie</w:t>
      </w:r>
    </w:p>
    <w:p w:rsidR="00BA7971" w:rsidRPr="00810902" w:rsidRDefault="00BA7971" w:rsidP="00275CBC">
      <w:pPr>
        <w:spacing w:line="360" w:lineRule="auto"/>
      </w:pPr>
      <w:r w:rsidRPr="00810902">
        <w:t xml:space="preserve">De codificatie van de uitspraak op winstdrainage arresten heeft meegebracht dat artikel 10a Wet Vpb 1969 is ontstaan. De wettelijke bepaling strekt zich uit tot rechtshandelingen, zoals winstdelingen, teruggaaf van kapitaal, kapitaalstortingen of een verwerving en uitbreiding van een belang, die in verband dient te worden gebracht met een schuld aan een verbonden lichaam dan wel verbonden persoon. Het gevolg van dit laatste is de weigering van renteaftrek waarbij ook de kosten en valutaresultaten zijn inbegrepen. Echter, tegen dit gevolg heeft de belastingplichtige de mogelijk om tegenbewijs te leveren, dit aan de hand van de dubbele zakelijkheidstoets en aanwezigheid van compenserende heffing bij de renteontvangende vennootschap. </w:t>
      </w:r>
    </w:p>
    <w:p w:rsidR="00BA7971" w:rsidRPr="00810902" w:rsidRDefault="00BA7971" w:rsidP="00275CBC">
      <w:pPr>
        <w:spacing w:line="360" w:lineRule="auto"/>
      </w:pPr>
      <w:r w:rsidRPr="00810902">
        <w:t xml:space="preserve">Sinds zijn bestaan is bij de wettelijke bepaling zelf een belangrijke ontwikkeling geweest, welke is opgetreden door het vervallen van artikel 15ad Wet Vpb 1969. Dit bracht mee dat de problematiek van overnameholdings in artikel 10a Wet Vpb 1969 werd geïntegreerd, waardoor temporisering van renteaftrek werd vervangen door beperking daarvan. </w:t>
      </w:r>
    </w:p>
    <w:p w:rsidR="00BA7971" w:rsidRPr="00810902" w:rsidRDefault="00BA7971" w:rsidP="00275CBC">
      <w:pPr>
        <w:spacing w:line="360" w:lineRule="auto"/>
      </w:pPr>
      <w:r w:rsidRPr="00810902">
        <w:t xml:space="preserve">Ook in de jurisprudentie is een belangrijke ontwikkeling geweest sinds het bestaan van artikel 10a Wet Vpb 1969. De ‘verschillende wegen leer’ wordt in het Ierland arrest niet meer zo belangrijk geacht, maar de wetgever ziet af van deze zienswijze en houdt zich nog steeds vast aan dit leer. </w:t>
      </w:r>
    </w:p>
    <w:p w:rsidR="00BA7971" w:rsidRDefault="00BA7971" w:rsidP="00C25509">
      <w:pPr>
        <w:spacing w:line="360" w:lineRule="auto"/>
      </w:pPr>
    </w:p>
    <w:p w:rsidR="00BA7971" w:rsidRDefault="00BA7971" w:rsidP="00C25509">
      <w:pPr>
        <w:spacing w:line="360" w:lineRule="auto"/>
      </w:pPr>
      <w:r>
        <w:t xml:space="preserve">In het volgende hoofdstuk zal in combinatie met de reeds behandelde hoofdstukken op zoek worden gegaan naar het antwoord op de hoofdvraag.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D16843">
      <w:pPr>
        <w:pBdr>
          <w:top w:val="single" w:sz="4" w:space="1" w:color="auto"/>
        </w:pBdr>
        <w:jc w:val="center"/>
        <w:rPr>
          <w:b/>
          <w:sz w:val="28"/>
          <w:szCs w:val="28"/>
        </w:rPr>
      </w:pPr>
    </w:p>
    <w:p w:rsidR="00BA7971" w:rsidRPr="00B6778B" w:rsidRDefault="00BA7971" w:rsidP="00D16843">
      <w:pPr>
        <w:jc w:val="center"/>
        <w:rPr>
          <w:b/>
          <w:sz w:val="28"/>
          <w:szCs w:val="28"/>
        </w:rPr>
      </w:pPr>
      <w:r w:rsidRPr="00B6778B">
        <w:rPr>
          <w:b/>
          <w:sz w:val="28"/>
          <w:szCs w:val="28"/>
        </w:rPr>
        <w:t>Hoofdstuk 6</w:t>
      </w:r>
    </w:p>
    <w:p w:rsidR="00BA7971" w:rsidRPr="00B6778B" w:rsidRDefault="00BA7971" w:rsidP="00D16843">
      <w:pPr>
        <w:jc w:val="center"/>
        <w:rPr>
          <w:b/>
          <w:sz w:val="28"/>
          <w:szCs w:val="28"/>
        </w:rPr>
      </w:pPr>
      <w:r w:rsidRPr="00B6778B">
        <w:rPr>
          <w:b/>
          <w:sz w:val="28"/>
          <w:szCs w:val="28"/>
        </w:rPr>
        <w:t>FRAUS LEGIS NAAST ARTIKEL 10A WET VPB 1969?</w:t>
      </w:r>
    </w:p>
    <w:p w:rsidR="00BA7971" w:rsidRDefault="00BA7971" w:rsidP="00B6778B">
      <w:pPr>
        <w:spacing w:line="360" w:lineRule="auto"/>
        <w:rPr>
          <w:b/>
        </w:rPr>
      </w:pPr>
    </w:p>
    <w:p w:rsidR="00BA7971" w:rsidRDefault="00BA7971" w:rsidP="00B6778B">
      <w:pPr>
        <w:spacing w:line="360" w:lineRule="auto"/>
        <w:rPr>
          <w:b/>
        </w:rPr>
      </w:pPr>
      <w:r>
        <w:rPr>
          <w:b/>
        </w:rPr>
        <w:t>6.1 Inleiding</w:t>
      </w:r>
    </w:p>
    <w:p w:rsidR="00BA7971" w:rsidRDefault="00BA7971" w:rsidP="00B6778B">
      <w:pPr>
        <w:spacing w:line="360" w:lineRule="auto"/>
      </w:pPr>
      <w:r>
        <w:t xml:space="preserve">In de vorige hoofdstukken werd de problematiek van winstdrainage en enkele kernstructuren daarvan uitgewerkt. Deze werden in een aantal arresten bestreden met het leerstuk van fraus legis. Belastingverijdeling en strijdigheid met doel en strekking van de wet zijn daarvoor vereist. De rechtspraak die voortvloeide uit de winstdrainage arresten leidde tot invoering van artikel 10a Wet Vpb 1969. Dit artikel dient gekunstelde renteconstructies in concernverband tegen te gaan die gericht zijn op uitholling van de belastinggrondslag. Het is bekend dat de introductie van een wettelijke bepaling niet altijd leidt tot een volledige oplossing van een fiscaal probleem. In dit hoofdstuk onderzoek ik of naast de wettelijke regeling ter bestrijding van winstdrainage, nog ruimte is voor toepassing van fraus legis. De te beantwoorden vraag luidt: </w:t>
      </w:r>
    </w:p>
    <w:p w:rsidR="00BA7971" w:rsidRPr="00085B14" w:rsidRDefault="00BA7971" w:rsidP="00B6778B">
      <w:pPr>
        <w:spacing w:line="360" w:lineRule="auto"/>
        <w:ind w:left="15"/>
        <w:rPr>
          <w:b/>
          <w:i/>
          <w:color w:val="000000"/>
        </w:rPr>
      </w:pPr>
      <w:r w:rsidRPr="00085B14">
        <w:rPr>
          <w:b/>
          <w:i/>
          <w:color w:val="000000"/>
        </w:rPr>
        <w:t xml:space="preserve">Is er nog ruimte voor </w:t>
      </w:r>
      <w:r w:rsidRPr="0007203E">
        <w:rPr>
          <w:b/>
          <w:i/>
          <w:color w:val="000000"/>
        </w:rPr>
        <w:t>het stellen van het leerstuk van fraus legis, met betrekking tot winstdrainage, naast het bestaan</w:t>
      </w:r>
      <w:r w:rsidRPr="00085B14">
        <w:rPr>
          <w:b/>
          <w:i/>
          <w:color w:val="000000"/>
        </w:rPr>
        <w:t xml:space="preserve"> van artikel 10a Wet </w:t>
      </w:r>
      <w:r w:rsidRPr="00085B14">
        <w:rPr>
          <w:b/>
          <w:i/>
        </w:rPr>
        <w:t>Vpb 1969</w:t>
      </w:r>
      <w:r w:rsidRPr="00085B14">
        <w:rPr>
          <w:b/>
          <w:i/>
          <w:color w:val="000000"/>
        </w:rPr>
        <w:t>?</w:t>
      </w:r>
    </w:p>
    <w:p w:rsidR="00BA7971" w:rsidRDefault="00BA7971" w:rsidP="00B6778B">
      <w:pPr>
        <w:spacing w:line="360" w:lineRule="auto"/>
        <w:rPr>
          <w:b/>
        </w:rPr>
      </w:pPr>
    </w:p>
    <w:p w:rsidR="00BA7971" w:rsidRDefault="00BA7971" w:rsidP="00B6778B">
      <w:pPr>
        <w:spacing w:line="360" w:lineRule="auto"/>
        <w:rPr>
          <w:b/>
        </w:rPr>
      </w:pPr>
      <w:r>
        <w:rPr>
          <w:b/>
        </w:rPr>
        <w:t>6.2 Fraus legis en artikel 10a Wet Vpb 1969</w:t>
      </w:r>
    </w:p>
    <w:p w:rsidR="00BA7971" w:rsidRDefault="00BA7971" w:rsidP="00B6778B">
      <w:pPr>
        <w:spacing w:line="360" w:lineRule="auto"/>
      </w:pPr>
      <w:r>
        <w:t xml:space="preserve">De door de wetgever bestreden situaties van winstdrainage zijn in artikel 10a, lid 1 Wet Vpb 1969 vermeld. Het betreft de situaties van de winstdrainage arresten welke hebben geleid tot het ontstaan van dit wetsartikel. Bedacht kan worden dat fraus legis hierdoor niet meer in deze situaties kan worden toegepast.  Afgevraagd dient te worden of dit een correcte redenering is. In </w:t>
      </w:r>
      <w:r w:rsidRPr="005929EF">
        <w:rPr>
          <w:i/>
        </w:rPr>
        <w:t>HR 11 juli 2008, nr. 43376</w:t>
      </w:r>
      <w:r w:rsidRPr="00173C37">
        <w:rPr>
          <w:i/>
        </w:rPr>
        <w:t>, V-N 2008/34.15</w:t>
      </w:r>
      <w:r>
        <w:rPr>
          <w:i/>
        </w:rPr>
        <w:t xml:space="preserve"> </w:t>
      </w:r>
      <w:r>
        <w:t xml:space="preserve">wordt hierop een antwoord gegeven. </w:t>
      </w:r>
    </w:p>
    <w:p w:rsidR="00BA7971" w:rsidRDefault="00BA7971" w:rsidP="00B6778B">
      <w:pPr>
        <w:spacing w:line="360" w:lineRule="auto"/>
      </w:pPr>
    </w:p>
    <w:p w:rsidR="00BA7971" w:rsidRDefault="00BA7971" w:rsidP="00B6778B">
      <w:pPr>
        <w:spacing w:line="360" w:lineRule="auto"/>
        <w:rPr>
          <w:color w:val="000000"/>
          <w:lang w:eastAsia="nl-NL"/>
        </w:rPr>
      </w:pPr>
      <w:r>
        <w:t xml:space="preserve">In dit arrest gaat het om het volgende geval. A de enige aandeelhouder van B BV en woont in Zwitserland. A verkoopt al zijn aandelen in B BV aan een BV in oprichting (hierna belanghebbende) waarvan zij ook enig aandeelhouder is. De verschuldigde koopsom wordt omgezet in een rentedragende geldlening. </w:t>
      </w:r>
      <w:r>
        <w:rPr>
          <w:color w:val="000000"/>
          <w:lang w:eastAsia="nl-NL"/>
        </w:rPr>
        <w:t xml:space="preserve">Belanghebbende en B gaan een fiscale eenheid aan. Hierna is </w:t>
      </w:r>
      <w:r w:rsidRPr="0018778D">
        <w:rPr>
          <w:color w:val="000000"/>
          <w:lang w:eastAsia="nl-NL"/>
        </w:rPr>
        <w:t>de verplichting tot betaling van de koopsom omgezet in een lijfrenteovereenkomst.</w:t>
      </w:r>
      <w:r w:rsidRPr="00C90C12">
        <w:rPr>
          <w:color w:val="000000"/>
          <w:lang w:eastAsia="nl-NL"/>
        </w:rPr>
        <w:t xml:space="preserve"> De dotaties aan de lijfrentevoorziening,</w:t>
      </w:r>
      <w:r>
        <w:rPr>
          <w:color w:val="000000"/>
          <w:lang w:eastAsia="nl-NL"/>
        </w:rPr>
        <w:t xml:space="preserve"> die</w:t>
      </w:r>
      <w:r w:rsidRPr="00DC0C13">
        <w:rPr>
          <w:color w:val="000000"/>
          <w:lang w:eastAsia="nl-NL"/>
        </w:rPr>
        <w:t xml:space="preserve"> de oprenting van de lijfrenteverplichting betreffen en</w:t>
      </w:r>
      <w:r w:rsidRPr="00C90C12">
        <w:rPr>
          <w:color w:val="000000"/>
          <w:lang w:eastAsia="nl-NL"/>
        </w:rPr>
        <w:t xml:space="preserve"> welke belanghebbende in haar aangifte vennootschapsbelasting ten laste van de winst heeft gebracht, zijn door de Inspecteur niet in aftrek aanvaard.</w:t>
      </w:r>
      <w:r>
        <w:rPr>
          <w:color w:val="000000"/>
          <w:lang w:eastAsia="nl-NL"/>
        </w:rPr>
        <w:t xml:space="preserve"> Het geschil betreft de beantwoording </w:t>
      </w:r>
    </w:p>
    <w:p w:rsidR="00BA7971" w:rsidRDefault="00BA7971" w:rsidP="003F31D8">
      <w:pPr>
        <w:spacing w:line="360" w:lineRule="auto"/>
        <w:jc w:val="right"/>
        <w:rPr>
          <w:b/>
          <w:i/>
          <w:sz w:val="22"/>
          <w:szCs w:val="22"/>
        </w:rPr>
      </w:pP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3F31D8">
      <w:pPr>
        <w:pBdr>
          <w:top w:val="single" w:sz="4" w:space="1" w:color="auto"/>
        </w:pBdr>
        <w:spacing w:line="360" w:lineRule="auto"/>
        <w:rPr>
          <w:color w:val="000000"/>
          <w:lang w:eastAsia="nl-NL"/>
        </w:rPr>
      </w:pPr>
    </w:p>
    <w:p w:rsidR="00BA7971" w:rsidRPr="00967B08" w:rsidRDefault="00BA7971" w:rsidP="00B6778B">
      <w:pPr>
        <w:spacing w:line="360" w:lineRule="auto"/>
        <w:rPr>
          <w:lang w:eastAsia="nl-NL"/>
        </w:rPr>
      </w:pPr>
      <w:r>
        <w:rPr>
          <w:color w:val="000000"/>
          <w:lang w:eastAsia="nl-NL"/>
        </w:rPr>
        <w:t xml:space="preserve">van de volgende vraag: </w:t>
      </w:r>
      <w:r w:rsidRPr="00C36517">
        <w:rPr>
          <w:color w:val="000000"/>
          <w:lang w:eastAsia="nl-NL"/>
        </w:rPr>
        <w:t>Wordt de in bedoelde aftrek van de dotatie aan de lijfrentevoorziening verhinderd door artikel 1</w:t>
      </w:r>
      <w:r>
        <w:rPr>
          <w:color w:val="000000"/>
          <w:lang w:eastAsia="nl-NL"/>
        </w:rPr>
        <w:t>0a, lid 1 of lid 2,</w:t>
      </w:r>
      <w:r w:rsidRPr="00B03559">
        <w:rPr>
          <w:color w:val="000000"/>
          <w:lang w:eastAsia="nl-NL"/>
        </w:rPr>
        <w:t xml:space="preserve"> </w:t>
      </w:r>
      <w:r>
        <w:rPr>
          <w:color w:val="000000"/>
          <w:lang w:eastAsia="nl-NL"/>
        </w:rPr>
        <w:t>(oud)</w:t>
      </w:r>
      <w:r w:rsidRPr="00C36517">
        <w:rPr>
          <w:color w:val="000000"/>
          <w:lang w:eastAsia="nl-NL"/>
        </w:rPr>
        <w:t xml:space="preserve"> Wet Vpb</w:t>
      </w:r>
      <w:r>
        <w:rPr>
          <w:color w:val="000000"/>
          <w:lang w:eastAsia="nl-NL"/>
        </w:rPr>
        <w:t xml:space="preserve"> 1969</w:t>
      </w:r>
      <w:r w:rsidRPr="00C36517">
        <w:rPr>
          <w:color w:val="000000"/>
          <w:lang w:eastAsia="nl-NL"/>
        </w:rPr>
        <w:t>, dan wel op grond van fraus legis?</w:t>
      </w:r>
      <w:r>
        <w:rPr>
          <w:color w:val="000000"/>
          <w:lang w:eastAsia="nl-NL"/>
        </w:rPr>
        <w:t xml:space="preserve"> </w:t>
      </w:r>
      <w:r w:rsidRPr="00967B08">
        <w:t xml:space="preserve">Het Hof </w:t>
      </w:r>
      <w:r w:rsidRPr="00967B08">
        <w:rPr>
          <w:rStyle w:val="FootnoteReference"/>
        </w:rPr>
        <w:footnoteReference w:id="62"/>
      </w:r>
      <w:r>
        <w:t xml:space="preserve"> </w:t>
      </w:r>
      <w:r w:rsidRPr="00967B08">
        <w:t xml:space="preserve">is van mening dat er fiscaal gezien een dividend aan A uitgekeerd. Via </w:t>
      </w:r>
      <w:r w:rsidRPr="00967B08">
        <w:rPr>
          <w:lang w:eastAsia="nl-NL"/>
        </w:rPr>
        <w:t>artikel 10a, lid 1 (oud)</w:t>
      </w:r>
      <w:r>
        <w:rPr>
          <w:lang w:eastAsia="nl-NL"/>
        </w:rPr>
        <w:t xml:space="preserve"> </w:t>
      </w:r>
      <w:r w:rsidRPr="00967B08">
        <w:rPr>
          <w:lang w:eastAsia="nl-NL"/>
        </w:rPr>
        <w:t xml:space="preserve">Wet Vpb 1969 is dan geen renteaftrek mogelijk. </w:t>
      </w:r>
      <w:r>
        <w:rPr>
          <w:lang w:eastAsia="nl-NL"/>
        </w:rPr>
        <w:t>Het leveren van t</w:t>
      </w:r>
      <w:r w:rsidRPr="00967B08">
        <w:rPr>
          <w:lang w:eastAsia="nl-NL"/>
        </w:rPr>
        <w:t xml:space="preserve">egenbewijs </w:t>
      </w:r>
      <w:r>
        <w:rPr>
          <w:lang w:eastAsia="nl-NL"/>
        </w:rPr>
        <w:t>is niet mogelijk</w:t>
      </w:r>
      <w:r w:rsidRPr="00967B08">
        <w:rPr>
          <w:lang w:eastAsia="nl-NL"/>
        </w:rPr>
        <w:t>, aangezien de verkoop van aandelen gevolgd door de omzetting van de vordering in een lijfrenteaanspraak slechts berust op de privé wensen van A en zijn dus niet uit zakelijke overwegingen tot stand gekomen. O</w:t>
      </w:r>
      <w:r>
        <w:rPr>
          <w:lang w:eastAsia="nl-NL"/>
        </w:rPr>
        <w:t>p de vraag of</w:t>
      </w:r>
      <w:r w:rsidRPr="00967B08">
        <w:rPr>
          <w:lang w:eastAsia="nl-NL"/>
        </w:rPr>
        <w:t xml:space="preserve"> op grond van fraus legis de aftrek van rente kan worden verhinderd, antwoord</w:t>
      </w:r>
      <w:r>
        <w:rPr>
          <w:lang w:eastAsia="nl-NL"/>
        </w:rPr>
        <w:t>t</w:t>
      </w:r>
      <w:r w:rsidRPr="00967B08">
        <w:rPr>
          <w:lang w:eastAsia="nl-NL"/>
        </w:rPr>
        <w:t xml:space="preserve"> het Hof dat niet valt in te zien waarom een antimisbruikbepaling niet op frauslegiaanse wijze ontdoken zou kunnen worden.</w:t>
      </w:r>
      <w:r>
        <w:rPr>
          <w:lang w:eastAsia="nl-NL"/>
        </w:rPr>
        <w:t xml:space="preserve"> </w:t>
      </w:r>
    </w:p>
    <w:p w:rsidR="00BA7971" w:rsidRDefault="00BA7971" w:rsidP="00665E0A">
      <w:pPr>
        <w:spacing w:line="360" w:lineRule="auto"/>
        <w:rPr>
          <w:iCs/>
          <w:color w:val="000000"/>
          <w:lang w:eastAsia="nl-NL"/>
        </w:rPr>
      </w:pPr>
      <w:r>
        <w:rPr>
          <w:color w:val="000000"/>
          <w:lang w:eastAsia="nl-NL"/>
        </w:rPr>
        <w:t xml:space="preserve">Belanghebbende ging in beroep op deze uitspraak. </w:t>
      </w:r>
      <w:r w:rsidRPr="00314477">
        <w:rPr>
          <w:iCs/>
          <w:color w:val="000000"/>
          <w:lang w:eastAsia="nl-NL"/>
        </w:rPr>
        <w:t>De Hoge Raad</w:t>
      </w:r>
      <w:r>
        <w:rPr>
          <w:rStyle w:val="FootnoteReference"/>
          <w:iCs/>
          <w:color w:val="000000"/>
          <w:lang w:eastAsia="nl-NL"/>
        </w:rPr>
        <w:footnoteReference w:id="63"/>
      </w:r>
      <w:r>
        <w:rPr>
          <w:iCs/>
          <w:color w:val="000000"/>
          <w:lang w:eastAsia="nl-NL"/>
        </w:rPr>
        <w:t xml:space="preserve"> verklaarde het cassatieberoep gegrond. </w:t>
      </w:r>
      <w:r w:rsidRPr="00314477">
        <w:rPr>
          <w:iCs/>
          <w:color w:val="000000"/>
          <w:lang w:eastAsia="nl-NL"/>
        </w:rPr>
        <w:t>Dat de schuldig gebleven koopsom voor de inkomstenbelasting met een beroep op fraus legis als een winstuitdeling moet worden gekwalificeerd, betekent nog niet dat voor de toepassing van art. 10a, lid</w:t>
      </w:r>
      <w:r>
        <w:rPr>
          <w:iCs/>
          <w:color w:val="000000"/>
          <w:lang w:eastAsia="nl-NL"/>
        </w:rPr>
        <w:t xml:space="preserve"> 1,</w:t>
      </w:r>
      <w:r w:rsidRPr="00314477">
        <w:rPr>
          <w:iCs/>
          <w:color w:val="000000"/>
          <w:lang w:eastAsia="nl-NL"/>
        </w:rPr>
        <w:t xml:space="preserve"> (oud) Wet V</w:t>
      </w:r>
      <w:r>
        <w:rPr>
          <w:iCs/>
          <w:color w:val="000000"/>
          <w:lang w:eastAsia="nl-NL"/>
        </w:rPr>
        <w:t>pb</w:t>
      </w:r>
      <w:r w:rsidRPr="00314477">
        <w:rPr>
          <w:iCs/>
          <w:color w:val="000000"/>
          <w:lang w:eastAsia="nl-NL"/>
        </w:rPr>
        <w:t xml:space="preserve"> 1969 eveneens sprake is van een winstuitdeling.</w:t>
      </w:r>
      <w:r>
        <w:rPr>
          <w:iCs/>
          <w:color w:val="000000"/>
          <w:lang w:eastAsia="nl-NL"/>
        </w:rPr>
        <w:t xml:space="preserve"> </w:t>
      </w:r>
      <w:r w:rsidRPr="00AA587D">
        <w:rPr>
          <w:iCs/>
          <w:color w:val="000000"/>
          <w:lang w:eastAsia="nl-NL"/>
        </w:rPr>
        <w:t>Tevens merkt hij op dat zonder</w:t>
      </w:r>
      <w:r w:rsidRPr="00314477">
        <w:rPr>
          <w:iCs/>
          <w:color w:val="000000"/>
          <w:lang w:eastAsia="nl-NL"/>
        </w:rPr>
        <w:t xml:space="preserve"> de omzetting in een lijfrente</w:t>
      </w:r>
      <w:r>
        <w:rPr>
          <w:iCs/>
          <w:color w:val="000000"/>
          <w:lang w:eastAsia="nl-NL"/>
        </w:rPr>
        <w:t xml:space="preserve"> </w:t>
      </w:r>
      <w:r w:rsidRPr="00314477">
        <w:rPr>
          <w:iCs/>
          <w:color w:val="000000"/>
          <w:lang w:eastAsia="nl-NL"/>
        </w:rPr>
        <w:t xml:space="preserve">de rente op de geldlening niet aftrekbaar </w:t>
      </w:r>
      <w:r>
        <w:rPr>
          <w:iCs/>
          <w:color w:val="000000"/>
          <w:lang w:eastAsia="nl-NL"/>
        </w:rPr>
        <w:t>zou</w:t>
      </w:r>
      <w:r w:rsidRPr="00314477">
        <w:rPr>
          <w:iCs/>
          <w:color w:val="000000"/>
          <w:lang w:eastAsia="nl-NL"/>
        </w:rPr>
        <w:t xml:space="preserve"> zijn geweest en wel op grond van art. 10a, lid</w:t>
      </w:r>
      <w:r>
        <w:rPr>
          <w:iCs/>
          <w:color w:val="000000"/>
          <w:lang w:eastAsia="nl-NL"/>
        </w:rPr>
        <w:t xml:space="preserve"> 2</w:t>
      </w:r>
      <w:r w:rsidRPr="00314477">
        <w:rPr>
          <w:iCs/>
          <w:color w:val="000000"/>
          <w:lang w:eastAsia="nl-NL"/>
        </w:rPr>
        <w:t>, onderdeel b, (oud) Wet V</w:t>
      </w:r>
      <w:r>
        <w:rPr>
          <w:iCs/>
          <w:color w:val="000000"/>
          <w:lang w:eastAsia="nl-NL"/>
        </w:rPr>
        <w:t>pb</w:t>
      </w:r>
      <w:r w:rsidRPr="00314477">
        <w:rPr>
          <w:iCs/>
          <w:color w:val="000000"/>
          <w:lang w:eastAsia="nl-NL"/>
        </w:rPr>
        <w:t xml:space="preserve"> 1969.</w:t>
      </w:r>
      <w:r>
        <w:rPr>
          <w:iCs/>
          <w:color w:val="000000"/>
          <w:lang w:eastAsia="nl-NL"/>
        </w:rPr>
        <w:t xml:space="preserve"> </w:t>
      </w:r>
      <w:r w:rsidRPr="00314477">
        <w:rPr>
          <w:iCs/>
          <w:color w:val="000000"/>
          <w:lang w:eastAsia="nl-NL"/>
        </w:rPr>
        <w:t xml:space="preserve">Dit betekent dat aftrek van de oprenting eveneens is uitgesloten wanneer blijkt dat het verijdelen van deze bepaling het doorslaggevende motief was voor de omzetting van de geldlening in een lijfrente. </w:t>
      </w:r>
      <w:r>
        <w:rPr>
          <w:iCs/>
          <w:color w:val="000000"/>
          <w:lang w:eastAsia="nl-NL"/>
        </w:rPr>
        <w:t xml:space="preserve">De verlening van aftrek van de oprenting zal in dit geval in strijd zijn met doel en strekking van de wet. </w:t>
      </w:r>
    </w:p>
    <w:p w:rsidR="00BA7971" w:rsidRDefault="00BA7971" w:rsidP="001E136B">
      <w:pPr>
        <w:spacing w:line="360" w:lineRule="auto"/>
      </w:pPr>
    </w:p>
    <w:p w:rsidR="00BA7971" w:rsidRDefault="00BA7971" w:rsidP="00B6778B">
      <w:pPr>
        <w:spacing w:line="360" w:lineRule="auto"/>
      </w:pPr>
      <w:r>
        <w:t>Marres</w:t>
      </w:r>
      <w:r>
        <w:rPr>
          <w:rStyle w:val="FootnoteReference"/>
        </w:rPr>
        <w:footnoteReference w:id="64"/>
      </w:r>
      <w:r>
        <w:t xml:space="preserve"> geeft aan dat aan de hand van dit arrest geconcludeerd kan worden dat fraus legis ook mogelijk is voor zover er sprake is van het in strijd zijn met doel en strekking van artikel 10a Wet Vpb 1969 zelf. Mijns inziens heeft hij gelijk, want de Hoge Raad presenteert deze zienswijze. Indien sprake zou zijn van belastingverijdeling, is het aanvaarden van een renteaftrek in strijd met doel en strekking van de wettelijke bepaling. Marres voegt toe dat dit laatste niet mogelijk is indien de wetgever bepaalde ontgaansmogelijkheden heeft voorzien of had moeten voorzien</w:t>
      </w:r>
      <w:r>
        <w:rPr>
          <w:rStyle w:val="FootnoteReference"/>
        </w:rPr>
        <w:footnoteReference w:id="65"/>
      </w:r>
      <w:r>
        <w:t xml:space="preserve">. Dit betekent dat de fiscus nog steeds de mogelijkheid heeft om fraus legis in stelling te brengen op de situaties die gedekt worden door de wetsbepaling. </w:t>
      </w:r>
    </w:p>
    <w:p w:rsidR="00BA7971" w:rsidRDefault="00BA7971" w:rsidP="003F31D8">
      <w:pPr>
        <w:spacing w:line="360" w:lineRule="auto"/>
        <w:jc w:val="right"/>
        <w:rPr>
          <w:b/>
          <w:i/>
          <w:sz w:val="22"/>
          <w:szCs w:val="22"/>
        </w:rPr>
      </w:pP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3F31D8">
      <w:pPr>
        <w:pBdr>
          <w:top w:val="single" w:sz="4" w:space="1" w:color="auto"/>
        </w:pBdr>
        <w:spacing w:line="360" w:lineRule="auto"/>
        <w:rPr>
          <w:b/>
        </w:rPr>
      </w:pPr>
    </w:p>
    <w:p w:rsidR="00BA7971" w:rsidRDefault="00BA7971" w:rsidP="00B6778B">
      <w:pPr>
        <w:spacing w:line="360" w:lineRule="auto"/>
        <w:rPr>
          <w:b/>
        </w:rPr>
      </w:pPr>
      <w:r>
        <w:rPr>
          <w:b/>
        </w:rPr>
        <w:t>6.3 Open ruimte voor fraus legis naast artikel 10a Wet Vpb 1969?</w:t>
      </w:r>
    </w:p>
    <w:p w:rsidR="00BA7971" w:rsidRDefault="00BA7971" w:rsidP="00B6778B">
      <w:pPr>
        <w:spacing w:line="360" w:lineRule="auto"/>
        <w:rPr>
          <w:b/>
        </w:rPr>
      </w:pPr>
      <w:r>
        <w:rPr>
          <w:b/>
        </w:rPr>
        <w:t>6.3.1 Tegenstrijdige opvattingen</w:t>
      </w:r>
    </w:p>
    <w:p w:rsidR="00BA7971" w:rsidRDefault="00BA7971" w:rsidP="00B41F0A">
      <w:pPr>
        <w:spacing w:line="360" w:lineRule="auto"/>
      </w:pPr>
      <w:r>
        <w:t>De wetgever heeft getracht om zoveel mogelijk situaties van winstdrainage onder de werking van artikel 10a Wet Vpb 1969 te brengen. Echter, het is niet mogelijk om alle situaties af te dekken met een bepaalde wetsbepaling. Kan daardoor geconcludeerd worden dat door het opnemen van bepaalde situaties in de wetsbepaling</w:t>
      </w:r>
      <w:r w:rsidRPr="000F103D">
        <w:t xml:space="preserve"> </w:t>
      </w:r>
      <w:r>
        <w:t xml:space="preserve">de overige vormen door de wetgever bewust zijn aanvaard? </w:t>
      </w:r>
    </w:p>
    <w:p w:rsidR="00BA7971" w:rsidRDefault="00BA7971" w:rsidP="00B41F0A">
      <w:pPr>
        <w:spacing w:line="360" w:lineRule="auto"/>
      </w:pPr>
      <w:r>
        <w:t>Mijns inziens is dit standpunt gedeeltelijk correct. De situaties die de wetgever heeft voorzien of had moeten voorzien, maar niet in de wettelijke bepaling heeft opgenomen zijn inderdaad bewust aanvaard. Voor de niet voorzienbare situaties geldt mijns inziens slechts een tijdelijke aanvaarding.</w:t>
      </w:r>
      <w:r w:rsidRPr="0047335D">
        <w:t xml:space="preserve"> </w:t>
      </w:r>
      <w:r>
        <w:t xml:space="preserve">Bij de introductie van een bepaalde wetsbepaling hoopt de wetgever zoveel mogelijk de problematiek die aan de orde is op te lossen of althans de gevolgen daarvan te minimaliseren. In de loop der tijd kunnen nieuwe ontgaansmogelijkheden ontstaan, die niet bij de wetgever bekend was en dus ook niet door hem kon worden voorzien. Indien de belastingplichtige via deze nieuwe constructies een bepaalde wet probeert te schenden, zal de wetgever (indien mogelijk) aanpassingen aan de wet brengen die dit verder zal voorkomen. </w:t>
      </w:r>
    </w:p>
    <w:p w:rsidR="00BA7971" w:rsidRDefault="00BA7971" w:rsidP="00B6778B">
      <w:pPr>
        <w:spacing w:line="360" w:lineRule="auto"/>
      </w:pPr>
    </w:p>
    <w:p w:rsidR="00BA7971" w:rsidRDefault="00BA7971" w:rsidP="00B6778B">
      <w:pPr>
        <w:spacing w:line="360" w:lineRule="auto"/>
      </w:pPr>
      <w:r>
        <w:t xml:space="preserve">Sinds het bestaan van artikel 10a Wet Vpb 1969 is in de literatuur en de jurisprudentie tegenstrijdige opvattingen te vinden omtrent de onderzoeksvraag. Zo zien Faber en Van der Geld, De Soeten en Hof ’s-Gravenhage onder andere geen ruimte voor het stellen van fraus legis, terwijl Hof ’s-Hertogenbosch, Marres en de Minister zich daarop positiever opstellen. </w:t>
      </w:r>
    </w:p>
    <w:p w:rsidR="00BA7971" w:rsidRDefault="00BA7971" w:rsidP="00B6778B">
      <w:pPr>
        <w:spacing w:line="360" w:lineRule="auto"/>
      </w:pPr>
    </w:p>
    <w:p w:rsidR="00BA7971" w:rsidRDefault="00BA7971" w:rsidP="00B6778B">
      <w:pPr>
        <w:spacing w:line="360" w:lineRule="auto"/>
        <w:rPr>
          <w:color w:val="000000"/>
          <w:lang w:eastAsia="nl-NL"/>
        </w:rPr>
      </w:pPr>
      <w:r>
        <w:rPr>
          <w:lang w:eastAsia="nl-NL"/>
        </w:rPr>
        <w:t xml:space="preserve">In de literatuur zijn velen van mening dat er geen ruimte is voor de toepassing van fraus legis naast artikel 10a Wet Vpb 1969. Dit hebben ze op de volgende manier naar voren gebracht. Faber en Van der Geld </w:t>
      </w:r>
      <w:r>
        <w:rPr>
          <w:rStyle w:val="FootnoteReference"/>
          <w:lang w:eastAsia="nl-NL"/>
        </w:rPr>
        <w:footnoteReference w:id="66"/>
      </w:r>
      <w:r>
        <w:rPr>
          <w:lang w:eastAsia="nl-NL"/>
        </w:rPr>
        <w:t xml:space="preserve"> geven aan dat er theoretisch geen beperking is om fraus legis naast het wetsartikel toe te passen. Het lijkt hen praktisch moeilijk om dit in de praktijk te bereiken, vanwege het feit dat de aftrek van rente gedetailleerd in de wet is geregeld. Ook De Soeten</w:t>
      </w:r>
      <w:r>
        <w:rPr>
          <w:rStyle w:val="FootnoteReference"/>
          <w:lang w:eastAsia="nl-NL"/>
        </w:rPr>
        <w:footnoteReference w:id="67"/>
      </w:r>
      <w:r>
        <w:rPr>
          <w:lang w:eastAsia="nl-NL"/>
        </w:rPr>
        <w:t xml:space="preserve"> volgt deze opvattingen. Uit de uitspraak van het Hof </w:t>
      </w:r>
      <w:r>
        <w:rPr>
          <w:rStyle w:val="FootnoteReference"/>
          <w:lang w:eastAsia="nl-NL"/>
        </w:rPr>
        <w:footnoteReference w:id="68"/>
      </w:r>
      <w:r>
        <w:rPr>
          <w:lang w:eastAsia="nl-NL"/>
        </w:rPr>
        <w:t xml:space="preserve"> blijkt dat hij het eens is met het standpunt dat geen ruimte bestaat voor fraus legis. D</w:t>
      </w:r>
      <w:r w:rsidRPr="001B561C">
        <w:rPr>
          <w:color w:val="000000"/>
          <w:lang w:eastAsia="nl-NL"/>
        </w:rPr>
        <w:t xml:space="preserve">e belanghebbende </w:t>
      </w:r>
      <w:r>
        <w:rPr>
          <w:color w:val="000000"/>
          <w:lang w:eastAsia="nl-NL"/>
        </w:rPr>
        <w:t xml:space="preserve">had op grond van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3F31D8">
      <w:pPr>
        <w:pBdr>
          <w:top w:val="single" w:sz="4" w:space="1" w:color="auto"/>
        </w:pBdr>
        <w:spacing w:line="360" w:lineRule="auto"/>
        <w:rPr>
          <w:color w:val="000000"/>
          <w:lang w:eastAsia="nl-NL"/>
        </w:rPr>
      </w:pPr>
    </w:p>
    <w:p w:rsidR="00BA7971" w:rsidRDefault="00BA7971" w:rsidP="00B6778B">
      <w:pPr>
        <w:spacing w:line="360" w:lineRule="auto"/>
        <w:rPr>
          <w:lang w:eastAsia="nl-NL"/>
        </w:rPr>
      </w:pPr>
      <w:r>
        <w:rPr>
          <w:color w:val="000000"/>
          <w:lang w:eastAsia="nl-NL"/>
        </w:rPr>
        <w:t xml:space="preserve">artikel 10a Wet Vpb 1969 </w:t>
      </w:r>
      <w:r w:rsidRPr="001B561C">
        <w:rPr>
          <w:color w:val="000000"/>
          <w:lang w:eastAsia="nl-NL"/>
        </w:rPr>
        <w:t>n</w:t>
      </w:r>
      <w:r>
        <w:rPr>
          <w:color w:val="000000"/>
          <w:lang w:eastAsia="nl-NL"/>
        </w:rPr>
        <w:t>iet gehandeld in fraudem legis.</w:t>
      </w:r>
      <w:r w:rsidRPr="00430D42">
        <w:rPr>
          <w:color w:val="000000"/>
          <w:lang w:eastAsia="nl-NL"/>
        </w:rPr>
        <w:t xml:space="preserve"> De wetgever </w:t>
      </w:r>
      <w:r>
        <w:rPr>
          <w:color w:val="000000"/>
          <w:lang w:eastAsia="nl-NL"/>
        </w:rPr>
        <w:t xml:space="preserve">heeft </w:t>
      </w:r>
      <w:r w:rsidRPr="00430D42">
        <w:rPr>
          <w:color w:val="000000"/>
          <w:lang w:eastAsia="nl-NL"/>
        </w:rPr>
        <w:t xml:space="preserve">de onderhavige materie in detail geregeld met het doel om door hem niet wenselijk geachte rechtshandelingen tegen te gaan. Gelet </w:t>
      </w:r>
      <w:r>
        <w:rPr>
          <w:color w:val="000000"/>
          <w:lang w:eastAsia="nl-NL"/>
        </w:rPr>
        <w:t>daa</w:t>
      </w:r>
      <w:r w:rsidRPr="00430D42">
        <w:rPr>
          <w:color w:val="000000"/>
          <w:lang w:eastAsia="nl-NL"/>
        </w:rPr>
        <w:t xml:space="preserve">rop is </w:t>
      </w:r>
      <w:r>
        <w:rPr>
          <w:color w:val="000000"/>
          <w:lang w:eastAsia="nl-NL"/>
        </w:rPr>
        <w:t xml:space="preserve">er ook </w:t>
      </w:r>
      <w:r w:rsidRPr="00430D42">
        <w:rPr>
          <w:color w:val="000000"/>
          <w:lang w:eastAsia="nl-NL"/>
        </w:rPr>
        <w:t>geen plaats voor toepassing van het leerstuk van fraus legis.</w:t>
      </w:r>
    </w:p>
    <w:p w:rsidR="00BA7971" w:rsidRDefault="00BA7971" w:rsidP="00B6778B">
      <w:pPr>
        <w:spacing w:line="360" w:lineRule="auto"/>
        <w:rPr>
          <w:lang w:eastAsia="nl-NL"/>
        </w:rPr>
      </w:pPr>
    </w:p>
    <w:p w:rsidR="00BA7971" w:rsidRDefault="00BA7971" w:rsidP="00B6778B">
      <w:pPr>
        <w:spacing w:line="360" w:lineRule="auto"/>
        <w:rPr>
          <w:lang w:eastAsia="nl-NL"/>
        </w:rPr>
      </w:pPr>
      <w:r>
        <w:rPr>
          <w:lang w:eastAsia="nl-NL"/>
        </w:rPr>
        <w:t>Tegenover de zojuist besproken standpunten, zijn er enkele auteurs die van mening zijn dat fraus legis naast het bestaan van de regeling van winstdrainage wel kan worden toegepast.</w:t>
      </w:r>
    </w:p>
    <w:p w:rsidR="00BA7971" w:rsidRDefault="00BA7971" w:rsidP="00FF68A4">
      <w:pPr>
        <w:spacing w:line="360" w:lineRule="auto"/>
        <w:rPr>
          <w:lang w:eastAsia="nl-NL"/>
        </w:rPr>
      </w:pPr>
      <w:r>
        <w:rPr>
          <w:lang w:eastAsia="nl-NL"/>
        </w:rPr>
        <w:t xml:space="preserve">Mijns inziens heeft het Hof </w:t>
      </w:r>
      <w:r w:rsidRPr="00260B83">
        <w:rPr>
          <w:lang w:eastAsia="nl-NL"/>
        </w:rPr>
        <w:t>zich</w:t>
      </w:r>
      <w:r>
        <w:rPr>
          <w:lang w:eastAsia="nl-NL"/>
        </w:rPr>
        <w:t xml:space="preserve"> in</w:t>
      </w:r>
      <w:r w:rsidRPr="00260B83">
        <w:rPr>
          <w:lang w:eastAsia="nl-NL"/>
        </w:rPr>
        <w:t xml:space="preserve"> </w:t>
      </w:r>
      <w:r w:rsidRPr="00260B83">
        <w:rPr>
          <w:i/>
          <w:lang w:eastAsia="nl-NL"/>
        </w:rPr>
        <w:t>HR 11 juli 2008, nr. 43376</w:t>
      </w:r>
      <w:r w:rsidRPr="00260B83">
        <w:rPr>
          <w:lang w:eastAsia="nl-NL"/>
        </w:rPr>
        <w:t xml:space="preserve"> uitgelaten over constr</w:t>
      </w:r>
      <w:r>
        <w:rPr>
          <w:lang w:eastAsia="nl-NL"/>
        </w:rPr>
        <w:t>ucties van winstdrainage die nie</w:t>
      </w:r>
      <w:r w:rsidRPr="00260B83">
        <w:rPr>
          <w:lang w:eastAsia="nl-NL"/>
        </w:rPr>
        <w:t xml:space="preserve">t door artikel 10a Wet Vpb 1969 worden bestreden. </w:t>
      </w:r>
      <w:r>
        <w:rPr>
          <w:lang w:eastAsia="nl-NL"/>
        </w:rPr>
        <w:t xml:space="preserve">Volgens hem is het best mogelijk </w:t>
      </w:r>
      <w:r w:rsidRPr="00FF68A4">
        <w:rPr>
          <w:lang w:eastAsia="nl-NL"/>
        </w:rPr>
        <w:t>om jurisprudentiële inzichten omtrent wetsontduiking en rechtsmisbruik toe te passen op situaties die niet worden bestreken door een antimisbruikbepaling.</w:t>
      </w:r>
    </w:p>
    <w:p w:rsidR="00BA7971" w:rsidRPr="00260B83" w:rsidRDefault="00BA7971" w:rsidP="00DD2A69">
      <w:pPr>
        <w:spacing w:line="360" w:lineRule="auto"/>
        <w:rPr>
          <w:lang w:eastAsia="nl-NL"/>
        </w:rPr>
      </w:pPr>
      <w:r>
        <w:rPr>
          <w:lang w:eastAsia="nl-NL"/>
        </w:rPr>
        <w:t>Ook Marres</w:t>
      </w:r>
      <w:r>
        <w:rPr>
          <w:rStyle w:val="FootnoteReference"/>
          <w:lang w:eastAsia="nl-NL"/>
        </w:rPr>
        <w:footnoteReference w:id="69"/>
      </w:r>
      <w:r>
        <w:rPr>
          <w:lang w:eastAsia="nl-NL"/>
        </w:rPr>
        <w:t xml:space="preserve"> concludeert uit de uitspraak van het Hof dat wanneer concerns ‘om artikel 10a heen plannen’ de fiscus in sommige gevallen de ruimte heeft om fraus legis toe te passen. Fraus legis blijft volgens hem een krachtig wapen tegen winstdrainage, ook voor zover artikel 10a Wet Vpb 1969 een bepaald terrein niet heeft geregeld. </w:t>
      </w:r>
    </w:p>
    <w:p w:rsidR="00BA7971" w:rsidRDefault="00BA7971" w:rsidP="00B6778B">
      <w:pPr>
        <w:spacing w:line="360" w:lineRule="auto"/>
      </w:pPr>
      <w:r>
        <w:rPr>
          <w:lang w:eastAsia="nl-NL"/>
        </w:rPr>
        <w:t xml:space="preserve">Eerder heeft de </w:t>
      </w:r>
      <w:r w:rsidRPr="00650062">
        <w:rPr>
          <w:lang w:eastAsia="nl-NL"/>
        </w:rPr>
        <w:t>Minister</w:t>
      </w:r>
      <w:r>
        <w:rPr>
          <w:rStyle w:val="FootnoteReference"/>
          <w:lang w:eastAsia="nl-NL"/>
        </w:rPr>
        <w:footnoteReference w:id="70"/>
      </w:r>
      <w:r w:rsidRPr="00650062">
        <w:rPr>
          <w:lang w:eastAsia="nl-NL"/>
        </w:rPr>
        <w:t xml:space="preserve"> </w:t>
      </w:r>
      <w:r>
        <w:rPr>
          <w:lang w:eastAsia="nl-NL"/>
        </w:rPr>
        <w:t>zijn opvatting hierover kenbaar gemaakt</w:t>
      </w:r>
      <w:r w:rsidRPr="00650062">
        <w:rPr>
          <w:lang w:eastAsia="nl-NL"/>
        </w:rPr>
        <w:t xml:space="preserve">. Het is volgens hem niet uitgesloten dat </w:t>
      </w:r>
      <w:r w:rsidRPr="00650062">
        <w:t xml:space="preserve">fraus legis van toepassing zou kunnen zijn </w:t>
      </w:r>
      <w:r>
        <w:t>naast art. 10a Wet Vpb 1969</w:t>
      </w:r>
      <w:r w:rsidRPr="00650062">
        <w:t xml:space="preserve">. </w:t>
      </w:r>
      <w:r>
        <w:t>Daarbij moet gedacht</w:t>
      </w:r>
      <w:r w:rsidRPr="00650062">
        <w:t xml:space="preserve"> worden aan een uitzonderlijke situatie, waarbij de grens van geoorloofde belastingbesparing duidelijk is overschreden. Daarnaast geeft hij aan dat dit </w:t>
      </w:r>
      <w:r>
        <w:t xml:space="preserve">zich </w:t>
      </w:r>
      <w:r w:rsidRPr="00650062">
        <w:t xml:space="preserve">in de praktijk niet snel zal kunnen voordoen. </w:t>
      </w:r>
    </w:p>
    <w:p w:rsidR="00BA7971" w:rsidRDefault="00BA7971" w:rsidP="00B6778B">
      <w:pPr>
        <w:spacing w:line="360" w:lineRule="auto"/>
        <w:rPr>
          <w:color w:val="FF0000"/>
          <w:lang w:eastAsia="nl-NL"/>
        </w:rPr>
      </w:pPr>
    </w:p>
    <w:p w:rsidR="00BA7971" w:rsidRPr="00693473" w:rsidRDefault="00BA7971" w:rsidP="00B6778B">
      <w:pPr>
        <w:spacing w:line="360" w:lineRule="auto"/>
        <w:rPr>
          <w:b/>
        </w:rPr>
      </w:pPr>
      <w:r w:rsidRPr="00693473">
        <w:rPr>
          <w:b/>
        </w:rPr>
        <w:t>6.3.</w:t>
      </w:r>
      <w:r>
        <w:rPr>
          <w:b/>
        </w:rPr>
        <w:t>2</w:t>
      </w:r>
      <w:r w:rsidRPr="00693473">
        <w:rPr>
          <w:b/>
        </w:rPr>
        <w:t xml:space="preserve"> Eigen opvatting</w:t>
      </w:r>
    </w:p>
    <w:p w:rsidR="00BA7971" w:rsidRPr="00DA4496" w:rsidRDefault="00BA7971" w:rsidP="00DA4496">
      <w:pPr>
        <w:spacing w:line="360" w:lineRule="auto"/>
      </w:pPr>
      <w:r w:rsidRPr="004771E9">
        <w:t>Mijns inziens zal in combinatie met doel en strekking van artikel 10a Wet Vpb 1969 bepaald moeten worden of op de niet door dat artikel getroffen constructies van winstdrainage fraus legis</w:t>
      </w:r>
      <w:r>
        <w:t xml:space="preserve"> mogelijk is</w:t>
      </w:r>
      <w:r w:rsidRPr="004771E9">
        <w:t xml:space="preserve">. Voor het stellen van fraus legis dient naast belastingverijdeling, strijdigheid met doel en strekking van </w:t>
      </w:r>
      <w:r>
        <w:t>de</w:t>
      </w:r>
      <w:r w:rsidRPr="004771E9">
        <w:t xml:space="preserve"> specifieke wetsbepaling</w:t>
      </w:r>
      <w:r w:rsidRPr="004771E9">
        <w:rPr>
          <w:rStyle w:val="FootnoteReference"/>
        </w:rPr>
        <w:footnoteReference w:id="71"/>
      </w:r>
      <w:r w:rsidRPr="004771E9">
        <w:t xml:space="preserve"> te worden geconstateerd. De wetgever heeft met de codificatie in artikel 10a Wet Vpb 1969 het tegengaan van ongewenst en oneigenlijk gebruik van het fiscale stelsel beoogd en zodoende het optreden voorkomen </w:t>
      </w:r>
      <w:r>
        <w:t xml:space="preserve">van </w:t>
      </w:r>
    </w:p>
    <w:p w:rsidR="00BA7971" w:rsidRDefault="00BA7971" w:rsidP="003F31D8">
      <w:pPr>
        <w:spacing w:line="360" w:lineRule="auto"/>
        <w:jc w:val="right"/>
        <w:rPr>
          <w:b/>
          <w:i/>
          <w:sz w:val="22"/>
          <w:szCs w:val="22"/>
        </w:rPr>
      </w:pPr>
    </w:p>
    <w:p w:rsidR="00BA7971" w:rsidRDefault="00BA7971" w:rsidP="003F31D8">
      <w:pPr>
        <w:spacing w:line="360" w:lineRule="auto"/>
        <w:jc w:val="right"/>
        <w:rPr>
          <w:b/>
          <w:i/>
          <w:sz w:val="22"/>
          <w:szCs w:val="22"/>
        </w:rPr>
      </w:pP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3F31D8">
      <w:pPr>
        <w:pBdr>
          <w:top w:val="single" w:sz="4" w:space="1" w:color="auto"/>
        </w:pBdr>
        <w:spacing w:line="360" w:lineRule="auto"/>
      </w:pPr>
    </w:p>
    <w:p w:rsidR="00BA7971" w:rsidRDefault="00BA7971" w:rsidP="00DD2A69">
      <w:pPr>
        <w:spacing w:line="360" w:lineRule="auto"/>
      </w:pPr>
      <w:r>
        <w:t>ongewenste versmalling van de heffingsgrondslag voor de vennootschapsbelasting</w:t>
      </w:r>
      <w:r w:rsidRPr="004771E9">
        <w:rPr>
          <w:rStyle w:val="FootnoteReference"/>
        </w:rPr>
        <w:footnoteReference w:id="72"/>
      </w:r>
      <w:r>
        <w:t>.</w:t>
      </w:r>
    </w:p>
    <w:p w:rsidR="00BA7971" w:rsidRDefault="00BA7971" w:rsidP="00DD2A69">
      <w:pPr>
        <w:spacing w:line="360" w:lineRule="auto"/>
      </w:pPr>
      <w:r>
        <w:t xml:space="preserve">Mijns inziens heeft de wetgever artikel 10a Wet Vpb 1969 zodanig geformuleerd dat alle gevallen van winstdrainage daaronder konden vallen, waardoor er geen ruimte zou zijn voor fraus legis naast deze wettelijke bepaling. Desondanks volg ik de opvattingen van de andere groep, die wel de mogelijkheid van fraus legis naast artikel 10a Wet Vpb 1969, bepleit. </w:t>
      </w:r>
    </w:p>
    <w:p w:rsidR="00BA7971" w:rsidRDefault="00BA7971" w:rsidP="00DD2A69">
      <w:pPr>
        <w:spacing w:line="360" w:lineRule="auto"/>
      </w:pPr>
      <w:r>
        <w:t xml:space="preserve">Winstdrainage betreft gevallen waarin een rentelast wordt gecreëerd terwijl bij een andere vennootschap binnen dezelfde concern geen of weinig belasting wordt geheven. Er zijn weliswaar enkele vormen van winstdrainage in de wet vastgelegd, maar belastingplichtigen worden steeds creatiever. Mijns inziens zullen taxhavens daarbij een cruciale rol spelen. Het kan voorkomen dat een constructie wordt opgezet, welke niet onder een van de besmette rechtshandelingen vallen, maar waardoor toch een rentelast wordt gecreëerd. De rentebate komt dan terecht bij een in een taxhaven gevestigde vennootschap, zodat enigszins de belastinggrondslag toch wordt uitgehold. Mijns inziens zou het wettelijke systeem ook flexibel moeten zijn, zodat in een situatie waarin een duidelijke overschrijding van geoorloofde grens van belastingbesparing – zoals de Minister aangeeft – wel degelijk de mogelijkheid aanwezig is om het leerstuk van fraus legis in stelling te brengen. </w:t>
      </w:r>
    </w:p>
    <w:p w:rsidR="00BA7971" w:rsidRPr="00EE646A" w:rsidRDefault="00BA7971" w:rsidP="00B6778B">
      <w:pPr>
        <w:spacing w:line="360" w:lineRule="auto"/>
      </w:pPr>
    </w:p>
    <w:p w:rsidR="00BA7971" w:rsidRDefault="00BA7971" w:rsidP="00B6778B">
      <w:pPr>
        <w:spacing w:line="360" w:lineRule="auto"/>
        <w:rPr>
          <w:b/>
        </w:rPr>
      </w:pPr>
      <w:r>
        <w:rPr>
          <w:b/>
        </w:rPr>
        <w:t>6.4 Conclusie</w:t>
      </w:r>
    </w:p>
    <w:p w:rsidR="00BA7971" w:rsidRDefault="00BA7971" w:rsidP="00B6778B">
      <w:pPr>
        <w:spacing w:line="360" w:lineRule="auto"/>
      </w:pPr>
      <w:r>
        <w:t>In</w:t>
      </w:r>
      <w:r w:rsidRPr="00AA6BC3">
        <w:t xml:space="preserve"> het arrest </w:t>
      </w:r>
      <w:r w:rsidRPr="00AA6BC3">
        <w:rPr>
          <w:i/>
        </w:rPr>
        <w:t>HR 11 juli 2008, nr. 43376</w:t>
      </w:r>
      <w:r w:rsidRPr="00AA6BC3">
        <w:t xml:space="preserve"> is bevestigd dat fraus legis </w:t>
      </w:r>
      <w:r>
        <w:t xml:space="preserve">wel </w:t>
      </w:r>
      <w:r w:rsidRPr="00AA6BC3">
        <w:t xml:space="preserve">degelijk mogelijk is </w:t>
      </w:r>
      <w:r>
        <w:t>naast de toepassing</w:t>
      </w:r>
      <w:r w:rsidRPr="00AA6BC3">
        <w:t xml:space="preserve"> van artikel 10a Wet Vpb 1969. </w:t>
      </w:r>
      <w:r>
        <w:t xml:space="preserve">Het niet opnemen van bepaalde situatie in een wettelijke bepaling is naar mijn mening nog geen bewuste aanvaarding van deze situaties door de wetgever. </w:t>
      </w:r>
    </w:p>
    <w:p w:rsidR="00BA7971" w:rsidRPr="00AA6BC3" w:rsidRDefault="00BA7971" w:rsidP="00B6778B">
      <w:pPr>
        <w:spacing w:line="360" w:lineRule="auto"/>
      </w:pPr>
    </w:p>
    <w:p w:rsidR="00BA7971" w:rsidRDefault="00BA7971" w:rsidP="002E565C">
      <w:pPr>
        <w:spacing w:line="360" w:lineRule="auto"/>
      </w:pPr>
      <w:r w:rsidRPr="00AA6BC3">
        <w:t>Dit hoofdstuk was gericht op de be</w:t>
      </w:r>
      <w:r>
        <w:t>antwoording van de hoofdvraag:</w:t>
      </w:r>
      <w:r w:rsidRPr="00AA6BC3">
        <w:t xml:space="preserve"> Is er nog ruimte voor de toepassing van fraus legis naast het bestaan van artikel 10a Wet Vpb 1969? Ondanks velen </w:t>
      </w:r>
      <w:r>
        <w:t xml:space="preserve">die </w:t>
      </w:r>
      <w:r w:rsidRPr="00AA6BC3">
        <w:t>dit leerstuk naast artikel 10a Wet Vpb 196</w:t>
      </w:r>
      <w:r>
        <w:t>9 niet mogelijk achten, ben ik</w:t>
      </w:r>
      <w:r w:rsidRPr="00AA6BC3">
        <w:t xml:space="preserve"> tot de conclusie gekomen dat er nog steeds ruimte is voor fraus legis. </w:t>
      </w:r>
      <w:r>
        <w:t>De reden daarvoor is</w:t>
      </w:r>
      <w:r w:rsidRPr="00AA6BC3">
        <w:t xml:space="preserve"> dat ongetwijfeld nieuwe </w:t>
      </w:r>
      <w:r>
        <w:t xml:space="preserve">constructies </w:t>
      </w:r>
      <w:r w:rsidRPr="00AA6BC3">
        <w:t>bedacht kunnen worden die niet onder de wettelijke bepaling vallen, maar toch een situatie van winstdrainage bevatten. Indien sprake is van het in strijd zijn van doel en strekking van de wet en voortdurend belasting</w:t>
      </w:r>
      <w:r>
        <w:t>besparing</w:t>
      </w:r>
      <w:r w:rsidRPr="00AA6BC3">
        <w:t xml:space="preserve"> </w:t>
      </w:r>
      <w:r>
        <w:t xml:space="preserve">kan mijns inziens nog degelijk fraus </w:t>
      </w:r>
    </w:p>
    <w:p w:rsidR="00BA7971" w:rsidRPr="00402470" w:rsidRDefault="00BA7971" w:rsidP="00793AED">
      <w:pPr>
        <w:spacing w:line="360" w:lineRule="auto"/>
        <w:jc w:val="right"/>
        <w:rPr>
          <w:b/>
          <w:i/>
          <w:sz w:val="22"/>
          <w:szCs w:val="22"/>
        </w:rPr>
      </w:pPr>
      <w:r w:rsidRPr="00402470">
        <w:rPr>
          <w:b/>
          <w:i/>
          <w:sz w:val="22"/>
          <w:szCs w:val="22"/>
        </w:rPr>
        <w:t xml:space="preserve">Hoofdstuk </w:t>
      </w:r>
      <w:r>
        <w:rPr>
          <w:b/>
          <w:i/>
          <w:sz w:val="22"/>
          <w:szCs w:val="22"/>
        </w:rPr>
        <w:t>6: Fraus legis naast artikel 10a Wet Vpb 1969?</w:t>
      </w:r>
    </w:p>
    <w:p w:rsidR="00BA7971" w:rsidRDefault="00BA7971" w:rsidP="00793AED">
      <w:pPr>
        <w:pBdr>
          <w:top w:val="single" w:sz="4" w:space="1" w:color="auto"/>
        </w:pBdr>
        <w:spacing w:line="360" w:lineRule="auto"/>
      </w:pPr>
    </w:p>
    <w:p w:rsidR="00BA7971" w:rsidRDefault="00BA7971" w:rsidP="002E565C">
      <w:pPr>
        <w:spacing w:line="360" w:lineRule="auto"/>
      </w:pPr>
      <w:r>
        <w:t xml:space="preserve">legis in stelling worden gebracht. Er is dus ook na invoering van artikel 10a Wet Vpb 1969 open ruimte voor het stellen van fraus legis. </w:t>
      </w:r>
    </w:p>
    <w:p w:rsidR="00BA7971" w:rsidRPr="00402470" w:rsidRDefault="00BA7971" w:rsidP="00437942">
      <w:pPr>
        <w:widowControl/>
        <w:suppressAutoHyphens w:val="0"/>
        <w:spacing w:after="200" w:line="276" w:lineRule="auto"/>
        <w:jc w:val="right"/>
        <w:rPr>
          <w:b/>
          <w:i/>
          <w:sz w:val="22"/>
          <w:szCs w:val="22"/>
        </w:rPr>
      </w:pPr>
      <w:r>
        <w:br w:type="page"/>
      </w:r>
      <w:r w:rsidRPr="00402470">
        <w:rPr>
          <w:b/>
          <w:i/>
          <w:sz w:val="22"/>
          <w:szCs w:val="22"/>
        </w:rPr>
        <w:t xml:space="preserve">Hoofdstuk </w:t>
      </w:r>
      <w:r>
        <w:rPr>
          <w:b/>
          <w:i/>
          <w:sz w:val="22"/>
          <w:szCs w:val="22"/>
        </w:rPr>
        <w:t>7: Samenvatting en conclusie</w:t>
      </w:r>
    </w:p>
    <w:p w:rsidR="00BA7971" w:rsidRDefault="00BA7971" w:rsidP="003F31D8">
      <w:pPr>
        <w:pBdr>
          <w:top w:val="single" w:sz="4" w:space="1" w:color="auto"/>
        </w:pBdr>
        <w:spacing w:line="360" w:lineRule="auto"/>
        <w:jc w:val="center"/>
        <w:rPr>
          <w:b/>
          <w:sz w:val="28"/>
          <w:szCs w:val="28"/>
        </w:rPr>
      </w:pPr>
    </w:p>
    <w:p w:rsidR="00BA7971" w:rsidRPr="00B359C0" w:rsidRDefault="00BA7971" w:rsidP="00E24553">
      <w:pPr>
        <w:spacing w:line="360" w:lineRule="auto"/>
        <w:jc w:val="center"/>
        <w:rPr>
          <w:b/>
          <w:sz w:val="28"/>
          <w:szCs w:val="28"/>
        </w:rPr>
      </w:pPr>
      <w:r w:rsidRPr="00B359C0">
        <w:rPr>
          <w:b/>
          <w:sz w:val="28"/>
          <w:szCs w:val="28"/>
        </w:rPr>
        <w:t>Hoofdstuk 7</w:t>
      </w:r>
    </w:p>
    <w:p w:rsidR="00BA7971" w:rsidRDefault="00BA7971" w:rsidP="00E24553">
      <w:pPr>
        <w:spacing w:line="360" w:lineRule="auto"/>
        <w:jc w:val="center"/>
        <w:rPr>
          <w:b/>
          <w:sz w:val="28"/>
          <w:szCs w:val="28"/>
        </w:rPr>
      </w:pPr>
      <w:r>
        <w:rPr>
          <w:b/>
          <w:sz w:val="28"/>
          <w:szCs w:val="28"/>
        </w:rPr>
        <w:t>SAMENVATTING EN CONCLUSIE</w:t>
      </w:r>
    </w:p>
    <w:p w:rsidR="00BA7971" w:rsidRPr="00B359C0" w:rsidRDefault="00BA7971" w:rsidP="00F303A4">
      <w:pPr>
        <w:spacing w:line="360" w:lineRule="auto"/>
        <w:rPr>
          <w:b/>
        </w:rPr>
      </w:pPr>
    </w:p>
    <w:p w:rsidR="00BA7971" w:rsidRDefault="00BA7971" w:rsidP="00F303A4">
      <w:pPr>
        <w:spacing w:line="360" w:lineRule="auto"/>
        <w:rPr>
          <w:b/>
        </w:rPr>
      </w:pPr>
      <w:r w:rsidRPr="00B359C0">
        <w:rPr>
          <w:b/>
        </w:rPr>
        <w:t xml:space="preserve">7.1 </w:t>
      </w:r>
      <w:r>
        <w:rPr>
          <w:b/>
        </w:rPr>
        <w:t>Probleemstelling</w:t>
      </w:r>
    </w:p>
    <w:p w:rsidR="00BA7971" w:rsidRDefault="00BA7971" w:rsidP="00256EC3">
      <w:pPr>
        <w:spacing w:line="360" w:lineRule="auto"/>
      </w:pPr>
      <w:r w:rsidRPr="001A4321">
        <w:t xml:space="preserve">In dit onderzoek ben ik op zoek gegaan naar </w:t>
      </w:r>
      <w:r>
        <w:t xml:space="preserve">de mogelijkheid voor de fiscus om fraus legis te stellen op situaties van winstdrainage, met betrekking to renteaftrek, die niet in artikel 10a Wet Vpb 1969 zijn geregeld. Deze scriptie is gericht op de hoofdvraag </w:t>
      </w:r>
      <w:r w:rsidRPr="001A4321">
        <w:t xml:space="preserve">of er nog ruimte is voor het </w:t>
      </w:r>
      <w:r>
        <w:t>toepassen</w:t>
      </w:r>
      <w:r w:rsidRPr="001A4321">
        <w:t xml:space="preserve"> van fraus legis met betrekking tot winstdrainage naast artikel 10a Wet Vpb 1969. In het vervolg zal een samenvatting en de voortvloeiende conclusies van het onderzoek worden </w:t>
      </w:r>
      <w:r>
        <w:t>ge</w:t>
      </w:r>
      <w:r w:rsidRPr="001A4321">
        <w:t>geven.</w:t>
      </w:r>
    </w:p>
    <w:p w:rsidR="00BA7971" w:rsidRDefault="00BA7971" w:rsidP="00F303A4">
      <w:pPr>
        <w:spacing w:line="360" w:lineRule="auto"/>
        <w:rPr>
          <w:b/>
        </w:rPr>
      </w:pPr>
    </w:p>
    <w:p w:rsidR="00BA7971" w:rsidRDefault="00BA7971" w:rsidP="00F303A4">
      <w:pPr>
        <w:spacing w:line="360" w:lineRule="auto"/>
        <w:rPr>
          <w:b/>
        </w:rPr>
      </w:pPr>
      <w:r>
        <w:rPr>
          <w:b/>
        </w:rPr>
        <w:t xml:space="preserve">7.2 </w:t>
      </w:r>
      <w:r w:rsidRPr="00B359C0">
        <w:rPr>
          <w:b/>
        </w:rPr>
        <w:t>Samenvatting en conclusie</w:t>
      </w:r>
    </w:p>
    <w:p w:rsidR="00BA7971" w:rsidRPr="003B3FDB" w:rsidRDefault="00BA7971" w:rsidP="00F303A4">
      <w:pPr>
        <w:spacing w:line="360" w:lineRule="auto"/>
      </w:pPr>
      <w:r w:rsidRPr="003B3FDB">
        <w:t xml:space="preserve">Winstdrainage bevat alle situaties waarbij een schuldverhouding wordt gecreëerd, met als </w:t>
      </w:r>
      <w:r>
        <w:t xml:space="preserve">enige </w:t>
      </w:r>
      <w:r w:rsidRPr="003B3FDB">
        <w:t xml:space="preserve">doel rente ten laste van de Nederlandse belastbare winst te kunnen brengen, terwijl de rentebate hier te lande </w:t>
      </w:r>
      <w:r>
        <w:t xml:space="preserve">of </w:t>
      </w:r>
      <w:r w:rsidRPr="003B3FDB">
        <w:t xml:space="preserve">in een ander land </w:t>
      </w:r>
      <w:r>
        <w:t xml:space="preserve">niet (of nauwelijks) aan belastingheffing is onderworpen. </w:t>
      </w:r>
      <w:r w:rsidRPr="003B3FDB">
        <w:t xml:space="preserve">De kernstructuren van winstdrainage zijn de zogenaamde kasrondjes die schuldig zijn gebleven, kasrondjes gefinancierd met een lening van een concern, interne verhangingen en externe acquisities. Bij de rentebaten werd geen of weinig belasting geheven, omdat deze toekomt aan een lichaam dat gevestigd is in een taxhaven, dan wel een vrijgesteld lichaam is of dat een lichaam in het bezit is van verrekenbare verliezen. Winstdrainage werd voor het bestaan van artikel 10a Wet Vpb 1969 bestreden met het leerstuk van fraus legis. </w:t>
      </w:r>
    </w:p>
    <w:p w:rsidR="00BA7971" w:rsidRPr="003B3FDB" w:rsidRDefault="00BA7971" w:rsidP="00F303A4">
      <w:pPr>
        <w:spacing w:line="360" w:lineRule="auto"/>
        <w:ind w:firstLine="708"/>
      </w:pPr>
      <w:r w:rsidRPr="003B3FDB">
        <w:t xml:space="preserve">Om aan toepassing van dit leerstuk </w:t>
      </w:r>
      <w:r>
        <w:t xml:space="preserve">toe </w:t>
      </w:r>
      <w:r w:rsidRPr="003B3FDB">
        <w:t xml:space="preserve">te komen, </w:t>
      </w:r>
      <w:r>
        <w:t>moet aan</w:t>
      </w:r>
      <w:r w:rsidRPr="003B3FDB">
        <w:t xml:space="preserve"> twee vereisten </w:t>
      </w:r>
      <w:r>
        <w:t>zijn voldaan</w:t>
      </w:r>
      <w:r w:rsidRPr="003B3FDB">
        <w:t xml:space="preserve">. Dit betreft belastingverijdeling als volstrekt doorslaggevend motief en het in strijd zijn met doel en strekking van de wet. Indien toegepast leidt dit tot een substitutie van de verrichte rechtshandeling door een niet gepleegde (wel) belaste rechtshandeling. Aan de hand van deze twee criteria kan </w:t>
      </w:r>
      <w:r>
        <w:t xml:space="preserve">aan </w:t>
      </w:r>
      <w:r w:rsidRPr="003B3FDB">
        <w:t xml:space="preserve">de winstdrainage arresten </w:t>
      </w:r>
      <w:r>
        <w:t>ontleen</w:t>
      </w:r>
      <w:r w:rsidRPr="003B3FDB">
        <w:t>d worden dat slechts in bepaalde gevallen sprake was handelen in fraudem legis.</w:t>
      </w:r>
      <w:r>
        <w:t xml:space="preserve"> </w:t>
      </w:r>
    </w:p>
    <w:p w:rsidR="00BA7971" w:rsidRDefault="00BA7971" w:rsidP="00F303A4">
      <w:pPr>
        <w:pStyle w:val="CommentText"/>
        <w:spacing w:after="0" w:line="360" w:lineRule="auto"/>
        <w:ind w:firstLine="708"/>
        <w:rPr>
          <w:rFonts w:ascii="Times New Roman" w:hAnsi="Times New Roman" w:cs="Times New Roman"/>
          <w:sz w:val="24"/>
          <w:szCs w:val="24"/>
          <w:lang w:eastAsia="nl-NL"/>
        </w:rPr>
      </w:pPr>
      <w:r w:rsidRPr="003B3FDB">
        <w:rPr>
          <w:rFonts w:ascii="Times New Roman" w:hAnsi="Times New Roman" w:cs="Times New Roman"/>
          <w:sz w:val="24"/>
          <w:szCs w:val="24"/>
        </w:rPr>
        <w:t>Door het vele misbruik dat in deze arresten voorkwam werd de wetgever gedwongen om de rechtspraak te codificeren in artikel 10a Wet Vpb 1969. Doel hiervan was de v</w:t>
      </w:r>
      <w:r w:rsidRPr="003B3FDB">
        <w:rPr>
          <w:rFonts w:ascii="Times New Roman" w:hAnsi="Times New Roman" w:cs="Times New Roman"/>
          <w:sz w:val="24"/>
          <w:szCs w:val="24"/>
          <w:lang w:eastAsia="nl-NL"/>
        </w:rPr>
        <w:t xml:space="preserve">ersterking van de fiscale infrastructuur  om zodoende ongewenst en oneigenlijk gebruik van het fiscale stelsel te voorkomen. Hiermee </w:t>
      </w:r>
      <w:r>
        <w:rPr>
          <w:rFonts w:ascii="Times New Roman" w:hAnsi="Times New Roman" w:cs="Times New Roman"/>
          <w:sz w:val="24"/>
          <w:szCs w:val="24"/>
          <w:lang w:eastAsia="nl-NL"/>
        </w:rPr>
        <w:t>werd</w:t>
      </w:r>
      <w:r w:rsidRPr="003B3FDB">
        <w:rPr>
          <w:rFonts w:ascii="Times New Roman" w:hAnsi="Times New Roman" w:cs="Times New Roman"/>
          <w:sz w:val="24"/>
          <w:szCs w:val="24"/>
          <w:lang w:eastAsia="nl-NL"/>
        </w:rPr>
        <w:t xml:space="preserve"> belastingbesparende constructies bestreden, </w:t>
      </w:r>
    </w:p>
    <w:p w:rsidR="00BA7971" w:rsidRPr="00402470" w:rsidRDefault="00BA7971" w:rsidP="003F31D8">
      <w:pPr>
        <w:spacing w:line="360" w:lineRule="auto"/>
        <w:jc w:val="right"/>
        <w:rPr>
          <w:b/>
          <w:i/>
          <w:sz w:val="22"/>
          <w:szCs w:val="22"/>
        </w:rPr>
      </w:pPr>
      <w:r w:rsidRPr="00402470">
        <w:rPr>
          <w:b/>
          <w:i/>
          <w:sz w:val="22"/>
          <w:szCs w:val="22"/>
        </w:rPr>
        <w:t xml:space="preserve">Hoofdstuk </w:t>
      </w:r>
      <w:r>
        <w:rPr>
          <w:b/>
          <w:i/>
          <w:sz w:val="22"/>
          <w:szCs w:val="22"/>
        </w:rPr>
        <w:t>7: Samenvatting en conclusie</w:t>
      </w:r>
    </w:p>
    <w:p w:rsidR="00BA7971" w:rsidRDefault="00BA7971" w:rsidP="003F31D8">
      <w:pPr>
        <w:pStyle w:val="CommentText"/>
        <w:pBdr>
          <w:top w:val="single" w:sz="4" w:space="1" w:color="auto"/>
        </w:pBdr>
        <w:spacing w:after="0" w:line="360" w:lineRule="auto"/>
        <w:rPr>
          <w:rFonts w:ascii="Times New Roman" w:hAnsi="Times New Roman" w:cs="Times New Roman"/>
          <w:sz w:val="24"/>
          <w:szCs w:val="24"/>
          <w:lang w:eastAsia="nl-NL"/>
        </w:rPr>
      </w:pPr>
    </w:p>
    <w:p w:rsidR="00BA7971" w:rsidRPr="004232F6" w:rsidRDefault="00BA7971" w:rsidP="003F31D8">
      <w:pPr>
        <w:pStyle w:val="CommentText"/>
        <w:spacing w:after="0" w:line="360" w:lineRule="auto"/>
        <w:rPr>
          <w:rFonts w:ascii="Times New Roman" w:hAnsi="Times New Roman" w:cs="Times New Roman"/>
          <w:sz w:val="24"/>
          <w:szCs w:val="24"/>
          <w:lang w:eastAsia="nl-NL"/>
        </w:rPr>
      </w:pPr>
      <w:r w:rsidRPr="003B3FDB">
        <w:rPr>
          <w:rFonts w:ascii="Times New Roman" w:hAnsi="Times New Roman" w:cs="Times New Roman"/>
          <w:sz w:val="24"/>
          <w:szCs w:val="24"/>
          <w:lang w:eastAsia="nl-NL"/>
        </w:rPr>
        <w:t xml:space="preserve">welke bedrijfsinvesteringen niet aanmoedigen en ook niet bijdragen aan de </w:t>
      </w:r>
      <w:r w:rsidRPr="004232F6">
        <w:rPr>
          <w:rFonts w:ascii="Times New Roman" w:hAnsi="Times New Roman" w:cs="Times New Roman"/>
          <w:sz w:val="24"/>
          <w:szCs w:val="24"/>
          <w:lang w:eastAsia="nl-NL"/>
        </w:rPr>
        <w:t xml:space="preserve">werkgelegenheid, terwijl ze wel leiden tot een ongewenste versmalling van de belastinggrondslag. </w:t>
      </w:r>
    </w:p>
    <w:p w:rsidR="00BA7971" w:rsidRPr="004232F6" w:rsidRDefault="00BA7971" w:rsidP="00F303A4">
      <w:pPr>
        <w:spacing w:line="360" w:lineRule="auto"/>
        <w:ind w:firstLine="708"/>
      </w:pPr>
      <w:r w:rsidRPr="004232F6">
        <w:t>Artikel 10a Wet Vpb 1969 strekt zich uit tot de kernstructuren</w:t>
      </w:r>
      <w:r>
        <w:rPr>
          <w:rStyle w:val="FootnoteReference"/>
        </w:rPr>
        <w:footnoteReference w:id="73"/>
      </w:r>
      <w:r w:rsidRPr="004232F6">
        <w:t xml:space="preserve"> van winstdrainage, die in verband staat met een schuld aan een verbonden lichaam dan wel een verbonden persoon. Het gaat specifiek om constructies binnen concernverband. De wetsbepaling leidt tot weigering van renteaftrek waarbij ook de kosten en valutaresultaten zijn inbegrepen. Echter, dit gevolg treedt niet op indien de belastingplichtige met succes tegenbewijs kan leveren. </w:t>
      </w:r>
      <w:r>
        <w:t xml:space="preserve">Dit kan zowel door de dubbele zakelijkheidstoets, oftwel door de </w:t>
      </w:r>
      <w:r w:rsidRPr="004232F6">
        <w:t>compenserende heffing bij de renteontvangende vennootschap</w:t>
      </w:r>
      <w:r>
        <w:t xml:space="preserve"> in te roepen</w:t>
      </w:r>
      <w:r w:rsidRPr="004232F6">
        <w:t xml:space="preserve">. </w:t>
      </w:r>
    </w:p>
    <w:p w:rsidR="00BA7971" w:rsidRDefault="00BA7971" w:rsidP="00F303A4">
      <w:pPr>
        <w:spacing w:line="360" w:lineRule="auto"/>
        <w:rPr>
          <w:color w:val="FF0000"/>
        </w:rPr>
      </w:pPr>
      <w:r w:rsidRPr="004232F6">
        <w:tab/>
        <w:t xml:space="preserve">Sinds zijn bestaan is artikel 10a Wet Vbp 1969 op enkele punten gewijzigd. Een daarvan is de integratie van de problematiek van overnameholdings in de wettelijke bepaling. Ook is in de jurisprudentie een belangrijke ontwikkeling geweest wat meebracht dat de ‘verschillende wegen leer’ in twijfel werd gebracht. </w:t>
      </w:r>
      <w:r>
        <w:t>In het Ierland-arrest</w:t>
      </w:r>
      <w:r w:rsidRPr="004232F6">
        <w:rPr>
          <w:rStyle w:val="FootnoteReference"/>
        </w:rPr>
        <w:footnoteReference w:id="74"/>
      </w:r>
      <w:r>
        <w:t xml:space="preserve"> achtte de Hoge Raad dit leer niet meer relevant in het kader van de bepaling of fraus legis kan worden toegepast. D</w:t>
      </w:r>
      <w:r w:rsidRPr="004232F6">
        <w:t xml:space="preserve">e wetgever heeft </w:t>
      </w:r>
      <w:r>
        <w:t xml:space="preserve">echter </w:t>
      </w:r>
      <w:r w:rsidRPr="004232F6">
        <w:t xml:space="preserve">afgezien van de zienswijze van de Hoge Raad in </w:t>
      </w:r>
      <w:r>
        <w:t xml:space="preserve">dat </w:t>
      </w:r>
      <w:r w:rsidRPr="004232F6">
        <w:t>arrest</w:t>
      </w:r>
      <w:r>
        <w:t xml:space="preserve"> </w:t>
      </w:r>
      <w:r w:rsidRPr="004232F6">
        <w:t>en houdt zich nog steeds vast aan dit leer.</w:t>
      </w:r>
      <w:r>
        <w:rPr>
          <w:color w:val="FF0000"/>
        </w:rPr>
        <w:tab/>
      </w:r>
    </w:p>
    <w:p w:rsidR="00BA7971" w:rsidRPr="00F87D4C" w:rsidRDefault="00BA7971" w:rsidP="00971580">
      <w:pPr>
        <w:spacing w:line="360" w:lineRule="auto"/>
        <w:ind w:firstLine="708"/>
      </w:pPr>
      <w:r w:rsidRPr="00F87D4C">
        <w:t xml:space="preserve">Artikel 10a Wet Vpb 1969 tracht zoveel mogelijk constructie van winstdrainage te bestrijden. Mijns inziens zijn de niet in de wettekst opgenomen constructies daardoor niet bewust aanvaard door de wetgever. Hoe meer we de toekomst ingaan hoe creatiever het </w:t>
      </w:r>
      <w:r>
        <w:t>belastingplichtigen worden</w:t>
      </w:r>
      <w:r w:rsidRPr="00F87D4C">
        <w:t>. Dit zal ongetwijfeld leiden tot nieuwe constructies die niet onder de wettelijke bepaling vallen, maar toch een situatie van winstdrainage bevatten. Indien sprake is van het in strijd zijn van doel en strekking van de wet en een voortdurend belastingbesparing kan mijns inziens nog altijd fraus legis in stelling worden gebracht. Dit br</w:t>
      </w:r>
      <w:r>
        <w:t>engt</w:t>
      </w:r>
      <w:r w:rsidRPr="00F87D4C">
        <w:t xml:space="preserve"> mij tot de uiteindelijke conclusie dat er nog steeds ruimte bestaat voor het stellen van fraus legis, naast het bestaan van artikel 10a Wet Vpb 1969. </w:t>
      </w:r>
    </w:p>
    <w:p w:rsidR="00BA7971" w:rsidRDefault="00BA7971" w:rsidP="00B6778B">
      <w:pPr>
        <w:spacing w:line="360" w:lineRule="auto"/>
      </w:pPr>
    </w:p>
    <w:p w:rsidR="00BA7971" w:rsidRDefault="00BA7971" w:rsidP="0022081B">
      <w:pPr>
        <w:spacing w:line="360" w:lineRule="auto"/>
        <w:rPr>
          <w:b/>
        </w:rPr>
      </w:pPr>
      <w:r w:rsidRPr="00B359C0">
        <w:rPr>
          <w:b/>
        </w:rPr>
        <w:t>7.2 Aanbeveling</w:t>
      </w:r>
      <w:r>
        <w:rPr>
          <w:b/>
        </w:rPr>
        <w:t>en</w:t>
      </w:r>
    </w:p>
    <w:p w:rsidR="00BA7971" w:rsidRDefault="00BA7971" w:rsidP="00967B69">
      <w:pPr>
        <w:spacing w:line="360" w:lineRule="auto"/>
      </w:pPr>
      <w:r w:rsidRPr="00B741FB">
        <w:t xml:space="preserve">Het doel van </w:t>
      </w:r>
      <w:r>
        <w:t>mijn scriptie</w:t>
      </w:r>
      <w:r w:rsidRPr="00B741FB">
        <w:t xml:space="preserve"> was om een aanbeveling te formuleren voor een mogelijke wetsaanpassing. </w:t>
      </w:r>
      <w:r>
        <w:t>Als hulpmiddel ga ik d</w:t>
      </w:r>
      <w:r w:rsidRPr="00B741FB">
        <w:t>e ‘Sinterklaasbrief’</w:t>
      </w:r>
      <w:r>
        <w:rPr>
          <w:rStyle w:val="FootnoteReference"/>
        </w:rPr>
        <w:footnoteReference w:id="75"/>
      </w:r>
      <w:r>
        <w:t xml:space="preserve"> </w:t>
      </w:r>
      <w:r w:rsidRPr="00B741FB">
        <w:t xml:space="preserve">van de Staatssecretaris van </w:t>
      </w:r>
    </w:p>
    <w:p w:rsidR="00BA7971" w:rsidRPr="00402470" w:rsidRDefault="00BA7971" w:rsidP="00E14DB5">
      <w:pPr>
        <w:spacing w:line="360" w:lineRule="auto"/>
        <w:jc w:val="right"/>
        <w:rPr>
          <w:b/>
          <w:i/>
          <w:sz w:val="22"/>
          <w:szCs w:val="22"/>
        </w:rPr>
      </w:pPr>
      <w:r w:rsidRPr="00402470">
        <w:rPr>
          <w:b/>
          <w:i/>
          <w:sz w:val="22"/>
          <w:szCs w:val="22"/>
        </w:rPr>
        <w:t xml:space="preserve">Hoofdstuk </w:t>
      </w:r>
      <w:r>
        <w:rPr>
          <w:b/>
          <w:i/>
          <w:sz w:val="22"/>
          <w:szCs w:val="22"/>
        </w:rPr>
        <w:t>7: Samenvatting en conclusie</w:t>
      </w:r>
    </w:p>
    <w:p w:rsidR="00BA7971" w:rsidRDefault="00BA7971" w:rsidP="00E14DB5">
      <w:pPr>
        <w:pBdr>
          <w:top w:val="single" w:sz="4" w:space="1" w:color="auto"/>
        </w:pBdr>
        <w:spacing w:line="360" w:lineRule="auto"/>
      </w:pPr>
    </w:p>
    <w:p w:rsidR="00BA7971" w:rsidRDefault="00BA7971" w:rsidP="00967B69">
      <w:pPr>
        <w:spacing w:line="360" w:lineRule="auto"/>
      </w:pPr>
      <w:r w:rsidRPr="00B741FB">
        <w:t xml:space="preserve">Financiën </w:t>
      </w:r>
      <w:r>
        <w:t xml:space="preserve">en het ‘Consultatiedocument’ </w:t>
      </w:r>
      <w:r>
        <w:rPr>
          <w:rStyle w:val="FootnoteReference"/>
        </w:rPr>
        <w:footnoteReference w:id="76"/>
      </w:r>
      <w:r>
        <w:t>gebruiken. Deze bevat</w:t>
      </w:r>
      <w:r w:rsidRPr="00B741FB">
        <w:t xml:space="preserve"> </w:t>
      </w:r>
      <w:r>
        <w:t xml:space="preserve">twee mogelijke </w:t>
      </w:r>
      <w:r w:rsidRPr="00B741FB">
        <w:t>maatregelen voor de proble</w:t>
      </w:r>
      <w:r>
        <w:t xml:space="preserve">matiek betreffende renteaftrek, welke zijn: </w:t>
      </w:r>
    </w:p>
    <w:p w:rsidR="00BA7971" w:rsidRDefault="00BA7971" w:rsidP="001E7608">
      <w:pPr>
        <w:numPr>
          <w:ilvl w:val="0"/>
          <w:numId w:val="6"/>
        </w:numPr>
        <w:spacing w:line="360" w:lineRule="auto"/>
      </w:pPr>
      <w:r>
        <w:t xml:space="preserve">een verplichte groepsrentebox </w:t>
      </w:r>
    </w:p>
    <w:p w:rsidR="00BA7971" w:rsidRDefault="00BA7971" w:rsidP="001E7608">
      <w:pPr>
        <w:numPr>
          <w:ilvl w:val="0"/>
          <w:numId w:val="6"/>
        </w:numPr>
        <w:spacing w:line="360" w:lineRule="auto"/>
      </w:pPr>
      <w:r>
        <w:t xml:space="preserve">een afzonderlijke beperking van renteaftrek, welke weer onderverdeeld kan worden in twee varianten, namelijk: </w:t>
      </w:r>
    </w:p>
    <w:p w:rsidR="00BA7971" w:rsidRDefault="00BA7971" w:rsidP="001E7608">
      <w:pPr>
        <w:numPr>
          <w:ilvl w:val="1"/>
          <w:numId w:val="6"/>
        </w:numPr>
        <w:spacing w:line="360" w:lineRule="auto"/>
      </w:pPr>
      <w:r>
        <w:t>specifiek renteaftrekbeperkingen</w:t>
      </w:r>
    </w:p>
    <w:p w:rsidR="00BA7971" w:rsidRDefault="00BA7971" w:rsidP="001E7608">
      <w:pPr>
        <w:numPr>
          <w:ilvl w:val="1"/>
          <w:numId w:val="6"/>
        </w:numPr>
        <w:spacing w:line="360" w:lineRule="auto"/>
      </w:pPr>
      <w:r>
        <w:t>algemene renteaftrekbeperking</w:t>
      </w:r>
    </w:p>
    <w:p w:rsidR="00BA7971" w:rsidRDefault="00BA7971" w:rsidP="001E7608">
      <w:pPr>
        <w:spacing w:line="360" w:lineRule="auto"/>
      </w:pPr>
    </w:p>
    <w:p w:rsidR="00BA7971" w:rsidRDefault="00BA7971" w:rsidP="00032FF9">
      <w:pPr>
        <w:spacing w:line="360" w:lineRule="auto"/>
      </w:pPr>
      <w:r>
        <w:t xml:space="preserve">De Staatssecretaris heeft voorgesteld om artikel 10a Wet Vpb 1969 af te schaffen en daar in plaats de verplichte groepsrentebox in te voeren. Deze houdt kort in dat inkomende en uitgaande groepsrente samen met inkomsten uit het aanhouden van een overnamekas, beperkt in de grondslag worden begrepen. De regeling zou ook gelden voor de waardemutaties van groepsleningen en overnamekassen en voor de resultaten op rente- en afdekkingsinstrumenten van valuta. De regeling is gericht op het voorkomen van arbitrage tussen groepsrente en externe rente. Mijns inziens is dit een goede maatregel want hiermee zullen alle gevallen  geconfronteerd worden met een beperking, zodat artikel 10a Wet Vpb 1969 zal overbodig zijn. De situaties die daaronder vallen kunnen nog altijd geconfronteerd worden met fraus legis. Het doel van deze maatregel zal theoretisch gezien bereikt worden. Echter, het valt te bedenken dat belastingplichtigen al hun activiteiten naar het buitenland zullen overbrengen en zich in een land vestigen die gekunstelde constructies “aanmoedigen”.  Dit zal natuurlijk niet voordelig voor de Nederlandse grondslag zijn. De regeling kan dus afschrikwekkend zijn. </w:t>
      </w:r>
    </w:p>
    <w:p w:rsidR="00BA7971" w:rsidRDefault="00BA7971" w:rsidP="00296FEB">
      <w:pPr>
        <w:spacing w:line="360" w:lineRule="auto"/>
      </w:pPr>
    </w:p>
    <w:p w:rsidR="00BA7971" w:rsidRDefault="00BA7971" w:rsidP="00FC6FB7">
      <w:pPr>
        <w:spacing w:line="360" w:lineRule="auto"/>
      </w:pPr>
      <w:r>
        <w:t>De andere maatregel betrof de afzonderlijke beperking van renteaftrek. De bestaande regel van winstdrainage wordt wel behouden, maar daarnaast worden extra  maatregelen getroffen die een aftrekbeperking inhouden van deelnemingsrente en excessieve rentes bij overnames(a). Variant b betreft een regeling die in de plaats komt van de thincapregeling van artikel 10d Wet Vpb1969</w:t>
      </w:r>
      <w:r>
        <w:rPr>
          <w:rStyle w:val="FootnoteReference"/>
        </w:rPr>
        <w:footnoteReference w:id="77"/>
      </w:r>
      <w:r>
        <w:t xml:space="preserve">. </w:t>
      </w:r>
    </w:p>
    <w:p w:rsidR="00BA7971" w:rsidRDefault="00BA7971" w:rsidP="00FC6FB7">
      <w:pPr>
        <w:spacing w:line="360" w:lineRule="auto"/>
      </w:pPr>
      <w:r>
        <w:t xml:space="preserve">Omdat ik geconcludeerd wordt dat ondanks het bestaan van artikel 10a Wet Vpb 1969 nog steeds de mogelijkheid bestaat om fraus legis toe te passen, vindt ik dat deze maatregel niet veel omtrent de problematiek van winstdrainage zal veranderen. Er kan nog steeds </w:t>
      </w:r>
    </w:p>
    <w:p w:rsidR="00BA7971" w:rsidRPr="00402470" w:rsidRDefault="00BA7971" w:rsidP="00E14DB5">
      <w:pPr>
        <w:spacing w:line="360" w:lineRule="auto"/>
        <w:jc w:val="right"/>
        <w:rPr>
          <w:b/>
          <w:i/>
          <w:sz w:val="22"/>
          <w:szCs w:val="22"/>
        </w:rPr>
      </w:pPr>
      <w:r w:rsidRPr="00402470">
        <w:rPr>
          <w:b/>
          <w:i/>
          <w:sz w:val="22"/>
          <w:szCs w:val="22"/>
        </w:rPr>
        <w:t xml:space="preserve">Hoofdstuk </w:t>
      </w:r>
      <w:r>
        <w:rPr>
          <w:b/>
          <w:i/>
          <w:sz w:val="22"/>
          <w:szCs w:val="22"/>
        </w:rPr>
        <w:t>7: Samenvatting en conclusie</w:t>
      </w:r>
    </w:p>
    <w:p w:rsidR="00BA7971" w:rsidRDefault="00BA7971" w:rsidP="00E14DB5">
      <w:pPr>
        <w:pBdr>
          <w:top w:val="single" w:sz="4" w:space="1" w:color="auto"/>
        </w:pBdr>
        <w:spacing w:line="360" w:lineRule="auto"/>
      </w:pPr>
    </w:p>
    <w:p w:rsidR="00BA7971" w:rsidRDefault="00BA7971" w:rsidP="00FC6FB7">
      <w:pPr>
        <w:spacing w:line="360" w:lineRule="auto"/>
      </w:pPr>
      <w:r>
        <w:t xml:space="preserve">constructies bedacht worden, zodat geen zekerheid bestaat dat alle gevallen zullen worden gedekt. </w:t>
      </w:r>
    </w:p>
    <w:p w:rsidR="00BA7971" w:rsidRDefault="00BA7971" w:rsidP="00FC6FB7">
      <w:pPr>
        <w:spacing w:line="360" w:lineRule="auto"/>
      </w:pPr>
    </w:p>
    <w:p w:rsidR="00BA7971" w:rsidRDefault="00BA7971" w:rsidP="009D06C4">
      <w:pPr>
        <w:spacing w:line="360" w:lineRule="auto"/>
      </w:pPr>
      <w:r>
        <w:t xml:space="preserve">Concluderend, mijns inziens een optie zoals de verplichte groepsrentebox zal een breder reikwijdte treffen dan de afzonderlijke beperking van renteaftrek. Hoewel het belastingrecht  terug bij af is, doordat artikel 10a Wet Vpb 1969 wordt afgeschaft en dus weer het leerstuk van fraus legis dient te worden toegepast, zullen alle gevallen verplicht geconfronteerd worden met een renteaftrekbeperking. </w:t>
      </w:r>
    </w:p>
    <w:p w:rsidR="00BA7971" w:rsidRDefault="00BA7971" w:rsidP="00296FEB">
      <w:pPr>
        <w:spacing w:line="360" w:lineRule="auto"/>
      </w:pPr>
    </w:p>
    <w:p w:rsidR="00BA7971" w:rsidRDefault="00BA7971" w:rsidP="00296FEB">
      <w:pPr>
        <w:spacing w:line="360" w:lineRule="auto"/>
      </w:pPr>
    </w:p>
    <w:p w:rsidR="00BA7971" w:rsidRDefault="00BA7971" w:rsidP="0022081B">
      <w:pPr>
        <w:spacing w:line="360" w:lineRule="auto"/>
      </w:pPr>
    </w:p>
    <w:p w:rsidR="00BA7971" w:rsidRDefault="00BA7971" w:rsidP="0022081B">
      <w:pPr>
        <w:spacing w:line="360" w:lineRule="auto"/>
        <w:rPr>
          <w:color w:val="FF0000"/>
        </w:rPr>
      </w:pPr>
    </w:p>
    <w:p w:rsidR="00BA7971" w:rsidRPr="00AA6BC3" w:rsidRDefault="00BA7971" w:rsidP="00B6778B">
      <w:pPr>
        <w:spacing w:line="360" w:lineRule="auto"/>
      </w:pPr>
    </w:p>
    <w:p w:rsidR="00BA7971" w:rsidRPr="00E202B1" w:rsidRDefault="00BA7971" w:rsidP="00B6778B">
      <w:pPr>
        <w:spacing w:line="360" w:lineRule="auto"/>
        <w:rPr>
          <w:b/>
        </w:rPr>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Default="00BA7971" w:rsidP="00C25509">
      <w:pPr>
        <w:spacing w:line="360" w:lineRule="auto"/>
      </w:pPr>
    </w:p>
    <w:p w:rsidR="00BA7971" w:rsidRPr="003F31D8" w:rsidRDefault="00BA7971" w:rsidP="00C16832">
      <w:pPr>
        <w:widowControl/>
        <w:suppressAutoHyphens w:val="0"/>
        <w:spacing w:after="200" w:line="276" w:lineRule="auto"/>
        <w:jc w:val="right"/>
        <w:rPr>
          <w:b/>
          <w:i/>
          <w:sz w:val="22"/>
          <w:szCs w:val="22"/>
        </w:rPr>
      </w:pPr>
      <w:r>
        <w:br w:type="page"/>
      </w:r>
      <w:r w:rsidRPr="003F31D8">
        <w:rPr>
          <w:b/>
          <w:i/>
          <w:sz w:val="22"/>
          <w:szCs w:val="22"/>
        </w:rPr>
        <w:t>Bronvermelding</w:t>
      </w:r>
    </w:p>
    <w:p w:rsidR="00BA7971" w:rsidRDefault="00BA7971" w:rsidP="003F31D8">
      <w:pPr>
        <w:pBdr>
          <w:top w:val="single" w:sz="4" w:space="1" w:color="auto"/>
        </w:pBdr>
        <w:spacing w:line="360" w:lineRule="auto"/>
        <w:jc w:val="center"/>
        <w:rPr>
          <w:b/>
          <w:sz w:val="28"/>
          <w:szCs w:val="28"/>
        </w:rPr>
      </w:pPr>
    </w:p>
    <w:p w:rsidR="00BA7971" w:rsidRPr="00195308" w:rsidRDefault="00BA7971" w:rsidP="00FC0C4A">
      <w:pPr>
        <w:spacing w:line="360" w:lineRule="auto"/>
        <w:jc w:val="center"/>
        <w:rPr>
          <w:b/>
          <w:sz w:val="28"/>
          <w:szCs w:val="28"/>
        </w:rPr>
      </w:pPr>
      <w:r w:rsidRPr="00195308">
        <w:rPr>
          <w:b/>
          <w:sz w:val="28"/>
          <w:szCs w:val="28"/>
        </w:rPr>
        <w:t>BRONVERMELDING</w:t>
      </w:r>
    </w:p>
    <w:p w:rsidR="00BA7971" w:rsidRPr="00195308" w:rsidRDefault="00BA7971" w:rsidP="00FC0C4A">
      <w:pPr>
        <w:spacing w:line="360" w:lineRule="auto"/>
        <w:jc w:val="center"/>
        <w:rPr>
          <w:b/>
          <w:sz w:val="28"/>
          <w:szCs w:val="28"/>
        </w:rPr>
      </w:pPr>
      <w:r w:rsidRPr="00195308">
        <w:rPr>
          <w:b/>
          <w:sz w:val="28"/>
          <w:szCs w:val="28"/>
        </w:rPr>
        <w:t>Literatuurlijst</w:t>
      </w:r>
    </w:p>
    <w:p w:rsidR="00BA7971" w:rsidRDefault="00BA7971" w:rsidP="00FC0C4A">
      <w:pPr>
        <w:spacing w:line="360" w:lineRule="auto"/>
      </w:pPr>
    </w:p>
    <w:p w:rsidR="00BA7971" w:rsidRDefault="00BA7971" w:rsidP="00DD6EAC">
      <w:pPr>
        <w:spacing w:line="360" w:lineRule="auto"/>
      </w:pPr>
      <w:r>
        <w:t>Besselaar,</w:t>
      </w:r>
      <w:r w:rsidRPr="001F0091">
        <w:t xml:space="preserve"> </w:t>
      </w:r>
      <w:r>
        <w:t xml:space="preserve">J.F.C., </w:t>
      </w:r>
      <w:r w:rsidRPr="001F0091">
        <w:t>Doel en strekking van fraus legis</w:t>
      </w:r>
      <w:r>
        <w:t>, WFR1990/5903</w:t>
      </w:r>
    </w:p>
    <w:p w:rsidR="00BA7971" w:rsidRDefault="00BA7971" w:rsidP="00FC0C4A">
      <w:pPr>
        <w:spacing w:line="360" w:lineRule="auto"/>
      </w:pPr>
      <w:r>
        <w:t xml:space="preserve">Blieck, L.A.de, Amersfoort, P.J. van, </w:t>
      </w:r>
      <w:r w:rsidRPr="00C23AF7">
        <w:t>en anderen</w:t>
      </w:r>
      <w:r>
        <w:t>, Algemene Wet inzake rijksbelastingen, Kluwer, Deventer, 2009, 8</w:t>
      </w:r>
      <w:r w:rsidRPr="00F401E6">
        <w:rPr>
          <w:vertAlign w:val="superscript"/>
        </w:rPr>
        <w:t>ste</w:t>
      </w:r>
      <w:r>
        <w:t xml:space="preserve"> druk.</w:t>
      </w:r>
    </w:p>
    <w:p w:rsidR="00BA7971" w:rsidRDefault="00BA7971" w:rsidP="00DD6EAC">
      <w:pPr>
        <w:spacing w:line="360" w:lineRule="auto"/>
      </w:pPr>
      <w:r w:rsidRPr="00D62C34">
        <w:t>Faber</w:t>
      </w:r>
      <w:r>
        <w:t>,</w:t>
      </w:r>
      <w:r w:rsidRPr="00D62C34">
        <w:t xml:space="preserve"> S.E. en Geld</w:t>
      </w:r>
      <w:r>
        <w:t>,</w:t>
      </w:r>
      <w:r w:rsidRPr="00D62C34">
        <w:t xml:space="preserve"> J.A.G.</w:t>
      </w:r>
      <w:r>
        <w:t xml:space="preserve"> </w:t>
      </w:r>
      <w:r w:rsidRPr="00D62C34">
        <w:t xml:space="preserve">van der, </w:t>
      </w:r>
      <w:r w:rsidRPr="00B335FF">
        <w:t>Het wetsvoorstel tegen winstdrainage en van de versterking van de fiscale infracstructuur</w:t>
      </w:r>
      <w:r w:rsidRPr="00D62C34">
        <w:t>, WFR1996/</w:t>
      </w:r>
      <w:r>
        <w:t>6200</w:t>
      </w:r>
    </w:p>
    <w:p w:rsidR="00BA7971" w:rsidRDefault="00BA7971" w:rsidP="00FC0C4A">
      <w:pPr>
        <w:spacing w:line="360" w:lineRule="auto"/>
      </w:pPr>
      <w:r>
        <w:t>Ijzerman,</w:t>
      </w:r>
      <w:r w:rsidRPr="00742BB9">
        <w:t xml:space="preserve"> </w:t>
      </w:r>
      <w:r>
        <w:t xml:space="preserve">R.L.H., </w:t>
      </w:r>
      <w:r w:rsidRPr="00742BB9">
        <w:t>Het leerstuk van wetsontduiking in het belastingrecht</w:t>
      </w:r>
      <w:r>
        <w:t>, Kluwer, Deventer, 1991.</w:t>
      </w:r>
    </w:p>
    <w:p w:rsidR="00BA7971" w:rsidRDefault="00BA7971" w:rsidP="00DD6EAC">
      <w:pPr>
        <w:spacing w:line="360" w:lineRule="auto"/>
      </w:pPr>
      <w:r>
        <w:t>Kruiswijk</w:t>
      </w:r>
      <w:r w:rsidRPr="00B70E04">
        <w:t xml:space="preserve"> </w:t>
      </w:r>
      <w:r>
        <w:t xml:space="preserve">A., </w:t>
      </w:r>
      <w:r w:rsidRPr="00B70E04">
        <w:t>De winstdrainageregelingen en het leerstuk van de wetsontduiking</w:t>
      </w:r>
      <w:r>
        <w:t>, WFR 2002/6501.</w:t>
      </w:r>
    </w:p>
    <w:p w:rsidR="00BA7971" w:rsidRDefault="00BA7971" w:rsidP="00DD6EAC">
      <w:pPr>
        <w:spacing w:line="360" w:lineRule="auto"/>
      </w:pPr>
      <w:r>
        <w:t xml:space="preserve">Litjens, F.P.J., </w:t>
      </w:r>
      <w:r w:rsidRPr="00467165">
        <w:t>Richtige heffing en fraus legis</w:t>
      </w:r>
      <w:r>
        <w:t>, WFR 1985/5705.</w:t>
      </w:r>
    </w:p>
    <w:p w:rsidR="00BA7971" w:rsidRDefault="00BA7971" w:rsidP="00DD6EAC">
      <w:pPr>
        <w:spacing w:line="360" w:lineRule="auto"/>
      </w:pPr>
      <w:r w:rsidRPr="00AA587D">
        <w:t>Marres, O.C.R.</w:t>
      </w:r>
      <w:r>
        <w:t>,</w:t>
      </w:r>
      <w:r w:rsidRPr="00AA587D">
        <w:t xml:space="preserve"> Fraus legis blijft een krachtig wapen tegen winstdrainage, WFR 2008/</w:t>
      </w:r>
      <w:r>
        <w:t>6793</w:t>
      </w:r>
    </w:p>
    <w:p w:rsidR="00BA7971" w:rsidRDefault="00BA7971" w:rsidP="00DD6EAC">
      <w:pPr>
        <w:spacing w:line="360" w:lineRule="auto"/>
      </w:pPr>
      <w:r w:rsidRPr="00E63DB3">
        <w:t>Michielse,</w:t>
      </w:r>
      <w:r>
        <w:t xml:space="preserve"> </w:t>
      </w:r>
      <w:r w:rsidRPr="00E63DB3">
        <w:t>G.M.M.</w:t>
      </w:r>
      <w:r>
        <w:t xml:space="preserve">, </w:t>
      </w:r>
      <w:r w:rsidRPr="00374EE8">
        <w:t>De buitenlandse ‘compenserende heffingsgrondslag’: een bananenschil</w:t>
      </w:r>
      <w:r w:rsidRPr="00E63DB3">
        <w:t>, WFR 1996/</w:t>
      </w:r>
      <w:r>
        <w:t>6186.</w:t>
      </w:r>
    </w:p>
    <w:p w:rsidR="00BA7971" w:rsidRPr="007F3DDF" w:rsidRDefault="00BA7971" w:rsidP="00FC0C4A">
      <w:pPr>
        <w:spacing w:line="360" w:lineRule="auto"/>
        <w:rPr>
          <w:lang w:val="de-DE"/>
        </w:rPr>
      </w:pPr>
      <w:r w:rsidRPr="007F3DDF">
        <w:rPr>
          <w:lang w:val="de-DE"/>
        </w:rPr>
        <w:t>Niessen R.E.C.M., Richtige heffing en fraus legis, Gouda Quint, Arnhem, 1985.</w:t>
      </w:r>
    </w:p>
    <w:p w:rsidR="00BA7971" w:rsidRDefault="00BA7971" w:rsidP="00FC0C4A">
      <w:pPr>
        <w:spacing w:line="360" w:lineRule="auto"/>
      </w:pPr>
      <w:r w:rsidRPr="004A5A48">
        <w:t>Niessen-Cobben</w:t>
      </w:r>
      <w:r>
        <w:t>,</w:t>
      </w:r>
      <w:r w:rsidRPr="006A52F7">
        <w:t xml:space="preserve"> </w:t>
      </w:r>
      <w:r>
        <w:t>R.M.P.G.</w:t>
      </w:r>
      <w:r w:rsidRPr="004A5A48">
        <w:t>,</w:t>
      </w:r>
      <w:r>
        <w:t xml:space="preserve"> </w:t>
      </w:r>
      <w:r w:rsidRPr="00B167CD">
        <w:t>Wegwijs in de Algemene Wet inzake rijksbelastingen</w:t>
      </w:r>
      <w:r>
        <w:t>, Sdu Fiscale &amp; Financiële Uitgevers, Amersfoort, 2005, 5</w:t>
      </w:r>
      <w:r w:rsidRPr="005D463F">
        <w:rPr>
          <w:vertAlign w:val="superscript"/>
        </w:rPr>
        <w:t>de</w:t>
      </w:r>
      <w:r>
        <w:t xml:space="preserve"> druk.</w:t>
      </w:r>
    </w:p>
    <w:p w:rsidR="00BA7971" w:rsidRDefault="00BA7971" w:rsidP="00DD6EAC">
      <w:pPr>
        <w:spacing w:line="360" w:lineRule="auto"/>
      </w:pPr>
      <w:r w:rsidRPr="00D62C34">
        <w:t>Soeten, G.H.de</w:t>
      </w:r>
      <w:r>
        <w:t xml:space="preserve">, </w:t>
      </w:r>
      <w:r w:rsidRPr="004D3FE2">
        <w:t>Winstdrainage,</w:t>
      </w:r>
      <w:r w:rsidRPr="00D62C34">
        <w:t xml:space="preserve"> WFR 2002/</w:t>
      </w:r>
      <w:r>
        <w:t>6483</w:t>
      </w:r>
    </w:p>
    <w:p w:rsidR="00BA7971" w:rsidRDefault="00BA7971" w:rsidP="00FC0C4A">
      <w:pPr>
        <w:spacing w:line="360" w:lineRule="auto"/>
      </w:pPr>
      <w:r>
        <w:t xml:space="preserve">Stevens, L.G.M., </w:t>
      </w:r>
      <w:r w:rsidRPr="001F0BBB">
        <w:t>Elementair belastingrecht voor economen en bedrijfsjuristen</w:t>
      </w:r>
      <w:r>
        <w:t>, Kluwer, Deventer 2009, 25</w:t>
      </w:r>
      <w:r w:rsidRPr="00D3218B">
        <w:rPr>
          <w:vertAlign w:val="superscript"/>
        </w:rPr>
        <w:t>ste</w:t>
      </w:r>
      <w:r>
        <w:t xml:space="preserve"> druk.</w:t>
      </w:r>
    </w:p>
    <w:p w:rsidR="00BA7971" w:rsidRDefault="00BA7971" w:rsidP="00FC0C4A">
      <w:pPr>
        <w:spacing w:line="360" w:lineRule="auto"/>
      </w:pPr>
      <w:r w:rsidRPr="00DC0D7E">
        <w:t>Strik</w:t>
      </w:r>
      <w:r>
        <w:t>,</w:t>
      </w:r>
      <w:r w:rsidRPr="00C23AF7">
        <w:t xml:space="preserve"> </w:t>
      </w:r>
      <w:r w:rsidRPr="00DC0D7E">
        <w:t>S.A.W.J</w:t>
      </w:r>
      <w:r>
        <w:t xml:space="preserve">. en </w:t>
      </w:r>
      <w:r w:rsidRPr="00DC0D7E">
        <w:t>Vries</w:t>
      </w:r>
      <w:r>
        <w:t>,</w:t>
      </w:r>
      <w:r w:rsidRPr="00DC0D7E">
        <w:t xml:space="preserve"> N.H. de, </w:t>
      </w:r>
      <w:r>
        <w:t>Studenteneditie 2009-2010 Cursus Belastingrecht</w:t>
      </w:r>
      <w:r w:rsidRPr="00295794">
        <w:t xml:space="preserve"> Vennootschapsbelasting</w:t>
      </w:r>
      <w:r w:rsidRPr="00DC0D7E">
        <w:rPr>
          <w:i/>
        </w:rPr>
        <w:t xml:space="preserve">, </w:t>
      </w:r>
      <w:r w:rsidRPr="00DC0D7E">
        <w:t>Kluwer</w:t>
      </w:r>
      <w:r>
        <w:t>,</w:t>
      </w:r>
      <w:r w:rsidRPr="00DC0D7E">
        <w:t xml:space="preserve"> </w:t>
      </w:r>
      <w:r>
        <w:t>Deventer,</w:t>
      </w:r>
      <w:r w:rsidRPr="00DC0D7E">
        <w:t xml:space="preserve"> 2010</w:t>
      </w:r>
      <w:r>
        <w:t>.</w:t>
      </w:r>
    </w:p>
    <w:p w:rsidR="00BA7971" w:rsidRDefault="00BA7971" w:rsidP="00FC0C4A">
      <w:pPr>
        <w:spacing w:line="360" w:lineRule="auto"/>
      </w:pPr>
      <w:r w:rsidRPr="00190E6D">
        <w:t>VS Algemeen deel, Algemene wet inzake r</w:t>
      </w:r>
      <w:r>
        <w:t xml:space="preserve">ijksbelastingen, Artikelsgewijs </w:t>
      </w:r>
      <w:r w:rsidRPr="00190E6D">
        <w:t>commentaa</w:t>
      </w:r>
      <w:r>
        <w:t>r, artikel 31 Richtige heffing.</w:t>
      </w:r>
    </w:p>
    <w:p w:rsidR="00BA7971" w:rsidRDefault="00BA7971" w:rsidP="00FC0C4A">
      <w:pPr>
        <w:spacing w:line="360" w:lineRule="auto"/>
      </w:pPr>
      <w:r w:rsidRPr="006136FF">
        <w:t>VS Algemeen deel, Overige teksten bij deze wet, Algemeen, Algemene leerstukken, deel 6 Fraus legis en richtige heffing</w:t>
      </w:r>
      <w:r>
        <w:t>.</w:t>
      </w:r>
    </w:p>
    <w:p w:rsidR="00BA7971" w:rsidRDefault="00BA7971" w:rsidP="00FC0C4A">
      <w:pPr>
        <w:spacing w:line="360" w:lineRule="auto"/>
      </w:pPr>
      <w:r w:rsidRPr="00013FA3">
        <w:t xml:space="preserve">VS Wet Vennootschapsbelasting ’69, artikelsgewijs commentaar, </w:t>
      </w:r>
      <w:r>
        <w:t>Artikel</w:t>
      </w:r>
      <w:r w:rsidRPr="00013FA3">
        <w:t xml:space="preserve"> 10a</w:t>
      </w:r>
      <w:r>
        <w:t xml:space="preserve">. </w:t>
      </w:r>
      <w:r w:rsidRPr="00013FA3">
        <w:t>Beperking in geval van winstdrainage, paragraaf 1.4 Doel en strekking</w:t>
      </w:r>
    </w:p>
    <w:p w:rsidR="00BA7971" w:rsidRDefault="00BA7971" w:rsidP="00FC0C4A">
      <w:pPr>
        <w:spacing w:line="360" w:lineRule="auto"/>
      </w:pPr>
    </w:p>
    <w:p w:rsidR="00BA7971" w:rsidRPr="003F31D8" w:rsidRDefault="00BA7971" w:rsidP="00D16843">
      <w:pPr>
        <w:widowControl/>
        <w:suppressAutoHyphens w:val="0"/>
        <w:spacing w:after="200" w:line="276" w:lineRule="auto"/>
        <w:ind w:left="708" w:firstLine="708"/>
        <w:jc w:val="right"/>
        <w:rPr>
          <w:b/>
          <w:i/>
          <w:sz w:val="22"/>
          <w:szCs w:val="22"/>
        </w:rPr>
      </w:pPr>
      <w:r>
        <w:rPr>
          <w:b/>
          <w:sz w:val="28"/>
          <w:szCs w:val="28"/>
        </w:rPr>
        <w:br w:type="page"/>
      </w:r>
      <w:r w:rsidRPr="003F31D8">
        <w:rPr>
          <w:b/>
          <w:i/>
          <w:sz w:val="22"/>
          <w:szCs w:val="22"/>
        </w:rPr>
        <w:t>Bronvermelding</w:t>
      </w:r>
    </w:p>
    <w:p w:rsidR="00BA7971" w:rsidRDefault="00BA7971" w:rsidP="003F31D8">
      <w:pPr>
        <w:pBdr>
          <w:top w:val="single" w:sz="4" w:space="1" w:color="auto"/>
        </w:pBdr>
        <w:spacing w:line="360" w:lineRule="auto"/>
        <w:jc w:val="center"/>
        <w:rPr>
          <w:b/>
          <w:sz w:val="28"/>
          <w:szCs w:val="28"/>
        </w:rPr>
      </w:pPr>
    </w:p>
    <w:p w:rsidR="00BA7971" w:rsidRPr="00195308" w:rsidRDefault="00BA7971" w:rsidP="00FC0C4A">
      <w:pPr>
        <w:spacing w:line="360" w:lineRule="auto"/>
        <w:jc w:val="center"/>
        <w:rPr>
          <w:b/>
          <w:sz w:val="28"/>
          <w:szCs w:val="28"/>
        </w:rPr>
      </w:pPr>
      <w:r w:rsidRPr="00195308">
        <w:rPr>
          <w:b/>
          <w:sz w:val="28"/>
          <w:szCs w:val="28"/>
        </w:rPr>
        <w:t>Kamerstukken</w:t>
      </w:r>
    </w:p>
    <w:p w:rsidR="00BA7971" w:rsidRDefault="00BA7971" w:rsidP="00FC0C4A">
      <w:pPr>
        <w:spacing w:line="360" w:lineRule="auto"/>
      </w:pPr>
      <w:r w:rsidRPr="00026841">
        <w:t xml:space="preserve">Kamerstukken II, </w:t>
      </w:r>
      <w:r>
        <w:t xml:space="preserve">vergaderjaar </w:t>
      </w:r>
      <w:r w:rsidRPr="00026841">
        <w:t>1995</w:t>
      </w:r>
      <w:r>
        <w:t>-19</w:t>
      </w:r>
      <w:r w:rsidRPr="00026841">
        <w:t>96, 24696, nr. 3</w:t>
      </w:r>
      <w:r>
        <w:t>.</w:t>
      </w:r>
    </w:p>
    <w:p w:rsidR="00BA7971" w:rsidRDefault="00BA7971" w:rsidP="00FC0C4A">
      <w:pPr>
        <w:spacing w:line="360" w:lineRule="auto"/>
      </w:pPr>
      <w:r>
        <w:t>Kamerstukken II,</w:t>
      </w:r>
      <w:r w:rsidRPr="006B7D18">
        <w:t xml:space="preserve"> </w:t>
      </w:r>
      <w:r>
        <w:t xml:space="preserve">vergaderjaar </w:t>
      </w:r>
      <w:r w:rsidRPr="006B7D18">
        <w:t>2005-2006, 30572, nr. 3</w:t>
      </w:r>
      <w:r>
        <w:t>.</w:t>
      </w:r>
    </w:p>
    <w:p w:rsidR="00BA7971" w:rsidRDefault="00BA7971" w:rsidP="00FC0C4A">
      <w:pPr>
        <w:spacing w:line="360" w:lineRule="auto"/>
      </w:pPr>
      <w:r>
        <w:t>Kamerstukken II,</w:t>
      </w:r>
      <w:r w:rsidRPr="006B7D18">
        <w:t xml:space="preserve"> </w:t>
      </w:r>
      <w:r>
        <w:t xml:space="preserve">vergaderjaar </w:t>
      </w:r>
      <w:r w:rsidRPr="006B7D18">
        <w:t xml:space="preserve">2005-2006, 30572, nr. </w:t>
      </w:r>
      <w:r>
        <w:t>4.</w:t>
      </w:r>
    </w:p>
    <w:p w:rsidR="00BA7971" w:rsidRDefault="00BA7971" w:rsidP="00FC0C4A">
      <w:pPr>
        <w:spacing w:line="360" w:lineRule="auto"/>
      </w:pPr>
      <w:r>
        <w:t>Kamerstukken II,</w:t>
      </w:r>
      <w:r w:rsidRPr="006B7D18">
        <w:t xml:space="preserve"> </w:t>
      </w:r>
      <w:r>
        <w:t xml:space="preserve">vergaderjaar </w:t>
      </w:r>
      <w:r w:rsidRPr="006B7D18">
        <w:t xml:space="preserve">2005-2006, 30572, nr. </w:t>
      </w:r>
      <w:r>
        <w:t>8</w:t>
      </w:r>
    </w:p>
    <w:p w:rsidR="00BA7971" w:rsidRDefault="00BA7971" w:rsidP="00FC0C4A">
      <w:pPr>
        <w:spacing w:line="360" w:lineRule="auto"/>
      </w:pPr>
      <w:r w:rsidRPr="0022081B">
        <w:t xml:space="preserve">Kamerstukken II, </w:t>
      </w:r>
      <w:r>
        <w:t xml:space="preserve">vergaderjaar </w:t>
      </w:r>
      <w:r w:rsidRPr="0022081B">
        <w:t>2008-2009, 31 369, nr. 6</w:t>
      </w:r>
      <w:r>
        <w:t>, “Consultatiedocument”</w:t>
      </w:r>
    </w:p>
    <w:p w:rsidR="00BA7971" w:rsidRDefault="00BA7971" w:rsidP="00FC0C4A">
      <w:pPr>
        <w:spacing w:line="360" w:lineRule="auto"/>
      </w:pPr>
      <w:r>
        <w:t>Persbericht Ministerie van Financiën van 29 juli 1987, nr. 87/222</w:t>
      </w:r>
    </w:p>
    <w:p w:rsidR="00BA7971" w:rsidRDefault="00BA7971" w:rsidP="00FC0C4A">
      <w:pPr>
        <w:spacing w:line="360" w:lineRule="auto"/>
      </w:pPr>
      <w:r w:rsidRPr="0022081B">
        <w:t>Brief Staatssecretaris van Financiën van 5 december 2009, nr. DB2009/674M</w:t>
      </w:r>
      <w:r>
        <w:t>, “Sinterklaasbrief”</w:t>
      </w:r>
    </w:p>
    <w:p w:rsidR="00BA7971" w:rsidRDefault="00BA7971" w:rsidP="00FC0C4A">
      <w:pPr>
        <w:spacing w:line="360" w:lineRule="auto"/>
        <w:jc w:val="center"/>
        <w:rPr>
          <w:sz w:val="28"/>
          <w:szCs w:val="28"/>
        </w:rPr>
      </w:pPr>
    </w:p>
    <w:p w:rsidR="00BA7971" w:rsidRPr="007F3DDF" w:rsidRDefault="00BA7971" w:rsidP="00FC0C4A">
      <w:pPr>
        <w:spacing w:line="360" w:lineRule="auto"/>
        <w:jc w:val="center"/>
        <w:rPr>
          <w:b/>
          <w:sz w:val="28"/>
          <w:szCs w:val="28"/>
          <w:lang w:val="de-DE"/>
        </w:rPr>
      </w:pPr>
      <w:r w:rsidRPr="007F3DDF">
        <w:rPr>
          <w:b/>
          <w:sz w:val="28"/>
          <w:szCs w:val="28"/>
          <w:lang w:val="de-DE"/>
        </w:rPr>
        <w:t>Jurisprudentie</w:t>
      </w:r>
    </w:p>
    <w:p w:rsidR="00BA7971" w:rsidRPr="007F3DDF" w:rsidRDefault="00BA7971" w:rsidP="00FC0C4A">
      <w:pPr>
        <w:spacing w:line="360" w:lineRule="auto"/>
        <w:rPr>
          <w:lang w:val="de-DE"/>
        </w:rPr>
      </w:pPr>
      <w:r w:rsidRPr="007F3DDF">
        <w:rPr>
          <w:iCs/>
          <w:color w:val="000000"/>
          <w:lang w:val="de-DE"/>
        </w:rPr>
        <w:t xml:space="preserve">HR 21 september 1983, nr. 22 060, BNB 1983/316 </w:t>
      </w:r>
    </w:p>
    <w:p w:rsidR="00BA7971" w:rsidRPr="007F3DDF" w:rsidRDefault="00BA7971" w:rsidP="00FC0C4A">
      <w:pPr>
        <w:spacing w:line="360" w:lineRule="auto"/>
        <w:rPr>
          <w:sz w:val="28"/>
          <w:szCs w:val="28"/>
          <w:lang w:val="de-DE"/>
        </w:rPr>
      </w:pPr>
      <w:r w:rsidRPr="007F3DDF">
        <w:rPr>
          <w:iCs/>
          <w:lang w:val="de-DE"/>
        </w:rPr>
        <w:t>HR 21 november 1984, nr. 22 092, BNB1985/32</w:t>
      </w:r>
    </w:p>
    <w:p w:rsidR="00BA7971" w:rsidRPr="007F3DDF" w:rsidRDefault="00BA7971" w:rsidP="00FC0C4A">
      <w:pPr>
        <w:spacing w:line="360" w:lineRule="auto"/>
        <w:rPr>
          <w:bCs/>
          <w:iCs/>
          <w:lang w:val="de-DE"/>
        </w:rPr>
      </w:pPr>
      <w:r w:rsidRPr="007F3DDF">
        <w:rPr>
          <w:lang w:val="de-DE"/>
        </w:rPr>
        <w:t>HR 26 april 1989, nr. 24 446, BNB 1989/217</w:t>
      </w:r>
    </w:p>
    <w:p w:rsidR="00BA7971" w:rsidRPr="007F3DDF" w:rsidRDefault="00BA7971" w:rsidP="00FC0C4A">
      <w:pPr>
        <w:spacing w:line="360" w:lineRule="auto"/>
        <w:rPr>
          <w:lang w:val="de-DE"/>
        </w:rPr>
      </w:pPr>
      <w:r w:rsidRPr="007F3DDF">
        <w:rPr>
          <w:bCs/>
          <w:iCs/>
          <w:lang w:val="de-DE"/>
        </w:rPr>
        <w:t>HR 11 juli 1990, nr. 26 306, BNB 1990/293</w:t>
      </w:r>
    </w:p>
    <w:p w:rsidR="00BA7971" w:rsidRPr="007F3DDF" w:rsidRDefault="00BA7971" w:rsidP="00FC0C4A">
      <w:pPr>
        <w:spacing w:line="360" w:lineRule="auto"/>
        <w:rPr>
          <w:lang w:val="de-DE"/>
        </w:rPr>
      </w:pPr>
      <w:r w:rsidRPr="007F3DDF">
        <w:rPr>
          <w:lang w:val="de-DE"/>
        </w:rPr>
        <w:t>HR 10 maart 1993, nr. 27 992, BNB1993/195</w:t>
      </w:r>
    </w:p>
    <w:p w:rsidR="00BA7971" w:rsidRPr="007F3DDF" w:rsidRDefault="00BA7971" w:rsidP="00FC0C4A">
      <w:pPr>
        <w:spacing w:line="360" w:lineRule="auto"/>
        <w:rPr>
          <w:lang w:val="de-DE"/>
        </w:rPr>
      </w:pPr>
      <w:r w:rsidRPr="007F3DDF">
        <w:rPr>
          <w:lang w:val="de-DE"/>
        </w:rPr>
        <w:t>HR 10 maart 1993, nr. 28 484, BNB 1993/197</w:t>
      </w:r>
    </w:p>
    <w:p w:rsidR="00BA7971" w:rsidRPr="007F3DDF" w:rsidRDefault="00BA7971" w:rsidP="00FC0C4A">
      <w:pPr>
        <w:spacing w:line="360" w:lineRule="auto"/>
        <w:rPr>
          <w:lang w:val="de-DE"/>
        </w:rPr>
      </w:pPr>
      <w:r w:rsidRPr="007F3DDF">
        <w:rPr>
          <w:lang w:val="de-DE"/>
        </w:rPr>
        <w:t>HR 6 september 1995, nr. 27 927, BNB 1996/4c, Bovag-arrest</w:t>
      </w:r>
    </w:p>
    <w:p w:rsidR="00BA7971" w:rsidRPr="007F3DDF" w:rsidRDefault="00BA7971" w:rsidP="00FC0C4A">
      <w:pPr>
        <w:pStyle w:val="FootnoteText"/>
        <w:spacing w:line="360" w:lineRule="auto"/>
        <w:ind w:left="0" w:firstLine="0"/>
        <w:rPr>
          <w:sz w:val="24"/>
          <w:szCs w:val="24"/>
          <w:lang w:val="de-DE"/>
        </w:rPr>
      </w:pPr>
      <w:r w:rsidRPr="007F3DDF">
        <w:rPr>
          <w:rFonts w:cs="Times New Roman"/>
          <w:sz w:val="24"/>
          <w:szCs w:val="24"/>
          <w:lang w:val="de-DE"/>
        </w:rPr>
        <w:t>HR 20 september 1995, nr. 29737, BNB 1996/5, Plc-arrest</w:t>
      </w:r>
    </w:p>
    <w:p w:rsidR="00BA7971" w:rsidRPr="007F3DDF" w:rsidRDefault="00BA7971" w:rsidP="00FC0C4A">
      <w:pPr>
        <w:spacing w:line="360" w:lineRule="auto"/>
        <w:rPr>
          <w:lang w:val="de-DE"/>
        </w:rPr>
      </w:pPr>
      <w:r w:rsidRPr="007F3DDF">
        <w:rPr>
          <w:lang w:val="de-DE"/>
        </w:rPr>
        <w:t>HR 27 september 1995, nr. 30400, BNB 1996/6, Noorwegen-arrest</w:t>
      </w:r>
    </w:p>
    <w:p w:rsidR="00BA7971" w:rsidRDefault="00BA7971" w:rsidP="00FC0C4A">
      <w:pPr>
        <w:pStyle w:val="FootnoteText"/>
        <w:spacing w:line="360" w:lineRule="auto"/>
        <w:rPr>
          <w:lang w:val="nl-NL"/>
        </w:rPr>
      </w:pPr>
      <w:r w:rsidRPr="00273812">
        <w:rPr>
          <w:rFonts w:eastAsia="Arial Unicode MS" w:cs="Times New Roman"/>
          <w:sz w:val="24"/>
          <w:szCs w:val="24"/>
          <w:lang w:val="nl-NL"/>
        </w:rPr>
        <w:t xml:space="preserve">Hof ’s-Hertogenbosch, MK III, 8 februari </w:t>
      </w:r>
      <w:r w:rsidRPr="00273812">
        <w:rPr>
          <w:rStyle w:val="highlight1"/>
          <w:rFonts w:eastAsia="Arial Unicode MS"/>
          <w:sz w:val="24"/>
          <w:szCs w:val="24"/>
          <w:lang w:val="nl-NL"/>
        </w:rPr>
        <w:t>2002</w:t>
      </w:r>
      <w:r w:rsidRPr="00273812">
        <w:rPr>
          <w:rFonts w:eastAsia="Arial Unicode MS" w:cs="Times New Roman"/>
          <w:sz w:val="24"/>
          <w:szCs w:val="24"/>
          <w:lang w:val="nl-NL"/>
        </w:rPr>
        <w:t>, nr. 98/0852</w:t>
      </w:r>
      <w:r w:rsidRPr="00273812">
        <w:rPr>
          <w:rFonts w:cs="Times New Roman"/>
          <w:sz w:val="24"/>
          <w:szCs w:val="24"/>
          <w:lang w:val="nl-NL"/>
        </w:rPr>
        <w:t>,</w:t>
      </w:r>
      <w:r w:rsidRPr="00273812">
        <w:rPr>
          <w:sz w:val="24"/>
          <w:szCs w:val="24"/>
          <w:lang w:val="nl-NL"/>
        </w:rPr>
        <w:t xml:space="preserve"> V-N 2002/23.17</w:t>
      </w:r>
      <w:r w:rsidRPr="00273812">
        <w:rPr>
          <w:lang w:val="nl-NL"/>
        </w:rPr>
        <w:t xml:space="preserve"> </w:t>
      </w:r>
    </w:p>
    <w:p w:rsidR="00BA7971" w:rsidRPr="00E45E71" w:rsidRDefault="00BA7971" w:rsidP="00FC0C4A">
      <w:pPr>
        <w:pStyle w:val="FootnoteText"/>
        <w:spacing w:line="360" w:lineRule="auto"/>
        <w:rPr>
          <w:sz w:val="24"/>
          <w:szCs w:val="24"/>
          <w:lang w:val="nl-NL"/>
        </w:rPr>
      </w:pPr>
      <w:r w:rsidRPr="00E45E71">
        <w:rPr>
          <w:sz w:val="24"/>
          <w:szCs w:val="24"/>
          <w:lang w:val="nl-NL"/>
        </w:rPr>
        <w:t>HR 8 februari 2002, nr. 36 358</w:t>
      </w:r>
      <w:r>
        <w:rPr>
          <w:sz w:val="24"/>
          <w:szCs w:val="24"/>
          <w:lang w:val="nl-NL"/>
        </w:rPr>
        <w:t>,</w:t>
      </w:r>
      <w:r w:rsidRPr="00E45E71">
        <w:rPr>
          <w:sz w:val="24"/>
          <w:szCs w:val="24"/>
          <w:lang w:val="nl-NL"/>
        </w:rPr>
        <w:t xml:space="preserve"> BNB 2002/118</w:t>
      </w:r>
    </w:p>
    <w:p w:rsidR="00BA7971" w:rsidRPr="00BD515A" w:rsidRDefault="00BA7971" w:rsidP="00FC0C4A">
      <w:pPr>
        <w:spacing w:line="360" w:lineRule="auto"/>
      </w:pPr>
      <w:r w:rsidRPr="00BD515A">
        <w:rPr>
          <w:color w:val="000000"/>
          <w:lang w:eastAsia="nl-NL"/>
        </w:rPr>
        <w:t>Hof ’s-Gravenhage, MK I, 31 januari 2003, nr. 01/2644, VN 2003/28.1.20</w:t>
      </w:r>
    </w:p>
    <w:p w:rsidR="00BA7971" w:rsidRPr="004D7710" w:rsidRDefault="00BA7971" w:rsidP="00FC0C4A">
      <w:pPr>
        <w:spacing w:line="360" w:lineRule="auto"/>
      </w:pPr>
      <w:r w:rsidRPr="009E3887">
        <w:t>HR 17 december 2004, nr. 39080, BNB 2005/169c</w:t>
      </w:r>
      <w:r>
        <w:t>, Ierland-arrest</w:t>
      </w:r>
    </w:p>
    <w:p w:rsidR="00BA7971" w:rsidRDefault="00BA7971" w:rsidP="00FC0C4A">
      <w:pPr>
        <w:spacing w:line="360" w:lineRule="auto"/>
      </w:pPr>
      <w:r>
        <w:t xml:space="preserve">Hof ’s </w:t>
      </w:r>
      <w:r w:rsidRPr="00976B76">
        <w:t xml:space="preserve">Hertogenbosch, MK IV, 17 mei </w:t>
      </w:r>
      <w:r w:rsidRPr="00976B76">
        <w:rPr>
          <w:rStyle w:val="highlight1"/>
        </w:rPr>
        <w:t>2006</w:t>
      </w:r>
      <w:r w:rsidRPr="00976B76">
        <w:t>, nr. 04/2493, VN 2006/45.1.5</w:t>
      </w:r>
    </w:p>
    <w:p w:rsidR="00BA7971" w:rsidRPr="007F3DDF" w:rsidRDefault="00BA7971" w:rsidP="00FC0C4A">
      <w:pPr>
        <w:spacing w:line="360" w:lineRule="auto"/>
        <w:rPr>
          <w:sz w:val="28"/>
          <w:szCs w:val="28"/>
          <w:lang w:val="de-DE"/>
        </w:rPr>
      </w:pPr>
      <w:r w:rsidRPr="007F3DDF">
        <w:rPr>
          <w:lang w:val="de-DE"/>
        </w:rPr>
        <w:t>HR 11 juli 2008, nr. 43376, V-N 2008/34.15</w:t>
      </w:r>
    </w:p>
    <w:p w:rsidR="00BA7971" w:rsidRPr="007F3DDF" w:rsidRDefault="00BA7971" w:rsidP="00C25509">
      <w:pPr>
        <w:spacing w:line="360" w:lineRule="auto"/>
        <w:rPr>
          <w:lang w:val="de-DE"/>
        </w:rPr>
      </w:pPr>
    </w:p>
    <w:sectPr w:rsidR="00BA7971" w:rsidRPr="007F3DDF" w:rsidSect="004414B3">
      <w:footerReference w:type="default" r:id="rId8"/>
      <w:footerReference w:type="first" r:id="rId9"/>
      <w:pgSz w:w="11906" w:h="16838"/>
      <w:pgMar w:top="1135" w:right="1417" w:bottom="1417" w:left="1417" w:header="708" w:footer="708" w:gutter="0"/>
      <w:pgNumType w:start="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7971" w:rsidRDefault="00BA7971" w:rsidP="00D73D49">
      <w:r>
        <w:separator/>
      </w:r>
    </w:p>
  </w:endnote>
  <w:endnote w:type="continuationSeparator" w:id="0">
    <w:p w:rsidR="00BA7971" w:rsidRDefault="00BA7971" w:rsidP="00D73D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us">
    <w:panose1 w:val="0201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00"/>
    <w:family w:val="roman"/>
    <w:pitch w:val="variable"/>
    <w:sig w:usb0="01000003" w:usb1="00000000" w:usb2="00000000" w:usb3="00000000" w:csb0="0001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971" w:rsidRDefault="00BA7971">
    <w:pPr>
      <w:pStyle w:val="Footer"/>
      <w:jc w:val="center"/>
    </w:pPr>
  </w:p>
  <w:p w:rsidR="00BA7971" w:rsidRDefault="00BA7971">
    <w:pPr>
      <w:pStyle w:val="Footer"/>
      <w:jc w:val="center"/>
    </w:pPr>
    <w:fldSimple w:instr=" PAGE    \* MERGEFORMAT ">
      <w:r>
        <w:rPr>
          <w:noProof/>
        </w:rPr>
        <w:t>36</w:t>
      </w:r>
    </w:fldSimple>
  </w:p>
  <w:p w:rsidR="00BA7971" w:rsidRDefault="00BA79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7971" w:rsidRDefault="00BA7971">
    <w:pPr>
      <w:pStyle w:val="Footer"/>
      <w:jc w:val="center"/>
    </w:pPr>
  </w:p>
  <w:p w:rsidR="00BA7971" w:rsidRDefault="00BA7971">
    <w:pPr>
      <w:pStyle w:val="Footer"/>
      <w:jc w:val="center"/>
    </w:pPr>
  </w:p>
  <w:p w:rsidR="00BA7971" w:rsidRDefault="00BA79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7971" w:rsidRDefault="00BA7971" w:rsidP="00D73D49">
      <w:r>
        <w:separator/>
      </w:r>
    </w:p>
  </w:footnote>
  <w:footnote w:type="continuationSeparator" w:id="0">
    <w:p w:rsidR="00BA7971" w:rsidRDefault="00BA7971" w:rsidP="00D73D49">
      <w:r>
        <w:continuationSeparator/>
      </w:r>
    </w:p>
  </w:footnote>
  <w:footnote w:id="1">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w:t>
      </w:r>
      <w:r>
        <w:rPr>
          <w:lang w:val="nl-NL"/>
        </w:rPr>
        <w:t>S.A.W.J. Strik en</w:t>
      </w:r>
      <w:r w:rsidRPr="00DD5D77">
        <w:rPr>
          <w:lang w:val="nl-NL"/>
        </w:rPr>
        <w:t xml:space="preserve"> N.H. de Vries, Studenteneditie 2009-2010 </w:t>
      </w:r>
      <w:r w:rsidRPr="00DD5D77">
        <w:rPr>
          <w:i/>
          <w:lang w:val="nl-NL"/>
        </w:rPr>
        <w:t>Cursus Belasting</w:t>
      </w:r>
      <w:r>
        <w:rPr>
          <w:i/>
          <w:lang w:val="nl-NL"/>
        </w:rPr>
        <w:t xml:space="preserve">recht – Vennootschapsbelasting, </w:t>
      </w:r>
      <w:r w:rsidRPr="00DD5D77">
        <w:rPr>
          <w:lang w:val="nl-NL"/>
        </w:rPr>
        <w:t>Kluwer</w:t>
      </w:r>
      <w:r>
        <w:rPr>
          <w:lang w:val="nl-NL"/>
        </w:rPr>
        <w:t>,</w:t>
      </w:r>
      <w:r w:rsidRPr="00DD5D77">
        <w:rPr>
          <w:lang w:val="nl-NL"/>
        </w:rPr>
        <w:t xml:space="preserve"> Deventer, 2009 blz. 1.</w:t>
      </w:r>
    </w:p>
  </w:footnote>
  <w:footnote w:id="2">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Zie hiervoor artikel 8 Wet Vpb 1969</w:t>
      </w:r>
    </w:p>
  </w:footnote>
  <w:footnote w:id="3">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Zie voetnoot 1, Cursus Belastingrecht Vennootschapsbelasting, blz. 2.</w:t>
      </w:r>
    </w:p>
  </w:footnote>
  <w:footnote w:id="4">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Deze zijn te vinden in artikel 10a t/m 10d Wet Vpb 1969</w:t>
      </w:r>
    </w:p>
  </w:footnote>
  <w:footnote w:id="5">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Er zijn ook andere renteconstructies geweest die op een andere manier gericht waren op de schending van de wet. In dit werkstuk zal ik daaraan geen aandacht schenken. </w:t>
      </w:r>
    </w:p>
  </w:footnote>
  <w:footnote w:id="6">
    <w:p w:rsidR="00BA7971" w:rsidRDefault="00BA7971" w:rsidP="00443A9F">
      <w:pPr>
        <w:pStyle w:val="FootnoteText"/>
        <w:ind w:left="142" w:hanging="142"/>
      </w:pPr>
      <w:r w:rsidRPr="00DD5D77">
        <w:rPr>
          <w:rStyle w:val="FootnoteReference"/>
          <w:rFonts w:cs="Angsana New"/>
        </w:rPr>
        <w:footnoteRef/>
      </w:r>
      <w:r w:rsidRPr="00DD5D77">
        <w:rPr>
          <w:lang w:val="nl-NL"/>
        </w:rPr>
        <w:t xml:space="preserve">  Voor verdere uitleg van dit begrip wordt verwezen naar hoofdstuk 2. </w:t>
      </w:r>
    </w:p>
  </w:footnote>
  <w:footnote w:id="7">
    <w:p w:rsidR="00BA7971" w:rsidRDefault="00BA7971" w:rsidP="00443A9F">
      <w:pPr>
        <w:pStyle w:val="FootnoteText"/>
        <w:ind w:left="284" w:hanging="284"/>
      </w:pPr>
      <w:r>
        <w:rPr>
          <w:rStyle w:val="FootnoteReference"/>
          <w:rFonts w:cs="Angsana New"/>
        </w:rPr>
        <w:footnoteRef/>
      </w:r>
      <w:r w:rsidRPr="00A769CB">
        <w:rPr>
          <w:lang w:val="nl-NL"/>
        </w:rPr>
        <w:t xml:space="preserve">  </w:t>
      </w:r>
      <w:r w:rsidRPr="00C34B9E">
        <w:rPr>
          <w:lang w:val="nl-NL"/>
        </w:rPr>
        <w:t>Zie HR 6 september 1995, nr</w:t>
      </w:r>
      <w:r>
        <w:rPr>
          <w:lang w:val="nl-NL"/>
        </w:rPr>
        <w:t>.</w:t>
      </w:r>
      <w:r w:rsidRPr="00C34B9E">
        <w:rPr>
          <w:lang w:val="nl-NL"/>
        </w:rPr>
        <w:t xml:space="preserve"> 27 927, BNB 1996/4</w:t>
      </w:r>
      <w:r>
        <w:rPr>
          <w:lang w:val="nl-NL"/>
        </w:rPr>
        <w:t>c</w:t>
      </w:r>
    </w:p>
  </w:footnote>
  <w:footnote w:id="8">
    <w:p w:rsidR="00BA7971" w:rsidRDefault="00BA7971" w:rsidP="00443A9F">
      <w:pPr>
        <w:pStyle w:val="FootnoteText"/>
        <w:ind w:left="284" w:hanging="284"/>
      </w:pPr>
      <w:r>
        <w:rPr>
          <w:rStyle w:val="FootnoteReference"/>
          <w:rFonts w:cs="Angsana New"/>
        </w:rPr>
        <w:footnoteRef/>
      </w:r>
      <w:r w:rsidRPr="00A769CB">
        <w:rPr>
          <w:lang w:val="nl-NL"/>
        </w:rPr>
        <w:t xml:space="preserve">  W</w:t>
      </w:r>
      <w:r>
        <w:rPr>
          <w:lang w:val="nl-NL"/>
        </w:rPr>
        <w:t xml:space="preserve">et van 16 december 1996, Stb 1996, 651. </w:t>
      </w:r>
    </w:p>
  </w:footnote>
  <w:footnote w:id="9">
    <w:p w:rsidR="00BA7971" w:rsidRDefault="00BA7971" w:rsidP="00443A9F">
      <w:pPr>
        <w:pStyle w:val="FootnoteText"/>
        <w:ind w:left="142" w:hanging="142"/>
      </w:pPr>
      <w:r w:rsidRPr="004213F8">
        <w:rPr>
          <w:rStyle w:val="FootnoteReference"/>
        </w:rPr>
        <w:footnoteRef/>
      </w:r>
      <w:r w:rsidRPr="004213F8">
        <w:rPr>
          <w:rFonts w:cs="Times New Roman"/>
          <w:lang w:val="nl-NL"/>
        </w:rPr>
        <w:t xml:space="preserve"> Zie artikel 10, lid 1 onderdeel d Wet Vpb 1969.</w:t>
      </w:r>
    </w:p>
  </w:footnote>
  <w:footnote w:id="10">
    <w:p w:rsidR="00BA7971" w:rsidRDefault="00BA7971" w:rsidP="00443A9F">
      <w:pPr>
        <w:pStyle w:val="FootnoteText"/>
        <w:ind w:left="142" w:hanging="142"/>
      </w:pPr>
      <w:r w:rsidRPr="004213F8">
        <w:rPr>
          <w:rStyle w:val="FootnoteReference"/>
        </w:rPr>
        <w:footnoteRef/>
      </w:r>
      <w:r w:rsidRPr="004213F8">
        <w:rPr>
          <w:rFonts w:cs="Times New Roman"/>
          <w:lang w:val="nl-NL"/>
        </w:rPr>
        <w:t xml:space="preserve"> Dit in beginsel, want door de thans in de wet opgenomen renteaftrekbeperkingen, artikel 10a t/m 10d Wet Vpb 1969, is het toch mogelijk dat aftrek van rente geweigerd wordt. </w:t>
      </w:r>
    </w:p>
  </w:footnote>
  <w:footnote w:id="11">
    <w:p w:rsidR="00BA7971" w:rsidRDefault="00BA7971" w:rsidP="00443A9F">
      <w:pPr>
        <w:pStyle w:val="FootnoteText"/>
        <w:ind w:left="142" w:hanging="142"/>
      </w:pPr>
      <w:r w:rsidRPr="004213F8">
        <w:rPr>
          <w:rStyle w:val="FootnoteReference"/>
        </w:rPr>
        <w:footnoteRef/>
      </w:r>
      <w:r w:rsidRPr="004213F8">
        <w:rPr>
          <w:rFonts w:cs="Times New Roman"/>
          <w:lang w:val="nl-NL"/>
        </w:rPr>
        <w:t xml:space="preserve"> De constructies hebben niet louter gezorgd voor dit gevolg, echter in het kader van dit onderzoek zal aan de andere gevolgen geen aandacht geschonken worden. </w:t>
      </w:r>
    </w:p>
  </w:footnote>
  <w:footnote w:id="12">
    <w:p w:rsidR="00BA7971" w:rsidRDefault="00BA7971" w:rsidP="00443A9F">
      <w:pPr>
        <w:pStyle w:val="FootnoteText"/>
        <w:ind w:left="142" w:hanging="142"/>
      </w:pPr>
      <w:r w:rsidRPr="004213F8">
        <w:rPr>
          <w:rStyle w:val="FootnoteReference"/>
        </w:rPr>
        <w:footnoteRef/>
      </w:r>
      <w:r w:rsidRPr="004213F8">
        <w:rPr>
          <w:rFonts w:cs="Times New Roman"/>
          <w:lang w:val="nl-NL"/>
        </w:rPr>
        <w:t xml:space="preserve"> Zie voetnoot 1, Cursus Belastingrecht, blz. </w:t>
      </w:r>
      <w:r w:rsidRPr="003C51BC">
        <w:rPr>
          <w:rFonts w:cs="Times New Roman"/>
          <w:lang w:val="nl-NL"/>
        </w:rPr>
        <w:t xml:space="preserve">178 </w:t>
      </w:r>
    </w:p>
  </w:footnote>
  <w:footnote w:id="13">
    <w:p w:rsidR="00BA7971" w:rsidRDefault="00BA7971" w:rsidP="00443A9F">
      <w:pPr>
        <w:pStyle w:val="FootnoteText"/>
        <w:ind w:left="284" w:hanging="284"/>
      </w:pPr>
      <w:r w:rsidRPr="006B7D18">
        <w:rPr>
          <w:rStyle w:val="FootnoteReference"/>
        </w:rPr>
        <w:footnoteRef/>
      </w:r>
      <w:r w:rsidRPr="006B7D18">
        <w:rPr>
          <w:rFonts w:cs="Times New Roman"/>
          <w:lang w:val="nl-NL"/>
        </w:rPr>
        <w:t xml:space="preserve"> Zie voetnoot </w:t>
      </w:r>
      <w:r>
        <w:rPr>
          <w:rFonts w:cs="Times New Roman"/>
          <w:lang w:val="nl-NL"/>
        </w:rPr>
        <w:t>12</w:t>
      </w:r>
    </w:p>
  </w:footnote>
  <w:footnote w:id="14">
    <w:p w:rsidR="00BA7971" w:rsidRDefault="00BA7971" w:rsidP="00590DBF">
      <w:pPr>
        <w:pStyle w:val="FootnoteText"/>
        <w:ind w:left="284" w:hanging="284"/>
      </w:pPr>
      <w:r w:rsidRPr="006B7D18">
        <w:rPr>
          <w:rStyle w:val="FootnoteReference"/>
        </w:rPr>
        <w:footnoteRef/>
      </w:r>
      <w:r w:rsidRPr="006B7D18">
        <w:rPr>
          <w:rFonts w:cs="Times New Roman"/>
          <w:lang w:val="nl-NL"/>
        </w:rPr>
        <w:t xml:space="preserve"> </w:t>
      </w:r>
      <w:r>
        <w:rPr>
          <w:rFonts w:cs="Times New Roman"/>
          <w:lang w:val="nl-NL"/>
        </w:rPr>
        <w:t>Kamerstukken II</w:t>
      </w:r>
      <w:r w:rsidRPr="006B7D18">
        <w:rPr>
          <w:rFonts w:cs="Times New Roman"/>
          <w:lang w:val="nl-NL"/>
        </w:rPr>
        <w:t xml:space="preserve"> 2005</w:t>
      </w:r>
      <w:r>
        <w:rPr>
          <w:rFonts w:cs="Times New Roman"/>
          <w:lang w:val="nl-NL"/>
        </w:rPr>
        <w:t>/</w:t>
      </w:r>
      <w:r w:rsidRPr="006B7D18">
        <w:rPr>
          <w:rFonts w:cs="Times New Roman"/>
          <w:lang w:val="nl-NL"/>
        </w:rPr>
        <w:t>06, 30572, nr. 3</w:t>
      </w:r>
      <w:r>
        <w:rPr>
          <w:rFonts w:cs="Times New Roman"/>
          <w:lang w:val="nl-NL"/>
        </w:rPr>
        <w:t>, MvT,</w:t>
      </w:r>
      <w:r w:rsidRPr="006B7D18">
        <w:rPr>
          <w:rFonts w:cs="Times New Roman"/>
          <w:lang w:val="nl-NL"/>
        </w:rPr>
        <w:t xml:space="preserve"> blz. 1</w:t>
      </w:r>
      <w:r>
        <w:rPr>
          <w:rFonts w:cs="Times New Roman"/>
          <w:lang w:val="nl-NL"/>
        </w:rPr>
        <w:t>9-21</w:t>
      </w:r>
    </w:p>
  </w:footnote>
  <w:footnote w:id="15">
    <w:p w:rsidR="00BA7971" w:rsidRDefault="00BA7971" w:rsidP="00590DBF">
      <w:pPr>
        <w:pStyle w:val="FootnoteText"/>
        <w:ind w:left="284" w:hanging="284"/>
      </w:pPr>
      <w:r w:rsidRPr="006B7D18">
        <w:rPr>
          <w:rStyle w:val="FootnoteReference"/>
        </w:rPr>
        <w:footnoteRef/>
      </w:r>
      <w:r w:rsidRPr="006B7D18">
        <w:rPr>
          <w:rFonts w:cs="Times New Roman"/>
          <w:lang w:val="nl-NL"/>
        </w:rPr>
        <w:t xml:space="preserve"> </w:t>
      </w:r>
      <w:r>
        <w:rPr>
          <w:rFonts w:cs="Times New Roman"/>
          <w:lang w:val="nl-NL"/>
        </w:rPr>
        <w:t>V</w:t>
      </w:r>
      <w:r w:rsidRPr="006B7D18">
        <w:rPr>
          <w:rFonts w:cs="Times New Roman"/>
          <w:lang w:val="nl-NL"/>
        </w:rPr>
        <w:t>oorbeelden zijn ontleend aan Cursus belastingrecht</w:t>
      </w:r>
      <w:r>
        <w:rPr>
          <w:rFonts w:cs="Times New Roman"/>
          <w:lang w:val="nl-NL"/>
        </w:rPr>
        <w:t xml:space="preserve"> vennootschapsbelasting</w:t>
      </w:r>
      <w:r w:rsidRPr="006B7D18">
        <w:rPr>
          <w:rFonts w:cs="Times New Roman"/>
          <w:lang w:val="nl-NL"/>
        </w:rPr>
        <w:t xml:space="preserve">, zie voetnoot 1, blz. </w:t>
      </w:r>
      <w:r w:rsidRPr="00C53BAC">
        <w:rPr>
          <w:rFonts w:cs="Times New Roman"/>
          <w:lang w:val="nl-NL"/>
        </w:rPr>
        <w:t>178 -179</w:t>
      </w:r>
    </w:p>
  </w:footnote>
  <w:footnote w:id="16">
    <w:p w:rsidR="00BA7971" w:rsidRDefault="00BA7971" w:rsidP="00443A9F">
      <w:pPr>
        <w:pStyle w:val="FootnoteText"/>
        <w:ind w:left="142" w:hanging="142"/>
      </w:pPr>
      <w:r>
        <w:rPr>
          <w:rStyle w:val="FootnoteReference"/>
          <w:rFonts w:cs="Angsana New"/>
        </w:rPr>
        <w:footnoteRef/>
      </w:r>
      <w:r w:rsidRPr="00F401E6">
        <w:rPr>
          <w:lang w:val="nl-NL"/>
        </w:rPr>
        <w:t xml:space="preserve"> </w:t>
      </w:r>
      <w:r>
        <w:rPr>
          <w:lang w:val="nl-NL"/>
        </w:rPr>
        <w:t>L.A.de Blieck, P.J. van Amersfoort en anderen, Algemene Wet inzake rijksbelastingen, Kluwer, Deventer, 2009, 8</w:t>
      </w:r>
      <w:r w:rsidRPr="00F401E6">
        <w:rPr>
          <w:vertAlign w:val="superscript"/>
          <w:lang w:val="nl-NL"/>
        </w:rPr>
        <w:t>ste</w:t>
      </w:r>
      <w:r>
        <w:rPr>
          <w:lang w:val="nl-NL"/>
        </w:rPr>
        <w:t xml:space="preserve"> druk, blz. 322. </w:t>
      </w:r>
    </w:p>
  </w:footnote>
  <w:footnote w:id="17">
    <w:p w:rsidR="00BA7971" w:rsidRDefault="00BA7971" w:rsidP="001C7346">
      <w:pPr>
        <w:pStyle w:val="FootnoteText"/>
        <w:ind w:left="142" w:hanging="142"/>
      </w:pPr>
      <w:r>
        <w:rPr>
          <w:rStyle w:val="FootnoteReference"/>
          <w:rFonts w:cs="Angsana New"/>
        </w:rPr>
        <w:footnoteRef/>
      </w:r>
      <w:r w:rsidRPr="007F3DDF">
        <w:rPr>
          <w:lang w:val="de-DE"/>
        </w:rPr>
        <w:t xml:space="preserve"> R.E.C.M. Niessen, ´</w:t>
      </w:r>
      <w:r w:rsidRPr="007F3DDF">
        <w:rPr>
          <w:i/>
          <w:lang w:val="de-DE"/>
        </w:rPr>
        <w:t>Richtige heffing en fraus legis</w:t>
      </w:r>
      <w:r w:rsidRPr="007F3DDF">
        <w:rPr>
          <w:lang w:val="de-DE"/>
        </w:rPr>
        <w:t>´, Gouda Quint, Arnhem, 1985, blz.16.</w:t>
      </w:r>
    </w:p>
  </w:footnote>
  <w:footnote w:id="18">
    <w:p w:rsidR="00BA7971" w:rsidRDefault="00BA7971" w:rsidP="001C7346">
      <w:pPr>
        <w:pStyle w:val="FootnoteText"/>
        <w:ind w:left="142" w:hanging="142"/>
      </w:pPr>
      <w:r>
        <w:rPr>
          <w:rStyle w:val="FootnoteReference"/>
          <w:rFonts w:cs="Angsana New"/>
        </w:rPr>
        <w:footnoteRef/>
      </w:r>
      <w:r w:rsidRPr="004A5A48">
        <w:rPr>
          <w:lang w:val="nl-NL"/>
        </w:rPr>
        <w:t xml:space="preserve"> R.M.P.G. Niessen-Cobben,</w:t>
      </w:r>
      <w:r>
        <w:rPr>
          <w:lang w:val="nl-NL"/>
        </w:rPr>
        <w:t xml:space="preserve">’ </w:t>
      </w:r>
      <w:r w:rsidRPr="00D01B2C">
        <w:rPr>
          <w:i/>
          <w:lang w:val="nl-NL"/>
        </w:rPr>
        <w:t>Wegwijs in de Algemene Wet inzake rijksbelastingen</w:t>
      </w:r>
      <w:r>
        <w:rPr>
          <w:lang w:val="nl-NL"/>
        </w:rPr>
        <w:t>’, Sdu Fiscale &amp; Financiële Uitgevers, Amersfoort,  2005, 5</w:t>
      </w:r>
      <w:r w:rsidRPr="005D463F">
        <w:rPr>
          <w:vertAlign w:val="superscript"/>
          <w:lang w:val="nl-NL"/>
        </w:rPr>
        <w:t>de</w:t>
      </w:r>
      <w:r>
        <w:rPr>
          <w:lang w:val="nl-NL"/>
        </w:rPr>
        <w:t xml:space="preserve"> druk, p 184 en 185. </w:t>
      </w:r>
    </w:p>
  </w:footnote>
  <w:footnote w:id="19">
    <w:p w:rsidR="00BA7971" w:rsidRDefault="00BA7971" w:rsidP="001C7346">
      <w:pPr>
        <w:pStyle w:val="FootnoteText"/>
        <w:ind w:left="142" w:hanging="142"/>
      </w:pPr>
      <w:r>
        <w:rPr>
          <w:rStyle w:val="FootnoteReference"/>
          <w:rFonts w:cs="Angsana New"/>
        </w:rPr>
        <w:footnoteRef/>
      </w:r>
      <w:r w:rsidRPr="00164EAC">
        <w:rPr>
          <w:lang w:val="nl-NL"/>
        </w:rPr>
        <w:t xml:space="preserve"> </w:t>
      </w:r>
      <w:r>
        <w:rPr>
          <w:lang w:val="nl-NL"/>
        </w:rPr>
        <w:t xml:space="preserve">Onder directe belastingen kan worden verstaan: een heffing van belasting waarbij de belastingdruk ook daadwerkelijk drukt op degene die de aanslag krijgt, namelijk de belastingplichtige. Aan de andere kant zijn er indirecte belastingen, waarbij de belasting niet drukt op de belastingplichtige, maar op een andere persoon. </w:t>
      </w:r>
    </w:p>
  </w:footnote>
  <w:footnote w:id="20">
    <w:p w:rsidR="00BA7971" w:rsidRDefault="00BA7971" w:rsidP="001C7346">
      <w:pPr>
        <w:pStyle w:val="FootnoteText"/>
        <w:ind w:left="142" w:hanging="142"/>
      </w:pPr>
      <w:r>
        <w:rPr>
          <w:rStyle w:val="FootnoteReference"/>
          <w:rFonts w:cs="Angsana New"/>
        </w:rPr>
        <w:footnoteRef/>
      </w:r>
      <w:r w:rsidRPr="00BD08AC">
        <w:rPr>
          <w:lang w:val="nl-NL"/>
        </w:rPr>
        <w:t xml:space="preserve"> </w:t>
      </w:r>
      <w:r>
        <w:rPr>
          <w:lang w:val="nl-NL"/>
        </w:rPr>
        <w:t>Zie daarvoor de wettekst van artikel 31 AWR.</w:t>
      </w:r>
    </w:p>
  </w:footnote>
  <w:footnote w:id="21">
    <w:p w:rsidR="00BA7971" w:rsidRDefault="00BA7971" w:rsidP="001C7346">
      <w:pPr>
        <w:pStyle w:val="FootnoteText"/>
        <w:ind w:left="142" w:hanging="142"/>
      </w:pPr>
      <w:r>
        <w:rPr>
          <w:rStyle w:val="FootnoteReference"/>
          <w:rFonts w:cs="Angsana New"/>
        </w:rPr>
        <w:footnoteRef/>
      </w:r>
      <w:r w:rsidRPr="007D014E">
        <w:rPr>
          <w:lang w:val="nl-NL"/>
        </w:rPr>
        <w:t xml:space="preserve"> </w:t>
      </w:r>
      <w:r>
        <w:rPr>
          <w:lang w:val="nl-NL"/>
        </w:rPr>
        <w:t>L.G.M. Stevens, ‘</w:t>
      </w:r>
      <w:r w:rsidRPr="00D3218B">
        <w:rPr>
          <w:i/>
          <w:lang w:val="nl-NL"/>
        </w:rPr>
        <w:t>Elementair belastingrecht</w:t>
      </w:r>
      <w:r>
        <w:rPr>
          <w:i/>
          <w:lang w:val="nl-NL"/>
        </w:rPr>
        <w:t xml:space="preserve"> voor economen en bedrijfsjuristen</w:t>
      </w:r>
      <w:r>
        <w:rPr>
          <w:lang w:val="nl-NL"/>
        </w:rPr>
        <w:t>’, Kluwer, Deventer 2009, 25</w:t>
      </w:r>
      <w:r w:rsidRPr="00D3218B">
        <w:rPr>
          <w:vertAlign w:val="superscript"/>
          <w:lang w:val="nl-NL"/>
        </w:rPr>
        <w:t>ste</w:t>
      </w:r>
      <w:r>
        <w:rPr>
          <w:lang w:val="nl-NL"/>
        </w:rPr>
        <w:t xml:space="preserve"> druk, blz. 10. </w:t>
      </w:r>
    </w:p>
  </w:footnote>
  <w:footnote w:id="22">
    <w:p w:rsidR="00BA7971" w:rsidRDefault="00BA7971" w:rsidP="00F35318">
      <w:pPr>
        <w:pStyle w:val="FootnoteText"/>
        <w:ind w:left="284" w:hanging="284"/>
      </w:pPr>
      <w:r>
        <w:rPr>
          <w:rStyle w:val="FootnoteReference"/>
          <w:rFonts w:cs="Angsana New"/>
        </w:rPr>
        <w:footnoteRef/>
      </w:r>
      <w:r w:rsidRPr="00D3218B">
        <w:rPr>
          <w:lang w:val="nl-NL"/>
        </w:rPr>
        <w:t xml:space="preserve"> </w:t>
      </w:r>
      <w:r>
        <w:rPr>
          <w:lang w:val="nl-NL"/>
        </w:rPr>
        <w:t>Persbericht Ministerie van Financiën van 29 juli 1987, nr. 87/222</w:t>
      </w:r>
    </w:p>
  </w:footnote>
  <w:footnote w:id="23">
    <w:p w:rsidR="00BA7971" w:rsidRDefault="00BA7971" w:rsidP="006C0067">
      <w:pPr>
        <w:pStyle w:val="FootnoteText"/>
        <w:ind w:left="284" w:hanging="284"/>
      </w:pPr>
      <w:r>
        <w:rPr>
          <w:rStyle w:val="FootnoteReference"/>
          <w:rFonts w:cs="Angsana New"/>
        </w:rPr>
        <w:footnoteRef/>
      </w:r>
      <w:r w:rsidRPr="0053592C">
        <w:rPr>
          <w:lang w:val="nl-NL"/>
        </w:rPr>
        <w:t xml:space="preserve"> </w:t>
      </w:r>
      <w:r>
        <w:rPr>
          <w:lang w:val="nl-NL"/>
        </w:rPr>
        <w:t>Zie voetnoot 18, Niessen-Cobben, blz. 184.</w:t>
      </w:r>
    </w:p>
  </w:footnote>
  <w:footnote w:id="24">
    <w:p w:rsidR="00BA7971" w:rsidRDefault="00BA7971" w:rsidP="00DB63D7">
      <w:pPr>
        <w:pStyle w:val="FootnoteText"/>
        <w:ind w:left="284" w:hanging="284"/>
      </w:pPr>
      <w:r>
        <w:rPr>
          <w:rStyle w:val="FootnoteReference"/>
          <w:rFonts w:cs="Angsana New"/>
        </w:rPr>
        <w:footnoteRef/>
      </w:r>
      <w:r w:rsidRPr="0053592C">
        <w:rPr>
          <w:lang w:val="nl-NL"/>
        </w:rPr>
        <w:t xml:space="preserve"> </w:t>
      </w:r>
      <w:r w:rsidRPr="006136FF">
        <w:rPr>
          <w:lang w:val="nl-NL"/>
        </w:rPr>
        <w:t>VS Algemeen deel, Overige teksten bij deze wet, Algemeen, Algemene leerstukken, deel 6 Fraus legis en richtige heffing, paragraaf 4.3</w:t>
      </w:r>
      <w:r>
        <w:rPr>
          <w:lang w:val="nl-NL"/>
        </w:rPr>
        <w:t>.1</w:t>
      </w:r>
    </w:p>
  </w:footnote>
  <w:footnote w:id="25">
    <w:p w:rsidR="00BA7971" w:rsidRDefault="00BA7971" w:rsidP="00E9244F">
      <w:pPr>
        <w:pStyle w:val="FootnoteText"/>
        <w:ind w:left="284" w:hanging="284"/>
      </w:pPr>
      <w:r>
        <w:rPr>
          <w:rStyle w:val="FootnoteReference"/>
          <w:rFonts w:cs="Angsana New"/>
        </w:rPr>
        <w:footnoteRef/>
      </w:r>
      <w:r w:rsidRPr="0053592C">
        <w:rPr>
          <w:lang w:val="nl-NL"/>
        </w:rPr>
        <w:t xml:space="preserve"> </w:t>
      </w:r>
      <w:r>
        <w:rPr>
          <w:lang w:val="nl-NL"/>
        </w:rPr>
        <w:t>A. Kruiswijk, ‘</w:t>
      </w:r>
      <w:r w:rsidRPr="00CE40F6">
        <w:rPr>
          <w:i/>
          <w:lang w:val="nl-NL"/>
        </w:rPr>
        <w:t>De winstdrainageregelingen en het leerstuk van de wetsontduiking</w:t>
      </w:r>
      <w:r>
        <w:rPr>
          <w:lang w:val="nl-NL"/>
        </w:rPr>
        <w:t>’, WFR 2002/6501, blz. 1501</w:t>
      </w:r>
    </w:p>
  </w:footnote>
  <w:footnote w:id="26">
    <w:p w:rsidR="00BA7971" w:rsidRDefault="00BA7971" w:rsidP="00DB63D7">
      <w:pPr>
        <w:pStyle w:val="FootnoteText"/>
        <w:ind w:left="284" w:hanging="284"/>
      </w:pPr>
      <w:r>
        <w:rPr>
          <w:rStyle w:val="FootnoteReference"/>
          <w:rFonts w:cs="Angsana New"/>
        </w:rPr>
        <w:footnoteRef/>
      </w:r>
      <w:r w:rsidRPr="003C0282">
        <w:rPr>
          <w:lang w:val="nl-NL"/>
        </w:rPr>
        <w:t xml:space="preserve"> </w:t>
      </w:r>
      <w:r>
        <w:rPr>
          <w:lang w:val="nl-NL"/>
        </w:rPr>
        <w:t>R.L.H. IJzerman, ‘</w:t>
      </w:r>
      <w:r w:rsidRPr="00511825">
        <w:rPr>
          <w:i/>
          <w:lang w:val="nl-NL"/>
        </w:rPr>
        <w:t>Het leerstuk van wetsontduiking in het belastingrecht</w:t>
      </w:r>
      <w:r>
        <w:rPr>
          <w:lang w:val="nl-NL"/>
        </w:rPr>
        <w:t>’, Kluwer, Deventer, 1991, blz.106.</w:t>
      </w:r>
    </w:p>
  </w:footnote>
  <w:footnote w:id="27">
    <w:p w:rsidR="00BA7971" w:rsidRDefault="00BA7971" w:rsidP="00DD6EAC">
      <w:pPr>
        <w:pStyle w:val="FootnoteText"/>
        <w:ind w:left="284" w:hanging="284"/>
      </w:pPr>
      <w:r>
        <w:rPr>
          <w:rStyle w:val="FootnoteReference"/>
          <w:rFonts w:cs="Angsana New"/>
        </w:rPr>
        <w:footnoteRef/>
      </w:r>
      <w:r w:rsidRPr="008E6C1A">
        <w:rPr>
          <w:lang w:val="nl-NL"/>
        </w:rPr>
        <w:t xml:space="preserve"> </w:t>
      </w:r>
      <w:r>
        <w:rPr>
          <w:lang w:val="nl-NL"/>
        </w:rPr>
        <w:t>Zie voetnoot 25, Kruiswijk WFR 2002/6501</w:t>
      </w:r>
    </w:p>
  </w:footnote>
  <w:footnote w:id="28">
    <w:p w:rsidR="00BA7971" w:rsidRDefault="00BA7971" w:rsidP="00DB63D7">
      <w:pPr>
        <w:pStyle w:val="FootnoteText"/>
        <w:ind w:left="142" w:hanging="142"/>
      </w:pPr>
      <w:r>
        <w:rPr>
          <w:rStyle w:val="FootnoteReference"/>
          <w:rFonts w:cs="Angsana New"/>
        </w:rPr>
        <w:footnoteRef/>
      </w:r>
      <w:r w:rsidRPr="00CB395C">
        <w:rPr>
          <w:lang w:val="nl-NL"/>
        </w:rPr>
        <w:t xml:space="preserve"> </w:t>
      </w:r>
      <w:r>
        <w:rPr>
          <w:lang w:val="nl-NL"/>
        </w:rPr>
        <w:t>Zie daarvoor ook het derde onderdeel van het cassatiemiddel in BNB 1983/316.</w:t>
      </w:r>
    </w:p>
  </w:footnote>
  <w:footnote w:id="29">
    <w:p w:rsidR="00BA7971" w:rsidRDefault="00BA7971" w:rsidP="006C0067">
      <w:pPr>
        <w:pStyle w:val="FootnoteText"/>
        <w:ind w:left="142" w:hanging="142"/>
      </w:pPr>
      <w:r>
        <w:rPr>
          <w:rStyle w:val="FootnoteReference"/>
          <w:rFonts w:cs="Angsana New"/>
        </w:rPr>
        <w:footnoteRef/>
      </w:r>
      <w:r>
        <w:rPr>
          <w:lang w:val="nl-NL"/>
        </w:rPr>
        <w:t xml:space="preserve"> Dit onderdeel zal gericht zijn op de formulering van de eis in het algemeen. Doel en strekking van de Wet Vpb 1969 en meer specifiek artikel 10a wordt verwezen naar hoofdstuk </w:t>
      </w:r>
      <w:r w:rsidRPr="000F14C1">
        <w:rPr>
          <w:lang w:val="nl-NL"/>
        </w:rPr>
        <w:t>6</w:t>
      </w:r>
      <w:r>
        <w:rPr>
          <w:lang w:val="nl-NL"/>
        </w:rPr>
        <w:t xml:space="preserve"> van dit onderzoek. </w:t>
      </w:r>
    </w:p>
  </w:footnote>
  <w:footnote w:id="30">
    <w:p w:rsidR="00BA7971" w:rsidRDefault="00BA7971" w:rsidP="006C0067">
      <w:pPr>
        <w:pStyle w:val="FootnoteText"/>
        <w:ind w:left="142" w:hanging="142"/>
      </w:pPr>
      <w:r>
        <w:rPr>
          <w:rStyle w:val="FootnoteReference"/>
          <w:rFonts w:cs="Angsana New"/>
        </w:rPr>
        <w:footnoteRef/>
      </w:r>
      <w:r w:rsidRPr="00190D56">
        <w:rPr>
          <w:lang w:val="nl-NL"/>
        </w:rPr>
        <w:t xml:space="preserve"> </w:t>
      </w:r>
      <w:r>
        <w:rPr>
          <w:lang w:val="nl-NL"/>
        </w:rPr>
        <w:t>Vergelijk Niessen-Cobben (voetnoot 18) p.187</w:t>
      </w:r>
    </w:p>
  </w:footnote>
  <w:footnote w:id="31">
    <w:p w:rsidR="00BA7971" w:rsidRDefault="00BA7971" w:rsidP="00DB63D7">
      <w:pPr>
        <w:pStyle w:val="FootnoteText"/>
        <w:ind w:left="142" w:hanging="142"/>
      </w:pPr>
      <w:r>
        <w:rPr>
          <w:rStyle w:val="FootnoteReference"/>
          <w:rFonts w:cs="Angsana New"/>
        </w:rPr>
        <w:footnoteRef/>
      </w:r>
      <w:r w:rsidRPr="008E6C1A">
        <w:rPr>
          <w:lang w:val="nl-NL"/>
        </w:rPr>
        <w:t xml:space="preserve"> </w:t>
      </w:r>
      <w:r>
        <w:rPr>
          <w:lang w:val="nl-NL"/>
        </w:rPr>
        <w:t>Zie voetnoot 26, IJzerman, p.131</w:t>
      </w:r>
    </w:p>
  </w:footnote>
  <w:footnote w:id="32">
    <w:p w:rsidR="00BA7971" w:rsidRDefault="00BA7971" w:rsidP="006C0067">
      <w:pPr>
        <w:pStyle w:val="FootnoteText"/>
        <w:ind w:left="142" w:hanging="142"/>
      </w:pPr>
      <w:r>
        <w:rPr>
          <w:rStyle w:val="FootnoteReference"/>
          <w:rFonts w:cs="Angsana New"/>
        </w:rPr>
        <w:footnoteRef/>
      </w:r>
      <w:r w:rsidRPr="008E6C1A">
        <w:rPr>
          <w:lang w:val="nl-NL"/>
        </w:rPr>
        <w:t xml:space="preserve"> </w:t>
      </w:r>
      <w:r>
        <w:rPr>
          <w:lang w:val="nl-NL"/>
        </w:rPr>
        <w:t>J.F.C.Besselaar, ‘</w:t>
      </w:r>
      <w:r w:rsidRPr="00EB2189">
        <w:rPr>
          <w:i/>
          <w:lang w:val="nl-NL"/>
        </w:rPr>
        <w:t>Doel en strekking van fraus legis</w:t>
      </w:r>
      <w:r>
        <w:rPr>
          <w:lang w:val="nl-NL"/>
        </w:rPr>
        <w:t>’, WFR 1990/5903, blz. 241-246</w:t>
      </w:r>
    </w:p>
  </w:footnote>
  <w:footnote w:id="33">
    <w:p w:rsidR="00BA7971" w:rsidRDefault="00BA7971" w:rsidP="006C0067">
      <w:pPr>
        <w:pStyle w:val="FootnoteText"/>
        <w:ind w:left="284" w:hanging="284"/>
      </w:pPr>
      <w:r>
        <w:rPr>
          <w:rStyle w:val="FootnoteReference"/>
          <w:rFonts w:cs="Angsana New"/>
        </w:rPr>
        <w:footnoteRef/>
      </w:r>
      <w:r w:rsidRPr="007F3DDF">
        <w:rPr>
          <w:lang w:val="de-DE"/>
        </w:rPr>
        <w:t xml:space="preserve">  F.P.J.Litjens, ‘</w:t>
      </w:r>
      <w:r w:rsidRPr="007F3DDF">
        <w:rPr>
          <w:i/>
          <w:lang w:val="de-DE"/>
        </w:rPr>
        <w:t>Richtige heffing en fraus legis</w:t>
      </w:r>
      <w:r w:rsidRPr="007F3DDF">
        <w:rPr>
          <w:lang w:val="de-DE"/>
        </w:rPr>
        <w:t>’, WFR 1985/</w:t>
      </w:r>
      <w:r>
        <w:rPr>
          <w:lang w:val="de-DE"/>
        </w:rPr>
        <w:t>5705</w:t>
      </w:r>
      <w:r w:rsidRPr="007F3DDF">
        <w:rPr>
          <w:lang w:val="de-DE"/>
        </w:rPr>
        <w:t>, blz. 1530</w:t>
      </w:r>
      <w:r>
        <w:rPr>
          <w:lang w:val="de-DE"/>
        </w:rPr>
        <w:t>-1536</w:t>
      </w:r>
    </w:p>
  </w:footnote>
  <w:footnote w:id="34">
    <w:p w:rsidR="00BA7971" w:rsidRDefault="00BA7971" w:rsidP="00DB63D7">
      <w:pPr>
        <w:pStyle w:val="FootnoteText"/>
        <w:ind w:left="284" w:hanging="284"/>
      </w:pPr>
      <w:r>
        <w:rPr>
          <w:rStyle w:val="FootnoteReference"/>
          <w:rFonts w:cs="Angsana New"/>
        </w:rPr>
        <w:footnoteRef/>
      </w:r>
      <w:r w:rsidRPr="008E6C1A">
        <w:rPr>
          <w:lang w:val="nl-NL"/>
        </w:rPr>
        <w:t xml:space="preserve"> </w:t>
      </w:r>
      <w:r>
        <w:rPr>
          <w:lang w:val="nl-NL"/>
        </w:rPr>
        <w:t xml:space="preserve"> Zie voetnoot 26, IJzerman, p.24</w:t>
      </w:r>
    </w:p>
  </w:footnote>
  <w:footnote w:id="35">
    <w:p w:rsidR="00BA7971" w:rsidRDefault="00BA7971" w:rsidP="00DB63D7">
      <w:pPr>
        <w:pStyle w:val="FootnoteText"/>
        <w:ind w:left="284" w:hanging="284"/>
      </w:pPr>
      <w:r>
        <w:rPr>
          <w:rStyle w:val="FootnoteReference"/>
          <w:rFonts w:cs="Angsana New"/>
        </w:rPr>
        <w:footnoteRef/>
      </w:r>
      <w:r w:rsidRPr="009A42FA">
        <w:rPr>
          <w:lang w:val="nl-NL"/>
        </w:rPr>
        <w:t xml:space="preserve"> </w:t>
      </w:r>
      <w:r>
        <w:rPr>
          <w:lang w:val="nl-NL"/>
        </w:rPr>
        <w:t xml:space="preserve"> </w:t>
      </w:r>
      <w:r w:rsidRPr="00190E6D">
        <w:rPr>
          <w:lang w:val="nl-NL"/>
        </w:rPr>
        <w:t>VS Algemeen deel, Algemene wet inzake r</w:t>
      </w:r>
      <w:r>
        <w:rPr>
          <w:lang w:val="nl-NL"/>
        </w:rPr>
        <w:t xml:space="preserve">ijksbelastingen, Artikelsgewijs </w:t>
      </w:r>
      <w:r w:rsidRPr="00190E6D">
        <w:rPr>
          <w:lang w:val="nl-NL"/>
        </w:rPr>
        <w:t>commentaa</w:t>
      </w:r>
      <w:r>
        <w:rPr>
          <w:lang w:val="nl-NL"/>
        </w:rPr>
        <w:t xml:space="preserve">r, artikel 31 Richtige  heffing, </w:t>
      </w:r>
      <w:r w:rsidRPr="00190E6D">
        <w:rPr>
          <w:lang w:val="nl-NL"/>
        </w:rPr>
        <w:t>Aantekening 1.7.3 Fiscale conversie.</w:t>
      </w:r>
      <w:r>
        <w:rPr>
          <w:color w:val="FF0000"/>
          <w:lang w:val="nl-NL"/>
        </w:rPr>
        <w:t xml:space="preserve"> </w:t>
      </w:r>
    </w:p>
  </w:footnote>
  <w:footnote w:id="36">
    <w:p w:rsidR="00BA7971" w:rsidRDefault="00BA7971" w:rsidP="005A7634">
      <w:pPr>
        <w:pStyle w:val="FootnoteText"/>
      </w:pPr>
      <w:r w:rsidRPr="004119A5">
        <w:rPr>
          <w:rStyle w:val="FootnoteReference"/>
          <w:rFonts w:cs="Angsana New"/>
        </w:rPr>
        <w:footnoteRef/>
      </w:r>
      <w:r w:rsidRPr="005A7634">
        <w:rPr>
          <w:rFonts w:cs="Times New Roman"/>
          <w:lang w:val="nl-NL"/>
        </w:rPr>
        <w:t xml:space="preserve"> HR 6 september 1995, nr. 27927, BNB 1996/4c</w:t>
      </w:r>
    </w:p>
  </w:footnote>
  <w:footnote w:id="37">
    <w:p w:rsidR="00BA7971" w:rsidRDefault="00BA7971">
      <w:pPr>
        <w:pStyle w:val="FootnoteText"/>
      </w:pPr>
      <w:r>
        <w:rPr>
          <w:rStyle w:val="FootnoteReference"/>
          <w:rFonts w:cs="Angsana New"/>
        </w:rPr>
        <w:footnoteRef/>
      </w:r>
      <w:r w:rsidRPr="0067232E">
        <w:rPr>
          <w:lang w:val="nl-NL"/>
        </w:rPr>
        <w:t xml:space="preserve"> </w:t>
      </w:r>
      <w:r>
        <w:rPr>
          <w:lang w:val="nl-NL"/>
        </w:rPr>
        <w:t xml:space="preserve">En ook op de uitspraak van de nog te bespreken arresten, zoals de Plc-arrest en de Noorwegen-arrest. </w:t>
      </w:r>
    </w:p>
  </w:footnote>
  <w:footnote w:id="38">
    <w:p w:rsidR="00BA7971" w:rsidRDefault="00BA7971" w:rsidP="005A7634">
      <w:pPr>
        <w:pStyle w:val="FootnoteText"/>
      </w:pPr>
      <w:r w:rsidRPr="004119A5">
        <w:rPr>
          <w:rStyle w:val="FootnoteReference"/>
          <w:rFonts w:cs="Angsana New"/>
        </w:rPr>
        <w:footnoteRef/>
      </w:r>
      <w:r w:rsidRPr="005A7634">
        <w:rPr>
          <w:rFonts w:cs="Times New Roman"/>
          <w:lang w:val="nl-NL"/>
        </w:rPr>
        <w:t xml:space="preserve"> HR 20 september 1995, nr. 29737, BNB 1996/5</w:t>
      </w:r>
    </w:p>
  </w:footnote>
  <w:footnote w:id="39">
    <w:p w:rsidR="00BA7971" w:rsidRDefault="00BA7971" w:rsidP="005A7634">
      <w:pPr>
        <w:pStyle w:val="FootnoteText"/>
      </w:pPr>
      <w:r w:rsidRPr="004119A5">
        <w:rPr>
          <w:rStyle w:val="FootnoteReference"/>
          <w:rFonts w:cs="Angsana New"/>
        </w:rPr>
        <w:footnoteRef/>
      </w:r>
      <w:r w:rsidRPr="005A7634">
        <w:rPr>
          <w:rFonts w:cs="Times New Roman"/>
          <w:lang w:val="nl-NL"/>
        </w:rPr>
        <w:t xml:space="preserve"> HR 27 september 1995, nr. 30400, BNB 1996/6</w:t>
      </w:r>
    </w:p>
  </w:footnote>
  <w:footnote w:id="40">
    <w:p w:rsidR="00BA7971" w:rsidRDefault="00BA7971" w:rsidP="005A7634">
      <w:pPr>
        <w:pStyle w:val="FootnoteText"/>
      </w:pPr>
      <w:r w:rsidRPr="0060367F">
        <w:rPr>
          <w:rStyle w:val="FootnoteReference"/>
          <w:rFonts w:cs="Angsana New"/>
        </w:rPr>
        <w:footnoteRef/>
      </w:r>
      <w:r w:rsidRPr="005A7634">
        <w:rPr>
          <w:rFonts w:cs="Times New Roman"/>
          <w:lang w:val="nl-NL"/>
        </w:rPr>
        <w:t xml:space="preserve"> De grens is thans gesteld op 10 %, dit is te vinden in het thans geldende artikel 10a Wet Vpb 1969. Voor een uitgebreide uitleg hierover wordt verwezen naar hoofdstuk 5. </w:t>
      </w:r>
    </w:p>
  </w:footnote>
  <w:footnote w:id="41">
    <w:p w:rsidR="00BA7971" w:rsidRDefault="00BA7971" w:rsidP="002E4142">
      <w:pPr>
        <w:pStyle w:val="FootnoteText"/>
        <w:ind w:left="142" w:hanging="142"/>
      </w:pPr>
      <w:r w:rsidRPr="00B72FE5">
        <w:rPr>
          <w:rStyle w:val="FootnoteReference"/>
          <w:rFonts w:cs="Angsana New"/>
        </w:rPr>
        <w:footnoteRef/>
      </w:r>
      <w:r w:rsidRPr="00B72FE5">
        <w:rPr>
          <w:lang w:val="nl-NL"/>
        </w:rPr>
        <w:t xml:space="preserve"> </w:t>
      </w:r>
      <w:r w:rsidRPr="00B72FE5">
        <w:rPr>
          <w:rFonts w:cs="Times New Roman"/>
          <w:lang w:val="nl-NL"/>
        </w:rPr>
        <w:t>Kamerstukken II</w:t>
      </w:r>
      <w:r w:rsidRPr="00B72FE5">
        <w:rPr>
          <w:lang w:val="nl-NL"/>
        </w:rPr>
        <w:t>,</w:t>
      </w:r>
      <w:r w:rsidRPr="00B72FE5">
        <w:rPr>
          <w:rFonts w:cs="Times New Roman"/>
          <w:lang w:val="nl-NL"/>
        </w:rPr>
        <w:t xml:space="preserve"> </w:t>
      </w:r>
      <w:r w:rsidRPr="00B72FE5">
        <w:rPr>
          <w:lang w:val="nl-NL"/>
        </w:rPr>
        <w:t>199</w:t>
      </w:r>
      <w:r w:rsidRPr="00B72FE5">
        <w:rPr>
          <w:rFonts w:cs="Times New Roman"/>
          <w:lang w:val="nl-NL"/>
        </w:rPr>
        <w:t>5</w:t>
      </w:r>
      <w:r w:rsidRPr="00B72FE5">
        <w:rPr>
          <w:lang w:val="nl-NL"/>
        </w:rPr>
        <w:t>/9</w:t>
      </w:r>
      <w:r w:rsidRPr="00B72FE5">
        <w:rPr>
          <w:rFonts w:cs="Times New Roman"/>
          <w:lang w:val="nl-NL"/>
        </w:rPr>
        <w:t xml:space="preserve">6, </w:t>
      </w:r>
      <w:r w:rsidRPr="00B72FE5">
        <w:rPr>
          <w:lang w:val="nl-NL"/>
        </w:rPr>
        <w:t>24696</w:t>
      </w:r>
      <w:r w:rsidRPr="00B72FE5">
        <w:rPr>
          <w:rFonts w:cs="Times New Roman"/>
          <w:lang w:val="nl-NL"/>
        </w:rPr>
        <w:t xml:space="preserve">, nr. </w:t>
      </w:r>
      <w:r w:rsidRPr="00B72FE5">
        <w:rPr>
          <w:lang w:val="nl-NL"/>
        </w:rPr>
        <w:t>3, MvT, blz. 4.</w:t>
      </w:r>
    </w:p>
  </w:footnote>
  <w:footnote w:id="42">
    <w:p w:rsidR="00BA7971" w:rsidRDefault="00BA7971" w:rsidP="00B72FE5">
      <w:pPr>
        <w:pStyle w:val="FootnoteText"/>
        <w:ind w:left="142" w:hanging="142"/>
      </w:pPr>
      <w:r w:rsidRPr="00B72FE5">
        <w:rPr>
          <w:rStyle w:val="FootnoteReference"/>
          <w:rFonts w:cs="Angsana New"/>
        </w:rPr>
        <w:footnoteRef/>
      </w:r>
      <w:r w:rsidRPr="00B72FE5">
        <w:rPr>
          <w:rFonts w:cs="Times New Roman"/>
          <w:lang w:val="nl-NL"/>
        </w:rPr>
        <w:t xml:space="preserve"> Een uitgebreide uitleg hierover zal volgen in hoofdstuk 5.</w:t>
      </w:r>
      <w:r w:rsidRPr="00B72FE5">
        <w:rPr>
          <w:lang w:val="nl-NL"/>
        </w:rPr>
        <w:t xml:space="preserve"> Ook de ontwikkelingen in de tijd met betrekking tot de wettelijke regeling zelf zal in dat hoofdstuk behandeld worden. </w:t>
      </w:r>
    </w:p>
  </w:footnote>
  <w:footnote w:id="43">
    <w:p w:rsidR="00BA7971" w:rsidRDefault="00BA7971" w:rsidP="00B72FE5">
      <w:pPr>
        <w:pStyle w:val="FootnoteText"/>
        <w:ind w:left="142" w:hanging="142"/>
      </w:pPr>
      <w:r w:rsidRPr="00B72FE5">
        <w:rPr>
          <w:rStyle w:val="FootnoteReference"/>
          <w:rFonts w:cs="Angsana New"/>
        </w:rPr>
        <w:footnoteRef/>
      </w:r>
      <w:r w:rsidRPr="00B72FE5">
        <w:rPr>
          <w:lang w:val="nl-NL"/>
        </w:rPr>
        <w:t xml:space="preserve"> </w:t>
      </w:r>
      <w:r w:rsidRPr="00B72FE5">
        <w:rPr>
          <w:rFonts w:cs="Times New Roman"/>
          <w:lang w:val="nl-NL"/>
        </w:rPr>
        <w:t>Kamerstukken II</w:t>
      </w:r>
      <w:r w:rsidRPr="00B72FE5">
        <w:rPr>
          <w:lang w:val="nl-NL"/>
        </w:rPr>
        <w:t>,</w:t>
      </w:r>
      <w:r w:rsidRPr="00B72FE5">
        <w:rPr>
          <w:rFonts w:cs="Times New Roman"/>
          <w:lang w:val="nl-NL"/>
        </w:rPr>
        <w:t xml:space="preserve"> </w:t>
      </w:r>
      <w:r w:rsidRPr="00B72FE5">
        <w:rPr>
          <w:lang w:val="nl-NL"/>
        </w:rPr>
        <w:t>199</w:t>
      </w:r>
      <w:r w:rsidRPr="00B72FE5">
        <w:rPr>
          <w:rFonts w:cs="Times New Roman"/>
          <w:lang w:val="nl-NL"/>
        </w:rPr>
        <w:t>5</w:t>
      </w:r>
      <w:r w:rsidRPr="00B72FE5">
        <w:rPr>
          <w:lang w:val="nl-NL"/>
        </w:rPr>
        <w:t>/9</w:t>
      </w:r>
      <w:r w:rsidRPr="00B72FE5">
        <w:rPr>
          <w:rFonts w:cs="Times New Roman"/>
          <w:lang w:val="nl-NL"/>
        </w:rPr>
        <w:t xml:space="preserve">6, </w:t>
      </w:r>
      <w:r w:rsidRPr="00B72FE5">
        <w:rPr>
          <w:lang w:val="nl-NL"/>
        </w:rPr>
        <w:t>24696</w:t>
      </w:r>
      <w:r w:rsidRPr="00B72FE5">
        <w:rPr>
          <w:rFonts w:cs="Times New Roman"/>
          <w:lang w:val="nl-NL"/>
        </w:rPr>
        <w:t xml:space="preserve">, nr. </w:t>
      </w:r>
      <w:r w:rsidRPr="00B72FE5">
        <w:rPr>
          <w:lang w:val="nl-NL"/>
        </w:rPr>
        <w:t>3, MvT, blz.14-16.</w:t>
      </w:r>
    </w:p>
  </w:footnote>
  <w:footnote w:id="44">
    <w:p w:rsidR="00BA7971" w:rsidRDefault="00BA7971" w:rsidP="00646F70">
      <w:pPr>
        <w:pStyle w:val="FootnoteText"/>
        <w:ind w:left="142" w:hanging="142"/>
      </w:pPr>
      <w:r w:rsidRPr="001945A5">
        <w:rPr>
          <w:rStyle w:val="FootnoteReference"/>
          <w:rFonts w:cs="Angsana New"/>
        </w:rPr>
        <w:footnoteRef/>
      </w:r>
      <w:r w:rsidRPr="001945A5">
        <w:rPr>
          <w:lang w:val="nl-NL"/>
        </w:rPr>
        <w:t xml:space="preserve"> Mogelijk omdat de belastingplichtige nog de mogelijkheid heeft om tegenbewijs te leveren. Dit zal later in het hoofdstuk uitgelegd worden.</w:t>
      </w:r>
    </w:p>
  </w:footnote>
  <w:footnote w:id="45">
    <w:p w:rsidR="00BA7971" w:rsidRDefault="00BA7971" w:rsidP="003C0B91">
      <w:pPr>
        <w:pStyle w:val="FootnoteText"/>
        <w:ind w:left="284" w:hanging="284"/>
      </w:pPr>
      <w:r w:rsidRPr="006653F6">
        <w:rPr>
          <w:rStyle w:val="FootnoteReference"/>
          <w:rFonts w:cs="Angsana New"/>
        </w:rPr>
        <w:footnoteRef/>
      </w:r>
      <w:r w:rsidRPr="00B72CDA">
        <w:rPr>
          <w:lang w:val="nl-NL"/>
        </w:rPr>
        <w:t xml:space="preserve"> </w:t>
      </w:r>
      <w:r>
        <w:rPr>
          <w:lang w:val="nl-NL"/>
        </w:rPr>
        <w:t xml:space="preserve">Zie voetnoot 1 </w:t>
      </w:r>
      <w:r w:rsidRPr="006653F6">
        <w:rPr>
          <w:lang w:val="nl-NL"/>
        </w:rPr>
        <w:t>Cursus belastingrecht V</w:t>
      </w:r>
      <w:r>
        <w:rPr>
          <w:lang w:val="nl-NL"/>
        </w:rPr>
        <w:t>ennootschapsbelasting, blz</w:t>
      </w:r>
      <w:r w:rsidRPr="006653F6">
        <w:rPr>
          <w:lang w:val="nl-NL"/>
        </w:rPr>
        <w:t>.</w:t>
      </w:r>
      <w:r>
        <w:rPr>
          <w:lang w:val="nl-NL"/>
        </w:rPr>
        <w:t xml:space="preserve"> 185</w:t>
      </w:r>
    </w:p>
  </w:footnote>
  <w:footnote w:id="46">
    <w:p w:rsidR="00BA7971" w:rsidRDefault="00BA7971" w:rsidP="003C0B91">
      <w:pPr>
        <w:pStyle w:val="FootnoteText"/>
        <w:ind w:left="284" w:hanging="284"/>
      </w:pPr>
      <w:r w:rsidRPr="005D6838">
        <w:rPr>
          <w:rStyle w:val="FootnoteReference"/>
          <w:rFonts w:cs="Angsana New"/>
        </w:rPr>
        <w:footnoteRef/>
      </w:r>
      <w:r w:rsidRPr="00B72CDA">
        <w:rPr>
          <w:lang w:val="nl-NL"/>
        </w:rPr>
        <w:t xml:space="preserve"> </w:t>
      </w:r>
      <w:r>
        <w:rPr>
          <w:lang w:val="nl-NL"/>
        </w:rPr>
        <w:t>Zie voetnoot 1, Cursus belastingrecht Vennootschapsbelasting, blz. 186</w:t>
      </w:r>
    </w:p>
  </w:footnote>
  <w:footnote w:id="47">
    <w:p w:rsidR="00BA7971" w:rsidRDefault="00BA7971" w:rsidP="00CD44AE">
      <w:pPr>
        <w:pStyle w:val="FootnoteText"/>
        <w:ind w:left="142" w:hanging="142"/>
      </w:pPr>
      <w:r w:rsidRPr="00262162">
        <w:rPr>
          <w:rStyle w:val="FootnoteReference"/>
        </w:rPr>
        <w:footnoteRef/>
      </w:r>
      <w:r w:rsidRPr="00262162">
        <w:rPr>
          <w:rFonts w:cs="Times New Roman"/>
          <w:lang w:val="nl-NL"/>
        </w:rPr>
        <w:t xml:space="preserve"> Dus ook voor artikel 10d Wet V</w:t>
      </w:r>
      <w:r>
        <w:rPr>
          <w:rFonts w:cs="Times New Roman"/>
          <w:lang w:val="nl-NL"/>
        </w:rPr>
        <w:t>pb 1969</w:t>
      </w:r>
      <w:r w:rsidRPr="00262162">
        <w:rPr>
          <w:rFonts w:cs="Times New Roman"/>
          <w:lang w:val="nl-NL"/>
        </w:rPr>
        <w:t xml:space="preserve">. </w:t>
      </w:r>
    </w:p>
  </w:footnote>
  <w:footnote w:id="48">
    <w:p w:rsidR="00BA7971" w:rsidRDefault="00BA7971" w:rsidP="00CD44AE">
      <w:pPr>
        <w:pStyle w:val="FootnoteText"/>
        <w:ind w:left="142" w:hanging="142"/>
      </w:pPr>
      <w:r w:rsidRPr="00262162">
        <w:rPr>
          <w:rStyle w:val="FootnoteReference"/>
        </w:rPr>
        <w:footnoteRef/>
      </w:r>
      <w:r>
        <w:rPr>
          <w:lang w:val="nl-NL"/>
        </w:rPr>
        <w:t xml:space="preserve"> </w:t>
      </w:r>
      <w:r>
        <w:rPr>
          <w:rFonts w:cs="Times New Roman"/>
          <w:lang w:val="nl-NL"/>
        </w:rPr>
        <w:t>Kamerstukken II</w:t>
      </w:r>
      <w:r>
        <w:rPr>
          <w:lang w:val="nl-NL"/>
        </w:rPr>
        <w:t xml:space="preserve"> </w:t>
      </w:r>
      <w:r>
        <w:rPr>
          <w:rFonts w:cs="Times New Roman"/>
          <w:lang w:val="nl-NL"/>
        </w:rPr>
        <w:t>2005/06, 30572, nr. 3, MvT</w:t>
      </w:r>
      <w:r w:rsidRPr="00262162">
        <w:rPr>
          <w:lang w:val="nl-NL"/>
        </w:rPr>
        <w:t>, blz. 19-21.</w:t>
      </w:r>
    </w:p>
  </w:footnote>
  <w:footnote w:id="49">
    <w:p w:rsidR="00BA7971" w:rsidRDefault="00BA7971" w:rsidP="005715D8">
      <w:pPr>
        <w:pStyle w:val="FootnoteText"/>
        <w:ind w:left="142" w:hanging="142"/>
      </w:pPr>
      <w:r w:rsidRPr="00262162">
        <w:rPr>
          <w:rStyle w:val="FootnoteReference"/>
        </w:rPr>
        <w:footnoteRef/>
      </w:r>
      <w:r w:rsidRPr="00262162">
        <w:rPr>
          <w:rFonts w:cs="Times New Roman"/>
          <w:lang w:val="nl-NL"/>
        </w:rPr>
        <w:t xml:space="preserve"> Een open commanditaire vennootschap valt </w:t>
      </w:r>
      <w:r>
        <w:rPr>
          <w:rFonts w:cs="Times New Roman"/>
          <w:lang w:val="nl-NL"/>
        </w:rPr>
        <w:t>hier</w:t>
      </w:r>
      <w:r w:rsidRPr="00262162">
        <w:rPr>
          <w:rFonts w:cs="Times New Roman"/>
          <w:lang w:val="nl-NL"/>
        </w:rPr>
        <w:t xml:space="preserve"> niet onder. Vanwege de gelijkstelling van een deelgerechtigdheid in een dergelijke vennootschap met een aandeel (artikel 2, lid 3 onderdeel f AWR) wordt de open CV als een vennootschap met een in aandeel verdeeld kapitaal beschouwd. </w:t>
      </w:r>
    </w:p>
  </w:footnote>
  <w:footnote w:id="50">
    <w:p w:rsidR="00BA7971" w:rsidRDefault="00BA7971" w:rsidP="00CD44AE">
      <w:pPr>
        <w:pStyle w:val="FootnoteText"/>
        <w:ind w:left="142" w:hanging="142"/>
      </w:pPr>
      <w:r w:rsidRPr="004453A2">
        <w:rPr>
          <w:rStyle w:val="FootnoteReference"/>
        </w:rPr>
        <w:footnoteRef/>
      </w:r>
      <w:r w:rsidRPr="004453A2">
        <w:rPr>
          <w:rFonts w:cs="Times New Roman"/>
          <w:lang w:val="nl-NL"/>
        </w:rPr>
        <w:t xml:space="preserve"> </w:t>
      </w:r>
      <w:r>
        <w:rPr>
          <w:rFonts w:cs="Times New Roman"/>
          <w:lang w:val="nl-NL"/>
        </w:rPr>
        <w:t xml:space="preserve">Zie voetnoot 1, </w:t>
      </w:r>
      <w:r w:rsidRPr="004453A2">
        <w:rPr>
          <w:rFonts w:cs="Times New Roman"/>
          <w:lang w:val="nl-NL"/>
        </w:rPr>
        <w:t>Cursus belastingrecht V</w:t>
      </w:r>
      <w:r>
        <w:rPr>
          <w:rFonts w:cs="Times New Roman"/>
          <w:lang w:val="nl-NL"/>
        </w:rPr>
        <w:t>ennootschapsbelasting</w:t>
      </w:r>
      <w:r w:rsidRPr="004453A2">
        <w:rPr>
          <w:rFonts w:cs="Times New Roman"/>
          <w:lang w:val="nl-NL"/>
        </w:rPr>
        <w:t xml:space="preserve">, p. </w:t>
      </w:r>
      <w:r>
        <w:rPr>
          <w:rFonts w:cs="Times New Roman"/>
          <w:lang w:val="nl-NL"/>
        </w:rPr>
        <w:t>197</w:t>
      </w:r>
      <w:r w:rsidRPr="004453A2">
        <w:rPr>
          <w:rFonts w:cs="Times New Roman"/>
          <w:lang w:val="nl-NL"/>
        </w:rPr>
        <w:t xml:space="preserve">. </w:t>
      </w:r>
    </w:p>
  </w:footnote>
  <w:footnote w:id="51">
    <w:p w:rsidR="00BA7971" w:rsidRDefault="00BA7971" w:rsidP="003C0B91">
      <w:pPr>
        <w:pStyle w:val="FootnoteText"/>
      </w:pPr>
      <w:r w:rsidRPr="004453A2">
        <w:rPr>
          <w:rStyle w:val="FootnoteReference"/>
        </w:rPr>
        <w:footnoteRef/>
      </w:r>
      <w:r w:rsidRPr="004453A2">
        <w:rPr>
          <w:rFonts w:cs="Times New Roman"/>
          <w:lang w:val="nl-NL"/>
        </w:rPr>
        <w:t xml:space="preserve"> </w:t>
      </w:r>
      <w:r>
        <w:rPr>
          <w:rFonts w:cs="Times New Roman"/>
          <w:lang w:val="nl-NL"/>
        </w:rPr>
        <w:t>Zie voetnoot 1, Cursus belastingrecht Vennootschapsbelasting</w:t>
      </w:r>
      <w:r w:rsidRPr="004453A2">
        <w:rPr>
          <w:rFonts w:cs="Times New Roman"/>
          <w:lang w:val="nl-NL"/>
        </w:rPr>
        <w:t>, p.</w:t>
      </w:r>
      <w:r>
        <w:rPr>
          <w:rFonts w:cs="Times New Roman"/>
          <w:lang w:val="nl-NL"/>
        </w:rPr>
        <w:t>190</w:t>
      </w:r>
    </w:p>
  </w:footnote>
  <w:footnote w:id="52">
    <w:p w:rsidR="00BA7971" w:rsidRDefault="00BA7971" w:rsidP="003C0B91">
      <w:pPr>
        <w:pStyle w:val="FootnoteText"/>
      </w:pPr>
      <w:r w:rsidRPr="004453A2">
        <w:rPr>
          <w:rStyle w:val="FootnoteReference"/>
        </w:rPr>
        <w:footnoteRef/>
      </w:r>
      <w:r w:rsidRPr="004453A2">
        <w:rPr>
          <w:rFonts w:cs="Times New Roman"/>
          <w:lang w:val="nl-NL"/>
        </w:rPr>
        <w:t xml:space="preserve"> Voor mijn eigen mening erover wordt verwezen naar paragraaf 5.3</w:t>
      </w:r>
    </w:p>
  </w:footnote>
  <w:footnote w:id="53">
    <w:p w:rsidR="00BA7971" w:rsidRDefault="00BA7971" w:rsidP="003C0B91">
      <w:pPr>
        <w:pStyle w:val="FootnoteText"/>
      </w:pPr>
      <w:r>
        <w:rPr>
          <w:rStyle w:val="FootnoteReference"/>
          <w:rFonts w:cs="Angsana New"/>
        </w:rPr>
        <w:footnoteRef/>
      </w:r>
      <w:r w:rsidRPr="006D431C">
        <w:rPr>
          <w:lang w:val="nl-NL"/>
        </w:rPr>
        <w:t xml:space="preserve"> </w:t>
      </w:r>
      <w:r w:rsidRPr="008D05FD">
        <w:rPr>
          <w:rFonts w:cs="Times New Roman"/>
          <w:lang w:val="nl-NL"/>
        </w:rPr>
        <w:t xml:space="preserve">Zie voetnoot </w:t>
      </w:r>
      <w:r w:rsidRPr="00AA04EB">
        <w:rPr>
          <w:rFonts w:cs="Times New Roman"/>
          <w:lang w:val="nl-NL"/>
        </w:rPr>
        <w:t>51</w:t>
      </w:r>
    </w:p>
  </w:footnote>
  <w:footnote w:id="54">
    <w:p w:rsidR="00BA7971" w:rsidRDefault="00BA7971">
      <w:pPr>
        <w:pStyle w:val="FootnoteText"/>
      </w:pPr>
      <w:r>
        <w:rPr>
          <w:rStyle w:val="FootnoteReference"/>
          <w:rFonts w:cs="Angsana New"/>
        </w:rPr>
        <w:footnoteRef/>
      </w:r>
      <w:r w:rsidRPr="00C4463B">
        <w:rPr>
          <w:lang w:val="nl-NL"/>
        </w:rPr>
        <w:t xml:space="preserve"> </w:t>
      </w:r>
      <w:r>
        <w:rPr>
          <w:lang w:val="nl-NL"/>
        </w:rPr>
        <w:t xml:space="preserve">Zie de conclusie bij BNB1996/5, aantekening 4.5.3 </w:t>
      </w:r>
    </w:p>
  </w:footnote>
  <w:footnote w:id="55">
    <w:p w:rsidR="00BA7971" w:rsidRDefault="00BA7971" w:rsidP="00A46FE8">
      <w:pPr>
        <w:pStyle w:val="FootnoteText"/>
      </w:pPr>
      <w:r>
        <w:rPr>
          <w:rStyle w:val="FootnoteReference"/>
          <w:rFonts w:cs="Angsana New"/>
        </w:rPr>
        <w:footnoteRef/>
      </w:r>
      <w:r w:rsidRPr="00BC2FEF">
        <w:rPr>
          <w:lang w:val="nl-NL"/>
        </w:rPr>
        <w:t xml:space="preserve"> </w:t>
      </w:r>
      <w:r>
        <w:rPr>
          <w:lang w:val="nl-NL"/>
        </w:rPr>
        <w:t xml:space="preserve">Zie daarvoor paragraaf 5.3 van dit hoofdstuk. </w:t>
      </w:r>
    </w:p>
  </w:footnote>
  <w:footnote w:id="56">
    <w:p w:rsidR="00BA7971" w:rsidRDefault="00BA7971">
      <w:pPr>
        <w:pStyle w:val="FootnoteText"/>
      </w:pPr>
      <w:r>
        <w:rPr>
          <w:rStyle w:val="FootnoteReference"/>
          <w:rFonts w:cs="Angsana New"/>
        </w:rPr>
        <w:footnoteRef/>
      </w:r>
      <w:r w:rsidRPr="009F70CC">
        <w:rPr>
          <w:lang w:val="nl-NL"/>
        </w:rPr>
        <w:t xml:space="preserve"> </w:t>
      </w:r>
      <w:r>
        <w:rPr>
          <w:lang w:val="nl-NL"/>
        </w:rPr>
        <w:t>HR 8 februari 2002, nr. 36 358, BNB 2002/118</w:t>
      </w:r>
    </w:p>
  </w:footnote>
  <w:footnote w:id="57">
    <w:p w:rsidR="00BA7971" w:rsidRDefault="00BA7971" w:rsidP="00BC2FEF">
      <w:r w:rsidRPr="006653F6">
        <w:rPr>
          <w:rStyle w:val="FootnoteReference"/>
        </w:rPr>
        <w:footnoteRef/>
      </w:r>
      <w:r w:rsidRPr="006653F6">
        <w:t xml:space="preserve"> </w:t>
      </w:r>
      <w:r w:rsidRPr="00437FFD">
        <w:rPr>
          <w:sz w:val="20"/>
          <w:szCs w:val="20"/>
        </w:rPr>
        <w:t>Kamerstukken II 2005</w:t>
      </w:r>
      <w:r>
        <w:rPr>
          <w:sz w:val="20"/>
          <w:szCs w:val="20"/>
        </w:rPr>
        <w:t>/</w:t>
      </w:r>
      <w:r w:rsidRPr="00437FFD">
        <w:rPr>
          <w:sz w:val="20"/>
          <w:szCs w:val="20"/>
        </w:rPr>
        <w:t>06, 30572, nr. 3, Advies Raad van State en Nader rapport, blz. 14-15.</w:t>
      </w:r>
    </w:p>
  </w:footnote>
  <w:footnote w:id="58">
    <w:p w:rsidR="00BA7971" w:rsidRDefault="00BA7971">
      <w:pPr>
        <w:pStyle w:val="FootnoteText"/>
      </w:pPr>
      <w:r>
        <w:rPr>
          <w:rStyle w:val="FootnoteReference"/>
          <w:rFonts w:cs="Angsana New"/>
        </w:rPr>
        <w:footnoteRef/>
      </w:r>
      <w:r w:rsidRPr="008D01A8">
        <w:rPr>
          <w:lang w:val="nl-NL"/>
        </w:rPr>
        <w:t xml:space="preserve"> </w:t>
      </w:r>
      <w:r>
        <w:rPr>
          <w:lang w:val="nl-NL"/>
        </w:rPr>
        <w:t>Zie artikel 10a, lid 3, onderdeel b, eerste volzin, Wet Vpb 1969</w:t>
      </w:r>
    </w:p>
  </w:footnote>
  <w:footnote w:id="59">
    <w:p w:rsidR="00BA7971" w:rsidRDefault="00BA7971" w:rsidP="00BC2FEF">
      <w:r w:rsidRPr="0026034F">
        <w:rPr>
          <w:rStyle w:val="FootnoteReference"/>
          <w:sz w:val="20"/>
          <w:szCs w:val="20"/>
        </w:rPr>
        <w:footnoteRef/>
      </w:r>
      <w:r w:rsidRPr="0026034F">
        <w:rPr>
          <w:sz w:val="20"/>
          <w:szCs w:val="20"/>
        </w:rPr>
        <w:t xml:space="preserve"> Kamerstukken II vergaderjaar 2005/06, 30572, nr. 3, MvT, blz. 19-21.</w:t>
      </w:r>
    </w:p>
  </w:footnote>
  <w:footnote w:id="60">
    <w:p w:rsidR="00BA7971" w:rsidRDefault="00BA7971" w:rsidP="00BC2FEF">
      <w:pPr>
        <w:pStyle w:val="FootnoteText"/>
        <w:ind w:left="284" w:hanging="284"/>
      </w:pPr>
      <w:r w:rsidRPr="009E3887">
        <w:rPr>
          <w:rStyle w:val="FootnoteReference"/>
          <w:rFonts w:cs="Angsana New"/>
        </w:rPr>
        <w:footnoteRef/>
      </w:r>
      <w:r w:rsidRPr="00736729">
        <w:rPr>
          <w:lang w:val="nl-NL"/>
        </w:rPr>
        <w:t xml:space="preserve"> </w:t>
      </w:r>
      <w:r w:rsidRPr="009E3887">
        <w:rPr>
          <w:lang w:val="nl-NL"/>
        </w:rPr>
        <w:t>HR 17 december 2004, nr. 39080, BNB 2005/169c</w:t>
      </w:r>
      <w:r>
        <w:rPr>
          <w:lang w:val="nl-NL"/>
        </w:rPr>
        <w:t xml:space="preserve"> </w:t>
      </w:r>
    </w:p>
  </w:footnote>
  <w:footnote w:id="61">
    <w:p w:rsidR="00BA7971" w:rsidRDefault="00BA7971" w:rsidP="005602A2">
      <w:pPr>
        <w:pStyle w:val="FootnoteText"/>
        <w:ind w:left="142" w:hanging="142"/>
      </w:pPr>
      <w:r w:rsidRPr="00E63DB3">
        <w:rPr>
          <w:rStyle w:val="FootnoteReference"/>
        </w:rPr>
        <w:footnoteRef/>
      </w:r>
      <w:r w:rsidRPr="00E63DB3">
        <w:rPr>
          <w:rFonts w:cs="Times New Roman"/>
          <w:lang w:val="nl-NL"/>
        </w:rPr>
        <w:t xml:space="preserve"> G.M.M. Michielse, </w:t>
      </w:r>
      <w:r w:rsidRPr="00E63DB3">
        <w:rPr>
          <w:rFonts w:cs="Times New Roman"/>
          <w:i/>
          <w:lang w:val="nl-NL"/>
        </w:rPr>
        <w:t>‘De buitenlandse ‘compenserende heffingsgrondslag’: een bananenschil</w:t>
      </w:r>
      <w:r w:rsidRPr="00E63DB3">
        <w:rPr>
          <w:i/>
          <w:lang w:val="nl-NL"/>
        </w:rPr>
        <w:t>’</w:t>
      </w:r>
      <w:r w:rsidRPr="00E63DB3">
        <w:rPr>
          <w:rFonts w:cs="Times New Roman"/>
          <w:lang w:val="nl-NL"/>
        </w:rPr>
        <w:t>, WFR 1996/</w:t>
      </w:r>
      <w:r>
        <w:rPr>
          <w:rFonts w:cs="Times New Roman"/>
          <w:lang w:val="nl-NL"/>
        </w:rPr>
        <w:t>6186 b</w:t>
      </w:r>
      <w:r w:rsidRPr="00E63DB3">
        <w:rPr>
          <w:rFonts w:cs="Times New Roman"/>
          <w:lang w:val="nl-NL"/>
        </w:rPr>
        <w:t>lz. 245</w:t>
      </w:r>
      <w:r>
        <w:rPr>
          <w:rFonts w:cs="Times New Roman"/>
          <w:lang w:val="nl-NL"/>
        </w:rPr>
        <w:t>-254</w:t>
      </w:r>
    </w:p>
  </w:footnote>
  <w:footnote w:id="62">
    <w:p w:rsidR="00BA7971" w:rsidRDefault="00BA7971" w:rsidP="00B6778B">
      <w:pPr>
        <w:pStyle w:val="FootnoteText"/>
      </w:pPr>
      <w:r w:rsidRPr="00976B76">
        <w:rPr>
          <w:rStyle w:val="FootnoteReference"/>
          <w:rFonts w:cs="Angsana New"/>
        </w:rPr>
        <w:footnoteRef/>
      </w:r>
      <w:r w:rsidRPr="00976B76">
        <w:rPr>
          <w:lang w:val="nl-NL"/>
        </w:rPr>
        <w:t xml:space="preserve"> </w:t>
      </w:r>
      <w:r>
        <w:rPr>
          <w:rFonts w:eastAsia="Arial Unicode MS"/>
          <w:lang w:val="nl-NL"/>
        </w:rPr>
        <w:t>Hof ’s-</w:t>
      </w:r>
      <w:r w:rsidRPr="00976B76">
        <w:rPr>
          <w:rFonts w:eastAsia="Arial Unicode MS"/>
          <w:lang w:val="nl-NL"/>
        </w:rPr>
        <w:t xml:space="preserve">Hertogenbosch, MK IV, 17 mei </w:t>
      </w:r>
      <w:r w:rsidRPr="00976B76">
        <w:rPr>
          <w:rStyle w:val="highlight1"/>
          <w:rFonts w:eastAsia="Arial Unicode MS" w:cs="Angsana New"/>
          <w:lang w:val="nl-NL"/>
        </w:rPr>
        <w:t>2006</w:t>
      </w:r>
      <w:r w:rsidRPr="00976B76">
        <w:rPr>
          <w:rFonts w:eastAsia="Arial Unicode MS"/>
          <w:lang w:val="nl-NL"/>
        </w:rPr>
        <w:t>, nr. 04/2493,</w:t>
      </w:r>
      <w:r w:rsidRPr="00976B76">
        <w:rPr>
          <w:lang w:val="nl-NL"/>
        </w:rPr>
        <w:t xml:space="preserve"> VN 2006/45.1.5</w:t>
      </w:r>
    </w:p>
  </w:footnote>
  <w:footnote w:id="63">
    <w:p w:rsidR="00BA7971" w:rsidRDefault="00BA7971" w:rsidP="00B6778B">
      <w:r w:rsidRPr="00976B76">
        <w:rPr>
          <w:rStyle w:val="FootnoteReference"/>
        </w:rPr>
        <w:footnoteRef/>
      </w:r>
      <w:r w:rsidRPr="00976B76">
        <w:rPr>
          <w:sz w:val="20"/>
          <w:szCs w:val="20"/>
        </w:rPr>
        <w:t xml:space="preserve"> Hoge Raad </w:t>
      </w:r>
      <w:r w:rsidRPr="00976B76">
        <w:rPr>
          <w:color w:val="000000"/>
          <w:sz w:val="20"/>
          <w:szCs w:val="20"/>
          <w:lang w:eastAsia="nl-NL"/>
        </w:rPr>
        <w:t>11 juli 2008, nr. 43</w:t>
      </w:r>
      <w:r>
        <w:rPr>
          <w:color w:val="000000"/>
          <w:sz w:val="20"/>
          <w:szCs w:val="20"/>
          <w:lang w:eastAsia="nl-NL"/>
        </w:rPr>
        <w:t xml:space="preserve"> </w:t>
      </w:r>
      <w:r w:rsidRPr="00976B76">
        <w:rPr>
          <w:color w:val="000000"/>
          <w:sz w:val="20"/>
          <w:szCs w:val="20"/>
          <w:lang w:eastAsia="nl-NL"/>
        </w:rPr>
        <w:t xml:space="preserve">376, </w:t>
      </w:r>
      <w:r w:rsidRPr="00976B76">
        <w:rPr>
          <w:sz w:val="20"/>
          <w:szCs w:val="20"/>
        </w:rPr>
        <w:t>V-N 2008/34.15</w:t>
      </w:r>
    </w:p>
  </w:footnote>
  <w:footnote w:id="64">
    <w:p w:rsidR="00BA7971" w:rsidRDefault="00BA7971" w:rsidP="00665E0A">
      <w:pPr>
        <w:pStyle w:val="FootnoteText"/>
      </w:pPr>
      <w:r w:rsidRPr="00AA587D">
        <w:rPr>
          <w:rStyle w:val="FootnoteReference"/>
          <w:rFonts w:cs="Angsana New"/>
        </w:rPr>
        <w:footnoteRef/>
      </w:r>
      <w:r w:rsidRPr="00AA587D">
        <w:rPr>
          <w:lang w:val="nl-NL"/>
        </w:rPr>
        <w:t xml:space="preserve"> O.C.R. Marres, ‘</w:t>
      </w:r>
      <w:r w:rsidRPr="00350D67">
        <w:rPr>
          <w:i/>
          <w:lang w:val="nl-NL"/>
        </w:rPr>
        <w:t>Fraus legis blijft een krachtig wapen tegen winstdrainage</w:t>
      </w:r>
      <w:r w:rsidRPr="00AA587D">
        <w:rPr>
          <w:lang w:val="nl-NL"/>
        </w:rPr>
        <w:t>’, WFR 2008/</w:t>
      </w:r>
      <w:r>
        <w:rPr>
          <w:lang w:val="nl-NL"/>
        </w:rPr>
        <w:t>6793</w:t>
      </w:r>
      <w:r w:rsidRPr="00AA587D">
        <w:rPr>
          <w:lang w:val="nl-NL"/>
        </w:rPr>
        <w:t>, blz. 1431</w:t>
      </w:r>
      <w:r>
        <w:rPr>
          <w:lang w:val="nl-NL"/>
        </w:rPr>
        <w:t>-1439</w:t>
      </w:r>
    </w:p>
  </w:footnote>
  <w:footnote w:id="65">
    <w:p w:rsidR="00BA7971" w:rsidRDefault="00BA7971" w:rsidP="00665E0A">
      <w:pPr>
        <w:pStyle w:val="FootnoteText"/>
      </w:pPr>
      <w:r w:rsidRPr="00CA69C9">
        <w:rPr>
          <w:rStyle w:val="FootnoteReference"/>
          <w:rFonts w:cs="Angsana New"/>
        </w:rPr>
        <w:footnoteRef/>
      </w:r>
      <w:r w:rsidRPr="00CA69C9">
        <w:rPr>
          <w:lang w:val="nl-NL"/>
        </w:rPr>
        <w:t xml:space="preserve"> Zie de volgende paragraaf (6.3</w:t>
      </w:r>
      <w:r>
        <w:rPr>
          <w:lang w:val="nl-NL"/>
        </w:rPr>
        <w:t>.1</w:t>
      </w:r>
      <w:r w:rsidRPr="00CA69C9">
        <w:rPr>
          <w:lang w:val="nl-NL"/>
        </w:rPr>
        <w:t>)</w:t>
      </w:r>
      <w:r>
        <w:rPr>
          <w:lang w:val="nl-NL"/>
        </w:rPr>
        <w:t xml:space="preserve"> </w:t>
      </w:r>
      <w:r w:rsidRPr="00CA69C9">
        <w:rPr>
          <w:lang w:val="nl-NL"/>
        </w:rPr>
        <w:t xml:space="preserve">voor mijn </w:t>
      </w:r>
      <w:r>
        <w:rPr>
          <w:lang w:val="nl-NL"/>
        </w:rPr>
        <w:t>zienswijze op bewuste aanvaarding.</w:t>
      </w:r>
    </w:p>
  </w:footnote>
  <w:footnote w:id="66">
    <w:p w:rsidR="00BA7971" w:rsidRDefault="00BA7971" w:rsidP="00DD2A69">
      <w:pPr>
        <w:pStyle w:val="FootnoteText"/>
        <w:ind w:left="142" w:hanging="142"/>
      </w:pPr>
      <w:r w:rsidRPr="00D62C34">
        <w:rPr>
          <w:rStyle w:val="FootnoteReference"/>
        </w:rPr>
        <w:footnoteRef/>
      </w:r>
      <w:r w:rsidRPr="00D62C34">
        <w:rPr>
          <w:rFonts w:cs="Times New Roman"/>
          <w:lang w:val="nl-NL"/>
        </w:rPr>
        <w:t xml:space="preserve"> Zie S.E.Faber en J.A.G.van der Geld, ‘</w:t>
      </w:r>
      <w:r w:rsidRPr="00D62C34">
        <w:rPr>
          <w:rFonts w:cs="Times New Roman"/>
          <w:i/>
          <w:lang w:val="nl-NL"/>
        </w:rPr>
        <w:t>Het wetsvoorstel tegen winstdrainage en van de versterking van de fiscale infracstructuur</w:t>
      </w:r>
      <w:r w:rsidRPr="00D62C34">
        <w:rPr>
          <w:rFonts w:cs="Times New Roman"/>
          <w:lang w:val="nl-NL"/>
        </w:rPr>
        <w:t>’, WFR1996/</w:t>
      </w:r>
      <w:r>
        <w:rPr>
          <w:rFonts w:cs="Times New Roman"/>
          <w:lang w:val="nl-NL"/>
        </w:rPr>
        <w:t>6200</w:t>
      </w:r>
      <w:r w:rsidRPr="00D62C34">
        <w:rPr>
          <w:rFonts w:cs="Times New Roman"/>
          <w:lang w:val="nl-NL"/>
        </w:rPr>
        <w:t>, blz. 749</w:t>
      </w:r>
      <w:r>
        <w:rPr>
          <w:rFonts w:cs="Times New Roman"/>
          <w:lang w:val="nl-NL"/>
        </w:rPr>
        <w:t>-775</w:t>
      </w:r>
    </w:p>
  </w:footnote>
  <w:footnote w:id="67">
    <w:p w:rsidR="00BA7971" w:rsidRDefault="00BA7971" w:rsidP="00DD2A69">
      <w:pPr>
        <w:pStyle w:val="FootnoteText"/>
        <w:ind w:left="142" w:hanging="142"/>
      </w:pPr>
      <w:r w:rsidRPr="00D62C34">
        <w:rPr>
          <w:rStyle w:val="FootnoteReference"/>
        </w:rPr>
        <w:footnoteRef/>
      </w:r>
      <w:r w:rsidRPr="00D62C34">
        <w:rPr>
          <w:rFonts w:cs="Times New Roman"/>
          <w:lang w:val="nl-NL"/>
        </w:rPr>
        <w:t xml:space="preserve"> Zie G.H.de Soeten, ‘</w:t>
      </w:r>
      <w:r w:rsidRPr="00D62C34">
        <w:rPr>
          <w:rFonts w:cs="Times New Roman"/>
          <w:i/>
          <w:lang w:val="nl-NL"/>
        </w:rPr>
        <w:t>Winstdrainage</w:t>
      </w:r>
      <w:r w:rsidRPr="00D62C34">
        <w:rPr>
          <w:rFonts w:cs="Times New Roman"/>
          <w:lang w:val="nl-NL"/>
        </w:rPr>
        <w:t>’, WFR 2002/</w:t>
      </w:r>
      <w:r>
        <w:rPr>
          <w:rFonts w:cs="Times New Roman"/>
          <w:lang w:val="nl-NL"/>
        </w:rPr>
        <w:t>6483</w:t>
      </w:r>
      <w:r w:rsidRPr="00D62C34">
        <w:rPr>
          <w:rFonts w:cs="Times New Roman"/>
          <w:lang w:val="nl-NL"/>
        </w:rPr>
        <w:t>, blz. 771</w:t>
      </w:r>
      <w:r>
        <w:rPr>
          <w:rFonts w:cs="Times New Roman"/>
          <w:lang w:val="nl-NL"/>
        </w:rPr>
        <w:t>-775</w:t>
      </w:r>
    </w:p>
  </w:footnote>
  <w:footnote w:id="68">
    <w:p w:rsidR="00BA7971" w:rsidRDefault="00BA7971" w:rsidP="00763BDF">
      <w:pPr>
        <w:pStyle w:val="FootnoteText"/>
        <w:ind w:left="142" w:hanging="142"/>
      </w:pPr>
      <w:r w:rsidRPr="00D62C34">
        <w:rPr>
          <w:rStyle w:val="FootnoteReference"/>
          <w:rFonts w:cs="Angsana New"/>
        </w:rPr>
        <w:footnoteRef/>
      </w:r>
      <w:r w:rsidRPr="00D62C34">
        <w:rPr>
          <w:lang w:val="nl-NL"/>
        </w:rPr>
        <w:t xml:space="preserve"> </w:t>
      </w:r>
      <w:r w:rsidRPr="00430D42">
        <w:rPr>
          <w:rFonts w:eastAsia="Arial Unicode MS" w:cs="Times New Roman"/>
          <w:i/>
          <w:color w:val="000000"/>
          <w:lang w:val="nl-NL" w:eastAsia="nl-NL"/>
        </w:rPr>
        <w:t>Hof ’s-Gravenhage, MK I, 31 januari 2003, nr. 01/2644</w:t>
      </w:r>
      <w:r w:rsidRPr="00D62C34">
        <w:rPr>
          <w:rFonts w:eastAsia="Arial Unicode MS" w:cs="Times New Roman"/>
          <w:i/>
          <w:color w:val="000000"/>
          <w:lang w:val="nl-NL" w:eastAsia="nl-NL"/>
        </w:rPr>
        <w:t>, VN 2003/28.1.20</w:t>
      </w:r>
    </w:p>
  </w:footnote>
  <w:footnote w:id="69">
    <w:p w:rsidR="00BA7971" w:rsidRDefault="00BA7971" w:rsidP="00DD2A69">
      <w:pPr>
        <w:pStyle w:val="FootnoteText"/>
      </w:pPr>
      <w:r w:rsidRPr="00435F4B">
        <w:rPr>
          <w:rStyle w:val="FootnoteReference"/>
        </w:rPr>
        <w:footnoteRef/>
      </w:r>
      <w:r w:rsidRPr="00435F4B">
        <w:rPr>
          <w:rFonts w:cs="Times New Roman"/>
          <w:lang w:val="nl-NL"/>
        </w:rPr>
        <w:t xml:space="preserve"> Zie voetnoot 6</w:t>
      </w:r>
      <w:r>
        <w:rPr>
          <w:rFonts w:cs="Times New Roman"/>
          <w:lang w:val="nl-NL"/>
        </w:rPr>
        <w:t>4</w:t>
      </w:r>
      <w:r w:rsidRPr="00435F4B">
        <w:rPr>
          <w:rFonts w:cs="Times New Roman"/>
          <w:lang w:val="nl-NL"/>
        </w:rPr>
        <w:t>, Marres, WFR 2008/</w:t>
      </w:r>
      <w:r>
        <w:rPr>
          <w:rFonts w:cs="Times New Roman"/>
          <w:lang w:val="nl-NL"/>
        </w:rPr>
        <w:t>6793</w:t>
      </w:r>
    </w:p>
  </w:footnote>
  <w:footnote w:id="70">
    <w:p w:rsidR="00BA7971" w:rsidRDefault="00BA7971" w:rsidP="00435F4B">
      <w:r w:rsidRPr="00435F4B">
        <w:rPr>
          <w:rStyle w:val="FootnoteReference"/>
          <w:sz w:val="20"/>
          <w:szCs w:val="20"/>
        </w:rPr>
        <w:footnoteRef/>
      </w:r>
      <w:r w:rsidRPr="00435F4B">
        <w:rPr>
          <w:color w:val="FF0000"/>
          <w:sz w:val="20"/>
          <w:szCs w:val="20"/>
        </w:rPr>
        <w:t xml:space="preserve"> </w:t>
      </w:r>
      <w:r w:rsidRPr="00435F4B">
        <w:rPr>
          <w:sz w:val="20"/>
          <w:szCs w:val="20"/>
        </w:rPr>
        <w:t>Kamerstukken II 2005/06, 30572, nr. 8, blz 45.</w:t>
      </w:r>
      <w:r w:rsidRPr="00435F4B">
        <w:rPr>
          <w:color w:val="FF0000"/>
          <w:sz w:val="20"/>
          <w:szCs w:val="20"/>
        </w:rPr>
        <w:t xml:space="preserve"> </w:t>
      </w:r>
    </w:p>
  </w:footnote>
  <w:footnote w:id="71">
    <w:p w:rsidR="00BA7971" w:rsidRDefault="00BA7971" w:rsidP="00435F4B">
      <w:pPr>
        <w:pStyle w:val="FootnoteText"/>
        <w:ind w:left="142" w:hanging="142"/>
      </w:pPr>
      <w:r w:rsidRPr="00435F4B">
        <w:rPr>
          <w:rStyle w:val="FootnoteReference"/>
          <w:rFonts w:cs="Angsana New"/>
        </w:rPr>
        <w:footnoteRef/>
      </w:r>
      <w:r w:rsidRPr="00435F4B">
        <w:rPr>
          <w:lang w:val="nl-NL"/>
        </w:rPr>
        <w:t xml:space="preserve"> Zie mijn mening en die van Besselaar</w:t>
      </w:r>
      <w:r>
        <w:rPr>
          <w:lang w:val="nl-NL"/>
        </w:rPr>
        <w:t xml:space="preserve"> (WFR 1990/5903)</w:t>
      </w:r>
      <w:r w:rsidRPr="00435F4B">
        <w:rPr>
          <w:lang w:val="nl-NL"/>
        </w:rPr>
        <w:t xml:space="preserve"> daarover in paragraaf 2.3.3</w:t>
      </w:r>
    </w:p>
  </w:footnote>
  <w:footnote w:id="72">
    <w:p w:rsidR="00BA7971" w:rsidRDefault="00BA7971" w:rsidP="00DA4496">
      <w:pPr>
        <w:pStyle w:val="FootnoteText"/>
        <w:ind w:left="142" w:hanging="142"/>
      </w:pPr>
      <w:r w:rsidRPr="00435F4B">
        <w:rPr>
          <w:rStyle w:val="FootnoteReference"/>
          <w:rFonts w:cs="Angsana New"/>
        </w:rPr>
        <w:footnoteRef/>
      </w:r>
      <w:r w:rsidRPr="00435F4B">
        <w:rPr>
          <w:lang w:val="nl-NL"/>
        </w:rPr>
        <w:t xml:space="preserve"> VS Wet Vennootschapsbelasting ’69, artikelsgewijs commentaar, art 10a Beperking in geval van winstdrainage, paragraaf 1.4 Doel en strekking</w:t>
      </w:r>
    </w:p>
  </w:footnote>
  <w:footnote w:id="73">
    <w:p w:rsidR="00BA7971" w:rsidRDefault="00BA7971" w:rsidP="00F45683">
      <w:pPr>
        <w:pStyle w:val="FootnoteText"/>
        <w:ind w:left="142" w:hanging="142"/>
      </w:pPr>
      <w:r>
        <w:rPr>
          <w:rStyle w:val="FootnoteReference"/>
          <w:rFonts w:cs="Angsana New"/>
        </w:rPr>
        <w:footnoteRef/>
      </w:r>
      <w:r w:rsidRPr="00F45683">
        <w:rPr>
          <w:lang w:val="nl-NL"/>
        </w:rPr>
        <w:t xml:space="preserve"> </w:t>
      </w:r>
      <w:r>
        <w:rPr>
          <w:lang w:val="nl-NL"/>
        </w:rPr>
        <w:t xml:space="preserve">Herinnerd moet worden dat gevallen waarbij de fiscus aannemelijk maakt dat de schuld is aangegaan met het oog op verrekening van verliezen niet door artikel 10a Wet Vpb 1969 bestreden worden. </w:t>
      </w:r>
    </w:p>
  </w:footnote>
  <w:footnote w:id="74">
    <w:p w:rsidR="00BA7971" w:rsidRDefault="00BA7971" w:rsidP="00B01E9C">
      <w:pPr>
        <w:pStyle w:val="FootnoteText"/>
        <w:ind w:left="142" w:hanging="142"/>
      </w:pPr>
      <w:r w:rsidRPr="00BC6AB5">
        <w:rPr>
          <w:rStyle w:val="FootnoteReference"/>
        </w:rPr>
        <w:footnoteRef/>
      </w:r>
      <w:r w:rsidRPr="00F45683">
        <w:rPr>
          <w:rFonts w:cs="Times New Roman"/>
          <w:lang w:val="nl-NL"/>
        </w:rPr>
        <w:t xml:space="preserve"> Zie voetnoot </w:t>
      </w:r>
      <w:r>
        <w:rPr>
          <w:rFonts w:cs="Times New Roman"/>
          <w:lang w:val="nl-NL"/>
        </w:rPr>
        <w:t>60</w:t>
      </w:r>
    </w:p>
  </w:footnote>
  <w:footnote w:id="75">
    <w:p w:rsidR="00BA7971" w:rsidRDefault="00BA7971" w:rsidP="00AC525D">
      <w:pPr>
        <w:pStyle w:val="FootnoteText"/>
      </w:pPr>
      <w:r>
        <w:rPr>
          <w:rStyle w:val="FootnoteReference"/>
          <w:rFonts w:cs="Angsana New"/>
        </w:rPr>
        <w:footnoteRef/>
      </w:r>
      <w:r w:rsidRPr="0022081B">
        <w:rPr>
          <w:lang w:val="nl-NL"/>
        </w:rPr>
        <w:t xml:space="preserve"> </w:t>
      </w:r>
      <w:r w:rsidRPr="0022081B">
        <w:rPr>
          <w:rFonts w:cs="Times New Roman"/>
          <w:lang w:val="nl-NL"/>
        </w:rPr>
        <w:t xml:space="preserve">Zie Brief Staatssecretaris van Financiën van 5 december 2009, nr. DB2009/674M </w:t>
      </w:r>
    </w:p>
  </w:footnote>
  <w:footnote w:id="76">
    <w:p w:rsidR="00BA7971" w:rsidRDefault="00BA7971">
      <w:pPr>
        <w:pStyle w:val="FootnoteText"/>
      </w:pPr>
      <w:r>
        <w:rPr>
          <w:rStyle w:val="FootnoteReference"/>
        </w:rPr>
        <w:footnoteRef/>
      </w:r>
      <w:r w:rsidRPr="00AC525D">
        <w:rPr>
          <w:lang w:val="nl-NL"/>
        </w:rPr>
        <w:t xml:space="preserve"> </w:t>
      </w:r>
      <w:r w:rsidRPr="0022081B">
        <w:rPr>
          <w:rFonts w:cs="Times New Roman"/>
          <w:lang w:val="nl-NL"/>
        </w:rPr>
        <w:t>Brief Staatssecretaris van Financiën van 14 juni 2009, Kamerstukken II, 2008</w:t>
      </w:r>
      <w:r>
        <w:rPr>
          <w:rFonts w:cs="Times New Roman"/>
          <w:lang w:val="nl-NL"/>
        </w:rPr>
        <w:t>/</w:t>
      </w:r>
      <w:r w:rsidRPr="0022081B">
        <w:rPr>
          <w:rFonts w:cs="Times New Roman"/>
          <w:lang w:val="nl-NL"/>
        </w:rPr>
        <w:t>09, 31 369, nr. 6</w:t>
      </w:r>
    </w:p>
  </w:footnote>
  <w:footnote w:id="77">
    <w:p w:rsidR="00BA7971" w:rsidRDefault="00BA7971">
      <w:pPr>
        <w:pStyle w:val="FootnoteText"/>
      </w:pPr>
      <w:r>
        <w:rPr>
          <w:rStyle w:val="FootnoteReference"/>
        </w:rPr>
        <w:footnoteRef/>
      </w:r>
      <w:r w:rsidRPr="00FC6FB7">
        <w:rPr>
          <w:lang w:val="nl-NL"/>
        </w:rPr>
        <w:t xml:space="preserve"> </w:t>
      </w:r>
      <w:r>
        <w:rPr>
          <w:lang w:val="nl-NL"/>
        </w:rPr>
        <w:t xml:space="preserve">In het kader van deze scriptie is het een afwijkende thema waardoor ik mijn mening erover niet zal uiten.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
    <w:nsid w:val="000D31FE"/>
    <w:multiLevelType w:val="multilevel"/>
    <w:tmpl w:val="0000000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
    <w:nsid w:val="0AE77624"/>
    <w:multiLevelType w:val="hybridMultilevel"/>
    <w:tmpl w:val="3F481482"/>
    <w:lvl w:ilvl="0" w:tplc="0413000F">
      <w:start w:val="1"/>
      <w:numFmt w:val="decimal"/>
      <w:lvlText w:val="%1."/>
      <w:lvlJc w:val="left"/>
      <w:pPr>
        <w:ind w:left="1428" w:hanging="360"/>
      </w:pPr>
      <w:rPr>
        <w:rFonts w:cs="Times New Roman"/>
      </w:rPr>
    </w:lvl>
    <w:lvl w:ilvl="1" w:tplc="04130019" w:tentative="1">
      <w:start w:val="1"/>
      <w:numFmt w:val="lowerLetter"/>
      <w:lvlText w:val="%2."/>
      <w:lvlJc w:val="left"/>
      <w:pPr>
        <w:ind w:left="2148" w:hanging="360"/>
      </w:pPr>
      <w:rPr>
        <w:rFonts w:cs="Times New Roman"/>
      </w:rPr>
    </w:lvl>
    <w:lvl w:ilvl="2" w:tplc="0413001B" w:tentative="1">
      <w:start w:val="1"/>
      <w:numFmt w:val="lowerRoman"/>
      <w:lvlText w:val="%3."/>
      <w:lvlJc w:val="right"/>
      <w:pPr>
        <w:ind w:left="2868" w:hanging="180"/>
      </w:pPr>
      <w:rPr>
        <w:rFonts w:cs="Times New Roman"/>
      </w:rPr>
    </w:lvl>
    <w:lvl w:ilvl="3" w:tplc="0413000F" w:tentative="1">
      <w:start w:val="1"/>
      <w:numFmt w:val="decimal"/>
      <w:lvlText w:val="%4."/>
      <w:lvlJc w:val="left"/>
      <w:pPr>
        <w:ind w:left="3588" w:hanging="360"/>
      </w:pPr>
      <w:rPr>
        <w:rFonts w:cs="Times New Roman"/>
      </w:rPr>
    </w:lvl>
    <w:lvl w:ilvl="4" w:tplc="04130019" w:tentative="1">
      <w:start w:val="1"/>
      <w:numFmt w:val="lowerLetter"/>
      <w:lvlText w:val="%5."/>
      <w:lvlJc w:val="left"/>
      <w:pPr>
        <w:ind w:left="4308" w:hanging="360"/>
      </w:pPr>
      <w:rPr>
        <w:rFonts w:cs="Times New Roman"/>
      </w:rPr>
    </w:lvl>
    <w:lvl w:ilvl="5" w:tplc="0413001B" w:tentative="1">
      <w:start w:val="1"/>
      <w:numFmt w:val="lowerRoman"/>
      <w:lvlText w:val="%6."/>
      <w:lvlJc w:val="right"/>
      <w:pPr>
        <w:ind w:left="5028" w:hanging="180"/>
      </w:pPr>
      <w:rPr>
        <w:rFonts w:cs="Times New Roman"/>
      </w:rPr>
    </w:lvl>
    <w:lvl w:ilvl="6" w:tplc="0413000F" w:tentative="1">
      <w:start w:val="1"/>
      <w:numFmt w:val="decimal"/>
      <w:lvlText w:val="%7."/>
      <w:lvlJc w:val="left"/>
      <w:pPr>
        <w:ind w:left="5748" w:hanging="360"/>
      </w:pPr>
      <w:rPr>
        <w:rFonts w:cs="Times New Roman"/>
      </w:rPr>
    </w:lvl>
    <w:lvl w:ilvl="7" w:tplc="04130019" w:tentative="1">
      <w:start w:val="1"/>
      <w:numFmt w:val="lowerLetter"/>
      <w:lvlText w:val="%8."/>
      <w:lvlJc w:val="left"/>
      <w:pPr>
        <w:ind w:left="6468" w:hanging="360"/>
      </w:pPr>
      <w:rPr>
        <w:rFonts w:cs="Times New Roman"/>
      </w:rPr>
    </w:lvl>
    <w:lvl w:ilvl="8" w:tplc="0413001B" w:tentative="1">
      <w:start w:val="1"/>
      <w:numFmt w:val="lowerRoman"/>
      <w:lvlText w:val="%9."/>
      <w:lvlJc w:val="right"/>
      <w:pPr>
        <w:ind w:left="7188" w:hanging="180"/>
      </w:pPr>
      <w:rPr>
        <w:rFonts w:cs="Times New Roman"/>
      </w:rPr>
    </w:lvl>
  </w:abstractNum>
  <w:abstractNum w:abstractNumId="3">
    <w:nsid w:val="2BD665A5"/>
    <w:multiLevelType w:val="hybridMultilevel"/>
    <w:tmpl w:val="6B24BA40"/>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49C128F3"/>
    <w:multiLevelType w:val="hybridMultilevel"/>
    <w:tmpl w:val="94C26B4C"/>
    <w:lvl w:ilvl="0" w:tplc="0413000F">
      <w:start w:val="1"/>
      <w:numFmt w:val="decimal"/>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0210A5E"/>
    <w:multiLevelType w:val="hybridMultilevel"/>
    <w:tmpl w:val="5FDE5DB6"/>
    <w:lvl w:ilvl="0" w:tplc="04130011">
      <w:start w:val="1"/>
      <w:numFmt w:val="decimal"/>
      <w:lvlText w:val="%1)"/>
      <w:lvlJc w:val="left"/>
      <w:pPr>
        <w:ind w:left="1353"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5"/>
  </w:num>
  <w:num w:numId="4">
    <w:abstractNumId w:val="2"/>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3D49"/>
    <w:rsid w:val="00000EA6"/>
    <w:rsid w:val="0001250F"/>
    <w:rsid w:val="00013FA3"/>
    <w:rsid w:val="00014D0E"/>
    <w:rsid w:val="00016C29"/>
    <w:rsid w:val="00017854"/>
    <w:rsid w:val="000203FA"/>
    <w:rsid w:val="00022707"/>
    <w:rsid w:val="000239B3"/>
    <w:rsid w:val="00026841"/>
    <w:rsid w:val="00032FF9"/>
    <w:rsid w:val="00034629"/>
    <w:rsid w:val="00034A04"/>
    <w:rsid w:val="00040214"/>
    <w:rsid w:val="0005198E"/>
    <w:rsid w:val="00053BA3"/>
    <w:rsid w:val="00053C65"/>
    <w:rsid w:val="00060A08"/>
    <w:rsid w:val="00063F2B"/>
    <w:rsid w:val="00066FAF"/>
    <w:rsid w:val="0007203E"/>
    <w:rsid w:val="00076AC4"/>
    <w:rsid w:val="00085B14"/>
    <w:rsid w:val="000861BA"/>
    <w:rsid w:val="00087CB1"/>
    <w:rsid w:val="00093542"/>
    <w:rsid w:val="000A34E9"/>
    <w:rsid w:val="000C27B3"/>
    <w:rsid w:val="000C6FF2"/>
    <w:rsid w:val="000E2FD2"/>
    <w:rsid w:val="000E4C8F"/>
    <w:rsid w:val="000F103D"/>
    <w:rsid w:val="000F14C1"/>
    <w:rsid w:val="000F16EE"/>
    <w:rsid w:val="001052AD"/>
    <w:rsid w:val="00107144"/>
    <w:rsid w:val="00114E03"/>
    <w:rsid w:val="00140FDC"/>
    <w:rsid w:val="00143122"/>
    <w:rsid w:val="00143E06"/>
    <w:rsid w:val="00145563"/>
    <w:rsid w:val="001500AD"/>
    <w:rsid w:val="00162F1D"/>
    <w:rsid w:val="00164EAC"/>
    <w:rsid w:val="00165D90"/>
    <w:rsid w:val="00173C37"/>
    <w:rsid w:val="00176B8E"/>
    <w:rsid w:val="0018778D"/>
    <w:rsid w:val="00190D56"/>
    <w:rsid w:val="00190E6D"/>
    <w:rsid w:val="0019349D"/>
    <w:rsid w:val="001945A5"/>
    <w:rsid w:val="00194B37"/>
    <w:rsid w:val="00195308"/>
    <w:rsid w:val="001A0904"/>
    <w:rsid w:val="001A2E32"/>
    <w:rsid w:val="001A3AF3"/>
    <w:rsid w:val="001A4321"/>
    <w:rsid w:val="001A4828"/>
    <w:rsid w:val="001B354E"/>
    <w:rsid w:val="001B36D0"/>
    <w:rsid w:val="001B561C"/>
    <w:rsid w:val="001B77FD"/>
    <w:rsid w:val="001C7346"/>
    <w:rsid w:val="001D01B5"/>
    <w:rsid w:val="001E136B"/>
    <w:rsid w:val="001E4EFB"/>
    <w:rsid w:val="001E6679"/>
    <w:rsid w:val="001E7608"/>
    <w:rsid w:val="001F0091"/>
    <w:rsid w:val="001F0BBB"/>
    <w:rsid w:val="001F5F68"/>
    <w:rsid w:val="001F6CD9"/>
    <w:rsid w:val="002157C9"/>
    <w:rsid w:val="0022081B"/>
    <w:rsid w:val="00235A7F"/>
    <w:rsid w:val="00251758"/>
    <w:rsid w:val="00256EC3"/>
    <w:rsid w:val="0026034F"/>
    <w:rsid w:val="00260B83"/>
    <w:rsid w:val="00262162"/>
    <w:rsid w:val="00273812"/>
    <w:rsid w:val="002759CD"/>
    <w:rsid w:val="00275CBC"/>
    <w:rsid w:val="00277285"/>
    <w:rsid w:val="002843C9"/>
    <w:rsid w:val="00291144"/>
    <w:rsid w:val="00291DC6"/>
    <w:rsid w:val="00294F74"/>
    <w:rsid w:val="00295794"/>
    <w:rsid w:val="00296654"/>
    <w:rsid w:val="00296FEB"/>
    <w:rsid w:val="002A05F2"/>
    <w:rsid w:val="002A06A7"/>
    <w:rsid w:val="002A12EF"/>
    <w:rsid w:val="002A4981"/>
    <w:rsid w:val="002A7573"/>
    <w:rsid w:val="002E2BEF"/>
    <w:rsid w:val="002E4142"/>
    <w:rsid w:val="002E4CD8"/>
    <w:rsid w:val="002E565C"/>
    <w:rsid w:val="002E5E71"/>
    <w:rsid w:val="002E5FF6"/>
    <w:rsid w:val="002F414C"/>
    <w:rsid w:val="003048F1"/>
    <w:rsid w:val="00313FDC"/>
    <w:rsid w:val="00314477"/>
    <w:rsid w:val="00315E8D"/>
    <w:rsid w:val="00323C22"/>
    <w:rsid w:val="003245BC"/>
    <w:rsid w:val="00334144"/>
    <w:rsid w:val="00336D07"/>
    <w:rsid w:val="0034226D"/>
    <w:rsid w:val="0034396D"/>
    <w:rsid w:val="00344AB9"/>
    <w:rsid w:val="00345BC2"/>
    <w:rsid w:val="00350D67"/>
    <w:rsid w:val="00351871"/>
    <w:rsid w:val="00357A32"/>
    <w:rsid w:val="00360E6B"/>
    <w:rsid w:val="00367465"/>
    <w:rsid w:val="0037021A"/>
    <w:rsid w:val="003725D2"/>
    <w:rsid w:val="0037279E"/>
    <w:rsid w:val="00374EE8"/>
    <w:rsid w:val="00385CA9"/>
    <w:rsid w:val="003872DD"/>
    <w:rsid w:val="00395595"/>
    <w:rsid w:val="003A105D"/>
    <w:rsid w:val="003A611F"/>
    <w:rsid w:val="003B3FDB"/>
    <w:rsid w:val="003B6E95"/>
    <w:rsid w:val="003B7AB2"/>
    <w:rsid w:val="003C0282"/>
    <w:rsid w:val="003C0B91"/>
    <w:rsid w:val="003C1631"/>
    <w:rsid w:val="003C51BC"/>
    <w:rsid w:val="003D17E6"/>
    <w:rsid w:val="003D699F"/>
    <w:rsid w:val="003E1B0F"/>
    <w:rsid w:val="003E4947"/>
    <w:rsid w:val="003F31D8"/>
    <w:rsid w:val="003F3E69"/>
    <w:rsid w:val="00401806"/>
    <w:rsid w:val="00402470"/>
    <w:rsid w:val="004119A5"/>
    <w:rsid w:val="004213F8"/>
    <w:rsid w:val="004232F6"/>
    <w:rsid w:val="00430D42"/>
    <w:rsid w:val="00433172"/>
    <w:rsid w:val="00435F4B"/>
    <w:rsid w:val="00437942"/>
    <w:rsid w:val="00437FFD"/>
    <w:rsid w:val="004414B3"/>
    <w:rsid w:val="00442AD7"/>
    <w:rsid w:val="00443A9F"/>
    <w:rsid w:val="004453A2"/>
    <w:rsid w:val="004511BD"/>
    <w:rsid w:val="0045384D"/>
    <w:rsid w:val="00457CAB"/>
    <w:rsid w:val="00461B9C"/>
    <w:rsid w:val="00463CEE"/>
    <w:rsid w:val="00467165"/>
    <w:rsid w:val="00473213"/>
    <w:rsid w:val="0047335D"/>
    <w:rsid w:val="004771E9"/>
    <w:rsid w:val="0048016E"/>
    <w:rsid w:val="00493139"/>
    <w:rsid w:val="00494CCE"/>
    <w:rsid w:val="004960E8"/>
    <w:rsid w:val="004979F2"/>
    <w:rsid w:val="004A5A48"/>
    <w:rsid w:val="004B3C12"/>
    <w:rsid w:val="004B6742"/>
    <w:rsid w:val="004C15BA"/>
    <w:rsid w:val="004D3FE2"/>
    <w:rsid w:val="004D5646"/>
    <w:rsid w:val="004D5D1F"/>
    <w:rsid w:val="004D697E"/>
    <w:rsid w:val="004D7710"/>
    <w:rsid w:val="004D785C"/>
    <w:rsid w:val="004E0E0F"/>
    <w:rsid w:val="004E45B4"/>
    <w:rsid w:val="004E6E95"/>
    <w:rsid w:val="004F1300"/>
    <w:rsid w:val="004F3EE5"/>
    <w:rsid w:val="004F519E"/>
    <w:rsid w:val="004F692E"/>
    <w:rsid w:val="00506803"/>
    <w:rsid w:val="00510E47"/>
    <w:rsid w:val="00511825"/>
    <w:rsid w:val="00515A28"/>
    <w:rsid w:val="0053592C"/>
    <w:rsid w:val="005374E6"/>
    <w:rsid w:val="00545AA1"/>
    <w:rsid w:val="005460A9"/>
    <w:rsid w:val="00550004"/>
    <w:rsid w:val="005602A2"/>
    <w:rsid w:val="00562B6D"/>
    <w:rsid w:val="00565433"/>
    <w:rsid w:val="005715D8"/>
    <w:rsid w:val="005718F8"/>
    <w:rsid w:val="005747CF"/>
    <w:rsid w:val="00590DBF"/>
    <w:rsid w:val="00592674"/>
    <w:rsid w:val="005929EF"/>
    <w:rsid w:val="00595D54"/>
    <w:rsid w:val="0059631A"/>
    <w:rsid w:val="005A4412"/>
    <w:rsid w:val="005A7634"/>
    <w:rsid w:val="005B0A9D"/>
    <w:rsid w:val="005B2BE3"/>
    <w:rsid w:val="005B51C3"/>
    <w:rsid w:val="005C509F"/>
    <w:rsid w:val="005D463F"/>
    <w:rsid w:val="005D6838"/>
    <w:rsid w:val="005D6ECF"/>
    <w:rsid w:val="005F065C"/>
    <w:rsid w:val="005F108D"/>
    <w:rsid w:val="0060367F"/>
    <w:rsid w:val="00605924"/>
    <w:rsid w:val="0060653F"/>
    <w:rsid w:val="0061065B"/>
    <w:rsid w:val="0061103F"/>
    <w:rsid w:val="006123FD"/>
    <w:rsid w:val="006136FF"/>
    <w:rsid w:val="00616A12"/>
    <w:rsid w:val="006228B7"/>
    <w:rsid w:val="00624697"/>
    <w:rsid w:val="00631243"/>
    <w:rsid w:val="006321D9"/>
    <w:rsid w:val="00643D4C"/>
    <w:rsid w:val="00646F70"/>
    <w:rsid w:val="00647A8A"/>
    <w:rsid w:val="00650062"/>
    <w:rsid w:val="00653640"/>
    <w:rsid w:val="006549E8"/>
    <w:rsid w:val="00662AAF"/>
    <w:rsid w:val="006653F6"/>
    <w:rsid w:val="00665E0A"/>
    <w:rsid w:val="0067232E"/>
    <w:rsid w:val="006845E9"/>
    <w:rsid w:val="00684DAB"/>
    <w:rsid w:val="0069054E"/>
    <w:rsid w:val="00693473"/>
    <w:rsid w:val="006938B9"/>
    <w:rsid w:val="006A1E83"/>
    <w:rsid w:val="006A3D2F"/>
    <w:rsid w:val="006A52F7"/>
    <w:rsid w:val="006A7973"/>
    <w:rsid w:val="006B04F1"/>
    <w:rsid w:val="006B5C5E"/>
    <w:rsid w:val="006B7D18"/>
    <w:rsid w:val="006C0067"/>
    <w:rsid w:val="006C561C"/>
    <w:rsid w:val="006D431C"/>
    <w:rsid w:val="006E0033"/>
    <w:rsid w:val="006E412D"/>
    <w:rsid w:val="006E729D"/>
    <w:rsid w:val="00702659"/>
    <w:rsid w:val="00704D19"/>
    <w:rsid w:val="00716F11"/>
    <w:rsid w:val="00724566"/>
    <w:rsid w:val="00725A73"/>
    <w:rsid w:val="00727A90"/>
    <w:rsid w:val="00736729"/>
    <w:rsid w:val="00742BB9"/>
    <w:rsid w:val="00747131"/>
    <w:rsid w:val="0076015D"/>
    <w:rsid w:val="00762172"/>
    <w:rsid w:val="00763BDF"/>
    <w:rsid w:val="007659AD"/>
    <w:rsid w:val="007702DE"/>
    <w:rsid w:val="00782072"/>
    <w:rsid w:val="0078495E"/>
    <w:rsid w:val="00785A37"/>
    <w:rsid w:val="00792BE0"/>
    <w:rsid w:val="00793AED"/>
    <w:rsid w:val="007A0A0A"/>
    <w:rsid w:val="007B34AE"/>
    <w:rsid w:val="007B6649"/>
    <w:rsid w:val="007C3D96"/>
    <w:rsid w:val="007C4F7A"/>
    <w:rsid w:val="007D014E"/>
    <w:rsid w:val="007D6531"/>
    <w:rsid w:val="007D7AE7"/>
    <w:rsid w:val="007D7D1A"/>
    <w:rsid w:val="007E52A9"/>
    <w:rsid w:val="007F3DDF"/>
    <w:rsid w:val="0080083D"/>
    <w:rsid w:val="008022CD"/>
    <w:rsid w:val="00807C35"/>
    <w:rsid w:val="00810902"/>
    <w:rsid w:val="0081740C"/>
    <w:rsid w:val="00817D62"/>
    <w:rsid w:val="00820D89"/>
    <w:rsid w:val="00825226"/>
    <w:rsid w:val="00827BA2"/>
    <w:rsid w:val="00833284"/>
    <w:rsid w:val="00844C01"/>
    <w:rsid w:val="00844CAF"/>
    <w:rsid w:val="00864D75"/>
    <w:rsid w:val="00865C1E"/>
    <w:rsid w:val="008679A1"/>
    <w:rsid w:val="008733F5"/>
    <w:rsid w:val="008743C3"/>
    <w:rsid w:val="0087622B"/>
    <w:rsid w:val="00881763"/>
    <w:rsid w:val="008879C2"/>
    <w:rsid w:val="008960D2"/>
    <w:rsid w:val="008A38F7"/>
    <w:rsid w:val="008A51F0"/>
    <w:rsid w:val="008B14CF"/>
    <w:rsid w:val="008B2CAF"/>
    <w:rsid w:val="008B4F0A"/>
    <w:rsid w:val="008C4118"/>
    <w:rsid w:val="008C7945"/>
    <w:rsid w:val="008D01A8"/>
    <w:rsid w:val="008D05FD"/>
    <w:rsid w:val="008D2D0C"/>
    <w:rsid w:val="008D5F80"/>
    <w:rsid w:val="008E0166"/>
    <w:rsid w:val="008E53D5"/>
    <w:rsid w:val="008E597E"/>
    <w:rsid w:val="008E6C1A"/>
    <w:rsid w:val="008F6AE1"/>
    <w:rsid w:val="00902B38"/>
    <w:rsid w:val="009032E9"/>
    <w:rsid w:val="00904A9B"/>
    <w:rsid w:val="009178CC"/>
    <w:rsid w:val="0095344E"/>
    <w:rsid w:val="0095387D"/>
    <w:rsid w:val="00955845"/>
    <w:rsid w:val="00967059"/>
    <w:rsid w:val="00967B08"/>
    <w:rsid w:val="00967B69"/>
    <w:rsid w:val="009700F7"/>
    <w:rsid w:val="00971580"/>
    <w:rsid w:val="00972AE9"/>
    <w:rsid w:val="00976B76"/>
    <w:rsid w:val="00981BC4"/>
    <w:rsid w:val="009862F4"/>
    <w:rsid w:val="00992C8A"/>
    <w:rsid w:val="009930C3"/>
    <w:rsid w:val="0099451A"/>
    <w:rsid w:val="00994CFD"/>
    <w:rsid w:val="00996B16"/>
    <w:rsid w:val="009A4215"/>
    <w:rsid w:val="009A42FA"/>
    <w:rsid w:val="009A6004"/>
    <w:rsid w:val="009B158B"/>
    <w:rsid w:val="009B1AB2"/>
    <w:rsid w:val="009C04E7"/>
    <w:rsid w:val="009C20CA"/>
    <w:rsid w:val="009D0617"/>
    <w:rsid w:val="009D06C4"/>
    <w:rsid w:val="009D54D6"/>
    <w:rsid w:val="009E3887"/>
    <w:rsid w:val="009E5137"/>
    <w:rsid w:val="009E59F5"/>
    <w:rsid w:val="009E7B1D"/>
    <w:rsid w:val="009F70CC"/>
    <w:rsid w:val="00A04C4E"/>
    <w:rsid w:val="00A113C0"/>
    <w:rsid w:val="00A16C8E"/>
    <w:rsid w:val="00A4287F"/>
    <w:rsid w:val="00A45271"/>
    <w:rsid w:val="00A46FE8"/>
    <w:rsid w:val="00A54965"/>
    <w:rsid w:val="00A571A1"/>
    <w:rsid w:val="00A65560"/>
    <w:rsid w:val="00A65600"/>
    <w:rsid w:val="00A721E1"/>
    <w:rsid w:val="00A769CB"/>
    <w:rsid w:val="00A879A0"/>
    <w:rsid w:val="00AA04EB"/>
    <w:rsid w:val="00AA2F8B"/>
    <w:rsid w:val="00AA54F7"/>
    <w:rsid w:val="00AA587D"/>
    <w:rsid w:val="00AA6BC3"/>
    <w:rsid w:val="00AA717C"/>
    <w:rsid w:val="00AB66D3"/>
    <w:rsid w:val="00AC5000"/>
    <w:rsid w:val="00AC525D"/>
    <w:rsid w:val="00AC5A83"/>
    <w:rsid w:val="00AD0AA4"/>
    <w:rsid w:val="00AD0B81"/>
    <w:rsid w:val="00AD0EEA"/>
    <w:rsid w:val="00AD100D"/>
    <w:rsid w:val="00AE194A"/>
    <w:rsid w:val="00AE1E37"/>
    <w:rsid w:val="00AE2802"/>
    <w:rsid w:val="00AF39A4"/>
    <w:rsid w:val="00B01E9C"/>
    <w:rsid w:val="00B03559"/>
    <w:rsid w:val="00B05DDC"/>
    <w:rsid w:val="00B167CD"/>
    <w:rsid w:val="00B30110"/>
    <w:rsid w:val="00B31B82"/>
    <w:rsid w:val="00B335FF"/>
    <w:rsid w:val="00B359C0"/>
    <w:rsid w:val="00B41F0A"/>
    <w:rsid w:val="00B4415E"/>
    <w:rsid w:val="00B53AA1"/>
    <w:rsid w:val="00B55156"/>
    <w:rsid w:val="00B634FA"/>
    <w:rsid w:val="00B6638B"/>
    <w:rsid w:val="00B6778B"/>
    <w:rsid w:val="00B70E04"/>
    <w:rsid w:val="00B713A3"/>
    <w:rsid w:val="00B7286C"/>
    <w:rsid w:val="00B72CDA"/>
    <w:rsid w:val="00B72FE5"/>
    <w:rsid w:val="00B741FB"/>
    <w:rsid w:val="00B808EA"/>
    <w:rsid w:val="00B93770"/>
    <w:rsid w:val="00BA7971"/>
    <w:rsid w:val="00BB02C1"/>
    <w:rsid w:val="00BB0FAA"/>
    <w:rsid w:val="00BC2FEF"/>
    <w:rsid w:val="00BC6493"/>
    <w:rsid w:val="00BC6AB5"/>
    <w:rsid w:val="00BD08AC"/>
    <w:rsid w:val="00BD515A"/>
    <w:rsid w:val="00BD6D89"/>
    <w:rsid w:val="00BE4D6E"/>
    <w:rsid w:val="00BE5C53"/>
    <w:rsid w:val="00BF2AD4"/>
    <w:rsid w:val="00C02743"/>
    <w:rsid w:val="00C06A63"/>
    <w:rsid w:val="00C1045F"/>
    <w:rsid w:val="00C16832"/>
    <w:rsid w:val="00C23AF7"/>
    <w:rsid w:val="00C24DF6"/>
    <w:rsid w:val="00C25509"/>
    <w:rsid w:val="00C27644"/>
    <w:rsid w:val="00C34B9E"/>
    <w:rsid w:val="00C3507A"/>
    <w:rsid w:val="00C3594A"/>
    <w:rsid w:val="00C36517"/>
    <w:rsid w:val="00C3658E"/>
    <w:rsid w:val="00C416BB"/>
    <w:rsid w:val="00C42A58"/>
    <w:rsid w:val="00C4463B"/>
    <w:rsid w:val="00C47B56"/>
    <w:rsid w:val="00C53BAC"/>
    <w:rsid w:val="00C5448C"/>
    <w:rsid w:val="00C553C9"/>
    <w:rsid w:val="00C56AE4"/>
    <w:rsid w:val="00C571CE"/>
    <w:rsid w:val="00C65D46"/>
    <w:rsid w:val="00C80A33"/>
    <w:rsid w:val="00C85DFA"/>
    <w:rsid w:val="00C8760F"/>
    <w:rsid w:val="00C90C12"/>
    <w:rsid w:val="00C963C6"/>
    <w:rsid w:val="00C97D54"/>
    <w:rsid w:val="00CA69C9"/>
    <w:rsid w:val="00CA7F5A"/>
    <w:rsid w:val="00CB395C"/>
    <w:rsid w:val="00CB41A5"/>
    <w:rsid w:val="00CC0ABE"/>
    <w:rsid w:val="00CC334F"/>
    <w:rsid w:val="00CC695E"/>
    <w:rsid w:val="00CD2F83"/>
    <w:rsid w:val="00CD44AE"/>
    <w:rsid w:val="00CE40F6"/>
    <w:rsid w:val="00D00771"/>
    <w:rsid w:val="00D01B2C"/>
    <w:rsid w:val="00D10E35"/>
    <w:rsid w:val="00D135C4"/>
    <w:rsid w:val="00D16843"/>
    <w:rsid w:val="00D260E0"/>
    <w:rsid w:val="00D313D5"/>
    <w:rsid w:val="00D3218B"/>
    <w:rsid w:val="00D33AEC"/>
    <w:rsid w:val="00D34084"/>
    <w:rsid w:val="00D346F1"/>
    <w:rsid w:val="00D4429C"/>
    <w:rsid w:val="00D47B6E"/>
    <w:rsid w:val="00D47D01"/>
    <w:rsid w:val="00D51566"/>
    <w:rsid w:val="00D61E65"/>
    <w:rsid w:val="00D62C34"/>
    <w:rsid w:val="00D667BE"/>
    <w:rsid w:val="00D67804"/>
    <w:rsid w:val="00D73D49"/>
    <w:rsid w:val="00D9539A"/>
    <w:rsid w:val="00D955CF"/>
    <w:rsid w:val="00D97F30"/>
    <w:rsid w:val="00DA4496"/>
    <w:rsid w:val="00DB63D7"/>
    <w:rsid w:val="00DB7B42"/>
    <w:rsid w:val="00DC0C13"/>
    <w:rsid w:val="00DC0D7E"/>
    <w:rsid w:val="00DC7B0C"/>
    <w:rsid w:val="00DD1F24"/>
    <w:rsid w:val="00DD1FC1"/>
    <w:rsid w:val="00DD2513"/>
    <w:rsid w:val="00DD2A69"/>
    <w:rsid w:val="00DD5D77"/>
    <w:rsid w:val="00DD6D0D"/>
    <w:rsid w:val="00DD6EAC"/>
    <w:rsid w:val="00DF423C"/>
    <w:rsid w:val="00E00600"/>
    <w:rsid w:val="00E028C6"/>
    <w:rsid w:val="00E05F4B"/>
    <w:rsid w:val="00E10241"/>
    <w:rsid w:val="00E14DB5"/>
    <w:rsid w:val="00E178ED"/>
    <w:rsid w:val="00E202B1"/>
    <w:rsid w:val="00E24553"/>
    <w:rsid w:val="00E4275D"/>
    <w:rsid w:val="00E445F6"/>
    <w:rsid w:val="00E45E71"/>
    <w:rsid w:val="00E62D45"/>
    <w:rsid w:val="00E63DB3"/>
    <w:rsid w:val="00E66282"/>
    <w:rsid w:val="00E70CA4"/>
    <w:rsid w:val="00E74491"/>
    <w:rsid w:val="00E7545B"/>
    <w:rsid w:val="00E91314"/>
    <w:rsid w:val="00E9244F"/>
    <w:rsid w:val="00E961FC"/>
    <w:rsid w:val="00EB111E"/>
    <w:rsid w:val="00EB129E"/>
    <w:rsid w:val="00EB2189"/>
    <w:rsid w:val="00EB3051"/>
    <w:rsid w:val="00EB620A"/>
    <w:rsid w:val="00EB690F"/>
    <w:rsid w:val="00EB7333"/>
    <w:rsid w:val="00ED71C8"/>
    <w:rsid w:val="00EE4E6D"/>
    <w:rsid w:val="00EE646A"/>
    <w:rsid w:val="00EF28F0"/>
    <w:rsid w:val="00F01D31"/>
    <w:rsid w:val="00F10009"/>
    <w:rsid w:val="00F24CDA"/>
    <w:rsid w:val="00F27378"/>
    <w:rsid w:val="00F27A32"/>
    <w:rsid w:val="00F27AAA"/>
    <w:rsid w:val="00F303A4"/>
    <w:rsid w:val="00F351BC"/>
    <w:rsid w:val="00F35318"/>
    <w:rsid w:val="00F401E6"/>
    <w:rsid w:val="00F45683"/>
    <w:rsid w:val="00F45890"/>
    <w:rsid w:val="00F47404"/>
    <w:rsid w:val="00F541E6"/>
    <w:rsid w:val="00F548EA"/>
    <w:rsid w:val="00F56AB4"/>
    <w:rsid w:val="00F64887"/>
    <w:rsid w:val="00F74EAC"/>
    <w:rsid w:val="00F82E34"/>
    <w:rsid w:val="00F86384"/>
    <w:rsid w:val="00F86523"/>
    <w:rsid w:val="00F87D4C"/>
    <w:rsid w:val="00FA3C04"/>
    <w:rsid w:val="00FA6FC4"/>
    <w:rsid w:val="00FB05D5"/>
    <w:rsid w:val="00FC0C4A"/>
    <w:rsid w:val="00FC5048"/>
    <w:rsid w:val="00FC6FB7"/>
    <w:rsid w:val="00FD504C"/>
    <w:rsid w:val="00FD61E5"/>
    <w:rsid w:val="00FD6EC7"/>
    <w:rsid w:val="00FD7A7E"/>
    <w:rsid w:val="00FF1684"/>
    <w:rsid w:val="00FF24F3"/>
    <w:rsid w:val="00FF68A4"/>
    <w:rsid w:val="00FF75A7"/>
    <w:rsid w:val="00FF77A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ndalus" w:eastAsia="Calibri" w:hAnsi="Andalus" w:cs="Andalus"/>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D49"/>
    <w:pPr>
      <w:widowControl w:val="0"/>
      <w:suppressAutoHyphens/>
    </w:pPr>
    <w:rPr>
      <w:rFonts w:ascii="Times New Roman" w:eastAsia="Arial Unicode MS" w:hAnsi="Times New Roman" w:cs="Times New Roman"/>
      <w:kern w:val="1"/>
      <w:sz w:val="24"/>
      <w:szCs w:val="24"/>
      <w:lang w:val="nl-NL" w:eastAsia="ar-S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rsid w:val="00D73D49"/>
    <w:rPr>
      <w:rFonts w:cs="Times New Roman"/>
      <w:vertAlign w:val="superscript"/>
    </w:rPr>
  </w:style>
  <w:style w:type="paragraph" w:styleId="FootnoteText">
    <w:name w:val="footnote text"/>
    <w:basedOn w:val="Normal"/>
    <w:link w:val="FootnoteTextChar"/>
    <w:uiPriority w:val="99"/>
    <w:semiHidden/>
    <w:rsid w:val="00D73D49"/>
    <w:pPr>
      <w:widowControl/>
      <w:suppressLineNumbers/>
      <w:ind w:left="283" w:hanging="283"/>
    </w:pPr>
    <w:rPr>
      <w:rFonts w:eastAsia="Times New Roman" w:cs="Angsana New"/>
      <w:sz w:val="20"/>
      <w:szCs w:val="20"/>
      <w:lang w:val="en-AU" w:eastAsia="th-TH" w:bidi="th-TH"/>
    </w:rPr>
  </w:style>
  <w:style w:type="character" w:customStyle="1" w:styleId="FootnoteTextChar">
    <w:name w:val="Footnote Text Char"/>
    <w:basedOn w:val="DefaultParagraphFont"/>
    <w:link w:val="FootnoteText"/>
    <w:uiPriority w:val="99"/>
    <w:semiHidden/>
    <w:locked/>
    <w:rsid w:val="00D73D49"/>
    <w:rPr>
      <w:rFonts w:ascii="Times New Roman" w:hAnsi="Times New Roman" w:cs="Angsana New"/>
      <w:kern w:val="1"/>
      <w:sz w:val="20"/>
      <w:szCs w:val="20"/>
      <w:lang w:val="en-AU" w:eastAsia="th-TH" w:bidi="th-TH"/>
    </w:rPr>
  </w:style>
  <w:style w:type="paragraph" w:styleId="ListParagraph">
    <w:name w:val="List Paragraph"/>
    <w:basedOn w:val="Normal"/>
    <w:uiPriority w:val="99"/>
    <w:qFormat/>
    <w:rsid w:val="00B713A3"/>
    <w:pPr>
      <w:widowControl/>
      <w:suppressAutoHyphens w:val="0"/>
      <w:spacing w:after="200" w:line="276" w:lineRule="auto"/>
      <w:ind w:left="720"/>
      <w:contextualSpacing/>
    </w:pPr>
    <w:rPr>
      <w:rFonts w:ascii="Andalus" w:eastAsia="Calibri" w:hAnsi="Andalus" w:cs="Andalus"/>
      <w:kern w:val="0"/>
      <w:szCs w:val="22"/>
      <w:lang w:eastAsia="en-US"/>
    </w:rPr>
  </w:style>
  <w:style w:type="paragraph" w:styleId="CommentText">
    <w:name w:val="annotation text"/>
    <w:basedOn w:val="Normal"/>
    <w:link w:val="CommentTextChar"/>
    <w:uiPriority w:val="99"/>
    <w:semiHidden/>
    <w:rsid w:val="00C25509"/>
    <w:pPr>
      <w:widowControl/>
      <w:suppressAutoHyphens w:val="0"/>
      <w:spacing w:after="200" w:line="276" w:lineRule="auto"/>
    </w:pPr>
    <w:rPr>
      <w:rFonts w:ascii="Andalus" w:eastAsia="Calibri" w:hAnsi="Andalus" w:cs="Andalus"/>
      <w:kern w:val="0"/>
      <w:sz w:val="20"/>
      <w:szCs w:val="20"/>
      <w:lang w:eastAsia="en-US"/>
    </w:rPr>
  </w:style>
  <w:style w:type="character" w:customStyle="1" w:styleId="CommentTextChar">
    <w:name w:val="Comment Text Char"/>
    <w:basedOn w:val="DefaultParagraphFont"/>
    <w:link w:val="CommentText"/>
    <w:uiPriority w:val="99"/>
    <w:semiHidden/>
    <w:locked/>
    <w:rsid w:val="00C25509"/>
    <w:rPr>
      <w:rFonts w:eastAsia="Times New Roman" w:cs="Times New Roman"/>
      <w:sz w:val="20"/>
      <w:szCs w:val="20"/>
    </w:rPr>
  </w:style>
  <w:style w:type="character" w:customStyle="1" w:styleId="highlight1">
    <w:name w:val="highlight1"/>
    <w:basedOn w:val="DefaultParagraphFont"/>
    <w:uiPriority w:val="99"/>
    <w:rsid w:val="00B6778B"/>
    <w:rPr>
      <w:rFonts w:cs="Times New Roman"/>
    </w:rPr>
  </w:style>
  <w:style w:type="paragraph" w:styleId="BalloonText">
    <w:name w:val="Balloon Text"/>
    <w:basedOn w:val="Normal"/>
    <w:link w:val="BalloonTextChar"/>
    <w:uiPriority w:val="99"/>
    <w:semiHidden/>
    <w:rsid w:val="00C02743"/>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02743"/>
    <w:rPr>
      <w:rFonts w:ascii="Tahoma" w:eastAsia="Arial Unicode MS" w:hAnsi="Tahoma" w:cs="Tahoma"/>
      <w:kern w:val="1"/>
      <w:sz w:val="16"/>
      <w:szCs w:val="16"/>
      <w:lang w:eastAsia="ar-SA" w:bidi="ar-SA"/>
    </w:rPr>
  </w:style>
  <w:style w:type="paragraph" w:styleId="Header">
    <w:name w:val="header"/>
    <w:basedOn w:val="Normal"/>
    <w:link w:val="HeaderChar"/>
    <w:uiPriority w:val="99"/>
    <w:semiHidden/>
    <w:rsid w:val="00D16843"/>
    <w:pPr>
      <w:tabs>
        <w:tab w:val="center" w:pos="4536"/>
        <w:tab w:val="right" w:pos="9072"/>
      </w:tabs>
    </w:pPr>
  </w:style>
  <w:style w:type="character" w:customStyle="1" w:styleId="HeaderChar">
    <w:name w:val="Header Char"/>
    <w:basedOn w:val="DefaultParagraphFont"/>
    <w:link w:val="Header"/>
    <w:uiPriority w:val="99"/>
    <w:semiHidden/>
    <w:locked/>
    <w:rsid w:val="00D16843"/>
    <w:rPr>
      <w:rFonts w:ascii="Times New Roman" w:eastAsia="Arial Unicode MS" w:hAnsi="Times New Roman" w:cs="Times New Roman"/>
      <w:kern w:val="1"/>
      <w:sz w:val="24"/>
      <w:szCs w:val="24"/>
      <w:lang w:eastAsia="ar-SA" w:bidi="ar-SA"/>
    </w:rPr>
  </w:style>
  <w:style w:type="paragraph" w:styleId="Footer">
    <w:name w:val="footer"/>
    <w:basedOn w:val="Normal"/>
    <w:link w:val="FooterChar"/>
    <w:uiPriority w:val="99"/>
    <w:rsid w:val="00D16843"/>
    <w:pPr>
      <w:tabs>
        <w:tab w:val="center" w:pos="4536"/>
        <w:tab w:val="right" w:pos="9072"/>
      </w:tabs>
    </w:pPr>
  </w:style>
  <w:style w:type="character" w:customStyle="1" w:styleId="FooterChar">
    <w:name w:val="Footer Char"/>
    <w:basedOn w:val="DefaultParagraphFont"/>
    <w:link w:val="Footer"/>
    <w:uiPriority w:val="99"/>
    <w:locked/>
    <w:rsid w:val="00D16843"/>
    <w:rPr>
      <w:rFonts w:ascii="Times New Roman" w:eastAsia="Arial Unicode MS" w:hAnsi="Times New Roman" w:cs="Times New Roman"/>
      <w:kern w:val="1"/>
      <w:sz w:val="24"/>
      <w:szCs w:val="24"/>
      <w:lang w:eastAsia="ar-SA"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45</Pages>
  <Words>12973</Words>
  <Characters>-32766</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         NADRUK VERBODEN</dc:title>
  <dc:subject/>
  <dc:creator>Ghiny</dc:creator>
  <cp:keywords/>
  <dc:description/>
  <cp:lastModifiedBy>Universiteitsbibliotheek</cp:lastModifiedBy>
  <cp:revision>2</cp:revision>
  <dcterms:created xsi:type="dcterms:W3CDTF">2010-07-29T12:36:00Z</dcterms:created>
  <dcterms:modified xsi:type="dcterms:W3CDTF">2010-07-29T12:36:00Z</dcterms:modified>
</cp:coreProperties>
</file>