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041B1" w:rsidRDefault="001041B1" w:rsidP="00481F41">
      <w:pPr>
        <w:autoSpaceDE w:val="0"/>
        <w:autoSpaceDN w:val="0"/>
        <w:adjustRightInd w:val="0"/>
        <w:jc w:val="center"/>
        <w:rPr>
          <w:rFonts w:ascii="Franklin Gothic Medium" w:hAnsi="Franklin Gothic Medium" w:cs="Times New Roman"/>
          <w:color w:val="000000"/>
          <w:sz w:val="23"/>
          <w:szCs w:val="23"/>
        </w:rPr>
      </w:pPr>
      <w:r w:rsidRPr="00E71433">
        <w:rPr>
          <w:rFonts w:ascii="Franklin Gothic Medium" w:hAnsi="Franklin Gothic Medium" w:cs="Times New Roman"/>
          <w:color w:val="000000"/>
          <w:sz w:val="23"/>
          <w:szCs w:val="23"/>
        </w:rPr>
        <w:t xml:space="preserve">ERASMUS UNIVERSITY </w:t>
      </w:r>
      <w:smartTag w:uri="urn:schemas-microsoft-com:office:smarttags" w:element="place">
        <w:smartTag w:uri="urn:schemas-microsoft-com:office:smarttags" w:element="City">
          <w:r w:rsidRPr="00E71433">
            <w:rPr>
              <w:rFonts w:ascii="Franklin Gothic Medium" w:hAnsi="Franklin Gothic Medium" w:cs="Times New Roman"/>
              <w:color w:val="000000"/>
              <w:sz w:val="23"/>
              <w:szCs w:val="23"/>
            </w:rPr>
            <w:t>ROTTERDAM</w:t>
          </w:r>
        </w:smartTag>
      </w:smartTag>
    </w:p>
    <w:p w:rsidR="001041B1" w:rsidRPr="00E71433" w:rsidRDefault="001041B1" w:rsidP="00481F41">
      <w:pPr>
        <w:autoSpaceDE w:val="0"/>
        <w:autoSpaceDN w:val="0"/>
        <w:adjustRightInd w:val="0"/>
        <w:jc w:val="center"/>
        <w:rPr>
          <w:rFonts w:ascii="Franklin Gothic Medium" w:hAnsi="Franklin Gothic Medium" w:cs="Times New Roman"/>
          <w:color w:val="000000"/>
          <w:sz w:val="23"/>
          <w:szCs w:val="23"/>
        </w:rPr>
      </w:pPr>
      <w:r>
        <w:rPr>
          <w:rFonts w:ascii="Franklin Gothic Medium" w:hAnsi="Franklin Gothic Medium" w:cs="Times New Roman"/>
          <w:color w:val="000000"/>
          <w:sz w:val="23"/>
          <w:szCs w:val="23"/>
        </w:rPr>
        <w:t>-master thesis-</w:t>
      </w:r>
    </w:p>
    <w:p w:rsidR="001041B1" w:rsidRPr="00E71433" w:rsidRDefault="001041B1">
      <w:pPr>
        <w:rPr>
          <w:rFonts w:ascii="Franklin Gothic Medium" w:hAnsi="Franklin Gothic Medium" w:cs="Times New Roman"/>
          <w:b/>
          <w:bCs/>
          <w:color w:val="4F81BD"/>
          <w:sz w:val="24"/>
          <w:szCs w:val="24"/>
        </w:rPr>
      </w:pPr>
    </w:p>
    <w:p w:rsidR="001041B1" w:rsidRPr="00E71433" w:rsidRDefault="001041B1">
      <w:pPr>
        <w:rPr>
          <w:rFonts w:ascii="Franklin Gothic Medium" w:hAnsi="Franklin Gothic Medium" w:cs="Times New Roman"/>
          <w:b/>
          <w:bCs/>
          <w:color w:val="4F81BD"/>
          <w:sz w:val="24"/>
          <w:szCs w:val="24"/>
        </w:rPr>
      </w:pPr>
    </w:p>
    <w:p w:rsidR="001041B1" w:rsidRPr="00E71433" w:rsidRDefault="001041B1">
      <w:pPr>
        <w:rPr>
          <w:rFonts w:ascii="Franklin Gothic Medium" w:hAnsi="Franklin Gothic Medium" w:cs="Times New Roman"/>
          <w:b/>
          <w:bCs/>
          <w:color w:val="4F81BD"/>
          <w:sz w:val="24"/>
          <w:szCs w:val="24"/>
        </w:rPr>
      </w:pPr>
    </w:p>
    <w:p w:rsidR="001041B1" w:rsidRPr="00E71433" w:rsidRDefault="001041B1" w:rsidP="00481F41">
      <w:pPr>
        <w:autoSpaceDE w:val="0"/>
        <w:autoSpaceDN w:val="0"/>
        <w:adjustRightInd w:val="0"/>
        <w:jc w:val="center"/>
        <w:rPr>
          <w:rFonts w:ascii="Franklin Gothic Medium" w:hAnsi="Franklin Gothic Medium" w:cs="Arial Unicode MS"/>
          <w:color w:val="000000"/>
          <w:sz w:val="44"/>
          <w:szCs w:val="44"/>
        </w:rPr>
      </w:pPr>
      <w:r w:rsidRPr="00E71433">
        <w:rPr>
          <w:rFonts w:ascii="Franklin Gothic Medium" w:hAnsi="Franklin Gothic Medium" w:cs="Arial Unicode MS"/>
          <w:color w:val="000000"/>
          <w:sz w:val="44"/>
          <w:szCs w:val="44"/>
        </w:rPr>
        <w:t>Sovereign bond spread</w:t>
      </w:r>
      <w:r>
        <w:rPr>
          <w:rFonts w:ascii="Franklin Gothic Medium" w:hAnsi="Franklin Gothic Medium" w:cs="Arial Unicode MS"/>
          <w:color w:val="000000"/>
          <w:sz w:val="44"/>
          <w:szCs w:val="44"/>
        </w:rPr>
        <w:t>s</w:t>
      </w:r>
      <w:r w:rsidRPr="00E71433">
        <w:rPr>
          <w:rFonts w:ascii="Franklin Gothic Medium" w:hAnsi="Franklin Gothic Medium" w:cs="Arial Unicode MS"/>
          <w:color w:val="000000"/>
          <w:sz w:val="44"/>
          <w:szCs w:val="44"/>
        </w:rPr>
        <w:t xml:space="preserve"> of emerging economies versus the US Dollar: the role of country-specific variables and macroeconomic fundamentals</w:t>
      </w:r>
    </w:p>
    <w:p w:rsidR="001041B1" w:rsidRPr="00E71433" w:rsidRDefault="001041B1">
      <w:pPr>
        <w:autoSpaceDE w:val="0"/>
        <w:autoSpaceDN w:val="0"/>
        <w:adjustRightInd w:val="0"/>
        <w:rPr>
          <w:rFonts w:ascii="Franklin Gothic Medium" w:hAnsi="Franklin Gothic Medium" w:cs="Times New Roman"/>
          <w:color w:val="000000"/>
          <w:sz w:val="23"/>
          <w:szCs w:val="23"/>
        </w:rPr>
      </w:pPr>
    </w:p>
    <w:p w:rsidR="001041B1" w:rsidRPr="0013338A" w:rsidRDefault="001041B1" w:rsidP="00481F41">
      <w:pPr>
        <w:shd w:val="clear" w:color="auto" w:fill="FFFFFF"/>
        <w:spacing w:line="15" w:lineRule="atLeast"/>
        <w:jc w:val="center"/>
        <w:rPr>
          <w:rFonts w:ascii="Franklin Gothic Medium" w:hAnsi="Franklin Gothic Medium" w:cs="Arial"/>
          <w:sz w:val="20"/>
          <w:szCs w:val="20"/>
        </w:rPr>
      </w:pPr>
      <w:r w:rsidRPr="0021104B">
        <w:rPr>
          <w:rFonts w:ascii="Franklin Gothic Medium" w:hAnsi="Franklin Gothic Medium" w:cs="Arial"/>
          <w:noProof/>
          <w:sz w:val="20"/>
          <w:szCs w:val="20"/>
        </w:rPr>
        <w:pict>
          <v:shape id="_x0000_i1028" type="#_x0000_t75" alt="http://socgeo.ruhosting.nl/html/images/Erasmus.gif" style="width:244.5pt;height:111.75pt;visibility:visible">
            <v:imagedata r:id="rId7" o:title=""/>
          </v:shape>
        </w:pict>
      </w:r>
    </w:p>
    <w:p w:rsidR="001041B1" w:rsidRPr="00E71433" w:rsidRDefault="001041B1" w:rsidP="00481F41">
      <w:pPr>
        <w:autoSpaceDE w:val="0"/>
        <w:autoSpaceDN w:val="0"/>
        <w:adjustRightInd w:val="0"/>
        <w:jc w:val="center"/>
        <w:rPr>
          <w:rFonts w:ascii="Franklin Gothic Medium" w:hAnsi="Franklin Gothic Medium" w:cs="Times New Roman"/>
          <w:color w:val="000000"/>
          <w:sz w:val="23"/>
          <w:szCs w:val="23"/>
        </w:rPr>
      </w:pPr>
      <w:smartTag w:uri="urn:schemas-microsoft-com:office:smarttags" w:element="place">
        <w:smartTag w:uri="urn:schemas-microsoft-com:office:smarttags" w:element="PlaceName">
          <w:r w:rsidRPr="00E71433">
            <w:rPr>
              <w:rFonts w:ascii="Franklin Gothic Medium" w:hAnsi="Franklin Gothic Medium" w:cs="Times New Roman"/>
              <w:color w:val="000000"/>
              <w:sz w:val="23"/>
              <w:szCs w:val="23"/>
            </w:rPr>
            <w:t>Erasmus</w:t>
          </w:r>
        </w:smartTag>
        <w:r w:rsidRPr="00E71433">
          <w:rPr>
            <w:rFonts w:ascii="Franklin Gothic Medium" w:hAnsi="Franklin Gothic Medium" w:cs="Times New Roman"/>
            <w:color w:val="000000"/>
            <w:sz w:val="23"/>
            <w:szCs w:val="23"/>
          </w:rPr>
          <w:t xml:space="preserve"> </w:t>
        </w:r>
        <w:smartTag w:uri="urn:schemas-microsoft-com:office:smarttags" w:element="PlaceType">
          <w:r w:rsidRPr="00E71433">
            <w:rPr>
              <w:rFonts w:ascii="Franklin Gothic Medium" w:hAnsi="Franklin Gothic Medium" w:cs="Times New Roman"/>
              <w:color w:val="000000"/>
              <w:sz w:val="23"/>
              <w:szCs w:val="23"/>
            </w:rPr>
            <w:t>School</w:t>
          </w:r>
        </w:smartTag>
      </w:smartTag>
      <w:r w:rsidRPr="00E71433">
        <w:rPr>
          <w:rFonts w:ascii="Franklin Gothic Medium" w:hAnsi="Franklin Gothic Medium" w:cs="Times New Roman"/>
          <w:color w:val="000000"/>
          <w:sz w:val="23"/>
          <w:szCs w:val="23"/>
        </w:rPr>
        <w:t xml:space="preserve"> of Economics</w:t>
      </w:r>
    </w:p>
    <w:p w:rsidR="001041B1" w:rsidRPr="00E71433" w:rsidRDefault="001041B1" w:rsidP="00481F41">
      <w:pPr>
        <w:autoSpaceDE w:val="0"/>
        <w:autoSpaceDN w:val="0"/>
        <w:adjustRightInd w:val="0"/>
        <w:jc w:val="center"/>
        <w:rPr>
          <w:rFonts w:ascii="Franklin Gothic Medium" w:hAnsi="Franklin Gothic Medium" w:cs="Times New Roman"/>
          <w:color w:val="000000"/>
          <w:sz w:val="23"/>
          <w:szCs w:val="23"/>
        </w:rPr>
      </w:pPr>
      <w:r w:rsidRPr="00E71433">
        <w:rPr>
          <w:rFonts w:ascii="Franklin Gothic Medium" w:hAnsi="Franklin Gothic Medium" w:cs="Times New Roman"/>
          <w:color w:val="000000"/>
          <w:sz w:val="23"/>
          <w:szCs w:val="23"/>
        </w:rPr>
        <w:t>Department of Economics</w:t>
      </w:r>
    </w:p>
    <w:p w:rsidR="001041B1" w:rsidRPr="00E71433" w:rsidRDefault="001041B1" w:rsidP="00481F41">
      <w:pPr>
        <w:autoSpaceDE w:val="0"/>
        <w:autoSpaceDN w:val="0"/>
        <w:adjustRightInd w:val="0"/>
        <w:jc w:val="center"/>
        <w:rPr>
          <w:rFonts w:ascii="Franklin Gothic Medium" w:hAnsi="Franklin Gothic Medium" w:cs="Times New Roman"/>
          <w:color w:val="000000"/>
          <w:sz w:val="23"/>
          <w:szCs w:val="23"/>
        </w:rPr>
      </w:pPr>
    </w:p>
    <w:p w:rsidR="001041B1" w:rsidRPr="00E71433" w:rsidRDefault="001041B1" w:rsidP="00481F41">
      <w:pPr>
        <w:autoSpaceDE w:val="0"/>
        <w:autoSpaceDN w:val="0"/>
        <w:adjustRightInd w:val="0"/>
        <w:jc w:val="center"/>
        <w:rPr>
          <w:rFonts w:ascii="Franklin Gothic Medium" w:hAnsi="Franklin Gothic Medium" w:cs="Times New Roman"/>
          <w:color w:val="000000"/>
          <w:sz w:val="23"/>
          <w:szCs w:val="23"/>
        </w:rPr>
      </w:pPr>
      <w:r w:rsidRPr="00E71433">
        <w:rPr>
          <w:rFonts w:ascii="Franklin Gothic Medium" w:hAnsi="Franklin Gothic Medium" w:cs="Times New Roman"/>
          <w:color w:val="000000"/>
          <w:sz w:val="23"/>
          <w:szCs w:val="23"/>
        </w:rPr>
        <w:t>Supervisor: Dr. L. Pozzi</w:t>
      </w:r>
    </w:p>
    <w:p w:rsidR="001041B1" w:rsidRPr="00E71433" w:rsidRDefault="001041B1">
      <w:pPr>
        <w:autoSpaceDE w:val="0"/>
        <w:autoSpaceDN w:val="0"/>
        <w:adjustRightInd w:val="0"/>
        <w:rPr>
          <w:rFonts w:ascii="Franklin Gothic Medium" w:hAnsi="Franklin Gothic Medium" w:cs="Times New Roman"/>
          <w:color w:val="000000"/>
          <w:sz w:val="23"/>
          <w:szCs w:val="23"/>
        </w:rPr>
      </w:pPr>
    </w:p>
    <w:p w:rsidR="001041B1" w:rsidRPr="00E71433" w:rsidRDefault="001041B1">
      <w:pPr>
        <w:autoSpaceDE w:val="0"/>
        <w:autoSpaceDN w:val="0"/>
        <w:adjustRightInd w:val="0"/>
        <w:rPr>
          <w:rFonts w:ascii="Franklin Gothic Medium" w:hAnsi="Franklin Gothic Medium" w:cs="Times New Roman"/>
          <w:color w:val="000000"/>
          <w:sz w:val="23"/>
          <w:szCs w:val="23"/>
        </w:rPr>
      </w:pPr>
    </w:p>
    <w:p w:rsidR="001041B1" w:rsidRPr="00E71433" w:rsidRDefault="001041B1">
      <w:pPr>
        <w:autoSpaceDE w:val="0"/>
        <w:autoSpaceDN w:val="0"/>
        <w:adjustRightInd w:val="0"/>
        <w:rPr>
          <w:rFonts w:ascii="Franklin Gothic Medium" w:hAnsi="Franklin Gothic Medium" w:cs="Times New Roman"/>
          <w:color w:val="000000"/>
          <w:sz w:val="23"/>
          <w:szCs w:val="23"/>
        </w:rPr>
      </w:pPr>
    </w:p>
    <w:p w:rsidR="001041B1" w:rsidRPr="00E71433" w:rsidRDefault="001041B1">
      <w:pPr>
        <w:autoSpaceDE w:val="0"/>
        <w:autoSpaceDN w:val="0"/>
        <w:adjustRightInd w:val="0"/>
        <w:rPr>
          <w:rFonts w:ascii="Franklin Gothic Medium" w:hAnsi="Franklin Gothic Medium" w:cs="Times New Roman"/>
          <w:color w:val="000000"/>
          <w:sz w:val="23"/>
          <w:szCs w:val="23"/>
        </w:rPr>
      </w:pPr>
    </w:p>
    <w:p w:rsidR="001041B1" w:rsidRPr="00E71433" w:rsidRDefault="001041B1">
      <w:pPr>
        <w:autoSpaceDE w:val="0"/>
        <w:autoSpaceDN w:val="0"/>
        <w:adjustRightInd w:val="0"/>
        <w:rPr>
          <w:rFonts w:ascii="Franklin Gothic Medium" w:hAnsi="Franklin Gothic Medium" w:cs="Times New Roman"/>
          <w:color w:val="000000"/>
          <w:sz w:val="23"/>
          <w:szCs w:val="23"/>
        </w:rPr>
      </w:pPr>
    </w:p>
    <w:p w:rsidR="001041B1" w:rsidRPr="00E71433" w:rsidRDefault="001041B1">
      <w:pPr>
        <w:autoSpaceDE w:val="0"/>
        <w:autoSpaceDN w:val="0"/>
        <w:adjustRightInd w:val="0"/>
        <w:rPr>
          <w:rFonts w:ascii="Franklin Gothic Medium" w:hAnsi="Franklin Gothic Medium" w:cs="Times New Roman"/>
          <w:color w:val="000000"/>
          <w:sz w:val="23"/>
          <w:szCs w:val="23"/>
        </w:rPr>
      </w:pPr>
    </w:p>
    <w:p w:rsidR="001041B1" w:rsidRPr="00E71433" w:rsidRDefault="001041B1" w:rsidP="00481F41">
      <w:pPr>
        <w:autoSpaceDE w:val="0"/>
        <w:autoSpaceDN w:val="0"/>
        <w:adjustRightInd w:val="0"/>
        <w:jc w:val="center"/>
        <w:rPr>
          <w:rFonts w:ascii="Franklin Gothic Medium" w:hAnsi="Franklin Gothic Medium" w:cs="Times New Roman"/>
          <w:color w:val="000000"/>
          <w:sz w:val="23"/>
          <w:szCs w:val="23"/>
        </w:rPr>
      </w:pPr>
      <w:r w:rsidRPr="00E71433">
        <w:rPr>
          <w:rFonts w:ascii="Franklin Gothic Medium" w:hAnsi="Franklin Gothic Medium" w:cs="Times New Roman"/>
          <w:color w:val="000000"/>
          <w:sz w:val="23"/>
          <w:szCs w:val="23"/>
        </w:rPr>
        <w:t>Name: Tri Do</w:t>
      </w:r>
    </w:p>
    <w:p w:rsidR="001041B1" w:rsidRPr="00E71433" w:rsidRDefault="001041B1" w:rsidP="00481F41">
      <w:pPr>
        <w:autoSpaceDE w:val="0"/>
        <w:autoSpaceDN w:val="0"/>
        <w:adjustRightInd w:val="0"/>
        <w:jc w:val="center"/>
        <w:rPr>
          <w:rFonts w:ascii="Franklin Gothic Medium" w:hAnsi="Franklin Gothic Medium" w:cs="Times New Roman"/>
          <w:color w:val="000000"/>
          <w:sz w:val="23"/>
          <w:szCs w:val="23"/>
        </w:rPr>
      </w:pPr>
      <w:r w:rsidRPr="00E71433">
        <w:rPr>
          <w:rFonts w:ascii="Franklin Gothic Medium" w:hAnsi="Franklin Gothic Medium" w:cs="Times New Roman"/>
          <w:color w:val="000000"/>
          <w:sz w:val="23"/>
          <w:szCs w:val="23"/>
        </w:rPr>
        <w:t>Exam number:  312816</w:t>
      </w:r>
    </w:p>
    <w:p w:rsidR="001041B1" w:rsidRPr="00A53810" w:rsidRDefault="001041B1" w:rsidP="00A53810">
      <w:pPr>
        <w:jc w:val="center"/>
        <w:rPr>
          <w:rFonts w:ascii="Franklin Gothic Medium" w:hAnsi="Franklin Gothic Medium" w:cs="Times New Roman"/>
        </w:rPr>
      </w:pPr>
      <w:r w:rsidRPr="00E71433">
        <w:rPr>
          <w:rFonts w:ascii="Franklin Gothic Medium" w:hAnsi="Franklin Gothic Medium" w:cs="Times New Roman"/>
          <w:color w:val="000000"/>
          <w:sz w:val="23"/>
          <w:szCs w:val="23"/>
        </w:rPr>
        <w:t>E-mail address: 312816cd@student.eur.nl</w:t>
      </w:r>
    </w:p>
    <w:p w:rsidR="001041B1" w:rsidRDefault="001041B1">
      <w:pPr>
        <w:rPr>
          <w:rFonts w:ascii="Times New Roman" w:hAnsi="Times New Roman" w:cs="Times New Roman"/>
          <w:b/>
          <w:bCs/>
          <w:color w:val="4F81BD"/>
          <w:sz w:val="24"/>
          <w:szCs w:val="24"/>
        </w:rPr>
      </w:pPr>
      <w:r>
        <w:rPr>
          <w:rFonts w:ascii="Times New Roman" w:hAnsi="Times New Roman" w:cs="Times New Roman"/>
          <w:b/>
          <w:bCs/>
          <w:color w:val="4F81BD"/>
          <w:sz w:val="24"/>
          <w:szCs w:val="24"/>
        </w:rPr>
        <w:t>Acknowledgment</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This master thesis has been written as final assignment of the master programme: International Economics &amp; Business Studies at the Erasmus University Rotterdam. This thesis describes my research on determinants of sovereign bond spread.</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First I would like to acknowledge and give thanks to my supervisor Dr. L. Pozzi. I really appreciated his support and advice during the process. He was quick in response and very helpful when I needed him. Likewise, I would thank my friends and family at the university, home and elsewhere for their love and support during my years of study. Without them I could not have accomplish one of my goals such as complete my master’s degree.</w:t>
      </w:r>
    </w:p>
    <w:p w:rsidR="001041B1" w:rsidRDefault="001041B1">
      <w:pPr>
        <w:spacing w:line="360" w:lineRule="auto"/>
        <w:jc w:val="both"/>
        <w:rPr>
          <w:rFonts w:ascii="Times New Roman" w:hAnsi="Times New Roman" w:cs="Times New Roman"/>
          <w:sz w:val="24"/>
          <w:szCs w:val="24"/>
        </w:rPr>
      </w:pPr>
    </w:p>
    <w:p w:rsidR="001041B1" w:rsidRDefault="001041B1">
      <w:pPr>
        <w:spacing w:line="360" w:lineRule="auto"/>
        <w:jc w:val="both"/>
        <w:rPr>
          <w:rFonts w:ascii="Times New Roman" w:hAnsi="Times New Roman" w:cs="Times New Roman"/>
          <w:sz w:val="24"/>
          <w:szCs w:val="24"/>
        </w:rPr>
      </w:pPr>
    </w:p>
    <w:p w:rsidR="001041B1" w:rsidRDefault="001041B1">
      <w:pPr>
        <w:spacing w:line="360" w:lineRule="auto"/>
        <w:jc w:val="both"/>
        <w:rPr>
          <w:rFonts w:ascii="Times New Roman" w:hAnsi="Times New Roman" w:cs="Times New Roman"/>
          <w:sz w:val="24"/>
          <w:szCs w:val="24"/>
        </w:rPr>
      </w:pPr>
    </w:p>
    <w:p w:rsidR="001041B1" w:rsidRDefault="001041B1">
      <w:pPr>
        <w:pStyle w:val="NoSpacing"/>
        <w:spacing w:line="360" w:lineRule="auto"/>
        <w:rPr>
          <w:rFonts w:ascii="Times New Roman" w:hAnsi="Times New Roman" w:cs="Times New Roman"/>
        </w:rPr>
      </w:pPr>
      <w:r>
        <w:rPr>
          <w:rFonts w:ascii="Times New Roman" w:hAnsi="Times New Roman" w:cs="Times New Roman"/>
        </w:rPr>
        <w:t>Tri Do</w:t>
      </w:r>
    </w:p>
    <w:p w:rsidR="001041B1" w:rsidRDefault="001041B1">
      <w:pPr>
        <w:spacing w:line="360" w:lineRule="auto"/>
        <w:jc w:val="both"/>
        <w:rPr>
          <w:rFonts w:ascii="Times New Roman" w:hAnsi="Times New Roman" w:cs="Times New Roman"/>
          <w:sz w:val="24"/>
          <w:szCs w:val="24"/>
        </w:rPr>
      </w:pPr>
      <w:smartTag w:uri="urn:schemas-microsoft-com:office:smarttags" w:element="place">
        <w:smartTag w:uri="urn:schemas-microsoft-com:office:smarttags" w:element="City">
          <w:r>
            <w:rPr>
              <w:rFonts w:ascii="Times New Roman" w:hAnsi="Times New Roman" w:cs="Times New Roman"/>
              <w:sz w:val="24"/>
              <w:szCs w:val="24"/>
            </w:rPr>
            <w:t>Rotterdam</w:t>
          </w:r>
        </w:smartTag>
      </w:smartTag>
      <w:r>
        <w:rPr>
          <w:rFonts w:ascii="Times New Roman" w:hAnsi="Times New Roman" w:cs="Times New Roman"/>
          <w:sz w:val="24"/>
          <w:szCs w:val="24"/>
        </w:rPr>
        <w:t>, August 2010</w:t>
      </w: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Pr="00306542" w:rsidRDefault="001041B1" w:rsidP="00306542">
      <w:pPr>
        <w:rPr>
          <w:rFonts w:ascii="Times New Roman" w:hAnsi="Times New Roman" w:cs="Times New Roman"/>
          <w:b/>
          <w:bCs/>
          <w:color w:val="4F81BD"/>
          <w:sz w:val="24"/>
          <w:szCs w:val="24"/>
        </w:rPr>
      </w:pPr>
      <w:r w:rsidRPr="00306542">
        <w:rPr>
          <w:rFonts w:ascii="Times New Roman" w:hAnsi="Times New Roman" w:cs="Times New Roman"/>
          <w:b/>
          <w:bCs/>
          <w:color w:val="4F81BD"/>
          <w:sz w:val="24"/>
          <w:szCs w:val="24"/>
        </w:rPr>
        <w:t>Abstract</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default in an emerging economy is mostly associated with an increase in yield spread. This paper examines the determinants of sovereign bond spread in the period 1999 – 2008. In particular, the focus is on three groups whose significance is implied by previous work: liquidity and solvency variables, macroeconomic fundamentals, external shocks and controlled by dummy variable. By means of pooled data estimation and OLS on eight countries, this paper found that liquidity and solvency variables are not capable of explaining the emerging economies spread. Surprisingly, ratio of total external debt to GDP, growth rate of import and export are not significant. In addition, strong empirical evidence is observed on macroeconomic fundamentals such as terms of trade and inflation. Moreover, external shocks which have been measured by oil price and the U.S. Treasury bill appear to explain the most part of sovereign bond spread. This result implies that an increase in oil price and holders of debt are positive related to an expansion in emerging bond spread. This finding is robust to variable differences. However, panel data analysis indicates liquidity and solvency variables are more significant than the use of pooled data estimation. This paper also considers the impact of an economic crisis in other emerging economies. Empirically, support is found for contagion effect to neighbor emerging economies. </w:t>
      </w:r>
    </w:p>
    <w:p w:rsidR="001041B1" w:rsidRDefault="001041B1">
      <w:pPr>
        <w:spacing w:line="360" w:lineRule="auto"/>
        <w:jc w:val="both"/>
        <w:rPr>
          <w:rFonts w:ascii="Times New Roman" w:hAnsi="Times New Roman" w:cs="Times New Roman"/>
          <w:sz w:val="24"/>
          <w:szCs w:val="24"/>
        </w:rPr>
      </w:pPr>
    </w:p>
    <w:p w:rsidR="001041B1" w:rsidRDefault="001041B1">
      <w:pPr>
        <w:rPr>
          <w:rFonts w:ascii="Times New Roman" w:hAnsi="Times New Roman" w:cs="Times New Roman"/>
          <w:i/>
          <w:iCs/>
          <w:sz w:val="24"/>
          <w:szCs w:val="24"/>
        </w:rPr>
      </w:pPr>
      <w:r>
        <w:rPr>
          <w:rFonts w:ascii="Times New Roman" w:hAnsi="Times New Roman" w:cs="Times New Roman"/>
          <w:b/>
          <w:bCs/>
          <w:sz w:val="24"/>
          <w:szCs w:val="24"/>
        </w:rPr>
        <w:t xml:space="preserve">Keywords: </w:t>
      </w:r>
      <w:r>
        <w:rPr>
          <w:rFonts w:ascii="Times New Roman" w:hAnsi="Times New Roman" w:cs="Times New Roman"/>
          <w:i/>
          <w:iCs/>
          <w:sz w:val="24"/>
          <w:szCs w:val="24"/>
        </w:rPr>
        <w:t>sovereign bond spread, emerging economies, liquidity and solvency and macroeconomic fundamentals, pooled data estimation.</w:t>
      </w: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p>
    <w:p w:rsidR="001041B1" w:rsidRDefault="001041B1">
      <w:pPr>
        <w:rPr>
          <w:rFonts w:ascii="Times New Roman" w:hAnsi="Times New Roman" w:cs="Times New Roman"/>
          <w:b/>
          <w:bCs/>
          <w:color w:val="4F81BD"/>
          <w:sz w:val="24"/>
          <w:szCs w:val="24"/>
        </w:rPr>
      </w:pPr>
      <w:r>
        <w:rPr>
          <w:rFonts w:ascii="Times New Roman" w:hAnsi="Times New Roman" w:cs="Times New Roman"/>
          <w:b/>
          <w:bCs/>
          <w:color w:val="4F81BD"/>
          <w:sz w:val="24"/>
          <w:szCs w:val="24"/>
        </w:rPr>
        <w:t>Table of content</w:t>
      </w:r>
    </w:p>
    <w:p w:rsidR="001041B1" w:rsidRDefault="001041B1">
      <w:pPr>
        <w:rPr>
          <w:rFonts w:ascii="Times New Roman" w:hAnsi="Times New Roman" w:cs="Times New Roman"/>
          <w:b/>
          <w:bCs/>
          <w:color w:val="4F81BD"/>
          <w:sz w:val="24"/>
          <w:szCs w:val="24"/>
        </w:rPr>
      </w:pPr>
    </w:p>
    <w:p w:rsidR="001041B1" w:rsidRPr="00497922" w:rsidRDefault="001041B1" w:rsidP="00640E34">
      <w:pPr>
        <w:pStyle w:val="TOC2"/>
        <w:rPr>
          <w:color w:val="auto"/>
        </w:rPr>
      </w:pPr>
      <w:r w:rsidRPr="00497922">
        <w:rPr>
          <w:color w:val="auto"/>
        </w:rPr>
        <w:t>Acknowledgment</w:t>
      </w:r>
      <w:r w:rsidRPr="00497922">
        <w:rPr>
          <w:color w:val="auto"/>
        </w:rPr>
        <w:tab/>
        <w:t>2</w:t>
      </w:r>
    </w:p>
    <w:p w:rsidR="001041B1" w:rsidRPr="00497922" w:rsidRDefault="001041B1" w:rsidP="00640E34">
      <w:pPr>
        <w:pStyle w:val="TOC2"/>
        <w:rPr>
          <w:color w:val="auto"/>
        </w:rPr>
      </w:pPr>
      <w:r w:rsidRPr="00497922">
        <w:rPr>
          <w:color w:val="auto"/>
        </w:rPr>
        <w:t>Abstract</w:t>
      </w:r>
      <w:r w:rsidRPr="00497922">
        <w:rPr>
          <w:color w:val="auto"/>
        </w:rPr>
        <w:tab/>
        <w:t>3</w:t>
      </w:r>
    </w:p>
    <w:p w:rsidR="001041B1" w:rsidRPr="00497922" w:rsidRDefault="001041B1" w:rsidP="00640E34">
      <w:pPr>
        <w:pStyle w:val="TOC2"/>
        <w:rPr>
          <w:color w:val="auto"/>
        </w:rPr>
      </w:pPr>
      <w:r w:rsidRPr="00497922">
        <w:rPr>
          <w:color w:val="auto"/>
        </w:rPr>
        <w:t>List of Tables</w:t>
      </w:r>
      <w:r w:rsidRPr="00497922">
        <w:rPr>
          <w:color w:val="auto"/>
        </w:rPr>
        <w:tab/>
      </w:r>
      <w:r>
        <w:rPr>
          <w:color w:val="auto"/>
        </w:rPr>
        <w:t>6</w:t>
      </w:r>
    </w:p>
    <w:p w:rsidR="001041B1" w:rsidRPr="00273A45" w:rsidRDefault="001041B1" w:rsidP="00A715B1">
      <w:pPr>
        <w:rPr>
          <w:rFonts w:ascii="Times New Roman" w:hAnsi="Times New Roman" w:cs="Times New Roman"/>
          <w:sz w:val="24"/>
          <w:szCs w:val="24"/>
        </w:rPr>
      </w:pPr>
    </w:p>
    <w:p w:rsidR="001041B1" w:rsidRPr="00273A45" w:rsidRDefault="001041B1" w:rsidP="00273A45">
      <w:pPr>
        <w:pStyle w:val="TOC2"/>
        <w:rPr>
          <w:color w:val="auto"/>
        </w:rPr>
      </w:pPr>
      <w:r w:rsidRPr="00273A45">
        <w:rPr>
          <w:color w:val="auto"/>
        </w:rPr>
        <w:t xml:space="preserve">         1        Introduction</w:t>
      </w:r>
      <w:r w:rsidRPr="00273A45">
        <w:rPr>
          <w:color w:val="auto"/>
        </w:rPr>
        <w:tab/>
        <w:t>7</w:t>
      </w:r>
    </w:p>
    <w:p w:rsidR="001041B1" w:rsidRPr="00273A45" w:rsidRDefault="001041B1" w:rsidP="00273A45">
      <w:pPr>
        <w:pStyle w:val="TOC2"/>
        <w:rPr>
          <w:b w:val="0"/>
          <w:color w:val="auto"/>
        </w:rPr>
      </w:pPr>
      <w:r w:rsidRPr="00273A45">
        <w:rPr>
          <w:b w:val="0"/>
          <w:color w:val="auto"/>
        </w:rPr>
        <w:t xml:space="preserve">         1.1    </w:t>
      </w:r>
      <w:r>
        <w:rPr>
          <w:b w:val="0"/>
          <w:color w:val="auto"/>
        </w:rPr>
        <w:t xml:space="preserve"> </w:t>
      </w:r>
      <w:r w:rsidRPr="00273A45">
        <w:rPr>
          <w:b w:val="0"/>
          <w:color w:val="auto"/>
        </w:rPr>
        <w:t>Relevance</w:t>
      </w:r>
      <w:r w:rsidRPr="00273A45">
        <w:rPr>
          <w:b w:val="0"/>
          <w:color w:val="auto"/>
        </w:rPr>
        <w:tab/>
        <w:t>8</w:t>
      </w:r>
    </w:p>
    <w:p w:rsidR="001041B1" w:rsidRPr="00273A45" w:rsidRDefault="001041B1" w:rsidP="0034310A">
      <w:pPr>
        <w:pStyle w:val="TOC3"/>
        <w:rPr>
          <w:rFonts w:ascii="Times New Roman" w:hAnsi="Times New Roman" w:cs="Times New Roman"/>
          <w:sz w:val="24"/>
          <w:szCs w:val="24"/>
          <w:lang w:val="en-US"/>
        </w:rPr>
      </w:pPr>
      <w:r w:rsidRPr="00273A45">
        <w:rPr>
          <w:rFonts w:ascii="Times New Roman" w:hAnsi="Times New Roman" w:cs="Times New Roman"/>
          <w:sz w:val="24"/>
          <w:szCs w:val="24"/>
          <w:lang w:val="en-US"/>
        </w:rPr>
        <w:t>1.2     Research questions</w:t>
      </w:r>
      <w:r w:rsidRPr="00273A45">
        <w:rPr>
          <w:rFonts w:ascii="Times New Roman" w:hAnsi="Times New Roman" w:cs="Times New Roman"/>
          <w:sz w:val="24"/>
          <w:szCs w:val="24"/>
          <w:lang w:val="en-US"/>
        </w:rPr>
        <w:tab/>
        <w:t>9</w:t>
      </w:r>
    </w:p>
    <w:p w:rsidR="001041B1" w:rsidRPr="00273A45" w:rsidRDefault="001041B1" w:rsidP="00FC19A8">
      <w:pPr>
        <w:rPr>
          <w:rFonts w:ascii="Times New Roman" w:hAnsi="Times New Roman" w:cs="Times New Roman"/>
          <w:b/>
          <w:sz w:val="24"/>
          <w:szCs w:val="24"/>
        </w:rPr>
      </w:pPr>
    </w:p>
    <w:p w:rsidR="001041B1" w:rsidRPr="00273A45" w:rsidRDefault="001041B1" w:rsidP="00775E10">
      <w:pPr>
        <w:pStyle w:val="TOC1"/>
      </w:pPr>
      <w:r w:rsidRPr="00273A45">
        <w:t>2        Related Literature</w:t>
      </w:r>
      <w:r w:rsidRPr="00273A45">
        <w:tab/>
        <w:t>10</w:t>
      </w:r>
    </w:p>
    <w:p w:rsidR="001041B1" w:rsidRPr="00C300F1" w:rsidRDefault="001041B1" w:rsidP="00775E10">
      <w:pPr>
        <w:pStyle w:val="TOC1"/>
        <w:rPr>
          <w:b w:val="0"/>
        </w:rPr>
      </w:pPr>
      <w:r w:rsidRPr="00C300F1">
        <w:rPr>
          <w:b w:val="0"/>
        </w:rPr>
        <w:t>2.1     In the 1990s</w:t>
      </w:r>
      <w:r w:rsidRPr="00C300F1">
        <w:rPr>
          <w:b w:val="0"/>
        </w:rPr>
        <w:tab/>
        <w:t>11</w:t>
      </w:r>
    </w:p>
    <w:p w:rsidR="001041B1" w:rsidRPr="00C300F1" w:rsidRDefault="001041B1" w:rsidP="00775E10">
      <w:pPr>
        <w:pStyle w:val="TOC1"/>
        <w:rPr>
          <w:b w:val="0"/>
        </w:rPr>
      </w:pPr>
      <w:r w:rsidRPr="00C300F1">
        <w:rPr>
          <w:b w:val="0"/>
        </w:rPr>
        <w:t>2.2     In the 2000s</w:t>
      </w:r>
      <w:r w:rsidRPr="00C300F1">
        <w:rPr>
          <w:b w:val="0"/>
        </w:rPr>
        <w:tab/>
        <w:t>11</w:t>
      </w:r>
    </w:p>
    <w:p w:rsidR="001041B1" w:rsidRPr="00C300F1" w:rsidRDefault="001041B1" w:rsidP="00775E10">
      <w:pPr>
        <w:pStyle w:val="TOC1"/>
        <w:rPr>
          <w:b w:val="0"/>
        </w:rPr>
      </w:pPr>
      <w:r w:rsidRPr="00C300F1">
        <w:rPr>
          <w:b w:val="0"/>
        </w:rPr>
        <w:t>2.3     Macroeconomic vs. country-specific variables</w:t>
      </w:r>
      <w:r w:rsidRPr="00C300F1">
        <w:rPr>
          <w:b w:val="0"/>
        </w:rPr>
        <w:tab/>
        <w:t>13</w:t>
      </w:r>
    </w:p>
    <w:p w:rsidR="001041B1" w:rsidRPr="00C300F1" w:rsidRDefault="001041B1" w:rsidP="00775E10">
      <w:pPr>
        <w:pStyle w:val="TOC1"/>
        <w:rPr>
          <w:b w:val="0"/>
        </w:rPr>
      </w:pPr>
      <w:r w:rsidRPr="00C300F1">
        <w:rPr>
          <w:b w:val="0"/>
        </w:rPr>
        <w:t xml:space="preserve">2.4     The role of </w:t>
      </w:r>
      <w:smartTag w:uri="urn:schemas-microsoft-com:office:smarttags" w:element="place">
        <w:smartTag w:uri="urn:schemas-microsoft-com:office:smarttags" w:element="country-region">
          <w:r w:rsidRPr="00C300F1">
            <w:rPr>
              <w:b w:val="0"/>
            </w:rPr>
            <w:t>U.S.</w:t>
          </w:r>
        </w:smartTag>
      </w:smartTag>
      <w:r w:rsidRPr="00C300F1">
        <w:rPr>
          <w:b w:val="0"/>
        </w:rPr>
        <w:t xml:space="preserve"> interest rate </w:t>
      </w:r>
      <w:r w:rsidRPr="00C300F1">
        <w:rPr>
          <w:b w:val="0"/>
        </w:rPr>
        <w:tab/>
        <w:t>14</w:t>
      </w:r>
    </w:p>
    <w:p w:rsidR="001041B1" w:rsidRPr="00C300F1" w:rsidRDefault="001041B1" w:rsidP="00775E10">
      <w:pPr>
        <w:pStyle w:val="TOC1"/>
        <w:rPr>
          <w:b w:val="0"/>
        </w:rPr>
      </w:pPr>
      <w:r w:rsidRPr="00C300F1">
        <w:rPr>
          <w:b w:val="0"/>
        </w:rPr>
        <w:t xml:space="preserve">2.5     Credit rating agencies </w:t>
      </w:r>
      <w:r w:rsidRPr="00C300F1">
        <w:rPr>
          <w:b w:val="0"/>
        </w:rPr>
        <w:tab/>
        <w:t>15</w:t>
      </w:r>
    </w:p>
    <w:p w:rsidR="001041B1" w:rsidRPr="00C300F1" w:rsidRDefault="001041B1" w:rsidP="00775E10">
      <w:pPr>
        <w:pStyle w:val="TOC1"/>
        <w:rPr>
          <w:b w:val="0"/>
        </w:rPr>
      </w:pPr>
      <w:r w:rsidRPr="00C300F1">
        <w:rPr>
          <w:b w:val="0"/>
        </w:rPr>
        <w:t xml:space="preserve">2.6     Spillover effect </w:t>
      </w:r>
      <w:r w:rsidRPr="00C300F1">
        <w:rPr>
          <w:b w:val="0"/>
        </w:rPr>
        <w:tab/>
        <w:t>16</w:t>
      </w:r>
    </w:p>
    <w:p w:rsidR="001041B1" w:rsidRPr="00C300F1" w:rsidRDefault="001041B1" w:rsidP="00775E10">
      <w:pPr>
        <w:pStyle w:val="TOC1"/>
        <w:rPr>
          <w:b w:val="0"/>
        </w:rPr>
      </w:pPr>
      <w:r w:rsidRPr="00C300F1">
        <w:rPr>
          <w:b w:val="0"/>
        </w:rPr>
        <w:t xml:space="preserve">2.7     </w:t>
      </w:r>
      <w:smartTag w:uri="urn:schemas-microsoft-com:office:smarttags" w:element="place">
        <w:r w:rsidRPr="00C300F1">
          <w:rPr>
            <w:b w:val="0"/>
          </w:rPr>
          <w:t>Latin America</w:t>
        </w:r>
      </w:smartTag>
      <w:r w:rsidRPr="00C300F1">
        <w:rPr>
          <w:b w:val="0"/>
        </w:rPr>
        <w:t xml:space="preserve"> </w:t>
      </w:r>
      <w:r w:rsidRPr="00C300F1">
        <w:rPr>
          <w:b w:val="0"/>
        </w:rPr>
        <w:tab/>
        <w:t>16</w:t>
      </w:r>
    </w:p>
    <w:p w:rsidR="001041B1" w:rsidRPr="00C300F1" w:rsidRDefault="001041B1" w:rsidP="00775E10">
      <w:pPr>
        <w:pStyle w:val="TOC1"/>
        <w:rPr>
          <w:b w:val="0"/>
        </w:rPr>
      </w:pPr>
      <w:r w:rsidRPr="00C300F1">
        <w:rPr>
          <w:b w:val="0"/>
        </w:rPr>
        <w:t xml:space="preserve">2.8     </w:t>
      </w:r>
      <w:smartTag w:uri="urn:schemas-microsoft-com:office:smarttags" w:element="place">
        <w:r w:rsidRPr="00C300F1">
          <w:rPr>
            <w:b w:val="0"/>
          </w:rPr>
          <w:t>Asia</w:t>
        </w:r>
      </w:smartTag>
      <w:r w:rsidRPr="00C300F1">
        <w:rPr>
          <w:b w:val="0"/>
        </w:rPr>
        <w:t xml:space="preserve"> </w:t>
      </w:r>
      <w:r w:rsidRPr="00C300F1">
        <w:rPr>
          <w:b w:val="0"/>
        </w:rPr>
        <w:tab/>
        <w:t>18</w:t>
      </w:r>
    </w:p>
    <w:p w:rsidR="001041B1" w:rsidRPr="00C300F1" w:rsidRDefault="001041B1" w:rsidP="00775E10">
      <w:pPr>
        <w:pStyle w:val="TOC1"/>
        <w:rPr>
          <w:b w:val="0"/>
        </w:rPr>
      </w:pPr>
      <w:r w:rsidRPr="00C300F1">
        <w:rPr>
          <w:b w:val="0"/>
        </w:rPr>
        <w:t xml:space="preserve">2.9     </w:t>
      </w:r>
      <w:smartTag w:uri="urn:schemas-microsoft-com:office:smarttags" w:element="place">
        <w:r w:rsidRPr="00C300F1">
          <w:rPr>
            <w:b w:val="0"/>
          </w:rPr>
          <w:t>Europe</w:t>
        </w:r>
      </w:smartTag>
      <w:r w:rsidRPr="00C300F1">
        <w:rPr>
          <w:b w:val="0"/>
        </w:rPr>
        <w:t xml:space="preserve"> </w:t>
      </w:r>
      <w:r w:rsidRPr="00C300F1">
        <w:rPr>
          <w:b w:val="0"/>
        </w:rPr>
        <w:tab/>
        <w:t>19</w:t>
      </w:r>
    </w:p>
    <w:p w:rsidR="001041B1" w:rsidRPr="00C300F1" w:rsidRDefault="001041B1" w:rsidP="00775E10">
      <w:pPr>
        <w:pStyle w:val="TOC1"/>
        <w:rPr>
          <w:b w:val="0"/>
        </w:rPr>
      </w:pPr>
      <w:r w:rsidRPr="00C300F1">
        <w:rPr>
          <w:b w:val="0"/>
        </w:rPr>
        <w:t xml:space="preserve">2.10   Investors’ perspective </w:t>
      </w:r>
      <w:r w:rsidRPr="00C300F1">
        <w:rPr>
          <w:b w:val="0"/>
        </w:rPr>
        <w:tab/>
        <w:t>21</w:t>
      </w:r>
    </w:p>
    <w:p w:rsidR="001041B1" w:rsidRPr="00C300F1" w:rsidRDefault="001041B1" w:rsidP="00775E10">
      <w:pPr>
        <w:pStyle w:val="TOC1"/>
        <w:rPr>
          <w:b w:val="0"/>
        </w:rPr>
      </w:pPr>
      <w:r w:rsidRPr="00C300F1">
        <w:rPr>
          <w:b w:val="0"/>
        </w:rPr>
        <w:t xml:space="preserve">2.11   Tools of estimation </w:t>
      </w:r>
      <w:r w:rsidRPr="00C300F1">
        <w:rPr>
          <w:b w:val="0"/>
        </w:rPr>
        <w:tab/>
        <w:t>21</w:t>
      </w:r>
    </w:p>
    <w:p w:rsidR="001041B1" w:rsidRPr="00C300F1" w:rsidRDefault="001041B1" w:rsidP="00775E10">
      <w:pPr>
        <w:pStyle w:val="TOC1"/>
        <w:rPr>
          <w:b w:val="0"/>
        </w:rPr>
      </w:pPr>
      <w:r w:rsidRPr="00C300F1">
        <w:rPr>
          <w:b w:val="0"/>
        </w:rPr>
        <w:t xml:space="preserve">2.12   Attitude towards risk </w:t>
      </w:r>
      <w:r w:rsidRPr="00C300F1">
        <w:rPr>
          <w:b w:val="0"/>
        </w:rPr>
        <w:tab/>
        <w:t>22</w:t>
      </w:r>
    </w:p>
    <w:p w:rsidR="001041B1" w:rsidRPr="00273A45" w:rsidRDefault="001041B1" w:rsidP="00FC19A8">
      <w:pPr>
        <w:rPr>
          <w:rFonts w:ascii="Times New Roman" w:hAnsi="Times New Roman" w:cs="Times New Roman"/>
          <w:sz w:val="24"/>
          <w:szCs w:val="24"/>
        </w:rPr>
      </w:pPr>
    </w:p>
    <w:p w:rsidR="001041B1" w:rsidRPr="00273A45" w:rsidRDefault="001041B1" w:rsidP="00775E10">
      <w:pPr>
        <w:pStyle w:val="TOC1"/>
      </w:pPr>
      <w:r w:rsidRPr="00273A45">
        <w:t xml:space="preserve">3       </w:t>
      </w:r>
      <w:r>
        <w:t xml:space="preserve"> </w:t>
      </w:r>
      <w:r w:rsidRPr="00273A45">
        <w:t>Data</w:t>
      </w:r>
      <w:r w:rsidRPr="00273A45">
        <w:tab/>
        <w:t>23</w:t>
      </w:r>
    </w:p>
    <w:p w:rsidR="001041B1" w:rsidRPr="00C300F1" w:rsidRDefault="001041B1" w:rsidP="00775E10">
      <w:pPr>
        <w:pStyle w:val="TOC1"/>
        <w:rPr>
          <w:b w:val="0"/>
        </w:rPr>
      </w:pPr>
      <w:r w:rsidRPr="00C300F1">
        <w:rPr>
          <w:b w:val="0"/>
        </w:rPr>
        <w:t>3.1     The theoretical framework</w:t>
      </w:r>
      <w:r w:rsidRPr="00C300F1">
        <w:rPr>
          <w:b w:val="0"/>
        </w:rPr>
        <w:tab/>
        <w:t>24</w:t>
      </w:r>
    </w:p>
    <w:p w:rsidR="001041B1" w:rsidRPr="00C300F1" w:rsidRDefault="001041B1" w:rsidP="00775E10">
      <w:pPr>
        <w:pStyle w:val="TOC1"/>
        <w:rPr>
          <w:b w:val="0"/>
        </w:rPr>
      </w:pPr>
      <w:r w:rsidRPr="00C300F1">
        <w:rPr>
          <w:b w:val="0"/>
        </w:rPr>
        <w:t>3.2     Macroeconomic fundamentals</w:t>
      </w:r>
      <w:r w:rsidRPr="00C300F1">
        <w:rPr>
          <w:b w:val="0"/>
        </w:rPr>
        <w:tab/>
        <w:t>24</w:t>
      </w:r>
    </w:p>
    <w:p w:rsidR="001041B1" w:rsidRPr="00C300F1" w:rsidRDefault="001041B1" w:rsidP="00775E10">
      <w:pPr>
        <w:pStyle w:val="TOC1"/>
        <w:rPr>
          <w:b w:val="0"/>
        </w:rPr>
      </w:pPr>
      <w:r w:rsidRPr="00C300F1">
        <w:rPr>
          <w:b w:val="0"/>
        </w:rPr>
        <w:t>3.3     Liquidity and solvency variables</w:t>
      </w:r>
      <w:r w:rsidRPr="00C300F1">
        <w:rPr>
          <w:b w:val="0"/>
        </w:rPr>
        <w:tab/>
        <w:t>25</w:t>
      </w:r>
    </w:p>
    <w:p w:rsidR="001041B1" w:rsidRPr="00C300F1" w:rsidRDefault="001041B1" w:rsidP="00775E10">
      <w:pPr>
        <w:pStyle w:val="TOC1"/>
        <w:rPr>
          <w:b w:val="0"/>
        </w:rPr>
      </w:pPr>
      <w:r w:rsidRPr="00C300F1">
        <w:rPr>
          <w:b w:val="0"/>
        </w:rPr>
        <w:t>3.4     External shocks</w:t>
      </w:r>
      <w:r w:rsidRPr="00C300F1">
        <w:rPr>
          <w:b w:val="0"/>
        </w:rPr>
        <w:tab/>
        <w:t>26</w:t>
      </w:r>
    </w:p>
    <w:p w:rsidR="001041B1" w:rsidRPr="00C300F1" w:rsidRDefault="001041B1" w:rsidP="00775E10">
      <w:pPr>
        <w:pStyle w:val="TOC1"/>
        <w:rPr>
          <w:b w:val="0"/>
        </w:rPr>
      </w:pPr>
      <w:r w:rsidRPr="00C300F1">
        <w:rPr>
          <w:b w:val="0"/>
        </w:rPr>
        <w:t>3.5     Dummy variable</w:t>
      </w:r>
      <w:r w:rsidRPr="00C300F1">
        <w:rPr>
          <w:b w:val="0"/>
        </w:rPr>
        <w:tab/>
        <w:t>26</w:t>
      </w:r>
    </w:p>
    <w:p w:rsidR="001041B1" w:rsidRPr="00273A45" w:rsidRDefault="001041B1" w:rsidP="00A715B1">
      <w:pPr>
        <w:rPr>
          <w:rFonts w:ascii="Times New Roman" w:hAnsi="Times New Roman" w:cs="Times New Roman"/>
          <w:sz w:val="24"/>
          <w:szCs w:val="24"/>
        </w:rPr>
      </w:pPr>
    </w:p>
    <w:p w:rsidR="001041B1" w:rsidRPr="00273A45" w:rsidRDefault="001041B1" w:rsidP="00A715B1">
      <w:pPr>
        <w:rPr>
          <w:rFonts w:ascii="Times New Roman" w:hAnsi="Times New Roman" w:cs="Times New Roman"/>
          <w:sz w:val="24"/>
          <w:szCs w:val="24"/>
        </w:rPr>
      </w:pPr>
    </w:p>
    <w:p w:rsidR="001041B1" w:rsidRPr="00775E10" w:rsidRDefault="001041B1" w:rsidP="00775E10">
      <w:pPr>
        <w:pStyle w:val="TOC1"/>
      </w:pPr>
      <w:r w:rsidRPr="00775E10">
        <w:t>4       Estimation results</w:t>
      </w:r>
      <w:r w:rsidRPr="00775E10">
        <w:tab/>
        <w:t>26</w:t>
      </w:r>
    </w:p>
    <w:p w:rsidR="001041B1" w:rsidRPr="00775E10" w:rsidRDefault="001041B1" w:rsidP="00775E10">
      <w:pPr>
        <w:pStyle w:val="TOC1"/>
        <w:rPr>
          <w:b w:val="0"/>
        </w:rPr>
      </w:pPr>
      <w:r w:rsidRPr="00775E10">
        <w:rPr>
          <w:b w:val="0"/>
        </w:rPr>
        <w:t>4.1</w:t>
      </w:r>
      <w:r w:rsidRPr="00E44863">
        <w:t xml:space="preserve">   </w:t>
      </w:r>
      <w:r>
        <w:t xml:space="preserve"> </w:t>
      </w:r>
      <w:r w:rsidRPr="00775E10">
        <w:rPr>
          <w:b w:val="0"/>
        </w:rPr>
        <w:t>Estimate of the model</w:t>
      </w:r>
      <w:r w:rsidRPr="00775E10">
        <w:rPr>
          <w:b w:val="0"/>
        </w:rPr>
        <w:tab/>
        <w:t>28</w:t>
      </w:r>
    </w:p>
    <w:p w:rsidR="001041B1" w:rsidRPr="00775E10" w:rsidRDefault="001041B1" w:rsidP="00775E10">
      <w:pPr>
        <w:pStyle w:val="TOC1"/>
        <w:rPr>
          <w:b w:val="0"/>
        </w:rPr>
      </w:pPr>
      <w:r w:rsidRPr="00775E10">
        <w:rPr>
          <w:b w:val="0"/>
        </w:rPr>
        <w:t xml:space="preserve">4.2    </w:t>
      </w:r>
      <w:r>
        <w:rPr>
          <w:b w:val="0"/>
        </w:rPr>
        <w:t>Estimation with</w:t>
      </w:r>
      <w:r w:rsidRPr="00775E10">
        <w:rPr>
          <w:b w:val="0"/>
        </w:rPr>
        <w:t xml:space="preserve"> dummy variable</w:t>
      </w:r>
      <w:r w:rsidRPr="00775E10">
        <w:rPr>
          <w:b w:val="0"/>
        </w:rPr>
        <w:tab/>
      </w:r>
      <w:r>
        <w:rPr>
          <w:b w:val="0"/>
        </w:rPr>
        <w:t>30</w:t>
      </w:r>
    </w:p>
    <w:p w:rsidR="001041B1" w:rsidRPr="00775E10" w:rsidRDefault="001041B1" w:rsidP="00775E10">
      <w:pPr>
        <w:pStyle w:val="TOC1"/>
        <w:rPr>
          <w:b w:val="0"/>
        </w:rPr>
      </w:pPr>
      <w:r w:rsidRPr="00775E10">
        <w:rPr>
          <w:b w:val="0"/>
        </w:rPr>
        <w:t xml:space="preserve">4.3    </w:t>
      </w:r>
      <w:r>
        <w:rPr>
          <w:b w:val="0"/>
        </w:rPr>
        <w:t>Estimation with</w:t>
      </w:r>
      <w:r w:rsidRPr="00775E10">
        <w:rPr>
          <w:b w:val="0"/>
        </w:rPr>
        <w:t xml:space="preserve"> liquidity and solvency variables</w:t>
      </w:r>
      <w:r w:rsidRPr="00775E10">
        <w:rPr>
          <w:b w:val="0"/>
        </w:rPr>
        <w:tab/>
        <w:t>30</w:t>
      </w:r>
    </w:p>
    <w:p w:rsidR="001041B1" w:rsidRPr="00775E10" w:rsidRDefault="001041B1" w:rsidP="00775E10">
      <w:pPr>
        <w:pStyle w:val="TOC1"/>
        <w:rPr>
          <w:b w:val="0"/>
        </w:rPr>
      </w:pPr>
      <w:r w:rsidRPr="00775E10">
        <w:rPr>
          <w:b w:val="0"/>
        </w:rPr>
        <w:t xml:space="preserve">4.4    </w:t>
      </w:r>
      <w:r>
        <w:rPr>
          <w:b w:val="0"/>
        </w:rPr>
        <w:t>Estimation with</w:t>
      </w:r>
      <w:r w:rsidRPr="00775E10">
        <w:rPr>
          <w:b w:val="0"/>
        </w:rPr>
        <w:t xml:space="preserve"> macroeconomic fundamentals</w:t>
      </w:r>
      <w:r w:rsidRPr="00775E10">
        <w:rPr>
          <w:b w:val="0"/>
        </w:rPr>
        <w:tab/>
        <w:t>31</w:t>
      </w:r>
    </w:p>
    <w:p w:rsidR="001041B1" w:rsidRPr="00775E10" w:rsidRDefault="001041B1" w:rsidP="00775E10">
      <w:pPr>
        <w:pStyle w:val="TOC1"/>
        <w:rPr>
          <w:b w:val="0"/>
        </w:rPr>
      </w:pPr>
      <w:r w:rsidRPr="00775E10">
        <w:rPr>
          <w:b w:val="0"/>
        </w:rPr>
        <w:t xml:space="preserve">4.5    </w:t>
      </w:r>
      <w:r>
        <w:rPr>
          <w:b w:val="0"/>
        </w:rPr>
        <w:t xml:space="preserve">Estimation with </w:t>
      </w:r>
      <w:r w:rsidRPr="00775E10">
        <w:rPr>
          <w:b w:val="0"/>
        </w:rPr>
        <w:t>external shocks</w:t>
      </w:r>
      <w:r w:rsidRPr="00775E10">
        <w:rPr>
          <w:b w:val="0"/>
        </w:rPr>
        <w:tab/>
      </w:r>
      <w:r>
        <w:rPr>
          <w:b w:val="0"/>
        </w:rPr>
        <w:t>32</w:t>
      </w:r>
    </w:p>
    <w:p w:rsidR="001041B1" w:rsidRPr="00775E10" w:rsidRDefault="001041B1" w:rsidP="00775E10">
      <w:pPr>
        <w:pStyle w:val="TOC1"/>
        <w:rPr>
          <w:b w:val="0"/>
        </w:rPr>
      </w:pPr>
      <w:r w:rsidRPr="00775E10">
        <w:rPr>
          <w:b w:val="0"/>
        </w:rPr>
        <w:t>4.6    Credit ratings</w:t>
      </w:r>
      <w:r w:rsidRPr="00775E10">
        <w:rPr>
          <w:b w:val="0"/>
        </w:rPr>
        <w:tab/>
        <w:t>32</w:t>
      </w:r>
    </w:p>
    <w:p w:rsidR="001041B1" w:rsidRPr="00775E10" w:rsidRDefault="001041B1" w:rsidP="00775E10">
      <w:pPr>
        <w:pStyle w:val="TOC1"/>
        <w:rPr>
          <w:b w:val="0"/>
        </w:rPr>
      </w:pPr>
      <w:r w:rsidRPr="00775E10">
        <w:rPr>
          <w:b w:val="0"/>
        </w:rPr>
        <w:t>4.7    Robustness Analysis</w:t>
      </w:r>
      <w:r w:rsidRPr="00775E10">
        <w:rPr>
          <w:b w:val="0"/>
        </w:rPr>
        <w:tab/>
      </w:r>
      <w:r>
        <w:rPr>
          <w:b w:val="0"/>
        </w:rPr>
        <w:t>33</w:t>
      </w:r>
    </w:p>
    <w:p w:rsidR="001041B1" w:rsidRPr="00E44863" w:rsidRDefault="001041B1" w:rsidP="007108BC">
      <w:pPr>
        <w:rPr>
          <w:rFonts w:ascii="Times New Roman" w:hAnsi="Times New Roman" w:cs="Times New Roman"/>
          <w:sz w:val="24"/>
          <w:szCs w:val="24"/>
        </w:rPr>
      </w:pPr>
    </w:p>
    <w:p w:rsidR="001041B1" w:rsidRPr="00273A45" w:rsidRDefault="001041B1" w:rsidP="00775E10">
      <w:pPr>
        <w:pStyle w:val="TOC1"/>
      </w:pPr>
      <w:r w:rsidRPr="00273A45">
        <w:t xml:space="preserve">5      </w:t>
      </w:r>
      <w:r>
        <w:t xml:space="preserve"> </w:t>
      </w:r>
      <w:r w:rsidRPr="00273A45">
        <w:t>Concluding Remarks and Discussion</w:t>
      </w:r>
      <w:r w:rsidRPr="00273A45">
        <w:tab/>
        <w:t>34</w:t>
      </w:r>
    </w:p>
    <w:p w:rsidR="001041B1" w:rsidRPr="00273A45" w:rsidRDefault="001041B1" w:rsidP="007108BC">
      <w:pPr>
        <w:rPr>
          <w:rFonts w:ascii="Times New Roman" w:hAnsi="Times New Roman" w:cs="Times New Roman"/>
          <w:b/>
          <w:sz w:val="24"/>
          <w:szCs w:val="24"/>
        </w:rPr>
      </w:pPr>
    </w:p>
    <w:p w:rsidR="001041B1" w:rsidRDefault="001041B1" w:rsidP="00775E10">
      <w:pPr>
        <w:pStyle w:val="TOC1"/>
      </w:pPr>
      <w:r w:rsidRPr="00273A45">
        <w:t xml:space="preserve">6      </w:t>
      </w:r>
      <w:r>
        <w:t xml:space="preserve"> </w:t>
      </w:r>
      <w:r w:rsidRPr="00273A45">
        <w:t>References</w:t>
      </w:r>
      <w:r w:rsidRPr="00273A45">
        <w:tab/>
        <w:t>35</w:t>
      </w:r>
    </w:p>
    <w:p w:rsidR="001041B1" w:rsidRDefault="001041B1" w:rsidP="00775E10">
      <w:pPr>
        <w:pStyle w:val="TOC1"/>
      </w:pPr>
    </w:p>
    <w:p w:rsidR="001041B1" w:rsidRPr="00273A45" w:rsidRDefault="001041B1" w:rsidP="00775E10">
      <w:pPr>
        <w:pStyle w:val="TOC1"/>
      </w:pPr>
      <w:r w:rsidRPr="00273A45">
        <w:t>Appendix A</w:t>
      </w:r>
      <w:r w:rsidRPr="00273A45">
        <w:tab/>
        <w:t>41</w:t>
      </w:r>
    </w:p>
    <w:p w:rsidR="001041B1" w:rsidRPr="00273A45" w:rsidRDefault="001041B1" w:rsidP="00775E10">
      <w:pPr>
        <w:pStyle w:val="TOC1"/>
      </w:pPr>
      <w:r w:rsidRPr="00273A45">
        <w:t>Appendix B</w:t>
      </w:r>
      <w:r w:rsidRPr="00273A45">
        <w:tab/>
        <w:t>43</w:t>
      </w:r>
    </w:p>
    <w:p w:rsidR="001041B1" w:rsidRPr="00E44863" w:rsidRDefault="001041B1" w:rsidP="00A715B1">
      <w:pPr>
        <w:spacing w:line="360" w:lineRule="auto"/>
        <w:rPr>
          <w:rFonts w:ascii="Times New Roman" w:hAnsi="Times New Roman" w:cs="Times New Roman"/>
          <w:b/>
          <w:bCs/>
          <w:color w:val="4F81BD"/>
          <w:sz w:val="24"/>
          <w:szCs w:val="24"/>
        </w:rPr>
      </w:pPr>
    </w:p>
    <w:p w:rsidR="001041B1" w:rsidRPr="00E44863" w:rsidRDefault="001041B1" w:rsidP="00A715B1">
      <w:pPr>
        <w:spacing w:line="360" w:lineRule="auto"/>
        <w:rPr>
          <w:rFonts w:ascii="Times New Roman" w:hAnsi="Times New Roman" w:cs="Times New Roman"/>
          <w:b/>
          <w:bCs/>
          <w:color w:val="4F81BD"/>
          <w:sz w:val="24"/>
          <w:szCs w:val="24"/>
        </w:rPr>
      </w:pPr>
    </w:p>
    <w:p w:rsidR="001041B1" w:rsidRDefault="001041B1" w:rsidP="00A715B1">
      <w:pPr>
        <w:spacing w:line="360" w:lineRule="auto"/>
        <w:rPr>
          <w:rFonts w:ascii="Times New Roman" w:hAnsi="Times New Roman" w:cs="Times New Roman"/>
          <w:b/>
          <w:bCs/>
          <w:color w:val="4F81BD"/>
          <w:sz w:val="24"/>
          <w:szCs w:val="24"/>
        </w:rPr>
      </w:pPr>
    </w:p>
    <w:p w:rsidR="001041B1" w:rsidRDefault="001041B1" w:rsidP="00A715B1">
      <w:pPr>
        <w:spacing w:line="360" w:lineRule="auto"/>
        <w:rPr>
          <w:rFonts w:ascii="Times New Roman" w:hAnsi="Times New Roman" w:cs="Times New Roman"/>
          <w:b/>
          <w:bCs/>
          <w:color w:val="4F81BD"/>
          <w:sz w:val="24"/>
          <w:szCs w:val="24"/>
        </w:rPr>
      </w:pPr>
    </w:p>
    <w:p w:rsidR="001041B1" w:rsidRDefault="001041B1" w:rsidP="00A715B1">
      <w:pPr>
        <w:spacing w:line="360" w:lineRule="auto"/>
        <w:rPr>
          <w:rFonts w:ascii="Times New Roman" w:hAnsi="Times New Roman" w:cs="Times New Roman"/>
          <w:b/>
          <w:bCs/>
          <w:color w:val="4F81BD"/>
          <w:sz w:val="24"/>
          <w:szCs w:val="24"/>
        </w:rPr>
      </w:pPr>
    </w:p>
    <w:p w:rsidR="001041B1" w:rsidRDefault="001041B1" w:rsidP="00A715B1">
      <w:pPr>
        <w:spacing w:line="360" w:lineRule="auto"/>
        <w:rPr>
          <w:rFonts w:ascii="Times New Roman" w:hAnsi="Times New Roman" w:cs="Times New Roman"/>
          <w:b/>
          <w:bCs/>
          <w:color w:val="4F81BD"/>
          <w:sz w:val="24"/>
          <w:szCs w:val="24"/>
        </w:rPr>
      </w:pPr>
    </w:p>
    <w:p w:rsidR="001041B1" w:rsidRDefault="001041B1" w:rsidP="00A715B1">
      <w:pPr>
        <w:spacing w:line="360" w:lineRule="auto"/>
        <w:rPr>
          <w:rFonts w:ascii="Times New Roman" w:hAnsi="Times New Roman" w:cs="Times New Roman"/>
          <w:b/>
          <w:bCs/>
          <w:color w:val="4F81BD"/>
          <w:sz w:val="24"/>
          <w:szCs w:val="24"/>
        </w:rPr>
      </w:pPr>
    </w:p>
    <w:p w:rsidR="001041B1" w:rsidRDefault="001041B1" w:rsidP="00A715B1">
      <w:pPr>
        <w:spacing w:line="360" w:lineRule="auto"/>
        <w:rPr>
          <w:rFonts w:ascii="Times New Roman" w:hAnsi="Times New Roman" w:cs="Times New Roman"/>
          <w:b/>
          <w:bCs/>
          <w:color w:val="4F81BD"/>
          <w:sz w:val="24"/>
          <w:szCs w:val="24"/>
        </w:rPr>
      </w:pPr>
    </w:p>
    <w:p w:rsidR="001041B1" w:rsidRDefault="001041B1" w:rsidP="00A715B1">
      <w:pPr>
        <w:spacing w:line="360" w:lineRule="auto"/>
        <w:rPr>
          <w:rFonts w:ascii="Times New Roman" w:hAnsi="Times New Roman" w:cs="Times New Roman"/>
          <w:b/>
          <w:bCs/>
          <w:color w:val="4F81BD"/>
          <w:sz w:val="24"/>
          <w:szCs w:val="24"/>
        </w:rPr>
      </w:pPr>
    </w:p>
    <w:p w:rsidR="001041B1" w:rsidRDefault="001041B1" w:rsidP="00A715B1">
      <w:pPr>
        <w:spacing w:line="360" w:lineRule="auto"/>
        <w:rPr>
          <w:rFonts w:ascii="Times New Roman" w:hAnsi="Times New Roman" w:cs="Times New Roman"/>
          <w:b/>
          <w:bCs/>
          <w:color w:val="4F81BD"/>
          <w:sz w:val="24"/>
          <w:szCs w:val="24"/>
        </w:rPr>
      </w:pPr>
    </w:p>
    <w:p w:rsidR="001041B1" w:rsidRDefault="001041B1" w:rsidP="00A715B1">
      <w:pPr>
        <w:spacing w:line="360" w:lineRule="auto"/>
        <w:rPr>
          <w:rFonts w:ascii="Times New Roman" w:hAnsi="Times New Roman" w:cs="Times New Roman"/>
          <w:b/>
          <w:bCs/>
          <w:color w:val="4F81BD"/>
          <w:sz w:val="24"/>
          <w:szCs w:val="24"/>
        </w:rPr>
      </w:pPr>
    </w:p>
    <w:p w:rsidR="001041B1" w:rsidRDefault="001041B1" w:rsidP="00A715B1">
      <w:pPr>
        <w:spacing w:line="360" w:lineRule="auto"/>
        <w:rPr>
          <w:rFonts w:ascii="Times New Roman" w:hAnsi="Times New Roman" w:cs="Times New Roman"/>
          <w:b/>
          <w:bCs/>
          <w:color w:val="4F81BD"/>
          <w:sz w:val="24"/>
          <w:szCs w:val="24"/>
        </w:rPr>
      </w:pPr>
    </w:p>
    <w:p w:rsidR="001041B1" w:rsidRPr="00E07E83" w:rsidRDefault="001041B1" w:rsidP="00A715B1">
      <w:pPr>
        <w:spacing w:line="360" w:lineRule="auto"/>
        <w:rPr>
          <w:rFonts w:ascii="Times New Roman" w:hAnsi="Times New Roman" w:cs="Times New Roman"/>
          <w:b/>
          <w:bCs/>
          <w:color w:val="548AB7"/>
          <w:sz w:val="24"/>
          <w:szCs w:val="24"/>
        </w:rPr>
      </w:pPr>
      <w:r w:rsidRPr="00E07E83">
        <w:rPr>
          <w:rFonts w:ascii="Times New Roman" w:hAnsi="Times New Roman" w:cs="Times New Roman"/>
          <w:b/>
          <w:bCs/>
          <w:color w:val="548AB7"/>
          <w:sz w:val="24"/>
          <w:szCs w:val="24"/>
        </w:rPr>
        <w:t>List of tables</w:t>
      </w:r>
    </w:p>
    <w:p w:rsidR="001041B1" w:rsidRPr="00F2211C" w:rsidRDefault="001041B1" w:rsidP="00497922">
      <w:pPr>
        <w:rPr>
          <w:rFonts w:ascii="Times New Roman" w:hAnsi="Times New Roman" w:cs="Times New Roman"/>
          <w:b/>
          <w:sz w:val="24"/>
          <w:szCs w:val="24"/>
        </w:rPr>
      </w:pPr>
    </w:p>
    <w:p w:rsidR="001041B1" w:rsidRPr="00F2211C" w:rsidRDefault="001041B1" w:rsidP="0034310A">
      <w:pPr>
        <w:pStyle w:val="TOC3"/>
        <w:rPr>
          <w:rFonts w:ascii="Times New Roman" w:hAnsi="Times New Roman" w:cs="Times New Roman"/>
          <w:b/>
          <w:sz w:val="24"/>
          <w:szCs w:val="24"/>
          <w:lang w:val="en-US"/>
        </w:rPr>
      </w:pPr>
      <w:r w:rsidRPr="00F2211C">
        <w:rPr>
          <w:rFonts w:ascii="Times New Roman" w:hAnsi="Times New Roman" w:cs="Times New Roman"/>
          <w:b/>
          <w:sz w:val="24"/>
          <w:szCs w:val="24"/>
          <w:lang w:val="en-US"/>
        </w:rPr>
        <w:t>Table 4.1 Several descriptive statistics of key variables</w:t>
      </w:r>
      <w:r w:rsidRPr="00F2211C">
        <w:rPr>
          <w:rFonts w:ascii="Times New Roman" w:hAnsi="Times New Roman" w:cs="Times New Roman"/>
          <w:b/>
          <w:sz w:val="24"/>
          <w:szCs w:val="24"/>
          <w:lang w:val="en-US"/>
        </w:rPr>
        <w:tab/>
      </w:r>
      <w:r>
        <w:rPr>
          <w:rFonts w:ascii="Times New Roman" w:hAnsi="Times New Roman" w:cs="Times New Roman"/>
          <w:b/>
          <w:sz w:val="24"/>
          <w:szCs w:val="24"/>
          <w:lang w:val="en-US"/>
        </w:rPr>
        <w:t>27</w:t>
      </w:r>
    </w:p>
    <w:p w:rsidR="001041B1" w:rsidRPr="00F2211C" w:rsidRDefault="001041B1" w:rsidP="00497922">
      <w:pPr>
        <w:rPr>
          <w:rFonts w:ascii="Times New Roman" w:hAnsi="Times New Roman" w:cs="Times New Roman"/>
          <w:b/>
          <w:sz w:val="24"/>
          <w:szCs w:val="24"/>
        </w:rPr>
      </w:pPr>
    </w:p>
    <w:p w:rsidR="001041B1" w:rsidRPr="00F2211C" w:rsidRDefault="001041B1" w:rsidP="0034310A">
      <w:pPr>
        <w:pStyle w:val="TOC3"/>
        <w:rPr>
          <w:rFonts w:ascii="Times New Roman" w:hAnsi="Times New Roman" w:cs="Times New Roman"/>
          <w:b/>
          <w:sz w:val="24"/>
          <w:szCs w:val="24"/>
          <w:lang w:val="en-US"/>
        </w:rPr>
      </w:pPr>
      <w:r w:rsidRPr="00F2211C">
        <w:rPr>
          <w:rFonts w:ascii="Times New Roman" w:hAnsi="Times New Roman" w:cs="Times New Roman"/>
          <w:b/>
          <w:sz w:val="24"/>
          <w:szCs w:val="24"/>
          <w:lang w:val="en-US"/>
        </w:rPr>
        <w:t>Table 4.2 Pooled estimation of the model</w:t>
      </w:r>
      <w:r w:rsidRPr="00F2211C">
        <w:rPr>
          <w:rFonts w:ascii="Times New Roman" w:hAnsi="Times New Roman" w:cs="Times New Roman"/>
          <w:b/>
          <w:sz w:val="24"/>
          <w:szCs w:val="24"/>
          <w:lang w:val="en-US"/>
        </w:rPr>
        <w:tab/>
      </w:r>
      <w:r>
        <w:rPr>
          <w:rFonts w:ascii="Times New Roman" w:hAnsi="Times New Roman" w:cs="Times New Roman"/>
          <w:b/>
          <w:sz w:val="24"/>
          <w:szCs w:val="24"/>
          <w:lang w:val="en-US"/>
        </w:rPr>
        <w:t>29</w:t>
      </w:r>
    </w:p>
    <w:p w:rsidR="001041B1" w:rsidRPr="00F2211C" w:rsidRDefault="001041B1" w:rsidP="0034310A">
      <w:pPr>
        <w:pStyle w:val="TOC3"/>
        <w:rPr>
          <w:rFonts w:ascii="Times New Roman" w:hAnsi="Times New Roman" w:cs="Times New Roman"/>
          <w:b/>
          <w:sz w:val="24"/>
          <w:szCs w:val="24"/>
          <w:lang w:val="en-US"/>
        </w:rPr>
      </w:pPr>
    </w:p>
    <w:p w:rsidR="001041B1" w:rsidRPr="00F2211C" w:rsidRDefault="001041B1" w:rsidP="0034310A">
      <w:pPr>
        <w:pStyle w:val="TOC3"/>
        <w:rPr>
          <w:rFonts w:ascii="Times New Roman" w:hAnsi="Times New Roman" w:cs="Times New Roman"/>
          <w:b/>
          <w:sz w:val="24"/>
          <w:szCs w:val="24"/>
          <w:lang w:val="en-US"/>
        </w:rPr>
      </w:pPr>
      <w:r w:rsidRPr="00F2211C">
        <w:rPr>
          <w:rFonts w:ascii="Times New Roman" w:hAnsi="Times New Roman" w:cs="Times New Roman"/>
          <w:b/>
          <w:sz w:val="24"/>
          <w:szCs w:val="24"/>
          <w:lang w:val="en-US"/>
        </w:rPr>
        <w:t>Table 4.4 Credit ratings</w:t>
      </w:r>
      <w:r w:rsidRPr="00F2211C">
        <w:rPr>
          <w:rFonts w:ascii="Times New Roman" w:hAnsi="Times New Roman" w:cs="Times New Roman"/>
          <w:b/>
          <w:sz w:val="24"/>
          <w:szCs w:val="24"/>
          <w:lang w:val="en-US"/>
        </w:rPr>
        <w:tab/>
      </w:r>
      <w:r>
        <w:rPr>
          <w:rFonts w:ascii="Times New Roman" w:hAnsi="Times New Roman" w:cs="Times New Roman"/>
          <w:b/>
          <w:sz w:val="24"/>
          <w:szCs w:val="24"/>
          <w:lang w:val="en-US"/>
        </w:rPr>
        <w:t>33</w:t>
      </w:r>
    </w:p>
    <w:p w:rsidR="001041B1" w:rsidRPr="00F2211C" w:rsidRDefault="001041B1" w:rsidP="0034310A">
      <w:pPr>
        <w:pStyle w:val="TOC3"/>
        <w:rPr>
          <w:rFonts w:ascii="Times New Roman" w:hAnsi="Times New Roman" w:cs="Times New Roman"/>
          <w:b/>
          <w:sz w:val="24"/>
          <w:szCs w:val="24"/>
          <w:lang w:val="en-US"/>
        </w:rPr>
      </w:pPr>
    </w:p>
    <w:p w:rsidR="001041B1" w:rsidRPr="00F2211C" w:rsidRDefault="001041B1" w:rsidP="0034310A">
      <w:pPr>
        <w:pStyle w:val="TOC3"/>
        <w:rPr>
          <w:rFonts w:ascii="Times New Roman" w:hAnsi="Times New Roman" w:cs="Times New Roman"/>
          <w:b/>
          <w:sz w:val="24"/>
          <w:szCs w:val="24"/>
          <w:lang w:val="en-US"/>
        </w:rPr>
      </w:pPr>
      <w:r w:rsidRPr="00F2211C">
        <w:rPr>
          <w:rFonts w:ascii="Times New Roman" w:hAnsi="Times New Roman" w:cs="Times New Roman"/>
          <w:b/>
          <w:sz w:val="24"/>
          <w:szCs w:val="24"/>
          <w:lang w:val="en-US"/>
        </w:rPr>
        <w:t>Table 4.5 Robustness check pooled data estimation</w:t>
      </w:r>
      <w:r w:rsidRPr="00F2211C">
        <w:rPr>
          <w:rFonts w:ascii="Times New Roman" w:hAnsi="Times New Roman" w:cs="Times New Roman"/>
          <w:b/>
          <w:sz w:val="24"/>
          <w:szCs w:val="24"/>
          <w:lang w:val="en-US"/>
        </w:rPr>
        <w:tab/>
      </w:r>
      <w:r>
        <w:rPr>
          <w:rFonts w:ascii="Times New Roman" w:hAnsi="Times New Roman" w:cs="Times New Roman"/>
          <w:b/>
          <w:sz w:val="24"/>
          <w:szCs w:val="24"/>
          <w:lang w:val="en-US"/>
        </w:rPr>
        <w:t>34</w:t>
      </w:r>
    </w:p>
    <w:p w:rsidR="001041B1" w:rsidRPr="00F2211C" w:rsidRDefault="001041B1" w:rsidP="005D530D">
      <w:pPr>
        <w:rPr>
          <w:rFonts w:ascii="Times New Roman" w:hAnsi="Times New Roman" w:cs="Times New Roman"/>
          <w:b/>
          <w:sz w:val="24"/>
          <w:szCs w:val="24"/>
        </w:rPr>
      </w:pPr>
    </w:p>
    <w:p w:rsidR="001041B1" w:rsidRPr="00F2211C" w:rsidRDefault="001041B1" w:rsidP="0034310A">
      <w:pPr>
        <w:pStyle w:val="TOC3"/>
        <w:rPr>
          <w:rFonts w:ascii="Times New Roman" w:hAnsi="Times New Roman" w:cs="Times New Roman"/>
          <w:b/>
          <w:sz w:val="24"/>
          <w:szCs w:val="24"/>
          <w:lang w:val="en-US"/>
        </w:rPr>
      </w:pPr>
      <w:r w:rsidRPr="00F2211C">
        <w:rPr>
          <w:rFonts w:ascii="Times New Roman" w:hAnsi="Times New Roman" w:cs="Times New Roman"/>
          <w:b/>
          <w:sz w:val="24"/>
          <w:szCs w:val="24"/>
          <w:lang w:val="en-US"/>
        </w:rPr>
        <w:t xml:space="preserve">Table 6.1 Robustness check panel data estimation </w:t>
      </w:r>
      <w:r w:rsidRPr="00F2211C">
        <w:rPr>
          <w:rFonts w:ascii="Times New Roman" w:hAnsi="Times New Roman" w:cs="Times New Roman"/>
          <w:b/>
          <w:sz w:val="24"/>
          <w:szCs w:val="24"/>
          <w:lang w:val="en-US"/>
        </w:rPr>
        <w:tab/>
      </w:r>
      <w:r>
        <w:rPr>
          <w:rFonts w:ascii="Times New Roman" w:hAnsi="Times New Roman" w:cs="Times New Roman"/>
          <w:b/>
          <w:sz w:val="24"/>
          <w:szCs w:val="24"/>
          <w:lang w:val="en-US"/>
        </w:rPr>
        <w:t>4</w:t>
      </w:r>
      <w:r w:rsidRPr="00F2211C">
        <w:rPr>
          <w:rFonts w:ascii="Times New Roman" w:hAnsi="Times New Roman" w:cs="Times New Roman"/>
          <w:b/>
          <w:sz w:val="24"/>
          <w:szCs w:val="24"/>
          <w:lang w:val="en-US"/>
        </w:rPr>
        <w:t>3</w:t>
      </w:r>
    </w:p>
    <w:p w:rsidR="001041B1" w:rsidRDefault="001041B1" w:rsidP="00B45688">
      <w:pPr>
        <w:rPr>
          <w:b/>
        </w:rPr>
      </w:pPr>
    </w:p>
    <w:p w:rsidR="001041B1" w:rsidRPr="00E07E83" w:rsidRDefault="001041B1" w:rsidP="00B45688">
      <w:pPr>
        <w:rPr>
          <w:rFonts w:ascii="Times New Roman" w:hAnsi="Times New Roman" w:cs="Times New Roman"/>
          <w:b/>
          <w:color w:val="548AB7"/>
          <w:sz w:val="24"/>
          <w:szCs w:val="24"/>
        </w:rPr>
      </w:pPr>
      <w:r w:rsidRPr="00E07E83">
        <w:rPr>
          <w:rFonts w:ascii="Times New Roman" w:hAnsi="Times New Roman" w:cs="Times New Roman"/>
          <w:b/>
          <w:color w:val="548AB7"/>
          <w:sz w:val="24"/>
          <w:szCs w:val="24"/>
        </w:rPr>
        <w:t>List of figures</w:t>
      </w:r>
    </w:p>
    <w:p w:rsidR="001041B1" w:rsidRPr="00F2211C" w:rsidRDefault="001041B1" w:rsidP="00B45688">
      <w:pPr>
        <w:rPr>
          <w:b/>
        </w:rPr>
      </w:pPr>
    </w:p>
    <w:p w:rsidR="001041B1" w:rsidRPr="00F2211C" w:rsidRDefault="001041B1" w:rsidP="00E07E83">
      <w:pPr>
        <w:pStyle w:val="TOC3"/>
        <w:rPr>
          <w:rFonts w:ascii="Times New Roman" w:hAnsi="Times New Roman" w:cs="Times New Roman"/>
          <w:b/>
          <w:sz w:val="24"/>
          <w:szCs w:val="24"/>
          <w:lang w:val="en-US"/>
        </w:rPr>
      </w:pPr>
      <w:r>
        <w:rPr>
          <w:rFonts w:ascii="Times New Roman" w:hAnsi="Times New Roman" w:cs="Times New Roman"/>
          <w:b/>
          <w:sz w:val="24"/>
          <w:szCs w:val="24"/>
          <w:lang w:val="en-US"/>
        </w:rPr>
        <w:t>Figure</w:t>
      </w:r>
      <w:r w:rsidRPr="00F2211C">
        <w:rPr>
          <w:rFonts w:ascii="Times New Roman" w:hAnsi="Times New Roman" w:cs="Times New Roman"/>
          <w:b/>
          <w:sz w:val="24"/>
          <w:szCs w:val="24"/>
          <w:lang w:val="en-US"/>
        </w:rPr>
        <w:t xml:space="preserve"> 1.1 Sovereign bond spreads</w:t>
      </w:r>
      <w:r w:rsidRPr="00F2211C">
        <w:rPr>
          <w:rFonts w:ascii="Times New Roman" w:hAnsi="Times New Roman" w:cs="Times New Roman"/>
          <w:b/>
          <w:sz w:val="24"/>
          <w:szCs w:val="24"/>
          <w:lang w:val="en-US"/>
        </w:rPr>
        <w:tab/>
        <w:t>7</w:t>
      </w:r>
    </w:p>
    <w:p w:rsidR="001041B1" w:rsidRPr="00F2211C" w:rsidRDefault="001041B1" w:rsidP="00E07E83">
      <w:pPr>
        <w:rPr>
          <w:rFonts w:ascii="Times New Roman" w:hAnsi="Times New Roman" w:cs="Times New Roman"/>
          <w:b/>
          <w:sz w:val="24"/>
          <w:szCs w:val="24"/>
        </w:rPr>
      </w:pPr>
    </w:p>
    <w:p w:rsidR="001041B1" w:rsidRPr="00F2211C" w:rsidRDefault="001041B1" w:rsidP="00E07E83">
      <w:pPr>
        <w:pStyle w:val="TOC3"/>
        <w:rPr>
          <w:rFonts w:ascii="Times New Roman" w:hAnsi="Times New Roman" w:cs="Times New Roman"/>
          <w:b/>
          <w:sz w:val="24"/>
          <w:szCs w:val="24"/>
          <w:lang w:val="en-US"/>
        </w:rPr>
      </w:pPr>
      <w:r>
        <w:rPr>
          <w:rFonts w:ascii="Times New Roman" w:hAnsi="Times New Roman" w:cs="Times New Roman"/>
          <w:b/>
          <w:sz w:val="24"/>
          <w:szCs w:val="24"/>
          <w:lang w:val="en-US"/>
        </w:rPr>
        <w:t xml:space="preserve">Figure </w:t>
      </w:r>
      <w:r w:rsidRPr="00F2211C">
        <w:rPr>
          <w:rFonts w:ascii="Times New Roman" w:hAnsi="Times New Roman" w:cs="Times New Roman"/>
          <w:b/>
          <w:sz w:val="24"/>
          <w:szCs w:val="24"/>
          <w:lang w:val="en-US"/>
        </w:rPr>
        <w:t>1.2 Sovereign bond spreads per region</w:t>
      </w:r>
      <w:r w:rsidRPr="00F2211C">
        <w:rPr>
          <w:rFonts w:ascii="Times New Roman" w:hAnsi="Times New Roman" w:cs="Times New Roman"/>
          <w:b/>
          <w:sz w:val="24"/>
          <w:szCs w:val="24"/>
          <w:lang w:val="en-US"/>
        </w:rPr>
        <w:tab/>
      </w:r>
      <w:r>
        <w:rPr>
          <w:rFonts w:ascii="Times New Roman" w:hAnsi="Times New Roman" w:cs="Times New Roman"/>
          <w:b/>
          <w:sz w:val="24"/>
          <w:szCs w:val="24"/>
          <w:lang w:val="en-US"/>
        </w:rPr>
        <w:t>9</w:t>
      </w:r>
    </w:p>
    <w:p w:rsidR="001041B1" w:rsidRDefault="001041B1" w:rsidP="00B45688"/>
    <w:p w:rsidR="001041B1" w:rsidRPr="00F2211C" w:rsidRDefault="001041B1" w:rsidP="00E07E83">
      <w:pPr>
        <w:pStyle w:val="TOC3"/>
        <w:rPr>
          <w:rFonts w:ascii="Times New Roman" w:hAnsi="Times New Roman" w:cs="Times New Roman"/>
          <w:b/>
          <w:sz w:val="24"/>
          <w:szCs w:val="24"/>
          <w:lang w:val="en-US"/>
        </w:rPr>
      </w:pPr>
      <w:r>
        <w:rPr>
          <w:rFonts w:ascii="Times New Roman" w:hAnsi="Times New Roman" w:cs="Times New Roman"/>
          <w:b/>
          <w:sz w:val="24"/>
          <w:szCs w:val="24"/>
          <w:lang w:val="en-US"/>
        </w:rPr>
        <w:t>Figure</w:t>
      </w:r>
      <w:r w:rsidRPr="00F2211C">
        <w:rPr>
          <w:rFonts w:ascii="Times New Roman" w:hAnsi="Times New Roman" w:cs="Times New Roman"/>
          <w:b/>
          <w:sz w:val="24"/>
          <w:szCs w:val="24"/>
          <w:lang w:val="en-US"/>
        </w:rPr>
        <w:t xml:space="preserve"> 4.3 Unemployment rates per region</w:t>
      </w:r>
      <w:r w:rsidRPr="00F2211C">
        <w:rPr>
          <w:rFonts w:ascii="Times New Roman" w:hAnsi="Times New Roman" w:cs="Times New Roman"/>
          <w:b/>
          <w:sz w:val="24"/>
          <w:szCs w:val="24"/>
          <w:lang w:val="en-US"/>
        </w:rPr>
        <w:tab/>
      </w:r>
      <w:r>
        <w:rPr>
          <w:rFonts w:ascii="Times New Roman" w:hAnsi="Times New Roman" w:cs="Times New Roman"/>
          <w:b/>
          <w:sz w:val="24"/>
          <w:szCs w:val="24"/>
          <w:lang w:val="en-US"/>
        </w:rPr>
        <w:t>31</w:t>
      </w:r>
    </w:p>
    <w:p w:rsidR="001041B1" w:rsidRDefault="001041B1" w:rsidP="00B45688"/>
    <w:p w:rsidR="001041B1" w:rsidRDefault="001041B1" w:rsidP="00B45688"/>
    <w:p w:rsidR="001041B1" w:rsidRDefault="001041B1" w:rsidP="00B45688"/>
    <w:p w:rsidR="001041B1" w:rsidRDefault="001041B1" w:rsidP="00B45688"/>
    <w:p w:rsidR="001041B1" w:rsidRDefault="001041B1" w:rsidP="00B45688"/>
    <w:p w:rsidR="001041B1" w:rsidRDefault="001041B1" w:rsidP="00B45688"/>
    <w:p w:rsidR="001041B1" w:rsidRDefault="001041B1" w:rsidP="00B45688"/>
    <w:p w:rsidR="001041B1" w:rsidRDefault="001041B1" w:rsidP="00B45688"/>
    <w:p w:rsidR="001041B1" w:rsidRDefault="001041B1" w:rsidP="00B45688"/>
    <w:p w:rsidR="001041B1" w:rsidRPr="00B45688" w:rsidRDefault="001041B1" w:rsidP="00B45688"/>
    <w:p w:rsidR="001041B1" w:rsidRPr="00B45688" w:rsidRDefault="001041B1" w:rsidP="00B45688">
      <w:pPr>
        <w:pStyle w:val="ListParagraph"/>
        <w:numPr>
          <w:ilvl w:val="0"/>
          <w:numId w:val="11"/>
        </w:numPr>
        <w:rPr>
          <w:rFonts w:ascii="Times New Roman" w:hAnsi="Times New Roman" w:cs="Times New Roman"/>
          <w:b/>
          <w:bCs/>
          <w:color w:val="4F81BD"/>
          <w:sz w:val="24"/>
          <w:szCs w:val="24"/>
        </w:rPr>
      </w:pPr>
      <w:r w:rsidRPr="00900960">
        <w:rPr>
          <w:rFonts w:ascii="Times New Roman" w:hAnsi="Times New Roman" w:cs="Times New Roman"/>
          <w:b/>
          <w:bCs/>
          <w:color w:val="548AB7"/>
          <w:sz w:val="24"/>
          <w:szCs w:val="24"/>
        </w:rPr>
        <w:t>Introd</w:t>
      </w:r>
      <w:r w:rsidRPr="00780293">
        <w:rPr>
          <w:rFonts w:ascii="Times New Roman" w:hAnsi="Times New Roman" w:cs="Times New Roman"/>
          <w:b/>
          <w:bCs/>
          <w:color w:val="4F81BD"/>
          <w:sz w:val="24"/>
          <w:szCs w:val="24"/>
        </w:rPr>
        <w:t>uction</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topic of bond spreads has been examined largely in the history of economics. Emerging economies generally faces large risk and are more vulnerable to global crises. Most of these countries had large debt burden, higher volatility and an increased bond spread which ultimately led to default, such as the Mexican crisis of 1995, the Asian financial crisis of 1997 that was followed by the Russian Ruble crisis and the Argentine default in respectively, 1998 and 2001. (see Eichengreen and Mody, 1998; Min, 1998; Kamin and von Kleist, 1999; Anatzoulatos, 2000; Boss and Scheicher, 2002). More recently interest has increased due to the economic sub-prime crisis started in 2007 and the latest discussion on government debt. </w:t>
      </w:r>
      <w:r>
        <w:rPr>
          <w:rFonts w:ascii="Times New Roman" w:hAnsi="Times New Roman" w:cs="Times New Roman"/>
          <w:sz w:val="24"/>
          <w:szCs w:val="24"/>
          <w:lang w:val="fr-FR"/>
        </w:rPr>
        <w:t xml:space="preserve">(see Cuanda and Favero, 2008; Alexopoulou et al., 2009; Ciarlone et al., 2009; Ebner, 2009). </w:t>
      </w:r>
      <w:r>
        <w:rPr>
          <w:rFonts w:ascii="Times New Roman" w:hAnsi="Times New Roman" w:cs="Times New Roman"/>
          <w:sz w:val="24"/>
          <w:szCs w:val="24"/>
        </w:rPr>
        <w:t xml:space="preserve">Spreading in sovereign bond yields may have substantial economic impact. An increase in sovereign yield tends to be associated by an extensive growth in long-term interest rates. This involves both consumption and investment outcome. Investors use sovereign spreads as a proxy of risk and instrument to gather </w:t>
      </w:r>
      <w:r>
        <w:rPr>
          <w:rFonts w:ascii="Times New Roman" w:hAnsi="Times New Roman" w:cs="Times New Roman"/>
          <w:color w:val="000000"/>
          <w:sz w:val="24"/>
          <w:szCs w:val="24"/>
        </w:rPr>
        <w:t xml:space="preserve">market appraisal of political and economic fundamentals in a country. </w:t>
      </w:r>
    </w:p>
    <w:p w:rsidR="001041B1" w:rsidRPr="00780293" w:rsidRDefault="001041B1" w:rsidP="00780293">
      <w:pPr>
        <w:pStyle w:val="NoSpacing"/>
        <w:rPr>
          <w:rFonts w:ascii="Times New Roman" w:hAnsi="Times New Roman" w:cs="Times New Roman"/>
          <w:b/>
          <w:sz w:val="20"/>
          <w:szCs w:val="20"/>
        </w:rPr>
      </w:pPr>
      <w:r>
        <w:rPr>
          <w:rFonts w:ascii="Times New Roman" w:hAnsi="Times New Roman" w:cs="Times New Roman"/>
          <w:b/>
          <w:sz w:val="20"/>
          <w:szCs w:val="20"/>
        </w:rPr>
        <w:t>Figure</w:t>
      </w:r>
      <w:r w:rsidRPr="00780293">
        <w:rPr>
          <w:rFonts w:ascii="Times New Roman" w:hAnsi="Times New Roman" w:cs="Times New Roman"/>
          <w:b/>
          <w:sz w:val="20"/>
          <w:szCs w:val="20"/>
        </w:rPr>
        <w:t xml:space="preserve"> 1.</w:t>
      </w:r>
      <w:r>
        <w:rPr>
          <w:rFonts w:ascii="Times New Roman" w:hAnsi="Times New Roman" w:cs="Times New Roman"/>
          <w:b/>
          <w:sz w:val="20"/>
          <w:szCs w:val="20"/>
        </w:rPr>
        <w:t>1 Sovereign</w:t>
      </w:r>
      <w:r w:rsidRPr="00780293">
        <w:rPr>
          <w:rFonts w:ascii="Times New Roman" w:hAnsi="Times New Roman" w:cs="Times New Roman"/>
          <w:b/>
          <w:sz w:val="20"/>
          <w:szCs w:val="20"/>
        </w:rPr>
        <w:t xml:space="preserve"> bond spread</w:t>
      </w:r>
      <w:r>
        <w:rPr>
          <w:rFonts w:ascii="Times New Roman" w:hAnsi="Times New Roman" w:cs="Times New Roman"/>
          <w:b/>
          <w:sz w:val="20"/>
          <w:szCs w:val="20"/>
        </w:rPr>
        <w:t>s</w:t>
      </w:r>
    </w:p>
    <w:p w:rsidR="001041B1" w:rsidRDefault="001041B1">
      <w:pPr>
        <w:spacing w:line="360" w:lineRule="auto"/>
        <w:jc w:val="both"/>
        <w:rPr>
          <w:rFonts w:ascii="Times New Roman" w:hAnsi="Times New Roman" w:cs="Times New Roman"/>
          <w:sz w:val="24"/>
          <w:szCs w:val="24"/>
        </w:rPr>
      </w:pPr>
      <w:r w:rsidRPr="0021104B">
        <w:rPr>
          <w:rFonts w:ascii="Times New Roman" w:hAnsi="Times New Roman" w:cs="Times New Roman"/>
          <w:noProof/>
          <w:sz w:val="24"/>
          <w:szCs w:val="24"/>
        </w:rPr>
        <w:pict>
          <v:shape id="Chart 1" o:spid="_x0000_i1029" type="#_x0000_t75" style="width:433.5pt;height:230.25pt;visibility:visible">
            <v:imagedata r:id="rId8" o:title=""/>
          </v:shape>
        </w:pic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1.1 shows the spread in emerging economies. Countries such as </w:t>
      </w:r>
      <w:smartTag w:uri="urn:schemas-microsoft-com:office:smarttags" w:element="country-region">
        <w:r>
          <w:rPr>
            <w:rFonts w:ascii="Times New Roman" w:hAnsi="Times New Roman" w:cs="Times New Roman"/>
            <w:sz w:val="24"/>
            <w:szCs w:val="24"/>
          </w:rPr>
          <w:t>Poland</w:t>
        </w:r>
      </w:smartTag>
      <w:r>
        <w:rPr>
          <w:rFonts w:ascii="Times New Roman" w:hAnsi="Times New Roman" w:cs="Times New Roman"/>
          <w:sz w:val="24"/>
          <w:szCs w:val="24"/>
        </w:rPr>
        <w:t xml:space="preserve">, </w:t>
      </w:r>
      <w:smartTag w:uri="urn:schemas-microsoft-com:office:smarttags" w:element="country-region">
        <w:r>
          <w:rPr>
            <w:rFonts w:ascii="Times New Roman" w:hAnsi="Times New Roman" w:cs="Times New Roman"/>
            <w:sz w:val="24"/>
            <w:szCs w:val="24"/>
          </w:rPr>
          <w:t>Honduras</w:t>
        </w:r>
      </w:smartTag>
      <w:r>
        <w:rPr>
          <w:rFonts w:ascii="Times New Roman" w:hAnsi="Times New Roman" w:cs="Times New Roman"/>
          <w:sz w:val="24"/>
          <w:szCs w:val="24"/>
        </w:rPr>
        <w:t xml:space="preserve">, </w:t>
      </w:r>
      <w:smartTag w:uri="urn:schemas-microsoft-com:office:smarttags" w:element="country-region">
        <w:r>
          <w:rPr>
            <w:rFonts w:ascii="Times New Roman" w:hAnsi="Times New Roman" w:cs="Times New Roman"/>
            <w:sz w:val="24"/>
            <w:szCs w:val="24"/>
          </w:rPr>
          <w:t>Philippines</w:t>
        </w:r>
      </w:smartTag>
      <w:r>
        <w:rPr>
          <w:rFonts w:ascii="Times New Roman" w:hAnsi="Times New Roman" w:cs="Times New Roman"/>
          <w:sz w:val="24"/>
          <w:szCs w:val="24"/>
        </w:rPr>
        <w:t xml:space="preserve"> and </w:t>
      </w:r>
      <w:smartTag w:uri="urn:schemas-microsoft-com:office:smarttags" w:element="country-region">
        <w:r>
          <w:rPr>
            <w:rFonts w:ascii="Times New Roman" w:hAnsi="Times New Roman" w:cs="Times New Roman"/>
            <w:sz w:val="24"/>
            <w:szCs w:val="24"/>
          </w:rPr>
          <w:t>Mexico</w:t>
        </w:r>
      </w:smartTag>
      <w:r>
        <w:rPr>
          <w:rFonts w:ascii="Times New Roman" w:hAnsi="Times New Roman" w:cs="Times New Roman"/>
          <w:sz w:val="24"/>
          <w:szCs w:val="24"/>
        </w:rPr>
        <w:t xml:space="preserve"> depicted a decrease in yield spread whereas </w:t>
      </w:r>
      <w:smartTag w:uri="urn:schemas-microsoft-com:office:smarttags" w:element="place">
        <w:smartTag w:uri="urn:schemas-microsoft-com:office:smarttags" w:element="country-region">
          <w:r>
            <w:rPr>
              <w:rFonts w:ascii="Times New Roman" w:hAnsi="Times New Roman" w:cs="Times New Roman"/>
              <w:sz w:val="24"/>
              <w:szCs w:val="24"/>
            </w:rPr>
            <w:t>Pakistan</w:t>
          </w:r>
        </w:smartTag>
      </w:smartTag>
      <w:r>
        <w:rPr>
          <w:rFonts w:ascii="Times New Roman" w:hAnsi="Times New Roman" w:cs="Times New Roman"/>
          <w:sz w:val="24"/>
          <w:szCs w:val="24"/>
        </w:rPr>
        <w:t xml:space="preserve"> has an increase in spread. Figure 1.1 does not tell which factors explain the spread nor does it illustrate correlation between countries. Are the sovereign spread caused by shocks in the economy? What is the role of the domestic interest rate? Does an increase in unemployment rate indicate an increase in sovereign spread?</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Edwards (1984) and Sachs (1985) sovereign spreads are determined by variables like inflation rate and GDP growth. However, Cantor and Packer (1996) and </w:t>
      </w:r>
      <w:r>
        <w:rPr>
          <w:rFonts w:ascii="Times New Roman" w:hAnsi="Times New Roman" w:cs="Times New Roman"/>
          <w:color w:val="000000"/>
          <w:sz w:val="24"/>
          <w:szCs w:val="24"/>
        </w:rPr>
        <w:t>Larraín et al. (1997) have</w:t>
      </w:r>
      <w:r>
        <w:rPr>
          <w:rFonts w:ascii="Times New Roman" w:hAnsi="Times New Roman" w:cs="Times New Roman"/>
          <w:sz w:val="24"/>
          <w:szCs w:val="24"/>
        </w:rPr>
        <w:t xml:space="preserve"> pointed the importance of market sentiment. </w:t>
      </w:r>
      <w:r>
        <w:rPr>
          <w:rFonts w:ascii="Times New Roman" w:hAnsi="Times New Roman" w:cs="Times New Roman"/>
          <w:color w:val="000000"/>
          <w:sz w:val="24"/>
          <w:szCs w:val="24"/>
        </w:rPr>
        <w:t xml:space="preserve">Likewise, during each economic default the debate on the role of credit rating agencies are intensified. A number of empirical studies focused on the impact of sovereign rating issued by S&amp;P’s, like Ganda and Parsley (2005), Bissoondoyal- Bheenick (2005), Mora (2006), Kim and Wu (2008). </w:t>
      </w:r>
      <w:r>
        <w:rPr>
          <w:rFonts w:ascii="Times New Roman" w:hAnsi="Times New Roman" w:cs="Times New Roman"/>
          <w:sz w:val="24"/>
          <w:szCs w:val="24"/>
        </w:rPr>
        <w:t xml:space="preserve">Furthermore, emerging economies have improved economic circumstance and due to globalization of financial markets, the convergence to international capital increased. </w:t>
      </w:r>
    </w:p>
    <w:p w:rsidR="001041B1" w:rsidRDefault="001041B1">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In the last decades, fiscal policies, investors’ attitude towards risk and economic liquidity have gained more attention as possible driving factors of sovereign spreads. Malone (2009) investigated the determinants of sovereign spreads while focused on external shocks, the size of leverage and variables that occur on the balance sheets. He found strong evidence for external shocks, measured by terms of trade volatility. A reduction in terms of trade volatility probably leads to a decrease in emerging spread. In addition, Malone (2009) argued that balance sheets variables have a significant impact on the risk of sovereign spread.</w:t>
      </w:r>
      <w:r>
        <w:rPr>
          <w:rFonts w:ascii="Times New Roman" w:hAnsi="Times New Roman" w:cs="Times New Roman"/>
          <w:color w:val="FF0000"/>
          <w:sz w:val="24"/>
          <w:szCs w:val="24"/>
        </w:rPr>
        <w:t xml:space="preserve">  </w:t>
      </w:r>
    </w:p>
    <w:p w:rsidR="001041B1" w:rsidRPr="00C6411F" w:rsidRDefault="001041B1" w:rsidP="00C6411F">
      <w:pPr>
        <w:spacing w:line="360" w:lineRule="auto"/>
        <w:jc w:val="both"/>
        <w:rPr>
          <w:rFonts w:ascii="Times New Roman" w:hAnsi="Times New Roman" w:cs="Times New Roman"/>
          <w:bCs/>
          <w:iCs/>
          <w:color w:val="4F81BD"/>
          <w:sz w:val="24"/>
          <w:szCs w:val="24"/>
        </w:rPr>
      </w:pPr>
      <w:r>
        <w:rPr>
          <w:rFonts w:ascii="Times New Roman" w:hAnsi="Times New Roman" w:cs="Times New Roman"/>
          <w:bCs/>
          <w:iCs/>
          <w:color w:val="4F81BD"/>
          <w:sz w:val="24"/>
          <w:szCs w:val="24"/>
        </w:rPr>
        <w:t xml:space="preserve">1.1 </w:t>
      </w:r>
      <w:r w:rsidRPr="00C6411F">
        <w:rPr>
          <w:rFonts w:ascii="Times New Roman" w:hAnsi="Times New Roman" w:cs="Times New Roman"/>
          <w:bCs/>
          <w:iCs/>
          <w:color w:val="4F81BD"/>
          <w:sz w:val="24"/>
          <w:szCs w:val="24"/>
        </w:rPr>
        <w:t xml:space="preserve">Relevance </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The primary objective is to supply further understanding into the field of bond spreads. An understanding of sovereign bond spread has become more crucial given the increasing flow of international capital and funds into emerging economies. Academics, financial institutions, (institutional) investors, bond holders and everybody who has money in the bank are direct or indirect related to the effect of a possible default of an economy. This paper contributes to the current literature by including a widespread list of twelve exogenous variables that may explain the determinants of sovereign yield spread. For the estimation, the data is used from a total of eight emerging economies in Europe (</w:t>
      </w:r>
      <w:smartTag w:uri="urn:schemas-microsoft-com:office:smarttags" w:element="country-region">
        <w:r>
          <w:rPr>
            <w:rFonts w:ascii="Times New Roman" w:hAnsi="Times New Roman" w:cs="Times New Roman"/>
            <w:sz w:val="24"/>
            <w:szCs w:val="24"/>
          </w:rPr>
          <w:t>Poland</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Czech</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Republic</w:t>
        </w:r>
      </w:smartTag>
      <w:r>
        <w:rPr>
          <w:rFonts w:ascii="Times New Roman" w:hAnsi="Times New Roman" w:cs="Times New Roman"/>
          <w:sz w:val="24"/>
          <w:szCs w:val="24"/>
        </w:rPr>
        <w:t xml:space="preserve">, and </w:t>
      </w:r>
      <w:smartTag w:uri="urn:schemas-microsoft-com:office:smarttags" w:element="country-region">
        <w:r>
          <w:rPr>
            <w:rFonts w:ascii="Times New Roman" w:hAnsi="Times New Roman" w:cs="Times New Roman"/>
            <w:sz w:val="24"/>
            <w:szCs w:val="24"/>
          </w:rPr>
          <w:t>Hungary</w:t>
        </w:r>
      </w:smartTag>
      <w:r>
        <w:rPr>
          <w:rFonts w:ascii="Times New Roman" w:hAnsi="Times New Roman" w:cs="Times New Roman"/>
          <w:sz w:val="24"/>
          <w:szCs w:val="24"/>
        </w:rPr>
        <w:t>), Asia (</w:t>
      </w:r>
      <w:smartTag w:uri="urn:schemas-microsoft-com:office:smarttags" w:element="country-region">
        <w:r>
          <w:rPr>
            <w:rFonts w:ascii="Times New Roman" w:hAnsi="Times New Roman" w:cs="Times New Roman"/>
            <w:sz w:val="24"/>
            <w:szCs w:val="24"/>
          </w:rPr>
          <w:t>Pakistan</w:t>
        </w:r>
      </w:smartTag>
      <w:r>
        <w:rPr>
          <w:rFonts w:ascii="Times New Roman" w:hAnsi="Times New Roman" w:cs="Times New Roman"/>
          <w:sz w:val="24"/>
          <w:szCs w:val="24"/>
        </w:rPr>
        <w:t xml:space="preserve">, </w:t>
      </w:r>
      <w:smartTag w:uri="urn:schemas-microsoft-com:office:smarttags" w:element="country-region">
        <w:r>
          <w:rPr>
            <w:rFonts w:ascii="Times New Roman" w:hAnsi="Times New Roman" w:cs="Times New Roman"/>
            <w:sz w:val="24"/>
            <w:szCs w:val="24"/>
          </w:rPr>
          <w:t>Philippines</w:t>
        </w:r>
      </w:smartTag>
      <w:r>
        <w:rPr>
          <w:rFonts w:ascii="Times New Roman" w:hAnsi="Times New Roman" w:cs="Times New Roman"/>
          <w:sz w:val="24"/>
          <w:szCs w:val="24"/>
        </w:rPr>
        <w:t xml:space="preserve">, and </w:t>
      </w:r>
      <w:smartTag w:uri="urn:schemas-microsoft-com:office:smarttags" w:element="country-region">
        <w:r>
          <w:rPr>
            <w:rFonts w:ascii="Times New Roman" w:hAnsi="Times New Roman" w:cs="Times New Roman"/>
            <w:sz w:val="24"/>
            <w:szCs w:val="24"/>
          </w:rPr>
          <w:t>Thailand</w:t>
        </w:r>
      </w:smartTag>
      <w:r>
        <w:rPr>
          <w:rFonts w:ascii="Times New Roman" w:hAnsi="Times New Roman" w:cs="Times New Roman"/>
          <w:sz w:val="24"/>
          <w:szCs w:val="24"/>
        </w:rPr>
        <w:t>) and Latin America (</w:t>
      </w:r>
      <w:smartTag w:uri="urn:schemas-microsoft-com:office:smarttags" w:element="country-region">
        <w:r>
          <w:rPr>
            <w:rFonts w:ascii="Times New Roman" w:hAnsi="Times New Roman" w:cs="Times New Roman"/>
            <w:sz w:val="24"/>
            <w:szCs w:val="24"/>
          </w:rPr>
          <w:t>Mexico</w:t>
        </w:r>
      </w:smartTag>
      <w:r>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Pr>
              <w:rFonts w:ascii="Times New Roman" w:hAnsi="Times New Roman" w:cs="Times New Roman"/>
              <w:sz w:val="24"/>
              <w:szCs w:val="24"/>
            </w:rPr>
            <w:t>Honduras</w:t>
          </w:r>
        </w:smartTag>
      </w:smartTag>
      <w:r>
        <w:rPr>
          <w:rFonts w:ascii="Times New Roman" w:hAnsi="Times New Roman" w:cs="Times New Roman"/>
          <w:sz w:val="24"/>
          <w:szCs w:val="24"/>
        </w:rPr>
        <w:t xml:space="preserve">) in the period 1999 – 2008. However, the empirical focus will be more on these three regions. The exogenous variables are divided in four classified groups namely: liquidity and solvency variables, macroeconomic fundamentals, external shocks and dummy variable. </w:t>
      </w:r>
    </w:p>
    <w:p w:rsidR="001041B1" w:rsidRDefault="001041B1">
      <w:pPr>
        <w:pStyle w:val="NoSpacing"/>
        <w:rPr>
          <w:rFonts w:ascii="Times New Roman" w:hAnsi="Times New Roman" w:cs="Times New Roman"/>
          <w:b/>
          <w:sz w:val="20"/>
          <w:szCs w:val="20"/>
        </w:rPr>
      </w:pPr>
    </w:p>
    <w:p w:rsidR="001041B1" w:rsidRDefault="001041B1">
      <w:pPr>
        <w:pStyle w:val="NoSpacing"/>
        <w:rPr>
          <w:rFonts w:ascii="Times New Roman" w:hAnsi="Times New Roman" w:cs="Times New Roman"/>
          <w:b/>
          <w:sz w:val="20"/>
          <w:szCs w:val="20"/>
        </w:rPr>
      </w:pPr>
    </w:p>
    <w:p w:rsidR="001041B1" w:rsidRPr="00780293" w:rsidRDefault="001041B1">
      <w:pPr>
        <w:pStyle w:val="NoSpacing"/>
        <w:rPr>
          <w:rFonts w:ascii="Times New Roman" w:hAnsi="Times New Roman" w:cs="Times New Roman"/>
          <w:b/>
          <w:sz w:val="20"/>
          <w:szCs w:val="20"/>
        </w:rPr>
      </w:pPr>
      <w:r>
        <w:rPr>
          <w:rFonts w:ascii="Times New Roman" w:hAnsi="Times New Roman" w:cs="Times New Roman"/>
          <w:b/>
          <w:sz w:val="20"/>
          <w:szCs w:val="20"/>
        </w:rPr>
        <w:t>Figure</w:t>
      </w:r>
      <w:r w:rsidRPr="00780293">
        <w:rPr>
          <w:rFonts w:ascii="Times New Roman" w:hAnsi="Times New Roman" w:cs="Times New Roman"/>
          <w:b/>
          <w:sz w:val="20"/>
          <w:szCs w:val="20"/>
        </w:rPr>
        <w:t xml:space="preserve"> </w:t>
      </w:r>
      <w:r>
        <w:rPr>
          <w:rFonts w:ascii="Times New Roman" w:hAnsi="Times New Roman" w:cs="Times New Roman"/>
          <w:b/>
          <w:sz w:val="20"/>
          <w:szCs w:val="20"/>
        </w:rPr>
        <w:t>1.2 S</w:t>
      </w:r>
      <w:r w:rsidRPr="00780293">
        <w:rPr>
          <w:rFonts w:ascii="Times New Roman" w:hAnsi="Times New Roman" w:cs="Times New Roman"/>
          <w:b/>
          <w:sz w:val="20"/>
          <w:szCs w:val="20"/>
        </w:rPr>
        <w:t>overeign bond spread</w:t>
      </w:r>
      <w:r>
        <w:rPr>
          <w:rFonts w:ascii="Times New Roman" w:hAnsi="Times New Roman" w:cs="Times New Roman"/>
          <w:b/>
          <w:sz w:val="20"/>
          <w:szCs w:val="20"/>
        </w:rPr>
        <w:t>s</w:t>
      </w:r>
      <w:r w:rsidRPr="00780293">
        <w:rPr>
          <w:rFonts w:ascii="Times New Roman" w:hAnsi="Times New Roman" w:cs="Times New Roman"/>
          <w:b/>
          <w:sz w:val="20"/>
          <w:szCs w:val="20"/>
        </w:rPr>
        <w:t xml:space="preserve"> per region</w:t>
      </w:r>
    </w:p>
    <w:p w:rsidR="001041B1" w:rsidRDefault="001041B1">
      <w:pPr>
        <w:pStyle w:val="NoSpacing"/>
        <w:rPr>
          <w:rFonts w:ascii="Times New Roman" w:hAnsi="Times New Roman" w:cs="Times New Roman"/>
        </w:rPr>
      </w:pPr>
      <w:r w:rsidRPr="0021104B">
        <w:rPr>
          <w:rFonts w:ascii="Times New Roman" w:hAnsi="Times New Roman" w:cs="Times New Roman"/>
          <w:noProof/>
        </w:rPr>
        <w:pict>
          <v:shape id="Grafiek 2" o:spid="_x0000_i1030" type="#_x0000_t75" style="width:433.5pt;height:230.25pt;visibility:visible">
            <v:imagedata r:id="rId9" o:title="" cropbottom="-14f"/>
          </v:shape>
        </w:pict>
      </w:r>
    </w:p>
    <w:p w:rsidR="001041B1" w:rsidRPr="00780293" w:rsidRDefault="001041B1" w:rsidP="00B76B43">
      <w:pPr>
        <w:pStyle w:val="NoSpacing"/>
      </w:pPr>
      <w:r w:rsidRPr="00780293">
        <w:rPr>
          <w:rFonts w:ascii="Times New Roman" w:hAnsi="Times New Roman" w:cs="Times New Roman"/>
          <w:sz w:val="18"/>
          <w:szCs w:val="18"/>
        </w:rPr>
        <w:t>Note: Latin America: Mexico and Honduras; Europe: Czech Republic, Poland and Hungary; Asia: Pakistan, Thailand and Philippines</w:t>
      </w:r>
      <w:r w:rsidRPr="00780293">
        <w:t xml:space="preserve">. </w:t>
      </w:r>
    </w:p>
    <w:p w:rsidR="001041B1" w:rsidRDefault="001041B1">
      <w:pPr>
        <w:pStyle w:val="NoSpacing"/>
        <w:rPr>
          <w:rFonts w:ascii="Times New Roman" w:hAnsi="Times New Roman" w:cs="Times New Roman"/>
        </w:rPr>
      </w:pPr>
    </w:p>
    <w:p w:rsidR="001041B1" w:rsidRDefault="001041B1" w:rsidP="00C641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1.2 categorized the countries spread into different regions. The European and Latin America lines are more decreasing during the last decade whereas the Asia line is stabilizing. This paper tries to examine which exogenous variables have impact on the sovereign bond spread.  </w:t>
      </w:r>
    </w:p>
    <w:p w:rsidR="001041B1" w:rsidRPr="00C6411F" w:rsidRDefault="001041B1" w:rsidP="00C6411F">
      <w:pPr>
        <w:spacing w:line="360" w:lineRule="auto"/>
        <w:jc w:val="both"/>
        <w:rPr>
          <w:rFonts w:ascii="Times New Roman" w:hAnsi="Times New Roman" w:cs="Times New Roman"/>
          <w:color w:val="548AB7"/>
          <w:sz w:val="24"/>
          <w:szCs w:val="24"/>
        </w:rPr>
      </w:pPr>
      <w:r w:rsidRPr="00C6411F">
        <w:rPr>
          <w:rFonts w:ascii="Times New Roman" w:hAnsi="Times New Roman" w:cs="Times New Roman"/>
          <w:color w:val="548AB7"/>
          <w:sz w:val="24"/>
          <w:szCs w:val="24"/>
        </w:rPr>
        <w:t>1.2 Research</w:t>
      </w:r>
      <w:r w:rsidRPr="00C6411F">
        <w:rPr>
          <w:rFonts w:ascii="Times New Roman" w:hAnsi="Times New Roman" w:cs="Times New Roman"/>
          <w:bCs/>
          <w:iCs/>
          <w:color w:val="548AB7"/>
          <w:sz w:val="24"/>
          <w:szCs w:val="24"/>
        </w:rPr>
        <w:t xml:space="preserve"> questions</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an annual dataset, this paper asks various related questions about sovereign bond spread. </w:t>
      </w:r>
    </w:p>
    <w:p w:rsidR="001041B1" w:rsidRDefault="001041B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Which exogenous variables are determining the yield spread? </w:t>
      </w:r>
    </w:p>
    <w:p w:rsidR="001041B1" w:rsidRDefault="001041B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the Argentine crisis on other emerging economies? </w:t>
      </w:r>
    </w:p>
    <w:p w:rsidR="001041B1" w:rsidRDefault="001041B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there empirically any difference noticeable in the determinants of spread between the regions? </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Likewise, this paper constitutes a robustness test of the model. Empirically, this paper focuses on the exogenous variables determining the sovereign yield spread and the impact of Argentine crisis on the spread of other emerging economies. For the estimation this paper relies on the model of Min et al. (2003). In addition, studies that are relevant to this paper include Edwards (1986), Eichengreen and Mody (1998), Haque et al. (1996). The data is collected by several sources like </w:t>
      </w:r>
      <w:r>
        <w:rPr>
          <w:rFonts w:ascii="Times New Roman" w:hAnsi="Times New Roman" w:cs="Times New Roman"/>
          <w:i/>
          <w:iCs/>
          <w:sz w:val="24"/>
          <w:szCs w:val="24"/>
        </w:rPr>
        <w:t>Datastream, International Financial Statistics</w:t>
      </w:r>
      <w:r>
        <w:rPr>
          <w:rFonts w:ascii="Times New Roman" w:hAnsi="Times New Roman" w:cs="Times New Roman"/>
          <w:sz w:val="24"/>
          <w:szCs w:val="24"/>
        </w:rPr>
        <w:t xml:space="preserve"> and </w:t>
      </w:r>
      <w:r>
        <w:rPr>
          <w:rFonts w:ascii="Times New Roman" w:hAnsi="Times New Roman" w:cs="Times New Roman"/>
          <w:i/>
          <w:iCs/>
          <w:sz w:val="24"/>
          <w:szCs w:val="24"/>
        </w:rPr>
        <w:t>World databank.</w:t>
      </w:r>
      <w:r>
        <w:rPr>
          <w:rFonts w:ascii="Times New Roman" w:hAnsi="Times New Roman" w:cs="Times New Roman"/>
          <w:sz w:val="24"/>
          <w:szCs w:val="24"/>
        </w:rPr>
        <w:t xml:space="preserve"> The empirical test is performed by pooled data estimation and the OLS method.</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paper found strong evidence that the determination of sovereign yield spread is related to macroeconomic fundamentals and external shocks.  Exogenous variables such as terms of trade, inflation, oil price and three month Treasury bill are significant in determining sovereign bond spread. Furthermore, the aftermath of the Argentine crisis in 2002, appears to affect the spread in neighbor emerging economies. The findings are consistent with work by Bunda et al. (2009) and Weigel and Gemmill (2006). </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paper starts with section 2 which describes the related literature review. Section 3, provides the data and model for the sovereign yield spread. In addition, this part describes the groups of the exogenous variable that may influence the yield spread in emerging economies. Section 4, discusses the results of the estimated pooled data by using OLS method and the robustness check. Finally, section 5 presents the conclusions and discussion points. </w:t>
      </w:r>
    </w:p>
    <w:p w:rsidR="001041B1" w:rsidRPr="00F2402E" w:rsidRDefault="001041B1" w:rsidP="00F2402E">
      <w:pPr>
        <w:pStyle w:val="ListParagraph"/>
        <w:numPr>
          <w:ilvl w:val="0"/>
          <w:numId w:val="11"/>
        </w:numPr>
        <w:spacing w:line="360" w:lineRule="auto"/>
        <w:jc w:val="both"/>
        <w:rPr>
          <w:rFonts w:ascii="Times New Roman" w:hAnsi="Times New Roman" w:cs="Times New Roman"/>
          <w:b/>
          <w:bCs/>
          <w:color w:val="4F81BD"/>
          <w:sz w:val="24"/>
          <w:szCs w:val="24"/>
        </w:rPr>
      </w:pPr>
      <w:r w:rsidRPr="00F2402E">
        <w:rPr>
          <w:rFonts w:ascii="Times New Roman" w:hAnsi="Times New Roman" w:cs="Times New Roman"/>
          <w:b/>
          <w:bCs/>
          <w:color w:val="4F81BD"/>
          <w:sz w:val="24"/>
          <w:szCs w:val="24"/>
        </w:rPr>
        <w:t>Related Literature</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awareness of emerging market bonds has quickly increased since the 1980s. Apart from foreign direct investment, there has also been a growing interest both from developed countries and international investors.  The risks associated with investing sovereign bonds contain the ordinary risks that are </w:t>
      </w:r>
      <w:r>
        <w:rPr>
          <w:rFonts w:ascii="Times New Roman" w:hAnsi="Times New Roman" w:cs="Times New Roman"/>
          <w:color w:val="000000"/>
          <w:sz w:val="24"/>
          <w:szCs w:val="24"/>
        </w:rPr>
        <w:t xml:space="preserve">associated with debt issues. They depend on variables such as the issuer’s financial circumstance, economic performance and the ability to repay obligations. Higher sovereign bond spreads are highly associated with higher political instability. Edwards (1984) assembled a framework for the calculation of risk premium for sovereign countries which was consistently adopted upon farther analysis. The simple framework has been obtained from a model that views emerging economies as relative small borrowers in competitive international financial market. Edwards (1984) determined the fair value spread of a country as a function of the probability of default on external obligations. Moreover, this default probability depends on several macroeconomic fundamentals which have been estimated with reference to the primary yields on financial lending to emerging economies. </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Sachs (1985) studied the performance of several economic policies and fundamentals for the debt crisis in Latin America and East Asia. In his work, he underlined the value of monetary policy and international trade for the economic performance of a country. In periods such as when there is economic shock and political instability (oil-crisis of 1973), market sentiment plays an extensive role. In the 1980s a generally used proxy for macroeconomic shocks set the real oil prices. Hamilton (1983) found little support between the variety in oil prices and GNP growth. </w:t>
      </w:r>
    </w:p>
    <w:p w:rsidR="001041B1" w:rsidRPr="00F2402E" w:rsidRDefault="001041B1">
      <w:pPr>
        <w:spacing w:line="360" w:lineRule="auto"/>
        <w:jc w:val="both"/>
        <w:rPr>
          <w:rFonts w:ascii="Times New Roman" w:hAnsi="Times New Roman" w:cs="Times New Roman"/>
          <w:bCs/>
          <w:iCs/>
          <w:color w:val="4F81BD"/>
          <w:sz w:val="24"/>
          <w:szCs w:val="24"/>
        </w:rPr>
      </w:pPr>
      <w:r>
        <w:rPr>
          <w:rFonts w:ascii="Times New Roman" w:hAnsi="Times New Roman" w:cs="Times New Roman"/>
          <w:bCs/>
          <w:iCs/>
          <w:color w:val="4F81BD"/>
          <w:sz w:val="24"/>
          <w:szCs w:val="24"/>
        </w:rPr>
        <w:t>2.1</w:t>
      </w:r>
      <w:r w:rsidRPr="00F2402E">
        <w:rPr>
          <w:rFonts w:ascii="Times New Roman" w:hAnsi="Times New Roman" w:cs="Times New Roman"/>
          <w:bCs/>
          <w:iCs/>
          <w:color w:val="4F81BD"/>
          <w:sz w:val="24"/>
          <w:szCs w:val="24"/>
        </w:rPr>
        <w:t xml:space="preserve"> </w:t>
      </w:r>
      <w:r>
        <w:rPr>
          <w:rFonts w:ascii="Times New Roman" w:hAnsi="Times New Roman" w:cs="Times New Roman"/>
          <w:bCs/>
          <w:iCs/>
          <w:color w:val="4F81BD"/>
          <w:sz w:val="24"/>
          <w:szCs w:val="24"/>
        </w:rPr>
        <w:t>In</w:t>
      </w:r>
      <w:r w:rsidRPr="00F2402E">
        <w:rPr>
          <w:rFonts w:ascii="Times New Roman" w:hAnsi="Times New Roman" w:cs="Times New Roman"/>
          <w:bCs/>
          <w:iCs/>
          <w:color w:val="4F81BD"/>
          <w:sz w:val="24"/>
          <w:szCs w:val="24"/>
        </w:rPr>
        <w:t xml:space="preserve"> the 1990s</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During the 1990s emerging markets provided more of a beneficial investment opportunity for international investors and has observed immense capital inflows and outflows during the last decade. </w:t>
      </w:r>
      <w:r>
        <w:rPr>
          <w:rFonts w:ascii="Times New Roman" w:hAnsi="Times New Roman" w:cs="Times New Roman"/>
          <w:color w:val="000000"/>
          <w:sz w:val="24"/>
          <w:szCs w:val="24"/>
        </w:rPr>
        <w:t xml:space="preserve">Although emerging economies have made progress in limiting economic risks, it is undoubted that the chance of economic fluctuations is more noticeable in these economies than in developed economies like the U.S. Cantor and Packer (1996) investigated the impact of sovereign credit ratings with the OLS technique. They adopted rating from Moody’s and S&amp;P’s on 49 countries. According to the authors the ratings are determined by: per capita income, inflation, GDP growth, level of economic development, external debt and default history. One of the first influential works has been done by Eichengreen and Mody (1998). In a comprehensive study they analyzed data on about thirty hundred emerging market bonds in the period 1991 - 1997. They included data from Latin America, East Asia and East Europe. The models have been tested with maximum likelihood estimation. Along the regional difference in spreads, the most notable finding was the shift of economic fundamental towards market sentiment that plays a more dominant role. This appeared especially in unpredictable periods like the Asian crises. </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Kamin and von Kleist (1999) elaborated measurements for the sovereign bond spreads, based on sophisticated data on bank loans and bond issues. The measures give an indication of the weight of maturity, ratings of credit agencies and currency denomination on sovereign spreads. The data covered the years 1991 - 1997 and they performed a regression equation to measure the spreads. They concluded that movement in spreads characteristic the tendency of emerging market spreads. Ultimately, the years before the financial crisis in Asia, the spreads on emerging market debt factors declined significantly. This change suggests that the spreads has been more affect by international risk factors.</w:t>
      </w:r>
      <w:r>
        <w:rPr>
          <w:rFonts w:ascii="Times New Roman" w:hAnsi="Times New Roman" w:cs="Times New Roman"/>
          <w:sz w:val="24"/>
          <w:szCs w:val="24"/>
        </w:rPr>
        <w:t xml:space="preserve"> </w:t>
      </w:r>
    </w:p>
    <w:p w:rsidR="001041B1" w:rsidRPr="00F2402E" w:rsidRDefault="001041B1">
      <w:pPr>
        <w:spacing w:line="360" w:lineRule="auto"/>
        <w:jc w:val="both"/>
        <w:rPr>
          <w:rFonts w:ascii="Times New Roman" w:hAnsi="Times New Roman" w:cs="Times New Roman"/>
          <w:bCs/>
          <w:iCs/>
          <w:color w:val="4F81BD"/>
          <w:sz w:val="24"/>
          <w:szCs w:val="24"/>
        </w:rPr>
      </w:pPr>
      <w:r>
        <w:rPr>
          <w:rFonts w:ascii="Times New Roman" w:hAnsi="Times New Roman" w:cs="Times New Roman"/>
          <w:bCs/>
          <w:iCs/>
          <w:color w:val="4F81BD"/>
          <w:sz w:val="24"/>
          <w:szCs w:val="24"/>
        </w:rPr>
        <w:t>2.2</w:t>
      </w:r>
      <w:r w:rsidRPr="00F2402E">
        <w:rPr>
          <w:rFonts w:ascii="Times New Roman" w:hAnsi="Times New Roman" w:cs="Times New Roman"/>
          <w:bCs/>
          <w:iCs/>
          <w:color w:val="4F81BD"/>
          <w:sz w:val="24"/>
          <w:szCs w:val="24"/>
        </w:rPr>
        <w:t xml:space="preserve"> </w:t>
      </w:r>
      <w:r>
        <w:rPr>
          <w:rFonts w:ascii="Times New Roman" w:hAnsi="Times New Roman" w:cs="Times New Roman"/>
          <w:bCs/>
          <w:iCs/>
          <w:color w:val="4F81BD"/>
          <w:sz w:val="24"/>
          <w:szCs w:val="24"/>
        </w:rPr>
        <w:t>In</w:t>
      </w:r>
      <w:r w:rsidRPr="00F2402E">
        <w:rPr>
          <w:rFonts w:ascii="Times New Roman" w:hAnsi="Times New Roman" w:cs="Times New Roman"/>
          <w:bCs/>
          <w:iCs/>
          <w:color w:val="4F81BD"/>
          <w:sz w:val="24"/>
          <w:szCs w:val="24"/>
        </w:rPr>
        <w:t xml:space="preserve"> the 2000s</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After the Asian (1997) and Russian (1998) crisis, the interest on determinates of sovereign spreads advanced in the 2000s. Initially most studies focused on the economic fundamentals determining sovereign spread, while recently the attention for external shocks, international liquidity and investors’ risk tolerance increased. The book of Mauro et al. (2006) contributed to the existing literature by comparing the attitude of financial market since 1990 and the period 1870 - 1913. Kaminsky (2006)</w:t>
      </w:r>
      <w:r>
        <w:rPr>
          <w:rFonts w:ascii="Times New Roman" w:hAnsi="Times New Roman" w:cs="Times New Roman"/>
        </w:rPr>
        <w:t xml:space="preserve"> </w:t>
      </w:r>
      <w:r>
        <w:rPr>
          <w:rFonts w:ascii="Times New Roman" w:hAnsi="Times New Roman" w:cs="Times New Roman"/>
          <w:sz w:val="24"/>
          <w:szCs w:val="24"/>
        </w:rPr>
        <w:t>argued</w:t>
      </w:r>
      <w:r>
        <w:rPr>
          <w:rFonts w:ascii="Times New Roman" w:hAnsi="Times New Roman" w:cs="Times New Roman"/>
        </w:rPr>
        <w:t xml:space="preserve"> that t</w:t>
      </w:r>
      <w:r>
        <w:rPr>
          <w:rFonts w:ascii="Times New Roman" w:hAnsi="Times New Roman" w:cs="Times New Roman"/>
          <w:sz w:val="24"/>
          <w:szCs w:val="24"/>
        </w:rPr>
        <w:t xml:space="preserve">he authors accumulated by hand data from sources like </w:t>
      </w:r>
      <w:r>
        <w:rPr>
          <w:rFonts w:ascii="Times New Roman" w:hAnsi="Times New Roman" w:cs="Times New Roman"/>
          <w:i/>
          <w:iCs/>
          <w:sz w:val="24"/>
          <w:szCs w:val="24"/>
        </w:rPr>
        <w:t>London Times, Financial Times</w:t>
      </w:r>
      <w:r>
        <w:rPr>
          <w:rFonts w:ascii="Times New Roman" w:hAnsi="Times New Roman" w:cs="Times New Roman"/>
          <w:sz w:val="24"/>
          <w:szCs w:val="24"/>
        </w:rPr>
        <w:t xml:space="preserve"> and </w:t>
      </w:r>
      <w:r>
        <w:rPr>
          <w:rFonts w:ascii="Times New Roman" w:hAnsi="Times New Roman" w:cs="Times New Roman"/>
          <w:i/>
          <w:iCs/>
          <w:sz w:val="24"/>
          <w:szCs w:val="24"/>
        </w:rPr>
        <w:t>Economist´s Investors Monthly Manual</w:t>
      </w:r>
      <w:r>
        <w:rPr>
          <w:rFonts w:ascii="Times New Roman" w:hAnsi="Times New Roman" w:cs="Times New Roman"/>
          <w:sz w:val="24"/>
          <w:szCs w:val="24"/>
        </w:rPr>
        <w:t xml:space="preserve">. Furthermore, the historically data have been compared to that of the 1990s. The first stylized conclusion showed the weak evidence on the abrupt increase in co-movement in recent times, followed the crisis in Argentina. This suggested that institutional investors do not continually move in groups. A second remark argued that domestic fundamentals remains the base of the movement in bond spreads. This has been indicated since in historical periods spreads do not co-move. </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McGuide and Schrijvers (2003) investigated the reaction of emerging market sovereign spreads by using common forces across international markets. Consequently, they applied daily data from the fifteen emerging economies and between the periods of 1997 - 2003. The common factors have been tested by factor analysis and found that common forces plays a significant role on the total movement of sovereign spreads. Moreover, the single common factor justified the most part of the common variation and the primary factor explains investors’ attitudes toward investment decision and risk. </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Cuadra and Sapriza (2008) developed a small open economy model which analyzes the influence of political vulnerability on default and rate spreads in emerging economies. This model comprises the degree of political party and foreign lenders. A higher risk premium signified a larger political instability and stronger domestic controversy. Yue (2010) also developed a small economy model to study the relation between sovereign default and renegotiation. The quantitative model characteristics are endogenous omission and recovery rates. The dataset involves the Argentine period 1994 - 2002 and the bond spreads included data from Emerging Market Bond Indices (EMBI) developed by J.P. Morgan. He argued that the decrease in debt recovery rates is related to the countries’ incentive to default. Furthermore, Yue (2010) exposed the influence of bargaining power change on both sovereign bond spreads and debt recovery rate. Rocha and Moreira (2010) used panel data estimation on twenty three emerging economies depicted sovereign spreads to external shocks in the current financial crisis. According to the authors the emerging economies nowadays benefits from the better policy and states that external shock can lead to contrary response in various economies. </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fr-FR"/>
        </w:rPr>
        <w:t xml:space="preserve">Ciarlone et al. </w:t>
      </w:r>
      <w:r>
        <w:rPr>
          <w:rFonts w:ascii="Times New Roman" w:hAnsi="Times New Roman" w:cs="Times New Roman"/>
          <w:color w:val="000000"/>
          <w:sz w:val="24"/>
          <w:szCs w:val="24"/>
        </w:rPr>
        <w:t>(2009) used factor analysis to find more information for the common factor to capture the conditions of the international capital markets. Factor analysis has been used to find a pattern among the variables. The data for the factor analysis consists of monthly data in the period 1998 - 2006. Furthermore, for testing on log-levels both Phillips-Perron and Augmented Dickey-Fuller test have been completed. They concluded that a common factor explains the correlation between emerging markets spreads with the progress of international financial conditions. The applicable economic policies and the improvement in fundamentals have led to a decrease in bond spreads of emerging economies in the last four years. However, emerging economies are still exposed to external shocks.</w:t>
      </w:r>
    </w:p>
    <w:p w:rsidR="001041B1" w:rsidRPr="00F2402E" w:rsidRDefault="001041B1">
      <w:pPr>
        <w:spacing w:line="360" w:lineRule="auto"/>
        <w:jc w:val="both"/>
        <w:rPr>
          <w:rFonts w:ascii="Times New Roman" w:hAnsi="Times New Roman" w:cs="Times New Roman"/>
          <w:bCs/>
          <w:iCs/>
          <w:color w:val="4F81BD"/>
          <w:sz w:val="24"/>
          <w:szCs w:val="24"/>
        </w:rPr>
      </w:pPr>
      <w:r>
        <w:rPr>
          <w:rFonts w:ascii="Times New Roman" w:hAnsi="Times New Roman" w:cs="Times New Roman"/>
          <w:bCs/>
          <w:iCs/>
          <w:color w:val="4F81BD"/>
          <w:sz w:val="24"/>
          <w:szCs w:val="24"/>
        </w:rPr>
        <w:t>2.3</w:t>
      </w:r>
      <w:r w:rsidRPr="00F2402E">
        <w:rPr>
          <w:rFonts w:ascii="Times New Roman" w:hAnsi="Times New Roman" w:cs="Times New Roman"/>
          <w:bCs/>
          <w:iCs/>
          <w:color w:val="4F81BD"/>
          <w:sz w:val="24"/>
          <w:szCs w:val="24"/>
        </w:rPr>
        <w:t xml:space="preserve"> </w:t>
      </w:r>
      <w:r>
        <w:rPr>
          <w:rFonts w:ascii="Times New Roman" w:hAnsi="Times New Roman" w:cs="Times New Roman"/>
          <w:bCs/>
          <w:iCs/>
          <w:color w:val="4F81BD"/>
          <w:sz w:val="24"/>
          <w:szCs w:val="24"/>
        </w:rPr>
        <w:t>Macroeconomic vs. country-</w:t>
      </w:r>
      <w:r w:rsidRPr="00F2402E">
        <w:rPr>
          <w:rFonts w:ascii="Times New Roman" w:hAnsi="Times New Roman" w:cs="Times New Roman"/>
          <w:bCs/>
          <w:iCs/>
          <w:color w:val="4F81BD"/>
          <w:sz w:val="24"/>
          <w:szCs w:val="24"/>
        </w:rPr>
        <w:t>specific variables</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Min (1998) investigated the economic determinants of yield spreads on emerging economies during the 1990s. Min (1998) developed a linear model, assuming risk-neutral lender, to determine the spread. Moreover, he divided eighteen variables into four groups and selected 11 countries. The model has been determined by OLS and White’s test for heteroskedasticity. First the author mentioned the importance of liquidity and solvency, which have been proxy by variables such as debt ratio, reserves ratio, and export and import growth. In addition, economic fundamentals like inflation rate and real exchange rate emphasized the bond spread.</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Another risk that can expose is exchange rate fluctuations and currency depreciation. If a bond is distributed in local currency, the rate of the U.S. dollar can both negatively and positively influence the bond spread. If the local currency is weak relatively to the dollar, the return of an investor is negatively affected whereas a strong local currency attracts more interest and will have a positive impact on the exchange rate. Aside empirical work on sovereign spreads several studies examined the correlation between macroeconomic variables and the return on equity market. </w:t>
      </w:r>
      <w:r>
        <w:rPr>
          <w:rFonts w:ascii="Times New Roman" w:hAnsi="Times New Roman" w:cs="Times New Roman"/>
          <w:color w:val="000000"/>
          <w:sz w:val="24"/>
          <w:szCs w:val="24"/>
          <w:lang w:val="fr-FR"/>
        </w:rPr>
        <w:t xml:space="preserve">Bilson et al. </w:t>
      </w:r>
      <w:r>
        <w:rPr>
          <w:rFonts w:ascii="Times New Roman" w:hAnsi="Times New Roman" w:cs="Times New Roman"/>
          <w:color w:val="000000"/>
          <w:sz w:val="24"/>
          <w:szCs w:val="24"/>
        </w:rPr>
        <w:t>(2001) discussed which economic fundamentals explain the difference in equity return in emerging stock markets. They made a difference between global and local macroeconomic variables and used a multifactor model. They found strong relation between equity return and factors as prices of goods and money supply categorized as macroeconomic variables.</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Arora and Cerisola (2001) quantified the influences of adjustment in U.S. monetary policy on sovereign bond spreads in eleven emerging economies. The authors argued that the level of U.S. interest rate significantly effect sovereign bond spreads on a positive way. Therefore, country-specific factors like low deficit and credible fiscal policy are essential in minimizing country risk. Ferrucci (2003) analyzed the empirical determinants of sovereign bond spreads. In his paper, he used a ragged-edge panel of EMBI and EMBI Global and various country-specific macroeconomic fundamentals. The study used the pooled mean group estimation for the model and included the period 1995 - 1997. Ferrucci (2003) found empirical evidence for the importance of macro fundamentals and country-specific factors. Ferrucci (2003) suggested that in some cases unmeasured fundamentals can resolve the divergence in valuing sovereign debt.</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Using panel data, Jüttner et al. (2006) examined the return of sovereign bond spreads in the perspective of an investor. The authors adopted the variable of oil-importing and oil-exporting to classify the local bond index. Oil-importing countries returns have been negatively related whereas oil-exporting countries surely do not replied to changes in oil prices. Macroeconomic variables and country-specific risk factor both influences the local bond returns significantly.</w:t>
      </w:r>
    </w:p>
    <w:p w:rsidR="001041B1" w:rsidRPr="00F2402E" w:rsidRDefault="001041B1">
      <w:pPr>
        <w:spacing w:line="360" w:lineRule="auto"/>
        <w:jc w:val="both"/>
        <w:rPr>
          <w:rFonts w:ascii="Times New Roman" w:hAnsi="Times New Roman" w:cs="Times New Roman"/>
          <w:iCs/>
          <w:color w:val="4F81BD"/>
          <w:sz w:val="24"/>
          <w:szCs w:val="24"/>
        </w:rPr>
      </w:pPr>
      <w:r>
        <w:rPr>
          <w:rFonts w:ascii="Times New Roman" w:hAnsi="Times New Roman" w:cs="Times New Roman"/>
          <w:iCs/>
          <w:color w:val="4F81BD"/>
          <w:sz w:val="24"/>
          <w:szCs w:val="24"/>
        </w:rPr>
        <w:t>2</w:t>
      </w:r>
      <w:r w:rsidRPr="00F2402E">
        <w:rPr>
          <w:rFonts w:ascii="Times New Roman" w:hAnsi="Times New Roman" w:cs="Times New Roman"/>
          <w:iCs/>
          <w:color w:val="4F81BD"/>
          <w:sz w:val="24"/>
          <w:szCs w:val="24"/>
        </w:rPr>
        <w:t>.</w:t>
      </w:r>
      <w:r>
        <w:rPr>
          <w:rFonts w:ascii="Times New Roman" w:hAnsi="Times New Roman" w:cs="Times New Roman"/>
          <w:iCs/>
          <w:color w:val="4F81BD"/>
          <w:sz w:val="24"/>
          <w:szCs w:val="24"/>
        </w:rPr>
        <w:t>4</w:t>
      </w:r>
      <w:r w:rsidRPr="00F2402E">
        <w:rPr>
          <w:rFonts w:ascii="Times New Roman" w:hAnsi="Times New Roman" w:cs="Times New Roman"/>
          <w:iCs/>
          <w:color w:val="4F81BD"/>
          <w:sz w:val="24"/>
          <w:szCs w:val="24"/>
        </w:rPr>
        <w:t xml:space="preserve"> The role of U.S. interest rate</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fr-FR"/>
        </w:rPr>
        <w:t xml:space="preserve">Dailami et al. </w:t>
      </w:r>
      <w:r>
        <w:rPr>
          <w:rFonts w:ascii="Times New Roman" w:hAnsi="Times New Roman" w:cs="Times New Roman"/>
          <w:color w:val="000000"/>
          <w:sz w:val="24"/>
          <w:szCs w:val="24"/>
        </w:rPr>
        <w:t xml:space="preserve">(2008) confirmed the importance of U.S. interest rate on the spreads on emerging market bond. The authors used monthly data spreads, which have been generated with EMBI+, and included 17 emerging economies. Concerning the methodology, they used a panel regression and constructed a framework for the estimation of long-term influences and short-term dynamics. Furthermore, they differentiate between crisis and non-crisis periods. The solvency of emerging economies borrowers has affected the level of interest rates in international financial markets. An emerging economy which has relatively less debt will hardly affect the probability of default. This can lead to a situation where investors are more willing to distinguish between borrowers. Hence, the sovereign bond spread of countries that are more doubtful regarding solvency could lead to a steeper increase in spreads. The condition of each single emerging economy is essential to calculate the outcome of U.S. monetary squeeze. A tightening of monetary policy may lead to an aversion to rollover existing debt by (institutional) investors in emerging economies. </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Hartelius et al. (2008) composed a distinct difference between fundamentals and liquidity. They made a list of thirty three emerging economies and collected both daily and monthly data. The authors found empirical evidence for the effect of U.S. interest rate on emerging market debt spreads. Along the important role of the Fed, emerging economies must strengthen economic and fiscal policies during economic expansion. Especially the current financial crisis has shown the direct exposure of international financial institution, which invested or lend to emerging economies. </w:t>
      </w:r>
    </w:p>
    <w:p w:rsidR="001041B1" w:rsidRPr="00F2402E" w:rsidRDefault="001041B1">
      <w:pPr>
        <w:spacing w:line="360" w:lineRule="auto"/>
        <w:jc w:val="both"/>
        <w:rPr>
          <w:rFonts w:ascii="Times New Roman" w:hAnsi="Times New Roman" w:cs="Times New Roman"/>
          <w:bCs/>
          <w:iCs/>
          <w:color w:val="4F81BD"/>
          <w:sz w:val="24"/>
          <w:szCs w:val="24"/>
        </w:rPr>
      </w:pPr>
      <w:r>
        <w:rPr>
          <w:rFonts w:ascii="Times New Roman" w:hAnsi="Times New Roman" w:cs="Times New Roman"/>
          <w:bCs/>
          <w:iCs/>
          <w:color w:val="4F81BD"/>
          <w:sz w:val="24"/>
          <w:szCs w:val="24"/>
        </w:rPr>
        <w:t>2</w:t>
      </w:r>
      <w:r w:rsidRPr="00F2402E">
        <w:rPr>
          <w:rFonts w:ascii="Times New Roman" w:hAnsi="Times New Roman" w:cs="Times New Roman"/>
          <w:bCs/>
          <w:iCs/>
          <w:color w:val="4F81BD"/>
          <w:sz w:val="24"/>
          <w:szCs w:val="24"/>
        </w:rPr>
        <w:t>.5</w:t>
      </w:r>
      <w:r>
        <w:rPr>
          <w:rFonts w:ascii="Times New Roman" w:hAnsi="Times New Roman" w:cs="Times New Roman"/>
          <w:bCs/>
          <w:iCs/>
          <w:color w:val="4F81BD"/>
          <w:sz w:val="24"/>
          <w:szCs w:val="24"/>
        </w:rPr>
        <w:t xml:space="preserve"> </w:t>
      </w:r>
      <w:r w:rsidRPr="00F2402E">
        <w:rPr>
          <w:rFonts w:ascii="Times New Roman" w:hAnsi="Times New Roman" w:cs="Times New Roman"/>
          <w:bCs/>
          <w:iCs/>
          <w:color w:val="4F81BD"/>
          <w:sz w:val="24"/>
          <w:szCs w:val="24"/>
        </w:rPr>
        <w:t>Credit rating agencies</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Credit rating agencies</w:t>
      </w:r>
      <w:r>
        <w:rPr>
          <w:rFonts w:ascii="Times New Roman" w:hAnsi="Times New Roman" w:cs="Times New Roman"/>
          <w:color w:val="000000"/>
          <w:sz w:val="24"/>
          <w:szCs w:val="24"/>
        </w:rPr>
        <w:t xml:space="preserve"> plays an essential part in the international financial market. Credit rating agencies support financial markets issuers with a classification of relative creditworthiness of all bond issues by including all elements of default risk into credit rating. During the latest financial crisis in 2007 - 2009, credit rating agencies have been blamed by both regulators and politicians for failing to accordingly evaluate the sub-prime mortgage risk. More recently credit rating agencies seem acting more in advanced by downgrading European countries like Spain, Portugal and Greece. This has caused a float of negative reaction from European regulators and politicians. Some even imposed for a European credit rating agency. Despite the heavy criticism in western economies, the challenge in emerging economies might be more difficult. This is due to less economic and political stability, shortcoming in transparency and regulation. Moreover, the volatility and uncertainty is higher than developed countries. A common factor is the discrepancy across the biggest three rating agencies (Moody’s, Standard &amp; Poor’s and Fitch). </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Various papers summarized the importance of sovereign rating on credit spreads.  </w:t>
      </w:r>
      <w:r>
        <w:rPr>
          <w:rFonts w:ascii="Times New Roman" w:hAnsi="Times New Roman" w:cs="Times New Roman"/>
          <w:color w:val="000000"/>
          <w:sz w:val="24"/>
          <w:szCs w:val="24"/>
          <w:lang w:val="fr-FR"/>
        </w:rPr>
        <w:t xml:space="preserve">Larraín et al. </w:t>
      </w:r>
      <w:r>
        <w:rPr>
          <w:rFonts w:ascii="Times New Roman" w:hAnsi="Times New Roman" w:cs="Times New Roman"/>
          <w:color w:val="000000"/>
          <w:sz w:val="24"/>
          <w:szCs w:val="24"/>
        </w:rPr>
        <w:t>(1997) studied the role of credit rating agencies and sovereign risk after the Mexican crisis in 1995. The data collected by the authors covers the period 1987 - 1996 and included twenty six countries.</w:t>
      </w:r>
      <w:r>
        <w:rPr>
          <w:rFonts w:ascii="Times New Roman" w:hAnsi="Times New Roman" w:cs="Times New Roman"/>
          <w:sz w:val="24"/>
          <w:szCs w:val="24"/>
        </w:rPr>
        <w:t xml:space="preserve"> </w:t>
      </w:r>
      <w:r>
        <w:rPr>
          <w:rFonts w:ascii="Times New Roman" w:hAnsi="Times New Roman" w:cs="Times New Roman"/>
          <w:color w:val="000000"/>
          <w:sz w:val="24"/>
          <w:szCs w:val="24"/>
          <w:lang w:val="fr-FR"/>
        </w:rPr>
        <w:t xml:space="preserve">Larraín et al. </w:t>
      </w:r>
      <w:r>
        <w:rPr>
          <w:rFonts w:ascii="Times New Roman" w:hAnsi="Times New Roman" w:cs="Times New Roman"/>
          <w:color w:val="000000"/>
          <w:sz w:val="24"/>
          <w:szCs w:val="24"/>
        </w:rPr>
        <w:t xml:space="preserve">(1997) used the 10-year U.S. treasury bonds as benchmark. The authors first performed Granger causality test followed by an event study. The primary findings occurred in line with earlier studies, concluding a significant effect when credit rating agencies put on a negative outlook. </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Bissoondoyal-Bheenick (2005) studied the determinants of sovereign ratings issued by S&amp;P’s and Moody. They extend the literature in terms of used countries and time period. The authors used the ordered response model and features ninety five countries in the period 1995 - 1999. They argued that economic variable like GNP per capita has been primary indicators for rating application by both credit rating agencies. Mora (2006) investigated the role of sovereign credit rating during the Asian crisis in 1997. Mora (2006) showed little evidence for rating agencies being dreadfully conventional during the economic crisis in 1997. </w:t>
      </w:r>
      <w:r>
        <w:rPr>
          <w:rFonts w:ascii="Times New Roman" w:hAnsi="Times New Roman" w:cs="Times New Roman"/>
          <w:sz w:val="24"/>
          <w:szCs w:val="24"/>
        </w:rPr>
        <w:t xml:space="preserve">Kim and Wu (2008) used panel estimation to measure the importance of credit rating from Standard &amp; Poor’s on international financial market. They used a dataset of fifty one emerging economies and found support for the effect of sovereign credit rating on the financial sector expansion and capital flows. </w:t>
      </w:r>
      <w:r>
        <w:rPr>
          <w:rFonts w:ascii="Times New Roman" w:hAnsi="Times New Roman" w:cs="Times New Roman"/>
          <w:color w:val="000000"/>
          <w:sz w:val="24"/>
          <w:szCs w:val="24"/>
        </w:rPr>
        <w:t xml:space="preserve">According to the authors, ratings also have been affected by the history of default. </w:t>
      </w:r>
    </w:p>
    <w:p w:rsidR="001041B1" w:rsidRPr="00F2402E" w:rsidRDefault="001041B1">
      <w:pPr>
        <w:spacing w:line="360" w:lineRule="auto"/>
        <w:jc w:val="both"/>
        <w:rPr>
          <w:rFonts w:ascii="Times New Roman" w:hAnsi="Times New Roman" w:cs="Times New Roman"/>
          <w:iCs/>
          <w:color w:val="4F81BD"/>
          <w:sz w:val="24"/>
          <w:szCs w:val="24"/>
        </w:rPr>
      </w:pPr>
      <w:r>
        <w:rPr>
          <w:rFonts w:ascii="Times New Roman" w:hAnsi="Times New Roman" w:cs="Times New Roman"/>
          <w:iCs/>
          <w:color w:val="4F81BD"/>
          <w:sz w:val="24"/>
          <w:szCs w:val="24"/>
        </w:rPr>
        <w:t>2.6</w:t>
      </w:r>
      <w:r w:rsidRPr="00F2402E">
        <w:rPr>
          <w:rFonts w:ascii="Times New Roman" w:hAnsi="Times New Roman" w:cs="Times New Roman"/>
          <w:iCs/>
          <w:color w:val="4F81BD"/>
          <w:sz w:val="24"/>
          <w:szCs w:val="24"/>
        </w:rPr>
        <w:t xml:space="preserve"> Spillover effect</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Ganda and Parsley (2005) examined the spillover effect on sovereign debt market in the period from 1991 - 2000. They defined spillover effect if a change in rating significantly affects the credit spreads of other countries. They proved the essence of asymmetric mechanism: negative rating events show significantly an increase in sovereign spreads, whereas a positive rating event hardly influences the sovereign spreads.  Ferreira and Gama (2007) extend the findings of Ganda and Parsley (2005) by taking the spillover effect across markets in consideration.  For the dataset, Ferreira and Gama (2007) included eleven developed countries and eighteen emerging economies to construct the model. The stock market anticipated to a sovereign downgrade by an increase on the interest rate of the bond which means more difficulty to borrow at the financial markets. Just like Ganda and Parsley (2005), Ferreira and Gama (2007) used the sovereign rating history of Standard &amp; Poor’s and found the similar asymmetric mechanism. Moreover, the geographic distance played a significant role in the spillover burden. This suggest that, the closer the countries located, the greater the impact on rating news. </w:t>
      </w:r>
    </w:p>
    <w:p w:rsidR="001041B1" w:rsidRDefault="001041B1" w:rsidP="001B2940">
      <w:pPr>
        <w:spacing w:line="360" w:lineRule="auto"/>
        <w:jc w:val="both"/>
        <w:rPr>
          <w:rFonts w:ascii="Times New Roman" w:hAnsi="Times New Roman" w:cs="Times New Roman"/>
          <w:bCs/>
          <w:iCs/>
          <w:color w:val="4F81BD"/>
          <w:sz w:val="24"/>
          <w:szCs w:val="24"/>
        </w:rPr>
      </w:pPr>
      <w:r w:rsidRPr="00D8402E">
        <w:rPr>
          <w:rFonts w:ascii="Times New Roman" w:hAnsi="Times New Roman" w:cs="Times New Roman"/>
          <w:sz w:val="24"/>
          <w:szCs w:val="24"/>
        </w:rPr>
        <w:t xml:space="preserve">Hooper et al. </w:t>
      </w:r>
      <w:r>
        <w:rPr>
          <w:rFonts w:ascii="Times New Roman" w:hAnsi="Times New Roman" w:cs="Times New Roman"/>
          <w:sz w:val="24"/>
          <w:szCs w:val="24"/>
        </w:rPr>
        <w:t xml:space="preserve">(2008) argued that when rating agencies upgrades, this causes a significant increase of USD denominated return on stock market which lead to a decrease in volatility. In the situation of economic crises, downgrades, foreign currency and emerging economies debt, the market reacts more verbalized on both return and fluctuations. </w:t>
      </w:r>
      <w:r w:rsidRPr="00D8402E">
        <w:rPr>
          <w:rFonts w:ascii="Times New Roman" w:hAnsi="Times New Roman" w:cs="Times New Roman"/>
          <w:color w:val="000000"/>
          <w:sz w:val="24"/>
          <w:szCs w:val="24"/>
        </w:rPr>
        <w:t xml:space="preserve">Kräussl (2005), Brook et al. </w:t>
      </w:r>
      <w:r>
        <w:rPr>
          <w:rFonts w:ascii="Times New Roman" w:hAnsi="Times New Roman" w:cs="Times New Roman"/>
          <w:color w:val="000000"/>
          <w:sz w:val="24"/>
          <w:szCs w:val="24"/>
          <w:lang w:val="fr-FR"/>
        </w:rPr>
        <w:t xml:space="preserve">(2004), Pukthuanthong-Le et al. </w:t>
      </w:r>
      <w:r>
        <w:rPr>
          <w:rFonts w:ascii="Times New Roman" w:hAnsi="Times New Roman" w:cs="Times New Roman"/>
          <w:color w:val="000000"/>
          <w:sz w:val="24"/>
          <w:szCs w:val="24"/>
        </w:rPr>
        <w:t xml:space="preserve">(2007) and Reisen and von Maltzan (1999) also concluded the negative effect on the downgrades of sovereign rating. </w:t>
      </w:r>
      <w:r w:rsidRPr="00F2402E">
        <w:rPr>
          <w:rFonts w:ascii="Times New Roman" w:hAnsi="Times New Roman" w:cs="Times New Roman"/>
          <w:bCs/>
          <w:iCs/>
          <w:color w:val="4F81BD"/>
          <w:sz w:val="24"/>
          <w:szCs w:val="24"/>
        </w:rPr>
        <w:t xml:space="preserve"> </w:t>
      </w:r>
    </w:p>
    <w:p w:rsidR="001041B1" w:rsidRPr="001B2940" w:rsidRDefault="001041B1" w:rsidP="001B2940">
      <w:pPr>
        <w:spacing w:line="360" w:lineRule="auto"/>
        <w:jc w:val="both"/>
        <w:rPr>
          <w:rFonts w:ascii="Times New Roman" w:hAnsi="Times New Roman" w:cs="Times New Roman"/>
          <w:color w:val="000000"/>
          <w:sz w:val="24"/>
          <w:szCs w:val="24"/>
        </w:rPr>
      </w:pPr>
      <w:r>
        <w:rPr>
          <w:rFonts w:ascii="Times New Roman" w:hAnsi="Times New Roman" w:cs="Times New Roman"/>
          <w:bCs/>
          <w:iCs/>
          <w:color w:val="4F81BD"/>
          <w:sz w:val="24"/>
          <w:szCs w:val="24"/>
        </w:rPr>
        <w:t>2.7 Latin</w:t>
      </w:r>
      <w:r w:rsidRPr="00F2402E">
        <w:rPr>
          <w:rFonts w:ascii="Times New Roman" w:hAnsi="Times New Roman" w:cs="Times New Roman"/>
          <w:bCs/>
          <w:iCs/>
          <w:color w:val="4F81BD"/>
          <w:sz w:val="24"/>
          <w:szCs w:val="24"/>
        </w:rPr>
        <w:t xml:space="preserve"> America</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financial crisis of Latin America goes back to the 1970s when countries have been enabling to repay foreign debt. The more familiar crises are the Mexican peso crisis (1994) and the Argentine economic crisis (1999). One way to measure a possible countries’ default is to calculate the risk premium. Clark and Kassimatis (2004) estimated the financial risk premium in 1985 - 1997 for six Latin American countries namely: Argentina, Colombia, Mexico, Brazil, Venezuela and Chile. They adopted a panel data to test for unit roots. The authors argued that changes in risk premium described about 12% of variations in the common stock market indices for five of the total six tested countries</w:t>
      </w:r>
      <w:r>
        <w:rPr>
          <w:rStyle w:val="FootnoteReference"/>
          <w:color w:val="000000"/>
          <w:sz w:val="24"/>
          <w:szCs w:val="24"/>
        </w:rPr>
        <w:footnoteReference w:id="2"/>
      </w:r>
      <w:r>
        <w:rPr>
          <w:rFonts w:ascii="Times New Roman" w:hAnsi="Times New Roman" w:cs="Times New Roman"/>
          <w:color w:val="000000"/>
          <w:sz w:val="24"/>
          <w:szCs w:val="24"/>
        </w:rPr>
        <w:t>. This concludes the importance of risk premium for the performance of the stock market.</w:t>
      </w:r>
    </w:p>
    <w:p w:rsidR="001041B1" w:rsidRDefault="001041B1">
      <w:pPr>
        <w:spacing w:line="360" w:lineRule="auto"/>
        <w:jc w:val="both"/>
        <w:rPr>
          <w:rFonts w:ascii="Times New Roman" w:hAnsi="Times New Roman" w:cs="Times New Roman"/>
          <w:color w:val="000000"/>
          <w:sz w:val="24"/>
          <w:szCs w:val="24"/>
        </w:rPr>
      </w:pPr>
      <w:r w:rsidRPr="00697B07">
        <w:rPr>
          <w:rFonts w:ascii="Times New Roman" w:hAnsi="Times New Roman" w:cs="Times New Roman"/>
          <w:color w:val="000000"/>
          <w:sz w:val="24"/>
          <w:szCs w:val="24"/>
        </w:rPr>
        <w:t>Verma and Soydemir (2006)</w:t>
      </w:r>
      <w:r>
        <w:rPr>
          <w:rFonts w:ascii="Times New Roman" w:hAnsi="Times New Roman" w:cs="Times New Roman"/>
          <w:color w:val="000000"/>
          <w:sz w:val="24"/>
          <w:szCs w:val="24"/>
        </w:rPr>
        <w:t xml:space="preserve"> adopted a country beta proposition to scrutinize whether global and local risk fundamentals affect the risk of Latin America. For the study, they selected Argentina, Mexico, Chile and Brazil based on economic growth in the last two decades. The dataset involves a monthly interval in the period 1989 - 2005. The variables like interest rate and inflation, which accords to global fundamentals, have significant negative influences on the beta of Latin American countries. Among the local fundamentals, exchange rates and money supply significantly affected the risk of a country. The significant influences on countries have been different, which indicated that Latin American countries have been more convergence over time, but the speed with the developed nations was unequal. </w:t>
      </w:r>
    </w:p>
    <w:p w:rsidR="001041B1" w:rsidRDefault="001041B1">
      <w:pPr>
        <w:spacing w:line="360" w:lineRule="auto"/>
        <w:jc w:val="both"/>
        <w:rPr>
          <w:rFonts w:ascii="Times New Roman" w:hAnsi="Times New Roman" w:cs="Times New Roman"/>
          <w:color w:val="000000"/>
          <w:sz w:val="24"/>
          <w:szCs w:val="24"/>
        </w:rPr>
      </w:pPr>
      <w:r w:rsidRPr="00F30F48">
        <w:rPr>
          <w:rFonts w:ascii="Times New Roman" w:hAnsi="Times New Roman" w:cs="Times New Roman"/>
          <w:sz w:val="24"/>
          <w:szCs w:val="24"/>
        </w:rPr>
        <w:t>Cifarelli and Paladino (2004)</w:t>
      </w:r>
      <w:r>
        <w:rPr>
          <w:rFonts w:ascii="Times New Roman" w:hAnsi="Times New Roman" w:cs="Times New Roman"/>
          <w:sz w:val="24"/>
          <w:szCs w:val="24"/>
        </w:rPr>
        <w:t xml:space="preserve"> discussed the consequences of the Argentine default in 2001 on the spreads of sovereign bonds issued by several emerging economies in Latin America and Asia. They identified the effect of contagion for Latin America whereas the effect on Asia is less perpetual</w:t>
      </w:r>
      <w:r w:rsidRPr="006A4341">
        <w:rPr>
          <w:rFonts w:ascii="Times New Roman" w:hAnsi="Times New Roman" w:cs="Times New Roman"/>
          <w:sz w:val="24"/>
          <w:szCs w:val="24"/>
        </w:rPr>
        <w:t xml:space="preserve">. </w:t>
      </w:r>
      <w:r w:rsidRPr="006A4341">
        <w:rPr>
          <w:rFonts w:ascii="Times New Roman" w:hAnsi="Times New Roman" w:cs="Times New Roman"/>
          <w:color w:val="000000"/>
          <w:sz w:val="24"/>
          <w:szCs w:val="24"/>
        </w:rPr>
        <w:t>Weigel and Gemmill (2006)</w:t>
      </w:r>
      <w:r>
        <w:rPr>
          <w:rFonts w:ascii="Times New Roman" w:hAnsi="Times New Roman" w:cs="Times New Roman"/>
          <w:color w:val="000000"/>
          <w:sz w:val="24"/>
          <w:szCs w:val="24"/>
        </w:rPr>
        <w:t xml:space="preserve"> investigated the impact on credit risk with three different stages of factors namely: global, regional and country-specific indicators. They used structural models to examine the creditworthiness of Argentina, Brazil, Venezuela and Mexico in the period 1994 - 2001. The authors argued that country specific fundamentals embody a relative slight part (8%) of the total described variance. The global variables represent about (25%) of the variance whereas the most significant component has been the regional indicator which was roughly 40% of the variance. </w:t>
      </w:r>
    </w:p>
    <w:p w:rsidR="001041B1" w:rsidRDefault="001041B1">
      <w:pPr>
        <w:spacing w:line="360" w:lineRule="auto"/>
        <w:jc w:val="both"/>
        <w:rPr>
          <w:rFonts w:ascii="Times New Roman" w:hAnsi="Times New Roman" w:cs="Times New Roman"/>
          <w:color w:val="000000"/>
          <w:sz w:val="24"/>
          <w:szCs w:val="24"/>
        </w:rPr>
      </w:pPr>
      <w:r w:rsidRPr="006C1CD7">
        <w:rPr>
          <w:rFonts w:ascii="Times New Roman" w:hAnsi="Times New Roman" w:cs="Times New Roman"/>
          <w:color w:val="000000"/>
          <w:sz w:val="24"/>
          <w:szCs w:val="24"/>
        </w:rPr>
        <w:t>Han et al. (2003)</w:t>
      </w:r>
      <w:r>
        <w:rPr>
          <w:rFonts w:ascii="Times New Roman" w:hAnsi="Times New Roman" w:cs="Times New Roman"/>
          <w:color w:val="000000"/>
          <w:sz w:val="24"/>
          <w:szCs w:val="24"/>
        </w:rPr>
        <w:t xml:space="preserve"> investigated the spillover effects of the Mexican peso crisis for the financial markets. They concluded that countries with current account surplus have a relative positive return whereas countries with negative liability experienced a greater probability of financial obstacles during the Mexican Crisis.  Moreover, the exposure of the Mexican crisis has been more sensible for Latin America than other parts of the world.  </w:t>
      </w:r>
      <w:r w:rsidRPr="000D31DD">
        <w:rPr>
          <w:rFonts w:ascii="Times New Roman" w:hAnsi="Times New Roman" w:cs="Times New Roman"/>
          <w:color w:val="000000"/>
          <w:sz w:val="24"/>
          <w:szCs w:val="24"/>
          <w:lang w:val="fr-FR"/>
        </w:rPr>
        <w:t xml:space="preserve">Thuraisamy et al. </w:t>
      </w:r>
      <w:r w:rsidRPr="000D31DD">
        <w:rPr>
          <w:rFonts w:ascii="Times New Roman" w:hAnsi="Times New Roman" w:cs="Times New Roman"/>
          <w:color w:val="000000"/>
          <w:sz w:val="24"/>
          <w:szCs w:val="24"/>
        </w:rPr>
        <w:t>(2008)</w:t>
      </w:r>
      <w:r>
        <w:rPr>
          <w:rFonts w:ascii="Times New Roman" w:hAnsi="Times New Roman" w:cs="Times New Roman"/>
          <w:color w:val="000000"/>
          <w:sz w:val="24"/>
          <w:szCs w:val="24"/>
        </w:rPr>
        <w:t xml:space="preserve"> argued that sovereign bonds and corporate bond assigned in U.S. financial markets attend to be reactive to the interest rate </w:t>
      </w:r>
      <w:r w:rsidRPr="004971B9">
        <w:rPr>
          <w:rFonts w:ascii="Times New Roman" w:hAnsi="Times New Roman" w:cs="Times New Roman"/>
          <w:color w:val="000000"/>
          <w:sz w:val="24"/>
          <w:szCs w:val="24"/>
        </w:rPr>
        <w:t>movements. They used daily bond yields for eighteen Latin bond yields in the period 2000 - 2006. Nazmi (2002) analyzed</w:t>
      </w:r>
      <w:r>
        <w:rPr>
          <w:rFonts w:ascii="Times New Roman" w:hAnsi="Times New Roman" w:cs="Times New Roman"/>
          <w:color w:val="000000"/>
          <w:sz w:val="24"/>
          <w:szCs w:val="24"/>
        </w:rPr>
        <w:t xml:space="preserve"> the influence of international financial integration on economic policymakers and economic sovereignty of Brazil. Nazmi (2002) does this by measuring the weight of the Russian (1998) and Argentine (2001) crises on the Brazilian economy. Nazmi (2002) first performed a unit root test which was followed with a structural vector autoregression (SVAR) model to estimate contagion effects. Finally, he concluded that the level of production of the Brazilian economy has been affected while the total activity in the economy did not adjust. </w:t>
      </w:r>
    </w:p>
    <w:p w:rsidR="001041B1" w:rsidRPr="00F2402E" w:rsidRDefault="001041B1">
      <w:pPr>
        <w:spacing w:line="360" w:lineRule="auto"/>
        <w:jc w:val="both"/>
        <w:rPr>
          <w:rFonts w:ascii="Times New Roman" w:hAnsi="Times New Roman" w:cs="Times New Roman"/>
          <w:bCs/>
          <w:iCs/>
          <w:color w:val="4F81BD"/>
          <w:sz w:val="24"/>
          <w:szCs w:val="24"/>
        </w:rPr>
      </w:pPr>
      <w:r>
        <w:rPr>
          <w:rFonts w:ascii="Times New Roman" w:hAnsi="Times New Roman" w:cs="Times New Roman"/>
          <w:bCs/>
          <w:iCs/>
          <w:color w:val="4F81BD"/>
          <w:sz w:val="24"/>
          <w:szCs w:val="24"/>
        </w:rPr>
        <w:t>2</w:t>
      </w:r>
      <w:r w:rsidRPr="00F2402E">
        <w:rPr>
          <w:rFonts w:ascii="Times New Roman" w:hAnsi="Times New Roman" w:cs="Times New Roman"/>
          <w:bCs/>
          <w:iCs/>
          <w:color w:val="4F81BD"/>
          <w:sz w:val="24"/>
          <w:szCs w:val="24"/>
        </w:rPr>
        <w:t>.8</w:t>
      </w:r>
      <w:r>
        <w:rPr>
          <w:rFonts w:ascii="Times New Roman" w:hAnsi="Times New Roman" w:cs="Times New Roman"/>
          <w:bCs/>
          <w:iCs/>
          <w:color w:val="4F81BD"/>
          <w:sz w:val="24"/>
          <w:szCs w:val="24"/>
        </w:rPr>
        <w:t xml:space="preserve"> Asia</w:t>
      </w:r>
    </w:p>
    <w:p w:rsidR="001041B1" w:rsidRDefault="001041B1">
      <w:pPr>
        <w:spacing w:line="360" w:lineRule="auto"/>
        <w:jc w:val="both"/>
        <w:rPr>
          <w:rFonts w:ascii="Times New Roman" w:hAnsi="Times New Roman" w:cs="Times New Roman"/>
          <w:color w:val="000000"/>
          <w:sz w:val="24"/>
          <w:szCs w:val="24"/>
        </w:rPr>
      </w:pPr>
      <w:r w:rsidRPr="002D54B7">
        <w:rPr>
          <w:rFonts w:ascii="Times New Roman" w:hAnsi="Times New Roman" w:cs="Times New Roman"/>
          <w:color w:val="000000"/>
          <w:sz w:val="24"/>
          <w:szCs w:val="24"/>
        </w:rPr>
        <w:t>The economic development in</w:t>
      </w:r>
      <w:r>
        <w:rPr>
          <w:rFonts w:ascii="Times New Roman" w:hAnsi="Times New Roman" w:cs="Times New Roman"/>
          <w:color w:val="000000"/>
          <w:sz w:val="24"/>
          <w:szCs w:val="24"/>
        </w:rPr>
        <w:t xml:space="preserve"> the 1980s and 1990s adopted East Asia the name of Asian miracles. Asian countries constantly showed exciting growth figures. In the early 1990s, the U.S. central Bank raised the interest rate to control domestic inflation. Along with an increasing attractiveness of investments this can lead to an appreciation of the USD.  Since several Asian countries pegged their currency to the USD, export decreased in the 1990s and led to an economic meltdown. This financial system problem is better known as the ‘double mismatch problem’. In the aftermath of the liquidity crisis, the related countries decided to cooperate and establish a well-performing (government) bond market.  </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fr-FR"/>
        </w:rPr>
        <w:t>Batten</w:t>
      </w:r>
      <w:r w:rsidRPr="00E66980">
        <w:rPr>
          <w:rFonts w:ascii="Times New Roman" w:hAnsi="Times New Roman" w:cs="Times New Roman"/>
          <w:color w:val="000000"/>
          <w:sz w:val="24"/>
          <w:szCs w:val="24"/>
          <w:lang w:val="fr-FR"/>
        </w:rPr>
        <w:t xml:space="preserve"> et al. </w:t>
      </w:r>
      <w:r w:rsidRPr="00E66980">
        <w:rPr>
          <w:rFonts w:ascii="Times New Roman" w:hAnsi="Times New Roman" w:cs="Times New Roman"/>
          <w:color w:val="000000"/>
          <w:sz w:val="24"/>
          <w:szCs w:val="24"/>
        </w:rPr>
        <w:t>(2006) investigated</w:t>
      </w:r>
      <w:r>
        <w:rPr>
          <w:rFonts w:ascii="Times New Roman" w:hAnsi="Times New Roman" w:cs="Times New Roman"/>
          <w:color w:val="000000"/>
          <w:sz w:val="24"/>
          <w:szCs w:val="24"/>
        </w:rPr>
        <w:t xml:space="preserve"> the role of asset, interest rate and economic factor influence on credit spreads. Five Asian countries (China, Malaysia, Korea, Thailand and Philippines) have been opposed against U.S. Treasury bonds. They concluded that Asian sovereign bonds have a negative relation with changes in U.S. interest rates</w:t>
      </w:r>
      <w:r w:rsidRPr="00BD5168">
        <w:rPr>
          <w:rFonts w:ascii="Times New Roman" w:hAnsi="Times New Roman" w:cs="Times New Roman"/>
          <w:color w:val="000000"/>
          <w:sz w:val="24"/>
          <w:szCs w:val="24"/>
        </w:rPr>
        <w:t xml:space="preserve">. </w:t>
      </w:r>
      <w:r w:rsidRPr="00BD5168">
        <w:rPr>
          <w:rFonts w:ascii="Times New Roman" w:hAnsi="Times New Roman" w:cs="Times New Roman"/>
          <w:color w:val="000000"/>
          <w:sz w:val="24"/>
          <w:szCs w:val="24"/>
          <w:lang w:val="fr-FR"/>
        </w:rPr>
        <w:t xml:space="preserve">Li et al. </w:t>
      </w:r>
      <w:r w:rsidRPr="00BD5168">
        <w:rPr>
          <w:rFonts w:ascii="Times New Roman" w:hAnsi="Times New Roman" w:cs="Times New Roman"/>
          <w:color w:val="000000"/>
          <w:sz w:val="24"/>
          <w:szCs w:val="24"/>
        </w:rPr>
        <w:t>(2008) tries</w:t>
      </w:r>
      <w:r>
        <w:rPr>
          <w:rFonts w:ascii="Times New Roman" w:hAnsi="Times New Roman" w:cs="Times New Roman"/>
          <w:color w:val="000000"/>
          <w:sz w:val="24"/>
          <w:szCs w:val="24"/>
        </w:rPr>
        <w:t xml:space="preserve"> to find the contagion effect from sovereign credit rating changes on the stock market in five Asian countries during the period from 1990 - 2003. They relied on the panel data estimation to determinate the changes in credit rating. The authors confirmed the same conclusions as Batten et al. (2006). Furthermore, they found evidence for the contagion effect from foreign countries and suggested the change in sovereign rating affected the Asian countries during the financial crises in 1997. </w:t>
      </w:r>
    </w:p>
    <w:p w:rsidR="001041B1" w:rsidRDefault="001041B1">
      <w:pPr>
        <w:spacing w:line="360" w:lineRule="auto"/>
        <w:jc w:val="both"/>
        <w:rPr>
          <w:rFonts w:ascii="Times New Roman" w:hAnsi="Times New Roman" w:cs="Times New Roman"/>
          <w:color w:val="000000"/>
          <w:sz w:val="24"/>
          <w:szCs w:val="24"/>
        </w:rPr>
      </w:pPr>
      <w:r w:rsidRPr="009F6736">
        <w:rPr>
          <w:rFonts w:ascii="Times New Roman" w:hAnsi="Times New Roman" w:cs="Times New Roman"/>
          <w:color w:val="000000"/>
          <w:sz w:val="24"/>
          <w:szCs w:val="24"/>
        </w:rPr>
        <w:t>Johansson (2008)</w:t>
      </w:r>
      <w:r>
        <w:rPr>
          <w:rFonts w:ascii="Times New Roman" w:hAnsi="Times New Roman" w:cs="Times New Roman"/>
          <w:color w:val="000000"/>
          <w:sz w:val="24"/>
          <w:szCs w:val="24"/>
        </w:rPr>
        <w:t xml:space="preserve"> investigated the relationship among bonds of China, South-Korea, Thailand and Malaysia. The dataset contains the period 1997 - 2005. Johansson (2008) performed a stationarity test for the series over time and multivariate GARCH analyses to estimate the short and long-term relationship. Contrary to the previous study, Johansson (2010) analyzed sovereign bond markets and the behavior of systematic risk in four Asian countries over time. For the methodology Johansson (2010) used a bivariate stochastic volatility model to test time-varying to volatilities, correlation between bonds and international market. The author used China, Philippines, Malaysia and Thailand for the empirical measurements. Moreover, the time-varying beta has been computed and indicates a significant increased during the Asian crisis for all four countries. In the years after the crisis, the risk level diminished to the level where systematic risk fluctuated around zero. </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Several studies investigated the impact of IMF programs. </w:t>
      </w:r>
      <w:r w:rsidRPr="00C2235B">
        <w:rPr>
          <w:rFonts w:ascii="Times New Roman" w:hAnsi="Times New Roman" w:cs="Times New Roman"/>
          <w:color w:val="000000"/>
          <w:sz w:val="24"/>
          <w:szCs w:val="24"/>
        </w:rPr>
        <w:t>Evrensel and Kutan (2008) tested</w:t>
      </w:r>
      <w:r>
        <w:rPr>
          <w:rFonts w:ascii="Times New Roman" w:hAnsi="Times New Roman" w:cs="Times New Roman"/>
          <w:color w:val="000000"/>
          <w:sz w:val="24"/>
          <w:szCs w:val="24"/>
        </w:rPr>
        <w:t xml:space="preserve"> the impact of IMF-related news during the Asian crisis (1997) to include information issued by the change in sovereign spreads for two countries: Indonesia and Thailand. The authors suggested these countries have been sensitive on other countries’ IMF-related news causing an increase in government bond spreads. News that involved Indonesia and Thailand seems to decrease bond spreads. They used daily bond spread data and made an estimated GARCH specification. </w:t>
      </w:r>
    </w:p>
    <w:p w:rsidR="001041B1" w:rsidRPr="00F2402E" w:rsidRDefault="001041B1">
      <w:pPr>
        <w:spacing w:line="360" w:lineRule="auto"/>
        <w:jc w:val="both"/>
        <w:rPr>
          <w:rFonts w:ascii="Times New Roman" w:hAnsi="Times New Roman" w:cs="Times New Roman"/>
          <w:bCs/>
          <w:iCs/>
          <w:color w:val="4F81BD"/>
          <w:sz w:val="24"/>
          <w:szCs w:val="24"/>
        </w:rPr>
      </w:pPr>
      <w:r>
        <w:rPr>
          <w:rFonts w:ascii="Times New Roman" w:hAnsi="Times New Roman" w:cs="Times New Roman"/>
          <w:bCs/>
          <w:iCs/>
          <w:color w:val="4F81BD"/>
          <w:sz w:val="24"/>
          <w:szCs w:val="24"/>
        </w:rPr>
        <w:t>2</w:t>
      </w:r>
      <w:r w:rsidRPr="00F2402E">
        <w:rPr>
          <w:rFonts w:ascii="Times New Roman" w:hAnsi="Times New Roman" w:cs="Times New Roman"/>
          <w:bCs/>
          <w:iCs/>
          <w:color w:val="4F81BD"/>
          <w:sz w:val="24"/>
          <w:szCs w:val="24"/>
        </w:rPr>
        <w:t>.</w:t>
      </w:r>
      <w:r>
        <w:rPr>
          <w:rFonts w:ascii="Times New Roman" w:hAnsi="Times New Roman" w:cs="Times New Roman"/>
          <w:bCs/>
          <w:iCs/>
          <w:color w:val="4F81BD"/>
          <w:sz w:val="24"/>
          <w:szCs w:val="24"/>
        </w:rPr>
        <w:t>9</w:t>
      </w:r>
      <w:r w:rsidRPr="00F2402E">
        <w:rPr>
          <w:rFonts w:ascii="Times New Roman" w:hAnsi="Times New Roman" w:cs="Times New Roman"/>
          <w:bCs/>
          <w:iCs/>
          <w:color w:val="4F81BD"/>
          <w:sz w:val="24"/>
          <w:szCs w:val="24"/>
        </w:rPr>
        <w:t xml:space="preserve"> Europe</w:t>
      </w:r>
    </w:p>
    <w:p w:rsidR="001041B1" w:rsidRDefault="001041B1">
      <w:pPr>
        <w:spacing w:line="360" w:lineRule="auto"/>
        <w:jc w:val="both"/>
        <w:rPr>
          <w:rFonts w:ascii="Times New Roman" w:hAnsi="Times New Roman" w:cs="Times New Roman"/>
          <w:color w:val="000000"/>
          <w:sz w:val="24"/>
          <w:szCs w:val="24"/>
        </w:rPr>
      </w:pPr>
      <w:r w:rsidRPr="00C2235B">
        <w:rPr>
          <w:rFonts w:ascii="Times New Roman" w:hAnsi="Times New Roman" w:cs="Times New Roman"/>
          <w:color w:val="000000"/>
          <w:sz w:val="24"/>
          <w:szCs w:val="24"/>
        </w:rPr>
        <w:t>The introduction of the Euro in 1999 changed the</w:t>
      </w:r>
      <w:r>
        <w:rPr>
          <w:rFonts w:ascii="Times New Roman" w:hAnsi="Times New Roman" w:cs="Times New Roman"/>
          <w:color w:val="000000"/>
          <w:sz w:val="24"/>
          <w:szCs w:val="24"/>
        </w:rPr>
        <w:t xml:space="preserve"> playfield of the international bond market. Financial integration, </w:t>
      </w:r>
      <w:r>
        <w:rPr>
          <w:rFonts w:ascii="Times New Roman" w:hAnsi="Times New Roman" w:cs="Times New Roman"/>
          <w:sz w:val="24"/>
          <w:szCs w:val="24"/>
        </w:rPr>
        <w:t xml:space="preserve">unambiguous </w:t>
      </w:r>
      <w:r>
        <w:rPr>
          <w:rFonts w:ascii="Times New Roman" w:hAnsi="Times New Roman" w:cs="Times New Roman"/>
          <w:color w:val="000000"/>
          <w:sz w:val="24"/>
          <w:szCs w:val="24"/>
        </w:rPr>
        <w:t xml:space="preserve">fiscal policy and no bail out provisions have been the crucial drives factors that change the European financial market. Nowadays sixteen member states of the European Union adopted the Euro as official currency. In order to be part of the European currency, Member States obligated disciplinary criteria as stated in the Maastricht Treaty and the Stability and Growth Pact. Moreover, the EMU eliminated risk evolving exchange rates tax treatments. Regardless the convergence of government bond, there is still a spread between the difference bonds. The introduction of the euro caused an increase interest in the literature of government bond and spreads. </w:t>
      </w:r>
    </w:p>
    <w:p w:rsidR="001041B1" w:rsidRDefault="001041B1">
      <w:pPr>
        <w:spacing w:line="360" w:lineRule="auto"/>
        <w:jc w:val="both"/>
        <w:rPr>
          <w:rFonts w:ascii="Times New Roman" w:hAnsi="Times New Roman" w:cs="Times New Roman"/>
          <w:color w:val="000000"/>
          <w:sz w:val="24"/>
          <w:szCs w:val="24"/>
        </w:rPr>
      </w:pPr>
      <w:r w:rsidRPr="001B3B38">
        <w:rPr>
          <w:rFonts w:ascii="Times New Roman" w:hAnsi="Times New Roman" w:cs="Times New Roman"/>
          <w:color w:val="000000"/>
          <w:sz w:val="24"/>
          <w:szCs w:val="24"/>
          <w:lang w:val="fr-FR"/>
        </w:rPr>
        <w:t xml:space="preserve">Codogno et al. </w:t>
      </w:r>
      <w:r w:rsidRPr="001B3B38">
        <w:rPr>
          <w:rFonts w:ascii="Times New Roman" w:hAnsi="Times New Roman" w:cs="Times New Roman"/>
          <w:color w:val="000000"/>
          <w:sz w:val="24"/>
          <w:szCs w:val="24"/>
        </w:rPr>
        <w:t>(2003)</w:t>
      </w:r>
      <w:r>
        <w:rPr>
          <w:rFonts w:ascii="Times New Roman" w:hAnsi="Times New Roman" w:cs="Times New Roman"/>
          <w:color w:val="000000"/>
          <w:sz w:val="24"/>
          <w:szCs w:val="24"/>
        </w:rPr>
        <w:t xml:space="preserve"> have been among the first to determinants yield differentials in the euro government bond markets. </w:t>
      </w:r>
      <w:r>
        <w:rPr>
          <w:rFonts w:ascii="Times New Roman" w:hAnsi="Times New Roman" w:cs="Times New Roman"/>
          <w:color w:val="000000"/>
          <w:sz w:val="24"/>
          <w:szCs w:val="24"/>
          <w:lang w:val="fr-FR"/>
        </w:rPr>
        <w:t xml:space="preserve">Codogno et al. </w:t>
      </w:r>
      <w:r>
        <w:rPr>
          <w:rFonts w:ascii="Times New Roman" w:hAnsi="Times New Roman" w:cs="Times New Roman"/>
          <w:color w:val="000000"/>
          <w:sz w:val="24"/>
          <w:szCs w:val="24"/>
        </w:rPr>
        <w:t xml:space="preserve">(2003) concluded that fluctuations in yield differentials are mainly caused by movements in international risk factors while liquidity factors play a negligible role. </w:t>
      </w:r>
      <w:r w:rsidRPr="004B1595">
        <w:rPr>
          <w:rFonts w:ascii="Times New Roman" w:hAnsi="Times New Roman" w:cs="Times New Roman"/>
          <w:color w:val="000000"/>
          <w:sz w:val="24"/>
          <w:szCs w:val="24"/>
          <w:lang w:val="fr-FR"/>
        </w:rPr>
        <w:t xml:space="preserve">Geyer et al. </w:t>
      </w:r>
      <w:r w:rsidRPr="004B1595">
        <w:rPr>
          <w:rFonts w:ascii="Times New Roman" w:hAnsi="Times New Roman" w:cs="Times New Roman"/>
          <w:color w:val="000000"/>
          <w:sz w:val="24"/>
          <w:szCs w:val="24"/>
        </w:rPr>
        <w:t>(2003)</w:t>
      </w:r>
      <w:r>
        <w:rPr>
          <w:rFonts w:ascii="Times New Roman" w:hAnsi="Times New Roman" w:cs="Times New Roman"/>
          <w:color w:val="000000"/>
          <w:sz w:val="24"/>
          <w:szCs w:val="24"/>
        </w:rPr>
        <w:t xml:space="preserve"> used a more econometric approach, but attained to find comparable conclusions like Codogno et al. (2003). </w:t>
      </w:r>
      <w:r w:rsidRPr="00790C23">
        <w:rPr>
          <w:rFonts w:ascii="Times New Roman" w:hAnsi="Times New Roman" w:cs="Times New Roman"/>
          <w:color w:val="000000"/>
          <w:sz w:val="24"/>
          <w:szCs w:val="24"/>
        </w:rPr>
        <w:t>Manganelli and Wolswijk (2009)</w:t>
      </w:r>
      <w:r>
        <w:rPr>
          <w:rFonts w:ascii="Times New Roman" w:hAnsi="Times New Roman" w:cs="Times New Roman"/>
          <w:color w:val="000000"/>
          <w:sz w:val="24"/>
          <w:szCs w:val="24"/>
        </w:rPr>
        <w:t xml:space="preserve"> examined the drives factors in the euro area government bond market. The dataset included the period 1999 – 2008. The authors argued that risk aversion has been related to short-term interest rates and confirmed the relationship between short-term interest rates and euro government bonds spreads. </w:t>
      </w:r>
    </w:p>
    <w:p w:rsidR="001041B1" w:rsidRDefault="001041B1">
      <w:pPr>
        <w:spacing w:line="360" w:lineRule="auto"/>
        <w:jc w:val="both"/>
        <w:rPr>
          <w:rFonts w:ascii="Times New Roman" w:hAnsi="Times New Roman" w:cs="Times New Roman"/>
          <w:color w:val="000000"/>
          <w:sz w:val="24"/>
          <w:szCs w:val="24"/>
        </w:rPr>
      </w:pPr>
      <w:r w:rsidRPr="0053571B">
        <w:rPr>
          <w:rFonts w:ascii="Times New Roman" w:hAnsi="Times New Roman" w:cs="Times New Roman"/>
          <w:color w:val="000000"/>
          <w:sz w:val="24"/>
          <w:szCs w:val="24"/>
        </w:rPr>
        <w:t>Pagano and von Thadden (2004)</w:t>
      </w:r>
      <w:r>
        <w:rPr>
          <w:rFonts w:ascii="Times New Roman" w:hAnsi="Times New Roman" w:cs="Times New Roman"/>
          <w:color w:val="000000"/>
          <w:sz w:val="24"/>
          <w:szCs w:val="24"/>
        </w:rPr>
        <w:t xml:space="preserve"> reviewed the European bond market after the integration of the primary and secondary market. According to Pagano and von Thadden (2004) yield spreads on government bond is due to risk factor and country-specific default risk. In addition, they summarized a list of challenges like the disequilibrium between cash and futures markets and further expand of the euro-area. </w:t>
      </w:r>
    </w:p>
    <w:p w:rsidR="001041B1" w:rsidRPr="00B805A9" w:rsidRDefault="001041B1">
      <w:pPr>
        <w:spacing w:line="360" w:lineRule="auto"/>
        <w:jc w:val="both"/>
        <w:rPr>
          <w:rFonts w:ascii="Times New Roman" w:hAnsi="Times New Roman" w:cs="Times New Roman"/>
          <w:b/>
          <w:bCs/>
          <w:color w:val="000000"/>
          <w:sz w:val="24"/>
          <w:szCs w:val="24"/>
        </w:rPr>
      </w:pPr>
      <w:r w:rsidRPr="00B805A9">
        <w:rPr>
          <w:rFonts w:ascii="Times New Roman" w:hAnsi="Times New Roman" w:cs="Times New Roman"/>
          <w:color w:val="000000"/>
          <w:sz w:val="24"/>
          <w:szCs w:val="24"/>
        </w:rPr>
        <w:t>Boss and Scheicher (2002)</w:t>
      </w:r>
      <w:r>
        <w:rPr>
          <w:rFonts w:ascii="Times New Roman" w:hAnsi="Times New Roman" w:cs="Times New Roman"/>
          <w:color w:val="000000"/>
          <w:sz w:val="24"/>
          <w:szCs w:val="24"/>
        </w:rPr>
        <w:t xml:space="preserve"> discussed the causes of the pricing process in bond markets in the euro area. The methodology constructed in their paper consists of three time series analyses. The yield spreads of financial, industrial and interest rate swap. They found a negative correlation between credit spreads and corporate bonds</w:t>
      </w:r>
      <w:r>
        <w:rPr>
          <w:rFonts w:ascii="Times New Roman" w:hAnsi="Times New Roman" w:cs="Times New Roman"/>
          <w:b/>
          <w:bCs/>
          <w:color w:val="000000"/>
          <w:sz w:val="24"/>
          <w:szCs w:val="24"/>
        </w:rPr>
        <w:t xml:space="preserve">. </w:t>
      </w:r>
      <w:r w:rsidRPr="00166AF6">
        <w:rPr>
          <w:rFonts w:ascii="Times New Roman" w:hAnsi="Times New Roman" w:cs="Times New Roman"/>
          <w:color w:val="000000"/>
          <w:sz w:val="24"/>
          <w:szCs w:val="24"/>
          <w:lang w:val="fr-FR"/>
        </w:rPr>
        <w:t xml:space="preserve">Abad et al. </w:t>
      </w:r>
      <w:r w:rsidRPr="00166AF6">
        <w:rPr>
          <w:rFonts w:ascii="Times New Roman" w:hAnsi="Times New Roman" w:cs="Times New Roman"/>
          <w:color w:val="000000"/>
          <w:sz w:val="24"/>
          <w:szCs w:val="24"/>
        </w:rPr>
        <w:t>(2009)</w:t>
      </w:r>
      <w:r>
        <w:rPr>
          <w:rFonts w:ascii="Times New Roman" w:hAnsi="Times New Roman" w:cs="Times New Roman"/>
          <w:color w:val="000000"/>
          <w:sz w:val="24"/>
          <w:szCs w:val="24"/>
        </w:rPr>
        <w:t xml:space="preserve"> studied the impact of transition from the European Monetary Union on the debt market. By the means of CAPM-model they covered the period 1999 – 2008. The degree of integration has been measured both with the world and Euro zone debt markets. The authors suggested that domestic factors play a more important role on EMU countries while the non-euro countries have been more determined by </w:t>
      </w:r>
      <w:r w:rsidRPr="00624B32">
        <w:rPr>
          <w:rFonts w:ascii="Times New Roman" w:hAnsi="Times New Roman" w:cs="Times New Roman"/>
          <w:color w:val="000000"/>
          <w:sz w:val="24"/>
          <w:szCs w:val="24"/>
        </w:rPr>
        <w:t>international risks. Ebner (2009) focused on</w:t>
      </w:r>
      <w:r>
        <w:rPr>
          <w:rFonts w:ascii="Times New Roman" w:hAnsi="Times New Roman" w:cs="Times New Roman"/>
          <w:color w:val="000000"/>
          <w:sz w:val="24"/>
          <w:szCs w:val="24"/>
        </w:rPr>
        <w:t xml:space="preserve"> the spread between Eastern and Central European government bonds versus German bonds. The overall conclusion was that in the period 1998 - 2008 the measured countries followed a more stable economic policy and therefore the macroeconomic factor has been less significant as explanatory variable. The countries remain sensitive to both domestic and global effects like the Russian crisis. </w:t>
      </w:r>
    </w:p>
    <w:p w:rsidR="001041B1" w:rsidRDefault="001041B1">
      <w:pPr>
        <w:spacing w:line="360" w:lineRule="auto"/>
        <w:jc w:val="both"/>
        <w:rPr>
          <w:rFonts w:ascii="Times New Roman" w:hAnsi="Times New Roman" w:cs="Times New Roman"/>
          <w:color w:val="000000"/>
          <w:sz w:val="24"/>
          <w:szCs w:val="24"/>
        </w:rPr>
      </w:pPr>
      <w:r w:rsidRPr="0006376C">
        <w:rPr>
          <w:rFonts w:ascii="Times New Roman" w:hAnsi="Times New Roman" w:cs="Times New Roman"/>
          <w:color w:val="000000"/>
          <w:sz w:val="24"/>
          <w:szCs w:val="24"/>
          <w:lang w:val="fr-FR"/>
        </w:rPr>
        <w:t xml:space="preserve">Alexopoulou et al. </w:t>
      </w:r>
      <w:r w:rsidRPr="0006376C">
        <w:rPr>
          <w:rFonts w:ascii="Times New Roman" w:hAnsi="Times New Roman" w:cs="Times New Roman"/>
          <w:color w:val="000000"/>
          <w:sz w:val="24"/>
          <w:szCs w:val="24"/>
        </w:rPr>
        <w:t>(2009)</w:t>
      </w:r>
      <w:r>
        <w:rPr>
          <w:rFonts w:ascii="Times New Roman" w:hAnsi="Times New Roman" w:cs="Times New Roman"/>
          <w:color w:val="000000"/>
          <w:sz w:val="24"/>
          <w:szCs w:val="24"/>
        </w:rPr>
        <w:t xml:space="preserve"> tested the determinants of government bond spreads in eight new EU members. In the short-term heterogeneity has been persistence whereas in the long-term determinate by variables like external solvency, domestic inflation rate, exchange rates level and trade openness. For the empirical proof the authors used a dynamic panel approach. Concerning the recent financial crisis, they proposed that the increase in spreads in Romania and Hungary have been provoked by a decay of fundamentals and increased affiliation with international circumstances. In Latvia, Lithuania and Bulgaria fundamentals have become widespread in 2008 and the recent financial meltdown has converted into higher risk premiums for debt securities. </w:t>
      </w:r>
      <w:r w:rsidRPr="00097D64">
        <w:rPr>
          <w:rFonts w:ascii="Times New Roman" w:hAnsi="Times New Roman" w:cs="Times New Roman"/>
          <w:color w:val="000000"/>
          <w:sz w:val="24"/>
          <w:szCs w:val="24"/>
        </w:rPr>
        <w:t>Schuknecht et al. (2008) focused</w:t>
      </w:r>
      <w:r>
        <w:rPr>
          <w:rFonts w:ascii="Times New Roman" w:hAnsi="Times New Roman" w:cs="Times New Roman"/>
          <w:color w:val="000000"/>
          <w:sz w:val="24"/>
          <w:szCs w:val="24"/>
        </w:rPr>
        <w:t xml:space="preserve"> on governments in European countries regarding paying risk premiums. They used U.S. treasury and German government bonds as benchmark. For the empirical analysis this paper implicated the time frame of 1991-2005. The data covered the spreads of thirteen European countries and three sub-central governments of Canada, Spain and Germany. Finally, they argued that yield spreads over the benchmark bond rely on indicators of fiscal behavior.  </w:t>
      </w:r>
    </w:p>
    <w:p w:rsidR="001041B1" w:rsidRDefault="001041B1">
      <w:pPr>
        <w:spacing w:line="360" w:lineRule="auto"/>
        <w:jc w:val="both"/>
        <w:rPr>
          <w:rFonts w:ascii="Times New Roman" w:hAnsi="Times New Roman" w:cs="Times New Roman"/>
          <w:color w:val="000000"/>
          <w:sz w:val="24"/>
          <w:szCs w:val="24"/>
        </w:rPr>
      </w:pPr>
      <w:r w:rsidRPr="00243DA5">
        <w:rPr>
          <w:rFonts w:ascii="Times New Roman" w:hAnsi="Times New Roman" w:cs="Times New Roman"/>
          <w:color w:val="000000"/>
          <w:sz w:val="24"/>
          <w:szCs w:val="24"/>
          <w:lang w:val="fr-FR"/>
        </w:rPr>
        <w:t xml:space="preserve">Curto et al. </w:t>
      </w:r>
      <w:r w:rsidRPr="00243DA5">
        <w:rPr>
          <w:rFonts w:ascii="Times New Roman" w:hAnsi="Times New Roman" w:cs="Times New Roman"/>
          <w:color w:val="000000"/>
          <w:sz w:val="24"/>
          <w:szCs w:val="24"/>
        </w:rPr>
        <w:t>(2008)</w:t>
      </w:r>
      <w:r>
        <w:rPr>
          <w:rFonts w:ascii="Times New Roman" w:hAnsi="Times New Roman" w:cs="Times New Roman"/>
          <w:color w:val="000000"/>
          <w:sz w:val="24"/>
          <w:szCs w:val="24"/>
        </w:rPr>
        <w:t xml:space="preserve"> investigated the sovereign spread changes in the euro area first by dividing the explanatory variables into two sections: explanatory variables like risk of interest rate and country-specific fundamentals like consumer prices and government expenditure. To calculate the sovereign spreads, the authors decided to take the difference between the spot interest rate and German term structure, which has been issued as benchmark. The data covered European countries like: Germany, the Netherlands, Belgium, Austria, France, Spain and Portugal and monthly data in the period 2000 - 2005. For a better description of the models Curto et al. (2008) estimated one out-of-sample and two in-sample estimation. They found empirical evidence for the long-term sovereign spread whereas no explanatory power has been found for the short-term spread. </w:t>
      </w:r>
    </w:p>
    <w:p w:rsidR="001041B1" w:rsidRPr="00F2402E" w:rsidRDefault="001041B1">
      <w:pPr>
        <w:spacing w:line="360" w:lineRule="auto"/>
        <w:jc w:val="both"/>
        <w:rPr>
          <w:rFonts w:ascii="Times New Roman" w:hAnsi="Times New Roman" w:cs="Times New Roman"/>
          <w:bCs/>
          <w:iCs/>
          <w:color w:val="4F81BD"/>
          <w:sz w:val="24"/>
          <w:szCs w:val="24"/>
        </w:rPr>
      </w:pPr>
      <w:r>
        <w:rPr>
          <w:rFonts w:ascii="Times New Roman" w:hAnsi="Times New Roman" w:cs="Times New Roman"/>
          <w:bCs/>
          <w:iCs/>
          <w:color w:val="4F81BD"/>
          <w:sz w:val="24"/>
          <w:szCs w:val="24"/>
        </w:rPr>
        <w:t>2</w:t>
      </w:r>
      <w:r w:rsidRPr="00F2402E">
        <w:rPr>
          <w:rFonts w:ascii="Times New Roman" w:hAnsi="Times New Roman" w:cs="Times New Roman"/>
          <w:bCs/>
          <w:iCs/>
          <w:color w:val="4F81BD"/>
          <w:sz w:val="24"/>
          <w:szCs w:val="24"/>
        </w:rPr>
        <w:t>.</w:t>
      </w:r>
      <w:r>
        <w:rPr>
          <w:rFonts w:ascii="Times New Roman" w:hAnsi="Times New Roman" w:cs="Times New Roman"/>
          <w:bCs/>
          <w:iCs/>
          <w:color w:val="4F81BD"/>
          <w:sz w:val="24"/>
          <w:szCs w:val="24"/>
        </w:rPr>
        <w:t>10</w:t>
      </w:r>
      <w:r w:rsidRPr="00F2402E">
        <w:rPr>
          <w:rFonts w:ascii="Times New Roman" w:hAnsi="Times New Roman" w:cs="Times New Roman"/>
          <w:bCs/>
          <w:iCs/>
          <w:color w:val="4F81BD"/>
          <w:sz w:val="24"/>
          <w:szCs w:val="24"/>
        </w:rPr>
        <w:t xml:space="preserve"> Investors’ perspective</w:t>
      </w:r>
    </w:p>
    <w:p w:rsidR="001041B1" w:rsidRDefault="001041B1">
      <w:pPr>
        <w:spacing w:line="360" w:lineRule="auto"/>
        <w:jc w:val="both"/>
        <w:rPr>
          <w:rFonts w:ascii="Times New Roman" w:hAnsi="Times New Roman" w:cs="Times New Roman"/>
          <w:color w:val="000000"/>
          <w:sz w:val="24"/>
          <w:szCs w:val="24"/>
        </w:rPr>
      </w:pPr>
      <w:r w:rsidRPr="00B46BDE">
        <w:rPr>
          <w:rFonts w:ascii="Times New Roman" w:hAnsi="Times New Roman" w:cs="Times New Roman"/>
          <w:sz w:val="24"/>
          <w:szCs w:val="24"/>
        </w:rPr>
        <w:t>The realization of importance</w:t>
      </w:r>
      <w:r>
        <w:rPr>
          <w:rFonts w:ascii="Times New Roman" w:hAnsi="Times New Roman" w:cs="Times New Roman"/>
          <w:sz w:val="24"/>
          <w:szCs w:val="24"/>
        </w:rPr>
        <w:t xml:space="preserve"> for emerging sovereign rating has been growing since institutional funds flow into emerging economies due to globalization of financial markets and increase in the attention on international diversification on investors’ perspective. As influential players in international bond markets, investors play a crucial role in composing the price of a country’s sovereign debt. </w:t>
      </w:r>
      <w:r>
        <w:rPr>
          <w:rFonts w:ascii="Times New Roman" w:hAnsi="Times New Roman" w:cs="Times New Roman"/>
          <w:color w:val="000000"/>
          <w:sz w:val="24"/>
          <w:szCs w:val="24"/>
        </w:rPr>
        <w:t>One reason from the perspective of investors to analysis sovereign bond spreads is to construct optimal investment portfolios. The difference between yields offers some indication of the risk that an issuer might default. Furthermore, investors can use several tools to estimate the political and economic status of a country.</w:t>
      </w:r>
    </w:p>
    <w:p w:rsidR="001041B1" w:rsidRPr="00F2402E" w:rsidRDefault="001041B1">
      <w:pPr>
        <w:spacing w:line="360" w:lineRule="auto"/>
        <w:jc w:val="both"/>
        <w:rPr>
          <w:rFonts w:ascii="Times New Roman" w:hAnsi="Times New Roman" w:cs="Times New Roman"/>
          <w:iCs/>
          <w:color w:val="4F81BD"/>
          <w:sz w:val="24"/>
          <w:szCs w:val="24"/>
        </w:rPr>
      </w:pPr>
      <w:r>
        <w:rPr>
          <w:rFonts w:ascii="Times New Roman" w:hAnsi="Times New Roman" w:cs="Times New Roman"/>
          <w:iCs/>
          <w:color w:val="4F81BD"/>
          <w:sz w:val="24"/>
          <w:szCs w:val="24"/>
        </w:rPr>
        <w:t>2.11</w:t>
      </w:r>
      <w:r w:rsidRPr="00F2402E">
        <w:rPr>
          <w:rFonts w:ascii="Times New Roman" w:hAnsi="Times New Roman" w:cs="Times New Roman"/>
          <w:iCs/>
          <w:color w:val="4F81BD"/>
          <w:sz w:val="24"/>
          <w:szCs w:val="24"/>
        </w:rPr>
        <w:t xml:space="preserve"> </w:t>
      </w:r>
      <w:r>
        <w:rPr>
          <w:rFonts w:ascii="Times New Roman" w:hAnsi="Times New Roman" w:cs="Times New Roman"/>
          <w:iCs/>
          <w:color w:val="4F81BD"/>
          <w:sz w:val="24"/>
          <w:szCs w:val="24"/>
        </w:rPr>
        <w:t>Tools</w:t>
      </w:r>
      <w:r w:rsidRPr="00F2402E">
        <w:rPr>
          <w:rFonts w:ascii="Times New Roman" w:hAnsi="Times New Roman" w:cs="Times New Roman"/>
          <w:iCs/>
          <w:color w:val="4F81BD"/>
          <w:sz w:val="24"/>
          <w:szCs w:val="24"/>
        </w:rPr>
        <w:t xml:space="preserve"> of estimation</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Goldman Sachs (2000) developed a systematic tool to value emerging sovereign spread of emerging markets over the long-term named Goldman Sachs Equilibrium Sovereign Spreads (GS-ESS). This framework assumes that emerging economies are relative small borrowers that anticipate in an imperfect capital markets</w:t>
      </w:r>
      <w:r>
        <w:rPr>
          <w:rStyle w:val="FootnoteReference"/>
          <w:color w:val="000000"/>
          <w:sz w:val="24"/>
          <w:szCs w:val="24"/>
        </w:rPr>
        <w:footnoteReference w:id="3"/>
      </w:r>
      <w:r>
        <w:rPr>
          <w:rFonts w:ascii="Times New Roman" w:hAnsi="Times New Roman" w:cs="Times New Roman"/>
          <w:color w:val="000000"/>
          <w:sz w:val="24"/>
          <w:szCs w:val="24"/>
        </w:rPr>
        <w:t xml:space="preserve">. A different recognized index that measures the performance of emerging market bonds are the JP Morgan Emerging Markets Bond Index Global+ (EMBI Global+) and the Emerging Markets Bond Index Global Diversified (EMBI Global Diversified). These measurements cover the emerging market debt benchmark for (institutional) investors. The EMBI Global trace returns for traded external debt instruments in emerging economies. The EMBI Global includes U.S. Dollar denominated Brady bonds, operating loans and bonds with an outstanding face value of $500 million and a minimum maturity of 2.5 years. Both are an expansion of the EMBI which only includes the Brady bond. Furthermore, countries have to meet strict obligation of liquidity. While the EMBI global adopts the traditional approach (total current face quantity outstanding of every issue), the EMBI Global Diversified uses only a particular fraction of the current face quantity </w:t>
      </w:r>
      <w:r w:rsidRPr="00D05873">
        <w:rPr>
          <w:rFonts w:ascii="Times New Roman" w:hAnsi="Times New Roman" w:cs="Times New Roman"/>
          <w:color w:val="000000"/>
          <w:sz w:val="24"/>
          <w:szCs w:val="24"/>
        </w:rPr>
        <w:t>outstanding for tools from emerging countries with more debt stocks</w:t>
      </w:r>
      <w:r w:rsidRPr="00D05873">
        <w:rPr>
          <w:rStyle w:val="FootnoteReference"/>
          <w:color w:val="000000"/>
          <w:sz w:val="24"/>
          <w:szCs w:val="24"/>
        </w:rPr>
        <w:footnoteReference w:id="4"/>
      </w:r>
      <w:r w:rsidRPr="00D0587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1041B1" w:rsidRDefault="001041B1">
      <w:pPr>
        <w:spacing w:line="360" w:lineRule="auto"/>
        <w:jc w:val="both"/>
        <w:rPr>
          <w:rFonts w:ascii="Times New Roman" w:hAnsi="Times New Roman" w:cs="Times New Roman"/>
          <w:sz w:val="24"/>
          <w:szCs w:val="24"/>
        </w:rPr>
      </w:pPr>
      <w:r w:rsidRPr="0072281F">
        <w:rPr>
          <w:rFonts w:ascii="Times New Roman" w:hAnsi="Times New Roman" w:cs="Times New Roman"/>
          <w:color w:val="000000"/>
          <w:sz w:val="24"/>
          <w:szCs w:val="24"/>
        </w:rPr>
        <w:t>Bunda et al. (2009)</w:t>
      </w:r>
      <w:r>
        <w:rPr>
          <w:rFonts w:ascii="Times New Roman" w:hAnsi="Times New Roman" w:cs="Times New Roman"/>
          <w:color w:val="000000"/>
          <w:sz w:val="24"/>
          <w:szCs w:val="24"/>
        </w:rPr>
        <w:t xml:space="preserve"> examined the movements in emerging market bond during highly external and domestic market volatility. They used common (daily and five day interval) returns from the EMBI Global for the most of the thirty three emerging economies to compose a framework. Empirically, proof has been found for contagion in the situation of the Hong Kong market default in 1997, Russian crisis in 1998 and the Argentine crisis of 2001. They concluded that common international shocks defined most of the increase in volatility in emerging market bond. Bunda et al. (2009) also found evidence that investors discriminate across emerging economies decreased during the period around October 2008, which has been the start of the latest financial crisis. </w:t>
      </w:r>
    </w:p>
    <w:p w:rsidR="001041B1" w:rsidRDefault="001041B1">
      <w:pPr>
        <w:spacing w:line="360" w:lineRule="auto"/>
        <w:jc w:val="both"/>
        <w:rPr>
          <w:rFonts w:ascii="Times New Roman" w:hAnsi="Times New Roman" w:cs="Times New Roman"/>
          <w:color w:val="000000"/>
          <w:sz w:val="24"/>
          <w:szCs w:val="24"/>
        </w:rPr>
      </w:pPr>
      <w:r w:rsidRPr="00C37CF8">
        <w:rPr>
          <w:rFonts w:ascii="Times New Roman" w:hAnsi="Times New Roman" w:cs="Times New Roman"/>
          <w:color w:val="000000"/>
          <w:sz w:val="24"/>
          <w:szCs w:val="24"/>
        </w:rPr>
        <w:t>Sy (2002)</w:t>
      </w:r>
      <w:r>
        <w:rPr>
          <w:rFonts w:ascii="Times New Roman" w:hAnsi="Times New Roman" w:cs="Times New Roman"/>
          <w:color w:val="000000"/>
          <w:sz w:val="24"/>
          <w:szCs w:val="24"/>
        </w:rPr>
        <w:t xml:space="preserve"> used a combination of J.P. Morgan Emerging Market Bond Index Plus (EMBI+) for the country spreads and the rating of both Standard &amp; Poor’s and Moody’s for the debt rating of several emerging economies. Rating agencies consider ratings as contributing a foreseeing indication of the risk that a debt issuer has the capacity to make payments of principal and interest. To test the relationship, Sy (2002) included seventeen emerging economies from 1994 - 2001. For the empirical part the author used panel data estimation and adapted a simple univariate model. Empirically, there has been a negative correlation between sovereign bond spreads and credit ratings, meaning lower ratings identified with higher sovereign spreads. Moreover, this relationship seems to extend over time. </w:t>
      </w:r>
    </w:p>
    <w:p w:rsidR="001041B1" w:rsidRPr="00F2402E" w:rsidRDefault="001041B1">
      <w:pPr>
        <w:spacing w:line="360" w:lineRule="auto"/>
        <w:jc w:val="both"/>
        <w:rPr>
          <w:rFonts w:ascii="Times New Roman" w:hAnsi="Times New Roman" w:cs="Times New Roman"/>
          <w:iCs/>
          <w:color w:val="4F81BD"/>
          <w:sz w:val="24"/>
          <w:szCs w:val="24"/>
        </w:rPr>
      </w:pPr>
      <w:r>
        <w:rPr>
          <w:rFonts w:ascii="Times New Roman" w:hAnsi="Times New Roman" w:cs="Times New Roman"/>
          <w:iCs/>
          <w:color w:val="4F81BD"/>
          <w:sz w:val="24"/>
          <w:szCs w:val="24"/>
        </w:rPr>
        <w:t>2.12 Attitude</w:t>
      </w:r>
      <w:r w:rsidRPr="00F2402E">
        <w:rPr>
          <w:rFonts w:ascii="Times New Roman" w:hAnsi="Times New Roman" w:cs="Times New Roman"/>
          <w:iCs/>
          <w:color w:val="4F81BD"/>
          <w:sz w:val="24"/>
          <w:szCs w:val="24"/>
        </w:rPr>
        <w:t xml:space="preserve"> towards risk</w:t>
      </w:r>
    </w:p>
    <w:p w:rsidR="001041B1" w:rsidRDefault="001041B1">
      <w:pPr>
        <w:spacing w:line="360" w:lineRule="auto"/>
        <w:jc w:val="both"/>
        <w:rPr>
          <w:rFonts w:ascii="Times New Roman" w:hAnsi="Times New Roman" w:cs="Times New Roman"/>
          <w:sz w:val="24"/>
          <w:szCs w:val="24"/>
        </w:rPr>
      </w:pPr>
      <w:r w:rsidRPr="00087318">
        <w:rPr>
          <w:rFonts w:ascii="Times New Roman" w:hAnsi="Times New Roman" w:cs="Times New Roman"/>
          <w:color w:val="000000"/>
          <w:sz w:val="24"/>
          <w:szCs w:val="24"/>
        </w:rPr>
        <w:t>Erb et al. (2000)</w:t>
      </w:r>
      <w:r>
        <w:rPr>
          <w:rFonts w:ascii="Times New Roman" w:hAnsi="Times New Roman" w:cs="Times New Roman"/>
          <w:color w:val="000000"/>
          <w:sz w:val="24"/>
          <w:szCs w:val="24"/>
        </w:rPr>
        <w:t xml:space="preserve"> used EMBI global to determine the importance of country risk for the emerging market bonds return. They concluded that perceptions of risk have displayed in sovereign yields and bond returns by examining the relation between credit rating of the measured country and the spread according to the EMBI global of countries. </w:t>
      </w:r>
      <w:r w:rsidRPr="00BA4178">
        <w:rPr>
          <w:rFonts w:ascii="Times New Roman" w:hAnsi="Times New Roman" w:cs="Times New Roman"/>
          <w:sz w:val="24"/>
          <w:szCs w:val="24"/>
        </w:rPr>
        <w:t>Durbin and Ng</w:t>
      </w:r>
      <w:r>
        <w:rPr>
          <w:rFonts w:ascii="Times New Roman" w:hAnsi="Times New Roman" w:cs="Times New Roman"/>
          <w:sz w:val="24"/>
          <w:szCs w:val="24"/>
        </w:rPr>
        <w:t xml:space="preserve"> (2005) examined investors’ confidence about the risk of a country applying the value of bond assigned by emerging governments and domestic firms. The combination of corporate bond with the sovereign bond from related country, allows to link investors’ confidence with the probability of a default of a firm and country. The sovereign ceiling indicated that firms have a lower spread than the government of the firm. The authors found evidence that sovereign ceiling</w:t>
      </w:r>
      <w:r>
        <w:rPr>
          <w:rStyle w:val="FootnoteReference"/>
          <w:sz w:val="24"/>
          <w:szCs w:val="24"/>
        </w:rPr>
        <w:footnoteReference w:id="5"/>
      </w:r>
      <w:r>
        <w:rPr>
          <w:rFonts w:ascii="Times New Roman" w:hAnsi="Times New Roman" w:cs="Times New Roman"/>
          <w:sz w:val="24"/>
          <w:szCs w:val="24"/>
        </w:rPr>
        <w:t xml:space="preserve"> is not consistent. Their empirical results suggested that considerable corporate bonds trade at a risk that is less than from their government</w:t>
      </w:r>
      <w:r w:rsidRPr="00334107">
        <w:rPr>
          <w:rFonts w:ascii="Times New Roman" w:hAnsi="Times New Roman" w:cs="Times New Roman"/>
          <w:sz w:val="24"/>
          <w:szCs w:val="24"/>
        </w:rPr>
        <w:t xml:space="preserve">.  </w:t>
      </w:r>
    </w:p>
    <w:p w:rsidR="001041B1" w:rsidRDefault="001041B1">
      <w:pPr>
        <w:spacing w:line="360" w:lineRule="auto"/>
        <w:jc w:val="both"/>
        <w:rPr>
          <w:rFonts w:ascii="Times New Roman" w:hAnsi="Times New Roman" w:cs="Times New Roman"/>
          <w:sz w:val="24"/>
          <w:szCs w:val="24"/>
        </w:rPr>
      </w:pPr>
      <w:r w:rsidRPr="00334107">
        <w:rPr>
          <w:rFonts w:ascii="Times New Roman" w:hAnsi="Times New Roman" w:cs="Times New Roman"/>
          <w:sz w:val="24"/>
          <w:szCs w:val="24"/>
        </w:rPr>
        <w:t>Baek et al. (2005) composed</w:t>
      </w:r>
      <w:r>
        <w:rPr>
          <w:rFonts w:ascii="Times New Roman" w:hAnsi="Times New Roman" w:cs="Times New Roman"/>
          <w:sz w:val="24"/>
          <w:szCs w:val="24"/>
        </w:rPr>
        <w:t xml:space="preserve"> the sovereign risk premium with the Brady bond. They presumed that risk premium has been determined by both economic fundamentals and non-country-specific factors, like risk attitude. To measure the risk attitude a quantitative model has been constructed. The results emphasized the importance of solvency, liquidity and variables for economic stability and the considerable role for attitude towards </w:t>
      </w:r>
      <w:r w:rsidRPr="007E68E7">
        <w:rPr>
          <w:rFonts w:ascii="Times New Roman" w:hAnsi="Times New Roman" w:cs="Times New Roman"/>
          <w:sz w:val="24"/>
          <w:szCs w:val="24"/>
        </w:rPr>
        <w:t>risk. Al-Sakka and Gwilym (2009) studied</w:t>
      </w:r>
      <w:r>
        <w:rPr>
          <w:rFonts w:ascii="Times New Roman" w:hAnsi="Times New Roman" w:cs="Times New Roman"/>
          <w:sz w:val="24"/>
          <w:szCs w:val="24"/>
        </w:rPr>
        <w:t xml:space="preserve"> the relation between origins of rating heterogeneity and emerging sovereign movements. The authors used data from six credit rating agencies and a comprehensive list of ninety emerging economies and applied the ordered probit modeling to show the dynamics in emerging sovereign markets. </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Another issue that changes the perspective of the investor and policymakers is moral hazard effect. The potentially threat of a bailout (by IMF) could lead to new equilibrium with corresponding deadweight loss and negative redistribution. For creditors a bailout possibility changes the risk premium</w:t>
      </w:r>
      <w:r w:rsidRPr="00386B69">
        <w:rPr>
          <w:rFonts w:ascii="Times New Roman" w:hAnsi="Times New Roman" w:cs="Times New Roman"/>
          <w:sz w:val="24"/>
          <w:szCs w:val="24"/>
        </w:rPr>
        <w:t>. Noy (2008) used</w:t>
      </w:r>
      <w:r>
        <w:rPr>
          <w:rFonts w:ascii="Times New Roman" w:hAnsi="Times New Roman" w:cs="Times New Roman"/>
          <w:sz w:val="24"/>
          <w:szCs w:val="24"/>
        </w:rPr>
        <w:t xml:space="preserve"> event study on fifteen emerging economies and used monthly data. Noy (2008) cannot find empirical evidence for an increase in moral hazard after the Mexican and Asian bailouts in the 1990s. </w:t>
      </w:r>
    </w:p>
    <w:p w:rsidR="001041B1" w:rsidRPr="00273A45" w:rsidRDefault="001041B1" w:rsidP="00273A45">
      <w:pPr>
        <w:rPr>
          <w:rFonts w:ascii="Times New Roman" w:hAnsi="Times New Roman" w:cs="Times New Roman"/>
          <w:b/>
          <w:color w:val="548AB7"/>
          <w:sz w:val="24"/>
          <w:szCs w:val="24"/>
        </w:rPr>
      </w:pPr>
      <w:r w:rsidRPr="00273A45">
        <w:rPr>
          <w:rFonts w:ascii="Times New Roman" w:hAnsi="Times New Roman" w:cs="Times New Roman"/>
          <w:b/>
          <w:color w:val="548AB7"/>
          <w:sz w:val="24"/>
          <w:szCs w:val="24"/>
        </w:rPr>
        <w:t xml:space="preserve">        3     Data</w:t>
      </w:r>
    </w:p>
    <w:p w:rsidR="001041B1" w:rsidRDefault="001041B1" w:rsidP="00273A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empirical section the data has been collected by various sources like </w:t>
      </w:r>
      <w:r>
        <w:rPr>
          <w:rFonts w:ascii="Times New Roman" w:hAnsi="Times New Roman" w:cs="Times New Roman"/>
          <w:i/>
          <w:iCs/>
          <w:sz w:val="24"/>
          <w:szCs w:val="24"/>
        </w:rPr>
        <w:t xml:space="preserve">International Financial Statistics, World databank </w:t>
      </w:r>
      <w:r>
        <w:rPr>
          <w:rFonts w:ascii="Times New Roman" w:hAnsi="Times New Roman" w:cs="Times New Roman"/>
          <w:sz w:val="24"/>
          <w:szCs w:val="24"/>
        </w:rPr>
        <w:t>and</w:t>
      </w:r>
      <w:r>
        <w:rPr>
          <w:rFonts w:ascii="Times New Roman" w:hAnsi="Times New Roman" w:cs="Times New Roman"/>
          <w:i/>
          <w:iCs/>
          <w:sz w:val="24"/>
          <w:szCs w:val="24"/>
        </w:rPr>
        <w:t xml:space="preserve"> Datastream.</w:t>
      </w:r>
      <w:r>
        <w:rPr>
          <w:rFonts w:ascii="Times New Roman" w:hAnsi="Times New Roman" w:cs="Times New Roman"/>
          <w:sz w:val="24"/>
          <w:szCs w:val="24"/>
        </w:rPr>
        <w:t xml:space="preserve"> </w:t>
      </w:r>
      <w:r w:rsidRPr="003D2BC0">
        <w:rPr>
          <w:rFonts w:ascii="Times New Roman" w:hAnsi="Times New Roman" w:cs="Times New Roman"/>
          <w:sz w:val="24"/>
          <w:szCs w:val="24"/>
        </w:rPr>
        <w:t xml:space="preserve">The variables have a timeframe of 1999 - 2008 and are selected on a yearly basis. </w:t>
      </w:r>
      <w:r>
        <w:rPr>
          <w:rFonts w:ascii="Times New Roman" w:hAnsi="Times New Roman" w:cs="Times New Roman"/>
          <w:sz w:val="24"/>
          <w:szCs w:val="24"/>
        </w:rPr>
        <w:t xml:space="preserve">This sample period was picked by the available data, research that has been accomplished prior to 1999 and includes the influence of Argentine crisis around 2001. Empirically, the tests have been performed with </w:t>
      </w:r>
      <w:r w:rsidRPr="002E0624">
        <w:rPr>
          <w:rFonts w:ascii="Times New Roman" w:hAnsi="Times New Roman" w:cs="Times New Roman"/>
          <w:i/>
          <w:sz w:val="24"/>
          <w:szCs w:val="24"/>
        </w:rPr>
        <w:t>Eviews.</w:t>
      </w:r>
      <w:r>
        <w:rPr>
          <w:rFonts w:ascii="Times New Roman" w:hAnsi="Times New Roman" w:cs="Times New Roman"/>
          <w:sz w:val="24"/>
          <w:szCs w:val="24"/>
        </w:rPr>
        <w:t xml:space="preserve"> For the dataset the following countries are selected: </w:t>
      </w:r>
      <w:r>
        <w:rPr>
          <w:rFonts w:ascii="Times New Roman" w:hAnsi="Times New Roman" w:cs="Times New Roman"/>
          <w:i/>
          <w:iCs/>
          <w:sz w:val="24"/>
          <w:szCs w:val="24"/>
        </w:rPr>
        <w:t>Poland, Czech Republic, Hungary, Thailand, Philippines, Pakistan, Mexico and Honduras.</w:t>
      </w:r>
      <w:r>
        <w:rPr>
          <w:rFonts w:ascii="Times New Roman" w:hAnsi="Times New Roman" w:cs="Times New Roman"/>
          <w:sz w:val="24"/>
          <w:szCs w:val="24"/>
        </w:rPr>
        <w:t xml:space="preserve"> Furthermore, the eight countries can be divided in three regions namely: </w:t>
      </w:r>
      <w:r>
        <w:rPr>
          <w:rFonts w:ascii="Times New Roman" w:hAnsi="Times New Roman" w:cs="Times New Roman"/>
          <w:i/>
          <w:iCs/>
          <w:sz w:val="24"/>
          <w:szCs w:val="24"/>
        </w:rPr>
        <w:t>Europe, Asia and Latin America</w:t>
      </w:r>
      <w:r>
        <w:rPr>
          <w:rFonts w:ascii="Times New Roman" w:hAnsi="Times New Roman" w:cs="Times New Roman"/>
          <w:sz w:val="24"/>
          <w:szCs w:val="24"/>
        </w:rPr>
        <w:t>. In addition, the spread is measured in country specific and regional effects. This paper uses pooled data estimation to determine sovereign yield spread and panel analysis to test the robustness of the results. Appendix A contains an overview of variables and sources.</w:t>
      </w:r>
    </w:p>
    <w:p w:rsidR="001041B1" w:rsidRPr="00273A45" w:rsidRDefault="001041B1" w:rsidP="00273A45">
      <w:pPr>
        <w:spacing w:line="360" w:lineRule="auto"/>
        <w:jc w:val="both"/>
        <w:rPr>
          <w:rFonts w:ascii="Times New Roman" w:hAnsi="Times New Roman" w:cs="Times New Roman"/>
          <w:color w:val="548AB7"/>
          <w:sz w:val="24"/>
          <w:szCs w:val="24"/>
        </w:rPr>
      </w:pPr>
      <w:r w:rsidRPr="00273A45">
        <w:rPr>
          <w:rFonts w:ascii="Times New Roman" w:hAnsi="Times New Roman" w:cs="Times New Roman"/>
          <w:color w:val="548AB7"/>
          <w:sz w:val="24"/>
          <w:szCs w:val="24"/>
        </w:rPr>
        <w:t>3.1 The</w:t>
      </w:r>
      <w:r w:rsidRPr="00273A45">
        <w:rPr>
          <w:rFonts w:ascii="Times New Roman" w:hAnsi="Times New Roman" w:cs="Times New Roman"/>
          <w:bCs/>
          <w:color w:val="548AB7"/>
          <w:sz w:val="24"/>
          <w:szCs w:val="24"/>
        </w:rPr>
        <w:t xml:space="preserve"> theoretical framework</w:t>
      </w:r>
    </w:p>
    <w:p w:rsidR="001041B1" w:rsidRDefault="001041B1" w:rsidP="00A16F13">
      <w:pPr>
        <w:spacing w:line="360" w:lineRule="auto"/>
        <w:jc w:val="both"/>
        <w:rPr>
          <w:rFonts w:ascii="Times New Roman" w:hAnsi="Times New Roman" w:cs="Times New Roman"/>
          <w:sz w:val="24"/>
          <w:szCs w:val="24"/>
        </w:rPr>
      </w:pPr>
      <w:r>
        <w:rPr>
          <w:rFonts w:ascii="Times New Roman" w:hAnsi="Times New Roman" w:cs="Times New Roman"/>
          <w:sz w:val="24"/>
          <w:szCs w:val="24"/>
        </w:rPr>
        <w:t>This paper uses the following model for the determinants of bond spreads:</w:t>
      </w:r>
    </w:p>
    <w:p w:rsidR="001041B1" w:rsidRDefault="001041B1" w:rsidP="00A16F1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Pr="0021104B">
        <w:rPr>
          <w:rFonts w:ascii="Times New Roman" w:hAnsi="Times New Roman" w:cs="Times New Roman"/>
          <w:noProof/>
        </w:rPr>
        <w:pict>
          <v:shape id="Afbeelding 3" o:spid="_x0000_i1031" type="#_x0000_t75" style="width:11.25pt;height:11.25pt;visibility:visible">
            <v:imagedata r:id="rId10"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sidRPr="0021104B">
        <w:rPr>
          <w:rFonts w:ascii="Times New Roman" w:hAnsi="Times New Roman" w:cs="Times New Roman"/>
          <w:sz w:val="24"/>
          <w:szCs w:val="24"/>
        </w:rPr>
        <w:fldChar w:fldCharType="begin"/>
      </w:r>
      <w:r w:rsidRPr="0021104B">
        <w:rPr>
          <w:rFonts w:ascii="Times New Roman" w:hAnsi="Times New Roman" w:cs="Times New Roman"/>
          <w:sz w:val="24"/>
          <w:szCs w:val="24"/>
        </w:rPr>
        <w:instrText xml:space="preserve"> QUOTE </w:instrText>
      </w:r>
      <w:r w:rsidRPr="0021104B">
        <w:pict>
          <v:shape id="_x0000_i1032"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3F2AFF&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3F2AFF&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S&lt;/m:t&gt;&lt;/m:r&gt;&lt;/m:e&gt;&lt;m:sub&gt;&lt;m:r&gt;&lt;w:rPr&gt;&lt;w:rFonts w:ascii=&quot;Cambria Math&quot; w:h-ansi=&quot;Cambria Math&quot; w:cs=&quot;Times New Roman&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21104B">
        <w:rPr>
          <w:rFonts w:ascii="Times New Roman" w:hAnsi="Times New Roman" w:cs="Times New Roman"/>
          <w:sz w:val="24"/>
          <w:szCs w:val="24"/>
        </w:rPr>
        <w:instrText xml:space="preserve"> </w:instrText>
      </w:r>
      <w:r w:rsidRPr="0021104B">
        <w:rPr>
          <w:rFonts w:ascii="Times New Roman" w:hAnsi="Times New Roman" w:cs="Times New Roman"/>
          <w:sz w:val="24"/>
          <w:szCs w:val="24"/>
        </w:rPr>
        <w:fldChar w:fldCharType="separate"/>
      </w:r>
      <w:r w:rsidRPr="0021104B">
        <w:pict>
          <v:shape id="_x0000_i1033" type="#_x0000_t75" style="width:11.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3F2AFF&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3F2AFF&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S&lt;/m:t&gt;&lt;/m:r&gt;&lt;/m:e&gt;&lt;m:sub&gt;&lt;m:r&gt;&lt;w:rPr&gt;&lt;w:rFonts w:ascii=&quot;Cambria Math&quot; w:h-ansi=&quot;Cambria Math&quot; w:cs=&quot;Times New Roman&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21104B">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Pr="0021104B">
        <w:rPr>
          <w:rFonts w:ascii="Times New Roman" w:hAnsi="Times New Roman" w:cs="Times New Roman"/>
          <w:noProof/>
        </w:rPr>
        <w:pict>
          <v:shape id="Afbeelding 5" o:spid="_x0000_i1034" type="#_x0000_t75" style="width:12.75pt;height:11.25pt;visibility:visible">
            <v:imagedata r:id="rId12"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1104B">
        <w:rPr>
          <w:rFonts w:ascii="Times New Roman" w:hAnsi="Times New Roman" w:cs="Times New Roman"/>
          <w:sz w:val="24"/>
          <w:szCs w:val="24"/>
        </w:rPr>
        <w:fldChar w:fldCharType="begin"/>
      </w:r>
      <w:r w:rsidRPr="0021104B">
        <w:rPr>
          <w:rFonts w:ascii="Times New Roman" w:hAnsi="Times New Roman" w:cs="Times New Roman"/>
          <w:sz w:val="24"/>
          <w:szCs w:val="24"/>
        </w:rPr>
        <w:instrText xml:space="preserve"> QUOTE </w:instrText>
      </w:r>
      <w:r w:rsidRPr="0021104B">
        <w:pict>
          <v:shape id="_x0000_i1035"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BF6D8F&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BF6D8F&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Î±&lt;/m:t&gt;&lt;/m:r&gt;&lt;/m:e&gt;&lt;m:sub&gt;&lt;m:r&gt;&lt;w:rPr&gt;&lt;w:rFonts w:ascii=&quot;Cambria Math&quot; w:h-ansi=&quot;Cambria Math&quot; w:cs=&quot;Times New Roman&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21104B">
        <w:rPr>
          <w:rFonts w:ascii="Times New Roman" w:hAnsi="Times New Roman" w:cs="Times New Roman"/>
          <w:sz w:val="24"/>
          <w:szCs w:val="24"/>
        </w:rPr>
        <w:instrText xml:space="preserve"> </w:instrText>
      </w:r>
      <w:r w:rsidRPr="0021104B">
        <w:rPr>
          <w:rFonts w:ascii="Times New Roman" w:hAnsi="Times New Roman" w:cs="Times New Roman"/>
          <w:sz w:val="24"/>
          <w:szCs w:val="24"/>
        </w:rPr>
        <w:fldChar w:fldCharType="separate"/>
      </w:r>
      <w:r w:rsidRPr="0021104B">
        <w:pict>
          <v:shape id="_x0000_i1036"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BF6D8F&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BF6D8F&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Î±&lt;/m:t&gt;&lt;/m:r&gt;&lt;/m:e&gt;&lt;m:sub&gt;&lt;m:r&gt;&lt;w:rPr&gt;&lt;w:rFonts w:ascii=&quot;Cambria Math&quot; w:h-ansi=&quot;Cambria Math&quot; w:cs=&quot;Times New Roman&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21104B">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1104B">
        <w:rPr>
          <w:rFonts w:ascii="Times New Roman" w:hAnsi="Times New Roman" w:cs="Times New Roman"/>
          <w:sz w:val="24"/>
          <w:szCs w:val="24"/>
        </w:rPr>
        <w:fldChar w:fldCharType="begin"/>
      </w:r>
      <w:r w:rsidRPr="0021104B">
        <w:rPr>
          <w:rFonts w:ascii="Times New Roman" w:hAnsi="Times New Roman" w:cs="Times New Roman"/>
          <w:sz w:val="24"/>
          <w:szCs w:val="24"/>
        </w:rPr>
        <w:instrText xml:space="preserve"> QUOTE </w:instrText>
      </w:r>
      <w:r w:rsidRPr="0021104B">
        <w:pict>
          <v:shape id="_x0000_i1037" type="#_x0000_t75" style="width:33.75pt;height:3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37FB5&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737FB5&quot;&gt;&lt;m:oMathPara&gt;&lt;m:oMath&gt;&lt;m:nary&gt;&lt;m:naryPr&gt;&lt;m:chr m:val=&quot;âˆ‘&quot;/&gt;&lt;m:limLoc m:val=&quot;undOvr&quot;/&gt;&lt;m:ctrlPr&gt;&lt;w:rPr&gt;&lt;w:rFonts w:ascii=&quot;Cambria Math&quot; w:h-ansi=&quot;Cambria Math&quot; w:cs=&quot;Times New Roman&quot;/&gt;&lt;wx:font wx:val=&quot;Cambria Math&quot;/&gt;&lt;w:i/&gt;&lt;w:sz w:val=&quot;24&quot;/&gt;&lt;w:sz-cs w:val=&quot;24&quot;/&gt;&lt;/w:rPr&gt;&lt;/m:ctrlPr&gt;&lt;/m:naryPr&gt;&lt;m:sub&gt;&lt;m:r&gt;&lt;w:rPr&gt;&lt;w:rFonts w:ascii=&quot;Cambria Math&quot; w:h-ansi=&quot;Cambria Math&quot; w:cs=&quot;Times New Roman&quot;/&gt;&lt;wx:font wx:val=&quot;Cambria Math&quot;/&gt;&lt;w:i/&gt;&lt;w:sz w:val=&quot;24&quot;/&gt;&lt;w:sz-cs w:val=&quot;24&quot;/&gt;&lt;/w:rPr&gt;&lt;m:t&gt;j=1&lt;/m:t&gt;&lt;/m:r&gt;&lt;/m:sub&gt;&lt;m:sup&gt;&lt;m:r&gt;&lt;w:rPr&gt;&lt;w:rFonts w:ascii=&quot;Cambria Math&quot; w:h-ansi=&quot;Cambria Math&quot; w:cs=&quot;Times New Roman&quot;/&gt;&lt;wx:font wx:val=&quot;Cambria Math&quot;/&gt;&lt;w:i/&gt;&lt;w:sz w:val=&quot;24&quot;/&gt;&lt;w:sz-cs w:val=&quot;24&quot;/&gt;&lt;/w:rPr&gt;&lt;m:t&gt;k&lt;/m:t&gt;&lt;/m:r&gt;&lt;/m:sup&gt;&lt;m:e&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Î²&lt;/m:t&gt;&lt;/m:r&gt;&lt;/m:e&gt;&lt;m:sub&gt;&lt;m:r&gt;&lt;w:rPr&gt;&lt;w:rFonts w:ascii=&quot;Cambria Math&quot; w:h-ansi=&quot;Cambria Math&quot; w:cs=&quot;Times New Roman&quot;/&gt;&lt;wx:font wx:val=&quot;Cambria Math&quot;/&gt;&lt;w:i/&gt;&lt;w:sz w:val=&quot;24&quot;/&gt;&lt;w:sz-cs w:val=&quot;24&quot;/&gt;&lt;/w:rPr&gt;&lt;m:t&gt;ij&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21104B">
        <w:rPr>
          <w:rFonts w:ascii="Times New Roman" w:hAnsi="Times New Roman" w:cs="Times New Roman"/>
          <w:sz w:val="24"/>
          <w:szCs w:val="24"/>
        </w:rPr>
        <w:instrText xml:space="preserve"> </w:instrText>
      </w:r>
      <w:r w:rsidRPr="0021104B">
        <w:rPr>
          <w:rFonts w:ascii="Times New Roman" w:hAnsi="Times New Roman" w:cs="Times New Roman"/>
          <w:sz w:val="24"/>
          <w:szCs w:val="24"/>
        </w:rPr>
        <w:fldChar w:fldCharType="separate"/>
      </w:r>
      <w:r w:rsidRPr="0021104B">
        <w:pict>
          <v:shape id="_x0000_i1038" type="#_x0000_t75" style="width:33.75pt;height:38.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37FB5&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737FB5&quot;&gt;&lt;m:oMathPara&gt;&lt;m:oMath&gt;&lt;m:nary&gt;&lt;m:naryPr&gt;&lt;m:chr m:val=&quot;âˆ‘&quot;/&gt;&lt;m:limLoc m:val=&quot;undOvr&quot;/&gt;&lt;m:ctrlPr&gt;&lt;w:rPr&gt;&lt;w:rFonts w:ascii=&quot;Cambria Math&quot; w:h-ansi=&quot;Cambria Math&quot; w:cs=&quot;Times New Roman&quot;/&gt;&lt;wx:font wx:val=&quot;Cambria Math&quot;/&gt;&lt;w:i/&gt;&lt;w:sz w:val=&quot;24&quot;/&gt;&lt;w:sz-cs w:val=&quot;24&quot;/&gt;&lt;/w:rPr&gt;&lt;/m:ctrlPr&gt;&lt;/m:naryPr&gt;&lt;m:sub&gt;&lt;m:r&gt;&lt;w:rPr&gt;&lt;w:rFonts w:ascii=&quot;Cambria Math&quot; w:h-ansi=&quot;Cambria Math&quot; w:cs=&quot;Times New Roman&quot;/&gt;&lt;wx:font wx:val=&quot;Cambria Math&quot;/&gt;&lt;w:i/&gt;&lt;w:sz w:val=&quot;24&quot;/&gt;&lt;w:sz-cs w:val=&quot;24&quot;/&gt;&lt;/w:rPr&gt;&lt;m:t&gt;j=1&lt;/m:t&gt;&lt;/m:r&gt;&lt;/m:sub&gt;&lt;m:sup&gt;&lt;m:r&gt;&lt;w:rPr&gt;&lt;w:rFonts w:ascii=&quot;Cambria Math&quot; w:h-ansi=&quot;Cambria Math&quot; w:cs=&quot;Times New Roman&quot;/&gt;&lt;wx:font wx:val=&quot;Cambria Math&quot;/&gt;&lt;w:i/&gt;&lt;w:sz w:val=&quot;24&quot;/&gt;&lt;w:sz-cs w:val=&quot;24&quot;/&gt;&lt;/w:rPr&gt;&lt;m:t&gt;k&lt;/m:t&gt;&lt;/m:r&gt;&lt;/m:sup&gt;&lt;m:e&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Î²&lt;/m:t&gt;&lt;/m:r&gt;&lt;/m:e&gt;&lt;m:sub&gt;&lt;m:r&gt;&lt;w:rPr&gt;&lt;w:rFonts w:ascii=&quot;Cambria Math&quot; w:h-ansi=&quot;Cambria Math&quot; w:cs=&quot;Times New Roman&quot;/&gt;&lt;wx:font wx:val=&quot;Cambria Math&quot;/&gt;&lt;w:i/&gt;&lt;w:sz w:val=&quot;24&quot;/&gt;&lt;w:sz-cs w:val=&quot;24&quot;/&gt;&lt;/w:rPr&gt;&lt;m:t&gt;ij&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21104B">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Pr="0021104B">
        <w:rPr>
          <w:rFonts w:ascii="Times New Roman" w:hAnsi="Times New Roman" w:cs="Times New Roman"/>
          <w:noProof/>
        </w:rPr>
        <w:pict>
          <v:shape id="Afbeelding 9" o:spid="_x0000_i1039" type="#_x0000_t75" style="width:16.5pt;height:12.75pt;visibility:visible">
            <v:imagedata r:id="rId15"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1104B">
        <w:rPr>
          <w:rFonts w:ascii="Times New Roman" w:hAnsi="Times New Roman" w:cs="Times New Roman"/>
          <w:sz w:val="24"/>
          <w:szCs w:val="24"/>
        </w:rPr>
        <w:fldChar w:fldCharType="begin"/>
      </w:r>
      <w:r w:rsidRPr="0021104B">
        <w:rPr>
          <w:rFonts w:ascii="Times New Roman" w:hAnsi="Times New Roman" w:cs="Times New Roman"/>
          <w:sz w:val="24"/>
          <w:szCs w:val="24"/>
        </w:rPr>
        <w:instrText xml:space="preserve"> QUOTE </w:instrText>
      </w:r>
      <w:r w:rsidRPr="0021104B">
        <w:pict>
          <v:shape id="_x0000_i1040" type="#_x0000_t75" style="width:16.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9CB&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DC19CB&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x&lt;/m:t&gt;&lt;/m:r&gt;&lt;/m:e&gt;&lt;m:sub&gt;&lt;m:r&gt;&lt;w:rPr&gt;&lt;w:rFonts w:ascii=&quot;Cambria Math&quot; w:h-ansi=&quot;Cambria Math&quot; w:cs=&quot;Times New Roman&quot;/&gt;&lt;wx:font wx:val=&quot;Cambria Math&quot;/&gt;&lt;w:i/&gt;&lt;w:sz w:val=&quot;24&quot;/&gt;&lt;w:sz-cs w:val=&quot;24&quot;/&gt;&lt;/w:rPr&gt;&lt;m:t&gt;ij&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21104B">
        <w:rPr>
          <w:rFonts w:ascii="Times New Roman" w:hAnsi="Times New Roman" w:cs="Times New Roman"/>
          <w:sz w:val="24"/>
          <w:szCs w:val="24"/>
        </w:rPr>
        <w:instrText xml:space="preserve"> </w:instrText>
      </w:r>
      <w:r w:rsidRPr="0021104B">
        <w:rPr>
          <w:rFonts w:ascii="Times New Roman" w:hAnsi="Times New Roman" w:cs="Times New Roman"/>
          <w:sz w:val="24"/>
          <w:szCs w:val="24"/>
        </w:rPr>
        <w:fldChar w:fldCharType="separate"/>
      </w:r>
      <w:r w:rsidRPr="0021104B">
        <w:pict>
          <v:shape id="_x0000_i1041" type="#_x0000_t75" style="width:16.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9CB&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DC19CB&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x&lt;/m:t&gt;&lt;/m:r&gt;&lt;/m:e&gt;&lt;m:sub&gt;&lt;m:r&gt;&lt;w:rPr&gt;&lt;w:rFonts w:ascii=&quot;Cambria Math&quot; w:h-ansi=&quot;Cambria Math&quot; w:cs=&quot;Times New Roman&quot;/&gt;&lt;wx:font wx:val=&quot;Cambria Math&quot;/&gt;&lt;w:i/&gt;&lt;w:sz w:val=&quot;24&quot;/&gt;&lt;w:sz-cs w:val=&quot;24&quot;/&gt;&lt;/w:rPr&gt;&lt;m:t&gt;ij&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21104B">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1104B">
        <w:rPr>
          <w:rFonts w:ascii="Times New Roman" w:hAnsi="Times New Roman" w:cs="Times New Roman"/>
          <w:sz w:val="24"/>
          <w:szCs w:val="24"/>
        </w:rPr>
        <w:fldChar w:fldCharType="begin"/>
      </w:r>
      <w:r w:rsidRPr="0021104B">
        <w:rPr>
          <w:rFonts w:ascii="Times New Roman" w:hAnsi="Times New Roman" w:cs="Times New Roman"/>
          <w:sz w:val="24"/>
          <w:szCs w:val="24"/>
        </w:rPr>
        <w:instrText xml:space="preserve"> QUOTE </w:instrText>
      </w:r>
      <w:r w:rsidRPr="0021104B">
        <w:pict>
          <v:shape id="_x0000_i1042" type="#_x0000_t75" style="width:10.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120F&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AE120F&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Îµ&lt;/m:t&gt;&lt;/m:r&gt;&lt;/m:e&gt;&lt;m:sub&gt;&lt;m:r&gt;&lt;w:rPr&gt;&lt;w:rFonts w:ascii=&quot;Cambria Math&quot; w:h-ansi=&quot;Cambria Math&quot; w:cs=&quot;Times New Roman&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21104B">
        <w:rPr>
          <w:rFonts w:ascii="Times New Roman" w:hAnsi="Times New Roman" w:cs="Times New Roman"/>
          <w:sz w:val="24"/>
          <w:szCs w:val="24"/>
        </w:rPr>
        <w:instrText xml:space="preserve"> </w:instrText>
      </w:r>
      <w:r w:rsidRPr="0021104B">
        <w:rPr>
          <w:rFonts w:ascii="Times New Roman" w:hAnsi="Times New Roman" w:cs="Times New Roman"/>
          <w:sz w:val="24"/>
          <w:szCs w:val="24"/>
        </w:rPr>
        <w:fldChar w:fldCharType="separate"/>
      </w:r>
      <w:r w:rsidRPr="0021104B">
        <w:pict>
          <v:shape id="_x0000_i1043" type="#_x0000_t75" style="width:10.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120F&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AE120F&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Îµ&lt;/m:t&gt;&lt;/m:r&gt;&lt;/m:e&gt;&lt;m:sub&gt;&lt;m:r&gt;&lt;w:rPr&gt;&lt;w:rFonts w:ascii=&quot;Cambria Math&quot; w:h-ansi=&quot;Cambria Math&quot; w:cs=&quot;Times New Roman&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21104B">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Pr="0021104B">
        <w:rPr>
          <w:rFonts w:ascii="Times New Roman" w:hAnsi="Times New Roman" w:cs="Times New Roman"/>
          <w:noProof/>
        </w:rPr>
        <w:pict>
          <v:shape id="Afbeelding 11" o:spid="_x0000_i1044" type="#_x0000_t75" style="width:10.5pt;height:11.25pt;visibility:visible">
            <v:imagedata r:id="rId18"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1041B1" w:rsidRDefault="001041B1" w:rsidP="00FE47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s is the bond spreads, </w:t>
      </w:r>
      <w:r>
        <w:rPr>
          <w:rFonts w:ascii="Cambria Math" w:hAnsi="Cambria Math" w:cs="Cambria Math"/>
          <w:sz w:val="24"/>
          <w:szCs w:val="24"/>
        </w:rPr>
        <w:t>𝜶</w:t>
      </w:r>
      <w:r>
        <w:rPr>
          <w:rFonts w:ascii="Times New Roman" w:hAnsi="Times New Roman" w:cs="Times New Roman"/>
          <w:sz w:val="24"/>
          <w:szCs w:val="24"/>
        </w:rPr>
        <w:t xml:space="preserve"> stands for the intercept,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Pr="0021104B">
        <w:rPr>
          <w:rFonts w:ascii="Times New Roman" w:hAnsi="Times New Roman" w:cs="Times New Roman"/>
          <w:noProof/>
        </w:rPr>
        <w:pict>
          <v:shape id="Afbeelding 13" o:spid="_x0000_i1045" type="#_x0000_t75" style="width:11.25pt;height:14.25pt;visibility:visible">
            <v:imagedata r:id="rId19"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A16F13">
        <w:rPr>
          <w:rFonts w:ascii="Times New Roman" w:hAnsi="Times New Roman" w:cs="Times New Roman"/>
          <w:noProof/>
          <w:lang w:eastAsia="nl-NL"/>
        </w:rPr>
        <w:t>k</w:t>
      </w:r>
      <w:r>
        <w:rPr>
          <w:rFonts w:ascii="Times New Roman" w:hAnsi="Times New Roman" w:cs="Times New Roman"/>
          <w:sz w:val="24"/>
          <w:szCs w:val="24"/>
        </w:rPr>
        <w:fldChar w:fldCharType="end"/>
      </w:r>
      <w:r>
        <w:rPr>
          <w:rFonts w:ascii="Times New Roman" w:hAnsi="Times New Roman" w:cs="Times New Roman"/>
          <w:sz w:val="24"/>
          <w:szCs w:val="24"/>
        </w:rPr>
        <w:t xml:space="preserve"> is the numbers of variables, </w:t>
      </w:r>
      <w:r w:rsidRPr="0021104B">
        <w:rPr>
          <w:rFonts w:ascii="Times New Roman" w:hAnsi="Times New Roman" w:cs="Times New Roman"/>
          <w:sz w:val="24"/>
          <w:szCs w:val="24"/>
        </w:rPr>
        <w:fldChar w:fldCharType="begin"/>
      </w:r>
      <w:r w:rsidRPr="0021104B">
        <w:rPr>
          <w:rFonts w:ascii="Times New Roman" w:hAnsi="Times New Roman" w:cs="Times New Roman"/>
          <w:sz w:val="24"/>
          <w:szCs w:val="24"/>
        </w:rPr>
        <w:instrText xml:space="preserve"> QUOTE </w:instrText>
      </w:r>
      <w:r w:rsidRPr="0021104B">
        <w:pict>
          <v:shape id="_x0000_i1046" type="#_x0000_t75" style="width:16.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8032B&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58032B&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Î²&lt;/m:t&gt;&lt;/m:r&gt;&lt;/m:e&gt;&lt;m:sub&gt;&lt;m:r&gt;&lt;w:rPr&gt;&lt;w:rFonts w:ascii=&quot;Cambria Math&quot; w:h-ansi=&quot;Cambria Math&quot; w:cs=&quot;Times New Roman&quot;/&gt;&lt;wx:font wx:val=&quot;Cambria Math&quot;/&gt;&lt;w:i/&gt;&lt;w:sz w:val=&quot;24&quot;/&gt;&lt;w:sz-cs w:val=&quot;24&quot;/&gt;&lt;/w:rPr&gt;&lt;m:t&gt;ij&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21104B">
        <w:rPr>
          <w:rFonts w:ascii="Times New Roman" w:hAnsi="Times New Roman" w:cs="Times New Roman"/>
          <w:sz w:val="24"/>
          <w:szCs w:val="24"/>
        </w:rPr>
        <w:instrText xml:space="preserve"> </w:instrText>
      </w:r>
      <w:r w:rsidRPr="0021104B">
        <w:rPr>
          <w:rFonts w:ascii="Times New Roman" w:hAnsi="Times New Roman" w:cs="Times New Roman"/>
          <w:sz w:val="24"/>
          <w:szCs w:val="24"/>
        </w:rPr>
        <w:fldChar w:fldCharType="separate"/>
      </w:r>
      <w:r w:rsidRPr="0021104B">
        <w:pict>
          <v:shape id="_x0000_i1047" type="#_x0000_t75" style="width:16.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8032B&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58032B&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Î²&lt;/m:t&gt;&lt;/m:r&gt;&lt;/m:e&gt;&lt;m:sub&gt;&lt;m:r&gt;&lt;w:rPr&gt;&lt;w:rFonts w:ascii=&quot;Cambria Math&quot; w:h-ansi=&quot;Cambria Math&quot; w:cs=&quot;Times New Roman&quot;/&gt;&lt;wx:font wx:val=&quot;Cambria Math&quot;/&gt;&lt;w:i/&gt;&lt;w:sz w:val=&quot;24&quot;/&gt;&lt;w:sz-cs w:val=&quot;24&quot;/&gt;&lt;/w:rPr&gt;&lt;m:t&gt;ij&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21104B">
        <w:rPr>
          <w:rFonts w:ascii="Times New Roman" w:hAnsi="Times New Roman" w:cs="Times New Roman"/>
          <w:sz w:val="24"/>
          <w:szCs w:val="24"/>
        </w:rPr>
        <w:fldChar w:fldCharType="end"/>
      </w:r>
      <w:r>
        <w:rPr>
          <w:rFonts w:ascii="Times New Roman" w:hAnsi="Times New Roman" w:cs="Times New Roman"/>
          <w:sz w:val="24"/>
          <w:szCs w:val="24"/>
        </w:rPr>
        <w:t xml:space="preserve"> represents the k × 1 vector of parameters to be calculated on the exogenous variables. </w:t>
      </w:r>
      <w:r w:rsidRPr="0021104B">
        <w:rPr>
          <w:rFonts w:ascii="Times New Roman" w:hAnsi="Times New Roman" w:cs="Times New Roman"/>
          <w:sz w:val="24"/>
          <w:szCs w:val="24"/>
        </w:rPr>
        <w:fldChar w:fldCharType="begin"/>
      </w:r>
      <w:r w:rsidRPr="0021104B">
        <w:rPr>
          <w:rFonts w:ascii="Times New Roman" w:hAnsi="Times New Roman" w:cs="Times New Roman"/>
          <w:sz w:val="24"/>
          <w:szCs w:val="24"/>
        </w:rPr>
        <w:instrText xml:space="preserve"> QUOTE </w:instrText>
      </w:r>
      <w:r w:rsidRPr="0021104B">
        <w:pict>
          <v:shape id="_x0000_i1048" type="#_x0000_t75" style="width:16.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1730&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731730&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x&lt;/m:t&gt;&lt;/m:r&gt;&lt;/m:e&gt;&lt;m:sub&gt;&lt;m:r&gt;&lt;w:rPr&gt;&lt;w:rFonts w:ascii=&quot;Cambria Math&quot; w:h-ansi=&quot;Cambria Math&quot; w:cs=&quot;Times New Roman&quot;/&gt;&lt;wx:font wx:val=&quot;Cambria Math&quot;/&gt;&lt;w:i/&gt;&lt;w:sz w:val=&quot;24&quot;/&gt;&lt;w:sz-cs w:val=&quot;24&quot;/&gt;&lt;/w:rPr&gt;&lt;m:t&gt;ij&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21104B">
        <w:rPr>
          <w:rFonts w:ascii="Times New Roman" w:hAnsi="Times New Roman" w:cs="Times New Roman"/>
          <w:sz w:val="24"/>
          <w:szCs w:val="24"/>
        </w:rPr>
        <w:instrText xml:space="preserve"> </w:instrText>
      </w:r>
      <w:r w:rsidRPr="0021104B">
        <w:rPr>
          <w:rFonts w:ascii="Times New Roman" w:hAnsi="Times New Roman" w:cs="Times New Roman"/>
          <w:sz w:val="24"/>
          <w:szCs w:val="24"/>
        </w:rPr>
        <w:fldChar w:fldCharType="separate"/>
      </w:r>
      <w:r w:rsidRPr="0021104B">
        <w:pict>
          <v:shape id="_x0000_i1049" type="#_x0000_t75" style="width:16.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1730&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731730&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x&lt;/m:t&gt;&lt;/m:r&gt;&lt;/m:e&gt;&lt;m:sub&gt;&lt;m:r&gt;&lt;w:rPr&gt;&lt;w:rFonts w:ascii=&quot;Cambria Math&quot; w:h-ansi=&quot;Cambria Math&quot; w:cs=&quot;Times New Roman&quot;/&gt;&lt;wx:font wx:val=&quot;Cambria Math&quot;/&gt;&lt;w:i/&gt;&lt;w:sz w:val=&quot;24&quot;/&gt;&lt;w:sz-cs w:val=&quot;24&quot;/&gt;&lt;/w:rPr&gt;&lt;m:t&gt;ij&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21104B">
        <w:rPr>
          <w:rFonts w:ascii="Times New Roman" w:hAnsi="Times New Roman" w:cs="Times New Roman"/>
          <w:sz w:val="24"/>
          <w:szCs w:val="24"/>
        </w:rPr>
        <w:fldChar w:fldCharType="end"/>
      </w:r>
      <w:r>
        <w:rPr>
          <w:rFonts w:ascii="Times New Roman" w:hAnsi="Times New Roman" w:cs="Times New Roman"/>
          <w:sz w:val="24"/>
          <w:szCs w:val="24"/>
        </w:rPr>
        <w:t xml:space="preserve"> stands for the 1 × k vector of included observations on the exogenous variables. Finally </w:t>
      </w:r>
      <w:r w:rsidRPr="0021104B">
        <w:rPr>
          <w:rFonts w:ascii="Times New Roman" w:hAnsi="Times New Roman" w:cs="Times New Roman"/>
          <w:sz w:val="24"/>
          <w:szCs w:val="24"/>
        </w:rPr>
        <w:fldChar w:fldCharType="begin"/>
      </w:r>
      <w:r w:rsidRPr="0021104B">
        <w:rPr>
          <w:rFonts w:ascii="Times New Roman" w:hAnsi="Times New Roman" w:cs="Times New Roman"/>
          <w:sz w:val="24"/>
          <w:szCs w:val="24"/>
        </w:rPr>
        <w:instrText xml:space="preserve"> QUOTE </w:instrText>
      </w:r>
      <w:r w:rsidRPr="0021104B">
        <w:pict>
          <v:shape id="_x0000_i1050" type="#_x0000_t75" style="width:10.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876E9&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E876E9&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Îµ&lt;/m:t&gt;&lt;/m:r&gt;&lt;/m:e&gt;&lt;m:sub&gt;&lt;m:r&gt;&lt;w:rPr&gt;&lt;w:rFonts w:ascii=&quot;Cambria Math&quot; w:h-ansi=&quot;Cambria Math&quot; w:cs=&quot;Times New Roman&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21104B">
        <w:rPr>
          <w:rFonts w:ascii="Times New Roman" w:hAnsi="Times New Roman" w:cs="Times New Roman"/>
          <w:sz w:val="24"/>
          <w:szCs w:val="24"/>
        </w:rPr>
        <w:instrText xml:space="preserve"> </w:instrText>
      </w:r>
      <w:r w:rsidRPr="0021104B">
        <w:rPr>
          <w:rFonts w:ascii="Times New Roman" w:hAnsi="Times New Roman" w:cs="Times New Roman"/>
          <w:sz w:val="24"/>
          <w:szCs w:val="24"/>
        </w:rPr>
        <w:fldChar w:fldCharType="separate"/>
      </w:r>
      <w:r w:rsidRPr="0021104B">
        <w:pict>
          <v:shape id="_x0000_i1051" type="#_x0000_t75" style="width:10.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876E9&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E876E9&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Îµ&lt;/m:t&gt;&lt;/m:r&gt;&lt;/m:e&gt;&lt;m:sub&gt;&lt;m:r&gt;&lt;w:rPr&gt;&lt;w:rFonts w:ascii=&quot;Cambria Math&quot; w:h-ansi=&quot;Cambria Math&quot; w:cs=&quot;Times New Roman&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21104B">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Pr="0021104B">
        <w:rPr>
          <w:rFonts w:ascii="Times New Roman" w:hAnsi="Times New Roman" w:cs="Times New Roman"/>
          <w:noProof/>
        </w:rPr>
        <w:pict>
          <v:shape id="Afbeelding 19" o:spid="_x0000_i1052" type="#_x0000_t75" style="width:10.5pt;height:11.25pt;visibility:visible">
            <v:imagedata r:id="rId18"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stands for the error term. The government bonds are estimated by subtracting the yield to maturity (10 year government bond) of the country denominated in USD with the 10 year U.S. government bond</w:t>
      </w:r>
      <w:r>
        <w:rPr>
          <w:rStyle w:val="FootnoteReference"/>
          <w:sz w:val="24"/>
          <w:szCs w:val="24"/>
        </w:rPr>
        <w:footnoteReference w:id="6"/>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1041B1" w:rsidRPr="002E0624" w:rsidRDefault="001041B1" w:rsidP="00FE47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1104B">
        <w:rPr>
          <w:rFonts w:ascii="Times New Roman" w:hAnsi="Times New Roman" w:cs="Times New Roman"/>
          <w:sz w:val="24"/>
          <w:szCs w:val="24"/>
        </w:rPr>
        <w:fldChar w:fldCharType="begin"/>
      </w:r>
      <w:r w:rsidRPr="0021104B">
        <w:rPr>
          <w:rFonts w:ascii="Times New Roman" w:hAnsi="Times New Roman" w:cs="Times New Roman"/>
          <w:sz w:val="24"/>
          <w:szCs w:val="24"/>
        </w:rPr>
        <w:instrText xml:space="preserve"> QUOTE </w:instrText>
      </w:r>
      <w:r w:rsidRPr="0021104B">
        <w:pict>
          <v:shape id="_x0000_i1053" type="#_x0000_t75" style="width:14.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44C85&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E44C85&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 S&lt;/m:t&gt;&lt;/m:r&gt;&lt;/m:e&gt;&lt;m:sub&gt;&lt;m:r&gt;&lt;w:rPr&gt;&lt;w:rFonts w:ascii=&quot;Cambria Math&quot; w:h-ansi=&quot;Cambria Math&quot; w:cs=&quot;Times New Roman&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21104B">
        <w:rPr>
          <w:rFonts w:ascii="Times New Roman" w:hAnsi="Times New Roman" w:cs="Times New Roman"/>
          <w:sz w:val="24"/>
          <w:szCs w:val="24"/>
        </w:rPr>
        <w:instrText xml:space="preserve"> </w:instrText>
      </w:r>
      <w:r w:rsidRPr="0021104B">
        <w:rPr>
          <w:rFonts w:ascii="Times New Roman" w:hAnsi="Times New Roman" w:cs="Times New Roman"/>
          <w:sz w:val="24"/>
          <w:szCs w:val="24"/>
        </w:rPr>
        <w:fldChar w:fldCharType="separate"/>
      </w:r>
      <w:r w:rsidRPr="0021104B">
        <w:pict>
          <v:shape id="_x0000_i1054" type="#_x0000_t75" style="width:14.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44C85&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E44C85&quot;&gt;&lt;m:oMathPara&gt;&lt;m:oMath&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 S&lt;/m:t&gt;&lt;/m:r&gt;&lt;/m:e&gt;&lt;m:sub&gt;&lt;m:r&gt;&lt;w:rPr&gt;&lt;w:rFonts w:ascii=&quot;Cambria Math&quot; w:h-ansi=&quot;Cambria Math&quot; w:cs=&quot;Times New Roman&quot;/&gt;&lt;wx:font wx:val=&quot;Cambria Math&quot;/&gt;&lt;w:i/&gt;&lt;w:sz w:val=&quot;24&quot;/&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21104B">
        <w:rPr>
          <w:rFonts w:ascii="Times New Roman" w:hAnsi="Times New Roman" w:cs="Times New Roman"/>
          <w:sz w:val="24"/>
          <w:szCs w:val="24"/>
        </w:rPr>
        <w:fldChar w:fldCharType="end"/>
      </w:r>
      <w:r>
        <w:rPr>
          <w:rFonts w:ascii="Times New Roman" w:hAnsi="Times New Roman" w:cs="Times New Roman"/>
          <w:sz w:val="24"/>
          <w:szCs w:val="24"/>
        </w:rPr>
        <w:t>= i</w:t>
      </w:r>
      <w:r w:rsidRPr="002E0624">
        <w:rPr>
          <w:rFonts w:ascii="Times New Roman" w:hAnsi="Times New Roman" w:cs="Times New Roman"/>
          <w:sz w:val="24"/>
          <w:szCs w:val="24"/>
        </w:rPr>
        <w:t>-</w:t>
      </w:r>
      <w:r>
        <w:rPr>
          <w:rFonts w:ascii="Times New Roman" w:hAnsi="Times New Roman" w:cs="Times New Roman"/>
          <w:sz w:val="24"/>
          <w:szCs w:val="24"/>
        </w:rPr>
        <w:t xml:space="preserve"> </w:t>
      </w:r>
      <w:r w:rsidRPr="0021104B">
        <w:rPr>
          <w:rFonts w:ascii="Times New Roman" w:hAnsi="Times New Roman" w:cs="Times New Roman"/>
          <w:sz w:val="24"/>
          <w:szCs w:val="24"/>
        </w:rPr>
        <w:fldChar w:fldCharType="begin"/>
      </w:r>
      <w:r w:rsidRPr="0021104B">
        <w:rPr>
          <w:rFonts w:ascii="Times New Roman" w:hAnsi="Times New Roman" w:cs="Times New Roman"/>
          <w:sz w:val="24"/>
          <w:szCs w:val="24"/>
        </w:rPr>
        <w:instrText xml:space="preserve"> QUOTE </w:instrText>
      </w:r>
      <w:r w:rsidRPr="0021104B">
        <w:pict>
          <v:shape id="_x0000_i1055" type="#_x0000_t75" style="width:10.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6BF7&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086BF7&quot;&gt;&lt;m:oMathPara&gt;&lt;m:oMath&gt;&lt;m:sSup&gt;&lt;m:sSupPr&gt;&lt;m:ctrlPr&gt;&lt;w:rPr&gt;&lt;w:rFonts w:ascii=&quot;Cambria Math&quot; w:h-ansi=&quot;Cambria Math&quot; w:cs=&quot;Times New Roman&quot;/&gt;&lt;wx:font wx:val=&quot;Cambria Math&quot;/&gt;&lt;w:i/&gt;&lt;w:sz w:val=&quot;24&quot;/&gt;&lt;w:sz-cs w:val=&quot;24&quot;/&gt;&lt;/w:rPr&gt;&lt;/m:ctrlPr&gt;&lt;/m:sSupPr&gt;&lt;m:e&gt;&lt;m:r&gt;&lt;w:rPr&gt;&lt;w:rFonts w:ascii=&quot;Cambria Math&quot; w:h-ansi=&quot;Cambria Math&quot; w:cs=&quot;Times New Roman&quot;/&gt;&lt;wx:font wx:val=&quot;Cambria Math&quot;/&gt;&lt;w:i/&gt;&lt;w:sz w:val=&quot;24&quot;/&gt;&lt;w:sz-cs w:val=&quot;24&quot;/&gt;&lt;/w:rPr&gt;&lt;m:t&gt;i&lt;/m:t&gt;&lt;/m:r&gt;&lt;/m:e&gt;&lt;m:sup&gt;&lt;m:r&gt;&lt;w:rPr&gt;&lt;w:rFonts w:ascii=&quot;Cambria Math&quot; w:h-ansi=&quot;Cambria Math&quot; w:cs=&quot;Times New Roman&quot;/&gt;&lt;wx:font wx:val=&quot;Cambria Math&quot;/&gt;&lt;w:i/&gt;&lt;w:sz w:val=&quot;24&quot;/&gt;&lt;w:sz-cs w:val=&quot;24&quot;/&gt;&lt;/w:rPr&gt;&lt;m:t&gt;*&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21104B">
        <w:rPr>
          <w:rFonts w:ascii="Times New Roman" w:hAnsi="Times New Roman" w:cs="Times New Roman"/>
          <w:sz w:val="24"/>
          <w:szCs w:val="24"/>
        </w:rPr>
        <w:instrText xml:space="preserve"> </w:instrText>
      </w:r>
      <w:r w:rsidRPr="0021104B">
        <w:rPr>
          <w:rFonts w:ascii="Times New Roman" w:hAnsi="Times New Roman" w:cs="Times New Roman"/>
          <w:sz w:val="24"/>
          <w:szCs w:val="24"/>
        </w:rPr>
        <w:fldChar w:fldCharType="separate"/>
      </w:r>
      <w:r w:rsidRPr="0021104B">
        <w:pict>
          <v:shape id="_x0000_i1056" type="#_x0000_t75" style="width:10.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6BF7&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086BF7&quot;&gt;&lt;m:oMathPara&gt;&lt;m:oMath&gt;&lt;m:sSup&gt;&lt;m:sSupPr&gt;&lt;m:ctrlPr&gt;&lt;w:rPr&gt;&lt;w:rFonts w:ascii=&quot;Cambria Math&quot; w:h-ansi=&quot;Cambria Math&quot; w:cs=&quot;Times New Roman&quot;/&gt;&lt;wx:font wx:val=&quot;Cambria Math&quot;/&gt;&lt;w:i/&gt;&lt;w:sz w:val=&quot;24&quot;/&gt;&lt;w:sz-cs w:val=&quot;24&quot;/&gt;&lt;/w:rPr&gt;&lt;/m:ctrlPr&gt;&lt;/m:sSupPr&gt;&lt;m:e&gt;&lt;m:r&gt;&lt;w:rPr&gt;&lt;w:rFonts w:ascii=&quot;Cambria Math&quot; w:h-ansi=&quot;Cambria Math&quot; w:cs=&quot;Times New Roman&quot;/&gt;&lt;wx:font wx:val=&quot;Cambria Math&quot;/&gt;&lt;w:i/&gt;&lt;w:sz w:val=&quot;24&quot;/&gt;&lt;w:sz-cs w:val=&quot;24&quot;/&gt;&lt;/w:rPr&gt;&lt;m:t&gt;i&lt;/m:t&gt;&lt;/m:r&gt;&lt;/m:e&gt;&lt;m:sup&gt;&lt;m:r&gt;&lt;w:rPr&gt;&lt;w:rFonts w:ascii=&quot;Cambria Math&quot; w:h-ansi=&quot;Cambria Math&quot; w:cs=&quot;Times New Roman&quot;/&gt;&lt;wx:font wx:val=&quot;Cambria Math&quot;/&gt;&lt;w:i/&gt;&lt;w:sz w:val=&quot;24&quot;/&gt;&lt;w:sz-cs w:val=&quot;24&quot;/&gt;&lt;/w:rPr&gt;&lt;m:t&gt;*&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21104B">
        <w:rPr>
          <w:rFonts w:ascii="Times New Roman" w:hAnsi="Times New Roman" w:cs="Times New Roman"/>
          <w:sz w:val="24"/>
          <w:szCs w:val="24"/>
        </w:rPr>
        <w:fldChar w:fldCharType="end"/>
      </w:r>
      <w:r w:rsidRPr="002E0624">
        <w:rPr>
          <w:rFonts w:ascii="Times New Roman" w:hAnsi="Times New Roman" w:cs="Times New Roman"/>
          <w:sz w:val="24"/>
          <w:szCs w:val="24"/>
        </w:rPr>
        <w:tab/>
      </w:r>
      <w:r w:rsidRPr="002E0624">
        <w:rPr>
          <w:rFonts w:ascii="Times New Roman" w:hAnsi="Times New Roman" w:cs="Times New Roman"/>
          <w:sz w:val="24"/>
          <w:szCs w:val="24"/>
        </w:rPr>
        <w:tab/>
      </w:r>
      <w:r w:rsidRPr="002E0624">
        <w:rPr>
          <w:rFonts w:ascii="Times New Roman" w:hAnsi="Times New Roman" w:cs="Times New Roman"/>
          <w:sz w:val="24"/>
          <w:szCs w:val="24"/>
        </w:rPr>
        <w:tab/>
      </w:r>
      <w:r w:rsidRPr="002E0624">
        <w:rPr>
          <w:rFonts w:ascii="Times New Roman" w:hAnsi="Times New Roman" w:cs="Times New Roman"/>
          <w:sz w:val="24"/>
          <w:szCs w:val="24"/>
        </w:rPr>
        <w:tab/>
      </w:r>
      <w:r w:rsidRPr="002E0624">
        <w:rPr>
          <w:rFonts w:ascii="Times New Roman" w:hAnsi="Times New Roman" w:cs="Times New Roman"/>
          <w:sz w:val="24"/>
          <w:szCs w:val="24"/>
        </w:rPr>
        <w:tab/>
      </w:r>
      <w:r w:rsidRPr="002E0624">
        <w:rPr>
          <w:rFonts w:ascii="Times New Roman" w:hAnsi="Times New Roman" w:cs="Times New Roman"/>
          <w:sz w:val="24"/>
          <w:szCs w:val="24"/>
        </w:rPr>
        <w:tab/>
      </w:r>
      <w:r w:rsidRPr="002E0624">
        <w:rPr>
          <w:rFonts w:ascii="Times New Roman" w:hAnsi="Times New Roman" w:cs="Times New Roman"/>
          <w:sz w:val="24"/>
          <w:szCs w:val="24"/>
        </w:rPr>
        <w:tab/>
      </w:r>
      <w:r>
        <w:rPr>
          <w:rFonts w:ascii="Times New Roman" w:hAnsi="Times New Roman" w:cs="Times New Roman"/>
          <w:sz w:val="24"/>
          <w:szCs w:val="24"/>
        </w:rPr>
        <w:tab/>
      </w:r>
      <w:r w:rsidRPr="002E0624">
        <w:rPr>
          <w:rFonts w:ascii="Times New Roman" w:hAnsi="Times New Roman" w:cs="Times New Roman"/>
          <w:sz w:val="24"/>
          <w:szCs w:val="24"/>
        </w:rPr>
        <w:tab/>
        <w:t>(ii)</w:t>
      </w:r>
    </w:p>
    <w:p w:rsidR="001041B1" w:rsidRDefault="001041B1" w:rsidP="00C641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i stands for government bond yield of the estimated country and </w:t>
      </w:r>
      <w:r w:rsidRPr="0021104B">
        <w:rPr>
          <w:rFonts w:ascii="Times New Roman" w:hAnsi="Times New Roman" w:cs="Times New Roman"/>
          <w:sz w:val="24"/>
          <w:szCs w:val="24"/>
        </w:rPr>
        <w:fldChar w:fldCharType="begin"/>
      </w:r>
      <w:r w:rsidRPr="0021104B">
        <w:rPr>
          <w:rFonts w:ascii="Times New Roman" w:hAnsi="Times New Roman" w:cs="Times New Roman"/>
          <w:sz w:val="24"/>
          <w:szCs w:val="24"/>
        </w:rPr>
        <w:instrText xml:space="preserve"> QUOTE </w:instrText>
      </w:r>
      <w:r w:rsidRPr="0021104B">
        <w:pict>
          <v:shape id="_x0000_i1057" type="#_x0000_t75" style="width:10.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5C0F&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625C0F&quot;&gt;&lt;m:oMathPara&gt;&lt;m:oMath&gt;&lt;m:sSup&gt;&lt;m:sSupPr&gt;&lt;m:ctrlPr&gt;&lt;w:rPr&gt;&lt;w:rFonts w:ascii=&quot;Cambria Math&quot; w:h-ansi=&quot;Cambria Math&quot; w:cs=&quot;Times New Roman&quot;/&gt;&lt;wx:font wx:val=&quot;Cambria Math&quot;/&gt;&lt;w:i/&gt;&lt;w:sz w:val=&quot;24&quot;/&gt;&lt;w:sz-cs w:val=&quot;24&quot;/&gt;&lt;/w:rPr&gt;&lt;/m:ctrlPr&gt;&lt;/m:sSupPr&gt;&lt;m:e&gt;&lt;m:r&gt;&lt;w:rPr&gt;&lt;w:rFonts w:ascii=&quot;Cambria Math&quot; w:h-ansi=&quot;Cambria Math&quot; w:cs=&quot;Times New Roman&quot;/&gt;&lt;wx:font wx:val=&quot;Cambria Math&quot;/&gt;&lt;w:i/&gt;&lt;w:sz w:val=&quot;24&quot;/&gt;&lt;w:sz-cs w:val=&quot;24&quot;/&gt;&lt;/w:rPr&gt;&lt;m:t&gt;i&lt;/m:t&gt;&lt;/m:r&gt;&lt;/m:e&gt;&lt;m:sup&gt;&lt;m:r&gt;&lt;w:rPr&gt;&lt;w:rFonts w:ascii=&quot;Cambria Math&quot; w:h-ansi=&quot;Cambria Math&quot; w:cs=&quot;Times New Roman&quot;/&gt;&lt;wx:font wx:val=&quot;Cambria Math&quot;/&gt;&lt;w:i/&gt;&lt;w:sz w:val=&quot;24&quot;/&gt;&lt;w:sz-cs w:val=&quot;24&quot;/&gt;&lt;/w:rPr&gt;&lt;m:t&gt;*&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21104B">
        <w:rPr>
          <w:rFonts w:ascii="Times New Roman" w:hAnsi="Times New Roman" w:cs="Times New Roman"/>
          <w:sz w:val="24"/>
          <w:szCs w:val="24"/>
        </w:rPr>
        <w:instrText xml:space="preserve"> </w:instrText>
      </w:r>
      <w:r w:rsidRPr="0021104B">
        <w:rPr>
          <w:rFonts w:ascii="Times New Roman" w:hAnsi="Times New Roman" w:cs="Times New Roman"/>
          <w:sz w:val="24"/>
          <w:szCs w:val="24"/>
        </w:rPr>
        <w:fldChar w:fldCharType="separate"/>
      </w:r>
      <w:r w:rsidRPr="0021104B">
        <w:pict>
          <v:shape id="_x0000_i1058" type="#_x0000_t75" style="width:10.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5C0F&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625C0F&quot;&gt;&lt;m:oMathPara&gt;&lt;m:oMath&gt;&lt;m:sSup&gt;&lt;m:sSupPr&gt;&lt;m:ctrlPr&gt;&lt;w:rPr&gt;&lt;w:rFonts w:ascii=&quot;Cambria Math&quot; w:h-ansi=&quot;Cambria Math&quot; w:cs=&quot;Times New Roman&quot;/&gt;&lt;wx:font wx:val=&quot;Cambria Math&quot;/&gt;&lt;w:i/&gt;&lt;w:sz w:val=&quot;24&quot;/&gt;&lt;w:sz-cs w:val=&quot;24&quot;/&gt;&lt;/w:rPr&gt;&lt;/m:ctrlPr&gt;&lt;/m:sSupPr&gt;&lt;m:e&gt;&lt;m:r&gt;&lt;w:rPr&gt;&lt;w:rFonts w:ascii=&quot;Cambria Math&quot; w:h-ansi=&quot;Cambria Math&quot; w:cs=&quot;Times New Roman&quot;/&gt;&lt;wx:font wx:val=&quot;Cambria Math&quot;/&gt;&lt;w:i/&gt;&lt;w:sz w:val=&quot;24&quot;/&gt;&lt;w:sz-cs w:val=&quot;24&quot;/&gt;&lt;/w:rPr&gt;&lt;m:t&gt;i&lt;/m:t&gt;&lt;/m:r&gt;&lt;/m:e&gt;&lt;m:sup&gt;&lt;m:r&gt;&lt;w:rPr&gt;&lt;w:rFonts w:ascii=&quot;Cambria Math&quot; w:h-ansi=&quot;Cambria Math&quot; w:cs=&quot;Times New Roman&quot;/&gt;&lt;wx:font wx:val=&quot;Cambria Math&quot;/&gt;&lt;w:i/&gt;&lt;w:sz w:val=&quot;24&quot;/&gt;&lt;w:sz-cs w:val=&quot;24&quot;/&gt;&lt;/w:rPr&gt;&lt;m:t&gt;*&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21104B">
        <w:rPr>
          <w:rFonts w:ascii="Times New Roman" w:hAnsi="Times New Roman" w:cs="Times New Roman"/>
          <w:sz w:val="24"/>
          <w:szCs w:val="24"/>
        </w:rPr>
        <w:fldChar w:fldCharType="end"/>
      </w:r>
      <w:r>
        <w:rPr>
          <w:rFonts w:ascii="Times New Roman" w:hAnsi="Times New Roman" w:cs="Times New Roman"/>
          <w:sz w:val="24"/>
          <w:szCs w:val="24"/>
        </w:rPr>
        <w:t xml:space="preserve"> is U.S. government bond yield. In addition, to the dependent variable of yield spreads, this paper selected twelve exogenous variables categorized into four groups: (i) macroeconomic fundamentals like inflation and terms of trade, (ii) liquidity and solvency variables such as export and expenditures, (iii) external shocks like the world oil price and (iv) dummy variable. These exogenous variables represent domestic and international indications for the specific country. Instead of using credit ratings, this paper uses exogenous variables which may lead to </w:t>
      </w:r>
      <w:r w:rsidRPr="003D2BC0">
        <w:rPr>
          <w:rFonts w:ascii="Times New Roman" w:hAnsi="Times New Roman" w:cs="Times New Roman"/>
          <w:sz w:val="24"/>
          <w:szCs w:val="24"/>
        </w:rPr>
        <w:t>a</w:t>
      </w:r>
      <w:r>
        <w:rPr>
          <w:rFonts w:ascii="Times New Roman" w:hAnsi="Times New Roman" w:cs="Times New Roman"/>
          <w:sz w:val="24"/>
          <w:szCs w:val="24"/>
        </w:rPr>
        <w:t xml:space="preserve"> more insight in the causes of government bond spread.</w:t>
      </w:r>
    </w:p>
    <w:p w:rsidR="001041B1" w:rsidRPr="00C6411F" w:rsidRDefault="001041B1" w:rsidP="00C6411F">
      <w:pPr>
        <w:spacing w:line="360" w:lineRule="auto"/>
        <w:jc w:val="both"/>
        <w:rPr>
          <w:rFonts w:ascii="Times New Roman" w:hAnsi="Times New Roman" w:cs="Times New Roman"/>
          <w:color w:val="548AB7"/>
          <w:sz w:val="24"/>
          <w:szCs w:val="24"/>
        </w:rPr>
      </w:pPr>
      <w:r w:rsidRPr="00C6411F">
        <w:rPr>
          <w:rFonts w:ascii="Times New Roman" w:hAnsi="Times New Roman" w:cs="Times New Roman"/>
          <w:color w:val="548AB7"/>
          <w:sz w:val="24"/>
          <w:szCs w:val="24"/>
        </w:rPr>
        <w:t>3.2 Macroeconomic</w:t>
      </w:r>
      <w:r w:rsidRPr="00C6411F">
        <w:rPr>
          <w:rFonts w:ascii="Times New Roman" w:hAnsi="Times New Roman" w:cs="Times New Roman"/>
          <w:iCs/>
          <w:color w:val="548AB7"/>
          <w:sz w:val="24"/>
          <w:szCs w:val="24"/>
        </w:rPr>
        <w:t xml:space="preserve"> fundamentals</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last decades, fiscal policy discipline has widely affected the down- and upward movement of yield spreads. Policymakers have an important role on changes of macroeconomic factors. Inflation can be seen </w:t>
      </w:r>
      <w:r w:rsidRPr="003D2BC0">
        <w:rPr>
          <w:rFonts w:ascii="Times New Roman" w:hAnsi="Times New Roman" w:cs="Times New Roman"/>
          <w:sz w:val="24"/>
          <w:szCs w:val="24"/>
        </w:rPr>
        <w:t>as an</w:t>
      </w:r>
      <w:r>
        <w:rPr>
          <w:rFonts w:ascii="Times New Roman" w:hAnsi="Times New Roman" w:cs="Times New Roman"/>
          <w:sz w:val="24"/>
          <w:szCs w:val="24"/>
        </w:rPr>
        <w:t xml:space="preserve"> indication for the economic stability in a country. Regarding government spread, a lower inflation rate implies a stabile domestic economy which reflects mostly lower yield spread. Moreover, to test the creditworthiness of a country, the influence of a country’s trade is submitted. A disturbance in economic trade will be symbolized by the terms of trade</w:t>
      </w:r>
      <w:r>
        <w:rPr>
          <w:rStyle w:val="FootnoteReference"/>
          <w:sz w:val="24"/>
          <w:szCs w:val="24"/>
        </w:rPr>
        <w:footnoteReference w:id="7"/>
      </w:r>
      <w:r>
        <w:rPr>
          <w:rFonts w:ascii="Times New Roman" w:hAnsi="Times New Roman" w:cs="Times New Roman"/>
          <w:sz w:val="24"/>
          <w:szCs w:val="24"/>
        </w:rPr>
        <w:t xml:space="preserve">. Therefore the expectation is that an improvement in terms of trade, ceteris paribus, would indicate a decrease in bond spread. Finally, the interest rates have a substantial influence on the degree of competition of trade. A more competitive interest rate (depreciation) is likely to influence the yield spreads positively.  Feldstein (1998) and Kim and Ratti (2006) demonstrated a significant predictive power to temperate economic activities. </w:t>
      </w:r>
    </w:p>
    <w:p w:rsidR="001041B1" w:rsidRPr="00C6411F" w:rsidRDefault="001041B1" w:rsidP="00C6411F">
      <w:pPr>
        <w:rPr>
          <w:rFonts w:ascii="Times New Roman" w:hAnsi="Times New Roman" w:cs="Times New Roman"/>
          <w:iCs/>
          <w:color w:val="548AB7"/>
        </w:rPr>
      </w:pPr>
      <w:r w:rsidRPr="00C6411F">
        <w:rPr>
          <w:rFonts w:ascii="Times New Roman" w:hAnsi="Times New Roman" w:cs="Times New Roman"/>
          <w:iCs/>
          <w:color w:val="548AB7"/>
        </w:rPr>
        <w:t>3</w:t>
      </w:r>
      <w:r w:rsidRPr="00C6411F">
        <w:rPr>
          <w:rFonts w:ascii="Times New Roman" w:hAnsi="Times New Roman" w:cs="Times New Roman"/>
          <w:color w:val="548AB7"/>
        </w:rPr>
        <w:t>.3 Liquidity and solvency variables</w:t>
      </w:r>
    </w:p>
    <w:p w:rsidR="001041B1" w:rsidRDefault="00104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group of variables related more to the balance sheets of countries. </w:t>
      </w:r>
      <w:r w:rsidRPr="00F64ABB">
        <w:rPr>
          <w:rFonts w:ascii="Times New Roman" w:hAnsi="Times New Roman" w:cs="Times New Roman"/>
          <w:sz w:val="24"/>
          <w:szCs w:val="24"/>
        </w:rPr>
        <w:t>Theoretically, a higher export earnings or lower import expenditures can in</w:t>
      </w:r>
      <w:r>
        <w:rPr>
          <w:rFonts w:ascii="Times New Roman" w:hAnsi="Times New Roman" w:cs="Times New Roman"/>
          <w:sz w:val="24"/>
          <w:szCs w:val="24"/>
        </w:rPr>
        <w:t>crease the probability of short-</w:t>
      </w:r>
      <w:r w:rsidRPr="00F64ABB">
        <w:rPr>
          <w:rFonts w:ascii="Times New Roman" w:hAnsi="Times New Roman" w:cs="Times New Roman"/>
          <w:sz w:val="24"/>
          <w:szCs w:val="24"/>
        </w:rPr>
        <w:t xml:space="preserve">term </w:t>
      </w:r>
      <w:r>
        <w:rPr>
          <w:rFonts w:ascii="Times New Roman" w:hAnsi="Times New Roman" w:cs="Times New Roman"/>
          <w:sz w:val="24"/>
          <w:szCs w:val="24"/>
        </w:rPr>
        <w:t xml:space="preserve">liquidity solution whereas the long-term solvency problem can be solved by an increase of growth rate of input and therefore a higher creditworthiness of a country. The expectation is that growth rate of export (GRE) possess a negative sign while the coefficient of growth rate of imports (GRI) probably is positive. The influence of growth rate of GDP (GRGP) on bond spread is unclear. A decline in growth rate of output suggests that problems with solvency of a country could lead to higher yield spread. In addition, a delay in growth rate of GDP affects the import negatively and could lower the yield spread. </w:t>
      </w:r>
    </w:p>
    <w:p w:rsidR="001041B1" w:rsidRDefault="001041B1">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Unfortunately, </w:t>
      </w:r>
      <w:r w:rsidRPr="004F460B">
        <w:rPr>
          <w:rFonts w:ascii="Times New Roman" w:hAnsi="Times New Roman" w:cs="Times New Roman"/>
          <w:sz w:val="24"/>
          <w:szCs w:val="24"/>
        </w:rPr>
        <w:t>the</w:t>
      </w:r>
      <w:r>
        <w:rPr>
          <w:rFonts w:ascii="Times New Roman" w:hAnsi="Times New Roman" w:cs="Times New Roman"/>
          <w:sz w:val="24"/>
          <w:szCs w:val="24"/>
        </w:rPr>
        <w:t xml:space="preserve"> history showed the complication that can broadly arise in any given period. The role of external debt is used widespread (</w:t>
      </w:r>
      <w:r>
        <w:rPr>
          <w:rFonts w:ascii="Times New Roman" w:hAnsi="Times New Roman" w:cs="Times New Roman"/>
          <w:color w:val="000000"/>
          <w:sz w:val="24"/>
          <w:szCs w:val="24"/>
        </w:rPr>
        <w:t>Cantor and Packer, 1996: Sy, 2002: Alexopoulou et al., 2009) saying a higher rating comes with a lower yield spread. In the aftermath of the financial crises in Asia, these countries hold large international reserves for precautionary circumstances. Therefore, the ratio of international reserves (RIR) likely has a negative sign. The external debt that emerging economies have abroad indicates the degree of sensitive to economic crisis. This suggest the higher the lending, the higher the probability of default. A negative sign is expected for the ratio of total external debt to GDP (RED).</w:t>
      </w:r>
    </w:p>
    <w:p w:rsidR="001041B1" w:rsidRDefault="001041B1" w:rsidP="00C6411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Sachs (1981) </w:t>
      </w:r>
      <w:r w:rsidRPr="003D2BC0">
        <w:rPr>
          <w:rFonts w:ascii="Times New Roman" w:hAnsi="Times New Roman" w:cs="Times New Roman"/>
          <w:color w:val="000000"/>
          <w:sz w:val="24"/>
          <w:szCs w:val="24"/>
        </w:rPr>
        <w:t>a</w:t>
      </w:r>
      <w:r>
        <w:rPr>
          <w:rFonts w:ascii="Times New Roman" w:hAnsi="Times New Roman" w:cs="Times New Roman"/>
          <w:color w:val="000000"/>
          <w:sz w:val="24"/>
          <w:szCs w:val="24"/>
        </w:rPr>
        <w:t xml:space="preserve"> yield spreads will decrease if the ratio of current account to GDP is positive. Hence, a current account deficit means that investors and foreign countries increase their claims on a country’s net liabilities. Sachs (1985) claimed that </w:t>
      </w:r>
      <w:r w:rsidRPr="003D2BC0">
        <w:rPr>
          <w:rFonts w:ascii="Times New Roman" w:hAnsi="Times New Roman" w:cs="Times New Roman"/>
          <w:color w:val="000000"/>
          <w:sz w:val="24"/>
          <w:szCs w:val="24"/>
        </w:rPr>
        <w:t>an</w:t>
      </w:r>
      <w:r>
        <w:rPr>
          <w:rFonts w:ascii="Times New Roman" w:hAnsi="Times New Roman" w:cs="Times New Roman"/>
          <w:color w:val="000000"/>
          <w:sz w:val="24"/>
          <w:szCs w:val="24"/>
        </w:rPr>
        <w:t xml:space="preserve"> increase in yield spreads is largely due </w:t>
      </w:r>
      <w:r w:rsidRPr="003D2BC0">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an aggregate current account deficit. The debt service is a proxy for the potential liquidity obstacles confronted by specific countries. This indicates that ratio of current account to GDP (RCA) is negative. Moreover, a higher debt service refers to a lower credit rating and thereby a higher yield spread. In the macroeconomic environment the role of unemployment has been investigated for decades. (Bräuninger and Pannenberg, 2000; Mauro and Carmeci, 2003). A higher unemployment will lead to less domestic spending which will slow down economic expansion. Hence, variable unemployment (UNEM) probably has a positive coefficient. </w:t>
      </w:r>
    </w:p>
    <w:p w:rsidR="001041B1" w:rsidRPr="00C6411F" w:rsidRDefault="001041B1" w:rsidP="00C6411F">
      <w:pPr>
        <w:spacing w:line="360" w:lineRule="auto"/>
        <w:jc w:val="both"/>
        <w:rPr>
          <w:rFonts w:ascii="Times New Roman" w:hAnsi="Times New Roman" w:cs="Times New Roman"/>
          <w:color w:val="548AB7"/>
          <w:sz w:val="24"/>
          <w:szCs w:val="24"/>
        </w:rPr>
      </w:pPr>
      <w:r w:rsidRPr="00C6411F">
        <w:rPr>
          <w:rFonts w:ascii="Times New Roman" w:hAnsi="Times New Roman" w:cs="Times New Roman"/>
          <w:color w:val="548AB7"/>
          <w:sz w:val="24"/>
          <w:szCs w:val="24"/>
        </w:rPr>
        <w:t>3.4 External</w:t>
      </w:r>
      <w:r w:rsidRPr="00C6411F">
        <w:rPr>
          <w:rFonts w:ascii="Times New Roman" w:hAnsi="Times New Roman" w:cs="Times New Roman"/>
          <w:iCs/>
          <w:color w:val="548AB7"/>
          <w:sz w:val="24"/>
          <w:szCs w:val="24"/>
        </w:rPr>
        <w:t xml:space="preserve"> Shocks</w:t>
      </w:r>
    </w:p>
    <w:p w:rsidR="001041B1" w:rsidRDefault="001041B1" w:rsidP="00C6411F">
      <w:pPr>
        <w:spacing w:line="360" w:lineRule="auto"/>
        <w:jc w:val="both"/>
        <w:rPr>
          <w:rFonts w:ascii="Times New Roman" w:hAnsi="Times New Roman" w:cs="Times New Roman"/>
          <w:sz w:val="24"/>
          <w:szCs w:val="24"/>
        </w:rPr>
      </w:pPr>
      <w:r>
        <w:rPr>
          <w:rFonts w:ascii="Times New Roman" w:hAnsi="Times New Roman" w:cs="Times New Roman"/>
          <w:caps/>
          <w:sz w:val="24"/>
          <w:szCs w:val="24"/>
        </w:rPr>
        <w:t xml:space="preserve">A </w:t>
      </w:r>
      <w:r>
        <w:rPr>
          <w:rFonts w:ascii="Times New Roman" w:hAnsi="Times New Roman" w:cs="Times New Roman"/>
          <w:sz w:val="24"/>
          <w:szCs w:val="24"/>
        </w:rPr>
        <w:t>commonly used variable to measure external shocks has been oil price during the 1970s and 1980s. An increase in oil price supply indicated a worldwide recession which causes a decrease in demand in oil-importing countries. Hamilton (1983), Gisser and Goodwin (1986) determined that a higher oil price happened prior to the U.S. recessions in history. Furthermore, the increase in oil price probably causes a higher yield spread</w:t>
      </w:r>
      <w:r>
        <w:rPr>
          <w:rStyle w:val="FootnoteReference"/>
          <w:sz w:val="24"/>
          <w:szCs w:val="24"/>
        </w:rPr>
        <w:footnoteReference w:id="8"/>
      </w:r>
      <w:r>
        <w:rPr>
          <w:rFonts w:ascii="Times New Roman" w:hAnsi="Times New Roman" w:cs="Times New Roman"/>
          <w:sz w:val="24"/>
          <w:szCs w:val="24"/>
        </w:rPr>
        <w:t>. In addition, to external debt, interest rates affect holders of debt and potential borrowers. To occupy this affect, this paper uses the exogenous variable of U.S. Treasury bill</w:t>
      </w:r>
      <w:r>
        <w:rPr>
          <w:rStyle w:val="FootnoteReference"/>
          <w:sz w:val="24"/>
          <w:szCs w:val="24"/>
        </w:rPr>
        <w:footnoteReference w:id="9"/>
      </w:r>
      <w:r>
        <w:rPr>
          <w:rFonts w:ascii="Times New Roman" w:hAnsi="Times New Roman" w:cs="Times New Roman"/>
          <w:sz w:val="24"/>
          <w:szCs w:val="24"/>
        </w:rPr>
        <w:t>. The outlook of the coefficient is positive.</w:t>
      </w:r>
    </w:p>
    <w:p w:rsidR="001041B1" w:rsidRPr="00C6411F" w:rsidRDefault="001041B1" w:rsidP="00C6411F">
      <w:pPr>
        <w:spacing w:line="360" w:lineRule="auto"/>
        <w:jc w:val="both"/>
        <w:rPr>
          <w:rFonts w:ascii="Times New Roman" w:hAnsi="Times New Roman" w:cs="Times New Roman"/>
          <w:color w:val="548AB7"/>
          <w:sz w:val="24"/>
          <w:szCs w:val="24"/>
        </w:rPr>
      </w:pPr>
      <w:r w:rsidRPr="00C6411F">
        <w:rPr>
          <w:rFonts w:ascii="Times New Roman" w:hAnsi="Times New Roman" w:cs="Times New Roman"/>
          <w:color w:val="548AB7"/>
          <w:sz w:val="24"/>
          <w:szCs w:val="24"/>
        </w:rPr>
        <w:t xml:space="preserve">3.5 </w:t>
      </w:r>
      <w:r w:rsidRPr="00C6411F">
        <w:rPr>
          <w:rFonts w:ascii="Times New Roman" w:hAnsi="Times New Roman" w:cs="Times New Roman"/>
          <w:iCs/>
          <w:color w:val="548AB7"/>
          <w:sz w:val="24"/>
          <w:szCs w:val="24"/>
        </w:rPr>
        <w:t>Dummy variable</w:t>
      </w:r>
    </w:p>
    <w:p w:rsidR="001041B1" w:rsidRDefault="001041B1" w:rsidP="0018535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Dummy variables can measure differences in spread by regions. The Argentine crisis in 2001 might affects the spread of Latin America or other emerging economies. A dummy variable </w:t>
      </w:r>
      <w:r>
        <w:rPr>
          <w:rFonts w:ascii="Times New Roman" w:hAnsi="Times New Roman" w:cs="Times New Roman"/>
          <w:color w:val="000000"/>
          <w:sz w:val="24"/>
          <w:szCs w:val="24"/>
        </w:rPr>
        <w:t>crisis</w:t>
      </w:r>
      <w:r>
        <w:rPr>
          <w:rFonts w:ascii="Times New Roman" w:hAnsi="Times New Roman" w:cs="Times New Roman"/>
          <w:color w:val="FF0000"/>
          <w:sz w:val="24"/>
          <w:szCs w:val="24"/>
        </w:rPr>
        <w:t xml:space="preserve"> </w:t>
      </w:r>
      <w:r>
        <w:rPr>
          <w:rFonts w:ascii="Times New Roman" w:hAnsi="Times New Roman" w:cs="Times New Roman"/>
          <w:sz w:val="24"/>
          <w:szCs w:val="24"/>
        </w:rPr>
        <w:t>is included to classify</w:t>
      </w:r>
      <w:r>
        <w:rPr>
          <w:rFonts w:ascii="Times New Roman" w:hAnsi="Times New Roman" w:cs="Times New Roman"/>
          <w:color w:val="FF0000"/>
          <w:sz w:val="24"/>
          <w:szCs w:val="24"/>
        </w:rPr>
        <w:t xml:space="preserve"> </w:t>
      </w:r>
      <w:r>
        <w:rPr>
          <w:rFonts w:ascii="Times New Roman" w:hAnsi="Times New Roman" w:cs="Times New Roman"/>
          <w:sz w:val="24"/>
          <w:szCs w:val="24"/>
        </w:rPr>
        <w:t>transactions before 2002 from thereafter. Several studies examined the contagion effect of an economic crisis (see Batten et al., 2006 and Bunda et al., 2009). The coefficient probably has a negative sign.</w:t>
      </w:r>
    </w:p>
    <w:p w:rsidR="001041B1" w:rsidRPr="00C6411F" w:rsidRDefault="001041B1" w:rsidP="00C6411F">
      <w:pPr>
        <w:rPr>
          <w:rFonts w:ascii="Times New Roman" w:hAnsi="Times New Roman" w:cs="Times New Roman"/>
          <w:b/>
          <w:color w:val="548AB7"/>
          <w:sz w:val="24"/>
          <w:szCs w:val="24"/>
        </w:rPr>
      </w:pPr>
      <w:r>
        <w:rPr>
          <w:rFonts w:ascii="Times New Roman" w:hAnsi="Times New Roman" w:cs="Times New Roman"/>
          <w:b/>
          <w:color w:val="548AB7"/>
          <w:sz w:val="24"/>
          <w:szCs w:val="24"/>
        </w:rPr>
        <w:t xml:space="preserve">      4    Estimation results</w:t>
      </w:r>
    </w:p>
    <w:p w:rsidR="001041B1" w:rsidRDefault="001041B1">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 the empirical results this paper used pooled data to estimate the exogenous variables. One of the first empirical steps in this paper has been calculating the descriptive statistics.</w:t>
      </w:r>
    </w:p>
    <w:p w:rsidR="001041B1" w:rsidRDefault="001041B1">
      <w:pPr>
        <w:pStyle w:val="NoSpacing"/>
        <w:spacing w:line="360" w:lineRule="auto"/>
        <w:jc w:val="both"/>
        <w:rPr>
          <w:rFonts w:ascii="Times New Roman" w:hAnsi="Times New Roman" w:cs="Times New Roman"/>
          <w:sz w:val="24"/>
          <w:szCs w:val="24"/>
          <w:lang w:val="en-GB"/>
        </w:rPr>
      </w:pPr>
    </w:p>
    <w:p w:rsidR="001041B1" w:rsidRDefault="001041B1">
      <w:pPr>
        <w:pStyle w:val="NoSpacing"/>
        <w:spacing w:line="360" w:lineRule="auto"/>
        <w:jc w:val="both"/>
        <w:rPr>
          <w:rFonts w:ascii="Times New Roman" w:hAnsi="Times New Roman" w:cs="Times New Roman"/>
          <w:sz w:val="24"/>
          <w:szCs w:val="24"/>
          <w:lang w:val="en-GB"/>
        </w:rPr>
      </w:pPr>
    </w:p>
    <w:p w:rsidR="001041B1" w:rsidRDefault="001041B1">
      <w:pPr>
        <w:pStyle w:val="NoSpacing"/>
        <w:spacing w:line="360" w:lineRule="auto"/>
        <w:jc w:val="both"/>
        <w:rPr>
          <w:rFonts w:ascii="Times New Roman" w:hAnsi="Times New Roman" w:cs="Times New Roman"/>
          <w:sz w:val="24"/>
          <w:szCs w:val="24"/>
          <w:lang w:val="en-GB"/>
        </w:rPr>
      </w:pPr>
    </w:p>
    <w:p w:rsidR="001041B1" w:rsidRDefault="001041B1">
      <w:pPr>
        <w:pStyle w:val="NoSpacing"/>
        <w:spacing w:line="360" w:lineRule="auto"/>
        <w:jc w:val="both"/>
        <w:rPr>
          <w:rFonts w:ascii="Times New Roman" w:hAnsi="Times New Roman" w:cs="Times New Roman"/>
          <w:sz w:val="24"/>
          <w:szCs w:val="24"/>
          <w:lang w:val="en-GB"/>
        </w:rPr>
      </w:pPr>
    </w:p>
    <w:p w:rsidR="001041B1" w:rsidRDefault="001041B1">
      <w:pPr>
        <w:pStyle w:val="NoSpacing"/>
        <w:spacing w:line="360" w:lineRule="auto"/>
        <w:jc w:val="both"/>
        <w:rPr>
          <w:rFonts w:ascii="Times New Roman" w:hAnsi="Times New Roman" w:cs="Times New Roman"/>
          <w:sz w:val="24"/>
          <w:szCs w:val="24"/>
          <w:lang w:val="en-GB"/>
        </w:rPr>
      </w:pPr>
    </w:p>
    <w:p w:rsidR="001041B1" w:rsidRDefault="001041B1">
      <w:pPr>
        <w:pStyle w:val="NoSpacing"/>
        <w:spacing w:line="360" w:lineRule="auto"/>
        <w:jc w:val="both"/>
        <w:rPr>
          <w:rFonts w:ascii="Times New Roman" w:hAnsi="Times New Roman" w:cs="Times New Roman"/>
          <w:sz w:val="24"/>
          <w:szCs w:val="24"/>
          <w:lang w:val="en-GB"/>
        </w:rPr>
      </w:pPr>
    </w:p>
    <w:p w:rsidR="001041B1" w:rsidRDefault="001041B1">
      <w:pPr>
        <w:pStyle w:val="NoSpacing"/>
        <w:spacing w:line="360" w:lineRule="auto"/>
        <w:jc w:val="both"/>
        <w:rPr>
          <w:rFonts w:ascii="Times New Roman" w:hAnsi="Times New Roman" w:cs="Times New Roman"/>
          <w:sz w:val="24"/>
          <w:szCs w:val="24"/>
          <w:lang w:val="en-GB"/>
        </w:rPr>
      </w:pPr>
    </w:p>
    <w:p w:rsidR="001041B1" w:rsidRDefault="001041B1">
      <w:pPr>
        <w:pStyle w:val="NoSpacing"/>
        <w:spacing w:line="360" w:lineRule="auto"/>
        <w:jc w:val="both"/>
        <w:rPr>
          <w:rFonts w:ascii="Times New Roman" w:hAnsi="Times New Roman" w:cs="Times New Roman"/>
          <w:sz w:val="24"/>
          <w:szCs w:val="24"/>
          <w:lang w:val="en-GB"/>
        </w:rPr>
      </w:pPr>
    </w:p>
    <w:p w:rsidR="001041B1" w:rsidRPr="00780293" w:rsidRDefault="001041B1" w:rsidP="00D75391">
      <w:pPr>
        <w:pStyle w:val="NoSpacing"/>
        <w:rPr>
          <w:rFonts w:ascii="Times New Roman" w:hAnsi="Times New Roman" w:cs="Times New Roman"/>
          <w:b/>
          <w:sz w:val="20"/>
          <w:szCs w:val="20"/>
          <w:lang w:val="en-GB"/>
        </w:rPr>
      </w:pPr>
      <w:r>
        <w:rPr>
          <w:rFonts w:ascii="Times New Roman" w:hAnsi="Times New Roman" w:cs="Times New Roman"/>
          <w:b/>
          <w:sz w:val="20"/>
          <w:szCs w:val="20"/>
          <w:lang w:val="en-GB"/>
        </w:rPr>
        <w:t>Table 4</w:t>
      </w:r>
      <w:r w:rsidRPr="00780293">
        <w:rPr>
          <w:rFonts w:ascii="Times New Roman" w:hAnsi="Times New Roman" w:cs="Times New Roman"/>
          <w:b/>
          <w:sz w:val="20"/>
          <w:szCs w:val="20"/>
          <w:lang w:val="en-GB"/>
        </w:rPr>
        <w:t>.</w:t>
      </w:r>
      <w:r>
        <w:rPr>
          <w:rFonts w:ascii="Times New Roman" w:hAnsi="Times New Roman" w:cs="Times New Roman"/>
          <w:b/>
          <w:sz w:val="20"/>
          <w:szCs w:val="20"/>
          <w:lang w:val="en-GB"/>
        </w:rPr>
        <w:t xml:space="preserve">1 </w:t>
      </w:r>
      <w:r w:rsidRPr="00780293">
        <w:rPr>
          <w:rFonts w:ascii="Times New Roman" w:hAnsi="Times New Roman" w:cs="Times New Roman"/>
          <w:b/>
          <w:sz w:val="20"/>
          <w:szCs w:val="20"/>
          <w:lang w:val="en-GB"/>
        </w:rPr>
        <w:t>Several descriptive statistics of key variables</w:t>
      </w:r>
    </w:p>
    <w:tbl>
      <w:tblPr>
        <w:tblW w:w="0" w:type="auto"/>
        <w:tblInd w:w="2" w:type="dxa"/>
        <w:tblBorders>
          <w:top w:val="single" w:sz="12" w:space="0" w:color="000000"/>
          <w:bottom w:val="single" w:sz="12" w:space="0" w:color="000000"/>
        </w:tblBorders>
        <w:tblLayout w:type="fixed"/>
        <w:tblLook w:val="0000"/>
      </w:tblPr>
      <w:tblGrid>
        <w:gridCol w:w="2542"/>
        <w:gridCol w:w="1389"/>
        <w:gridCol w:w="1520"/>
        <w:gridCol w:w="1522"/>
        <w:gridCol w:w="2099"/>
      </w:tblGrid>
      <w:tr w:rsidR="001041B1" w:rsidRPr="0021104B" w:rsidTr="00572226">
        <w:trPr>
          <w:trHeight w:val="282"/>
        </w:trPr>
        <w:tc>
          <w:tcPr>
            <w:tcW w:w="2542" w:type="dxa"/>
            <w:tcBorders>
              <w:top w:val="single" w:sz="12" w:space="0" w:color="auto"/>
              <w:left w:val="nil"/>
              <w:bottom w:val="single" w:sz="12" w:space="0" w:color="auto"/>
              <w:right w:val="nil"/>
            </w:tcBorders>
          </w:tcPr>
          <w:p w:rsidR="001041B1" w:rsidRPr="0021104B" w:rsidRDefault="001041B1" w:rsidP="00843E6D">
            <w:pPr>
              <w:autoSpaceDE w:val="0"/>
              <w:autoSpaceDN w:val="0"/>
              <w:adjustRightInd w:val="0"/>
              <w:jc w:val="center"/>
              <w:rPr>
                <w:rFonts w:ascii="Arial" w:hAnsi="Arial" w:cs="Arial"/>
                <w:b/>
                <w:bCs/>
                <w:color w:val="000000"/>
                <w:sz w:val="18"/>
                <w:szCs w:val="18"/>
              </w:rPr>
            </w:pPr>
            <w:r w:rsidRPr="0021104B">
              <w:rPr>
                <w:rFonts w:ascii="Arial" w:hAnsi="Arial" w:cs="Arial"/>
                <w:b/>
                <w:bCs/>
                <w:color w:val="000000"/>
                <w:sz w:val="18"/>
                <w:szCs w:val="18"/>
                <w:lang w:val="en-GB"/>
              </w:rPr>
              <w:t>variables</w:t>
            </w:r>
          </w:p>
        </w:tc>
        <w:tc>
          <w:tcPr>
            <w:tcW w:w="1389" w:type="dxa"/>
            <w:tcBorders>
              <w:top w:val="single" w:sz="12" w:space="0" w:color="auto"/>
              <w:left w:val="nil"/>
              <w:bottom w:val="single" w:sz="12" w:space="0" w:color="auto"/>
              <w:right w:val="nil"/>
            </w:tcBorders>
          </w:tcPr>
          <w:p w:rsidR="001041B1" w:rsidRPr="0021104B" w:rsidRDefault="001041B1">
            <w:pPr>
              <w:rPr>
                <w:rFonts w:ascii="Calibri" w:hAnsi="Calibri" w:cs="Calibri"/>
                <w:b/>
                <w:bCs/>
                <w:color w:val="000000"/>
                <w:sz w:val="18"/>
                <w:szCs w:val="18"/>
              </w:rPr>
            </w:pPr>
            <w:r w:rsidRPr="0021104B">
              <w:rPr>
                <w:rFonts w:ascii="Calibri" w:hAnsi="Calibri" w:cs="Calibri"/>
                <w:b/>
                <w:bCs/>
                <w:color w:val="000000"/>
                <w:sz w:val="18"/>
                <w:szCs w:val="18"/>
              </w:rPr>
              <w:t>mean</w:t>
            </w:r>
          </w:p>
        </w:tc>
        <w:tc>
          <w:tcPr>
            <w:tcW w:w="1520" w:type="dxa"/>
            <w:tcBorders>
              <w:top w:val="single" w:sz="12" w:space="0" w:color="auto"/>
              <w:left w:val="nil"/>
              <w:bottom w:val="single" w:sz="12" w:space="0" w:color="auto"/>
              <w:right w:val="nil"/>
            </w:tcBorders>
          </w:tcPr>
          <w:p w:rsidR="001041B1" w:rsidRPr="0021104B" w:rsidRDefault="001041B1">
            <w:pPr>
              <w:rPr>
                <w:rFonts w:ascii="Calibri" w:hAnsi="Calibri" w:cs="Calibri"/>
                <w:b/>
                <w:bCs/>
                <w:color w:val="000000"/>
                <w:sz w:val="18"/>
                <w:szCs w:val="18"/>
              </w:rPr>
            </w:pPr>
            <w:r w:rsidRPr="0021104B">
              <w:rPr>
                <w:rFonts w:ascii="Calibri" w:hAnsi="Calibri" w:cs="Calibri"/>
                <w:b/>
                <w:bCs/>
                <w:color w:val="000000"/>
                <w:sz w:val="18"/>
                <w:szCs w:val="18"/>
              </w:rPr>
              <w:t>St. deviation</w:t>
            </w:r>
          </w:p>
        </w:tc>
        <w:tc>
          <w:tcPr>
            <w:tcW w:w="1522" w:type="dxa"/>
            <w:tcBorders>
              <w:top w:val="single" w:sz="12" w:space="0" w:color="auto"/>
              <w:left w:val="nil"/>
              <w:bottom w:val="single" w:sz="12" w:space="0" w:color="auto"/>
              <w:right w:val="nil"/>
            </w:tcBorders>
          </w:tcPr>
          <w:p w:rsidR="001041B1" w:rsidRPr="0021104B" w:rsidRDefault="001041B1">
            <w:pPr>
              <w:rPr>
                <w:rFonts w:ascii="Calibri" w:hAnsi="Calibri" w:cs="Calibri"/>
                <w:b/>
                <w:bCs/>
                <w:color w:val="000000"/>
                <w:sz w:val="18"/>
                <w:szCs w:val="18"/>
              </w:rPr>
            </w:pPr>
            <w:r w:rsidRPr="0021104B">
              <w:rPr>
                <w:rFonts w:ascii="Calibri" w:hAnsi="Calibri" w:cs="Calibri"/>
                <w:b/>
                <w:bCs/>
                <w:color w:val="000000"/>
                <w:sz w:val="18"/>
                <w:szCs w:val="18"/>
              </w:rPr>
              <w:t>Skewness</w:t>
            </w:r>
          </w:p>
        </w:tc>
        <w:tc>
          <w:tcPr>
            <w:tcW w:w="2099" w:type="dxa"/>
            <w:tcBorders>
              <w:top w:val="single" w:sz="12" w:space="0" w:color="auto"/>
              <w:left w:val="nil"/>
              <w:bottom w:val="single" w:sz="12" w:space="0" w:color="auto"/>
              <w:right w:val="nil"/>
            </w:tcBorders>
          </w:tcPr>
          <w:p w:rsidR="001041B1" w:rsidRPr="0021104B" w:rsidRDefault="001041B1">
            <w:pPr>
              <w:rPr>
                <w:rFonts w:ascii="Calibri" w:hAnsi="Calibri" w:cs="Calibri"/>
                <w:b/>
                <w:bCs/>
                <w:color w:val="000000"/>
                <w:sz w:val="18"/>
                <w:szCs w:val="18"/>
              </w:rPr>
            </w:pPr>
            <w:r w:rsidRPr="0021104B">
              <w:rPr>
                <w:rFonts w:ascii="Calibri" w:hAnsi="Calibri" w:cs="Calibri"/>
                <w:b/>
                <w:bCs/>
                <w:color w:val="000000"/>
                <w:sz w:val="18"/>
                <w:szCs w:val="18"/>
              </w:rPr>
              <w:t>Kurtosis</w:t>
            </w:r>
          </w:p>
        </w:tc>
      </w:tr>
      <w:tr w:rsidR="001041B1" w:rsidRPr="0021104B">
        <w:trPr>
          <w:trHeight w:hRule="exact" w:val="38"/>
        </w:trPr>
        <w:tc>
          <w:tcPr>
            <w:tcW w:w="2542" w:type="dxa"/>
            <w:tcBorders>
              <w:top w:val="single" w:sz="12" w:space="0" w:color="auto"/>
              <w:left w:val="nil"/>
              <w:bottom w:val="nil"/>
              <w:right w:val="nil"/>
            </w:tcBorders>
          </w:tcPr>
          <w:p w:rsidR="001041B1" w:rsidRPr="0021104B" w:rsidRDefault="001041B1" w:rsidP="00843E6D">
            <w:pPr>
              <w:autoSpaceDE w:val="0"/>
              <w:autoSpaceDN w:val="0"/>
              <w:adjustRightInd w:val="0"/>
              <w:jc w:val="center"/>
              <w:rPr>
                <w:rFonts w:ascii="Arial" w:hAnsi="Arial" w:cs="Arial"/>
                <w:color w:val="000000"/>
                <w:sz w:val="18"/>
                <w:szCs w:val="18"/>
              </w:rPr>
            </w:pPr>
          </w:p>
          <w:p w:rsidR="001041B1" w:rsidRPr="0021104B" w:rsidRDefault="001041B1" w:rsidP="00843E6D">
            <w:pPr>
              <w:autoSpaceDE w:val="0"/>
              <w:autoSpaceDN w:val="0"/>
              <w:adjustRightInd w:val="0"/>
              <w:jc w:val="center"/>
              <w:rPr>
                <w:rFonts w:ascii="Arial" w:hAnsi="Arial" w:cs="Arial"/>
                <w:color w:val="000000"/>
                <w:sz w:val="18"/>
                <w:szCs w:val="18"/>
              </w:rPr>
            </w:pPr>
          </w:p>
        </w:tc>
        <w:tc>
          <w:tcPr>
            <w:tcW w:w="1389" w:type="dxa"/>
            <w:tcBorders>
              <w:top w:val="single" w:sz="12" w:space="0" w:color="auto"/>
              <w:left w:val="nil"/>
              <w:bottom w:val="nil"/>
              <w:right w:val="nil"/>
            </w:tcBorders>
          </w:tcPr>
          <w:p w:rsidR="001041B1" w:rsidRPr="0021104B" w:rsidRDefault="001041B1">
            <w:pPr>
              <w:autoSpaceDE w:val="0"/>
              <w:autoSpaceDN w:val="0"/>
              <w:adjustRightInd w:val="0"/>
              <w:jc w:val="center"/>
              <w:rPr>
                <w:rFonts w:ascii="Arial" w:hAnsi="Arial" w:cs="Arial"/>
                <w:color w:val="000000"/>
                <w:sz w:val="18"/>
                <w:szCs w:val="18"/>
              </w:rPr>
            </w:pPr>
          </w:p>
        </w:tc>
        <w:tc>
          <w:tcPr>
            <w:tcW w:w="1520" w:type="dxa"/>
            <w:tcBorders>
              <w:top w:val="single" w:sz="12" w:space="0" w:color="auto"/>
              <w:left w:val="nil"/>
              <w:bottom w:val="nil"/>
              <w:right w:val="nil"/>
            </w:tcBorders>
          </w:tcPr>
          <w:p w:rsidR="001041B1" w:rsidRPr="0021104B" w:rsidRDefault="001041B1">
            <w:pPr>
              <w:autoSpaceDE w:val="0"/>
              <w:autoSpaceDN w:val="0"/>
              <w:adjustRightInd w:val="0"/>
              <w:jc w:val="center"/>
              <w:rPr>
                <w:rFonts w:ascii="Arial" w:hAnsi="Arial" w:cs="Arial"/>
                <w:color w:val="000000"/>
                <w:sz w:val="18"/>
                <w:szCs w:val="18"/>
              </w:rPr>
            </w:pPr>
          </w:p>
        </w:tc>
        <w:tc>
          <w:tcPr>
            <w:tcW w:w="1522" w:type="dxa"/>
            <w:tcBorders>
              <w:top w:val="single" w:sz="12" w:space="0" w:color="auto"/>
              <w:left w:val="nil"/>
              <w:bottom w:val="nil"/>
              <w:right w:val="nil"/>
            </w:tcBorders>
          </w:tcPr>
          <w:p w:rsidR="001041B1" w:rsidRPr="0021104B" w:rsidRDefault="001041B1">
            <w:pPr>
              <w:autoSpaceDE w:val="0"/>
              <w:autoSpaceDN w:val="0"/>
              <w:adjustRightInd w:val="0"/>
              <w:jc w:val="center"/>
              <w:rPr>
                <w:rFonts w:ascii="Arial" w:hAnsi="Arial" w:cs="Arial"/>
                <w:color w:val="000000"/>
                <w:sz w:val="18"/>
                <w:szCs w:val="18"/>
              </w:rPr>
            </w:pPr>
          </w:p>
        </w:tc>
        <w:tc>
          <w:tcPr>
            <w:tcW w:w="2099" w:type="dxa"/>
            <w:tcBorders>
              <w:top w:val="single" w:sz="12" w:space="0" w:color="auto"/>
              <w:left w:val="nil"/>
              <w:bottom w:val="nil"/>
              <w:right w:val="nil"/>
            </w:tcBorders>
          </w:tcPr>
          <w:p w:rsidR="001041B1" w:rsidRPr="0021104B" w:rsidRDefault="001041B1">
            <w:pPr>
              <w:autoSpaceDE w:val="0"/>
              <w:autoSpaceDN w:val="0"/>
              <w:adjustRightInd w:val="0"/>
              <w:jc w:val="center"/>
              <w:rPr>
                <w:rFonts w:ascii="Arial" w:hAnsi="Arial" w:cs="Arial"/>
                <w:color w:val="000000"/>
                <w:sz w:val="18"/>
                <w:szCs w:val="18"/>
              </w:rPr>
            </w:pPr>
          </w:p>
        </w:tc>
      </w:tr>
      <w:tr w:rsidR="001041B1" w:rsidRPr="0021104B">
        <w:trPr>
          <w:trHeight w:hRule="exact" w:val="199"/>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b/>
                <w:bCs/>
                <w:sz w:val="20"/>
                <w:szCs w:val="20"/>
              </w:rPr>
            </w:pPr>
            <w:r w:rsidRPr="0021104B">
              <w:rPr>
                <w:rFonts w:ascii="Times New Roman" w:hAnsi="Times New Roman" w:cs="Times New Roman"/>
                <w:b/>
                <w:bCs/>
                <w:sz w:val="20"/>
                <w:szCs w:val="20"/>
              </w:rPr>
              <w:t>Spread</w:t>
            </w:r>
          </w:p>
          <w:p w:rsidR="001041B1" w:rsidRPr="0021104B" w:rsidRDefault="001041B1" w:rsidP="00843E6D">
            <w:pPr>
              <w:pStyle w:val="NoSpacing"/>
              <w:spacing w:line="360" w:lineRule="auto"/>
              <w:jc w:val="center"/>
              <w:rPr>
                <w:rFonts w:ascii="Times New Roman" w:hAnsi="Times New Roman" w:cs="Times New Roman"/>
                <w:sz w:val="20"/>
                <w:szCs w:val="20"/>
              </w:rPr>
            </w:pPr>
          </w:p>
          <w:p w:rsidR="001041B1" w:rsidRPr="0021104B" w:rsidRDefault="001041B1" w:rsidP="00843E6D">
            <w:pPr>
              <w:pStyle w:val="NoSpacing"/>
              <w:spacing w:line="360" w:lineRule="auto"/>
              <w:jc w:val="center"/>
              <w:rPr>
                <w:rFonts w:ascii="Times New Roman" w:hAnsi="Times New Roman" w:cs="Times New Roman"/>
                <w:sz w:val="20"/>
                <w:szCs w:val="20"/>
              </w:rPr>
            </w:pP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Europe</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60,592</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6,821665</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-0,29592</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2,032416</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lang w:val="en-GB"/>
              </w:rPr>
              <w:t>Asia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28,772</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2,87199</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0,073068</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1,649204</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Latin America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29,6</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15,42149</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0,348248</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1,381629</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b/>
                <w:bCs/>
                <w:sz w:val="20"/>
                <w:szCs w:val="20"/>
              </w:rPr>
            </w:pPr>
            <w:r w:rsidRPr="0021104B">
              <w:rPr>
                <w:rFonts w:ascii="Times New Roman" w:hAnsi="Times New Roman" w:cs="Times New Roman"/>
                <w:b/>
                <w:bCs/>
                <w:sz w:val="20"/>
                <w:szCs w:val="20"/>
              </w:rPr>
              <w:t>RED</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Europe</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18,1</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16,60288</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0,505337</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2,539554</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Asia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14,9</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7,852105</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0,0081</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2,114847</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Latin America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11,6</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3,438346</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-0,125855</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1,78758</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b/>
                <w:bCs/>
                <w:sz w:val="20"/>
                <w:szCs w:val="20"/>
              </w:rPr>
            </w:pPr>
            <w:r w:rsidRPr="0021104B">
              <w:rPr>
                <w:rFonts w:ascii="Times New Roman" w:hAnsi="Times New Roman" w:cs="Times New Roman"/>
                <w:b/>
                <w:bCs/>
                <w:sz w:val="20"/>
                <w:szCs w:val="20"/>
              </w:rPr>
              <w:t>GRI</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Europe</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29,6</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15,42149</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0,348248</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1,381629</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Asia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18,1</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-3</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0,505337</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2,539554</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Latin America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14,9</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0,0081</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2,114847</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b/>
                <w:bCs/>
                <w:sz w:val="20"/>
                <w:szCs w:val="20"/>
              </w:rPr>
            </w:pPr>
            <w:r w:rsidRPr="0021104B">
              <w:rPr>
                <w:rFonts w:ascii="Times New Roman" w:hAnsi="Times New Roman" w:cs="Times New Roman"/>
                <w:b/>
                <w:bCs/>
                <w:sz w:val="20"/>
                <w:szCs w:val="20"/>
              </w:rPr>
              <w:t>GRE</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 </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Europe</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32,5</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17,30928</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0,365114</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1,837639</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Asia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21,8</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15,95689</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0,270653</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2,238181</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Latin America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11</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8,299933</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0,36871</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2,243184</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p>
          <w:p w:rsidR="001041B1" w:rsidRPr="0021104B" w:rsidRDefault="001041B1" w:rsidP="00843E6D">
            <w:pPr>
              <w:pStyle w:val="NoSpacing"/>
              <w:spacing w:line="360" w:lineRule="auto"/>
              <w:jc w:val="center"/>
              <w:rPr>
                <w:rFonts w:ascii="Times New Roman" w:hAnsi="Times New Roman" w:cs="Times New Roman"/>
                <w:b/>
                <w:bCs/>
                <w:sz w:val="20"/>
                <w:szCs w:val="20"/>
                <w:lang w:val="en-GB"/>
              </w:rPr>
            </w:pPr>
            <w:r w:rsidRPr="0021104B">
              <w:rPr>
                <w:rFonts w:ascii="Times New Roman" w:hAnsi="Times New Roman" w:cs="Times New Roman"/>
                <w:b/>
                <w:bCs/>
                <w:sz w:val="20"/>
                <w:szCs w:val="20"/>
              </w:rPr>
              <w:t>RCA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lang w:val="en-GB"/>
              </w:rPr>
            </w:pP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lang w:val="en-GB"/>
              </w:rPr>
            </w:pP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lang w:val="en-GB"/>
              </w:rPr>
            </w:pP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lang w:val="en-GB"/>
              </w:rPr>
            </w:pP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Europe</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-15,2</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2,780887</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0,968536</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3,599287</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Asia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2,8</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5,116422</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-0,932658</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2,66959</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Latin America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-8,5</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3,659083</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-0,638309</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2,881235</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b/>
                <w:bCs/>
                <w:sz w:val="20"/>
                <w:szCs w:val="20"/>
              </w:rPr>
            </w:pPr>
            <w:r w:rsidRPr="0021104B">
              <w:rPr>
                <w:rFonts w:ascii="Times New Roman" w:hAnsi="Times New Roman" w:cs="Times New Roman"/>
                <w:b/>
                <w:bCs/>
                <w:sz w:val="20"/>
                <w:szCs w:val="20"/>
              </w:rPr>
              <w:t>TOT</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Europe</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2,928</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0,084169</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0,017018</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1,623832</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Asia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3,237</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0,171856</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0,095013</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2,188173</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Latin America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1,739</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0,059712</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-1,475777</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3,983873</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b/>
                <w:bCs/>
                <w:sz w:val="20"/>
                <w:szCs w:val="20"/>
              </w:rPr>
            </w:pPr>
            <w:r w:rsidRPr="0021104B">
              <w:rPr>
                <w:rFonts w:ascii="Times New Roman" w:hAnsi="Times New Roman" w:cs="Times New Roman"/>
                <w:b/>
                <w:bCs/>
                <w:sz w:val="20"/>
                <w:szCs w:val="20"/>
              </w:rPr>
              <w:t>TBILL</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Europe</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21,5843</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7,984638</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0,64305</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1,774713</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Asia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16,90877</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4,813666</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-0,149077</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1,925936</w:t>
            </w:r>
          </w:p>
        </w:tc>
      </w:tr>
      <w:tr w:rsidR="001041B1" w:rsidRPr="0021104B">
        <w:trPr>
          <w:trHeight w:val="96"/>
        </w:trPr>
        <w:tc>
          <w:tcPr>
            <w:tcW w:w="2542" w:type="dxa"/>
            <w:tcBorders>
              <w:top w:val="nil"/>
              <w:left w:val="nil"/>
              <w:bottom w:val="nil"/>
              <w:right w:val="nil"/>
            </w:tcBorders>
          </w:tcPr>
          <w:p w:rsidR="001041B1" w:rsidRPr="0021104B" w:rsidRDefault="001041B1" w:rsidP="00843E6D">
            <w:pPr>
              <w:pStyle w:val="NoSpacing"/>
              <w:spacing w:line="360" w:lineRule="auto"/>
              <w:jc w:val="center"/>
              <w:rPr>
                <w:rFonts w:ascii="Times New Roman" w:hAnsi="Times New Roman" w:cs="Times New Roman"/>
                <w:sz w:val="20"/>
                <w:szCs w:val="20"/>
              </w:rPr>
            </w:pPr>
            <w:r w:rsidRPr="0021104B">
              <w:rPr>
                <w:rFonts w:ascii="Times New Roman" w:hAnsi="Times New Roman" w:cs="Times New Roman"/>
                <w:sz w:val="20"/>
                <w:szCs w:val="20"/>
              </w:rPr>
              <w:t>Latin America</w:t>
            </w: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28,1294</w:t>
            </w: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8,345945</w:t>
            </w: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1,271028</w:t>
            </w: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4,145949</w:t>
            </w:r>
          </w:p>
        </w:tc>
      </w:tr>
      <w:tr w:rsidR="001041B1" w:rsidRPr="0021104B">
        <w:trPr>
          <w:trHeight w:val="96"/>
        </w:trPr>
        <w:tc>
          <w:tcPr>
            <w:tcW w:w="254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38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0"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1522"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c>
          <w:tcPr>
            <w:tcW w:w="2099" w:type="dxa"/>
            <w:tcBorders>
              <w:top w:val="nil"/>
              <w:left w:val="nil"/>
              <w:bottom w:val="nil"/>
              <w:right w:val="nil"/>
            </w:tcBorders>
          </w:tcPr>
          <w:p w:rsidR="001041B1" w:rsidRPr="0021104B" w:rsidRDefault="001041B1">
            <w:pPr>
              <w:pStyle w:val="NoSpacing"/>
              <w:spacing w:line="360" w:lineRule="auto"/>
              <w:rPr>
                <w:rFonts w:ascii="Times New Roman" w:hAnsi="Times New Roman" w:cs="Times New Roman"/>
                <w:sz w:val="20"/>
                <w:szCs w:val="20"/>
              </w:rPr>
            </w:pPr>
          </w:p>
        </w:tc>
      </w:tr>
      <w:tr w:rsidR="001041B1" w:rsidRPr="0021104B">
        <w:trPr>
          <w:trHeight w:hRule="exact" w:val="38"/>
        </w:trPr>
        <w:tc>
          <w:tcPr>
            <w:tcW w:w="2542" w:type="dxa"/>
            <w:tcBorders>
              <w:top w:val="nil"/>
              <w:left w:val="nil"/>
              <w:bottom w:val="single" w:sz="12" w:space="0" w:color="000000"/>
              <w:right w:val="nil"/>
            </w:tcBorders>
          </w:tcPr>
          <w:p w:rsidR="001041B1" w:rsidRPr="0021104B" w:rsidRDefault="001041B1">
            <w:pPr>
              <w:autoSpaceDE w:val="0"/>
              <w:autoSpaceDN w:val="0"/>
              <w:adjustRightInd w:val="0"/>
              <w:jc w:val="center"/>
              <w:rPr>
                <w:rFonts w:ascii="Arial" w:hAnsi="Arial" w:cs="Arial"/>
                <w:b/>
                <w:color w:val="000000"/>
                <w:sz w:val="18"/>
                <w:szCs w:val="18"/>
              </w:rPr>
            </w:pPr>
          </w:p>
          <w:p w:rsidR="001041B1" w:rsidRPr="0021104B" w:rsidRDefault="001041B1">
            <w:pPr>
              <w:autoSpaceDE w:val="0"/>
              <w:autoSpaceDN w:val="0"/>
              <w:adjustRightInd w:val="0"/>
              <w:jc w:val="center"/>
              <w:rPr>
                <w:rFonts w:ascii="Arial" w:hAnsi="Arial" w:cs="Arial"/>
                <w:b/>
                <w:color w:val="000000"/>
                <w:sz w:val="18"/>
                <w:szCs w:val="18"/>
              </w:rPr>
            </w:pPr>
          </w:p>
        </w:tc>
        <w:tc>
          <w:tcPr>
            <w:tcW w:w="1389" w:type="dxa"/>
            <w:tcBorders>
              <w:top w:val="nil"/>
              <w:left w:val="nil"/>
              <w:bottom w:val="single" w:sz="12" w:space="0" w:color="000000"/>
              <w:right w:val="nil"/>
            </w:tcBorders>
          </w:tcPr>
          <w:p w:rsidR="001041B1" w:rsidRPr="0021104B" w:rsidRDefault="001041B1">
            <w:pPr>
              <w:autoSpaceDE w:val="0"/>
              <w:autoSpaceDN w:val="0"/>
              <w:adjustRightInd w:val="0"/>
              <w:jc w:val="center"/>
              <w:rPr>
                <w:rFonts w:ascii="Arial" w:hAnsi="Arial" w:cs="Arial"/>
                <w:b/>
                <w:color w:val="000000"/>
                <w:sz w:val="18"/>
                <w:szCs w:val="18"/>
              </w:rPr>
            </w:pPr>
          </w:p>
        </w:tc>
        <w:tc>
          <w:tcPr>
            <w:tcW w:w="1520" w:type="dxa"/>
            <w:tcBorders>
              <w:top w:val="nil"/>
              <w:left w:val="nil"/>
              <w:bottom w:val="single" w:sz="12" w:space="0" w:color="000000"/>
              <w:right w:val="nil"/>
            </w:tcBorders>
          </w:tcPr>
          <w:p w:rsidR="001041B1" w:rsidRPr="0021104B" w:rsidRDefault="001041B1">
            <w:pPr>
              <w:autoSpaceDE w:val="0"/>
              <w:autoSpaceDN w:val="0"/>
              <w:adjustRightInd w:val="0"/>
              <w:jc w:val="center"/>
              <w:rPr>
                <w:rFonts w:ascii="Arial" w:hAnsi="Arial" w:cs="Arial"/>
                <w:b/>
                <w:color w:val="000000"/>
                <w:sz w:val="18"/>
                <w:szCs w:val="18"/>
              </w:rPr>
            </w:pPr>
          </w:p>
        </w:tc>
        <w:tc>
          <w:tcPr>
            <w:tcW w:w="1522" w:type="dxa"/>
            <w:tcBorders>
              <w:top w:val="nil"/>
              <w:left w:val="nil"/>
              <w:bottom w:val="single" w:sz="12" w:space="0" w:color="000000"/>
              <w:right w:val="nil"/>
            </w:tcBorders>
          </w:tcPr>
          <w:p w:rsidR="001041B1" w:rsidRPr="0021104B" w:rsidRDefault="001041B1">
            <w:pPr>
              <w:autoSpaceDE w:val="0"/>
              <w:autoSpaceDN w:val="0"/>
              <w:adjustRightInd w:val="0"/>
              <w:jc w:val="center"/>
              <w:rPr>
                <w:rFonts w:ascii="Arial" w:hAnsi="Arial" w:cs="Arial"/>
                <w:b/>
                <w:color w:val="000000"/>
                <w:sz w:val="18"/>
                <w:szCs w:val="18"/>
              </w:rPr>
            </w:pPr>
          </w:p>
        </w:tc>
        <w:tc>
          <w:tcPr>
            <w:tcW w:w="2099" w:type="dxa"/>
            <w:tcBorders>
              <w:top w:val="nil"/>
              <w:left w:val="nil"/>
              <w:bottom w:val="single" w:sz="12" w:space="0" w:color="000000"/>
              <w:right w:val="nil"/>
            </w:tcBorders>
          </w:tcPr>
          <w:p w:rsidR="001041B1" w:rsidRPr="0021104B" w:rsidRDefault="001041B1">
            <w:pPr>
              <w:autoSpaceDE w:val="0"/>
              <w:autoSpaceDN w:val="0"/>
              <w:adjustRightInd w:val="0"/>
              <w:jc w:val="center"/>
              <w:rPr>
                <w:rFonts w:ascii="Arial" w:hAnsi="Arial" w:cs="Arial"/>
                <w:b/>
                <w:color w:val="000000"/>
                <w:sz w:val="18"/>
                <w:szCs w:val="18"/>
              </w:rPr>
            </w:pPr>
          </w:p>
        </w:tc>
      </w:tr>
    </w:tbl>
    <w:p w:rsidR="001041B1" w:rsidRPr="000B0B15" w:rsidRDefault="001041B1">
      <w:pPr>
        <w:spacing w:line="360" w:lineRule="auto"/>
        <w:jc w:val="both"/>
        <w:rPr>
          <w:rFonts w:ascii="Times New Roman" w:hAnsi="Times New Roman" w:cs="Times New Roman"/>
          <w:sz w:val="18"/>
          <w:szCs w:val="18"/>
        </w:rPr>
      </w:pPr>
      <w:r w:rsidRPr="000B0B15">
        <w:rPr>
          <w:rFonts w:ascii="Times New Roman" w:hAnsi="Times New Roman" w:cs="Times New Roman"/>
          <w:sz w:val="18"/>
          <w:szCs w:val="18"/>
        </w:rPr>
        <w:t>Note: Total numbers of observations for Asia, Europe and Latin America: 80</w:t>
      </w:r>
    </w:p>
    <w:p w:rsidR="001041B1" w:rsidRDefault="001041B1" w:rsidP="0060607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4.1 offers the key variables used to explain the spread in the sample of emerging markets from 1999 - 2008. Statistics for the regions Europe, Asia and Latin America are included to determine regional differences. The first remark is that the mean of spread in Europe is twice as high as Asia and Latin America. Moreover, the growth rate of import and export (GRI and GRE) are the largest in Europe. The average ratio of current account to GDP (RCA) of Asia is positive whereas Europe and Latin America demonstrates negative figures. This implies that Asia has a higher export earning than Europe and Latin America.  Furthermore, table 4.1 displays that the terms of trade (TOT) in Asia is the highest, followed by Europe and Latin America. The variable of Treasury bill </w:t>
      </w:r>
      <w:r w:rsidRPr="003D2BC0">
        <w:rPr>
          <w:rFonts w:ascii="Times New Roman" w:hAnsi="Times New Roman" w:cs="Times New Roman"/>
          <w:sz w:val="24"/>
          <w:szCs w:val="24"/>
          <w:lang w:val="en-GB"/>
        </w:rPr>
        <w:t>(TBILL)</w:t>
      </w:r>
      <w:r>
        <w:rPr>
          <w:rFonts w:ascii="Times New Roman" w:hAnsi="Times New Roman" w:cs="Times New Roman"/>
          <w:sz w:val="24"/>
          <w:szCs w:val="24"/>
          <w:lang w:val="en-GB"/>
        </w:rPr>
        <w:t xml:space="preserve"> illustrates that the risk in Latin America is about 40% higher than Asia and 23% higher than Europe. Finally, the skewness and kurtosis demonstrate a mix perception between the regions. </w:t>
      </w:r>
    </w:p>
    <w:p w:rsidR="001041B1" w:rsidRPr="00B45688" w:rsidRDefault="001041B1" w:rsidP="00640E34">
      <w:pPr>
        <w:pStyle w:val="TOC2"/>
        <w:rPr>
          <w:b w:val="0"/>
        </w:rPr>
      </w:pPr>
      <w:r>
        <w:rPr>
          <w:b w:val="0"/>
        </w:rPr>
        <w:t xml:space="preserve">4.1 </w:t>
      </w:r>
      <w:r w:rsidRPr="00B45688">
        <w:rPr>
          <w:b w:val="0"/>
        </w:rPr>
        <w:t xml:space="preserve"> Estimation of the model</w:t>
      </w:r>
    </w:p>
    <w:p w:rsidR="001041B1" w:rsidRDefault="001041B1" w:rsidP="00520325">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lang w:val="en-GB"/>
        </w:rPr>
        <w:t xml:space="preserve">Table 4.2 consists of four models. The first column comprises the full model and models 2, 3 and 4 are models for Latin American, European and Asian countries, respectively.  For the estimation of the model a dummy variable is included. The model is calculated by the OLS method. Generally, the results of significant level are corresponding to each other. The crisis dummy variable </w:t>
      </w:r>
      <w:r>
        <w:rPr>
          <w:rFonts w:ascii="Times New Roman" w:hAnsi="Times New Roman" w:cs="Times New Roman"/>
          <w:sz w:val="24"/>
          <w:szCs w:val="24"/>
        </w:rPr>
        <w:t>is</w:t>
      </w:r>
      <w:r>
        <w:rPr>
          <w:rFonts w:ascii="Times New Roman" w:hAnsi="Times New Roman" w:cs="Times New Roman"/>
          <w:sz w:val="24"/>
          <w:szCs w:val="24"/>
          <w:lang w:val="en-GB"/>
        </w:rPr>
        <w:t xml:space="preserve"> only significant for Latin America countries. Regarding the liquidity and solvency variables, the majority is insignificant. Furthermore, the variables RED, GRI, GRGD, GRE and RCA are all insignificant. For the full model and </w:t>
      </w:r>
      <w:r w:rsidRPr="00606078">
        <w:rPr>
          <w:rFonts w:ascii="Times New Roman" w:hAnsi="Times New Roman" w:cs="Times New Roman"/>
          <w:sz w:val="24"/>
          <w:szCs w:val="24"/>
          <w:lang w:val="en-GB"/>
        </w:rPr>
        <w:t>model 4, the variable</w:t>
      </w:r>
      <w:r>
        <w:rPr>
          <w:rFonts w:ascii="Times New Roman" w:hAnsi="Times New Roman" w:cs="Times New Roman"/>
          <w:sz w:val="24"/>
          <w:szCs w:val="24"/>
          <w:lang w:val="en-GB"/>
        </w:rPr>
        <w:t xml:space="preserve"> ratio of international reserve (RIR) is significant. </w:t>
      </w:r>
      <w:r w:rsidRPr="00606078">
        <w:rPr>
          <w:rFonts w:ascii="Times New Roman" w:hAnsi="Times New Roman" w:cs="Times New Roman"/>
          <w:sz w:val="24"/>
          <w:szCs w:val="24"/>
        </w:rPr>
        <w:t>For the second model unemployment might be</w:t>
      </w:r>
      <w:r>
        <w:rPr>
          <w:rFonts w:ascii="Times New Roman" w:hAnsi="Times New Roman" w:cs="Times New Roman"/>
          <w:sz w:val="24"/>
          <w:szCs w:val="24"/>
          <w:lang w:val="en-GB"/>
        </w:rPr>
        <w:t xml:space="preserve"> an explanatory factor. Differently are the estimation of macroeconomic fundamentals and external shocks. </w:t>
      </w:r>
      <w:r w:rsidRPr="00606078">
        <w:rPr>
          <w:rFonts w:ascii="Times New Roman" w:hAnsi="Times New Roman" w:cs="Times New Roman"/>
          <w:sz w:val="24"/>
          <w:szCs w:val="24"/>
          <w:lang w:val="en-GB"/>
        </w:rPr>
        <w:t>The variables TOT</w:t>
      </w:r>
      <w:r>
        <w:rPr>
          <w:rFonts w:ascii="Times New Roman" w:hAnsi="Times New Roman" w:cs="Times New Roman"/>
          <w:sz w:val="24"/>
          <w:szCs w:val="24"/>
          <w:lang w:val="en-GB"/>
        </w:rPr>
        <w:t xml:space="preserve">, INF and OIL are all significant. The external shock variable TBILL is not significant for European countries whereas Latin America and Asia </w:t>
      </w:r>
      <w:r w:rsidRPr="00606078">
        <w:rPr>
          <w:rFonts w:ascii="Times New Roman" w:hAnsi="Times New Roman" w:cs="Times New Roman"/>
          <w:sz w:val="24"/>
          <w:szCs w:val="24"/>
          <w:lang w:val="en-GB"/>
        </w:rPr>
        <w:t xml:space="preserve">demonstrates </w:t>
      </w:r>
      <w:r>
        <w:rPr>
          <w:rFonts w:ascii="Times New Roman" w:hAnsi="Times New Roman" w:cs="Times New Roman"/>
          <w:sz w:val="24"/>
          <w:szCs w:val="24"/>
          <w:lang w:val="en-GB"/>
        </w:rPr>
        <w:t xml:space="preserve">a significant effect of TBILL on sovereign bond spread. In addition, the estimated signs of the coefficients are pointing in the same direction. The coefficient for liquidity and solvency variables are negative for RED, RIR, GRGD and GRE and positive for GRI, RCA and UNEM. Adversely, macroeconomic fundamentals and external shocks have similar signs. The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QUOTE </w:instrText>
      </w:r>
      <w:r w:rsidRPr="0021104B">
        <w:rPr>
          <w:rFonts w:ascii="Times New Roman" w:hAnsi="Times New Roman" w:cs="Times New Roman"/>
          <w:noProof/>
        </w:rPr>
        <w:pict>
          <v:shape id="Afbeelding 25" o:spid="_x0000_i1059" type="#_x0000_t75" style="width:15pt;height:12pt;visibility:visible">
            <v:imagedata r:id="rId23" o:title="" chromakey="white"/>
          </v:shape>
        </w:pict>
      </w:r>
      <w:r>
        <w:rPr>
          <w:rFonts w:ascii="Times New Roman" w:hAnsi="Times New Roman" w:cs="Times New Roman"/>
          <w:color w:val="000000"/>
          <w:sz w:val="24"/>
          <w:szCs w:val="24"/>
        </w:rPr>
        <w:instrText xml:space="preserve"> </w:instrText>
      </w:r>
      <w:r>
        <w:rPr>
          <w:rFonts w:ascii="Times New Roman" w:hAnsi="Times New Roman" w:cs="Times New Roman"/>
          <w:color w:val="000000"/>
          <w:sz w:val="24"/>
          <w:szCs w:val="24"/>
        </w:rPr>
        <w:fldChar w:fldCharType="separate"/>
      </w:r>
      <w:r w:rsidRPr="0021104B">
        <w:rPr>
          <w:rFonts w:ascii="Times New Roman" w:hAnsi="Times New Roman" w:cs="Times New Roman"/>
          <w:color w:val="000000"/>
          <w:sz w:val="24"/>
          <w:szCs w:val="24"/>
        </w:rPr>
        <w:fldChar w:fldCharType="begin"/>
      </w:r>
      <w:r w:rsidRPr="0021104B">
        <w:rPr>
          <w:rFonts w:ascii="Times New Roman" w:hAnsi="Times New Roman" w:cs="Times New Roman"/>
          <w:color w:val="000000"/>
          <w:sz w:val="24"/>
          <w:szCs w:val="24"/>
        </w:rPr>
        <w:instrText xml:space="preserve"> QUOTE </w:instrText>
      </w:r>
      <w:r w:rsidRPr="0021104B">
        <w:pict>
          <v:shape id="_x0000_i1060"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979CF&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4979CF&quot;&gt;&lt;m:oMathPara&gt;&lt;m:oMath&gt;&lt;m:sSup&gt;&lt;m:sSupPr&gt;&lt;m:ctrlPr&gt;&lt;w:rPr&gt;&lt;w:rFonts w:ascii=&quot;Cambria Math&quot; w:h-ansi=&quot;Cambria Math&quot; w:cs=&quot;Times New Roman&quot;/&gt;&lt;wx:font wx:val=&quot;Cambria Math&quot;/&gt;&lt;w:i/&gt;&lt;w:color w:val=&quot;000000&quot;/&gt;&lt;w:sz w:val=&quot;24&quot;/&gt;&lt;w:sz-cs w:val=&quot;24&quot;/&gt;&lt;/w:rPr&gt;&lt;/m:ctrlPr&gt;&lt;/m:sSupPr&gt;&lt;m:e&gt;&lt;m:r&gt;&lt;w:rPr&gt;&lt;w:rFonts w:ascii=&quot;Cambria Math&quot; w:h-ansi=&quot;Cambria Math&quot; w:cs=&quot;Times New Roman&quot;/&gt;&lt;wx:font wx:val=&quot;Cambria Math&quot;/&gt;&lt;w:i/&gt;&lt;w:color w:val=&quot;000000&quot;/&gt;&lt;w:sz w:val=&quot;24&quot;/&gt;&lt;w:sz-cs w:val=&quot;24&quot;/&gt;&lt;/w:rPr&gt;&lt;m:t&gt;R&lt;/m:t&gt;&lt;/m:r&gt;&lt;/m:e&gt;&lt;m:sup&gt;&lt;m:r&gt;&lt;w:rPr&gt;&lt;w:rFonts w:ascii=&quot;Cambria Math&quot; w:h-ansi=&quot;Cambria Math&quot; w:cs=&quot;Times New Roman&quot;/&gt;&lt;wx:font wx:val=&quot;Cambria Math&quot;/&gt;&lt;w:i/&gt;&lt;w:color w:val=&quot;000000&quot;/&gt;&lt;w:sz w:val=&quot;24&quot;/&gt;&lt;w:sz-cs w:val=&quot;24&quot;/&gt;&lt;/w:rPr&gt;&lt;m:t&gt;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21104B">
        <w:rPr>
          <w:rFonts w:ascii="Times New Roman" w:hAnsi="Times New Roman" w:cs="Times New Roman"/>
          <w:color w:val="000000"/>
          <w:sz w:val="24"/>
          <w:szCs w:val="24"/>
        </w:rPr>
        <w:instrText xml:space="preserve"> </w:instrText>
      </w:r>
      <w:r w:rsidRPr="0021104B">
        <w:rPr>
          <w:rFonts w:ascii="Times New Roman" w:hAnsi="Times New Roman" w:cs="Times New Roman"/>
          <w:color w:val="000000"/>
          <w:sz w:val="24"/>
          <w:szCs w:val="24"/>
        </w:rPr>
        <w:fldChar w:fldCharType="separate"/>
      </w:r>
      <w:r w:rsidRPr="0021104B">
        <w:pict>
          <v:shape id="_x0000_i1061"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979CF&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4979CF&quot;&gt;&lt;m:oMathPara&gt;&lt;m:oMath&gt;&lt;m:sSup&gt;&lt;m:sSupPr&gt;&lt;m:ctrlPr&gt;&lt;w:rPr&gt;&lt;w:rFonts w:ascii=&quot;Cambria Math&quot; w:h-ansi=&quot;Cambria Math&quot; w:cs=&quot;Times New Roman&quot;/&gt;&lt;wx:font wx:val=&quot;Cambria Math&quot;/&gt;&lt;w:i/&gt;&lt;w:color w:val=&quot;000000&quot;/&gt;&lt;w:sz w:val=&quot;24&quot;/&gt;&lt;w:sz-cs w:val=&quot;24&quot;/&gt;&lt;/w:rPr&gt;&lt;/m:ctrlPr&gt;&lt;/m:sSupPr&gt;&lt;m:e&gt;&lt;m:r&gt;&lt;w:rPr&gt;&lt;w:rFonts w:ascii=&quot;Cambria Math&quot; w:h-ansi=&quot;Cambria Math&quot; w:cs=&quot;Times New Roman&quot;/&gt;&lt;wx:font wx:val=&quot;Cambria Math&quot;/&gt;&lt;w:i/&gt;&lt;w:color w:val=&quot;000000&quot;/&gt;&lt;w:sz w:val=&quot;24&quot;/&gt;&lt;w:sz-cs w:val=&quot;24&quot;/&gt;&lt;/w:rPr&gt;&lt;m:t&gt;R&lt;/m:t&gt;&lt;/m:r&gt;&lt;/m:e&gt;&lt;m:sup&gt;&lt;m:r&gt;&lt;w:rPr&gt;&lt;w:rFonts w:ascii=&quot;Cambria Math&quot; w:h-ansi=&quot;Cambria Math&quot; w:cs=&quot;Times New Roman&quot;/&gt;&lt;wx:font wx:val=&quot;Cambria Math&quot;/&gt;&lt;w:i/&gt;&lt;w:color w:val=&quot;000000&quot;/&gt;&lt;w:sz w:val=&quot;24&quot;/&gt;&lt;w:sz-cs w:val=&quot;24&quot;/&gt;&lt;/w:rPr&gt;&lt;m:t&gt;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21104B">
        <w:rPr>
          <w:rFonts w:ascii="Times New Roman" w:hAnsi="Times New Roman" w:cs="Times New Roman"/>
          <w:color w:val="000000"/>
          <w:sz w:val="24"/>
          <w:szCs w:val="24"/>
        </w:rPr>
        <w:fldChar w:fldCharType="end"/>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and adjusted </w:t>
      </w:r>
      <w:r w:rsidRPr="0021104B">
        <w:rPr>
          <w:rFonts w:ascii="Times New Roman" w:hAnsi="Times New Roman" w:cs="Times New Roman"/>
          <w:color w:val="000000"/>
          <w:sz w:val="24"/>
          <w:szCs w:val="24"/>
        </w:rPr>
        <w:fldChar w:fldCharType="begin"/>
      </w:r>
      <w:r w:rsidRPr="0021104B">
        <w:rPr>
          <w:rFonts w:ascii="Times New Roman" w:hAnsi="Times New Roman" w:cs="Times New Roman"/>
          <w:color w:val="000000"/>
          <w:sz w:val="24"/>
          <w:szCs w:val="24"/>
        </w:rPr>
        <w:instrText xml:space="preserve"> QUOTE </w:instrText>
      </w:r>
      <w:r w:rsidRPr="0021104B">
        <w:pict>
          <v:shape id="_x0000_i1062"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35ED5&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335ED5&quot;&gt;&lt;m:oMathPara&gt;&lt;m:oMath&gt;&lt;m:sSup&gt;&lt;m:sSupPr&gt;&lt;m:ctrlPr&gt;&lt;w:rPr&gt;&lt;w:rFonts w:ascii=&quot;Cambria Math&quot; w:h-ansi=&quot;Cambria Math&quot; w:cs=&quot;Times New Roman&quot;/&gt;&lt;wx:font wx:val=&quot;Cambria Math&quot;/&gt;&lt;w:i/&gt;&lt;w:color w:val=&quot;000000&quot;/&gt;&lt;w:sz w:val=&quot;24&quot;/&gt;&lt;w:sz-cs w:val=&quot;24&quot;/&gt;&lt;/w:rPr&gt;&lt;/m:ctrlPr&gt;&lt;/m:sSupPr&gt;&lt;m:e&gt;&lt;m:r&gt;&lt;w:rPr&gt;&lt;w:rFonts w:ascii=&quot;Cambria Math&quot; w:h-ansi=&quot;Cambria Math&quot; w:cs=&quot;Times New Roman&quot;/&gt;&lt;wx:font wx:val=&quot;Cambria Math&quot;/&gt;&lt;w:i/&gt;&lt;w:color w:val=&quot;000000&quot;/&gt;&lt;w:sz w:val=&quot;24&quot;/&gt;&lt;w:sz-cs w:val=&quot;24&quot;/&gt;&lt;/w:rPr&gt;&lt;m:t&gt;R&lt;/m:t&gt;&lt;/m:r&gt;&lt;/m:e&gt;&lt;m:sup&gt;&lt;m:r&gt;&lt;w:rPr&gt;&lt;w:rFonts w:ascii=&quot;Cambria Math&quot; w:h-ansi=&quot;Cambria Math&quot; w:cs=&quot;Times New Roman&quot;/&gt;&lt;wx:font wx:val=&quot;Cambria Math&quot;/&gt;&lt;w:i/&gt;&lt;w:color w:val=&quot;000000&quot;/&gt;&lt;w:sz w:val=&quot;24&quot;/&gt;&lt;w:sz-cs w:val=&quot;24&quot;/&gt;&lt;/w:rPr&gt;&lt;m:t&gt;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21104B">
        <w:rPr>
          <w:rFonts w:ascii="Times New Roman" w:hAnsi="Times New Roman" w:cs="Times New Roman"/>
          <w:color w:val="000000"/>
          <w:sz w:val="24"/>
          <w:szCs w:val="24"/>
        </w:rPr>
        <w:instrText xml:space="preserve"> </w:instrText>
      </w:r>
      <w:r w:rsidRPr="0021104B">
        <w:rPr>
          <w:rFonts w:ascii="Times New Roman" w:hAnsi="Times New Roman" w:cs="Times New Roman"/>
          <w:color w:val="000000"/>
          <w:sz w:val="24"/>
          <w:szCs w:val="24"/>
        </w:rPr>
        <w:fldChar w:fldCharType="separate"/>
      </w:r>
      <w:r w:rsidRPr="0021104B">
        <w:pict>
          <v:shape id="_x0000_i1063"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35ED5&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335ED5&quot;&gt;&lt;m:oMathPara&gt;&lt;m:oMath&gt;&lt;m:sSup&gt;&lt;m:sSupPr&gt;&lt;m:ctrlPr&gt;&lt;w:rPr&gt;&lt;w:rFonts w:ascii=&quot;Cambria Math&quot; w:h-ansi=&quot;Cambria Math&quot; w:cs=&quot;Times New Roman&quot;/&gt;&lt;wx:font wx:val=&quot;Cambria Math&quot;/&gt;&lt;w:i/&gt;&lt;w:color w:val=&quot;000000&quot;/&gt;&lt;w:sz w:val=&quot;24&quot;/&gt;&lt;w:sz-cs w:val=&quot;24&quot;/&gt;&lt;/w:rPr&gt;&lt;/m:ctrlPr&gt;&lt;/m:sSupPr&gt;&lt;m:e&gt;&lt;m:r&gt;&lt;w:rPr&gt;&lt;w:rFonts w:ascii=&quot;Cambria Math&quot; w:h-ansi=&quot;Cambria Math&quot; w:cs=&quot;Times New Roman&quot;/&gt;&lt;wx:font wx:val=&quot;Cambria Math&quot;/&gt;&lt;w:i/&gt;&lt;w:color w:val=&quot;000000&quot;/&gt;&lt;w:sz w:val=&quot;24&quot;/&gt;&lt;w:sz-cs w:val=&quot;24&quot;/&gt;&lt;/w:rPr&gt;&lt;m:t&gt;R&lt;/m:t&gt;&lt;/m:r&gt;&lt;/m:e&gt;&lt;m:sup&gt;&lt;m:r&gt;&lt;w:rPr&gt;&lt;w:rFonts w:ascii=&quot;Cambria Math&quot; w:h-ansi=&quot;Cambria Math&quot; w:cs=&quot;Times New Roman&quot;/&gt;&lt;wx:font wx:val=&quot;Cambria Math&quot;/&gt;&lt;w:i/&gt;&lt;w:color w:val=&quot;000000&quot;/&gt;&lt;w:sz w:val=&quot;24&quot;/&gt;&lt;w:sz-cs w:val=&quot;24&quot;/&gt;&lt;/w:rPr&gt;&lt;m:t&gt;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21104B">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QUOTE </w:instrText>
      </w:r>
      <w:r w:rsidRPr="0021104B">
        <w:rPr>
          <w:rFonts w:ascii="Times New Roman" w:hAnsi="Times New Roman" w:cs="Times New Roman"/>
          <w:noProof/>
        </w:rPr>
        <w:pict>
          <v:shape id="Afbeelding 27" o:spid="_x0000_i1064" type="#_x0000_t75" style="width:15pt;height:12pt;visibility:visible">
            <v:imagedata r:id="rId23" o:title="" chromakey="white"/>
          </v:shape>
        </w:pict>
      </w:r>
      <w:r>
        <w:rPr>
          <w:rFonts w:ascii="Times New Roman" w:hAnsi="Times New Roman" w:cs="Times New Roman"/>
          <w:color w:val="000000"/>
          <w:sz w:val="24"/>
          <w:szCs w:val="24"/>
        </w:rPr>
        <w:instrText xml:space="preserve">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indicate that the models use valid estimations.  </w:t>
      </w:r>
      <w:r>
        <w:rPr>
          <w:rFonts w:ascii="Times New Roman" w:hAnsi="Times New Roman" w:cs="Times New Roman"/>
          <w:color w:val="000000"/>
          <w:sz w:val="24"/>
          <w:szCs w:val="24"/>
        </w:rPr>
        <w:br/>
      </w:r>
    </w:p>
    <w:p w:rsidR="001041B1" w:rsidRDefault="001041B1" w:rsidP="00520325">
      <w:pPr>
        <w:spacing w:line="360" w:lineRule="auto"/>
        <w:jc w:val="both"/>
        <w:rPr>
          <w:rFonts w:ascii="Times New Roman" w:hAnsi="Times New Roman" w:cs="Times New Roman"/>
          <w:color w:val="000000"/>
          <w:sz w:val="24"/>
          <w:szCs w:val="24"/>
        </w:rPr>
      </w:pPr>
    </w:p>
    <w:p w:rsidR="001041B1" w:rsidRDefault="001041B1" w:rsidP="00520325">
      <w:pPr>
        <w:spacing w:line="360" w:lineRule="auto"/>
        <w:jc w:val="both"/>
        <w:rPr>
          <w:rFonts w:ascii="Times New Roman" w:hAnsi="Times New Roman" w:cs="Times New Roman"/>
          <w:color w:val="000000"/>
          <w:sz w:val="24"/>
          <w:szCs w:val="24"/>
        </w:rPr>
      </w:pPr>
    </w:p>
    <w:p w:rsidR="001041B1" w:rsidRPr="00520325" w:rsidRDefault="001041B1" w:rsidP="00520325">
      <w:pPr>
        <w:spacing w:line="360" w:lineRule="auto"/>
        <w:jc w:val="both"/>
        <w:rPr>
          <w:rFonts w:ascii="Times New Roman" w:hAnsi="Times New Roman" w:cs="Times New Roman"/>
          <w:sz w:val="24"/>
          <w:szCs w:val="24"/>
        </w:rPr>
      </w:pPr>
    </w:p>
    <w:p w:rsidR="001041B1" w:rsidRPr="00780293" w:rsidRDefault="001041B1" w:rsidP="00D75391">
      <w:pPr>
        <w:pStyle w:val="NoSpacing"/>
        <w:rPr>
          <w:rFonts w:ascii="Times New Roman" w:hAnsi="Times New Roman" w:cs="Times New Roman"/>
          <w:b/>
          <w:sz w:val="20"/>
          <w:szCs w:val="20"/>
        </w:rPr>
      </w:pPr>
      <w:r w:rsidRPr="00780293">
        <w:rPr>
          <w:rFonts w:ascii="Times New Roman" w:hAnsi="Times New Roman" w:cs="Times New Roman"/>
          <w:b/>
          <w:sz w:val="20"/>
          <w:szCs w:val="20"/>
        </w:rPr>
        <w:t>Table 4.</w:t>
      </w:r>
      <w:r>
        <w:rPr>
          <w:rFonts w:ascii="Times New Roman" w:hAnsi="Times New Roman" w:cs="Times New Roman"/>
          <w:b/>
          <w:sz w:val="20"/>
          <w:szCs w:val="20"/>
        </w:rPr>
        <w:t>2</w:t>
      </w:r>
      <w:r w:rsidRPr="00780293">
        <w:rPr>
          <w:rFonts w:ascii="Times New Roman" w:hAnsi="Times New Roman" w:cs="Times New Roman"/>
          <w:b/>
          <w:sz w:val="20"/>
          <w:szCs w:val="20"/>
        </w:rPr>
        <w:t xml:space="preserve"> Pooled estimation of the model</w:t>
      </w:r>
    </w:p>
    <w:tbl>
      <w:tblPr>
        <w:tblW w:w="9011" w:type="dxa"/>
        <w:tblInd w:w="2" w:type="dxa"/>
        <w:tblLayout w:type="fixed"/>
        <w:tblCellMar>
          <w:left w:w="0" w:type="dxa"/>
          <w:right w:w="0" w:type="dxa"/>
        </w:tblCellMar>
        <w:tblLook w:val="0000"/>
      </w:tblPr>
      <w:tblGrid>
        <w:gridCol w:w="1679"/>
        <w:gridCol w:w="1851"/>
        <w:gridCol w:w="1709"/>
        <w:gridCol w:w="1851"/>
        <w:gridCol w:w="1921"/>
      </w:tblGrid>
      <w:tr w:rsidR="001041B1" w:rsidRPr="0021104B" w:rsidTr="00572226">
        <w:trPr>
          <w:trHeight w:val="571"/>
        </w:trPr>
        <w:tc>
          <w:tcPr>
            <w:tcW w:w="1679"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jc w:val="center"/>
              <w:rPr>
                <w:rFonts w:ascii="Arial" w:hAnsi="Arial" w:cs="Arial"/>
                <w:b/>
                <w:bCs/>
                <w:color w:val="000000"/>
                <w:sz w:val="18"/>
                <w:szCs w:val="18"/>
              </w:rPr>
            </w:pPr>
            <w:r w:rsidRPr="0021104B">
              <w:rPr>
                <w:rFonts w:ascii="Arial" w:hAnsi="Arial" w:cs="Arial"/>
                <w:b/>
                <w:bCs/>
                <w:color w:val="000000"/>
                <w:sz w:val="18"/>
                <w:szCs w:val="18"/>
              </w:rPr>
              <w:t>Variables</w:t>
            </w:r>
          </w:p>
        </w:tc>
        <w:tc>
          <w:tcPr>
            <w:tcW w:w="1851"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b/>
                <w:bCs/>
                <w:color w:val="000000"/>
                <w:sz w:val="18"/>
                <w:szCs w:val="18"/>
              </w:rPr>
            </w:pPr>
            <w:r w:rsidRPr="0021104B">
              <w:rPr>
                <w:rFonts w:ascii="Arial" w:hAnsi="Arial" w:cs="Arial"/>
                <w:b/>
                <w:bCs/>
                <w:color w:val="000000"/>
                <w:sz w:val="18"/>
                <w:szCs w:val="18"/>
              </w:rPr>
              <w:t>Full model</w:t>
            </w:r>
          </w:p>
        </w:tc>
        <w:tc>
          <w:tcPr>
            <w:tcW w:w="1709"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b/>
                <w:bCs/>
                <w:color w:val="000000"/>
                <w:sz w:val="18"/>
                <w:szCs w:val="18"/>
              </w:rPr>
            </w:pPr>
            <w:r w:rsidRPr="0021104B">
              <w:rPr>
                <w:rFonts w:ascii="Arial" w:hAnsi="Arial" w:cs="Arial"/>
                <w:b/>
                <w:bCs/>
                <w:color w:val="000000"/>
                <w:sz w:val="18"/>
                <w:szCs w:val="18"/>
              </w:rPr>
              <w:t>Model 2</w:t>
            </w:r>
          </w:p>
        </w:tc>
        <w:tc>
          <w:tcPr>
            <w:tcW w:w="1851"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b/>
                <w:bCs/>
                <w:color w:val="000000"/>
                <w:sz w:val="18"/>
                <w:szCs w:val="18"/>
              </w:rPr>
            </w:pPr>
            <w:r w:rsidRPr="0021104B">
              <w:rPr>
                <w:rFonts w:ascii="Arial" w:hAnsi="Arial" w:cs="Arial"/>
                <w:b/>
                <w:bCs/>
                <w:color w:val="000000"/>
                <w:sz w:val="18"/>
                <w:szCs w:val="18"/>
              </w:rPr>
              <w:t>Model 3</w:t>
            </w:r>
          </w:p>
        </w:tc>
        <w:tc>
          <w:tcPr>
            <w:tcW w:w="1921"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b/>
                <w:bCs/>
                <w:color w:val="000000"/>
                <w:sz w:val="18"/>
                <w:szCs w:val="18"/>
              </w:rPr>
            </w:pPr>
            <w:r w:rsidRPr="0021104B">
              <w:rPr>
                <w:rFonts w:ascii="Arial" w:hAnsi="Arial" w:cs="Arial"/>
                <w:b/>
                <w:bCs/>
                <w:color w:val="000000"/>
                <w:sz w:val="18"/>
                <w:szCs w:val="18"/>
              </w:rPr>
              <w:t>Model 4</w:t>
            </w:r>
          </w:p>
        </w:tc>
      </w:tr>
      <w:tr w:rsidR="001041B1" w:rsidRPr="0021104B" w:rsidTr="00572226">
        <w:trPr>
          <w:trHeight w:val="162"/>
        </w:trPr>
        <w:tc>
          <w:tcPr>
            <w:tcW w:w="1679"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jc w:val="center"/>
              <w:rPr>
                <w:rFonts w:ascii="Arial" w:hAnsi="Arial" w:cs="Arial"/>
                <w:b/>
                <w:bCs/>
                <w:color w:val="000000"/>
                <w:sz w:val="18"/>
                <w:szCs w:val="18"/>
              </w:rPr>
            </w:pPr>
          </w:p>
        </w:tc>
        <w:tc>
          <w:tcPr>
            <w:tcW w:w="1851"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rPr>
                <w:rFonts w:ascii="Arial" w:hAnsi="Arial" w:cs="Arial"/>
                <w:color w:val="000000"/>
                <w:sz w:val="18"/>
                <w:szCs w:val="18"/>
              </w:rPr>
            </w:pPr>
          </w:p>
        </w:tc>
        <w:tc>
          <w:tcPr>
            <w:tcW w:w="1709"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rPr>
                <w:rFonts w:ascii="Arial" w:hAnsi="Arial" w:cs="Arial"/>
                <w:color w:val="000000"/>
                <w:sz w:val="18"/>
                <w:szCs w:val="18"/>
              </w:rPr>
            </w:pPr>
          </w:p>
        </w:tc>
        <w:tc>
          <w:tcPr>
            <w:tcW w:w="1851"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rPr>
                <w:rFonts w:ascii="Arial" w:hAnsi="Arial" w:cs="Arial"/>
                <w:color w:val="000000"/>
                <w:sz w:val="18"/>
                <w:szCs w:val="18"/>
              </w:rPr>
            </w:pPr>
          </w:p>
        </w:tc>
        <w:tc>
          <w:tcPr>
            <w:tcW w:w="1921"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rPr>
                <w:rFonts w:ascii="Arial" w:hAnsi="Arial" w:cs="Arial"/>
                <w:color w:val="000000"/>
                <w:sz w:val="18"/>
                <w:szCs w:val="18"/>
              </w:rPr>
            </w:pPr>
          </w:p>
        </w:tc>
      </w:tr>
      <w:tr w:rsidR="001041B1" w:rsidRPr="0021104B">
        <w:trPr>
          <w:trHeight w:val="561"/>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r w:rsidRPr="0021104B">
              <w:rPr>
                <w:rFonts w:ascii="Times New Roman" w:hAnsi="Times New Roman" w:cs="Times New Roman"/>
                <w:b/>
                <w:bCs/>
                <w:color w:val="000000"/>
                <w:sz w:val="18"/>
                <w:szCs w:val="18"/>
              </w:rPr>
              <w:t>Dummy variable</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trPr>
          <w:trHeight w:val="500"/>
        </w:trPr>
        <w:tc>
          <w:tcPr>
            <w:tcW w:w="1679" w:type="dxa"/>
            <w:tcBorders>
              <w:top w:val="nil"/>
              <w:left w:val="nil"/>
              <w:bottom w:val="nil"/>
              <w:right w:val="nil"/>
            </w:tcBorders>
            <w:vAlign w:val="bottom"/>
          </w:tcPr>
          <w:p w:rsidR="001041B1" w:rsidRPr="0021104B" w:rsidRDefault="001041B1" w:rsidP="0071182E">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color w:val="000000"/>
                <w:sz w:val="18"/>
                <w:szCs w:val="18"/>
              </w:rPr>
              <w:t>CRISIS</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-0.529373</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-1.039120(*)</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-0.613360</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-0.614195</w:t>
            </w:r>
          </w:p>
        </w:tc>
      </w:tr>
      <w:tr w:rsidR="001041B1" w:rsidRPr="0021104B">
        <w:trPr>
          <w:trHeight w:val="351"/>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r>
      <w:tr w:rsidR="001041B1" w:rsidRPr="0021104B">
        <w:trPr>
          <w:trHeight w:val="637"/>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r w:rsidRPr="0021104B">
              <w:rPr>
                <w:rFonts w:ascii="Times New Roman" w:hAnsi="Times New Roman" w:cs="Times New Roman"/>
                <w:b/>
                <w:bCs/>
                <w:color w:val="000000"/>
                <w:sz w:val="18"/>
                <w:szCs w:val="18"/>
              </w:rPr>
              <w:t>Liquidity and solvency variables</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r>
      <w:tr w:rsidR="001041B1" w:rsidRPr="0021104B">
        <w:trPr>
          <w:trHeight w:val="615"/>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RED</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-0.020859</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-0.001788</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-0.015572</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-0.024193</w:t>
            </w:r>
          </w:p>
        </w:tc>
      </w:tr>
      <w:tr w:rsidR="001041B1" w:rsidRPr="0021104B">
        <w:trPr>
          <w:trHeight w:val="581"/>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RIR</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-0.041447(*)</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-0.024630</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-0.038771</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-0.038158(*)</w:t>
            </w:r>
          </w:p>
        </w:tc>
      </w:tr>
      <w:tr w:rsidR="001041B1" w:rsidRPr="0021104B">
        <w:trPr>
          <w:trHeight w:val="575"/>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GRI</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0.029980</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0.016026</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0.030948</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0.020739</w:t>
            </w:r>
          </w:p>
        </w:tc>
      </w:tr>
      <w:tr w:rsidR="001041B1" w:rsidRPr="0021104B">
        <w:trPr>
          <w:trHeight w:val="555"/>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GRGD</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-0.119123</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-0.041282</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-0.127412</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-0.060898</w:t>
            </w:r>
          </w:p>
        </w:tc>
      </w:tr>
      <w:tr w:rsidR="001041B1" w:rsidRPr="0021104B">
        <w:trPr>
          <w:trHeight w:val="564"/>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GRE</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-0.017789</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-0.011327</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-0.012194</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-0.026496</w:t>
            </w:r>
          </w:p>
        </w:tc>
      </w:tr>
      <w:tr w:rsidR="001041B1" w:rsidRPr="0021104B">
        <w:trPr>
          <w:trHeight w:val="571"/>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RCA</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0.036560</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0.071380</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0.015974</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0.093790</w:t>
            </w:r>
          </w:p>
        </w:tc>
      </w:tr>
      <w:tr w:rsidR="001041B1" w:rsidRPr="0021104B">
        <w:trPr>
          <w:trHeight w:val="565"/>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UNEM</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0.038800</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0.118795(*)</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0.061122</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0.031523</w:t>
            </w:r>
          </w:p>
        </w:tc>
      </w:tr>
      <w:tr w:rsidR="001041B1" w:rsidRPr="0021104B">
        <w:trPr>
          <w:trHeight w:val="351"/>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trPr>
          <w:trHeight w:val="351"/>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r w:rsidRPr="0021104B">
              <w:rPr>
                <w:rFonts w:ascii="Times New Roman" w:hAnsi="Times New Roman" w:cs="Times New Roman"/>
                <w:b/>
                <w:bCs/>
                <w:color w:val="000000"/>
                <w:sz w:val="18"/>
                <w:szCs w:val="18"/>
              </w:rPr>
              <w:t>Macroeconomic fundamentals</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trPr>
          <w:trHeight w:val="534"/>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TOT</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5.777858(**)</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4.853761(**)</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5.693461(**)</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6.468590(**)</w:t>
            </w:r>
          </w:p>
        </w:tc>
      </w:tr>
      <w:tr w:rsidR="001041B1" w:rsidRPr="0021104B">
        <w:trPr>
          <w:trHeight w:val="691"/>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INF</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0.243113(**)</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0.335734(**)</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0.229408(**)</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0.318865(**)</w:t>
            </w:r>
          </w:p>
        </w:tc>
      </w:tr>
      <w:tr w:rsidR="001041B1" w:rsidRPr="0021104B">
        <w:trPr>
          <w:trHeight w:val="353"/>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trPr>
          <w:trHeight w:val="351"/>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r w:rsidRPr="0021104B">
              <w:rPr>
                <w:rFonts w:ascii="Times New Roman" w:hAnsi="Times New Roman" w:cs="Times New Roman"/>
                <w:b/>
                <w:bCs/>
                <w:color w:val="000000"/>
                <w:sz w:val="18"/>
                <w:szCs w:val="18"/>
              </w:rPr>
              <w:t>External shocks</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trPr>
          <w:trHeight w:val="351"/>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color w:val="000000"/>
                <w:sz w:val="18"/>
                <w:szCs w:val="18"/>
              </w:rPr>
              <w:t>OIL</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0.419755(**)</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0.268016(**)</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0.408544(**)</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0.374490(**)</w:t>
            </w:r>
          </w:p>
        </w:tc>
      </w:tr>
      <w:tr w:rsidR="001041B1" w:rsidRPr="0021104B">
        <w:trPr>
          <w:trHeight w:val="645"/>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color w:val="000000"/>
                <w:sz w:val="18"/>
                <w:szCs w:val="18"/>
              </w:rPr>
              <w:t>TBILL</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-0.014114(*)</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-0.015112(*)</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-0.012739</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-0.016585(*)</w:t>
            </w:r>
          </w:p>
        </w:tc>
      </w:tr>
      <w:tr w:rsidR="001041B1" w:rsidRPr="0021104B">
        <w:trPr>
          <w:trHeight w:val="353"/>
        </w:trPr>
        <w:tc>
          <w:tcPr>
            <w:tcW w:w="1679"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trPr>
          <w:trHeight w:val="351"/>
        </w:trPr>
        <w:tc>
          <w:tcPr>
            <w:tcW w:w="1679" w:type="dxa"/>
            <w:tcBorders>
              <w:top w:val="nil"/>
              <w:left w:val="nil"/>
              <w:bottom w:val="nil"/>
              <w:right w:val="nil"/>
            </w:tcBorders>
          </w:tcPr>
          <w:p w:rsidR="001041B1" w:rsidRPr="0021104B" w:rsidRDefault="001041B1" w:rsidP="0071182E">
            <w:pPr>
              <w:pStyle w:val="NoSpacing"/>
              <w:rPr>
                <w:rFonts w:ascii="Times New Roman" w:hAnsi="Times New Roman"/>
              </w:rPr>
            </w:pPr>
            <w:r w:rsidRPr="0021104B">
              <w:pict>
                <v:shape id="_x0000_i1065" type="#_x0000_t75" style="width:1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52F3&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5A52F3&quot;&gt;&lt;m:oMathPara&gt;&lt;m:oMath&gt;&lt;m:sSup&gt;&lt;m:sSupPr&gt;&lt;m:ctrlPr&gt;&lt;w:rPr&gt;&lt;w:rFonts w:ascii=&quot;Cambria Math&quot; w:fareast=&quot;Times New Roman&quot; w:h-ansi=&quot;Cambria Math&quot;/&gt;&lt;wx:font wx:val=&quot;Cambria Math&quot;/&gt;&lt;/w:rPr&gt;&lt;/m:ctrlPr&gt;&lt;/m:sSupPr&gt;&lt;m:e&gt;&lt;m:r&gt;&lt;m:rPr&gt;&lt;m:sty m:val=&quot;bi&quot;/&gt;&lt;/m:rPr&gt;&lt;w:rPr&gt;&lt;w:rFonts w:ascii=&quot;Cambria Math&quot; w:h-ansi=&quot;Cambria Math&quot;/&gt;&lt;wx:font wx:val=&quot;Cambria Math&quot;/&gt;&lt;w:b/&gt;&lt;w:i/&gt;&lt;/w:rPr&gt;&lt;m:t&gt;R&lt;/m:t&gt;&lt;/m:r&gt;&lt;m:ctrlPr&gt;&lt;w:rPr&gt;&lt;w:rFonts w:ascii=&quot;Cambria Math&quot; w:h-ansi=&quot;Cambria Math&quot;/&gt;&lt;wx:font wx:val=&quot;Cambria Math&quot;/&gt;&lt;/w:rPr&gt;&lt;/m:ctrlPr&gt;&lt;/m:e&gt;&lt;m:sup&gt;&lt;m:r&gt;&lt;m:rPr&gt;&lt;m:sty m:val=&quot;b&quot;/&gt;&lt;/m:rPr&gt;&lt;w:rPr&gt;&lt;w:rFonts w:ascii=&quot;Cambria Math&quot; w:h-ansi=&quot;Cambria Math&quot;/&gt;&lt;wx:font wx:val=&quot;Cambria Math&quot;/&gt;&lt;w:b/&gt;&lt;/w:rPr&gt;&lt;m:t&gt;2&lt;/m:t&gt;&lt;/m:r&gt;&lt;m:ctrlPr&gt;&lt;w:rPr&gt;&lt;w:rFonts w:ascii=&quot;Cambria Math&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5" o:title="" chromakey="white"/>
                </v:shape>
              </w:pic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0.7929</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0.8129</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0.7941</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0.8023</w:t>
            </w:r>
          </w:p>
        </w:tc>
      </w:tr>
      <w:tr w:rsidR="001041B1" w:rsidRPr="0021104B">
        <w:trPr>
          <w:trHeight w:val="240"/>
        </w:trPr>
        <w:tc>
          <w:tcPr>
            <w:tcW w:w="1679" w:type="dxa"/>
            <w:tcBorders>
              <w:top w:val="nil"/>
              <w:left w:val="nil"/>
              <w:bottom w:val="nil"/>
              <w:right w:val="nil"/>
            </w:tcBorders>
          </w:tcPr>
          <w:p w:rsidR="001041B1" w:rsidRPr="0021104B" w:rsidRDefault="001041B1" w:rsidP="0071182E">
            <w:pPr>
              <w:pStyle w:val="NoSpacing"/>
              <w:spacing w:line="360" w:lineRule="auto"/>
              <w:jc w:val="center"/>
              <w:rPr>
                <w:rFonts w:ascii="Times New Roman" w:hAnsi="Times New Roman" w:cs="Times New Roman"/>
                <w:b/>
                <w:bCs/>
                <w:sz w:val="20"/>
                <w:szCs w:val="20"/>
              </w:rPr>
            </w:pPr>
            <w:r w:rsidRPr="0021104B">
              <w:rPr>
                <w:rFonts w:ascii="Times New Roman" w:hAnsi="Times New Roman" w:cs="Times New Roman"/>
                <w:b/>
                <w:bCs/>
                <w:sz w:val="20"/>
                <w:szCs w:val="20"/>
              </w:rPr>
              <w:t xml:space="preserve">Adjusted </w:t>
            </w:r>
            <w:r w:rsidRPr="0021104B">
              <w:rPr>
                <w:rFonts w:ascii="Times New Roman" w:hAnsi="Times New Roman" w:cs="Times New Roman"/>
                <w:b/>
                <w:bCs/>
                <w:sz w:val="20"/>
                <w:szCs w:val="20"/>
              </w:rPr>
              <w:fldChar w:fldCharType="begin"/>
            </w:r>
            <w:r w:rsidRPr="0021104B">
              <w:rPr>
                <w:rFonts w:ascii="Times New Roman" w:hAnsi="Times New Roman" w:cs="Times New Roman"/>
                <w:b/>
                <w:bCs/>
                <w:sz w:val="20"/>
                <w:szCs w:val="20"/>
              </w:rPr>
              <w:instrText xml:space="preserve"> QUOTE </w:instrText>
            </w:r>
            <w:r w:rsidRPr="0021104B">
              <w:pict>
                <v:shape id="_x0000_i1066" type="#_x0000_t75" style="width:13.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2154&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BA2154&quot;&gt;&lt;m:oMathPara&gt;&lt;m:oMath&gt;&lt;m:sSup&gt;&lt;m:sSupPr&gt;&lt;m:ctrlPr&gt;&lt;w:rPr&gt;&lt;w:rFonts w:ascii=&quot;Cambria Math&quot; w:fareast=&quot;Times New Roman&quot; w:h-ansi=&quot;Cambria Math&quot; w:cs=&quot;Times New Roman&quot;/&gt;&lt;wx:font wx:val=&quot;Cambria Math&quot;/&gt;&lt;w:b/&gt;&lt;w:b-cs/&gt;&lt;w:i/&gt;&lt;w:sz w:val=&quot;20&quot;/&gt;&lt;w:sz-cs w:val=&quot;20&quot;/&gt;&lt;/w:rPr&gt;&lt;/m:ctrlPr&gt;&lt;/m:sSupPr&gt;&lt;m:e&gt;&lt;m:r&gt;&lt;m:rPr&gt;&lt;m:sty m:val=&quot;bi&quot;/&gt;&lt;/m:rPr&gt;&lt;w:rPr&gt;&lt;w:rFonts w:ascii=&quot;Cambria Math&quot; w:h-ansi=&quot;Cambria Math&quot; w:cs=&quot;Times New Roman&quot;/&gt;&lt;wx:font wx:val=&quot;Cambria Math&quot;/&gt;&lt;w:b/&gt;&lt;w:i/&gt;&lt;w:sz w:val=&quot;20&quot;/&gt;&lt;w:sz-cs w:val=&quot;20&quot;/&gt;&lt;/w:rPr&gt;&lt;m:t&gt;R&lt;/m:t&gt;&lt;/m:r&gt;&lt;m:ctrlPr&gt;&lt;w:rPr&gt;&lt;w:rFonts w:ascii=&quot;Cambria Math&quot; w:h-ansi=&quot;Cambria Math&quot; w:cs=&quot;Times New Roman&quot;/&gt;&lt;wx:font wx:val=&quot;Cambria Math&quot;/&gt;&lt;w:b/&gt;&lt;w:b-cs/&gt;&lt;w:i/&gt;&lt;w:sz w:val=&quot;20&quot;/&gt;&lt;w:sz-cs w:val=&quot;20&quot;/&gt;&lt;/w:rPr&gt;&lt;/m:ctrlPr&gt;&lt;/m:e&gt;&lt;m:sup&gt;&lt;m:r&gt;&lt;m:rPr&gt;&lt;m:sty m:val=&quot;bi&quot;/&gt;&lt;/m:rPr&gt;&lt;w:rPr&gt;&lt;w:rFonts w:ascii=&quot;Cambria Math&quot; w:h-ansi=&quot;Cambria Math&quot; w:cs=&quot;Times New Roman&quot;/&gt;&lt;wx:font wx:val=&quot;Cambria Math&quot;/&gt;&lt;w:b/&gt;&lt;w:i/&gt;&lt;w:sz w:val=&quot;20&quot;/&gt;&lt;w:sz-cs w:val=&quot;20&quot;/&gt;&lt;/w:rPr&gt;&lt;m:t&gt;2&lt;/m:t&gt;&lt;/m:r&gt;&lt;m:ctrlPr&gt;&lt;w:rPr&gt;&lt;w:rFonts w:ascii=&quot;Cambria Math&quot; w:h-ansi=&quot;Cambria Math&quot; w:cs=&quot;Times New Roman&quot;/&gt;&lt;wx:font wx:val=&quot;Cambria Math&quot;/&gt;&lt;w:b/&gt;&lt;w:b-cs/&gt;&lt;w:i/&gt;&lt;w:sz w:val=&quot;20&quot;/&gt;&lt;w:sz-cs w:val=&quot;20&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6" o:title="" chromakey="white"/>
                </v:shape>
              </w:pict>
            </w:r>
            <w:r w:rsidRPr="0021104B">
              <w:rPr>
                <w:rFonts w:ascii="Times New Roman" w:hAnsi="Times New Roman" w:cs="Times New Roman"/>
                <w:b/>
                <w:bCs/>
                <w:sz w:val="20"/>
                <w:szCs w:val="20"/>
              </w:rPr>
              <w:instrText xml:space="preserve"> </w:instrText>
            </w:r>
            <w:r w:rsidRPr="0021104B">
              <w:rPr>
                <w:rFonts w:ascii="Times New Roman" w:hAnsi="Times New Roman" w:cs="Times New Roman"/>
                <w:b/>
                <w:bCs/>
                <w:sz w:val="20"/>
                <w:szCs w:val="20"/>
              </w:rPr>
              <w:fldChar w:fldCharType="separate"/>
            </w:r>
            <w:r w:rsidRPr="0021104B">
              <w:pict>
                <v:shape id="_x0000_i1067" type="#_x0000_t75" style="width:13.5pt;height:1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08&quot;/&gt;&lt;w:hyphenationZone w:val=&quot;425&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C625EF&quot;/&gt;&lt;wsp:rsid wsp:val=&quot;000336D5&quot;/&gt;&lt;wsp:rsid wsp:val=&quot;000602E5&quot;/&gt;&lt;wsp:rsid wsp:val=&quot;0006376C&quot;/&gt;&lt;wsp:rsid wsp:val=&quot;00085890&quot;/&gt;&lt;wsp:rsid wsp:val=&quot;00087318&quot;/&gt;&lt;wsp:rsid wsp:val=&quot;00097D64&quot;/&gt;&lt;wsp:rsid wsp:val=&quot;000A3331&quot;/&gt;&lt;wsp:rsid wsp:val=&quot;000B0B15&quot;/&gt;&lt;wsp:rsid wsp:val=&quot;000C091A&quot;/&gt;&lt;wsp:rsid wsp:val=&quot;000D31DD&quot;/&gt;&lt;wsp:rsid wsp:val=&quot;000D6F43&quot;/&gt;&lt;wsp:rsid wsp:val=&quot;000E4B8E&quot;/&gt;&lt;wsp:rsid wsp:val=&quot;000F06BA&quot;/&gt;&lt;wsp:rsid wsp:val=&quot;00102567&quot;/&gt;&lt;wsp:rsid wsp:val=&quot;00121194&quot;/&gt;&lt;wsp:rsid wsp:val=&quot;00125173&quot;/&gt;&lt;wsp:rsid wsp:val=&quot;0012665D&quot;/&gt;&lt;wsp:rsid wsp:val=&quot;0013338A&quot;/&gt;&lt;wsp:rsid wsp:val=&quot;001511B0&quot;/&gt;&lt;wsp:rsid wsp:val=&quot;00153E06&quot;/&gt;&lt;wsp:rsid wsp:val=&quot;0015792D&quot;/&gt;&lt;wsp:rsid wsp:val=&quot;00160583&quot;/&gt;&lt;wsp:rsid wsp:val=&quot;0016273C&quot;/&gt;&lt;wsp:rsid wsp:val=&quot;00166AF6&quot;/&gt;&lt;wsp:rsid wsp:val=&quot;00176DD0&quot;/&gt;&lt;wsp:rsid wsp:val=&quot;0018535D&quot;/&gt;&lt;wsp:rsid wsp:val=&quot;00194847&quot;/&gt;&lt;wsp:rsid wsp:val=&quot;001B0056&quot;/&gt;&lt;wsp:rsid wsp:val=&quot;001B2940&quot;/&gt;&lt;wsp:rsid wsp:val=&quot;001B3B38&quot;/&gt;&lt;wsp:rsid wsp:val=&quot;001B7503&quot;/&gt;&lt;wsp:rsid wsp:val=&quot;001F0F3F&quot;/&gt;&lt;wsp:rsid wsp:val=&quot;001F4895&quot;/&gt;&lt;wsp:rsid wsp:val=&quot;0021104B&quot;/&gt;&lt;wsp:rsid wsp:val=&quot;002115C7&quot;/&gt;&lt;wsp:rsid wsp:val=&quot;00212423&quot;/&gt;&lt;wsp:rsid wsp:val=&quot;00243DA5&quot;/&gt;&lt;wsp:rsid wsp:val=&quot;0026486C&quot;/&gt;&lt;wsp:rsid wsp:val=&quot;00273A45&quot;/&gt;&lt;wsp:rsid wsp:val=&quot;00273BBC&quot;/&gt;&lt;wsp:rsid wsp:val=&quot;002764D5&quot;/&gt;&lt;wsp:rsid wsp:val=&quot;002907E6&quot;/&gt;&lt;wsp:rsid wsp:val=&quot;0029597A&quot;/&gt;&lt;wsp:rsid wsp:val=&quot;002B4108&quot;/&gt;&lt;wsp:rsid wsp:val=&quot;002C3160&quot;/&gt;&lt;wsp:rsid wsp:val=&quot;002C3541&quot;/&gt;&lt;wsp:rsid wsp:val=&quot;002D141F&quot;/&gt;&lt;wsp:rsid wsp:val=&quot;002D1E78&quot;/&gt;&lt;wsp:rsid wsp:val=&quot;002D54B7&quot;/&gt;&lt;wsp:rsid wsp:val=&quot;002E0624&quot;/&gt;&lt;wsp:rsid wsp:val=&quot;003032AB&quot;/&gt;&lt;wsp:rsid wsp:val=&quot;00306542&quot;/&gt;&lt;wsp:rsid wsp:val=&quot;00316526&quot;/&gt;&lt;wsp:rsid wsp:val=&quot;00325E3E&quot;/&gt;&lt;wsp:rsid wsp:val=&quot;003330B9&quot;/&gt;&lt;wsp:rsid wsp:val=&quot;00334107&quot;/&gt;&lt;wsp:rsid wsp:val=&quot;0034310A&quot;/&gt;&lt;wsp:rsid wsp:val=&quot;0034442A&quot;/&gt;&lt;wsp:rsid wsp:val=&quot;00373C8F&quot;/&gt;&lt;wsp:rsid wsp:val=&quot;0037701C&quot;/&gt;&lt;wsp:rsid wsp:val=&quot;00386B69&quot;/&gt;&lt;wsp:rsid wsp:val=&quot;003B138A&quot;/&gt;&lt;wsp:rsid wsp:val=&quot;003C724D&quot;/&gt;&lt;wsp:rsid wsp:val=&quot;003D2BC0&quot;/&gt;&lt;wsp:rsid wsp:val=&quot;004269BB&quot;/&gt;&lt;wsp:rsid wsp:val=&quot;00452292&quot;/&gt;&lt;wsp:rsid wsp:val=&quot;004610D6&quot;/&gt;&lt;wsp:rsid wsp:val=&quot;00464EB7&quot;/&gt;&lt;wsp:rsid wsp:val=&quot;00481F41&quot;/&gt;&lt;wsp:rsid wsp:val=&quot;004866D8&quot;/&gt;&lt;wsp:rsid wsp:val=&quot;00491C76&quot;/&gt;&lt;wsp:rsid wsp:val=&quot;004971B9&quot;/&gt;&lt;wsp:rsid wsp:val=&quot;00497922&quot;/&gt;&lt;wsp:rsid wsp:val=&quot;004B1595&quot;/&gt;&lt;wsp:rsid wsp:val=&quot;004C6671&quot;/&gt;&lt;wsp:rsid wsp:val=&quot;004F460B&quot;/&gt;&lt;wsp:rsid wsp:val=&quot;00520325&quot;/&gt;&lt;wsp:rsid wsp:val=&quot;0053571B&quot;/&gt;&lt;wsp:rsid wsp:val=&quot;00537869&quot;/&gt;&lt;wsp:rsid wsp:val=&quot;00557FA3&quot;/&gt;&lt;wsp:rsid wsp:val=&quot;00572226&quot;/&gt;&lt;wsp:rsid wsp:val=&quot;005A1F24&quot;/&gt;&lt;wsp:rsid wsp:val=&quot;005A6ED8&quot;/&gt;&lt;wsp:rsid wsp:val=&quot;005B04E1&quot;/&gt;&lt;wsp:rsid wsp:val=&quot;005C080C&quot;/&gt;&lt;wsp:rsid wsp:val=&quot;005D33F8&quot;/&gt;&lt;wsp:rsid wsp:val=&quot;005D530D&quot;/&gt;&lt;wsp:rsid wsp:val=&quot;00606078&quot;/&gt;&lt;wsp:rsid wsp:val=&quot;00624B32&quot;/&gt;&lt;wsp:rsid wsp:val=&quot;00627012&quot;/&gt;&lt;wsp:rsid wsp:val=&quot;00636EA4&quot;/&gt;&lt;wsp:rsid wsp:val=&quot;00640E34&quot;/&gt;&lt;wsp:rsid wsp:val=&quot;006419C6&quot;/&gt;&lt;wsp:rsid wsp:val=&quot;006467EE&quot;/&gt;&lt;wsp:rsid wsp:val=&quot;006472FD&quot;/&gt;&lt;wsp:rsid wsp:val=&quot;00660057&quot;/&gt;&lt;wsp:rsid wsp:val=&quot;00697B07&quot;/&gt;&lt;wsp:rsid wsp:val=&quot;006A4341&quot;/&gt;&lt;wsp:rsid wsp:val=&quot;006A583F&quot;/&gt;&lt;wsp:rsid wsp:val=&quot;006B1359&quot;/&gt;&lt;wsp:rsid wsp:val=&quot;006B18D6&quot;/&gt;&lt;wsp:rsid wsp:val=&quot;006C1CD7&quot;/&gt;&lt;wsp:rsid wsp:val=&quot;007108BC&quot;/&gt;&lt;wsp:rsid wsp:val=&quot;0071182E&quot;/&gt;&lt;wsp:rsid wsp:val=&quot;0072144D&quot;/&gt;&lt;wsp:rsid wsp:val=&quot;0072281F&quot;/&gt;&lt;wsp:rsid wsp:val=&quot;00734E15&quot;/&gt;&lt;wsp:rsid wsp:val=&quot;00736AEA&quot;/&gt;&lt;wsp:rsid wsp:val=&quot;0074566C&quot;/&gt;&lt;wsp:rsid wsp:val=&quot;00762F1B&quot;/&gt;&lt;wsp:rsid wsp:val=&quot;00775E10&quot;/&gt;&lt;wsp:rsid wsp:val=&quot;007778BE&quot;/&gt;&lt;wsp:rsid wsp:val=&quot;00777D33&quot;/&gt;&lt;wsp:rsid wsp:val=&quot;0078014C&quot;/&gt;&lt;wsp:rsid wsp:val=&quot;00780293&quot;/&gt;&lt;wsp:rsid wsp:val=&quot;00790C23&quot;/&gt;&lt;wsp:rsid wsp:val=&quot;00791CA7&quot;/&gt;&lt;wsp:rsid wsp:val=&quot;007B2F2A&quot;/&gt;&lt;wsp:rsid wsp:val=&quot;007B67B3&quot;/&gt;&lt;wsp:rsid wsp:val=&quot;007D3ADC&quot;/&gt;&lt;wsp:rsid wsp:val=&quot;007E68E7&quot;/&gt;&lt;wsp:rsid wsp:val=&quot;008079FB&quot;/&gt;&lt;wsp:rsid wsp:val=&quot;00822020&quot;/&gt;&lt;wsp:rsid wsp:val=&quot;00843E6D&quot;/&gt;&lt;wsp:rsid wsp:val=&quot;00851804&quot;/&gt;&lt;wsp:rsid wsp:val=&quot;00862C33&quot;/&gt;&lt;wsp:rsid wsp:val=&quot;008666E7&quot;/&gt;&lt;wsp:rsid wsp:val=&quot;00880374&quot;/&gt;&lt;wsp:rsid wsp:val=&quot;008B10D3&quot;/&gt;&lt;wsp:rsid wsp:val=&quot;008B709F&quot;/&gt;&lt;wsp:rsid wsp:val=&quot;008C70FF&quot;/&gt;&lt;wsp:rsid wsp:val=&quot;008E2A5D&quot;/&gt;&lt;wsp:rsid wsp:val=&quot;008F5DA3&quot;/&gt;&lt;wsp:rsid wsp:val=&quot;008F769C&quot;/&gt;&lt;wsp:rsid wsp:val=&quot;00900960&quot;/&gt;&lt;wsp:rsid wsp:val=&quot;009103FC&quot;/&gt;&lt;wsp:rsid wsp:val=&quot;009146BA&quot;/&gt;&lt;wsp:rsid wsp:val=&quot;00935D4C&quot;/&gt;&lt;wsp:rsid wsp:val=&quot;0096010E&quot;/&gt;&lt;wsp:rsid wsp:val=&quot;0097537D&quot;/&gt;&lt;wsp:rsid wsp:val=&quot;00980902&quot;/&gt;&lt;wsp:rsid wsp:val=&quot;00987F95&quot;/&gt;&lt;wsp:rsid wsp:val=&quot;009A3560&quot;/&gt;&lt;wsp:rsid wsp:val=&quot;009A45E8&quot;/&gt;&lt;wsp:rsid wsp:val=&quot;009C054D&quot;/&gt;&lt;wsp:rsid wsp:val=&quot;009C20CF&quot;/&gt;&lt;wsp:rsid wsp:val=&quot;009D022E&quot;/&gt;&lt;wsp:rsid wsp:val=&quot;009D181D&quot;/&gt;&lt;wsp:rsid wsp:val=&quot;009E5914&quot;/&gt;&lt;wsp:rsid wsp:val=&quot;009F05F4&quot;/&gt;&lt;wsp:rsid wsp:val=&quot;009F6736&quot;/&gt;&lt;wsp:rsid wsp:val=&quot;00A03AD7&quot;/&gt;&lt;wsp:rsid wsp:val=&quot;00A067D9&quot;/&gt;&lt;wsp:rsid wsp:val=&quot;00A16F13&quot;/&gt;&lt;wsp:rsid wsp:val=&quot;00A1736B&quot;/&gt;&lt;wsp:rsid wsp:val=&quot;00A375BE&quot;/&gt;&lt;wsp:rsid wsp:val=&quot;00A53810&quot;/&gt;&lt;wsp:rsid wsp:val=&quot;00A54CBC&quot;/&gt;&lt;wsp:rsid wsp:val=&quot;00A55100&quot;/&gt;&lt;wsp:rsid wsp:val=&quot;00A7094C&quot;/&gt;&lt;wsp:rsid wsp:val=&quot;00A715B1&quot;/&gt;&lt;wsp:rsid wsp:val=&quot;00A819C0&quot;/&gt;&lt;wsp:rsid wsp:val=&quot;00A83951&quot;/&gt;&lt;wsp:rsid wsp:val=&quot;00A86229&quot;/&gt;&lt;wsp:rsid wsp:val=&quot;00AA2DD7&quot;/&gt;&lt;wsp:rsid wsp:val=&quot;00AB14A4&quot;/&gt;&lt;wsp:rsid wsp:val=&quot;00AB25AB&quot;/&gt;&lt;wsp:rsid wsp:val=&quot;00AD0C37&quot;/&gt;&lt;wsp:rsid wsp:val=&quot;00AD313A&quot;/&gt;&lt;wsp:rsid wsp:val=&quot;00AE065A&quot;/&gt;&lt;wsp:rsid wsp:val=&quot;00AE533D&quot;/&gt;&lt;wsp:rsid wsp:val=&quot;00AE7630&quot;/&gt;&lt;wsp:rsid wsp:val=&quot;00AF3DF7&quot;/&gt;&lt;wsp:rsid wsp:val=&quot;00B10805&quot;/&gt;&lt;wsp:rsid wsp:val=&quot;00B20B7D&quot;/&gt;&lt;wsp:rsid wsp:val=&quot;00B22073&quot;/&gt;&lt;wsp:rsid wsp:val=&quot;00B45688&quot;/&gt;&lt;wsp:rsid wsp:val=&quot;00B469BD&quot;/&gt;&lt;wsp:rsid wsp:val=&quot;00B46BDE&quot;/&gt;&lt;wsp:rsid wsp:val=&quot;00B57D84&quot;/&gt;&lt;wsp:rsid wsp:val=&quot;00B76A8C&quot;/&gt;&lt;wsp:rsid wsp:val=&quot;00B76B43&quot;/&gt;&lt;wsp:rsid wsp:val=&quot;00B805A9&quot;/&gt;&lt;wsp:rsid wsp:val=&quot;00B81A4A&quot;/&gt;&lt;wsp:rsid wsp:val=&quot;00B83F73&quot;/&gt;&lt;wsp:rsid wsp:val=&quot;00B8668C&quot;/&gt;&lt;wsp:rsid wsp:val=&quot;00B90DA7&quot;/&gt;&lt;wsp:rsid wsp:val=&quot;00BA1446&quot;/&gt;&lt;wsp:rsid wsp:val=&quot;00BA2154&quot;/&gt;&lt;wsp:rsid wsp:val=&quot;00BA4178&quot;/&gt;&lt;wsp:rsid wsp:val=&quot;00BD4A76&quot;/&gt;&lt;wsp:rsid wsp:val=&quot;00BD5168&quot;/&gt;&lt;wsp:rsid wsp:val=&quot;00BE219B&quot;/&gt;&lt;wsp:rsid wsp:val=&quot;00BF07AB&quot;/&gt;&lt;wsp:rsid wsp:val=&quot;00C11897&quot;/&gt;&lt;wsp:rsid wsp:val=&quot;00C15182&quot;/&gt;&lt;wsp:rsid wsp:val=&quot;00C2235B&quot;/&gt;&lt;wsp:rsid wsp:val=&quot;00C300F1&quot;/&gt;&lt;wsp:rsid wsp:val=&quot;00C37CF8&quot;/&gt;&lt;wsp:rsid wsp:val=&quot;00C566EE&quot;/&gt;&lt;wsp:rsid wsp:val=&quot;00C625EF&quot;/&gt;&lt;wsp:rsid wsp:val=&quot;00C6411F&quot;/&gt;&lt;wsp:rsid wsp:val=&quot;00C85EC5&quot;/&gt;&lt;wsp:rsid wsp:val=&quot;00C91A9C&quot;/&gt;&lt;wsp:rsid wsp:val=&quot;00CB3EF3&quot;/&gt;&lt;wsp:rsid wsp:val=&quot;00CB6637&quot;/&gt;&lt;wsp:rsid wsp:val=&quot;00CC34A6&quot;/&gt;&lt;wsp:rsid wsp:val=&quot;00CC532E&quot;/&gt;&lt;wsp:rsid wsp:val=&quot;00CD3294&quot;/&gt;&lt;wsp:rsid wsp:val=&quot;00CE5643&quot;/&gt;&lt;wsp:rsid wsp:val=&quot;00CF3B39&quot;/&gt;&lt;wsp:rsid wsp:val=&quot;00D05873&quot;/&gt;&lt;wsp:rsid wsp:val=&quot;00D26A21&quot;/&gt;&lt;wsp:rsid wsp:val=&quot;00D63505&quot;/&gt;&lt;wsp:rsid wsp:val=&quot;00D75391&quot;/&gt;&lt;wsp:rsid wsp:val=&quot;00D8402E&quot;/&gt;&lt;wsp:rsid wsp:val=&quot;00DA4E63&quot;/&gt;&lt;wsp:rsid wsp:val=&quot;00DA76B3&quot;/&gt;&lt;wsp:rsid wsp:val=&quot;00DB6172&quot;/&gt;&lt;wsp:rsid wsp:val=&quot;00DC1E48&quot;/&gt;&lt;wsp:rsid wsp:val=&quot;00DC327B&quot;/&gt;&lt;wsp:rsid wsp:val=&quot;00DD0C3C&quot;/&gt;&lt;wsp:rsid wsp:val=&quot;00DF227B&quot;/&gt;&lt;wsp:rsid wsp:val=&quot;00E03AEB&quot;/&gt;&lt;wsp:rsid wsp:val=&quot;00E07E83&quot;/&gt;&lt;wsp:rsid wsp:val=&quot;00E11729&quot;/&gt;&lt;wsp:rsid wsp:val=&quot;00E3542D&quot;/&gt;&lt;wsp:rsid wsp:val=&quot;00E44863&quot;/&gt;&lt;wsp:rsid wsp:val=&quot;00E66980&quot;/&gt;&lt;wsp:rsid wsp:val=&quot;00E71433&quot;/&gt;&lt;wsp:rsid wsp:val=&quot;00E72A67&quot;/&gt;&lt;wsp:rsid wsp:val=&quot;00E770C2&quot;/&gt;&lt;wsp:rsid wsp:val=&quot;00E77E23&quot;/&gt;&lt;wsp:rsid wsp:val=&quot;00E858A2&quot;/&gt;&lt;wsp:rsid wsp:val=&quot;00E867E8&quot;/&gt;&lt;wsp:rsid wsp:val=&quot;00E9113E&quot;/&gt;&lt;wsp:rsid wsp:val=&quot;00EA386C&quot;/&gt;&lt;wsp:rsid wsp:val=&quot;00EC3BCF&quot;/&gt;&lt;wsp:rsid wsp:val=&quot;00EE6F81&quot;/&gt;&lt;wsp:rsid wsp:val=&quot;00EF6050&quot;/&gt;&lt;wsp:rsid wsp:val=&quot;00F050CC&quot;/&gt;&lt;wsp:rsid wsp:val=&quot;00F0791C&quot;/&gt;&lt;wsp:rsid wsp:val=&quot;00F12D61&quot;/&gt;&lt;wsp:rsid wsp:val=&quot;00F17E30&quot;/&gt;&lt;wsp:rsid wsp:val=&quot;00F2211C&quot;/&gt;&lt;wsp:rsid wsp:val=&quot;00F2402E&quot;/&gt;&lt;wsp:rsid wsp:val=&quot;00F30F48&quot;/&gt;&lt;wsp:rsid wsp:val=&quot;00F34907&quot;/&gt;&lt;wsp:rsid wsp:val=&quot;00F64ABB&quot;/&gt;&lt;wsp:rsid wsp:val=&quot;00F73303&quot;/&gt;&lt;wsp:rsid wsp:val=&quot;00FB5FF5&quot;/&gt;&lt;wsp:rsid wsp:val=&quot;00FC179C&quot;/&gt;&lt;wsp:rsid wsp:val=&quot;00FC19A8&quot;/&gt;&lt;wsp:rsid wsp:val=&quot;00FC1A5B&quot;/&gt;&lt;wsp:rsid wsp:val=&quot;00FD18A8&quot;/&gt;&lt;wsp:rsid wsp:val=&quot;00FE4724&quot;/&gt;&lt;wsp:rsid wsp:val=&quot;00FF77A1&quot;/&gt;&lt;/wsp:rsids&gt;&lt;/w:docPr&gt;&lt;w:body&gt;&lt;w:p wsp:rsidR=&quot;00000000&quot; wsp:rsidRDefault=&quot;00BA2154&quot;&gt;&lt;m:oMathPara&gt;&lt;m:oMath&gt;&lt;m:sSup&gt;&lt;m:sSupPr&gt;&lt;m:ctrlPr&gt;&lt;w:rPr&gt;&lt;w:rFonts w:ascii=&quot;Cambria Math&quot; w:fareast=&quot;Times New Roman&quot; w:h-ansi=&quot;Cambria Math&quot; w:cs=&quot;Times New Roman&quot;/&gt;&lt;wx:font wx:val=&quot;Cambria Math&quot;/&gt;&lt;w:b/&gt;&lt;w:b-cs/&gt;&lt;w:i/&gt;&lt;w:sz w:val=&quot;20&quot;/&gt;&lt;w:sz-cs w:val=&quot;20&quot;/&gt;&lt;/w:rPr&gt;&lt;/m:ctrlPr&gt;&lt;/m:sSupPr&gt;&lt;m:e&gt;&lt;m:r&gt;&lt;m:rPr&gt;&lt;m:sty m:val=&quot;bi&quot;/&gt;&lt;/m:rPr&gt;&lt;w:rPr&gt;&lt;w:rFonts w:ascii=&quot;Cambria Math&quot; w:h-ansi=&quot;Cambria Math&quot; w:cs=&quot;Times New Roman&quot;/&gt;&lt;wx:font wx:val=&quot;Cambria Math&quot;/&gt;&lt;w:b/&gt;&lt;w:i/&gt;&lt;w:sz w:val=&quot;20&quot;/&gt;&lt;w:sz-cs w:val=&quot;20&quot;/&gt;&lt;/w:rPr&gt;&lt;m:t&gt;R&lt;/m:t&gt;&lt;/m:r&gt;&lt;m:ctrlPr&gt;&lt;w:rPr&gt;&lt;w:rFonts w:ascii=&quot;Cambria Math&quot; w:h-ansi=&quot;Cambria Math&quot; w:cs=&quot;Times New Roman&quot;/&gt;&lt;wx:font wx:val=&quot;Cambria Math&quot;/&gt;&lt;w:b/&gt;&lt;w:b-cs/&gt;&lt;w:i/&gt;&lt;w:sz w:val=&quot;20&quot;/&gt;&lt;w:sz-cs w:val=&quot;20&quot;/&gt;&lt;/w:rPr&gt;&lt;/m:ctrlPr&gt;&lt;/m:e&gt;&lt;m:sup&gt;&lt;m:r&gt;&lt;m:rPr&gt;&lt;m:sty m:val=&quot;bi&quot;/&gt;&lt;/m:rPr&gt;&lt;w:rPr&gt;&lt;w:rFonts w:ascii=&quot;Cambria Math&quot; w:h-ansi=&quot;Cambria Math&quot; w:cs=&quot;Times New Roman&quot;/&gt;&lt;wx:font wx:val=&quot;Cambria Math&quot;/&gt;&lt;w:b/&gt;&lt;w:i/&gt;&lt;w:sz w:val=&quot;20&quot;/&gt;&lt;w:sz-cs w:val=&quot;20&quot;/&gt;&lt;/w:rPr&gt;&lt;m:t&gt;2&lt;/m:t&gt;&lt;/m:r&gt;&lt;m:ctrlPr&gt;&lt;w:rPr&gt;&lt;w:rFonts w:ascii=&quot;Cambria Math&quot; w:h-ansi=&quot;Cambria Math&quot; w:cs=&quot;Times New Roman&quot;/&gt;&lt;wx:font wx:val=&quot;Cambria Math&quot;/&gt;&lt;w:b/&gt;&lt;w:b-cs/&gt;&lt;w:i/&gt;&lt;w:sz w:val=&quot;20&quot;/&gt;&lt;w:sz-cs w:val=&quot;20&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6" o:title="" chromakey="white"/>
                </v:shape>
              </w:pict>
            </w:r>
            <w:r w:rsidRPr="0021104B">
              <w:rPr>
                <w:rFonts w:ascii="Times New Roman" w:hAnsi="Times New Roman" w:cs="Times New Roman"/>
                <w:b/>
                <w:bCs/>
                <w:sz w:val="20"/>
                <w:szCs w:val="20"/>
              </w:rPr>
              <w:fldChar w:fldCharType="end"/>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0.7594</w:t>
            </w:r>
          </w:p>
        </w:tc>
        <w:tc>
          <w:tcPr>
            <w:tcW w:w="1709"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0.7794</w:t>
            </w:r>
          </w:p>
        </w:tc>
        <w:tc>
          <w:tcPr>
            <w:tcW w:w="185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0.7572</w:t>
            </w:r>
          </w:p>
        </w:tc>
        <w:tc>
          <w:tcPr>
            <w:tcW w:w="1921"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0.7669</w:t>
            </w:r>
          </w:p>
        </w:tc>
      </w:tr>
      <w:tr w:rsidR="001041B1" w:rsidRPr="0021104B" w:rsidTr="00987F95">
        <w:trPr>
          <w:trHeight w:val="240"/>
        </w:trPr>
        <w:tc>
          <w:tcPr>
            <w:tcW w:w="1679" w:type="dxa"/>
            <w:tcBorders>
              <w:top w:val="nil"/>
              <w:left w:val="nil"/>
              <w:bottom w:val="single" w:sz="12" w:space="0" w:color="auto"/>
              <w:right w:val="nil"/>
            </w:tcBorders>
          </w:tcPr>
          <w:p w:rsidR="001041B1" w:rsidRPr="0021104B" w:rsidRDefault="001041B1">
            <w:pPr>
              <w:pStyle w:val="NoSpacing"/>
              <w:spacing w:line="360" w:lineRule="auto"/>
              <w:rPr>
                <w:rFonts w:ascii="Times New Roman" w:hAnsi="Times New Roman" w:cs="Times New Roman"/>
                <w:b/>
                <w:bCs/>
                <w:sz w:val="20"/>
                <w:szCs w:val="20"/>
              </w:rPr>
            </w:pPr>
          </w:p>
        </w:tc>
        <w:tc>
          <w:tcPr>
            <w:tcW w:w="1851" w:type="dxa"/>
            <w:tcBorders>
              <w:top w:val="nil"/>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p>
        </w:tc>
        <w:tc>
          <w:tcPr>
            <w:tcW w:w="1709" w:type="dxa"/>
            <w:tcBorders>
              <w:top w:val="nil"/>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p>
        </w:tc>
        <w:tc>
          <w:tcPr>
            <w:tcW w:w="1851" w:type="dxa"/>
            <w:tcBorders>
              <w:top w:val="nil"/>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p>
        </w:tc>
        <w:tc>
          <w:tcPr>
            <w:tcW w:w="1921" w:type="dxa"/>
            <w:tcBorders>
              <w:top w:val="nil"/>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p>
        </w:tc>
      </w:tr>
    </w:tbl>
    <w:p w:rsidR="001041B1" w:rsidRDefault="001041B1">
      <w:pPr>
        <w:pStyle w:val="NoSpacing"/>
        <w:rPr>
          <w:rFonts w:ascii="Times New Roman" w:hAnsi="Times New Roman" w:cs="Times New Roman"/>
          <w:sz w:val="18"/>
          <w:szCs w:val="18"/>
        </w:rPr>
      </w:pPr>
      <w:r>
        <w:rPr>
          <w:rFonts w:ascii="Times New Roman" w:hAnsi="Times New Roman" w:cs="Times New Roman"/>
          <w:sz w:val="18"/>
          <w:szCs w:val="18"/>
        </w:rPr>
        <w:t xml:space="preserve">Notes: model 1: total; model 2: Latin America; model 3: Europe; model 4: Asia. The OLS estimation is used. </w:t>
      </w:r>
    </w:p>
    <w:p w:rsidR="001041B1" w:rsidRDefault="001041B1" w:rsidP="00640E34">
      <w:pPr>
        <w:pStyle w:val="NoSpacing"/>
        <w:rPr>
          <w:rFonts w:ascii="Times New Roman" w:hAnsi="Times New Roman" w:cs="Times New Roman"/>
          <w:sz w:val="18"/>
          <w:szCs w:val="18"/>
          <w:lang w:val="en-GB"/>
        </w:rPr>
      </w:pPr>
      <w:r>
        <w:rPr>
          <w:rFonts w:ascii="Times New Roman" w:hAnsi="Times New Roman" w:cs="Times New Roman"/>
          <w:sz w:val="18"/>
          <w:szCs w:val="18"/>
          <w:lang w:val="en-GB"/>
        </w:rPr>
        <w:t>*Significant at 5% critical level, ** significant at 1% critical level.</w:t>
      </w:r>
    </w:p>
    <w:p w:rsidR="001041B1" w:rsidRDefault="001041B1" w:rsidP="00640E34">
      <w:pPr>
        <w:pStyle w:val="NoSpacing"/>
        <w:rPr>
          <w:rFonts w:ascii="Times New Roman" w:hAnsi="Times New Roman" w:cs="Times New Roman"/>
          <w:iCs/>
          <w:color w:val="4F81BD"/>
          <w:sz w:val="24"/>
          <w:szCs w:val="24"/>
          <w:lang w:val="en-GB"/>
        </w:rPr>
      </w:pPr>
      <w:r w:rsidRPr="00A715B1">
        <w:rPr>
          <w:rFonts w:ascii="Times New Roman" w:hAnsi="Times New Roman" w:cs="Times New Roman"/>
          <w:iCs/>
          <w:color w:val="4F81BD"/>
          <w:sz w:val="24"/>
          <w:szCs w:val="24"/>
          <w:lang w:val="en-GB"/>
        </w:rPr>
        <w:t xml:space="preserve"> </w:t>
      </w:r>
    </w:p>
    <w:p w:rsidR="001041B1" w:rsidRDefault="001041B1" w:rsidP="00640E34">
      <w:pPr>
        <w:pStyle w:val="NoSpacing"/>
        <w:rPr>
          <w:rFonts w:ascii="Times New Roman" w:hAnsi="Times New Roman" w:cs="Times New Roman"/>
          <w:iCs/>
          <w:color w:val="4F81BD"/>
          <w:sz w:val="24"/>
          <w:szCs w:val="24"/>
          <w:lang w:val="en-GB"/>
        </w:rPr>
      </w:pPr>
    </w:p>
    <w:p w:rsidR="001041B1" w:rsidRDefault="001041B1" w:rsidP="00640E34">
      <w:pPr>
        <w:pStyle w:val="NoSpacing"/>
        <w:rPr>
          <w:rFonts w:ascii="Times New Roman" w:hAnsi="Times New Roman" w:cs="Times New Roman"/>
          <w:iCs/>
          <w:color w:val="4F81BD"/>
          <w:sz w:val="24"/>
          <w:szCs w:val="24"/>
          <w:lang w:val="en-GB"/>
        </w:rPr>
      </w:pPr>
    </w:p>
    <w:p w:rsidR="001041B1" w:rsidRDefault="001041B1" w:rsidP="00640E34">
      <w:pPr>
        <w:pStyle w:val="NoSpacing"/>
        <w:rPr>
          <w:rFonts w:ascii="Times New Roman" w:hAnsi="Times New Roman" w:cs="Times New Roman"/>
          <w:iCs/>
          <w:color w:val="4F81BD"/>
          <w:sz w:val="24"/>
          <w:szCs w:val="24"/>
          <w:lang w:val="en-GB"/>
        </w:rPr>
      </w:pPr>
    </w:p>
    <w:p w:rsidR="001041B1" w:rsidRPr="00640E34" w:rsidRDefault="001041B1" w:rsidP="00640E34">
      <w:pPr>
        <w:rPr>
          <w:rFonts w:ascii="Times New Roman" w:hAnsi="Times New Roman" w:cs="Times New Roman"/>
          <w:color w:val="548AB7"/>
          <w:sz w:val="24"/>
          <w:szCs w:val="24"/>
          <w:lang w:val="en-GB"/>
        </w:rPr>
      </w:pPr>
      <w:r>
        <w:rPr>
          <w:rFonts w:ascii="Times New Roman" w:hAnsi="Times New Roman" w:cs="Times New Roman"/>
          <w:color w:val="548AB7"/>
          <w:sz w:val="24"/>
          <w:szCs w:val="24"/>
          <w:lang w:val="en-GB"/>
        </w:rPr>
        <w:t>4.2 Estimation with</w:t>
      </w:r>
      <w:r w:rsidRPr="00640E34">
        <w:rPr>
          <w:rFonts w:ascii="Times New Roman" w:hAnsi="Times New Roman" w:cs="Times New Roman"/>
          <w:color w:val="548AB7"/>
          <w:sz w:val="24"/>
          <w:szCs w:val="24"/>
          <w:lang w:val="en-GB"/>
        </w:rPr>
        <w:t xml:space="preserve"> dummy variable</w:t>
      </w:r>
    </w:p>
    <w:p w:rsidR="001041B1" w:rsidRDefault="001041B1" w:rsidP="00640E34">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From table 4.2, it is clear that the coefficient of the dummy variable has a negative sign.</w:t>
      </w:r>
      <w:r>
        <w:rPr>
          <w:rFonts w:ascii="Times New Roman" w:hAnsi="Times New Roman" w:cs="Times New Roman"/>
          <w:color w:val="000000"/>
          <w:sz w:val="24"/>
          <w:szCs w:val="24"/>
          <w:lang w:val="en-GB"/>
        </w:rPr>
        <w:t xml:space="preserve"> The Argentine crisis in 1998 is hardly observable in Asian and European countries like Thailand, Philippines, and Poland. However, </w:t>
      </w:r>
      <w:r w:rsidRPr="00E3542D">
        <w:rPr>
          <w:rFonts w:ascii="Times New Roman" w:hAnsi="Times New Roman" w:cs="Times New Roman"/>
          <w:color w:val="000000"/>
          <w:sz w:val="24"/>
          <w:szCs w:val="24"/>
          <w:lang w:val="en-GB"/>
        </w:rPr>
        <w:t>the</w:t>
      </w:r>
      <w:r>
        <w:rPr>
          <w:rFonts w:ascii="Times New Roman" w:hAnsi="Times New Roman" w:cs="Times New Roman"/>
          <w:color w:val="000000"/>
          <w:sz w:val="24"/>
          <w:szCs w:val="24"/>
          <w:lang w:val="en-GB"/>
        </w:rPr>
        <w:t xml:space="preserve"> crisis dummy is significant in Latin America. This implies that in the aftermath of the Argentine crisis, yield spread is increasing in neighbor </w:t>
      </w:r>
      <w:r w:rsidRPr="00C91A9C">
        <w:rPr>
          <w:rFonts w:ascii="Times New Roman" w:hAnsi="Times New Roman" w:cs="Times New Roman"/>
          <w:color w:val="000000"/>
          <w:sz w:val="24"/>
          <w:szCs w:val="24"/>
        </w:rPr>
        <w:t xml:space="preserve">countries such as Mexico and Honduras. </w:t>
      </w:r>
      <w:r>
        <w:rPr>
          <w:rFonts w:ascii="Times New Roman" w:hAnsi="Times New Roman" w:cs="Times New Roman"/>
          <w:color w:val="000000"/>
          <w:sz w:val="24"/>
          <w:szCs w:val="24"/>
          <w:lang w:val="en-GB"/>
        </w:rPr>
        <w:t xml:space="preserve">This finding is comparable to the work of </w:t>
      </w:r>
      <w:r>
        <w:rPr>
          <w:rFonts w:ascii="Times New Roman" w:hAnsi="Times New Roman" w:cs="Times New Roman"/>
          <w:sz w:val="24"/>
          <w:szCs w:val="24"/>
        </w:rPr>
        <w:t xml:space="preserve">Cifarelli and Paladino (2004). They argued that the Argentine default affected other Latin America countries. In addition, the Asian crises have less impact of sovereign bond spread on other countries. </w:t>
      </w:r>
      <w:r w:rsidRPr="00D8402E">
        <w:rPr>
          <w:rFonts w:ascii="Times New Roman" w:hAnsi="Times New Roman" w:cs="Times New Roman"/>
          <w:color w:val="000000"/>
          <w:sz w:val="24"/>
          <w:szCs w:val="24"/>
        </w:rPr>
        <w:t xml:space="preserve">Dungey et al. </w:t>
      </w:r>
      <w:r>
        <w:rPr>
          <w:rFonts w:ascii="Times New Roman" w:hAnsi="Times New Roman" w:cs="Times New Roman"/>
          <w:color w:val="000000"/>
          <w:sz w:val="24"/>
          <w:szCs w:val="24"/>
          <w:lang w:val="en-GB"/>
        </w:rPr>
        <w:t xml:space="preserve">(2006) argued </w:t>
      </w:r>
      <w:r>
        <w:rPr>
          <w:rFonts w:ascii="Times New Roman" w:hAnsi="Times New Roman" w:cs="Times New Roman"/>
          <w:sz w:val="24"/>
          <w:szCs w:val="24"/>
          <w:lang w:val="en-GB"/>
        </w:rPr>
        <w:t xml:space="preserve">that the Russian default in 1998 caused a high volatility and an increase in yield spreads. </w:t>
      </w:r>
      <w:r w:rsidRPr="00D8402E">
        <w:rPr>
          <w:rFonts w:ascii="Times New Roman" w:hAnsi="Times New Roman" w:cs="Times New Roman"/>
          <w:sz w:val="24"/>
          <w:szCs w:val="24"/>
        </w:rPr>
        <w:t xml:space="preserve">Lee et al. </w:t>
      </w:r>
      <w:r>
        <w:rPr>
          <w:rFonts w:ascii="Times New Roman" w:hAnsi="Times New Roman" w:cs="Times New Roman"/>
          <w:sz w:val="24"/>
          <w:szCs w:val="24"/>
          <w:lang w:val="en-GB"/>
        </w:rPr>
        <w:t xml:space="preserve">(2007) argued that contagion effects may caused by economic disasters, like when the Tsunami hit parts of Asia in December, 2004. According to the IMF (2004) the increase in spread of government bond is due to the economic slowdown of 2001-2002. This reaction is probably more exposed in emerging economies than developed countries. </w:t>
      </w:r>
      <w:r w:rsidRPr="00E3542D">
        <w:rPr>
          <w:rFonts w:ascii="Times New Roman" w:hAnsi="Times New Roman" w:cs="Times New Roman"/>
          <w:sz w:val="24"/>
          <w:szCs w:val="24"/>
        </w:rPr>
        <w:t xml:space="preserve">Moreover, model 2 indicates that a 1% advance of dummy variable </w:t>
      </w:r>
      <w:r>
        <w:rPr>
          <w:rFonts w:ascii="Times New Roman" w:hAnsi="Times New Roman" w:cs="Times New Roman"/>
          <w:sz w:val="24"/>
          <w:szCs w:val="24"/>
        </w:rPr>
        <w:t>crisis</w:t>
      </w:r>
      <w:r w:rsidRPr="00E3542D">
        <w:rPr>
          <w:rFonts w:ascii="Times New Roman" w:hAnsi="Times New Roman" w:cs="Times New Roman"/>
          <w:sz w:val="24"/>
          <w:szCs w:val="24"/>
        </w:rPr>
        <w:t xml:space="preserve"> decrease yield spread by 2.039%</w:t>
      </w:r>
      <w:r>
        <w:rPr>
          <w:rFonts w:ascii="Times New Roman" w:hAnsi="Times New Roman" w:cs="Times New Roman"/>
          <w:sz w:val="24"/>
          <w:szCs w:val="24"/>
        </w:rPr>
        <w:t>.</w:t>
      </w:r>
    </w:p>
    <w:p w:rsidR="001041B1" w:rsidRPr="00640E34" w:rsidRDefault="001041B1" w:rsidP="00640E34">
      <w:pPr>
        <w:spacing w:line="360" w:lineRule="auto"/>
        <w:jc w:val="both"/>
        <w:rPr>
          <w:rFonts w:ascii="Times New Roman" w:hAnsi="Times New Roman" w:cs="Times New Roman"/>
          <w:sz w:val="24"/>
          <w:szCs w:val="24"/>
        </w:rPr>
      </w:pPr>
      <w:r w:rsidRPr="00640E34">
        <w:rPr>
          <w:rFonts w:ascii="Times New Roman" w:hAnsi="Times New Roman" w:cs="Times New Roman"/>
          <w:color w:val="548AB7"/>
          <w:sz w:val="24"/>
          <w:szCs w:val="24"/>
        </w:rPr>
        <w:t>4.3</w:t>
      </w:r>
      <w:r>
        <w:rPr>
          <w:rFonts w:ascii="Times New Roman" w:hAnsi="Times New Roman" w:cs="Times New Roman"/>
          <w:color w:val="548AB7"/>
          <w:sz w:val="24"/>
          <w:szCs w:val="24"/>
        </w:rPr>
        <w:t xml:space="preserve"> Estimation with</w:t>
      </w:r>
      <w:r w:rsidRPr="00A715B1">
        <w:rPr>
          <w:rFonts w:ascii="Times New Roman" w:hAnsi="Times New Roman" w:cs="Times New Roman"/>
          <w:iCs/>
          <w:color w:val="4F81BD"/>
          <w:sz w:val="24"/>
          <w:szCs w:val="24"/>
          <w:lang w:val="en-GB"/>
        </w:rPr>
        <w:t xml:space="preserve"> liquidity and solvency variables</w:t>
      </w:r>
    </w:p>
    <w:p w:rsidR="001041B1" w:rsidRDefault="001041B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estimated coefficient of liquidity and solvency are insignificant, excluding the variable ratio of international reserve (RIR). Looking at the full model, an expansion of 1% in international reserve (RIR) decreases the government bond spread with 1.041%. Moreover, the ratio of total external debt to GDP, growth rate of export and GDP (RED, GRGD and GRE) has a negative coefficient with a high P-value. The coefficient of growth rate of import (GRI), ratio to current account (RCA) and unemployment (UNEM) are positive related, but do not influence the yield spread substantial. The significance of the coefficient of international reserves confirms that the claim of foreign investors and countries affect the government yield of emerging economies. Hence, a higher claim will lead to a higher risk which may result in a higher yield spread. </w:t>
      </w:r>
    </w:p>
    <w:p w:rsidR="001041B1" w:rsidRDefault="001041B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Latin America the variable unemployment (UNEM) is significant. This suggests that a 1% improvement will lead to a 1.118% increase in sovereign bond spread. Figure 4.3 indicates that the unemployment rate in European countries is decreasing from 2005. Asia and Latin America have a lower unemployment, but is increasing in the </w:t>
      </w:r>
      <w:r w:rsidRPr="00E3542D">
        <w:rPr>
          <w:rFonts w:ascii="Times New Roman" w:hAnsi="Times New Roman" w:cs="Times New Roman"/>
          <w:sz w:val="24"/>
          <w:szCs w:val="24"/>
          <w:lang w:val="en-GB"/>
        </w:rPr>
        <w:t>last couple of years</w:t>
      </w:r>
      <w:r>
        <w:rPr>
          <w:rFonts w:ascii="Times New Roman" w:hAnsi="Times New Roman" w:cs="Times New Roman"/>
          <w:sz w:val="24"/>
          <w:szCs w:val="24"/>
          <w:lang w:val="en-GB"/>
        </w:rPr>
        <w:t xml:space="preserve">. </w:t>
      </w:r>
    </w:p>
    <w:p w:rsidR="001041B1" w:rsidRPr="002E0624" w:rsidRDefault="001041B1">
      <w:pPr>
        <w:spacing w:line="360" w:lineRule="auto"/>
        <w:jc w:val="both"/>
        <w:rPr>
          <w:rFonts w:ascii="Times New Roman" w:hAnsi="Times New Roman" w:cs="Times New Roman"/>
          <w:sz w:val="24"/>
          <w:szCs w:val="24"/>
          <w:lang w:val="en-GB"/>
        </w:rPr>
      </w:pPr>
    </w:p>
    <w:p w:rsidR="001041B1" w:rsidRPr="00780293" w:rsidRDefault="001041B1" w:rsidP="00D75391">
      <w:pPr>
        <w:pStyle w:val="NoSpacing"/>
        <w:rPr>
          <w:rFonts w:ascii="Times New Roman" w:hAnsi="Times New Roman" w:cs="Times New Roman"/>
          <w:b/>
          <w:sz w:val="20"/>
          <w:szCs w:val="20"/>
          <w:lang w:val="en-GB"/>
        </w:rPr>
      </w:pPr>
      <w:r>
        <w:rPr>
          <w:rFonts w:ascii="Times New Roman" w:hAnsi="Times New Roman" w:cs="Times New Roman"/>
          <w:b/>
          <w:sz w:val="20"/>
          <w:szCs w:val="20"/>
          <w:lang w:val="en-GB"/>
        </w:rPr>
        <w:t>Figure 4.3</w:t>
      </w:r>
      <w:r w:rsidRPr="00780293">
        <w:rPr>
          <w:rFonts w:ascii="Times New Roman" w:hAnsi="Times New Roman" w:cs="Times New Roman"/>
          <w:b/>
          <w:sz w:val="20"/>
          <w:szCs w:val="20"/>
          <w:lang w:val="en-GB"/>
        </w:rPr>
        <w:t xml:space="preserve"> Unemployment rate</w:t>
      </w:r>
      <w:r>
        <w:rPr>
          <w:rFonts w:ascii="Times New Roman" w:hAnsi="Times New Roman" w:cs="Times New Roman"/>
          <w:b/>
          <w:sz w:val="20"/>
          <w:szCs w:val="20"/>
          <w:lang w:val="en-GB"/>
        </w:rPr>
        <w:t>s</w:t>
      </w:r>
      <w:r w:rsidRPr="00780293">
        <w:rPr>
          <w:rFonts w:ascii="Times New Roman" w:hAnsi="Times New Roman" w:cs="Times New Roman"/>
          <w:b/>
          <w:sz w:val="20"/>
          <w:szCs w:val="20"/>
          <w:lang w:val="en-GB"/>
        </w:rPr>
        <w:t xml:space="preserve"> per region</w:t>
      </w:r>
    </w:p>
    <w:p w:rsidR="001041B1" w:rsidRDefault="001041B1">
      <w:pPr>
        <w:pStyle w:val="NoSpacing"/>
        <w:rPr>
          <w:rFonts w:ascii="Times New Roman" w:hAnsi="Times New Roman" w:cs="Times New Roman"/>
          <w:lang w:val="en-GB"/>
        </w:rPr>
      </w:pPr>
      <w:r w:rsidRPr="0021104B">
        <w:rPr>
          <w:rFonts w:ascii="Times New Roman" w:hAnsi="Times New Roman" w:cs="Times New Roman"/>
          <w:noProof/>
        </w:rPr>
        <w:pict>
          <v:shape id="Grafiek 1" o:spid="_x0000_i1068" type="#_x0000_t75" style="width:433.5pt;height:230.25pt;visibility:visible">
            <v:imagedata r:id="rId27" o:title=""/>
          </v:shape>
        </w:pict>
      </w:r>
    </w:p>
    <w:p w:rsidR="001041B1" w:rsidRDefault="001041B1" w:rsidP="00780293">
      <w:pPr>
        <w:pStyle w:val="NoSpacing"/>
        <w:rPr>
          <w:rFonts w:ascii="Times New Roman" w:hAnsi="Times New Roman" w:cs="Times New Roman"/>
          <w:sz w:val="18"/>
          <w:szCs w:val="18"/>
          <w:lang w:val="en-GB"/>
        </w:rPr>
      </w:pPr>
      <w:r>
        <w:rPr>
          <w:rFonts w:ascii="Times New Roman" w:hAnsi="Times New Roman" w:cs="Times New Roman"/>
          <w:sz w:val="18"/>
          <w:szCs w:val="18"/>
          <w:lang w:val="en-GB"/>
        </w:rPr>
        <w:t xml:space="preserve">Notes: </w:t>
      </w:r>
      <w:r>
        <w:rPr>
          <w:rFonts w:ascii="Times New Roman" w:hAnsi="Times New Roman" w:cs="Times New Roman"/>
          <w:sz w:val="18"/>
          <w:szCs w:val="18"/>
        </w:rPr>
        <w:t>Latin America: Mexico and Honduras; Europe: Czech Republic, Poland and Hungary; Asia: Pakistan, Thailand and Philippines</w:t>
      </w:r>
      <w:r>
        <w:rPr>
          <w:rFonts w:ascii="Times New Roman" w:hAnsi="Times New Roman" w:cs="Times New Roman"/>
          <w:sz w:val="18"/>
          <w:szCs w:val="18"/>
          <w:lang w:val="en-GB"/>
        </w:rPr>
        <w:t xml:space="preserve">. Unemployment is the cumulative percentage (not average). </w:t>
      </w:r>
    </w:p>
    <w:p w:rsidR="001041B1" w:rsidRPr="00780293" w:rsidRDefault="001041B1" w:rsidP="00780293">
      <w:pPr>
        <w:pStyle w:val="NoSpacing"/>
        <w:rPr>
          <w:rFonts w:ascii="Times New Roman" w:hAnsi="Times New Roman" w:cs="Times New Roman"/>
          <w:sz w:val="18"/>
          <w:szCs w:val="18"/>
          <w:lang w:val="en-GB"/>
        </w:rPr>
      </w:pPr>
    </w:p>
    <w:p w:rsidR="001041B1" w:rsidRDefault="001041B1" w:rsidP="00640E3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Model 4 estimated that bond spread from European countries is not affected by liquidity and solvency variables. For Pakistan, Thailand and Philippines the ratio of international reserve (RIR) are significant. The estimated Asian countries have presented the highest growth rate in the last ten years. This implies that these countries are lenders to the rest of the world and that a 1% increase in international reserve will result in a lower sovereign bond spread by 1.024%.</w:t>
      </w:r>
    </w:p>
    <w:p w:rsidR="001041B1" w:rsidRPr="00640E34" w:rsidRDefault="001041B1" w:rsidP="00640E34">
      <w:pPr>
        <w:spacing w:line="360" w:lineRule="auto"/>
        <w:jc w:val="both"/>
        <w:rPr>
          <w:rFonts w:ascii="Times New Roman" w:hAnsi="Times New Roman" w:cs="Times New Roman"/>
          <w:color w:val="548AB7"/>
          <w:sz w:val="24"/>
          <w:szCs w:val="24"/>
          <w:lang w:val="en-GB"/>
        </w:rPr>
      </w:pPr>
      <w:r>
        <w:rPr>
          <w:rFonts w:ascii="Times New Roman" w:hAnsi="Times New Roman" w:cs="Times New Roman"/>
          <w:color w:val="548AB7"/>
          <w:sz w:val="24"/>
          <w:szCs w:val="24"/>
          <w:lang w:val="en-GB"/>
        </w:rPr>
        <w:t xml:space="preserve">4.4 </w:t>
      </w:r>
      <w:r w:rsidRPr="00640E34">
        <w:rPr>
          <w:rFonts w:ascii="Times New Roman" w:hAnsi="Times New Roman" w:cs="Times New Roman"/>
          <w:color w:val="548AB7"/>
          <w:sz w:val="24"/>
          <w:szCs w:val="24"/>
          <w:lang w:val="en-GB"/>
        </w:rPr>
        <w:t>Estimat</w:t>
      </w:r>
      <w:r>
        <w:rPr>
          <w:rFonts w:ascii="Times New Roman" w:hAnsi="Times New Roman" w:cs="Times New Roman"/>
          <w:color w:val="548AB7"/>
          <w:sz w:val="24"/>
          <w:szCs w:val="24"/>
          <w:lang w:val="en-GB"/>
        </w:rPr>
        <w:t>ion with</w:t>
      </w:r>
      <w:r w:rsidRPr="00640E34">
        <w:rPr>
          <w:rFonts w:ascii="Times New Roman" w:hAnsi="Times New Roman" w:cs="Times New Roman"/>
          <w:iCs/>
          <w:color w:val="548AB7"/>
          <w:lang w:val="en-GB"/>
        </w:rPr>
        <w:t xml:space="preserve"> macroeconomic fundamentals</w:t>
      </w:r>
    </w:p>
    <w:p w:rsidR="001041B1" w:rsidRDefault="001041B1" w:rsidP="00640E3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paper describes terms of trade (TOT) and inflation (INF) as determinants of macroeconomic fundamentals for sovereign bond spread. For all the models the coefficients are positive and highly significant. A gain in terms of trade (TOT) signifies a rise in export earnings and an improved repayment credibility which probably decrease sovereign bond spread. The estimated coefficient, of the first model, indicates that a 1% improvement in the terms of trade (TOT) increases the yield spread by 6.777%. This sounds contradictory, because the expectation is that an improved TOT will decrease the sovereign bond spread.  The higher the inflation in a country, the more this can harm the economy and increase the sovereign bond spread. The estimated coefficient of inflation (INF) is significant and has a positive indication, which implies that a 1% increase in an examined country will lead to a 1.243% increase in government yield spread according to the full model.</w:t>
      </w:r>
    </w:p>
    <w:p w:rsidR="001041B1" w:rsidRDefault="001041B1" w:rsidP="00640E34">
      <w:pPr>
        <w:spacing w:line="360" w:lineRule="auto"/>
        <w:jc w:val="both"/>
        <w:rPr>
          <w:rFonts w:ascii="Times New Roman" w:hAnsi="Times New Roman" w:cs="Times New Roman"/>
          <w:sz w:val="24"/>
          <w:szCs w:val="24"/>
          <w:lang w:val="en-GB"/>
        </w:rPr>
      </w:pPr>
    </w:p>
    <w:p w:rsidR="001041B1" w:rsidRPr="00640E34" w:rsidRDefault="001041B1" w:rsidP="00640E34">
      <w:pPr>
        <w:spacing w:line="360" w:lineRule="auto"/>
        <w:jc w:val="both"/>
        <w:rPr>
          <w:rFonts w:ascii="Times New Roman" w:hAnsi="Times New Roman" w:cs="Times New Roman"/>
          <w:color w:val="548AB7"/>
          <w:sz w:val="24"/>
          <w:szCs w:val="24"/>
          <w:lang w:val="en-GB"/>
        </w:rPr>
      </w:pPr>
      <w:r>
        <w:rPr>
          <w:rFonts w:ascii="Times New Roman" w:hAnsi="Times New Roman" w:cs="Times New Roman"/>
          <w:color w:val="548AB7"/>
          <w:sz w:val="24"/>
          <w:szCs w:val="24"/>
          <w:lang w:val="en-GB"/>
        </w:rPr>
        <w:t>4.5 Estimation with</w:t>
      </w:r>
      <w:r w:rsidRPr="00640E34">
        <w:rPr>
          <w:rFonts w:ascii="Times New Roman" w:hAnsi="Times New Roman" w:cs="Times New Roman"/>
          <w:iCs/>
          <w:color w:val="548AB7"/>
          <w:sz w:val="24"/>
          <w:szCs w:val="24"/>
          <w:lang w:val="en-GB"/>
        </w:rPr>
        <w:t xml:space="preserve"> external shocks</w:t>
      </w:r>
    </w:p>
    <w:p w:rsidR="001041B1" w:rsidRDefault="001041B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estimated coefficient of the exogenous variable oil price (OIL) is significant in defining the estimation of government yield spread. For all the models the oil price variable is highly significant. As mentioned by Hamilton (1983), an increase in oil price volatility indicates uncertainty in the economy. Model 1 estimates that a 1% increase in the world oil price extends the bond spread by 1.419%. Emerging economies seem to be more sensitive to external shocks, which increases the bond spread of governments.  </w:t>
      </w:r>
    </w:p>
    <w:p w:rsidR="001041B1" w:rsidRDefault="001041B1" w:rsidP="00640E3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fr-FR"/>
        </w:rPr>
        <w:t xml:space="preserve">Cuhan et al. </w:t>
      </w:r>
      <w:r>
        <w:rPr>
          <w:rFonts w:ascii="Times New Roman" w:hAnsi="Times New Roman" w:cs="Times New Roman"/>
          <w:sz w:val="24"/>
          <w:szCs w:val="24"/>
          <w:lang w:val="en-GB"/>
        </w:rPr>
        <w:t xml:space="preserve">(1996) and Antzoulatos (2000) found that the U.S. interest rate was a substantial indicator of bond flows to emerging economies. This paper identifies the three month U.S. Treasury bill as a proxy for the interest rate of the world. This explanatory variable is significant for full, second and fourth model. This suggests that positive international financial markets, by minimizing the cost of borrowing, stimulate bond issues due to the numbers of bond </w:t>
      </w:r>
      <w:r w:rsidRPr="00E3542D">
        <w:rPr>
          <w:rFonts w:ascii="Times New Roman" w:hAnsi="Times New Roman" w:cs="Times New Roman"/>
          <w:sz w:val="24"/>
          <w:szCs w:val="24"/>
          <w:lang w:val="en-GB"/>
        </w:rPr>
        <w:t>issuance</w:t>
      </w:r>
      <w:r>
        <w:rPr>
          <w:rFonts w:ascii="Times New Roman" w:hAnsi="Times New Roman" w:cs="Times New Roman"/>
          <w:sz w:val="24"/>
          <w:szCs w:val="24"/>
          <w:lang w:val="en-GB"/>
        </w:rPr>
        <w:t xml:space="preserve"> that are anchored to the dollar interest rate. The European countries are not affected by the U.S. Treasury bill. The countries are relative new members of the European Union and still have their domestic currency. Orlowski and Lommatzsch (2005) argued that the German bonds are significant driving factors for yields spread in Poland, Czech Republic and Hungary. </w:t>
      </w:r>
    </w:p>
    <w:p w:rsidR="001041B1" w:rsidRPr="00640E34" w:rsidRDefault="001041B1" w:rsidP="00640E34">
      <w:pPr>
        <w:spacing w:line="360" w:lineRule="auto"/>
        <w:jc w:val="both"/>
        <w:rPr>
          <w:rFonts w:ascii="Times New Roman" w:hAnsi="Times New Roman" w:cs="Times New Roman"/>
          <w:color w:val="548AB7"/>
          <w:sz w:val="24"/>
          <w:szCs w:val="24"/>
          <w:lang w:val="en-GB"/>
        </w:rPr>
      </w:pPr>
      <w:r>
        <w:rPr>
          <w:rFonts w:ascii="Times New Roman" w:hAnsi="Times New Roman" w:cs="Times New Roman"/>
          <w:color w:val="548AB7"/>
          <w:sz w:val="24"/>
          <w:szCs w:val="24"/>
          <w:lang w:val="en-GB"/>
        </w:rPr>
        <w:t>4.6 Credit</w:t>
      </w:r>
      <w:r w:rsidRPr="00640E34">
        <w:rPr>
          <w:rFonts w:ascii="Times New Roman" w:hAnsi="Times New Roman" w:cs="Times New Roman"/>
          <w:bCs/>
          <w:color w:val="548AB7"/>
          <w:sz w:val="24"/>
          <w:szCs w:val="24"/>
          <w:lang w:val="en-GB"/>
        </w:rPr>
        <w:t xml:space="preserve"> ratings</w:t>
      </w:r>
    </w:p>
    <w:p w:rsidR="001041B1" w:rsidRDefault="001041B1" w:rsidP="00D7539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Next to the variables in this paper, credit rating contains information about the financial position of a country. Assuming that investors are risk neutral, the credit rating will be used as leading indicator.</w:t>
      </w:r>
    </w:p>
    <w:p w:rsidR="001041B1" w:rsidRDefault="001041B1" w:rsidP="00D75391">
      <w:pPr>
        <w:spacing w:line="360" w:lineRule="auto"/>
        <w:jc w:val="both"/>
        <w:rPr>
          <w:rFonts w:ascii="Times New Roman" w:hAnsi="Times New Roman" w:cs="Times New Roman"/>
          <w:sz w:val="24"/>
          <w:szCs w:val="24"/>
          <w:lang w:val="en-GB"/>
        </w:rPr>
      </w:pPr>
    </w:p>
    <w:p w:rsidR="001041B1" w:rsidRDefault="001041B1" w:rsidP="00D75391">
      <w:pPr>
        <w:spacing w:line="360" w:lineRule="auto"/>
        <w:jc w:val="both"/>
        <w:rPr>
          <w:rFonts w:ascii="Times New Roman" w:hAnsi="Times New Roman" w:cs="Times New Roman"/>
          <w:sz w:val="24"/>
          <w:szCs w:val="24"/>
          <w:lang w:val="en-GB"/>
        </w:rPr>
      </w:pPr>
    </w:p>
    <w:p w:rsidR="001041B1" w:rsidRDefault="001041B1" w:rsidP="00D75391">
      <w:pPr>
        <w:spacing w:line="360" w:lineRule="auto"/>
        <w:jc w:val="both"/>
        <w:rPr>
          <w:rFonts w:ascii="Times New Roman" w:hAnsi="Times New Roman" w:cs="Times New Roman"/>
          <w:sz w:val="24"/>
          <w:szCs w:val="24"/>
          <w:lang w:val="en-GB"/>
        </w:rPr>
      </w:pPr>
    </w:p>
    <w:p w:rsidR="001041B1" w:rsidRDefault="001041B1" w:rsidP="00D75391">
      <w:pPr>
        <w:spacing w:line="360" w:lineRule="auto"/>
        <w:jc w:val="both"/>
        <w:rPr>
          <w:rFonts w:ascii="Times New Roman" w:hAnsi="Times New Roman" w:cs="Times New Roman"/>
          <w:sz w:val="24"/>
          <w:szCs w:val="24"/>
          <w:lang w:val="en-GB"/>
        </w:rPr>
      </w:pPr>
    </w:p>
    <w:p w:rsidR="001041B1" w:rsidRDefault="001041B1" w:rsidP="00D75391">
      <w:pPr>
        <w:spacing w:line="360" w:lineRule="auto"/>
        <w:jc w:val="both"/>
        <w:rPr>
          <w:rFonts w:ascii="Times New Roman" w:hAnsi="Times New Roman" w:cs="Times New Roman"/>
          <w:sz w:val="24"/>
          <w:szCs w:val="24"/>
          <w:lang w:val="en-GB"/>
        </w:rPr>
      </w:pPr>
    </w:p>
    <w:p w:rsidR="001041B1" w:rsidRDefault="001041B1" w:rsidP="00D75391">
      <w:pPr>
        <w:spacing w:line="360" w:lineRule="auto"/>
        <w:jc w:val="both"/>
        <w:rPr>
          <w:rFonts w:ascii="Times New Roman" w:hAnsi="Times New Roman" w:cs="Times New Roman"/>
          <w:sz w:val="24"/>
          <w:szCs w:val="24"/>
          <w:lang w:val="en-GB"/>
        </w:rPr>
      </w:pPr>
    </w:p>
    <w:p w:rsidR="001041B1" w:rsidRDefault="001041B1" w:rsidP="00D75391">
      <w:pPr>
        <w:spacing w:line="360" w:lineRule="auto"/>
        <w:jc w:val="both"/>
        <w:rPr>
          <w:rFonts w:ascii="Times New Roman" w:hAnsi="Times New Roman" w:cs="Times New Roman"/>
          <w:sz w:val="24"/>
          <w:szCs w:val="24"/>
          <w:lang w:val="en-GB"/>
        </w:rPr>
      </w:pPr>
    </w:p>
    <w:p w:rsidR="001041B1" w:rsidRPr="00780293" w:rsidRDefault="001041B1" w:rsidP="00D75391">
      <w:pPr>
        <w:pStyle w:val="NoSpacing"/>
        <w:rPr>
          <w:rFonts w:ascii="Times New Roman" w:hAnsi="Times New Roman" w:cs="Times New Roman"/>
          <w:b/>
          <w:sz w:val="20"/>
          <w:szCs w:val="20"/>
          <w:lang w:val="en-GB"/>
        </w:rPr>
      </w:pPr>
      <w:r>
        <w:rPr>
          <w:rFonts w:ascii="Times New Roman" w:hAnsi="Times New Roman" w:cs="Times New Roman"/>
          <w:b/>
          <w:sz w:val="20"/>
          <w:szCs w:val="20"/>
          <w:lang w:val="en-GB"/>
        </w:rPr>
        <w:t>Table 4</w:t>
      </w:r>
      <w:r w:rsidRPr="00780293">
        <w:rPr>
          <w:rFonts w:ascii="Times New Roman" w:hAnsi="Times New Roman" w:cs="Times New Roman"/>
          <w:b/>
          <w:sz w:val="20"/>
          <w:szCs w:val="20"/>
          <w:lang w:val="en-GB"/>
        </w:rPr>
        <w:t>.</w:t>
      </w:r>
      <w:r>
        <w:rPr>
          <w:rFonts w:ascii="Times New Roman" w:hAnsi="Times New Roman" w:cs="Times New Roman"/>
          <w:b/>
          <w:sz w:val="20"/>
          <w:szCs w:val="20"/>
          <w:lang w:val="en-GB"/>
        </w:rPr>
        <w:t>4</w:t>
      </w:r>
      <w:r w:rsidRPr="00780293">
        <w:rPr>
          <w:rFonts w:ascii="Times New Roman" w:hAnsi="Times New Roman" w:cs="Times New Roman"/>
          <w:b/>
          <w:sz w:val="20"/>
          <w:szCs w:val="20"/>
          <w:lang w:val="en-GB"/>
        </w:rPr>
        <w:t xml:space="preserve"> Credit rating</w:t>
      </w:r>
      <w:r>
        <w:rPr>
          <w:rFonts w:ascii="Times New Roman" w:hAnsi="Times New Roman" w:cs="Times New Roman"/>
          <w:b/>
          <w:sz w:val="20"/>
          <w:szCs w:val="20"/>
          <w:lang w:val="en-GB"/>
        </w:rPr>
        <w:t>s</w:t>
      </w:r>
      <w:r w:rsidRPr="00780293">
        <w:rPr>
          <w:rFonts w:ascii="Times New Roman" w:hAnsi="Times New Roman" w:cs="Times New Roman"/>
          <w:b/>
          <w:sz w:val="20"/>
          <w:szCs w:val="20"/>
          <w:lang w:val="en-GB"/>
        </w:rPr>
        <w:t xml:space="preserve"> </w:t>
      </w:r>
    </w:p>
    <w:tbl>
      <w:tblPr>
        <w:tblW w:w="9147" w:type="dxa"/>
        <w:tblInd w:w="2" w:type="dxa"/>
        <w:tblBorders>
          <w:top w:val="single" w:sz="12" w:space="0" w:color="000000"/>
          <w:bottom w:val="single" w:sz="12" w:space="0" w:color="000000"/>
        </w:tblBorders>
        <w:tblLook w:val="0000"/>
      </w:tblPr>
      <w:tblGrid>
        <w:gridCol w:w="1128"/>
        <w:gridCol w:w="883"/>
        <w:gridCol w:w="703"/>
        <w:gridCol w:w="1025"/>
        <w:gridCol w:w="1046"/>
        <w:gridCol w:w="1267"/>
        <w:gridCol w:w="1032"/>
        <w:gridCol w:w="918"/>
        <w:gridCol w:w="1145"/>
      </w:tblGrid>
      <w:tr w:rsidR="001041B1" w:rsidRPr="0021104B" w:rsidTr="00843E6D">
        <w:trPr>
          <w:trHeight w:val="502"/>
        </w:trPr>
        <w:tc>
          <w:tcPr>
            <w:tcW w:w="1128" w:type="dxa"/>
            <w:tcBorders>
              <w:top w:val="single" w:sz="12" w:space="0" w:color="000000"/>
              <w:left w:val="nil"/>
              <w:bottom w:val="single" w:sz="12" w:space="0" w:color="auto"/>
              <w:right w:val="nil"/>
            </w:tcBorders>
            <w:noWrap/>
          </w:tcPr>
          <w:p w:rsidR="001041B1" w:rsidRPr="0021104B" w:rsidRDefault="001041B1">
            <w:pPr>
              <w:pStyle w:val="NoSpacing"/>
              <w:spacing w:line="360" w:lineRule="auto"/>
              <w:rPr>
                <w:rFonts w:ascii="Times New Roman" w:hAnsi="Times New Roman" w:cs="Times New Roman"/>
                <w:b/>
                <w:sz w:val="20"/>
                <w:szCs w:val="20"/>
              </w:rPr>
            </w:pPr>
            <w:r w:rsidRPr="0021104B">
              <w:rPr>
                <w:rFonts w:ascii="Times New Roman" w:hAnsi="Times New Roman" w:cs="Times New Roman"/>
                <w:b/>
                <w:sz w:val="20"/>
                <w:szCs w:val="20"/>
              </w:rPr>
              <w:t xml:space="preserve">credit rating </w:t>
            </w:r>
          </w:p>
        </w:tc>
        <w:tc>
          <w:tcPr>
            <w:tcW w:w="883" w:type="dxa"/>
            <w:tcBorders>
              <w:top w:val="single" w:sz="12" w:space="0" w:color="000000"/>
              <w:left w:val="nil"/>
              <w:bottom w:val="single" w:sz="12" w:space="0" w:color="auto"/>
              <w:right w:val="nil"/>
            </w:tcBorders>
            <w:noWrap/>
          </w:tcPr>
          <w:p w:rsidR="001041B1" w:rsidRPr="0021104B" w:rsidRDefault="001041B1">
            <w:pPr>
              <w:pStyle w:val="NoSpacing"/>
              <w:spacing w:line="360" w:lineRule="auto"/>
              <w:rPr>
                <w:rFonts w:ascii="Times New Roman" w:hAnsi="Times New Roman" w:cs="Times New Roman"/>
                <w:sz w:val="20"/>
                <w:szCs w:val="20"/>
                <w:lang w:val="nl-NL"/>
              </w:rPr>
            </w:pPr>
            <w:r w:rsidRPr="0021104B">
              <w:rPr>
                <w:rFonts w:ascii="Times New Roman" w:hAnsi="Times New Roman" w:cs="Times New Roman"/>
                <w:sz w:val="20"/>
                <w:szCs w:val="20"/>
                <w:lang w:val="nl-NL"/>
              </w:rPr>
              <w:t>POL</w:t>
            </w:r>
          </w:p>
        </w:tc>
        <w:tc>
          <w:tcPr>
            <w:tcW w:w="703" w:type="dxa"/>
            <w:tcBorders>
              <w:top w:val="single" w:sz="12" w:space="0" w:color="000000"/>
              <w:left w:val="nil"/>
              <w:bottom w:val="single" w:sz="12" w:space="0" w:color="auto"/>
              <w:right w:val="nil"/>
            </w:tcBorders>
            <w:noWrap/>
          </w:tcPr>
          <w:p w:rsidR="001041B1" w:rsidRPr="0021104B" w:rsidRDefault="001041B1">
            <w:pPr>
              <w:pStyle w:val="NoSpacing"/>
              <w:spacing w:line="360" w:lineRule="auto"/>
              <w:rPr>
                <w:rFonts w:ascii="Times New Roman" w:hAnsi="Times New Roman" w:cs="Times New Roman"/>
                <w:sz w:val="20"/>
                <w:szCs w:val="20"/>
                <w:lang w:val="nl-NL"/>
              </w:rPr>
            </w:pPr>
            <w:r w:rsidRPr="0021104B">
              <w:rPr>
                <w:rFonts w:ascii="Times New Roman" w:hAnsi="Times New Roman" w:cs="Times New Roman"/>
                <w:sz w:val="20"/>
                <w:szCs w:val="20"/>
                <w:lang w:val="nl-NL"/>
              </w:rPr>
              <w:t>CZE</w:t>
            </w:r>
          </w:p>
        </w:tc>
        <w:tc>
          <w:tcPr>
            <w:tcW w:w="1025" w:type="dxa"/>
            <w:tcBorders>
              <w:top w:val="single" w:sz="12" w:space="0" w:color="000000"/>
              <w:left w:val="nil"/>
              <w:bottom w:val="single" w:sz="12" w:space="0" w:color="auto"/>
              <w:right w:val="nil"/>
            </w:tcBorders>
            <w:noWrap/>
          </w:tcPr>
          <w:p w:rsidR="001041B1" w:rsidRPr="0021104B" w:rsidRDefault="001041B1">
            <w:pPr>
              <w:pStyle w:val="NoSpacing"/>
              <w:spacing w:line="360" w:lineRule="auto"/>
              <w:rPr>
                <w:rFonts w:ascii="Times New Roman" w:hAnsi="Times New Roman" w:cs="Times New Roman"/>
                <w:sz w:val="20"/>
                <w:szCs w:val="20"/>
                <w:lang w:val="nl-NL"/>
              </w:rPr>
            </w:pPr>
            <w:r w:rsidRPr="0021104B">
              <w:rPr>
                <w:rFonts w:ascii="Times New Roman" w:hAnsi="Times New Roman" w:cs="Times New Roman"/>
                <w:sz w:val="20"/>
                <w:szCs w:val="20"/>
                <w:lang w:val="nl-NL"/>
              </w:rPr>
              <w:t>HUN</w:t>
            </w:r>
          </w:p>
        </w:tc>
        <w:tc>
          <w:tcPr>
            <w:tcW w:w="1046" w:type="dxa"/>
            <w:tcBorders>
              <w:top w:val="single" w:sz="12" w:space="0" w:color="000000"/>
              <w:left w:val="nil"/>
              <w:bottom w:val="single" w:sz="12" w:space="0" w:color="auto"/>
              <w:right w:val="nil"/>
            </w:tcBorders>
            <w:noWrap/>
          </w:tcPr>
          <w:p w:rsidR="001041B1" w:rsidRPr="0021104B" w:rsidRDefault="001041B1">
            <w:pPr>
              <w:pStyle w:val="NoSpacing"/>
              <w:spacing w:line="360" w:lineRule="auto"/>
              <w:rPr>
                <w:rFonts w:ascii="Times New Roman" w:hAnsi="Times New Roman" w:cs="Times New Roman"/>
                <w:sz w:val="20"/>
                <w:szCs w:val="20"/>
                <w:lang w:val="fr-FR"/>
              </w:rPr>
            </w:pPr>
            <w:r w:rsidRPr="0021104B">
              <w:rPr>
                <w:rFonts w:ascii="Times New Roman" w:hAnsi="Times New Roman" w:cs="Times New Roman"/>
                <w:sz w:val="20"/>
                <w:szCs w:val="20"/>
                <w:lang w:val="fr-FR"/>
              </w:rPr>
              <w:t>THA</w:t>
            </w:r>
          </w:p>
        </w:tc>
        <w:tc>
          <w:tcPr>
            <w:tcW w:w="1267" w:type="dxa"/>
            <w:tcBorders>
              <w:top w:val="single" w:sz="12" w:space="0" w:color="000000"/>
              <w:left w:val="nil"/>
              <w:bottom w:val="single" w:sz="12" w:space="0" w:color="auto"/>
              <w:right w:val="nil"/>
            </w:tcBorders>
            <w:noWrap/>
          </w:tcPr>
          <w:p w:rsidR="001041B1" w:rsidRPr="0021104B" w:rsidRDefault="001041B1">
            <w:pPr>
              <w:pStyle w:val="NoSpacing"/>
              <w:spacing w:line="360" w:lineRule="auto"/>
              <w:rPr>
                <w:rFonts w:ascii="Times New Roman" w:hAnsi="Times New Roman" w:cs="Times New Roman"/>
                <w:sz w:val="20"/>
                <w:szCs w:val="20"/>
                <w:lang w:val="fr-FR"/>
              </w:rPr>
            </w:pPr>
            <w:r w:rsidRPr="0021104B">
              <w:rPr>
                <w:rFonts w:ascii="Times New Roman" w:hAnsi="Times New Roman" w:cs="Times New Roman"/>
                <w:sz w:val="20"/>
                <w:szCs w:val="20"/>
                <w:lang w:val="fr-FR"/>
              </w:rPr>
              <w:t>PHI</w:t>
            </w:r>
          </w:p>
        </w:tc>
        <w:tc>
          <w:tcPr>
            <w:tcW w:w="1032" w:type="dxa"/>
            <w:tcBorders>
              <w:top w:val="single" w:sz="12" w:space="0" w:color="000000"/>
              <w:left w:val="nil"/>
              <w:bottom w:val="single" w:sz="12" w:space="0" w:color="auto"/>
              <w:right w:val="nil"/>
            </w:tcBorders>
            <w:noWrap/>
          </w:tcPr>
          <w:p w:rsidR="001041B1" w:rsidRPr="0021104B" w:rsidRDefault="001041B1">
            <w:pPr>
              <w:pStyle w:val="NoSpacing"/>
              <w:spacing w:line="360" w:lineRule="auto"/>
              <w:rPr>
                <w:rFonts w:ascii="Times New Roman" w:hAnsi="Times New Roman" w:cs="Times New Roman"/>
                <w:sz w:val="20"/>
                <w:szCs w:val="20"/>
                <w:lang w:val="fr-FR"/>
              </w:rPr>
            </w:pPr>
            <w:r w:rsidRPr="0021104B">
              <w:rPr>
                <w:rFonts w:ascii="Times New Roman" w:hAnsi="Times New Roman" w:cs="Times New Roman"/>
                <w:sz w:val="20"/>
                <w:szCs w:val="20"/>
                <w:lang w:val="fr-FR"/>
              </w:rPr>
              <w:t>PAK</w:t>
            </w:r>
          </w:p>
        </w:tc>
        <w:tc>
          <w:tcPr>
            <w:tcW w:w="918" w:type="dxa"/>
            <w:tcBorders>
              <w:top w:val="single" w:sz="12" w:space="0" w:color="000000"/>
              <w:left w:val="nil"/>
              <w:bottom w:val="single" w:sz="12" w:space="0" w:color="auto"/>
              <w:right w:val="nil"/>
            </w:tcBorders>
            <w:noWrap/>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MEX</w:t>
            </w:r>
          </w:p>
        </w:tc>
        <w:tc>
          <w:tcPr>
            <w:tcW w:w="1145" w:type="dxa"/>
            <w:tcBorders>
              <w:top w:val="single" w:sz="12" w:space="0" w:color="000000"/>
              <w:left w:val="nil"/>
              <w:bottom w:val="single" w:sz="12" w:space="0" w:color="auto"/>
              <w:right w:val="nil"/>
            </w:tcBorders>
            <w:noWrap/>
          </w:tcPr>
          <w:p w:rsidR="001041B1" w:rsidRPr="0021104B" w:rsidRDefault="001041B1">
            <w:pPr>
              <w:pStyle w:val="NoSpacing"/>
              <w:spacing w:line="360" w:lineRule="auto"/>
              <w:rPr>
                <w:rFonts w:ascii="Times New Roman" w:hAnsi="Times New Roman" w:cs="Times New Roman"/>
                <w:sz w:val="20"/>
                <w:szCs w:val="20"/>
              </w:rPr>
            </w:pPr>
            <w:r w:rsidRPr="0021104B">
              <w:rPr>
                <w:rFonts w:ascii="Times New Roman" w:hAnsi="Times New Roman" w:cs="Times New Roman"/>
                <w:sz w:val="20"/>
                <w:szCs w:val="20"/>
              </w:rPr>
              <w:t>HON</w:t>
            </w:r>
          </w:p>
        </w:tc>
      </w:tr>
      <w:tr w:rsidR="001041B1" w:rsidRPr="0021104B" w:rsidTr="00843E6D">
        <w:trPr>
          <w:trHeight w:val="216"/>
        </w:trPr>
        <w:tc>
          <w:tcPr>
            <w:tcW w:w="1128" w:type="dxa"/>
            <w:tcBorders>
              <w:top w:val="single" w:sz="12" w:space="0" w:color="auto"/>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2000</w:t>
            </w:r>
          </w:p>
        </w:tc>
        <w:tc>
          <w:tcPr>
            <w:tcW w:w="883" w:type="dxa"/>
            <w:tcBorders>
              <w:top w:val="single" w:sz="12" w:space="0" w:color="auto"/>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A2</w:t>
            </w:r>
          </w:p>
        </w:tc>
        <w:tc>
          <w:tcPr>
            <w:tcW w:w="703" w:type="dxa"/>
            <w:tcBorders>
              <w:top w:val="single" w:sz="12" w:space="0" w:color="auto"/>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25" w:type="dxa"/>
            <w:tcBorders>
              <w:top w:val="single" w:sz="12" w:space="0" w:color="auto"/>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46" w:type="dxa"/>
            <w:tcBorders>
              <w:top w:val="single" w:sz="12" w:space="0" w:color="auto"/>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Baa1</w:t>
            </w:r>
          </w:p>
        </w:tc>
        <w:tc>
          <w:tcPr>
            <w:tcW w:w="1267" w:type="dxa"/>
            <w:tcBorders>
              <w:top w:val="single" w:sz="12" w:space="0" w:color="auto"/>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Baa3</w:t>
            </w:r>
          </w:p>
        </w:tc>
        <w:tc>
          <w:tcPr>
            <w:tcW w:w="1032" w:type="dxa"/>
            <w:tcBorders>
              <w:top w:val="single" w:sz="12" w:space="0" w:color="auto"/>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Caa1</w:t>
            </w:r>
          </w:p>
        </w:tc>
        <w:tc>
          <w:tcPr>
            <w:tcW w:w="918" w:type="dxa"/>
            <w:tcBorders>
              <w:top w:val="single" w:sz="12" w:space="0" w:color="auto"/>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145" w:type="dxa"/>
            <w:tcBorders>
              <w:top w:val="single" w:sz="12" w:space="0" w:color="auto"/>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B2</w:t>
            </w:r>
          </w:p>
        </w:tc>
      </w:tr>
      <w:tr w:rsidR="001041B1" w:rsidRPr="0021104B" w:rsidTr="00843E6D">
        <w:trPr>
          <w:trHeight w:val="216"/>
        </w:trPr>
        <w:tc>
          <w:tcPr>
            <w:tcW w:w="112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2001</w:t>
            </w:r>
          </w:p>
        </w:tc>
        <w:tc>
          <w:tcPr>
            <w:tcW w:w="88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A2</w:t>
            </w:r>
          </w:p>
        </w:tc>
        <w:tc>
          <w:tcPr>
            <w:tcW w:w="70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2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46"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267"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Baa3</w:t>
            </w:r>
          </w:p>
        </w:tc>
        <w:tc>
          <w:tcPr>
            <w:tcW w:w="1032"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B3</w:t>
            </w:r>
          </w:p>
        </w:tc>
        <w:tc>
          <w:tcPr>
            <w:tcW w:w="91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Baa1</w:t>
            </w:r>
          </w:p>
        </w:tc>
        <w:tc>
          <w:tcPr>
            <w:tcW w:w="114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B2</w:t>
            </w:r>
          </w:p>
        </w:tc>
      </w:tr>
      <w:tr w:rsidR="001041B1" w:rsidRPr="0021104B" w:rsidTr="00843E6D">
        <w:trPr>
          <w:trHeight w:val="216"/>
        </w:trPr>
        <w:tc>
          <w:tcPr>
            <w:tcW w:w="112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2002</w:t>
            </w:r>
          </w:p>
        </w:tc>
        <w:tc>
          <w:tcPr>
            <w:tcW w:w="88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70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2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46"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267"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Baa3</w:t>
            </w:r>
          </w:p>
        </w:tc>
        <w:tc>
          <w:tcPr>
            <w:tcW w:w="1032"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B3</w:t>
            </w:r>
          </w:p>
        </w:tc>
        <w:tc>
          <w:tcPr>
            <w:tcW w:w="91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14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B2</w:t>
            </w:r>
          </w:p>
        </w:tc>
      </w:tr>
      <w:tr w:rsidR="001041B1" w:rsidRPr="0021104B" w:rsidTr="00843E6D">
        <w:trPr>
          <w:trHeight w:val="216"/>
        </w:trPr>
        <w:tc>
          <w:tcPr>
            <w:tcW w:w="112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2003</w:t>
            </w:r>
          </w:p>
        </w:tc>
        <w:tc>
          <w:tcPr>
            <w:tcW w:w="88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70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2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46"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267"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Baa3</w:t>
            </w:r>
          </w:p>
        </w:tc>
        <w:tc>
          <w:tcPr>
            <w:tcW w:w="1032"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B2</w:t>
            </w:r>
          </w:p>
        </w:tc>
        <w:tc>
          <w:tcPr>
            <w:tcW w:w="91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14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B2</w:t>
            </w:r>
          </w:p>
        </w:tc>
      </w:tr>
      <w:tr w:rsidR="001041B1" w:rsidRPr="0021104B" w:rsidTr="00843E6D">
        <w:trPr>
          <w:trHeight w:val="216"/>
        </w:trPr>
        <w:tc>
          <w:tcPr>
            <w:tcW w:w="112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2004</w:t>
            </w:r>
          </w:p>
        </w:tc>
        <w:tc>
          <w:tcPr>
            <w:tcW w:w="88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A2</w:t>
            </w:r>
          </w:p>
        </w:tc>
        <w:tc>
          <w:tcPr>
            <w:tcW w:w="70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2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46"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267"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Ba2</w:t>
            </w:r>
          </w:p>
        </w:tc>
        <w:tc>
          <w:tcPr>
            <w:tcW w:w="1032"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B2</w:t>
            </w:r>
          </w:p>
        </w:tc>
        <w:tc>
          <w:tcPr>
            <w:tcW w:w="91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Baa1</w:t>
            </w:r>
          </w:p>
        </w:tc>
        <w:tc>
          <w:tcPr>
            <w:tcW w:w="114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B2</w:t>
            </w:r>
          </w:p>
        </w:tc>
      </w:tr>
      <w:tr w:rsidR="001041B1" w:rsidRPr="0021104B" w:rsidTr="00843E6D">
        <w:trPr>
          <w:trHeight w:val="216"/>
        </w:trPr>
        <w:tc>
          <w:tcPr>
            <w:tcW w:w="112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2005</w:t>
            </w:r>
          </w:p>
        </w:tc>
        <w:tc>
          <w:tcPr>
            <w:tcW w:w="88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A2</w:t>
            </w:r>
          </w:p>
        </w:tc>
        <w:tc>
          <w:tcPr>
            <w:tcW w:w="70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2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46"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267"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Ba2</w:t>
            </w:r>
          </w:p>
        </w:tc>
        <w:tc>
          <w:tcPr>
            <w:tcW w:w="1032"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B2</w:t>
            </w:r>
          </w:p>
        </w:tc>
        <w:tc>
          <w:tcPr>
            <w:tcW w:w="91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14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B2</w:t>
            </w:r>
          </w:p>
        </w:tc>
      </w:tr>
      <w:tr w:rsidR="001041B1" w:rsidRPr="0021104B" w:rsidTr="00843E6D">
        <w:trPr>
          <w:trHeight w:val="216"/>
        </w:trPr>
        <w:tc>
          <w:tcPr>
            <w:tcW w:w="112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2006</w:t>
            </w:r>
          </w:p>
        </w:tc>
        <w:tc>
          <w:tcPr>
            <w:tcW w:w="88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A2</w:t>
            </w:r>
          </w:p>
        </w:tc>
        <w:tc>
          <w:tcPr>
            <w:tcW w:w="70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2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46"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267"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B1</w:t>
            </w:r>
          </w:p>
        </w:tc>
        <w:tc>
          <w:tcPr>
            <w:tcW w:w="1032"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B2</w:t>
            </w:r>
          </w:p>
        </w:tc>
        <w:tc>
          <w:tcPr>
            <w:tcW w:w="91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Baa1</w:t>
            </w:r>
          </w:p>
        </w:tc>
        <w:tc>
          <w:tcPr>
            <w:tcW w:w="114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B2</w:t>
            </w:r>
          </w:p>
        </w:tc>
      </w:tr>
      <w:tr w:rsidR="001041B1" w:rsidRPr="0021104B" w:rsidTr="00843E6D">
        <w:trPr>
          <w:trHeight w:val="216"/>
        </w:trPr>
        <w:tc>
          <w:tcPr>
            <w:tcW w:w="112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2007</w:t>
            </w:r>
          </w:p>
        </w:tc>
        <w:tc>
          <w:tcPr>
            <w:tcW w:w="88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A2</w:t>
            </w:r>
          </w:p>
        </w:tc>
        <w:tc>
          <w:tcPr>
            <w:tcW w:w="703"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2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A2</w:t>
            </w:r>
          </w:p>
        </w:tc>
        <w:tc>
          <w:tcPr>
            <w:tcW w:w="1046"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267"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B1</w:t>
            </w:r>
          </w:p>
        </w:tc>
        <w:tc>
          <w:tcPr>
            <w:tcW w:w="1032"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B1</w:t>
            </w:r>
          </w:p>
        </w:tc>
        <w:tc>
          <w:tcPr>
            <w:tcW w:w="918"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Baa1</w:t>
            </w:r>
          </w:p>
        </w:tc>
        <w:tc>
          <w:tcPr>
            <w:tcW w:w="1145" w:type="dxa"/>
            <w:tcBorders>
              <w:top w:val="nil"/>
              <w:left w:val="nil"/>
              <w:bottom w:val="nil"/>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B2</w:t>
            </w:r>
          </w:p>
        </w:tc>
      </w:tr>
      <w:tr w:rsidR="001041B1" w:rsidRPr="0021104B" w:rsidTr="00843E6D">
        <w:trPr>
          <w:trHeight w:val="365"/>
        </w:trPr>
        <w:tc>
          <w:tcPr>
            <w:tcW w:w="1128" w:type="dxa"/>
            <w:tcBorders>
              <w:top w:val="nil"/>
              <w:left w:val="nil"/>
              <w:bottom w:val="single" w:sz="12" w:space="0" w:color="000000"/>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2008</w:t>
            </w:r>
          </w:p>
        </w:tc>
        <w:tc>
          <w:tcPr>
            <w:tcW w:w="883" w:type="dxa"/>
            <w:tcBorders>
              <w:top w:val="nil"/>
              <w:left w:val="nil"/>
              <w:bottom w:val="single" w:sz="12" w:space="0" w:color="000000"/>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A2</w:t>
            </w:r>
          </w:p>
        </w:tc>
        <w:tc>
          <w:tcPr>
            <w:tcW w:w="703" w:type="dxa"/>
            <w:tcBorders>
              <w:top w:val="nil"/>
              <w:left w:val="nil"/>
              <w:bottom w:val="single" w:sz="12" w:space="0" w:color="000000"/>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A1</w:t>
            </w:r>
          </w:p>
        </w:tc>
        <w:tc>
          <w:tcPr>
            <w:tcW w:w="1025" w:type="dxa"/>
            <w:tcBorders>
              <w:top w:val="nil"/>
              <w:left w:val="nil"/>
              <w:bottom w:val="single" w:sz="12" w:space="0" w:color="000000"/>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A2</w:t>
            </w:r>
          </w:p>
        </w:tc>
        <w:tc>
          <w:tcPr>
            <w:tcW w:w="1046" w:type="dxa"/>
            <w:tcBorders>
              <w:top w:val="nil"/>
              <w:left w:val="nil"/>
              <w:bottom w:val="single" w:sz="12" w:space="0" w:color="000000"/>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Baa1</w:t>
            </w:r>
          </w:p>
        </w:tc>
        <w:tc>
          <w:tcPr>
            <w:tcW w:w="1267" w:type="dxa"/>
            <w:tcBorders>
              <w:top w:val="nil"/>
              <w:left w:val="nil"/>
              <w:bottom w:val="single" w:sz="12" w:space="0" w:color="000000"/>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B1</w:t>
            </w:r>
          </w:p>
        </w:tc>
        <w:tc>
          <w:tcPr>
            <w:tcW w:w="1032" w:type="dxa"/>
            <w:tcBorders>
              <w:top w:val="nil"/>
              <w:left w:val="nil"/>
              <w:bottom w:val="single" w:sz="12" w:space="0" w:color="000000"/>
              <w:right w:val="nil"/>
            </w:tcBorders>
            <w:noWrap/>
          </w:tcPr>
          <w:p w:rsidR="001041B1" w:rsidRPr="0021104B" w:rsidRDefault="001041B1">
            <w:pPr>
              <w:pStyle w:val="NoSpacing"/>
              <w:spacing w:line="360" w:lineRule="auto"/>
              <w:rPr>
                <w:rFonts w:ascii="Times New Roman" w:hAnsi="Times New Roman" w:cs="Times New Roman"/>
                <w:color w:val="000000"/>
                <w:lang w:val="nl-NL"/>
              </w:rPr>
            </w:pPr>
            <w:r w:rsidRPr="0021104B">
              <w:rPr>
                <w:rFonts w:ascii="Times New Roman" w:hAnsi="Times New Roman" w:cs="Times New Roman"/>
                <w:color w:val="000000"/>
                <w:lang w:val="nl-NL"/>
              </w:rPr>
              <w:t>B1</w:t>
            </w:r>
          </w:p>
        </w:tc>
        <w:tc>
          <w:tcPr>
            <w:tcW w:w="918" w:type="dxa"/>
            <w:tcBorders>
              <w:top w:val="nil"/>
              <w:left w:val="nil"/>
              <w:bottom w:val="single" w:sz="12" w:space="0" w:color="000000"/>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Baa1</w:t>
            </w:r>
          </w:p>
        </w:tc>
        <w:tc>
          <w:tcPr>
            <w:tcW w:w="1145" w:type="dxa"/>
            <w:tcBorders>
              <w:top w:val="nil"/>
              <w:left w:val="nil"/>
              <w:bottom w:val="single" w:sz="12" w:space="0" w:color="000000"/>
              <w:right w:val="nil"/>
            </w:tcBorders>
            <w:noWrap/>
          </w:tcPr>
          <w:p w:rsidR="001041B1" w:rsidRPr="0021104B" w:rsidRDefault="001041B1">
            <w:pPr>
              <w:pStyle w:val="NoSpacing"/>
              <w:spacing w:line="360" w:lineRule="auto"/>
              <w:rPr>
                <w:rFonts w:ascii="Times New Roman" w:hAnsi="Times New Roman" w:cs="Times New Roman"/>
                <w:color w:val="000000"/>
              </w:rPr>
            </w:pPr>
            <w:r w:rsidRPr="0021104B">
              <w:rPr>
                <w:rFonts w:ascii="Times New Roman" w:hAnsi="Times New Roman" w:cs="Times New Roman"/>
                <w:color w:val="000000"/>
              </w:rPr>
              <w:t>B2</w:t>
            </w:r>
          </w:p>
        </w:tc>
      </w:tr>
    </w:tbl>
    <w:p w:rsidR="001041B1" w:rsidRPr="000B0B15" w:rsidRDefault="001041B1" w:rsidP="00762F1B">
      <w:pPr>
        <w:pStyle w:val="NoSpacing"/>
        <w:rPr>
          <w:rFonts w:ascii="Times New Roman" w:hAnsi="Times New Roman" w:cs="Times New Roman"/>
          <w:sz w:val="18"/>
          <w:szCs w:val="18"/>
          <w:lang w:val="en-GB"/>
        </w:rPr>
      </w:pPr>
      <w:r w:rsidRPr="000B0B15">
        <w:rPr>
          <w:rFonts w:ascii="Times New Roman" w:hAnsi="Times New Roman" w:cs="Times New Roman"/>
          <w:sz w:val="18"/>
          <w:szCs w:val="18"/>
          <w:lang w:val="en-GB"/>
        </w:rPr>
        <w:t>Source: Moody’s</w:t>
      </w:r>
    </w:p>
    <w:p w:rsidR="001041B1" w:rsidRPr="000B0B15" w:rsidRDefault="001041B1" w:rsidP="00762F1B">
      <w:pPr>
        <w:pStyle w:val="NoSpacing"/>
        <w:rPr>
          <w:rFonts w:ascii="Times New Roman" w:hAnsi="Times New Roman" w:cs="Times New Roman"/>
          <w:sz w:val="18"/>
          <w:szCs w:val="18"/>
          <w:lang w:val="en-GB"/>
        </w:rPr>
      </w:pPr>
      <w:r w:rsidRPr="000B0B15">
        <w:rPr>
          <w:rFonts w:ascii="Times New Roman" w:hAnsi="Times New Roman" w:cs="Times New Roman"/>
          <w:sz w:val="18"/>
          <w:szCs w:val="18"/>
          <w:lang w:val="en-GB"/>
        </w:rPr>
        <w:t xml:space="preserve">Notes: Aaa/Aa/A/Baa/Ba/B/Caa/Ca/C is the rating definition from highest possible raking to lowest. The modifier 1 implies that the ranks are the highest in its category; 2 imply the middle-class; 3 imply the lowest end. </w:t>
      </w:r>
    </w:p>
    <w:p w:rsidR="001041B1" w:rsidRDefault="001041B1" w:rsidP="00762F1B">
      <w:pPr>
        <w:pStyle w:val="NoSpacing"/>
        <w:rPr>
          <w:lang w:val="en-GB"/>
        </w:rPr>
      </w:pPr>
    </w:p>
    <w:p w:rsidR="001041B1" w:rsidRDefault="001041B1" w:rsidP="00640E3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4.4 presents the list of sovereign rating from Moody’s. Moody’s use rating C as the lowest possible rate class called ‘Junk’ and ‘Aaa’ for the highest quality which stands for lowest risk. Poland, Czech Republic, Thailand, Mexico and Honduras illustrate a steady rating in the past decades. According to Moody’s the creditworthiness of Hungary and Philippines are decreasing, while Pakistan is doing better in the period 2000 - 2008. When correlation is assumed between the credit rate and government yield spread, Hungary and Philippines have a higher government yield than the other countries. Ganda and Parsley (2005), Kräuss (2005) and Ferreira and Gama (2007) indicated that a downgrade has an important impact on volatility and size of the yield spread. </w:t>
      </w:r>
    </w:p>
    <w:p w:rsidR="001041B1" w:rsidRPr="00B469BD" w:rsidRDefault="001041B1" w:rsidP="00640E34">
      <w:pPr>
        <w:spacing w:line="360" w:lineRule="auto"/>
        <w:jc w:val="both"/>
        <w:rPr>
          <w:rFonts w:ascii="Times New Roman" w:hAnsi="Times New Roman" w:cs="Times New Roman"/>
          <w:color w:val="548AB7"/>
          <w:sz w:val="24"/>
          <w:szCs w:val="24"/>
          <w:lang w:val="en-GB"/>
        </w:rPr>
      </w:pPr>
      <w:r w:rsidRPr="00B469BD">
        <w:rPr>
          <w:rFonts w:ascii="Times New Roman" w:hAnsi="Times New Roman" w:cs="Times New Roman"/>
          <w:color w:val="548AB7"/>
          <w:sz w:val="24"/>
          <w:szCs w:val="24"/>
          <w:lang w:val="en-GB"/>
        </w:rPr>
        <w:t>4.7 Robustness</w:t>
      </w:r>
      <w:r w:rsidRPr="00B469BD">
        <w:rPr>
          <w:rFonts w:ascii="Times New Roman" w:hAnsi="Times New Roman" w:cs="Times New Roman"/>
          <w:bCs/>
          <w:iCs/>
          <w:color w:val="548AB7"/>
          <w:sz w:val="24"/>
          <w:szCs w:val="24"/>
          <w:lang w:val="en-GB"/>
        </w:rPr>
        <w:t xml:space="preserve"> analysis</w:t>
      </w:r>
    </w:p>
    <w:p w:rsidR="001041B1" w:rsidRPr="00FD18A8" w:rsidRDefault="001041B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4.5 presents the effectiveness of the different regions under pooled data estimation. In addition, the four regional models are performed with limited numbers of exogenous variables where the crisis dummy has been removed from the models. </w:t>
      </w:r>
      <w:r w:rsidRPr="00FD18A8">
        <w:rPr>
          <w:rFonts w:ascii="Times New Roman" w:hAnsi="Times New Roman" w:cs="Times New Roman"/>
          <w:sz w:val="24"/>
          <w:szCs w:val="24"/>
        </w:rPr>
        <w:t>The full, third and fourth model indicate that liquidity and solvency variables are not significant for</w:t>
      </w:r>
      <w:r>
        <w:rPr>
          <w:rFonts w:ascii="Times New Roman" w:hAnsi="Times New Roman" w:cs="Times New Roman"/>
          <w:sz w:val="24"/>
          <w:szCs w:val="24"/>
        </w:rPr>
        <w:t xml:space="preserve"> determining</w:t>
      </w:r>
      <w:r w:rsidRPr="00FD18A8">
        <w:rPr>
          <w:rFonts w:ascii="Times New Roman" w:hAnsi="Times New Roman" w:cs="Times New Roman"/>
          <w:sz w:val="24"/>
          <w:szCs w:val="24"/>
        </w:rPr>
        <w:t xml:space="preserve"> the bond spread. </w:t>
      </w:r>
      <w:r w:rsidRPr="00FD18A8">
        <w:rPr>
          <w:rFonts w:ascii="Times New Roman" w:hAnsi="Times New Roman" w:cs="Times New Roman"/>
          <w:sz w:val="24"/>
          <w:szCs w:val="24"/>
          <w:lang w:val="en-GB"/>
        </w:rPr>
        <w:t xml:space="preserve">When the second </w:t>
      </w:r>
      <w:r>
        <w:rPr>
          <w:rFonts w:ascii="Times New Roman" w:hAnsi="Times New Roman" w:cs="Times New Roman"/>
          <w:sz w:val="24"/>
          <w:szCs w:val="24"/>
          <w:lang w:val="en-GB"/>
        </w:rPr>
        <w:t>model</w:t>
      </w:r>
      <w:r w:rsidRPr="00FD18A8">
        <w:rPr>
          <w:rFonts w:ascii="Times New Roman" w:hAnsi="Times New Roman" w:cs="Times New Roman"/>
          <w:sz w:val="24"/>
          <w:szCs w:val="24"/>
          <w:lang w:val="en-GB"/>
        </w:rPr>
        <w:t xml:space="preserve"> is considered both ratio</w:t>
      </w:r>
      <w:r>
        <w:rPr>
          <w:rFonts w:ascii="Times New Roman" w:hAnsi="Times New Roman" w:cs="Times New Roman"/>
          <w:sz w:val="24"/>
          <w:szCs w:val="24"/>
          <w:lang w:val="en-GB"/>
        </w:rPr>
        <w:t xml:space="preserve"> of total external debt to GDP (RED) and growth rate of import (GRI) are significant. Likewise, macroeconomic fundamentals and external shocks are significant indicators for the movement in bond spread. </w:t>
      </w:r>
    </w:p>
    <w:p w:rsidR="001041B1" w:rsidRDefault="001041B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control if the pooled data estimation is stable, this paper also performed panel data estimation. Appendix B presents the estimated regressions for the three models. This estimation indicates differences compared to the pooled data estimation. While solvency and liquidity variables are generally insignificant with the pooled estimation, the panel estimation </w:t>
      </w:r>
      <w:r w:rsidRPr="00FD18A8">
        <w:rPr>
          <w:rFonts w:ascii="Times New Roman" w:hAnsi="Times New Roman" w:cs="Times New Roman"/>
          <w:sz w:val="24"/>
          <w:szCs w:val="24"/>
          <w:lang w:val="en-GB"/>
        </w:rPr>
        <w:t xml:space="preserve">demonstrates </w:t>
      </w:r>
      <w:r>
        <w:rPr>
          <w:rFonts w:ascii="Times New Roman" w:hAnsi="Times New Roman" w:cs="Times New Roman"/>
          <w:sz w:val="24"/>
          <w:szCs w:val="24"/>
          <w:lang w:val="en-GB"/>
        </w:rPr>
        <w:t xml:space="preserve">to be significant for </w:t>
      </w:r>
      <w:r w:rsidRPr="00FD18A8">
        <w:rPr>
          <w:rFonts w:ascii="Times New Roman" w:hAnsi="Times New Roman" w:cs="Times New Roman"/>
          <w:sz w:val="24"/>
          <w:szCs w:val="24"/>
          <w:lang w:val="en-GB"/>
        </w:rPr>
        <w:t>the</w:t>
      </w:r>
      <w:r>
        <w:rPr>
          <w:rFonts w:ascii="Times New Roman" w:hAnsi="Times New Roman" w:cs="Times New Roman"/>
          <w:sz w:val="24"/>
          <w:szCs w:val="24"/>
          <w:lang w:val="en-GB"/>
        </w:rPr>
        <w:t xml:space="preserve"> most variables. For Latin America only the variable of ratio to international reserve (RIR) is not significant. The model</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TOC \o "1-3" \h \z \u </w:instrTex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of Europe is significant for </w:t>
      </w:r>
      <w:r>
        <w:rPr>
          <w:rFonts w:ascii="Times New Roman" w:hAnsi="Times New Roman" w:cs="Times New Roman"/>
          <w:color w:val="000000"/>
          <w:sz w:val="24"/>
          <w:szCs w:val="24"/>
        </w:rPr>
        <w:t xml:space="preserve">ratio of total external debt to GDP (RED), growth rate of import (GRI), growth rate of GDP (GRGP), growth rate of export (GRE) and ratio of current account to GDP (RCA) are significant. </w:t>
      </w:r>
      <w:r w:rsidRPr="00EA386C">
        <w:rPr>
          <w:rFonts w:ascii="Times New Roman" w:hAnsi="Times New Roman" w:cs="Times New Roman"/>
          <w:color w:val="000000"/>
          <w:sz w:val="24"/>
          <w:szCs w:val="24"/>
        </w:rPr>
        <w:t xml:space="preserve">Model 3 estimated that liquidity and solvency variables growth rate of export (GRE) and ratio of current account to GDP (RCA) are insignificant. </w:t>
      </w:r>
      <w:r>
        <w:rPr>
          <w:rFonts w:ascii="Times New Roman" w:hAnsi="Times New Roman" w:cs="Times New Roman"/>
          <w:color w:val="000000"/>
          <w:sz w:val="24"/>
          <w:szCs w:val="24"/>
        </w:rPr>
        <w:t>Moreover, all the macroeconomic fundamentals are highly significant for the regions. Likewise, external shocks are significant for Latin America</w:t>
      </w:r>
      <w:r w:rsidRPr="00FD18A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D18A8">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the world oil price is not significant for Europe and Asia. Whereas the U.S. Treasury bill indicates that government bond spread are affected in both regions. </w:t>
      </w:r>
    </w:p>
    <w:p w:rsidR="001041B1" w:rsidRPr="00780293" w:rsidRDefault="001041B1" w:rsidP="00780293">
      <w:pPr>
        <w:pStyle w:val="NoSpacing"/>
        <w:rPr>
          <w:rFonts w:ascii="Times New Roman" w:hAnsi="Times New Roman" w:cs="Times New Roman"/>
          <w:b/>
          <w:sz w:val="20"/>
          <w:szCs w:val="20"/>
          <w:lang w:val="en-GB"/>
        </w:rPr>
      </w:pPr>
      <w:r>
        <w:rPr>
          <w:rFonts w:ascii="Times New Roman" w:hAnsi="Times New Roman" w:cs="Times New Roman"/>
          <w:b/>
          <w:sz w:val="20"/>
          <w:szCs w:val="20"/>
          <w:lang w:val="en-GB"/>
        </w:rPr>
        <w:t xml:space="preserve">Table 4.5 </w:t>
      </w:r>
      <w:r w:rsidRPr="00780293">
        <w:rPr>
          <w:rFonts w:ascii="Times New Roman" w:hAnsi="Times New Roman" w:cs="Times New Roman"/>
          <w:b/>
          <w:sz w:val="20"/>
          <w:szCs w:val="20"/>
          <w:lang w:val="en-GB"/>
        </w:rPr>
        <w:t>Robustness</w:t>
      </w:r>
      <w:r>
        <w:rPr>
          <w:rFonts w:ascii="Times New Roman" w:hAnsi="Times New Roman" w:cs="Times New Roman"/>
          <w:b/>
          <w:sz w:val="20"/>
          <w:szCs w:val="20"/>
          <w:lang w:val="en-GB"/>
        </w:rPr>
        <w:t xml:space="preserve"> </w:t>
      </w:r>
      <w:r w:rsidRPr="00780293">
        <w:rPr>
          <w:rFonts w:ascii="Times New Roman" w:hAnsi="Times New Roman" w:cs="Times New Roman"/>
          <w:b/>
          <w:sz w:val="20"/>
          <w:szCs w:val="20"/>
          <w:lang w:val="en-GB"/>
        </w:rPr>
        <w:t>check</w:t>
      </w:r>
      <w:r>
        <w:rPr>
          <w:rFonts w:ascii="Times New Roman" w:hAnsi="Times New Roman" w:cs="Times New Roman"/>
          <w:b/>
          <w:sz w:val="20"/>
          <w:szCs w:val="20"/>
          <w:lang w:val="en-GB"/>
        </w:rPr>
        <w:t xml:space="preserve"> pooled data estimation</w:t>
      </w:r>
    </w:p>
    <w:tbl>
      <w:tblPr>
        <w:tblW w:w="8922" w:type="dxa"/>
        <w:tblInd w:w="2" w:type="dxa"/>
        <w:tblLayout w:type="fixed"/>
        <w:tblCellMar>
          <w:left w:w="0" w:type="dxa"/>
          <w:right w:w="0" w:type="dxa"/>
        </w:tblCellMar>
        <w:tblLook w:val="0000"/>
      </w:tblPr>
      <w:tblGrid>
        <w:gridCol w:w="1662"/>
        <w:gridCol w:w="1833"/>
        <w:gridCol w:w="1692"/>
        <w:gridCol w:w="1833"/>
        <w:gridCol w:w="1902"/>
      </w:tblGrid>
      <w:tr w:rsidR="001041B1" w:rsidRPr="0021104B" w:rsidTr="00987F95">
        <w:trPr>
          <w:trHeight w:val="421"/>
        </w:trPr>
        <w:tc>
          <w:tcPr>
            <w:tcW w:w="1662"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jc w:val="center"/>
              <w:rPr>
                <w:rFonts w:ascii="Arial" w:hAnsi="Arial" w:cs="Arial"/>
                <w:b/>
                <w:bCs/>
                <w:color w:val="000000"/>
                <w:sz w:val="18"/>
                <w:szCs w:val="18"/>
              </w:rPr>
            </w:pPr>
            <w:r w:rsidRPr="0021104B">
              <w:rPr>
                <w:rFonts w:ascii="Arial" w:hAnsi="Arial" w:cs="Arial"/>
                <w:b/>
                <w:bCs/>
                <w:color w:val="000000"/>
                <w:sz w:val="18"/>
                <w:szCs w:val="18"/>
              </w:rPr>
              <w:t>Variables</w:t>
            </w:r>
          </w:p>
        </w:tc>
        <w:tc>
          <w:tcPr>
            <w:tcW w:w="1833"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b/>
                <w:bCs/>
                <w:color w:val="000000"/>
                <w:sz w:val="18"/>
                <w:szCs w:val="18"/>
              </w:rPr>
            </w:pPr>
            <w:r w:rsidRPr="0021104B">
              <w:rPr>
                <w:rFonts w:ascii="Arial" w:hAnsi="Arial" w:cs="Arial"/>
                <w:b/>
                <w:bCs/>
                <w:color w:val="000000"/>
                <w:sz w:val="18"/>
                <w:szCs w:val="18"/>
              </w:rPr>
              <w:t>Full model</w:t>
            </w:r>
          </w:p>
        </w:tc>
        <w:tc>
          <w:tcPr>
            <w:tcW w:w="1692"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b/>
                <w:bCs/>
                <w:color w:val="000000"/>
                <w:sz w:val="18"/>
                <w:szCs w:val="18"/>
              </w:rPr>
            </w:pPr>
            <w:r w:rsidRPr="0021104B">
              <w:rPr>
                <w:rFonts w:ascii="Arial" w:hAnsi="Arial" w:cs="Arial"/>
                <w:b/>
                <w:bCs/>
                <w:color w:val="000000"/>
                <w:sz w:val="18"/>
                <w:szCs w:val="18"/>
              </w:rPr>
              <w:t>Model 2</w:t>
            </w:r>
          </w:p>
        </w:tc>
        <w:tc>
          <w:tcPr>
            <w:tcW w:w="1833"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b/>
                <w:bCs/>
                <w:color w:val="000000"/>
                <w:sz w:val="18"/>
                <w:szCs w:val="18"/>
              </w:rPr>
            </w:pPr>
            <w:r w:rsidRPr="0021104B">
              <w:rPr>
                <w:rFonts w:ascii="Arial" w:hAnsi="Arial" w:cs="Arial"/>
                <w:b/>
                <w:bCs/>
                <w:color w:val="000000"/>
                <w:sz w:val="18"/>
                <w:szCs w:val="18"/>
              </w:rPr>
              <w:t>Model 3</w:t>
            </w:r>
          </w:p>
        </w:tc>
        <w:tc>
          <w:tcPr>
            <w:tcW w:w="1902"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b/>
                <w:bCs/>
                <w:color w:val="000000"/>
                <w:sz w:val="18"/>
                <w:szCs w:val="18"/>
              </w:rPr>
            </w:pPr>
            <w:r w:rsidRPr="0021104B">
              <w:rPr>
                <w:rFonts w:ascii="Arial" w:hAnsi="Arial" w:cs="Arial"/>
                <w:b/>
                <w:bCs/>
                <w:color w:val="000000"/>
                <w:sz w:val="18"/>
                <w:szCs w:val="18"/>
              </w:rPr>
              <w:t>Model 4</w:t>
            </w:r>
          </w:p>
        </w:tc>
      </w:tr>
      <w:tr w:rsidR="001041B1" w:rsidRPr="0021104B" w:rsidTr="00987F95">
        <w:trPr>
          <w:trHeight w:val="120"/>
        </w:trPr>
        <w:tc>
          <w:tcPr>
            <w:tcW w:w="1662"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jc w:val="center"/>
              <w:rPr>
                <w:rFonts w:ascii="Arial" w:hAnsi="Arial" w:cs="Arial"/>
                <w:b/>
                <w:bCs/>
                <w:color w:val="000000"/>
                <w:sz w:val="18"/>
                <w:szCs w:val="18"/>
              </w:rPr>
            </w:pPr>
          </w:p>
        </w:tc>
        <w:tc>
          <w:tcPr>
            <w:tcW w:w="1833"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rPr>
                <w:rFonts w:ascii="Arial" w:hAnsi="Arial" w:cs="Arial"/>
                <w:color w:val="000000"/>
                <w:sz w:val="18"/>
                <w:szCs w:val="18"/>
              </w:rPr>
            </w:pPr>
          </w:p>
        </w:tc>
        <w:tc>
          <w:tcPr>
            <w:tcW w:w="1692"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rPr>
                <w:rFonts w:ascii="Arial" w:hAnsi="Arial" w:cs="Arial"/>
                <w:color w:val="000000"/>
                <w:sz w:val="18"/>
                <w:szCs w:val="18"/>
              </w:rPr>
            </w:pPr>
          </w:p>
        </w:tc>
        <w:tc>
          <w:tcPr>
            <w:tcW w:w="1833"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rPr>
                <w:rFonts w:ascii="Arial" w:hAnsi="Arial" w:cs="Arial"/>
                <w:color w:val="000000"/>
                <w:sz w:val="18"/>
                <w:szCs w:val="18"/>
              </w:rPr>
            </w:pPr>
          </w:p>
        </w:tc>
        <w:tc>
          <w:tcPr>
            <w:tcW w:w="1902"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rPr>
                <w:rFonts w:ascii="Arial" w:hAnsi="Arial" w:cs="Arial"/>
                <w:color w:val="000000"/>
                <w:sz w:val="18"/>
                <w:szCs w:val="18"/>
              </w:rPr>
            </w:pPr>
          </w:p>
        </w:tc>
      </w:tr>
      <w:tr w:rsidR="001041B1" w:rsidRPr="0021104B" w:rsidTr="000C091A">
        <w:trPr>
          <w:trHeight w:val="470"/>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r w:rsidRPr="0021104B">
              <w:rPr>
                <w:rFonts w:ascii="Times New Roman" w:hAnsi="Times New Roman" w:cs="Times New Roman"/>
                <w:b/>
                <w:bCs/>
                <w:color w:val="000000"/>
                <w:sz w:val="18"/>
                <w:szCs w:val="18"/>
              </w:rPr>
              <w:t>Liquidity and solvency variables</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r>
      <w:tr w:rsidR="001041B1" w:rsidRPr="0021104B" w:rsidTr="000C091A">
        <w:trPr>
          <w:trHeight w:val="454"/>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RED</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0.034702</w:t>
            </w: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0.627921(**)</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-0.173956</w:t>
            </w: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0.106844</w:t>
            </w:r>
          </w:p>
        </w:tc>
      </w:tr>
      <w:tr w:rsidR="001041B1" w:rsidRPr="0021104B" w:rsidTr="000C091A">
        <w:trPr>
          <w:trHeight w:val="428"/>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RIR</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0.084747</w:t>
            </w: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-0.087447</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0.460565</w:t>
            </w: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0.133726</w:t>
            </w:r>
          </w:p>
        </w:tc>
      </w:tr>
      <w:tr w:rsidR="001041B1" w:rsidRPr="0021104B" w:rsidTr="000C091A">
        <w:trPr>
          <w:trHeight w:val="424"/>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GRI</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0.033317</w:t>
            </w: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0.348013(**)</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-0.737981</w:t>
            </w: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-0.099137</w:t>
            </w:r>
          </w:p>
        </w:tc>
      </w:tr>
      <w:tr w:rsidR="001041B1" w:rsidRPr="0021104B" w:rsidTr="000C091A">
        <w:trPr>
          <w:trHeight w:val="409"/>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GRGD</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0.554558</w:t>
            </w: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-0.145681</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1.016443</w:t>
            </w: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-0.284796</w:t>
            </w:r>
          </w:p>
        </w:tc>
      </w:tr>
      <w:tr w:rsidR="001041B1" w:rsidRPr="0021104B" w:rsidTr="000C091A">
        <w:trPr>
          <w:trHeight w:val="416"/>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GRE</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-0.096884</w:t>
            </w: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-0.257983</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0.419518</w:t>
            </w: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0.098401</w:t>
            </w:r>
          </w:p>
        </w:tc>
      </w:tr>
      <w:tr w:rsidR="001041B1" w:rsidRPr="0021104B" w:rsidTr="000C091A">
        <w:trPr>
          <w:trHeight w:val="421"/>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RCA</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-0.156698</w:t>
            </w: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0.342053</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-1.814442</w:t>
            </w: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-0.413681</w:t>
            </w:r>
          </w:p>
        </w:tc>
      </w:tr>
      <w:tr w:rsidR="001041B1" w:rsidRPr="0021104B" w:rsidTr="000C091A">
        <w:trPr>
          <w:trHeight w:val="417"/>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UNEM</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0.388756</w:t>
            </w: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0.745933</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-0.593217</w:t>
            </w: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0.699688</w:t>
            </w:r>
          </w:p>
        </w:tc>
      </w:tr>
      <w:tr w:rsidR="001041B1" w:rsidRPr="0021104B" w:rsidTr="000C091A">
        <w:trPr>
          <w:trHeight w:val="259"/>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rsidTr="000C091A">
        <w:trPr>
          <w:trHeight w:val="259"/>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r w:rsidRPr="0021104B">
              <w:rPr>
                <w:rFonts w:ascii="Times New Roman" w:hAnsi="Times New Roman" w:cs="Times New Roman"/>
                <w:b/>
                <w:bCs/>
                <w:color w:val="000000"/>
                <w:sz w:val="18"/>
                <w:szCs w:val="18"/>
              </w:rPr>
              <w:t>Macroeconomic fundamentals</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rsidTr="000C091A">
        <w:trPr>
          <w:trHeight w:val="394"/>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TOT</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5.777858(**)</w:t>
            </w: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3.810862(**)</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3.270450(**)</w:t>
            </w: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5.964366(**)</w:t>
            </w:r>
          </w:p>
        </w:tc>
      </w:tr>
      <w:tr w:rsidR="001041B1" w:rsidRPr="0021104B" w:rsidTr="000C091A">
        <w:trPr>
          <w:trHeight w:val="509"/>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INF</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0.243113(**)</w:t>
            </w: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1.023825(**)</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0.813781(**)</w:t>
            </w: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0.123229</w:t>
            </w:r>
          </w:p>
        </w:tc>
      </w:tr>
      <w:tr w:rsidR="001041B1" w:rsidRPr="0021104B" w:rsidTr="000C091A">
        <w:trPr>
          <w:trHeight w:val="260"/>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rsidTr="000C091A">
        <w:trPr>
          <w:trHeight w:val="259"/>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r w:rsidRPr="0021104B">
              <w:rPr>
                <w:rFonts w:ascii="Times New Roman" w:hAnsi="Times New Roman" w:cs="Times New Roman"/>
                <w:b/>
                <w:bCs/>
                <w:color w:val="000000"/>
                <w:sz w:val="18"/>
                <w:szCs w:val="18"/>
              </w:rPr>
              <w:t>External shocks</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rsidTr="000C091A">
        <w:trPr>
          <w:trHeight w:val="259"/>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color w:val="000000"/>
                <w:sz w:val="18"/>
                <w:szCs w:val="18"/>
              </w:rPr>
              <w:t>OIL</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0.419755(**)</w:t>
            </w: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-0.011870</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0.044929(*)</w:t>
            </w: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0.057541(*)</w:t>
            </w:r>
          </w:p>
        </w:tc>
      </w:tr>
      <w:tr w:rsidR="001041B1" w:rsidRPr="0021104B" w:rsidTr="000C091A">
        <w:trPr>
          <w:trHeight w:val="475"/>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color w:val="000000"/>
                <w:sz w:val="18"/>
                <w:szCs w:val="18"/>
              </w:rPr>
              <w:t>TBILL</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Times New Roman" w:hAnsi="Times New Roman" w:cs="Times New Roman"/>
                <w:color w:val="000000"/>
                <w:sz w:val="18"/>
                <w:szCs w:val="18"/>
              </w:rPr>
              <w:t>-0.014114(*)</w:t>
            </w: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0.808770(**)</w:t>
            </w: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0.850901(**)</w:t>
            </w: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1.058478(**)</w:t>
            </w:r>
          </w:p>
        </w:tc>
      </w:tr>
      <w:tr w:rsidR="001041B1" w:rsidRPr="0021104B" w:rsidTr="000C091A">
        <w:trPr>
          <w:trHeight w:val="260"/>
        </w:trPr>
        <w:tc>
          <w:tcPr>
            <w:tcW w:w="1662"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6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833"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190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rsidTr="00987F95">
        <w:trPr>
          <w:trHeight w:val="177"/>
        </w:trPr>
        <w:tc>
          <w:tcPr>
            <w:tcW w:w="1662" w:type="dxa"/>
            <w:tcBorders>
              <w:top w:val="nil"/>
              <w:left w:val="nil"/>
              <w:bottom w:val="single" w:sz="12" w:space="0" w:color="auto"/>
              <w:right w:val="nil"/>
            </w:tcBorders>
          </w:tcPr>
          <w:p w:rsidR="001041B1" w:rsidRPr="0021104B" w:rsidRDefault="001041B1">
            <w:pPr>
              <w:pStyle w:val="NoSpacing"/>
              <w:spacing w:line="360" w:lineRule="auto"/>
              <w:rPr>
                <w:rFonts w:ascii="Times New Roman" w:hAnsi="Times New Roman" w:cs="Times New Roman"/>
                <w:b/>
                <w:bCs/>
                <w:sz w:val="20"/>
                <w:szCs w:val="20"/>
              </w:rPr>
            </w:pPr>
          </w:p>
        </w:tc>
        <w:tc>
          <w:tcPr>
            <w:tcW w:w="1833" w:type="dxa"/>
            <w:tcBorders>
              <w:top w:val="nil"/>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p>
        </w:tc>
        <w:tc>
          <w:tcPr>
            <w:tcW w:w="1692" w:type="dxa"/>
            <w:tcBorders>
              <w:top w:val="nil"/>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p>
        </w:tc>
        <w:tc>
          <w:tcPr>
            <w:tcW w:w="1833" w:type="dxa"/>
            <w:tcBorders>
              <w:top w:val="nil"/>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p>
        </w:tc>
        <w:tc>
          <w:tcPr>
            <w:tcW w:w="1902" w:type="dxa"/>
            <w:tcBorders>
              <w:top w:val="nil"/>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p>
        </w:tc>
      </w:tr>
    </w:tbl>
    <w:p w:rsidR="001041B1" w:rsidRPr="000B0B15" w:rsidRDefault="001041B1">
      <w:pPr>
        <w:pStyle w:val="NoSpacing"/>
        <w:rPr>
          <w:rFonts w:ascii="Times New Roman" w:hAnsi="Times New Roman" w:cs="Times New Roman"/>
          <w:bCs/>
          <w:sz w:val="18"/>
          <w:szCs w:val="18"/>
        </w:rPr>
      </w:pPr>
      <w:r>
        <w:rPr>
          <w:rFonts w:ascii="Times New Roman" w:hAnsi="Times New Roman" w:cs="Times New Roman"/>
          <w:bCs/>
          <w:sz w:val="18"/>
          <w:szCs w:val="18"/>
        </w:rPr>
        <w:t xml:space="preserve">Notes: </w:t>
      </w:r>
      <w:r w:rsidRPr="000B0B15">
        <w:rPr>
          <w:rFonts w:ascii="Times New Roman" w:hAnsi="Times New Roman" w:cs="Times New Roman"/>
          <w:bCs/>
          <w:sz w:val="18"/>
          <w:szCs w:val="18"/>
        </w:rPr>
        <w:t>Regression 1: total; regression 2: Latin America; regression 3: Europe; regression 4: Asia</w:t>
      </w:r>
    </w:p>
    <w:p w:rsidR="001041B1" w:rsidRPr="000B0B15" w:rsidRDefault="001041B1">
      <w:pPr>
        <w:pStyle w:val="NoSpacing"/>
        <w:rPr>
          <w:rFonts w:ascii="Times New Roman" w:hAnsi="Times New Roman" w:cs="Times New Roman"/>
          <w:bCs/>
          <w:sz w:val="18"/>
          <w:szCs w:val="18"/>
          <w:lang w:val="en-GB"/>
        </w:rPr>
      </w:pPr>
      <w:r w:rsidRPr="000B0B15">
        <w:rPr>
          <w:rFonts w:ascii="Times New Roman" w:hAnsi="Times New Roman" w:cs="Times New Roman"/>
          <w:bCs/>
          <w:sz w:val="18"/>
          <w:szCs w:val="18"/>
          <w:lang w:val="en-GB"/>
        </w:rPr>
        <w:t>*Significant at 5% critical level; ** significant at 1% critical level; pooled data estimation are determined per sector.</w:t>
      </w:r>
      <w:r>
        <w:rPr>
          <w:rFonts w:ascii="Times New Roman" w:hAnsi="Times New Roman" w:cs="Times New Roman"/>
          <w:bCs/>
          <w:sz w:val="18"/>
          <w:szCs w:val="18"/>
          <w:lang w:val="en-GB"/>
        </w:rPr>
        <w:t xml:space="preserve"> The OLS estimation is used. In addition, crisis dummy has been removed from the models.</w:t>
      </w:r>
    </w:p>
    <w:p w:rsidR="001041B1" w:rsidRDefault="001041B1">
      <w:pPr>
        <w:spacing w:line="360" w:lineRule="auto"/>
        <w:jc w:val="both"/>
        <w:rPr>
          <w:rFonts w:ascii="Times New Roman" w:hAnsi="Times New Roman" w:cs="Times New Roman"/>
          <w:color w:val="000000"/>
          <w:sz w:val="24"/>
          <w:szCs w:val="24"/>
          <w:lang w:val="en-GB"/>
        </w:rPr>
      </w:pPr>
    </w:p>
    <w:p w:rsidR="001041B1" w:rsidRPr="00B45688" w:rsidRDefault="001041B1" w:rsidP="00B45688">
      <w:pPr>
        <w:pStyle w:val="TOC2"/>
      </w:pPr>
      <w:r w:rsidRPr="00640E34">
        <w:t xml:space="preserve"> </w:t>
      </w:r>
      <w:r>
        <w:t xml:space="preserve">      5 </w:t>
      </w:r>
      <w:r w:rsidRPr="00640E34">
        <w:t xml:space="preserve"> </w:t>
      </w:r>
      <w:r>
        <w:t xml:space="preserve"> </w:t>
      </w:r>
      <w:r w:rsidRPr="00640E34">
        <w:t xml:space="preserve">Concluding Remarks and </w:t>
      </w:r>
      <w:r>
        <w:t>Discussion</w:t>
      </w:r>
    </w:p>
    <w:p w:rsidR="001041B1" w:rsidRDefault="001041B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paper has examined the fundamentals of government bond spread for emerging economies for the period 1999 - 2008 and countries like: </w:t>
      </w:r>
      <w:r>
        <w:rPr>
          <w:rFonts w:ascii="Times New Roman" w:hAnsi="Times New Roman" w:cs="Times New Roman"/>
          <w:i/>
          <w:iCs/>
          <w:sz w:val="24"/>
          <w:szCs w:val="24"/>
          <w:lang w:val="en-GB"/>
        </w:rPr>
        <w:t>Poland, Czech Republic, Hungary, Thailand, Philippines, Pakistan, Mexico and Honduras.</w:t>
      </w:r>
      <w:r>
        <w:rPr>
          <w:rFonts w:ascii="Times New Roman" w:hAnsi="Times New Roman" w:cs="Times New Roman"/>
          <w:sz w:val="24"/>
          <w:szCs w:val="24"/>
          <w:lang w:val="en-GB"/>
        </w:rPr>
        <w:t xml:space="preserve"> The contribution of this research is twofold. Firstly, it gives an analytical overview on the development of sovereign bond spread in the last ten years. Secondly, this paper studies the sensitiveness of results under several model conditions. The primary finding is that macroeconomic and external shocks are the most significant indicators for government yield spread. Exogenous variables like TOT, INF, OIL and TBILL occur to be highly significant. The effect of high volatility and economic crisis in specific regions has impacted the period after the crisis. Dummy variable crisis is significant for Latin American countries, whereas European and Asian countries remain insignificant. Furthermore, the liquidity related-variables are in general insignificant. Overall, the determinants of bond spread are similar for the three regions. These findings report that emerging economies are more related and affected by the variables of developed economies like the U.S. interest rate. Ultimately, there are global fundamentals, mostly beyond the reach of domestic policymakers, which could considerable affect bond spreads. </w:t>
      </w:r>
    </w:p>
    <w:p w:rsidR="001041B1" w:rsidRDefault="001041B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Compared to previous work on government spread, these results are complementary to the work of </w:t>
      </w:r>
      <w:r>
        <w:rPr>
          <w:rFonts w:ascii="Times New Roman" w:hAnsi="Times New Roman" w:cs="Times New Roman"/>
          <w:color w:val="000000"/>
          <w:sz w:val="24"/>
          <w:szCs w:val="24"/>
        </w:rPr>
        <w:t xml:space="preserve">Eichengreen and Mody (1998), Calvo (2003), Weigel and Gemmill (2006), Dailami et. al (2008) and Ebner (2009). Nonetheless, other studies found strong evidence for liquidity related-variables like Min et al. (2003), Lesmond (2005) and </w:t>
      </w:r>
      <w:r w:rsidRPr="00334107">
        <w:rPr>
          <w:rFonts w:ascii="Times New Roman" w:hAnsi="Times New Roman" w:cs="Times New Roman"/>
          <w:sz w:val="24"/>
          <w:szCs w:val="24"/>
        </w:rPr>
        <w:t>Baek et al. (2005)</w:t>
      </w:r>
      <w:r>
        <w:rPr>
          <w:rFonts w:ascii="Times New Roman" w:hAnsi="Times New Roman" w:cs="Times New Roman"/>
          <w:color w:val="000000"/>
          <w:sz w:val="24"/>
          <w:szCs w:val="24"/>
        </w:rPr>
        <w:t xml:space="preserve">. Three possible drawbacks are the limited observation used in pooled model, the chosen methodology and the exogenous variables. By using yearly data, the explaining power of the estimations can be argued. In addition, the panel data estimation indicated that liquidity and solvency variables have influence on the bond spread. In recent years other variables like political instability or other uncertainties can scare investors and financial intuitions which can have a substantial influence on government bonds. </w:t>
      </w:r>
      <w:r>
        <w:rPr>
          <w:rFonts w:ascii="Times New Roman" w:hAnsi="Times New Roman" w:cs="Times New Roman"/>
          <w:sz w:val="24"/>
          <w:szCs w:val="24"/>
          <w:lang w:val="en-GB"/>
        </w:rPr>
        <w:t>According to Rocha and Moreira (2010), factors like political stability, liberalization of financial markets and governance improvement are variables for determining the sovereign spread. For further research these suggestions can be included. Despite decades of data and research, the field of yield spread in emerging economies will continue to be interesting topics for academics, investors and financial institutions. As one of the fastest growing markets, the developed countries will continuously follow the development in emerging economies.</w:t>
      </w:r>
    </w:p>
    <w:p w:rsidR="001041B1" w:rsidRDefault="001041B1">
      <w:pPr>
        <w:spacing w:line="360" w:lineRule="auto"/>
        <w:jc w:val="both"/>
        <w:rPr>
          <w:rFonts w:ascii="Times New Roman" w:hAnsi="Times New Roman" w:cs="Times New Roman"/>
          <w:color w:val="000000"/>
          <w:sz w:val="24"/>
          <w:szCs w:val="24"/>
        </w:rPr>
      </w:pPr>
    </w:p>
    <w:p w:rsidR="001041B1" w:rsidRPr="00B45688" w:rsidRDefault="001041B1" w:rsidP="00B45688">
      <w:pPr>
        <w:pStyle w:val="TOC2"/>
      </w:pPr>
      <w:r>
        <w:t xml:space="preserve">      6    References</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Abad, P., Helena Chuliá, and Marta Gómez-Puig. 2009. EMU and European government                bond market integration.</w:t>
      </w:r>
      <w:r>
        <w:rPr>
          <w:rFonts w:ascii="Times New Roman" w:hAnsi="Times New Roman" w:cs="Times New Roman"/>
          <w:i/>
          <w:iCs/>
          <w:sz w:val="24"/>
          <w:szCs w:val="24"/>
        </w:rPr>
        <w:t xml:space="preserve"> </w:t>
      </w:r>
      <w:r>
        <w:rPr>
          <w:rFonts w:ascii="Times New Roman" w:hAnsi="Times New Roman" w:cs="Times New Roman"/>
          <w:sz w:val="24"/>
          <w:szCs w:val="24"/>
        </w:rPr>
        <w:t xml:space="preserve">European Central Bank. </w:t>
      </w:r>
      <w:r>
        <w:rPr>
          <w:rFonts w:ascii="Times New Roman" w:hAnsi="Times New Roman" w:cs="Times New Roman"/>
          <w:i/>
          <w:iCs/>
          <w:sz w:val="24"/>
          <w:szCs w:val="24"/>
        </w:rPr>
        <w:t>Working paper series</w:t>
      </w:r>
      <w:r>
        <w:rPr>
          <w:rFonts w:ascii="Times New Roman" w:hAnsi="Times New Roman" w:cs="Times New Roman"/>
          <w:sz w:val="24"/>
          <w:szCs w:val="24"/>
        </w:rPr>
        <w:t xml:space="preserve"> No. 1079.</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Alexopoulou, I., Irina Bunda, and Annalisa Ferrando. 2009. Determinants of government bond spreads in new EU countries. </w:t>
      </w:r>
      <w:r>
        <w:rPr>
          <w:rFonts w:ascii="Times New Roman" w:hAnsi="Times New Roman" w:cs="Times New Roman"/>
          <w:i/>
          <w:iCs/>
          <w:sz w:val="24"/>
          <w:szCs w:val="24"/>
        </w:rPr>
        <w:t>Working paper series</w:t>
      </w:r>
      <w:r>
        <w:rPr>
          <w:rFonts w:ascii="Times New Roman" w:hAnsi="Times New Roman" w:cs="Times New Roman"/>
          <w:sz w:val="24"/>
          <w:szCs w:val="24"/>
        </w:rPr>
        <w:t xml:space="preserve"> No 1093. (September).</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Al-Sakka, R., and Owain A. Gwilym. 2009. Heterogeneity of sovereign rating migrations in emerging countries. </w:t>
      </w:r>
      <w:r>
        <w:rPr>
          <w:rFonts w:ascii="Times New Roman" w:hAnsi="Times New Roman" w:cs="Times New Roman"/>
          <w:i/>
          <w:iCs/>
          <w:sz w:val="24"/>
          <w:szCs w:val="24"/>
        </w:rPr>
        <w:t>Emerging Markets Review, 26,</w:t>
      </w:r>
      <w:r>
        <w:rPr>
          <w:rFonts w:ascii="Times New Roman" w:hAnsi="Times New Roman" w:cs="Times New Roman"/>
          <w:sz w:val="24"/>
          <w:szCs w:val="24"/>
        </w:rPr>
        <w:t xml:space="preserve"> 151-165.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Al-Sakka, R., and Owain A. Gwilym. 2010.  Split sovereign ratings and rating migration in emerging economies. </w:t>
      </w:r>
      <w:r>
        <w:rPr>
          <w:rFonts w:ascii="Times New Roman" w:hAnsi="Times New Roman" w:cs="Times New Roman"/>
          <w:i/>
          <w:iCs/>
          <w:sz w:val="24"/>
          <w:szCs w:val="24"/>
        </w:rPr>
        <w:t xml:space="preserve">Emerging Markets Review, 10, </w:t>
      </w:r>
      <w:r>
        <w:rPr>
          <w:rFonts w:ascii="Times New Roman" w:hAnsi="Times New Roman" w:cs="Times New Roman"/>
          <w:sz w:val="24"/>
          <w:szCs w:val="24"/>
        </w:rPr>
        <w:t>79-97.</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Andritzky, J. R., Geoffrey J. Bannister, and Natalia T. Tamirisa. 2007. The impact of macroeconomics announcement on emerging market bonds</w:t>
      </w:r>
      <w:r>
        <w:rPr>
          <w:rFonts w:ascii="Times New Roman" w:hAnsi="Times New Roman" w:cs="Times New Roman"/>
          <w:i/>
          <w:iCs/>
          <w:sz w:val="24"/>
          <w:szCs w:val="24"/>
        </w:rPr>
        <w:t xml:space="preserve">. Emerging Markets Review </w:t>
      </w:r>
      <w:r>
        <w:rPr>
          <w:rFonts w:ascii="Times New Roman" w:hAnsi="Times New Roman" w:cs="Times New Roman"/>
          <w:sz w:val="24"/>
          <w:szCs w:val="24"/>
        </w:rPr>
        <w:t xml:space="preserve">20-37.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Antzoulatos, Angelos. 2000. On the determinants and resilience of bond flows to LDCs, 1990– 1995. </w:t>
      </w:r>
      <w:r>
        <w:rPr>
          <w:rFonts w:ascii="Times New Roman" w:hAnsi="Times New Roman" w:cs="Times New Roman"/>
          <w:i/>
          <w:iCs/>
          <w:sz w:val="24"/>
          <w:szCs w:val="24"/>
        </w:rPr>
        <w:t>Journal of International Money and Finance,</w:t>
      </w:r>
      <w:r>
        <w:rPr>
          <w:rFonts w:ascii="Times New Roman" w:hAnsi="Times New Roman" w:cs="Times New Roman"/>
          <w:sz w:val="24"/>
          <w:szCs w:val="24"/>
        </w:rPr>
        <w:t xml:space="preserve"> 19, 399– 418.</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Arora, V., and Martin  Cerisola. 2001. How Does U.S. Monetary Policy Influence Sovereign Spreads in Emerging Markets? </w:t>
      </w:r>
      <w:r>
        <w:rPr>
          <w:rFonts w:ascii="Times New Roman" w:hAnsi="Times New Roman" w:cs="Times New Roman"/>
          <w:i/>
          <w:iCs/>
          <w:sz w:val="24"/>
          <w:szCs w:val="24"/>
        </w:rPr>
        <w:t xml:space="preserve">IMF Staff Papers, 48, </w:t>
      </w:r>
      <w:r>
        <w:rPr>
          <w:rFonts w:ascii="Times New Roman" w:hAnsi="Times New Roman" w:cs="Times New Roman"/>
          <w:sz w:val="24"/>
          <w:szCs w:val="24"/>
        </w:rPr>
        <w:t>3.</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Audzeyeya, A., and Klaus A. Schenk-Hoppé. 2010. The role of country, regional and global market risks in the dynamics of Latin American yield spreads. </w:t>
      </w:r>
      <w:r>
        <w:rPr>
          <w:rFonts w:ascii="Times New Roman" w:hAnsi="Times New Roman" w:cs="Times New Roman"/>
          <w:i/>
          <w:iCs/>
          <w:sz w:val="24"/>
          <w:szCs w:val="24"/>
        </w:rPr>
        <w:t>Journal of International Financial Markets, Institutions and Money (forthcoming).</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Baek, I-M., Arindam Bandopadhyaya, and Chan Du. 2005. Determinants of market-assessed sovereign risk: Economic fundamentals or market risk appetite? </w:t>
      </w:r>
      <w:r>
        <w:rPr>
          <w:rFonts w:ascii="Times New Roman" w:hAnsi="Times New Roman" w:cs="Times New Roman"/>
          <w:i/>
          <w:iCs/>
          <w:sz w:val="24"/>
          <w:szCs w:val="24"/>
        </w:rPr>
        <w:t>Journal of International Money and Finance,24,</w:t>
      </w:r>
      <w:r>
        <w:rPr>
          <w:rFonts w:ascii="Times New Roman" w:hAnsi="Times New Roman" w:cs="Times New Roman"/>
          <w:sz w:val="24"/>
          <w:szCs w:val="24"/>
        </w:rPr>
        <w:t xml:space="preserve">  533-548.</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Batten, J. A., Thomas A. Fetherston, and Pongsak Hoontrakul. 2006. Factors affecting the yields of emerging market issuers: Evidence from the Asia-Pacific region</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Journal of International Financial Markets,16,</w:t>
      </w:r>
      <w:r>
        <w:rPr>
          <w:rFonts w:ascii="Times New Roman" w:hAnsi="Times New Roman" w:cs="Times New Roman"/>
          <w:sz w:val="24"/>
          <w:szCs w:val="24"/>
        </w:rPr>
        <w:t xml:space="preserve"> 57-70.</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Bilson, C. M., Timothy J. Brailsford, and Vincent J. Hooper. 2001. Selecting macroeconomic variables as explanatory factors of emerging stock market returns. </w:t>
      </w:r>
      <w:r>
        <w:rPr>
          <w:rFonts w:ascii="Times New Roman" w:hAnsi="Times New Roman" w:cs="Times New Roman"/>
          <w:i/>
          <w:iCs/>
          <w:sz w:val="24"/>
          <w:szCs w:val="24"/>
        </w:rPr>
        <w:t xml:space="preserve">Pacific-Basin Finance Journal, 9, </w:t>
      </w:r>
      <w:r>
        <w:rPr>
          <w:rFonts w:ascii="Times New Roman" w:hAnsi="Times New Roman" w:cs="Times New Roman"/>
          <w:sz w:val="24"/>
          <w:szCs w:val="24"/>
        </w:rPr>
        <w:t xml:space="preserve"> 401-426.</w:t>
      </w:r>
    </w:p>
    <w:p w:rsidR="001041B1" w:rsidRDefault="001041B1">
      <w:pPr>
        <w:pStyle w:val="NoSpacing"/>
        <w:spacing w:line="360" w:lineRule="auto"/>
        <w:jc w:val="both"/>
        <w:rPr>
          <w:rFonts w:ascii="Times New Roman" w:hAnsi="Times New Roman" w:cs="Times New Roman"/>
          <w:sz w:val="24"/>
          <w:szCs w:val="24"/>
          <w:lang w:val="fr-FR"/>
        </w:rPr>
      </w:pPr>
      <w:r>
        <w:rPr>
          <w:rFonts w:ascii="Times New Roman" w:hAnsi="Times New Roman" w:cs="Times New Roman"/>
          <w:sz w:val="24"/>
          <w:szCs w:val="24"/>
        </w:rPr>
        <w:t xml:space="preserve">   Bissoondoyal-Bheenick, Emawtee. 2005. An analysis of the determinants of sovereign ratings. </w:t>
      </w:r>
      <w:r>
        <w:rPr>
          <w:rFonts w:ascii="Times New Roman" w:hAnsi="Times New Roman" w:cs="Times New Roman"/>
          <w:i/>
          <w:iCs/>
          <w:sz w:val="24"/>
          <w:szCs w:val="24"/>
          <w:lang w:val="fr-FR"/>
        </w:rPr>
        <w:t xml:space="preserve">Global Finance Journal, 15, </w:t>
      </w:r>
      <w:r>
        <w:rPr>
          <w:rFonts w:ascii="Times New Roman" w:hAnsi="Times New Roman" w:cs="Times New Roman"/>
          <w:sz w:val="24"/>
          <w:szCs w:val="24"/>
          <w:lang w:val="fr-FR"/>
        </w:rPr>
        <w:t xml:space="preserve"> 251-280.</w:t>
      </w:r>
    </w:p>
    <w:p w:rsidR="001041B1" w:rsidRDefault="001041B1">
      <w:pPr>
        <w:pStyle w:val="NoSpacing"/>
        <w:spacing w:line="360" w:lineRule="auto"/>
        <w:jc w:val="both"/>
        <w:rPr>
          <w:rFonts w:ascii="Times New Roman" w:hAnsi="Times New Roman" w:cs="Times New Roman"/>
          <w:i/>
          <w:iCs/>
          <w:sz w:val="24"/>
          <w:szCs w:val="24"/>
        </w:rPr>
      </w:pPr>
      <w:r>
        <w:rPr>
          <w:rFonts w:ascii="Times New Roman" w:hAnsi="Times New Roman" w:cs="Times New Roman"/>
          <w:sz w:val="24"/>
          <w:szCs w:val="24"/>
          <w:lang w:val="fr-FR"/>
        </w:rPr>
        <w:t xml:space="preserve">   </w:t>
      </w:r>
      <w:r>
        <w:rPr>
          <w:rFonts w:ascii="Times New Roman" w:hAnsi="Times New Roman" w:cs="Times New Roman"/>
          <w:sz w:val="24"/>
          <w:szCs w:val="24"/>
        </w:rPr>
        <w:t xml:space="preserve">Boss, M., and Martin Scheicher. 2002. The determinants of credit spreads changes in the euro area. </w:t>
      </w:r>
      <w:r>
        <w:rPr>
          <w:rFonts w:ascii="Times New Roman" w:hAnsi="Times New Roman" w:cs="Times New Roman"/>
          <w:i/>
          <w:iCs/>
          <w:sz w:val="24"/>
          <w:szCs w:val="24"/>
        </w:rPr>
        <w:t>BIS papers 12,</w:t>
      </w:r>
      <w:r>
        <w:rPr>
          <w:rFonts w:ascii="Times New Roman" w:hAnsi="Times New Roman" w:cs="Times New Roman"/>
          <w:sz w:val="24"/>
          <w:szCs w:val="24"/>
        </w:rPr>
        <w:t xml:space="preserve"> 181-199.</w:t>
      </w:r>
    </w:p>
    <w:p w:rsidR="001041B1" w:rsidRDefault="001041B1">
      <w:pPr>
        <w:pStyle w:val="NoSpacing"/>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Bräuninger, M., and Markus Pannenberg. 2002. Unemployment and productivity growth: an empirical analysis within an augmented Solow model. </w:t>
      </w:r>
      <w:r>
        <w:rPr>
          <w:rFonts w:ascii="Times New Roman" w:hAnsi="Times New Roman" w:cs="Times New Roman"/>
          <w:i/>
          <w:iCs/>
          <w:sz w:val="24"/>
          <w:szCs w:val="24"/>
        </w:rPr>
        <w:t>Economic Modelling, 19, 105-120.</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Brooks, Chris. 2008. </w:t>
      </w:r>
      <w:r>
        <w:rPr>
          <w:rFonts w:ascii="Times New Roman" w:hAnsi="Times New Roman" w:cs="Times New Roman"/>
          <w:i/>
          <w:iCs/>
          <w:sz w:val="24"/>
          <w:szCs w:val="24"/>
        </w:rPr>
        <w:t xml:space="preserve">Introductory Econometrics for finance. </w:t>
      </w:r>
      <w:r>
        <w:rPr>
          <w:rFonts w:ascii="Times New Roman" w:hAnsi="Times New Roman" w:cs="Times New Roman"/>
          <w:sz w:val="24"/>
          <w:szCs w:val="24"/>
        </w:rPr>
        <w:t>Cambridge University Press</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Brooks, R., Robert W. Faff, David Hillier,  and Joseph Hilluer. 2004. The national market impact of sovereign rating changes. </w:t>
      </w:r>
      <w:r>
        <w:rPr>
          <w:rFonts w:ascii="Times New Roman" w:hAnsi="Times New Roman" w:cs="Times New Roman"/>
          <w:i/>
          <w:iCs/>
          <w:sz w:val="24"/>
          <w:szCs w:val="24"/>
        </w:rPr>
        <w:t xml:space="preserve">Journal of Banking and Finance </w:t>
      </w:r>
      <w:r>
        <w:rPr>
          <w:rFonts w:ascii="Times New Roman" w:hAnsi="Times New Roman" w:cs="Times New Roman"/>
          <w:sz w:val="24"/>
          <w:szCs w:val="24"/>
        </w:rPr>
        <w:t>28, 233-250.</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Bunda I., Javier A. Hamann, and Subir Lall. 2009. Correlations in emerging market bond: The role of local and global factors</w:t>
      </w:r>
      <w:r>
        <w:rPr>
          <w:rFonts w:ascii="Times New Roman" w:hAnsi="Times New Roman" w:cs="Times New Roman"/>
          <w:i/>
          <w:iCs/>
          <w:sz w:val="24"/>
          <w:szCs w:val="24"/>
        </w:rPr>
        <w:t>. Emerging Markets Review, 10, 67-96.</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Caceres, C., Guzzo Vincenzo, and Miguel Segoviano. 20. Sovereign spreads: Global risk aversion contagion of fundamentals? </w:t>
      </w:r>
      <w:r>
        <w:rPr>
          <w:rFonts w:ascii="Times New Roman" w:hAnsi="Times New Roman" w:cs="Times New Roman"/>
          <w:i/>
          <w:iCs/>
          <w:sz w:val="24"/>
          <w:szCs w:val="24"/>
        </w:rPr>
        <w:t xml:space="preserve">IMF working paper </w:t>
      </w:r>
      <w:r>
        <w:rPr>
          <w:rFonts w:ascii="Times New Roman" w:hAnsi="Times New Roman" w:cs="Times New Roman"/>
          <w:sz w:val="24"/>
          <w:szCs w:val="24"/>
        </w:rPr>
        <w:t xml:space="preserve">No. 10/120. </w:t>
      </w:r>
    </w:p>
    <w:p w:rsidR="001041B1" w:rsidRDefault="001041B1">
      <w:pPr>
        <w:pStyle w:val="NoSpacing"/>
        <w:spacing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   Calvo, Guillermo. 2003. Explaining sudden stops, growth collapse and BOB Crises: the case of distortionary outputs taxes. </w:t>
      </w:r>
      <w:r>
        <w:rPr>
          <w:rFonts w:ascii="Times New Roman" w:hAnsi="Times New Roman" w:cs="Times New Roman"/>
          <w:i/>
          <w:iCs/>
          <w:color w:val="231F20"/>
          <w:sz w:val="24"/>
          <w:szCs w:val="24"/>
        </w:rPr>
        <w:t>Working Paper</w:t>
      </w:r>
      <w:r>
        <w:rPr>
          <w:rFonts w:ascii="Times New Roman" w:hAnsi="Times New Roman" w:cs="Times New Roman"/>
          <w:color w:val="231F20"/>
          <w:sz w:val="24"/>
          <w:szCs w:val="24"/>
        </w:rPr>
        <w:t xml:space="preserve"> 9864 NBER Working Paper Series.</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Cantor, R., and Frank Packer. 1995. Determinants and Impact of Sovereign Credit Ratings. </w:t>
      </w:r>
      <w:r>
        <w:rPr>
          <w:rFonts w:ascii="Times New Roman" w:hAnsi="Times New Roman" w:cs="Times New Roman"/>
          <w:i/>
          <w:iCs/>
          <w:sz w:val="24"/>
          <w:szCs w:val="24"/>
        </w:rPr>
        <w:t xml:space="preserve">Federal Reserve Bank of New York Economic, </w:t>
      </w:r>
      <w:r>
        <w:rPr>
          <w:rFonts w:ascii="Times New Roman" w:hAnsi="Times New Roman" w:cs="Times New Roman"/>
          <w:sz w:val="24"/>
          <w:szCs w:val="24"/>
        </w:rPr>
        <w:t>2</w:t>
      </w:r>
      <w:r>
        <w:rPr>
          <w:rFonts w:ascii="Times New Roman" w:hAnsi="Times New Roman" w:cs="Times New Roman"/>
          <w:i/>
          <w:iCs/>
          <w:sz w:val="24"/>
          <w:szCs w:val="24"/>
        </w:rPr>
        <w:t xml:space="preserve">, </w:t>
      </w:r>
      <w:r>
        <w:rPr>
          <w:rFonts w:ascii="Times New Roman" w:hAnsi="Times New Roman" w:cs="Times New Roman"/>
          <w:sz w:val="24"/>
          <w:szCs w:val="24"/>
        </w:rPr>
        <w:t>37-53. (October).</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Chuhan, P., Stijn Claessens, Nlandu Mamingi. 1998. Equity and bond flows to Latin America and Asia: the role of global and country factors. </w:t>
      </w:r>
      <w:r>
        <w:rPr>
          <w:rFonts w:ascii="Times New Roman" w:hAnsi="Times New Roman" w:cs="Times New Roman"/>
          <w:i/>
          <w:iCs/>
          <w:sz w:val="24"/>
          <w:szCs w:val="24"/>
        </w:rPr>
        <w:t xml:space="preserve">Journal of Development Economics, </w:t>
      </w:r>
      <w:r>
        <w:rPr>
          <w:rFonts w:ascii="Times New Roman" w:hAnsi="Times New Roman" w:cs="Times New Roman"/>
          <w:sz w:val="24"/>
          <w:szCs w:val="24"/>
        </w:rPr>
        <w:t>55, 439-463.</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Ciarlone, A., Paolo Piselli, and Giorgio Trebeschi. 2009. Emerging markets spreads and global financial conditions</w:t>
      </w:r>
      <w:r>
        <w:rPr>
          <w:rFonts w:ascii="Times New Roman" w:hAnsi="Times New Roman" w:cs="Times New Roman"/>
          <w:i/>
          <w:iCs/>
          <w:sz w:val="24"/>
          <w:szCs w:val="24"/>
        </w:rPr>
        <w:t>. Journal of International Financial markets, Institutions and Money</w:t>
      </w:r>
      <w:r>
        <w:rPr>
          <w:rFonts w:ascii="Times New Roman" w:hAnsi="Times New Roman" w:cs="Times New Roman"/>
          <w:sz w:val="24"/>
          <w:szCs w:val="24"/>
        </w:rPr>
        <w:t xml:space="preserve">, 19, 1325-1336.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Clark, E., and Konstantinos Kassimatis. 2004. Country financial risk and stock market performance: the case of latin America. </w:t>
      </w:r>
      <w:r>
        <w:rPr>
          <w:rFonts w:ascii="Times New Roman" w:hAnsi="Times New Roman" w:cs="Times New Roman"/>
          <w:i/>
          <w:iCs/>
          <w:sz w:val="24"/>
          <w:szCs w:val="24"/>
        </w:rPr>
        <w:t xml:space="preserve">Journal of Economics and Business, </w:t>
      </w:r>
      <w:r>
        <w:rPr>
          <w:rFonts w:ascii="Times New Roman" w:hAnsi="Times New Roman" w:cs="Times New Roman"/>
          <w:sz w:val="24"/>
          <w:szCs w:val="24"/>
        </w:rPr>
        <w:t>56, 21-41.</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Codogno, L., Carlo Favero, and Alessandro Missale. 2003. Yield spreads on EMU government bonds. Economic policy, 505-32. (October).</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Cuadra, G., and Horacio Sapriza. 2008. Sovereign default, interest rated and political uncertainty in emerging markets. </w:t>
      </w:r>
      <w:r>
        <w:rPr>
          <w:rFonts w:ascii="Times New Roman" w:hAnsi="Times New Roman" w:cs="Times New Roman"/>
          <w:i/>
          <w:iCs/>
          <w:sz w:val="24"/>
          <w:szCs w:val="24"/>
        </w:rPr>
        <w:t>Journal of International Economics</w:t>
      </w:r>
      <w:r>
        <w:rPr>
          <w:rFonts w:ascii="Times New Roman" w:hAnsi="Times New Roman" w:cs="Times New Roman"/>
          <w:sz w:val="24"/>
          <w:szCs w:val="24"/>
        </w:rPr>
        <w:t xml:space="preserve">, 76, 78-88. </w:t>
      </w:r>
    </w:p>
    <w:p w:rsidR="001041B1" w:rsidRPr="00A54CBC"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Cunningham, A. 1999. Emerging economy spread indices and financial stability. </w:t>
      </w:r>
      <w:r>
        <w:rPr>
          <w:rFonts w:ascii="Times New Roman" w:hAnsi="Times New Roman" w:cs="Times New Roman"/>
          <w:i/>
          <w:sz w:val="24"/>
          <w:szCs w:val="24"/>
        </w:rPr>
        <w:t xml:space="preserve">Financial Stability Review.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Curto, J.D., João P. Nunes, and Luís Oliveira. 2008. The Determinants of Sovereign Credit Spreads Changes in the Euro-Zone. </w:t>
      </w:r>
      <w:r>
        <w:rPr>
          <w:rFonts w:ascii="Times New Roman" w:hAnsi="Times New Roman" w:cs="Times New Roman"/>
          <w:i/>
          <w:iCs/>
          <w:sz w:val="24"/>
          <w:szCs w:val="24"/>
        </w:rPr>
        <w:t>Journal of Futures Markets.</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Dailami, M., Paul R. Masson, and Jean J. Padou. 2008. Global monetary conditions versus country-specific factors in the determination of emerging market debt spreads. </w:t>
      </w:r>
      <w:r>
        <w:rPr>
          <w:rFonts w:ascii="Times New Roman" w:hAnsi="Times New Roman" w:cs="Times New Roman"/>
          <w:i/>
          <w:iCs/>
          <w:sz w:val="24"/>
          <w:szCs w:val="24"/>
        </w:rPr>
        <w:t xml:space="preserve">Journal of International Money and Finance, </w:t>
      </w:r>
      <w:r>
        <w:rPr>
          <w:rFonts w:ascii="Times New Roman" w:hAnsi="Times New Roman" w:cs="Times New Roman"/>
          <w:sz w:val="24"/>
          <w:szCs w:val="24"/>
        </w:rPr>
        <w:t>27, 1325-1336.</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Durbin, E., and David Ng. 2005. The sovereign ceiling and emerging market corporate spreads. </w:t>
      </w:r>
      <w:r>
        <w:rPr>
          <w:rFonts w:ascii="Times New Roman" w:hAnsi="Times New Roman" w:cs="Times New Roman"/>
          <w:i/>
          <w:iCs/>
          <w:sz w:val="24"/>
          <w:szCs w:val="24"/>
        </w:rPr>
        <w:t>Journal of International Money and Finance</w:t>
      </w:r>
      <w:r>
        <w:rPr>
          <w:rFonts w:ascii="Times New Roman" w:hAnsi="Times New Roman" w:cs="Times New Roman"/>
          <w:sz w:val="24"/>
          <w:szCs w:val="24"/>
        </w:rPr>
        <w:t>, 24, 631-649.</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Ebner, André. 2009. An empirical analysis on the determinants of CCE government bond spreads. </w:t>
      </w:r>
      <w:r>
        <w:rPr>
          <w:rFonts w:ascii="Times New Roman" w:hAnsi="Times New Roman" w:cs="Times New Roman"/>
          <w:i/>
          <w:iCs/>
          <w:sz w:val="24"/>
          <w:szCs w:val="24"/>
        </w:rPr>
        <w:t>Emerging market review</w:t>
      </w:r>
      <w:r>
        <w:rPr>
          <w:rFonts w:ascii="Times New Roman" w:hAnsi="Times New Roman" w:cs="Times New Roman"/>
          <w:sz w:val="24"/>
          <w:szCs w:val="24"/>
        </w:rPr>
        <w:t xml:space="preserve">, 10, 97-121.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Edwards, Sebastian. 1984. LDC foreign borrowing and default risk: an empirical investigation. </w:t>
      </w:r>
      <w:r>
        <w:rPr>
          <w:rFonts w:ascii="Times New Roman" w:hAnsi="Times New Roman" w:cs="Times New Roman"/>
          <w:i/>
          <w:iCs/>
          <w:sz w:val="24"/>
          <w:szCs w:val="24"/>
        </w:rPr>
        <w:t xml:space="preserve">American Economic Review, </w:t>
      </w:r>
      <w:r>
        <w:rPr>
          <w:rFonts w:ascii="Times New Roman" w:hAnsi="Times New Roman" w:cs="Times New Roman"/>
          <w:sz w:val="24"/>
          <w:szCs w:val="24"/>
        </w:rPr>
        <w:t>74, 726-34.</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Eichengreen, B., and Ashoka Mody. 1998. What Explains Changing Spreads on Emerging Market Debt: Fundamentals or Market Sentimental? </w:t>
      </w:r>
      <w:r>
        <w:rPr>
          <w:rFonts w:ascii="Times New Roman" w:hAnsi="Times New Roman" w:cs="Times New Roman"/>
          <w:i/>
          <w:iCs/>
          <w:sz w:val="24"/>
          <w:szCs w:val="24"/>
        </w:rPr>
        <w:t xml:space="preserve">NBER Working Paper </w:t>
      </w:r>
      <w:r>
        <w:rPr>
          <w:rFonts w:ascii="Times New Roman" w:hAnsi="Times New Roman" w:cs="Times New Roman"/>
          <w:sz w:val="24"/>
          <w:szCs w:val="24"/>
        </w:rPr>
        <w:t>6408</w:t>
      </w:r>
      <w:r>
        <w:rPr>
          <w:rFonts w:ascii="Times New Roman" w:hAnsi="Times New Roman" w:cs="Times New Roman"/>
          <w:i/>
          <w:iCs/>
          <w:sz w:val="24"/>
          <w:szCs w:val="24"/>
        </w:rPr>
        <w:t>.</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Erb, C.B., Campbell R. Harvey, Tadas E. Viskanta. 2000. Understanding Emerging Market Bonds. </w:t>
      </w:r>
      <w:r>
        <w:rPr>
          <w:rFonts w:ascii="Times New Roman" w:hAnsi="Times New Roman" w:cs="Times New Roman"/>
          <w:i/>
          <w:iCs/>
          <w:sz w:val="24"/>
          <w:szCs w:val="24"/>
        </w:rPr>
        <w:t>Emerging Market Quartely.</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Evrensel, A.Y., and Ali M. Kutan. 2008. Impact of IMF-related news on capital markets: Further evidence from bond spreads in Indonesia and Korea. </w:t>
      </w:r>
      <w:r>
        <w:rPr>
          <w:rFonts w:ascii="Times New Roman" w:hAnsi="Times New Roman" w:cs="Times New Roman"/>
          <w:i/>
          <w:iCs/>
          <w:sz w:val="24"/>
          <w:szCs w:val="24"/>
        </w:rPr>
        <w:t>Journal of International Financial Markets, Institutions and Money</w:t>
      </w:r>
      <w:r>
        <w:rPr>
          <w:rFonts w:ascii="Times New Roman" w:hAnsi="Times New Roman" w:cs="Times New Roman"/>
          <w:sz w:val="24"/>
          <w:szCs w:val="24"/>
        </w:rPr>
        <w:t>, 18, 147-160.</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Ferreira, M.A., and Paulo M. Gama. 2007. Does sovereign debt ratings news spill over to international stock markets? </w:t>
      </w:r>
      <w:r>
        <w:rPr>
          <w:rFonts w:ascii="Times New Roman" w:hAnsi="Times New Roman" w:cs="Times New Roman"/>
          <w:i/>
          <w:iCs/>
          <w:sz w:val="24"/>
          <w:szCs w:val="24"/>
        </w:rPr>
        <w:t>Journal of Banking &amp; Finance</w:t>
      </w:r>
      <w:r>
        <w:rPr>
          <w:rFonts w:ascii="Times New Roman" w:hAnsi="Times New Roman" w:cs="Times New Roman"/>
          <w:sz w:val="24"/>
          <w:szCs w:val="24"/>
        </w:rPr>
        <w:t>, 31, 3162-3182.</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Ferrucci, Gianluigi. 2003. Empirical determinants of emerging market economies’ sovereign bond spreads. </w:t>
      </w:r>
      <w:r>
        <w:rPr>
          <w:rFonts w:ascii="Times New Roman" w:hAnsi="Times New Roman" w:cs="Times New Roman"/>
          <w:i/>
          <w:iCs/>
          <w:sz w:val="24"/>
          <w:szCs w:val="24"/>
        </w:rPr>
        <w:t xml:space="preserve">Bank of England Working Paper, </w:t>
      </w:r>
      <w:r>
        <w:rPr>
          <w:rFonts w:ascii="Times New Roman" w:hAnsi="Times New Roman" w:cs="Times New Roman"/>
          <w:sz w:val="24"/>
          <w:szCs w:val="24"/>
        </w:rPr>
        <w:t>205.</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Ganda, A., and David C. Parley,  2005. New spillover in the sovereign debt markets. </w:t>
      </w:r>
      <w:r>
        <w:rPr>
          <w:rFonts w:ascii="Times New Roman" w:hAnsi="Times New Roman" w:cs="Times New Roman"/>
          <w:i/>
          <w:iCs/>
          <w:sz w:val="24"/>
          <w:szCs w:val="24"/>
        </w:rPr>
        <w:t xml:space="preserve">Journal of Financial Economics, </w:t>
      </w:r>
      <w:r>
        <w:rPr>
          <w:rFonts w:ascii="Times New Roman" w:hAnsi="Times New Roman" w:cs="Times New Roman"/>
          <w:sz w:val="24"/>
          <w:szCs w:val="24"/>
        </w:rPr>
        <w:t>75, 691-734</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Geyer, A., Stephan Kossmeier and Stefan Pichler. 2004. Measuring system risk in EMU government yield spreads. </w:t>
      </w:r>
      <w:r>
        <w:rPr>
          <w:rFonts w:ascii="Times New Roman" w:hAnsi="Times New Roman" w:cs="Times New Roman"/>
          <w:i/>
          <w:iCs/>
          <w:sz w:val="24"/>
          <w:szCs w:val="24"/>
        </w:rPr>
        <w:t>Review of finance</w:t>
      </w:r>
      <w:r>
        <w:rPr>
          <w:rFonts w:ascii="Times New Roman" w:hAnsi="Times New Roman" w:cs="Times New Roman"/>
          <w:sz w:val="24"/>
          <w:szCs w:val="24"/>
        </w:rPr>
        <w:t xml:space="preserve">, 8, 171-97.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Goldman Sachs. 2000. A new framework for assessing fair value in Ems hard currency debt</w:t>
      </w:r>
      <w:r>
        <w:rPr>
          <w:rFonts w:ascii="Times New Roman" w:hAnsi="Times New Roman" w:cs="Times New Roman"/>
          <w:i/>
          <w:iCs/>
          <w:sz w:val="24"/>
          <w:szCs w:val="24"/>
        </w:rPr>
        <w:t>. Global Economics Paper</w:t>
      </w:r>
      <w:r>
        <w:rPr>
          <w:rFonts w:ascii="Times New Roman" w:hAnsi="Times New Roman" w:cs="Times New Roman"/>
          <w:sz w:val="24"/>
          <w:szCs w:val="24"/>
        </w:rPr>
        <w:t xml:space="preserve">, 45.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Hamilton, D. James. 1983. Oil prices and Macroeconomy since World War II. </w:t>
      </w:r>
      <w:r>
        <w:rPr>
          <w:rFonts w:ascii="Times New Roman" w:hAnsi="Times New Roman" w:cs="Times New Roman"/>
          <w:i/>
          <w:iCs/>
          <w:sz w:val="24"/>
          <w:szCs w:val="24"/>
        </w:rPr>
        <w:t xml:space="preserve">Journal of Political Economy, </w:t>
      </w:r>
      <w:r>
        <w:rPr>
          <w:rFonts w:ascii="Times New Roman" w:hAnsi="Times New Roman" w:cs="Times New Roman"/>
          <w:sz w:val="24"/>
          <w:szCs w:val="24"/>
        </w:rPr>
        <w:t xml:space="preserve">91, 228-48.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Han, K. C., Lee H. Suk, and David Y. Suk. 2003. Mexican peso crisis and its spillover effects to emerging market debt</w:t>
      </w:r>
      <w:r>
        <w:rPr>
          <w:rFonts w:ascii="Times New Roman" w:hAnsi="Times New Roman" w:cs="Times New Roman"/>
          <w:i/>
          <w:iCs/>
          <w:sz w:val="24"/>
          <w:szCs w:val="24"/>
        </w:rPr>
        <w:t>. Emerging Markets Review,</w:t>
      </w:r>
      <w:r>
        <w:rPr>
          <w:rFonts w:ascii="Times New Roman" w:hAnsi="Times New Roman" w:cs="Times New Roman"/>
          <w:sz w:val="24"/>
          <w:szCs w:val="24"/>
        </w:rPr>
        <w:t xml:space="preserve"> 4, 310-326. </w:t>
      </w:r>
    </w:p>
    <w:p w:rsidR="001041B1" w:rsidRDefault="001041B1">
      <w:pPr>
        <w:pStyle w:val="NoSpacing"/>
        <w:spacing w:line="360" w:lineRule="auto"/>
        <w:jc w:val="both"/>
        <w:rPr>
          <w:rFonts w:ascii="Times New Roman" w:hAnsi="Times New Roman" w:cs="Times New Roman"/>
          <w:sz w:val="24"/>
          <w:szCs w:val="24"/>
          <w:lang w:eastAsia="nl-NL"/>
        </w:rPr>
      </w:pPr>
      <w:r>
        <w:rPr>
          <w:rFonts w:ascii="Times New Roman" w:hAnsi="Times New Roman" w:cs="Times New Roman"/>
          <w:sz w:val="24"/>
          <w:szCs w:val="24"/>
          <w:lang w:eastAsia="nl-NL"/>
        </w:rPr>
        <w:t xml:space="preserve">   Haque, N., Manmohan S. Kumar, Nelson Mark, and Donald J. Mathieson. 1996. The economic contents of indicators of developing country creditworthiness. </w:t>
      </w:r>
      <w:r>
        <w:rPr>
          <w:rFonts w:ascii="Times New Roman" w:hAnsi="Times New Roman" w:cs="Times New Roman"/>
          <w:i/>
          <w:iCs/>
          <w:sz w:val="24"/>
          <w:szCs w:val="24"/>
          <w:lang w:eastAsia="nl-NL"/>
        </w:rPr>
        <w:t>IMF Staff Papers</w:t>
      </w:r>
      <w:r>
        <w:rPr>
          <w:rFonts w:ascii="Times New Roman" w:hAnsi="Times New Roman" w:cs="Times New Roman"/>
          <w:sz w:val="24"/>
          <w:szCs w:val="24"/>
          <w:lang w:eastAsia="nl-NL"/>
        </w:rPr>
        <w:t>, 43, 688– 724.</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A4A13">
        <w:rPr>
          <w:rFonts w:ascii="Times New Roman" w:hAnsi="Times New Roman" w:cs="Times New Roman"/>
          <w:sz w:val="24"/>
          <w:szCs w:val="24"/>
          <w:lang w:val="de-DE"/>
        </w:rPr>
        <w:t xml:space="preserve">Hartelius, K., Kenichiro Kashiwase, and Laura E. Kodres. </w:t>
      </w:r>
      <w:r>
        <w:rPr>
          <w:rFonts w:ascii="Times New Roman" w:hAnsi="Times New Roman" w:cs="Times New Roman"/>
          <w:sz w:val="24"/>
          <w:szCs w:val="24"/>
        </w:rPr>
        <w:t xml:space="preserve">2008. Emerging Market Spread Compression: Is it Real or is it Liquidity? </w:t>
      </w:r>
      <w:r>
        <w:rPr>
          <w:rFonts w:ascii="Times New Roman" w:hAnsi="Times New Roman" w:cs="Times New Roman"/>
          <w:i/>
          <w:iCs/>
          <w:sz w:val="24"/>
          <w:szCs w:val="24"/>
        </w:rPr>
        <w:t>IMF Working paper</w:t>
      </w:r>
      <w:r>
        <w:rPr>
          <w:rFonts w:ascii="Times New Roman" w:hAnsi="Times New Roman" w:cs="Times New Roman"/>
          <w:sz w:val="24"/>
          <w:szCs w:val="24"/>
        </w:rPr>
        <w:t xml:space="preserve"> 08/10. (January).</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Hooper, V., Timothy Hume, and Suk-Joong Kim. 2008. Sovereign rating changes- Do they provide new information for stock markets? </w:t>
      </w:r>
      <w:r>
        <w:rPr>
          <w:rFonts w:ascii="Times New Roman" w:hAnsi="Times New Roman" w:cs="Times New Roman"/>
          <w:i/>
          <w:iCs/>
          <w:sz w:val="24"/>
          <w:szCs w:val="24"/>
        </w:rPr>
        <w:t>Economic Systems</w:t>
      </w:r>
      <w:r>
        <w:rPr>
          <w:rFonts w:ascii="Times New Roman" w:hAnsi="Times New Roman" w:cs="Times New Roman"/>
          <w:sz w:val="24"/>
          <w:szCs w:val="24"/>
        </w:rPr>
        <w:t>,.32, 142-166.</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International Monetary Fund (2004). </w:t>
      </w:r>
      <w:r>
        <w:rPr>
          <w:rFonts w:ascii="Times New Roman" w:hAnsi="Times New Roman" w:cs="Times New Roman"/>
          <w:i/>
          <w:iCs/>
          <w:sz w:val="24"/>
          <w:szCs w:val="24"/>
        </w:rPr>
        <w:t>Annual report of 2004.</w:t>
      </w:r>
      <w:r>
        <w:rPr>
          <w:rFonts w:ascii="Times New Roman" w:hAnsi="Times New Roman" w:cs="Times New Roman"/>
          <w:sz w:val="24"/>
          <w:szCs w:val="24"/>
        </w:rPr>
        <w:t xml:space="preserve"> Annual report of executive board for the financial year ended April 30, 2004. Washington, DC: IMF</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Johansson, Anders. C. 2010. Asian sovereign debt and country risk.  </w:t>
      </w:r>
      <w:r>
        <w:rPr>
          <w:rFonts w:ascii="Times New Roman" w:hAnsi="Times New Roman" w:cs="Times New Roman"/>
          <w:i/>
          <w:iCs/>
          <w:sz w:val="24"/>
          <w:szCs w:val="24"/>
        </w:rPr>
        <w:t>Pacific-Basin Finance Journal, 18, 335-350</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Johansson, Anders. C. 2008. Interdependencies among Asian bond markets. </w:t>
      </w:r>
      <w:r>
        <w:rPr>
          <w:rFonts w:ascii="Times New Roman" w:hAnsi="Times New Roman" w:cs="Times New Roman"/>
          <w:i/>
          <w:iCs/>
          <w:sz w:val="24"/>
          <w:szCs w:val="24"/>
        </w:rPr>
        <w:t>Journal of Asian Economics</w:t>
      </w:r>
      <w:r>
        <w:rPr>
          <w:rFonts w:ascii="Times New Roman" w:hAnsi="Times New Roman" w:cs="Times New Roman"/>
          <w:sz w:val="24"/>
          <w:szCs w:val="24"/>
        </w:rPr>
        <w:t>, 19, 101-116</w:t>
      </w:r>
    </w:p>
    <w:p w:rsidR="001041B1" w:rsidRPr="00D05873" w:rsidRDefault="001041B1">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J.P. Morgan. 2004. EMBI Global and EMBI Global Diversified. Rules and methodology. </w:t>
      </w:r>
      <w:r>
        <w:rPr>
          <w:rFonts w:ascii="Times New Roman" w:hAnsi="Times New Roman" w:cs="Times New Roman"/>
          <w:i/>
          <w:sz w:val="24"/>
          <w:szCs w:val="24"/>
        </w:rPr>
        <w:t xml:space="preserve">Emerging Markets Research.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Jüttner, D. J., David Chung, and Wayne Leung. 2006. Emerging market bond return – An investor perspective. </w:t>
      </w:r>
      <w:r>
        <w:rPr>
          <w:rFonts w:ascii="Times New Roman" w:hAnsi="Times New Roman" w:cs="Times New Roman"/>
          <w:i/>
          <w:iCs/>
          <w:sz w:val="24"/>
          <w:szCs w:val="24"/>
        </w:rPr>
        <w:t>Journal of Multinational Financial Management</w:t>
      </w:r>
      <w:r>
        <w:rPr>
          <w:rFonts w:ascii="Times New Roman" w:hAnsi="Times New Roman" w:cs="Times New Roman"/>
          <w:sz w:val="24"/>
          <w:szCs w:val="24"/>
        </w:rPr>
        <w:t xml:space="preserve">, 16, 105-121.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Kamin, S.B., and Karsten von Kleist. 1999. The evolution and determinants of emerging market credit spreads in the 1990s. </w:t>
      </w:r>
      <w:r>
        <w:rPr>
          <w:rFonts w:ascii="Times New Roman" w:hAnsi="Times New Roman" w:cs="Times New Roman"/>
          <w:i/>
          <w:iCs/>
          <w:sz w:val="24"/>
          <w:szCs w:val="24"/>
        </w:rPr>
        <w:t xml:space="preserve">International Finance Discussion papers, </w:t>
      </w:r>
      <w:r>
        <w:rPr>
          <w:rFonts w:ascii="Times New Roman" w:hAnsi="Times New Roman" w:cs="Times New Roman"/>
          <w:sz w:val="24"/>
          <w:szCs w:val="24"/>
        </w:rPr>
        <w:t>653.</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Kaminsky, Graciela. 2007. Emerging Markets and Financial Globalization Sovereign Bond Spreads in 1870-1913 and Today.  </w:t>
      </w:r>
      <w:r>
        <w:rPr>
          <w:rFonts w:ascii="Times New Roman" w:hAnsi="Times New Roman" w:cs="Times New Roman"/>
          <w:i/>
          <w:iCs/>
          <w:sz w:val="24"/>
          <w:szCs w:val="24"/>
        </w:rPr>
        <w:t>Journal of International Economics</w:t>
      </w:r>
      <w:r>
        <w:rPr>
          <w:rFonts w:ascii="Times New Roman" w:hAnsi="Times New Roman" w:cs="Times New Roman"/>
          <w:sz w:val="24"/>
          <w:szCs w:val="24"/>
        </w:rPr>
        <w:t>, 73, 219-222.</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Kim, S-J., and Eliza Wu. 2008. Sovereign credit ratings, capital flows and financial sector development in emerging markets. </w:t>
      </w:r>
      <w:r>
        <w:rPr>
          <w:rFonts w:ascii="Times New Roman" w:hAnsi="Times New Roman" w:cs="Times New Roman"/>
          <w:i/>
          <w:iCs/>
          <w:sz w:val="24"/>
          <w:szCs w:val="24"/>
        </w:rPr>
        <w:t>Emerging Markets Review</w:t>
      </w:r>
      <w:r>
        <w:rPr>
          <w:rFonts w:ascii="Times New Roman" w:hAnsi="Times New Roman" w:cs="Times New Roman"/>
          <w:sz w:val="24"/>
          <w:szCs w:val="24"/>
        </w:rPr>
        <w:t>, 9, 17-39</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Kräussl, Roman. 2005. Do credit rating agencies add to the dynamics of emerging market crises? </w:t>
      </w:r>
      <w:r>
        <w:rPr>
          <w:rFonts w:ascii="Times New Roman" w:hAnsi="Times New Roman" w:cs="Times New Roman"/>
          <w:i/>
          <w:iCs/>
          <w:sz w:val="24"/>
          <w:szCs w:val="24"/>
        </w:rPr>
        <w:t>Journal of Financial Stability</w:t>
      </w:r>
      <w:r>
        <w:rPr>
          <w:rFonts w:ascii="Times New Roman" w:hAnsi="Times New Roman" w:cs="Times New Roman"/>
          <w:sz w:val="24"/>
          <w:szCs w:val="24"/>
        </w:rPr>
        <w:t>, 1, 355-385</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Larraín, G., Helmut Reisen, and Julia von Maltzan. 1997. Emerging market risk and sovereign credit ratings. </w:t>
      </w:r>
      <w:r>
        <w:rPr>
          <w:rFonts w:ascii="Times New Roman" w:hAnsi="Times New Roman" w:cs="Times New Roman"/>
          <w:i/>
          <w:iCs/>
          <w:sz w:val="24"/>
          <w:szCs w:val="24"/>
        </w:rPr>
        <w:t xml:space="preserve">OECD development centre, </w:t>
      </w:r>
      <w:r>
        <w:rPr>
          <w:rFonts w:ascii="Times New Roman" w:hAnsi="Times New Roman" w:cs="Times New Roman"/>
          <w:sz w:val="24"/>
          <w:szCs w:val="24"/>
        </w:rPr>
        <w:t>working paper no. 124.</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Lee, H-Y., Hsing-Chi Wu, and Yung-Jang Wang. 2007. Contagion effect in financial markets after the Soutch-East Asia Tsunami. </w:t>
      </w:r>
      <w:r>
        <w:rPr>
          <w:rFonts w:ascii="Times New Roman" w:hAnsi="Times New Roman" w:cs="Times New Roman"/>
          <w:i/>
          <w:iCs/>
          <w:sz w:val="24"/>
          <w:szCs w:val="24"/>
        </w:rPr>
        <w:t xml:space="preserve">Research in International Business and Finance, 21, 281-296.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Lesmond David A. 2005. Liquidity of emerging markets</w:t>
      </w:r>
      <w:r>
        <w:rPr>
          <w:rFonts w:ascii="Times New Roman" w:hAnsi="Times New Roman" w:cs="Times New Roman"/>
          <w:i/>
          <w:iCs/>
          <w:sz w:val="24"/>
          <w:szCs w:val="24"/>
        </w:rPr>
        <w:t xml:space="preserve">. Journal of Financial Economics, 77, 411-452. </w:t>
      </w:r>
    </w:p>
    <w:p w:rsidR="001041B1" w:rsidRDefault="001041B1">
      <w:pPr>
        <w:pStyle w:val="NoSpacing"/>
        <w:spacing w:line="360" w:lineRule="auto"/>
        <w:jc w:val="both"/>
        <w:rPr>
          <w:rFonts w:ascii="Times New Roman" w:hAnsi="Times New Roman" w:cs="Times New Roman"/>
          <w:sz w:val="24"/>
          <w:szCs w:val="24"/>
          <w:lang w:val="fr-FR"/>
        </w:rPr>
      </w:pPr>
      <w:r>
        <w:rPr>
          <w:rFonts w:ascii="Times New Roman" w:hAnsi="Times New Roman" w:cs="Times New Roman"/>
          <w:sz w:val="24"/>
          <w:szCs w:val="24"/>
        </w:rPr>
        <w:t xml:space="preserve">   Li, H., Bang Nam Joen,  Seong-Yeon Cho, and Thomas C. Chiang. (2008). The impact of sovereign rating changes and financial contagion on stock markets returns: Evidence form five Asian countries.</w:t>
      </w:r>
      <w:r>
        <w:rPr>
          <w:rFonts w:ascii="Times New Roman" w:hAnsi="Times New Roman" w:cs="Times New Roman"/>
          <w:i/>
          <w:iCs/>
          <w:sz w:val="24"/>
          <w:szCs w:val="24"/>
        </w:rPr>
        <w:t xml:space="preserve"> </w:t>
      </w:r>
      <w:r>
        <w:rPr>
          <w:rFonts w:ascii="Times New Roman" w:hAnsi="Times New Roman" w:cs="Times New Roman"/>
          <w:i/>
          <w:iCs/>
          <w:sz w:val="24"/>
          <w:szCs w:val="24"/>
          <w:lang w:val="fr-FR"/>
        </w:rPr>
        <w:t>Global Finance Journal</w:t>
      </w:r>
      <w:r>
        <w:rPr>
          <w:rFonts w:ascii="Times New Roman" w:hAnsi="Times New Roman" w:cs="Times New Roman"/>
          <w:sz w:val="24"/>
          <w:szCs w:val="24"/>
          <w:lang w:val="fr-FR"/>
        </w:rPr>
        <w:t>, 19, 46-55.</w:t>
      </w:r>
    </w:p>
    <w:p w:rsidR="001041B1" w:rsidRDefault="001041B1">
      <w:pPr>
        <w:pStyle w:val="NoSpacing"/>
        <w:spacing w:line="360" w:lineRule="auto"/>
        <w:jc w:val="both"/>
        <w:rPr>
          <w:rFonts w:ascii="Times New Roman" w:hAnsi="Times New Roman" w:cs="Times New Roman"/>
          <w:sz w:val="24"/>
          <w:szCs w:val="24"/>
          <w:lang w:eastAsia="nl-NL"/>
        </w:rPr>
      </w:pPr>
      <w:r>
        <w:rPr>
          <w:rFonts w:ascii="Times New Roman" w:hAnsi="Times New Roman" w:cs="Times New Roman"/>
          <w:sz w:val="24"/>
          <w:szCs w:val="24"/>
          <w:lang w:val="fr-FR" w:eastAsia="nl-NL"/>
        </w:rPr>
        <w:t xml:space="preserve">   Malone, Samuel W. 2009. </w:t>
      </w:r>
      <w:r>
        <w:rPr>
          <w:rFonts w:ascii="Times New Roman" w:hAnsi="Times New Roman" w:cs="Times New Roman"/>
          <w:sz w:val="24"/>
          <w:szCs w:val="24"/>
          <w:lang w:eastAsia="nl-NL"/>
        </w:rPr>
        <w:t xml:space="preserve">Balance sheet effects, external volatility, and emerging market spreads. </w:t>
      </w:r>
      <w:r>
        <w:rPr>
          <w:rFonts w:ascii="Times New Roman" w:hAnsi="Times New Roman" w:cs="Times New Roman"/>
          <w:i/>
          <w:iCs/>
          <w:sz w:val="24"/>
          <w:szCs w:val="24"/>
          <w:lang w:eastAsia="nl-NL"/>
        </w:rPr>
        <w:t xml:space="preserve">Journal of Applied Economics, </w:t>
      </w:r>
      <w:r>
        <w:rPr>
          <w:rFonts w:ascii="Times New Roman" w:hAnsi="Times New Roman" w:cs="Times New Roman"/>
          <w:sz w:val="24"/>
          <w:szCs w:val="24"/>
          <w:lang w:eastAsia="nl-NL"/>
        </w:rPr>
        <w:t>12, 273-299.</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Manganelli, S., and Guido Wolfswijk. 2009. What drives spreads in the euro area government bond market? </w:t>
      </w:r>
      <w:r>
        <w:rPr>
          <w:rFonts w:ascii="Times New Roman" w:hAnsi="Times New Roman" w:cs="Times New Roman"/>
          <w:i/>
          <w:iCs/>
          <w:sz w:val="24"/>
          <w:szCs w:val="24"/>
        </w:rPr>
        <w:t>Economic Policy</w:t>
      </w:r>
      <w:r>
        <w:rPr>
          <w:rFonts w:ascii="Times New Roman" w:hAnsi="Times New Roman" w:cs="Times New Roman"/>
          <w:sz w:val="24"/>
          <w:szCs w:val="24"/>
        </w:rPr>
        <w:t>, 24, 191-240.</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Mauro, L., and Geatano Carmeci. 2003. Long term growth and investment in education: Does unemployment matter? </w:t>
      </w:r>
      <w:r>
        <w:rPr>
          <w:rFonts w:ascii="Times New Roman" w:hAnsi="Times New Roman" w:cs="Times New Roman"/>
          <w:i/>
          <w:iCs/>
          <w:sz w:val="24"/>
          <w:szCs w:val="24"/>
        </w:rPr>
        <w:t>Journal of Macroeconomics, 25, 123-137.</w:t>
      </w:r>
    </w:p>
    <w:p w:rsidR="001041B1" w:rsidRDefault="001041B1">
      <w:pPr>
        <w:pStyle w:val="NoSpacing"/>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Pr="00D8402E">
        <w:rPr>
          <w:rFonts w:ascii="Times New Roman" w:hAnsi="Times New Roman" w:cs="Times New Roman"/>
          <w:sz w:val="24"/>
          <w:szCs w:val="24"/>
        </w:rPr>
        <w:t xml:space="preserve">McGuire, P., and Martijn A. Schrijvers. </w:t>
      </w:r>
      <w:r>
        <w:rPr>
          <w:rFonts w:ascii="Times New Roman" w:hAnsi="Times New Roman" w:cs="Times New Roman"/>
          <w:sz w:val="24"/>
          <w:szCs w:val="24"/>
        </w:rPr>
        <w:t xml:space="preserve">2003. Common factors in emerging market spreads. </w:t>
      </w:r>
      <w:r>
        <w:rPr>
          <w:rFonts w:ascii="Times New Roman" w:hAnsi="Times New Roman" w:cs="Times New Roman"/>
          <w:i/>
          <w:iCs/>
          <w:sz w:val="24"/>
          <w:szCs w:val="24"/>
        </w:rPr>
        <w:t xml:space="preserve">BIS Quarterly Review. </w:t>
      </w:r>
    </w:p>
    <w:p w:rsidR="001041B1" w:rsidRDefault="001041B1">
      <w:pPr>
        <w:pStyle w:val="NoSpacing"/>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Pr="00D8402E">
        <w:rPr>
          <w:rFonts w:ascii="Times New Roman" w:hAnsi="Times New Roman" w:cs="Times New Roman"/>
          <w:sz w:val="24"/>
          <w:szCs w:val="24"/>
        </w:rPr>
        <w:t xml:space="preserve">Min, Hong G., 1998. </w:t>
      </w:r>
      <w:r>
        <w:rPr>
          <w:rFonts w:ascii="Times New Roman" w:hAnsi="Times New Roman" w:cs="Times New Roman"/>
          <w:sz w:val="24"/>
          <w:szCs w:val="24"/>
        </w:rPr>
        <w:t xml:space="preserve">Determinants of Emerging Market Bond Spreads: Do economic fundamental Matter? </w:t>
      </w:r>
      <w:r>
        <w:rPr>
          <w:rFonts w:ascii="Times New Roman" w:hAnsi="Times New Roman" w:cs="Times New Roman"/>
          <w:i/>
          <w:iCs/>
          <w:sz w:val="24"/>
          <w:szCs w:val="24"/>
        </w:rPr>
        <w:t xml:space="preserve">World Bank Policy Research Working Paper </w:t>
      </w:r>
      <w:r>
        <w:rPr>
          <w:rFonts w:ascii="Times New Roman" w:hAnsi="Times New Roman" w:cs="Times New Roman"/>
          <w:sz w:val="24"/>
          <w:szCs w:val="24"/>
        </w:rPr>
        <w:t>no. 1899</w:t>
      </w:r>
      <w:r>
        <w:rPr>
          <w:rFonts w:ascii="Times New Roman" w:hAnsi="Times New Roman" w:cs="Times New Roman"/>
          <w:i/>
          <w:iCs/>
          <w:sz w:val="24"/>
          <w:szCs w:val="24"/>
        </w:rPr>
        <w:t>.</w:t>
      </w:r>
    </w:p>
    <w:p w:rsidR="001041B1" w:rsidRDefault="001041B1">
      <w:pPr>
        <w:pStyle w:val="NoSpacing"/>
        <w:spacing w:line="360" w:lineRule="auto"/>
        <w:jc w:val="both"/>
        <w:rPr>
          <w:rFonts w:ascii="Times New Roman" w:hAnsi="Times New Roman" w:cs="Times New Roman"/>
          <w:sz w:val="24"/>
          <w:szCs w:val="24"/>
          <w:lang w:val="fr-FR"/>
        </w:rPr>
      </w:pPr>
      <w:r>
        <w:rPr>
          <w:rFonts w:ascii="Times New Roman" w:hAnsi="Times New Roman" w:cs="Times New Roman"/>
          <w:sz w:val="24"/>
          <w:szCs w:val="24"/>
        </w:rPr>
        <w:t xml:space="preserve">   Min, H-G., Duk-Hee Lee, Changi Nam, Myeong-Cheol Park, and Sang-Ho Nam.  2003. Determinants of emerging-market bond spreads: cross-country evidence. </w:t>
      </w:r>
      <w:r>
        <w:rPr>
          <w:rFonts w:ascii="Times New Roman" w:hAnsi="Times New Roman" w:cs="Times New Roman"/>
          <w:i/>
          <w:iCs/>
          <w:sz w:val="24"/>
          <w:szCs w:val="24"/>
          <w:lang w:val="fr-FR"/>
        </w:rPr>
        <w:t>Global Finance Journal</w:t>
      </w:r>
      <w:r>
        <w:rPr>
          <w:rFonts w:ascii="Times New Roman" w:hAnsi="Times New Roman" w:cs="Times New Roman"/>
          <w:sz w:val="24"/>
          <w:szCs w:val="24"/>
          <w:lang w:val="fr-FR"/>
        </w:rPr>
        <w:t>, 14, 271-286.</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lang w:val="fr-FR"/>
        </w:rPr>
        <w:t xml:space="preserve">   </w:t>
      </w:r>
      <w:r>
        <w:rPr>
          <w:rFonts w:ascii="Times New Roman" w:hAnsi="Times New Roman" w:cs="Times New Roman"/>
          <w:sz w:val="24"/>
          <w:szCs w:val="24"/>
        </w:rPr>
        <w:t xml:space="preserve">Mora, Nada. 2006. Sovereign credit ratings: Guilty beyond reasonable doubt? </w:t>
      </w:r>
      <w:r>
        <w:rPr>
          <w:rFonts w:ascii="Times New Roman" w:hAnsi="Times New Roman" w:cs="Times New Roman"/>
          <w:i/>
          <w:iCs/>
          <w:sz w:val="24"/>
          <w:szCs w:val="24"/>
        </w:rPr>
        <w:t>Journal of Banking &amp; Finance</w:t>
      </w:r>
      <w:r>
        <w:rPr>
          <w:rFonts w:ascii="Times New Roman" w:hAnsi="Times New Roman" w:cs="Times New Roman"/>
          <w:sz w:val="24"/>
          <w:szCs w:val="24"/>
        </w:rPr>
        <w:t xml:space="preserve">, 30, 2041-2062.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Nazmi, Nader. 2002. Global finance, sovereign risk and economic performance of Brazil. </w:t>
      </w:r>
      <w:r>
        <w:rPr>
          <w:rFonts w:ascii="Times New Roman" w:hAnsi="Times New Roman" w:cs="Times New Roman"/>
          <w:i/>
          <w:iCs/>
          <w:sz w:val="24"/>
          <w:szCs w:val="24"/>
        </w:rPr>
        <w:t>The Quarterly Review of Economics and Finance</w:t>
      </w:r>
      <w:r>
        <w:rPr>
          <w:rFonts w:ascii="Times New Roman" w:hAnsi="Times New Roman" w:cs="Times New Roman"/>
          <w:sz w:val="24"/>
          <w:szCs w:val="24"/>
        </w:rPr>
        <w:t>,. 27, 26-39.</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Noy, Ilan. 2008. Sovereign default risk, the IMF and creditor moral hazard. </w:t>
      </w:r>
      <w:r>
        <w:rPr>
          <w:rFonts w:ascii="Times New Roman" w:hAnsi="Times New Roman" w:cs="Times New Roman"/>
          <w:i/>
          <w:iCs/>
          <w:sz w:val="24"/>
          <w:szCs w:val="24"/>
        </w:rPr>
        <w:t>Journal of International Financial Markets,</w:t>
      </w:r>
      <w:r>
        <w:rPr>
          <w:rFonts w:ascii="Times New Roman" w:hAnsi="Times New Roman" w:cs="Times New Roman"/>
          <w:sz w:val="24"/>
          <w:szCs w:val="24"/>
        </w:rPr>
        <w:t xml:space="preserve"> 18, 64-78.</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Orlowski, Lucjan T., and Kirsten Lommatzsch. 2005. Bond yield compression in the countries converging to the Euro. </w:t>
      </w:r>
      <w:r>
        <w:rPr>
          <w:rFonts w:ascii="Times New Roman" w:hAnsi="Times New Roman" w:cs="Times New Roman"/>
          <w:i/>
          <w:iCs/>
          <w:sz w:val="24"/>
          <w:szCs w:val="24"/>
        </w:rPr>
        <w:t xml:space="preserve">William Davidson Working paper, </w:t>
      </w:r>
      <w:r>
        <w:rPr>
          <w:rFonts w:ascii="Times New Roman" w:hAnsi="Times New Roman" w:cs="Times New Roman"/>
          <w:sz w:val="24"/>
          <w:szCs w:val="24"/>
        </w:rPr>
        <w:t>no. 799.</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402E">
        <w:rPr>
          <w:rFonts w:ascii="Times New Roman" w:hAnsi="Times New Roman" w:cs="Times New Roman"/>
          <w:sz w:val="24"/>
          <w:szCs w:val="24"/>
        </w:rPr>
        <w:t xml:space="preserve">Pagano, M., Ernst-Ludwig von Thadden. </w:t>
      </w:r>
      <w:r>
        <w:rPr>
          <w:rFonts w:ascii="Times New Roman" w:hAnsi="Times New Roman" w:cs="Times New Roman"/>
          <w:sz w:val="24"/>
          <w:szCs w:val="24"/>
        </w:rPr>
        <w:t xml:space="preserve">2004. The European Bond Markets under EMU. </w:t>
      </w:r>
      <w:r>
        <w:rPr>
          <w:rFonts w:ascii="Times New Roman" w:hAnsi="Times New Roman" w:cs="Times New Roman"/>
          <w:i/>
          <w:iCs/>
          <w:sz w:val="24"/>
          <w:szCs w:val="24"/>
        </w:rPr>
        <w:t xml:space="preserve">Oxford Review of Economic Policy, </w:t>
      </w:r>
      <w:r>
        <w:rPr>
          <w:rFonts w:ascii="Times New Roman" w:hAnsi="Times New Roman" w:cs="Times New Roman"/>
          <w:sz w:val="24"/>
          <w:szCs w:val="24"/>
        </w:rPr>
        <w:t xml:space="preserve">working paper no. 126. </w:t>
      </w:r>
    </w:p>
    <w:p w:rsidR="001041B1" w:rsidRDefault="001041B1">
      <w:pPr>
        <w:pStyle w:val="NoSpacing"/>
        <w:spacing w:line="360" w:lineRule="auto"/>
        <w:jc w:val="both"/>
        <w:rPr>
          <w:rFonts w:ascii="Times New Roman" w:hAnsi="Times New Roman" w:cs="Times New Roman"/>
          <w:sz w:val="24"/>
          <w:szCs w:val="24"/>
          <w:lang w:val="fr-FR"/>
        </w:rPr>
      </w:pPr>
      <w:r>
        <w:rPr>
          <w:rFonts w:ascii="Times New Roman" w:hAnsi="Times New Roman" w:cs="Times New Roman"/>
          <w:sz w:val="24"/>
          <w:szCs w:val="24"/>
        </w:rPr>
        <w:t xml:space="preserve">   Pukthuanthong-Le, K. Fayez A. Elayan, and Lawrence Rose. 2007. Equity and debt market responses to sovereign credit ratings announcement. </w:t>
      </w:r>
      <w:r>
        <w:rPr>
          <w:rFonts w:ascii="Times New Roman" w:hAnsi="Times New Roman" w:cs="Times New Roman"/>
          <w:i/>
          <w:iCs/>
          <w:sz w:val="24"/>
          <w:szCs w:val="24"/>
          <w:lang w:val="fr-FR"/>
        </w:rPr>
        <w:t>Global Finance Journal,</w:t>
      </w:r>
      <w:r>
        <w:rPr>
          <w:rFonts w:ascii="Times New Roman" w:hAnsi="Times New Roman" w:cs="Times New Roman"/>
          <w:sz w:val="24"/>
          <w:szCs w:val="24"/>
          <w:lang w:val="fr-FR"/>
        </w:rPr>
        <w:t xml:space="preserve"> 18, 47-83.</w:t>
      </w:r>
    </w:p>
    <w:p w:rsidR="001041B1" w:rsidRDefault="001041B1">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fr-FR"/>
        </w:rPr>
        <w:t xml:space="preserve">   </w:t>
      </w:r>
      <w:r>
        <w:rPr>
          <w:rFonts w:ascii="Times New Roman" w:hAnsi="Times New Roman" w:cs="Times New Roman"/>
          <w:color w:val="000000"/>
          <w:sz w:val="24"/>
          <w:szCs w:val="24"/>
        </w:rPr>
        <w:t xml:space="preserve">Reisen, H., and Julia von Maltzan. 1999. Boom and bust and sovereign rating. </w:t>
      </w:r>
      <w:r>
        <w:rPr>
          <w:rFonts w:ascii="Times New Roman" w:hAnsi="Times New Roman" w:cs="Times New Roman"/>
          <w:i/>
          <w:iCs/>
          <w:color w:val="000000"/>
          <w:sz w:val="24"/>
          <w:szCs w:val="24"/>
        </w:rPr>
        <w:t>Technical paper</w:t>
      </w:r>
      <w:r>
        <w:rPr>
          <w:rFonts w:ascii="Times New Roman" w:hAnsi="Times New Roman" w:cs="Times New Roman"/>
          <w:color w:val="000000"/>
          <w:sz w:val="24"/>
          <w:szCs w:val="24"/>
        </w:rPr>
        <w:t xml:space="preserve"> No.148, OECD.</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Rocha, K., and Ajax Moreira, 2010. The role of domestic fundamentals on the economic vulnerability of emerging markets.</w:t>
      </w:r>
      <w:r>
        <w:rPr>
          <w:rFonts w:ascii="Times New Roman" w:hAnsi="Times New Roman" w:cs="Times New Roman"/>
          <w:i/>
          <w:iCs/>
          <w:color w:val="000000"/>
          <w:sz w:val="24"/>
          <w:szCs w:val="24"/>
        </w:rPr>
        <w:t xml:space="preserve"> Emerging Markets Review</w:t>
      </w:r>
      <w:r>
        <w:rPr>
          <w:rFonts w:ascii="Times New Roman" w:hAnsi="Times New Roman" w:cs="Times New Roman"/>
          <w:color w:val="000000"/>
          <w:sz w:val="24"/>
          <w:szCs w:val="24"/>
        </w:rPr>
        <w:t xml:space="preserve">, 11, 173-182.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Sachs, Jeffrey D. 1985. External Debt and Macroeconomic Performance in Latin America and East Asia. </w:t>
      </w:r>
      <w:r>
        <w:rPr>
          <w:rFonts w:ascii="Times New Roman" w:hAnsi="Times New Roman" w:cs="Times New Roman"/>
          <w:i/>
          <w:iCs/>
          <w:sz w:val="24"/>
          <w:szCs w:val="24"/>
        </w:rPr>
        <w:t xml:space="preserve">Brooking paper on Economic Activities, </w:t>
      </w:r>
      <w:r>
        <w:rPr>
          <w:rFonts w:ascii="Times New Roman" w:hAnsi="Times New Roman" w:cs="Times New Roman"/>
          <w:sz w:val="24"/>
          <w:szCs w:val="24"/>
        </w:rPr>
        <w:t>2, 523-64.</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402E">
        <w:rPr>
          <w:rFonts w:ascii="Times New Roman" w:hAnsi="Times New Roman" w:cs="Times New Roman"/>
          <w:sz w:val="24"/>
          <w:szCs w:val="24"/>
        </w:rPr>
        <w:t xml:space="preserve">Schuknecht, L., Jürgen von Hagen, and Guido Wolfswijk. </w:t>
      </w:r>
      <w:r>
        <w:rPr>
          <w:rFonts w:ascii="Times New Roman" w:hAnsi="Times New Roman" w:cs="Times New Roman"/>
          <w:sz w:val="24"/>
          <w:szCs w:val="24"/>
        </w:rPr>
        <w:t xml:space="preserve">2008. Government risk premiums in the bond market EMU and Canada. </w:t>
      </w:r>
      <w:r>
        <w:rPr>
          <w:rFonts w:ascii="Times New Roman" w:hAnsi="Times New Roman" w:cs="Times New Roman"/>
          <w:i/>
          <w:iCs/>
          <w:sz w:val="24"/>
          <w:szCs w:val="24"/>
        </w:rPr>
        <w:t xml:space="preserve">European Journal of Political Economy, </w:t>
      </w:r>
      <w:r>
        <w:rPr>
          <w:rFonts w:ascii="Times New Roman" w:hAnsi="Times New Roman" w:cs="Times New Roman"/>
          <w:sz w:val="24"/>
          <w:szCs w:val="24"/>
        </w:rPr>
        <w:t xml:space="preserve">25, 371-384. </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Sy, Amadou. N. R. 2002. Emerging market bond spreads and sovereign credit ratings: reconciling market views with economic fundamentals. </w:t>
      </w:r>
      <w:r>
        <w:rPr>
          <w:rFonts w:ascii="Times New Roman" w:hAnsi="Times New Roman" w:cs="Times New Roman"/>
          <w:i/>
          <w:iCs/>
          <w:sz w:val="24"/>
          <w:szCs w:val="24"/>
        </w:rPr>
        <w:t>Emerging market reviews</w:t>
      </w:r>
      <w:r>
        <w:rPr>
          <w:rFonts w:ascii="Times New Roman" w:hAnsi="Times New Roman" w:cs="Times New Roman"/>
          <w:sz w:val="24"/>
          <w:szCs w:val="24"/>
        </w:rPr>
        <w:t>, 3, 380-408.</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Thuraisamy, K.S., Gerard L. Gannon, and Jonathan A. Batten. 2008. The credit spread dynamics of Latin American euro issues in international bond markets.</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Pr>
          <w:rFonts w:ascii="Times New Roman" w:hAnsi="Times New Roman" w:cs="Times New Roman"/>
          <w:i/>
          <w:iCs/>
          <w:sz w:val="24"/>
          <w:szCs w:val="24"/>
        </w:rPr>
        <w:t>Journal of Multinational Financial Management,</w:t>
      </w:r>
      <w:r>
        <w:rPr>
          <w:rFonts w:ascii="Times New Roman" w:hAnsi="Times New Roman" w:cs="Times New Roman"/>
          <w:sz w:val="24"/>
          <w:szCs w:val="24"/>
        </w:rPr>
        <w:t xml:space="preserve"> 18, 328-345. </w:t>
      </w:r>
    </w:p>
    <w:p w:rsidR="001041B1" w:rsidRDefault="001041B1">
      <w:pPr>
        <w:pStyle w:val="NoSpacing"/>
        <w:spacing w:line="360" w:lineRule="auto"/>
        <w:jc w:val="both"/>
        <w:rPr>
          <w:rFonts w:ascii="Times New Roman" w:hAnsi="Times New Roman" w:cs="Times New Roman"/>
          <w:sz w:val="24"/>
          <w:szCs w:val="24"/>
          <w:lang w:val="fr-FR"/>
        </w:rPr>
      </w:pPr>
      <w:r>
        <w:rPr>
          <w:rFonts w:ascii="Times New Roman" w:hAnsi="Times New Roman" w:cs="Times New Roman"/>
          <w:sz w:val="24"/>
          <w:szCs w:val="24"/>
        </w:rPr>
        <w:t xml:space="preserve">   Verma, R., and Gökçe Soydemir. 2006. Modeling country risk in Latin America: A country beta approach. </w:t>
      </w:r>
      <w:r>
        <w:rPr>
          <w:rFonts w:ascii="Times New Roman" w:hAnsi="Times New Roman" w:cs="Times New Roman"/>
          <w:i/>
          <w:iCs/>
          <w:sz w:val="24"/>
          <w:szCs w:val="24"/>
          <w:lang w:val="fr-FR"/>
        </w:rPr>
        <w:t>Global Finance Journal</w:t>
      </w:r>
      <w:r>
        <w:rPr>
          <w:rFonts w:ascii="Times New Roman" w:hAnsi="Times New Roman" w:cs="Times New Roman"/>
          <w:sz w:val="24"/>
          <w:szCs w:val="24"/>
          <w:lang w:val="fr-FR"/>
        </w:rPr>
        <w:t>, 17, 192-213.</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lang w:val="fr-FR"/>
        </w:rPr>
        <w:t xml:space="preserve">   </w:t>
      </w:r>
      <w:r>
        <w:rPr>
          <w:rFonts w:ascii="Times New Roman" w:hAnsi="Times New Roman" w:cs="Times New Roman"/>
          <w:sz w:val="24"/>
          <w:szCs w:val="24"/>
        </w:rPr>
        <w:t>Weigel, D. D., and Gordon Gemmill. 2006. What drives credit risk in emerging markets? The role of country fundamentals and market co-movements.</w:t>
      </w:r>
      <w:r>
        <w:rPr>
          <w:rFonts w:ascii="Times New Roman" w:hAnsi="Times New Roman" w:cs="Times New Roman"/>
          <w:i/>
          <w:iCs/>
          <w:sz w:val="24"/>
          <w:szCs w:val="24"/>
        </w:rPr>
        <w:t xml:space="preserve"> Journal of International Money and Finance</w:t>
      </w:r>
      <w:r>
        <w:rPr>
          <w:rFonts w:ascii="Times New Roman" w:hAnsi="Times New Roman" w:cs="Times New Roman"/>
          <w:sz w:val="24"/>
          <w:szCs w:val="24"/>
        </w:rPr>
        <w:t>, 25, 476-502.</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fr-FR"/>
        </w:rPr>
        <w:t xml:space="preserve">Yue, Vivian Z. 2010. </w:t>
      </w:r>
      <w:r>
        <w:rPr>
          <w:rFonts w:ascii="Times New Roman" w:hAnsi="Times New Roman" w:cs="Times New Roman"/>
          <w:sz w:val="24"/>
          <w:szCs w:val="24"/>
        </w:rPr>
        <w:t xml:space="preserve">Sovereign default and debt renegotiation. </w:t>
      </w:r>
      <w:r>
        <w:rPr>
          <w:rFonts w:ascii="Times New Roman" w:hAnsi="Times New Roman" w:cs="Times New Roman"/>
          <w:i/>
          <w:iCs/>
          <w:sz w:val="24"/>
          <w:szCs w:val="24"/>
        </w:rPr>
        <w:t>Journal of International Economics</w:t>
      </w:r>
      <w:r>
        <w:rPr>
          <w:rFonts w:ascii="Times New Roman" w:hAnsi="Times New Roman" w:cs="Times New Roman"/>
          <w:sz w:val="24"/>
          <w:szCs w:val="24"/>
        </w:rPr>
        <w:t>, 80, 176-187.</w:t>
      </w:r>
    </w:p>
    <w:p w:rsidR="001041B1" w:rsidRDefault="001041B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Dungey, M., Renée Fry, Brenda González-Hermosillo, and Vance Martin. 2006. Contagion in international bond markets during the Russian and the LTCM crises. </w:t>
      </w:r>
      <w:r>
        <w:rPr>
          <w:rFonts w:ascii="Times New Roman" w:hAnsi="Times New Roman" w:cs="Times New Roman"/>
          <w:i/>
          <w:iCs/>
          <w:color w:val="000000"/>
          <w:sz w:val="24"/>
          <w:szCs w:val="24"/>
        </w:rPr>
        <w:t>Journal of Financial Stability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2, 1-27</w:t>
      </w:r>
    </w:p>
    <w:p w:rsidR="001041B1" w:rsidRDefault="001041B1">
      <w:pPr>
        <w:spacing w:line="360" w:lineRule="auto"/>
        <w:jc w:val="both"/>
        <w:rPr>
          <w:rFonts w:ascii="Times New Roman" w:hAnsi="Times New Roman" w:cs="Times New Roman"/>
          <w:b/>
          <w:bCs/>
          <w:color w:val="4F81BD"/>
          <w:sz w:val="24"/>
          <w:szCs w:val="24"/>
        </w:rPr>
      </w:pPr>
    </w:p>
    <w:p w:rsidR="001041B1" w:rsidRDefault="001041B1">
      <w:pPr>
        <w:spacing w:line="360" w:lineRule="auto"/>
        <w:jc w:val="both"/>
        <w:rPr>
          <w:rFonts w:ascii="Times New Roman" w:hAnsi="Times New Roman" w:cs="Times New Roman"/>
          <w:color w:val="4F81BD"/>
          <w:sz w:val="24"/>
          <w:szCs w:val="24"/>
          <w:lang w:val="en-GB"/>
        </w:rPr>
      </w:pPr>
      <w:r>
        <w:rPr>
          <w:rFonts w:ascii="Times New Roman" w:hAnsi="Times New Roman" w:cs="Times New Roman"/>
          <w:b/>
          <w:bCs/>
          <w:color w:val="4F81BD"/>
          <w:sz w:val="24"/>
          <w:szCs w:val="24"/>
        </w:rPr>
        <w:t>Appendix A</w:t>
      </w:r>
    </w:p>
    <w:p w:rsidR="001041B1" w:rsidRDefault="001041B1">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Dependent Variable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Source</w:t>
      </w:r>
    </w:p>
    <w:p w:rsidR="001041B1" w:rsidRDefault="001041B1" w:rsidP="008B10D3">
      <w:pPr>
        <w:pStyle w:val="NoSpacing"/>
        <w:spacing w:line="360" w:lineRule="auto"/>
        <w:ind w:left="5664" w:hanging="5664"/>
        <w:rPr>
          <w:rFonts w:ascii="Times New Roman" w:hAnsi="Times New Roman" w:cs="Times New Roman"/>
          <w:i/>
          <w:iCs/>
          <w:sz w:val="24"/>
          <w:szCs w:val="24"/>
        </w:rPr>
      </w:pPr>
      <w:r>
        <w:rPr>
          <w:rFonts w:ascii="Times New Roman" w:hAnsi="Times New Roman" w:cs="Times New Roman"/>
          <w:sz w:val="24"/>
          <w:szCs w:val="24"/>
        </w:rPr>
        <w:t>SPREAD</w:t>
      </w:r>
      <w:r>
        <w:rPr>
          <w:rFonts w:ascii="Times New Roman" w:hAnsi="Times New Roman" w:cs="Times New Roman"/>
          <w:sz w:val="24"/>
          <w:szCs w:val="24"/>
        </w:rPr>
        <w:tab/>
        <w:t xml:space="preserve">Government bond spread </w:t>
      </w:r>
      <w:r>
        <w:rPr>
          <w:rFonts w:ascii="Times New Roman" w:hAnsi="Times New Roman" w:cs="Times New Roman"/>
          <w:i/>
          <w:iCs/>
          <w:sz w:val="24"/>
          <w:szCs w:val="24"/>
        </w:rPr>
        <w:t xml:space="preserve">International Financial Statistics,  Datastream </w:t>
      </w:r>
    </w:p>
    <w:p w:rsidR="001041B1" w:rsidRDefault="001041B1">
      <w:pPr>
        <w:pStyle w:val="NoSpacing"/>
        <w:spacing w:line="360" w:lineRule="auto"/>
        <w:ind w:left="1416" w:hanging="141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own calculation.</w:t>
      </w:r>
    </w:p>
    <w:p w:rsidR="001041B1" w:rsidRDefault="001041B1">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Exogenous Variable</w:t>
      </w:r>
    </w:p>
    <w:p w:rsidR="001041B1" w:rsidRDefault="001041B1">
      <w:pPr>
        <w:pStyle w:val="NoSpacing"/>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Liquidity and solvency variables</w:t>
      </w:r>
    </w:p>
    <w:p w:rsidR="001041B1" w:rsidRDefault="001041B1">
      <w:pPr>
        <w:pStyle w:val="NoSpacing"/>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ratio of total external debt to GDP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i/>
          <w:iCs/>
          <w:color w:val="000000"/>
          <w:sz w:val="24"/>
          <w:szCs w:val="24"/>
        </w:rPr>
        <w:t>World data bank</w:t>
      </w:r>
    </w:p>
    <w:p w:rsidR="001041B1" w:rsidRDefault="001041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RIR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ratio of international reserves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World data bank</w:t>
      </w:r>
    </w:p>
    <w:p w:rsidR="001041B1" w:rsidRDefault="001041B1">
      <w:pPr>
        <w:pStyle w:val="NoSpacing"/>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GRI</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growth rate of imports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i/>
          <w:iCs/>
          <w:color w:val="000000"/>
          <w:sz w:val="24"/>
          <w:szCs w:val="24"/>
        </w:rPr>
        <w:t>World data bank</w:t>
      </w:r>
    </w:p>
    <w:p w:rsidR="001041B1" w:rsidRDefault="001041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GRGD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growth rate of GDP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World data bank</w:t>
      </w:r>
    </w:p>
    <w:p w:rsidR="001041B1" w:rsidRDefault="001041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GRE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growth rate of exports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World data bank</w:t>
      </w:r>
    </w:p>
    <w:p w:rsidR="001041B1" w:rsidRDefault="001041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RCA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Ratio of current account to GDP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World data bank</w:t>
      </w:r>
    </w:p>
    <w:p w:rsidR="001041B1" w:rsidRDefault="001041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UN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Unemployment (% of total labor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force) </w:t>
      </w:r>
      <w:r>
        <w:rPr>
          <w:rFonts w:ascii="Times New Roman" w:hAnsi="Times New Roman" w:cs="Times New Roman"/>
          <w:i/>
          <w:iCs/>
          <w:sz w:val="24"/>
          <w:szCs w:val="24"/>
        </w:rPr>
        <w:t>World data bank</w:t>
      </w:r>
    </w:p>
    <w:p w:rsidR="001041B1" w:rsidRDefault="001041B1">
      <w:pPr>
        <w:pStyle w:val="NoSpacing"/>
        <w:spacing w:line="360" w:lineRule="auto"/>
        <w:rPr>
          <w:rFonts w:ascii="Times New Roman" w:hAnsi="Times New Roman" w:cs="Times New Roman"/>
          <w:sz w:val="24"/>
          <w:szCs w:val="24"/>
          <w:u w:val="single"/>
        </w:rPr>
      </w:pPr>
    </w:p>
    <w:p w:rsidR="001041B1" w:rsidRDefault="001041B1">
      <w:pPr>
        <w:pStyle w:val="NoSpacing"/>
        <w:spacing w:line="360" w:lineRule="auto"/>
        <w:rPr>
          <w:rFonts w:ascii="Times New Roman" w:hAnsi="Times New Roman" w:cs="Times New Roman"/>
          <w:sz w:val="24"/>
          <w:szCs w:val="24"/>
          <w:u w:val="single"/>
        </w:rPr>
      </w:pPr>
    </w:p>
    <w:p w:rsidR="001041B1" w:rsidRDefault="001041B1">
      <w:pPr>
        <w:pStyle w:val="NoSpacing"/>
        <w:spacing w:line="360" w:lineRule="auto"/>
        <w:rPr>
          <w:rFonts w:ascii="Times New Roman" w:hAnsi="Times New Roman" w:cs="Times New Roman"/>
          <w:sz w:val="24"/>
          <w:szCs w:val="24"/>
          <w:u w:val="single"/>
        </w:rPr>
      </w:pPr>
    </w:p>
    <w:p w:rsidR="001041B1" w:rsidRDefault="001041B1">
      <w:pPr>
        <w:pStyle w:val="NoSpacing"/>
        <w:spacing w:line="360" w:lineRule="auto"/>
        <w:rPr>
          <w:rFonts w:ascii="Times New Roman" w:hAnsi="Times New Roman" w:cs="Times New Roman"/>
          <w:sz w:val="24"/>
          <w:szCs w:val="24"/>
          <w:u w:val="single"/>
        </w:rPr>
      </w:pPr>
    </w:p>
    <w:p w:rsidR="001041B1" w:rsidRDefault="001041B1">
      <w:pPr>
        <w:pStyle w:val="NoSpacing"/>
        <w:spacing w:line="360" w:lineRule="auto"/>
        <w:rPr>
          <w:rFonts w:ascii="Times New Roman" w:hAnsi="Times New Roman" w:cs="Times New Roman"/>
          <w:sz w:val="24"/>
          <w:szCs w:val="24"/>
          <w:u w:val="single"/>
        </w:rPr>
      </w:pPr>
    </w:p>
    <w:p w:rsidR="001041B1" w:rsidRDefault="001041B1">
      <w:pPr>
        <w:pStyle w:val="NoSpacing"/>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Macroeconomic fundamentals</w:t>
      </w:r>
    </w:p>
    <w:p w:rsidR="001041B1" w:rsidRDefault="001041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Terms of trade</w:t>
      </w:r>
    </w:p>
    <w:p w:rsidR="001041B1" w:rsidRDefault="001041B1">
      <w:pPr>
        <w:pStyle w:val="NoSpacing"/>
        <w:spacing w:line="360" w:lineRule="auto"/>
        <w:ind w:left="5664"/>
        <w:rPr>
          <w:rFonts w:ascii="Times New Roman" w:hAnsi="Times New Roman" w:cs="Times New Roman"/>
          <w:i/>
          <w:iCs/>
          <w:sz w:val="24"/>
          <w:szCs w:val="24"/>
        </w:rPr>
      </w:pPr>
      <w:r>
        <w:rPr>
          <w:rFonts w:ascii="Times New Roman" w:hAnsi="Times New Roman" w:cs="Times New Roman"/>
          <w:i/>
          <w:iCs/>
          <w:sz w:val="24"/>
          <w:szCs w:val="24"/>
        </w:rPr>
        <w:t>International Financial Statistics and World data bank</w:t>
      </w:r>
    </w:p>
    <w:p w:rsidR="001041B1" w:rsidRDefault="001041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INF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Inflation</w:t>
      </w:r>
    </w:p>
    <w:p w:rsidR="001041B1" w:rsidRDefault="001041B1">
      <w:pPr>
        <w:pStyle w:val="NoSpacing"/>
        <w:spacing w:line="360" w:lineRule="auto"/>
        <w:ind w:left="4956" w:firstLine="708"/>
        <w:rPr>
          <w:rFonts w:ascii="Times New Roman" w:hAnsi="Times New Roman" w:cs="Times New Roman"/>
          <w:i/>
          <w:iCs/>
          <w:sz w:val="24"/>
          <w:szCs w:val="24"/>
        </w:rPr>
      </w:pPr>
      <w:r>
        <w:rPr>
          <w:rFonts w:ascii="Times New Roman" w:hAnsi="Times New Roman" w:cs="Times New Roman"/>
          <w:i/>
          <w:iCs/>
          <w:sz w:val="24"/>
          <w:szCs w:val="24"/>
        </w:rPr>
        <w:t>World data bank</w:t>
      </w:r>
    </w:p>
    <w:p w:rsidR="001041B1" w:rsidRDefault="001041B1">
      <w:pPr>
        <w:pStyle w:val="NoSpacing"/>
        <w:spacing w:line="360" w:lineRule="auto"/>
        <w:rPr>
          <w:rFonts w:ascii="Times New Roman" w:hAnsi="Times New Roman" w:cs="Times New Roman"/>
          <w:sz w:val="24"/>
          <w:szCs w:val="24"/>
        </w:rPr>
      </w:pPr>
    </w:p>
    <w:p w:rsidR="001041B1" w:rsidRDefault="001041B1">
      <w:pPr>
        <w:pStyle w:val="NoSpacing"/>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External shocks</w:t>
      </w:r>
    </w:p>
    <w:p w:rsidR="001041B1" w:rsidRDefault="001041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Oil price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DataStream</w:t>
      </w:r>
    </w:p>
    <w:p w:rsidR="001041B1" w:rsidRDefault="001041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TBILL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Three month treasury bill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International Financial Statistics</w:t>
      </w:r>
    </w:p>
    <w:p w:rsidR="001041B1" w:rsidRDefault="001041B1">
      <w:pPr>
        <w:rPr>
          <w:rFonts w:ascii="Times New Roman" w:hAnsi="Times New Roman" w:cs="Times New Roman"/>
          <w:sz w:val="24"/>
          <w:szCs w:val="24"/>
          <w:u w:val="single"/>
        </w:rPr>
      </w:pPr>
      <w:r>
        <w:rPr>
          <w:rFonts w:ascii="Times New Roman" w:hAnsi="Times New Roman" w:cs="Times New Roman"/>
          <w:sz w:val="24"/>
          <w:szCs w:val="24"/>
          <w:u w:val="single"/>
        </w:rPr>
        <w:t>Dummy variable</w:t>
      </w:r>
    </w:p>
    <w:p w:rsidR="001041B1" w:rsidRDefault="001041B1">
      <w:pPr>
        <w:rPr>
          <w:rFonts w:ascii="Times New Roman" w:hAnsi="Times New Roman" w:cs="Times New Roman"/>
          <w:sz w:val="24"/>
          <w:szCs w:val="24"/>
        </w:rPr>
      </w:pPr>
    </w:p>
    <w:p w:rsidR="001041B1" w:rsidRDefault="001041B1">
      <w:pPr>
        <w:pStyle w:val="NoSpacing"/>
        <w:spacing w:line="360" w:lineRule="auto"/>
        <w:ind w:left="5664" w:hanging="5664"/>
        <w:rPr>
          <w:rFonts w:ascii="Times New Roman" w:hAnsi="Times New Roman" w:cs="Times New Roman"/>
          <w:sz w:val="24"/>
          <w:szCs w:val="24"/>
        </w:rPr>
      </w:pPr>
      <w:r>
        <w:rPr>
          <w:rFonts w:ascii="Times New Roman" w:hAnsi="Times New Roman" w:cs="Times New Roman"/>
          <w:sz w:val="24"/>
          <w:szCs w:val="24"/>
        </w:rPr>
        <w:t>CRISIS</w:t>
      </w:r>
      <w:r>
        <w:rPr>
          <w:rFonts w:ascii="Times New Roman" w:hAnsi="Times New Roman" w:cs="Times New Roman"/>
          <w:sz w:val="24"/>
          <w:szCs w:val="24"/>
        </w:rPr>
        <w:tab/>
        <w:t xml:space="preserve">1 for 2003, 2004, 2005, 2006, 2007, 2008; 0 otherwise  </w:t>
      </w:r>
    </w:p>
    <w:p w:rsidR="001041B1" w:rsidRDefault="001041B1">
      <w:pPr>
        <w:spacing w:line="360" w:lineRule="auto"/>
        <w:jc w:val="both"/>
        <w:rPr>
          <w:rFonts w:ascii="Times New Roman" w:hAnsi="Times New Roman" w:cs="Times New Roman"/>
          <w:b/>
          <w:bCs/>
          <w:sz w:val="18"/>
          <w:szCs w:val="18"/>
          <w:lang w:val="en-GB"/>
        </w:rPr>
      </w:pPr>
    </w:p>
    <w:p w:rsidR="001041B1" w:rsidRDefault="001041B1">
      <w:pPr>
        <w:spacing w:line="360" w:lineRule="auto"/>
        <w:jc w:val="both"/>
        <w:rPr>
          <w:rFonts w:ascii="Times New Roman" w:hAnsi="Times New Roman" w:cs="Times New Roman"/>
          <w:b/>
          <w:bCs/>
          <w:color w:val="4F81BD"/>
          <w:sz w:val="24"/>
          <w:szCs w:val="24"/>
          <w:lang w:val="en-GB"/>
        </w:rPr>
      </w:pPr>
    </w:p>
    <w:p w:rsidR="001041B1" w:rsidRDefault="001041B1">
      <w:pPr>
        <w:spacing w:line="360" w:lineRule="auto"/>
        <w:jc w:val="both"/>
        <w:rPr>
          <w:rFonts w:ascii="Times New Roman" w:hAnsi="Times New Roman" w:cs="Times New Roman"/>
          <w:b/>
          <w:bCs/>
          <w:color w:val="4F81BD"/>
          <w:sz w:val="24"/>
          <w:szCs w:val="24"/>
          <w:lang w:val="en-GB"/>
        </w:rPr>
      </w:pPr>
    </w:p>
    <w:p w:rsidR="001041B1" w:rsidRDefault="001041B1">
      <w:pPr>
        <w:spacing w:line="360" w:lineRule="auto"/>
        <w:jc w:val="both"/>
        <w:rPr>
          <w:rFonts w:ascii="Times New Roman" w:hAnsi="Times New Roman" w:cs="Times New Roman"/>
          <w:b/>
          <w:bCs/>
          <w:color w:val="4F81BD"/>
          <w:sz w:val="24"/>
          <w:szCs w:val="24"/>
          <w:lang w:val="en-GB"/>
        </w:rPr>
      </w:pPr>
    </w:p>
    <w:p w:rsidR="001041B1" w:rsidRDefault="001041B1">
      <w:pPr>
        <w:spacing w:line="360" w:lineRule="auto"/>
        <w:jc w:val="both"/>
        <w:rPr>
          <w:rFonts w:ascii="Times New Roman" w:hAnsi="Times New Roman" w:cs="Times New Roman"/>
          <w:b/>
          <w:bCs/>
          <w:color w:val="4F81BD"/>
          <w:sz w:val="24"/>
          <w:szCs w:val="24"/>
          <w:lang w:val="en-GB"/>
        </w:rPr>
      </w:pPr>
    </w:p>
    <w:p w:rsidR="001041B1" w:rsidRDefault="001041B1">
      <w:pPr>
        <w:spacing w:line="360" w:lineRule="auto"/>
        <w:jc w:val="both"/>
        <w:rPr>
          <w:rFonts w:ascii="Times New Roman" w:hAnsi="Times New Roman" w:cs="Times New Roman"/>
          <w:b/>
          <w:bCs/>
          <w:color w:val="4F81BD"/>
          <w:sz w:val="24"/>
          <w:szCs w:val="24"/>
          <w:lang w:val="en-GB"/>
        </w:rPr>
      </w:pPr>
    </w:p>
    <w:p w:rsidR="001041B1" w:rsidRDefault="001041B1">
      <w:pPr>
        <w:spacing w:line="360" w:lineRule="auto"/>
        <w:jc w:val="both"/>
        <w:rPr>
          <w:rFonts w:ascii="Times New Roman" w:hAnsi="Times New Roman" w:cs="Times New Roman"/>
          <w:b/>
          <w:bCs/>
          <w:color w:val="4F81BD"/>
          <w:sz w:val="24"/>
          <w:szCs w:val="24"/>
          <w:lang w:val="en-GB"/>
        </w:rPr>
      </w:pPr>
    </w:p>
    <w:p w:rsidR="001041B1" w:rsidRDefault="001041B1">
      <w:pPr>
        <w:spacing w:line="360" w:lineRule="auto"/>
        <w:jc w:val="both"/>
        <w:rPr>
          <w:rFonts w:ascii="Times New Roman" w:hAnsi="Times New Roman" w:cs="Times New Roman"/>
          <w:b/>
          <w:bCs/>
          <w:color w:val="4F81BD"/>
          <w:sz w:val="24"/>
          <w:szCs w:val="24"/>
          <w:lang w:val="en-GB"/>
        </w:rPr>
      </w:pPr>
    </w:p>
    <w:p w:rsidR="001041B1" w:rsidRDefault="001041B1">
      <w:pPr>
        <w:spacing w:line="360" w:lineRule="auto"/>
        <w:jc w:val="both"/>
        <w:rPr>
          <w:rFonts w:ascii="Times New Roman" w:hAnsi="Times New Roman" w:cs="Times New Roman"/>
          <w:b/>
          <w:bCs/>
          <w:color w:val="4F81BD"/>
          <w:sz w:val="24"/>
          <w:szCs w:val="24"/>
          <w:lang w:val="en-GB"/>
        </w:rPr>
      </w:pPr>
    </w:p>
    <w:p w:rsidR="001041B1" w:rsidRDefault="001041B1">
      <w:pPr>
        <w:spacing w:line="360" w:lineRule="auto"/>
        <w:jc w:val="both"/>
        <w:rPr>
          <w:rFonts w:ascii="Times New Roman" w:hAnsi="Times New Roman" w:cs="Times New Roman"/>
          <w:b/>
          <w:bCs/>
          <w:color w:val="4F81BD"/>
          <w:sz w:val="24"/>
          <w:szCs w:val="24"/>
          <w:lang w:val="en-GB"/>
        </w:rPr>
      </w:pPr>
    </w:p>
    <w:p w:rsidR="001041B1" w:rsidRDefault="001041B1">
      <w:pPr>
        <w:spacing w:line="360" w:lineRule="auto"/>
        <w:jc w:val="both"/>
        <w:rPr>
          <w:rFonts w:ascii="Times New Roman" w:hAnsi="Times New Roman" w:cs="Times New Roman"/>
          <w:b/>
          <w:bCs/>
          <w:color w:val="4F81BD"/>
          <w:sz w:val="24"/>
          <w:szCs w:val="24"/>
          <w:lang w:val="en-GB"/>
        </w:rPr>
      </w:pPr>
    </w:p>
    <w:p w:rsidR="001041B1" w:rsidRDefault="001041B1">
      <w:pPr>
        <w:spacing w:line="360" w:lineRule="auto"/>
        <w:jc w:val="both"/>
        <w:rPr>
          <w:rFonts w:ascii="Times New Roman" w:hAnsi="Times New Roman" w:cs="Times New Roman"/>
          <w:b/>
          <w:bCs/>
          <w:color w:val="4F81BD"/>
          <w:sz w:val="24"/>
          <w:szCs w:val="24"/>
          <w:lang w:val="en-GB"/>
        </w:rPr>
      </w:pPr>
    </w:p>
    <w:p w:rsidR="001041B1" w:rsidRDefault="001041B1">
      <w:pPr>
        <w:spacing w:line="360" w:lineRule="auto"/>
        <w:jc w:val="both"/>
        <w:rPr>
          <w:rFonts w:ascii="Times New Roman" w:hAnsi="Times New Roman" w:cs="Times New Roman"/>
          <w:b/>
          <w:bCs/>
          <w:color w:val="4F81BD"/>
          <w:sz w:val="24"/>
          <w:szCs w:val="24"/>
          <w:lang w:val="en-GB"/>
        </w:rPr>
      </w:pPr>
      <w:r>
        <w:rPr>
          <w:rFonts w:ascii="Times New Roman" w:hAnsi="Times New Roman" w:cs="Times New Roman"/>
          <w:b/>
          <w:bCs/>
          <w:color w:val="4F81BD"/>
          <w:sz w:val="24"/>
          <w:szCs w:val="24"/>
          <w:lang w:val="en-GB"/>
        </w:rPr>
        <w:t>Appendix B</w:t>
      </w:r>
    </w:p>
    <w:p w:rsidR="001041B1" w:rsidRPr="00780293" w:rsidRDefault="001041B1" w:rsidP="00780293">
      <w:pPr>
        <w:pStyle w:val="NoSpacing"/>
        <w:rPr>
          <w:rFonts w:ascii="Times New Roman" w:hAnsi="Times New Roman" w:cs="Times New Roman"/>
          <w:b/>
          <w:sz w:val="20"/>
          <w:szCs w:val="20"/>
          <w:lang w:val="en-GB"/>
        </w:rPr>
      </w:pPr>
      <w:r>
        <w:rPr>
          <w:rFonts w:ascii="Times New Roman" w:hAnsi="Times New Roman" w:cs="Times New Roman"/>
          <w:b/>
          <w:sz w:val="20"/>
          <w:szCs w:val="20"/>
          <w:lang w:val="en-GB"/>
        </w:rPr>
        <w:t xml:space="preserve">Table 6.1 </w:t>
      </w:r>
      <w:r w:rsidRPr="00780293">
        <w:rPr>
          <w:rFonts w:ascii="Times New Roman" w:hAnsi="Times New Roman" w:cs="Times New Roman"/>
          <w:b/>
          <w:sz w:val="20"/>
          <w:szCs w:val="20"/>
          <w:lang w:val="en-GB"/>
        </w:rPr>
        <w:t>Robustness</w:t>
      </w:r>
      <w:r>
        <w:rPr>
          <w:rFonts w:ascii="Times New Roman" w:hAnsi="Times New Roman" w:cs="Times New Roman"/>
          <w:b/>
          <w:sz w:val="20"/>
          <w:szCs w:val="20"/>
          <w:lang w:val="en-GB"/>
        </w:rPr>
        <w:t xml:space="preserve"> c</w:t>
      </w:r>
      <w:r w:rsidRPr="00780293">
        <w:rPr>
          <w:rFonts w:ascii="Times New Roman" w:hAnsi="Times New Roman" w:cs="Times New Roman"/>
          <w:b/>
          <w:sz w:val="20"/>
          <w:szCs w:val="20"/>
          <w:lang w:val="en-GB"/>
        </w:rPr>
        <w:t>heck panel data estimation</w:t>
      </w:r>
    </w:p>
    <w:tbl>
      <w:tblPr>
        <w:tblW w:w="8864" w:type="dxa"/>
        <w:tblInd w:w="2" w:type="dxa"/>
        <w:tblLayout w:type="fixed"/>
        <w:tblCellMar>
          <w:left w:w="0" w:type="dxa"/>
          <w:right w:w="0" w:type="dxa"/>
        </w:tblCellMar>
        <w:tblLook w:val="0000"/>
      </w:tblPr>
      <w:tblGrid>
        <w:gridCol w:w="2078"/>
        <w:gridCol w:w="2116"/>
        <w:gridCol w:w="2292"/>
        <w:gridCol w:w="2378"/>
      </w:tblGrid>
      <w:tr w:rsidR="001041B1" w:rsidRPr="0021104B" w:rsidTr="00987F95">
        <w:trPr>
          <w:trHeight w:val="561"/>
        </w:trPr>
        <w:tc>
          <w:tcPr>
            <w:tcW w:w="2078"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jc w:val="center"/>
              <w:rPr>
                <w:rFonts w:ascii="Arial" w:hAnsi="Arial" w:cs="Arial"/>
                <w:b/>
                <w:bCs/>
                <w:color w:val="000000"/>
                <w:sz w:val="18"/>
                <w:szCs w:val="18"/>
              </w:rPr>
            </w:pPr>
            <w:r w:rsidRPr="0021104B">
              <w:rPr>
                <w:rFonts w:ascii="Arial" w:hAnsi="Arial" w:cs="Arial"/>
                <w:b/>
                <w:bCs/>
                <w:color w:val="000000"/>
                <w:sz w:val="18"/>
                <w:szCs w:val="18"/>
              </w:rPr>
              <w:t>Variables</w:t>
            </w:r>
          </w:p>
        </w:tc>
        <w:tc>
          <w:tcPr>
            <w:tcW w:w="2116"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b/>
                <w:bCs/>
                <w:color w:val="000000"/>
                <w:sz w:val="18"/>
                <w:szCs w:val="18"/>
              </w:rPr>
            </w:pPr>
            <w:r w:rsidRPr="0021104B">
              <w:rPr>
                <w:rFonts w:ascii="Arial" w:hAnsi="Arial" w:cs="Arial"/>
                <w:b/>
                <w:bCs/>
                <w:color w:val="000000"/>
                <w:sz w:val="18"/>
                <w:szCs w:val="18"/>
              </w:rPr>
              <w:t>Model 1</w:t>
            </w:r>
          </w:p>
        </w:tc>
        <w:tc>
          <w:tcPr>
            <w:tcW w:w="2292"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b/>
                <w:bCs/>
                <w:color w:val="000000"/>
                <w:sz w:val="18"/>
                <w:szCs w:val="18"/>
              </w:rPr>
            </w:pPr>
            <w:r w:rsidRPr="0021104B">
              <w:rPr>
                <w:rFonts w:ascii="Arial" w:hAnsi="Arial" w:cs="Arial"/>
                <w:b/>
                <w:bCs/>
                <w:color w:val="000000"/>
                <w:sz w:val="18"/>
                <w:szCs w:val="18"/>
              </w:rPr>
              <w:t>Model 2</w:t>
            </w:r>
          </w:p>
        </w:tc>
        <w:tc>
          <w:tcPr>
            <w:tcW w:w="2378" w:type="dxa"/>
            <w:tcBorders>
              <w:top w:val="single" w:sz="12" w:space="0" w:color="auto"/>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b/>
                <w:bCs/>
                <w:color w:val="000000"/>
                <w:sz w:val="18"/>
                <w:szCs w:val="18"/>
              </w:rPr>
            </w:pPr>
            <w:r w:rsidRPr="0021104B">
              <w:rPr>
                <w:rFonts w:ascii="Arial" w:hAnsi="Arial" w:cs="Arial"/>
                <w:b/>
                <w:bCs/>
                <w:color w:val="000000"/>
                <w:sz w:val="18"/>
                <w:szCs w:val="18"/>
              </w:rPr>
              <w:t>Model 3</w:t>
            </w:r>
          </w:p>
        </w:tc>
      </w:tr>
      <w:tr w:rsidR="001041B1" w:rsidRPr="0021104B" w:rsidTr="00987F95">
        <w:trPr>
          <w:trHeight w:val="159"/>
        </w:trPr>
        <w:tc>
          <w:tcPr>
            <w:tcW w:w="2078"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jc w:val="center"/>
              <w:rPr>
                <w:rFonts w:ascii="Arial" w:hAnsi="Arial" w:cs="Arial"/>
                <w:b/>
                <w:bCs/>
                <w:color w:val="000000"/>
                <w:sz w:val="18"/>
                <w:szCs w:val="18"/>
              </w:rPr>
            </w:pPr>
          </w:p>
        </w:tc>
        <w:tc>
          <w:tcPr>
            <w:tcW w:w="2116"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rPr>
                <w:rFonts w:ascii="Arial" w:hAnsi="Arial" w:cs="Arial"/>
                <w:color w:val="000000"/>
                <w:sz w:val="18"/>
                <w:szCs w:val="18"/>
              </w:rPr>
            </w:pPr>
          </w:p>
        </w:tc>
        <w:tc>
          <w:tcPr>
            <w:tcW w:w="2292"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rPr>
                <w:rFonts w:ascii="Arial" w:hAnsi="Arial" w:cs="Arial"/>
                <w:color w:val="000000"/>
                <w:sz w:val="18"/>
                <w:szCs w:val="18"/>
              </w:rPr>
            </w:pPr>
          </w:p>
        </w:tc>
        <w:tc>
          <w:tcPr>
            <w:tcW w:w="2378" w:type="dxa"/>
            <w:tcBorders>
              <w:top w:val="single" w:sz="12" w:space="0" w:color="auto"/>
              <w:left w:val="nil"/>
              <w:bottom w:val="nil"/>
              <w:right w:val="nil"/>
            </w:tcBorders>
            <w:vAlign w:val="bottom"/>
          </w:tcPr>
          <w:p w:rsidR="001041B1" w:rsidRPr="0021104B" w:rsidRDefault="001041B1">
            <w:pPr>
              <w:autoSpaceDE w:val="0"/>
              <w:autoSpaceDN w:val="0"/>
              <w:adjustRightInd w:val="0"/>
              <w:spacing w:after="0" w:line="240" w:lineRule="auto"/>
              <w:rPr>
                <w:rFonts w:ascii="Arial" w:hAnsi="Arial" w:cs="Arial"/>
                <w:color w:val="000000"/>
                <w:sz w:val="18"/>
                <w:szCs w:val="18"/>
              </w:rPr>
            </w:pPr>
          </w:p>
        </w:tc>
      </w:tr>
      <w:tr w:rsidR="001041B1" w:rsidRPr="0021104B">
        <w:trPr>
          <w:trHeight w:val="345"/>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r>
      <w:tr w:rsidR="001041B1" w:rsidRPr="0021104B">
        <w:trPr>
          <w:trHeight w:val="626"/>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r w:rsidRPr="0021104B">
              <w:rPr>
                <w:rFonts w:ascii="Times New Roman" w:hAnsi="Times New Roman" w:cs="Times New Roman"/>
                <w:b/>
                <w:bCs/>
                <w:color w:val="000000"/>
                <w:sz w:val="18"/>
                <w:szCs w:val="18"/>
              </w:rPr>
              <w:t>Liquidity and solvency variables</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rPr>
                <w:rFonts w:ascii="Times New Roman" w:hAnsi="Times New Roman" w:cs="Times New Roman"/>
                <w:color w:val="000000"/>
                <w:sz w:val="18"/>
                <w:szCs w:val="18"/>
              </w:rPr>
            </w:pPr>
          </w:p>
        </w:tc>
      </w:tr>
      <w:tr w:rsidR="001041B1" w:rsidRPr="0021104B">
        <w:trPr>
          <w:trHeight w:val="604"/>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RED</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0.540899(**)</w:t>
            </w: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-0.440338(**)</w:t>
            </w: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-0.145678(**)</w:t>
            </w:r>
          </w:p>
        </w:tc>
      </w:tr>
      <w:tr w:rsidR="001041B1" w:rsidRPr="0021104B">
        <w:trPr>
          <w:trHeight w:val="571"/>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RIR</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-0.349657</w:t>
            </w: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-0.521987</w:t>
            </w: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-0.248452(**)</w:t>
            </w:r>
          </w:p>
        </w:tc>
      </w:tr>
      <w:tr w:rsidR="001041B1" w:rsidRPr="0021104B">
        <w:trPr>
          <w:trHeight w:val="564"/>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GRI</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0.431508(**)</w:t>
            </w: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-0.648944(**)</w:t>
            </w: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-0.044791(**)</w:t>
            </w:r>
          </w:p>
        </w:tc>
      </w:tr>
      <w:tr w:rsidR="001041B1" w:rsidRPr="0021104B">
        <w:trPr>
          <w:trHeight w:val="545"/>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GRGD</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-0.235354(*)</w:t>
            </w: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1.172437(**)</w:t>
            </w: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-0.332979(**)</w:t>
            </w:r>
          </w:p>
        </w:tc>
      </w:tr>
      <w:tr w:rsidR="001041B1" w:rsidRPr="0021104B">
        <w:trPr>
          <w:trHeight w:val="554"/>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GRE</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-0.278311(**)</w:t>
            </w: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0.323742(**)</w:t>
            </w: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-0.006724</w:t>
            </w:r>
          </w:p>
        </w:tc>
      </w:tr>
      <w:tr w:rsidR="001041B1" w:rsidRPr="0021104B">
        <w:trPr>
          <w:trHeight w:val="561"/>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RCA</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0.570767(*)</w:t>
            </w: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-1.935553(**)</w:t>
            </w: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-0.027529</w:t>
            </w:r>
          </w:p>
        </w:tc>
      </w:tr>
      <w:tr w:rsidR="001041B1" w:rsidRPr="0021104B">
        <w:trPr>
          <w:trHeight w:val="555"/>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UNEM</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0.835964(**)</w:t>
            </w: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-0.328959</w:t>
            </w: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0.258683(**)</w:t>
            </w:r>
          </w:p>
        </w:tc>
      </w:tr>
      <w:tr w:rsidR="001041B1" w:rsidRPr="0021104B">
        <w:trPr>
          <w:trHeight w:val="345"/>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trPr>
          <w:trHeight w:val="345"/>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r w:rsidRPr="0021104B">
              <w:rPr>
                <w:rFonts w:ascii="Times New Roman" w:hAnsi="Times New Roman" w:cs="Times New Roman"/>
                <w:b/>
                <w:bCs/>
                <w:color w:val="000000"/>
                <w:sz w:val="18"/>
                <w:szCs w:val="18"/>
              </w:rPr>
              <w:t>Macroeconomic fundamentals</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trPr>
          <w:trHeight w:val="524"/>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TOT</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3.706120(**)</w:t>
            </w: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-20.17853(**)</w:t>
            </w: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3.113652(**)</w:t>
            </w:r>
          </w:p>
        </w:tc>
      </w:tr>
      <w:tr w:rsidR="001041B1" w:rsidRPr="0021104B">
        <w:trPr>
          <w:trHeight w:val="679"/>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sz w:val="20"/>
                <w:szCs w:val="20"/>
              </w:rPr>
              <w:t>INF</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0.749919(**)</w:t>
            </w: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0.713619(**)</w:t>
            </w: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0.116218(**)</w:t>
            </w:r>
          </w:p>
        </w:tc>
      </w:tr>
      <w:tr w:rsidR="001041B1" w:rsidRPr="0021104B">
        <w:trPr>
          <w:trHeight w:val="347"/>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trPr>
          <w:trHeight w:val="345"/>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b/>
                <w:bCs/>
                <w:color w:val="000000"/>
                <w:sz w:val="18"/>
                <w:szCs w:val="18"/>
              </w:rPr>
            </w:pPr>
            <w:r w:rsidRPr="0021104B">
              <w:rPr>
                <w:rFonts w:ascii="Times New Roman" w:hAnsi="Times New Roman" w:cs="Times New Roman"/>
                <w:b/>
                <w:bCs/>
                <w:color w:val="000000"/>
                <w:sz w:val="18"/>
                <w:szCs w:val="18"/>
              </w:rPr>
              <w:t>External shocks</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trPr>
          <w:trHeight w:val="345"/>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color w:val="000000"/>
                <w:sz w:val="18"/>
                <w:szCs w:val="18"/>
              </w:rPr>
              <w:t>OIL</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0.055519(*)</w:t>
            </w: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-0.002887</w:t>
            </w: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-0.003019</w:t>
            </w:r>
          </w:p>
        </w:tc>
      </w:tr>
      <w:tr w:rsidR="001041B1" w:rsidRPr="0021104B">
        <w:trPr>
          <w:trHeight w:val="634"/>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r w:rsidRPr="0021104B">
              <w:rPr>
                <w:rFonts w:ascii="Times New Roman" w:hAnsi="Times New Roman" w:cs="Times New Roman"/>
                <w:color w:val="000000"/>
                <w:sz w:val="18"/>
                <w:szCs w:val="18"/>
              </w:rPr>
              <w:t>TBILL</w:t>
            </w: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0.815158(**)</w:t>
            </w: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r w:rsidRPr="0021104B">
              <w:rPr>
                <w:rFonts w:ascii="Arial" w:hAnsi="Arial" w:cs="Arial"/>
                <w:color w:val="000000"/>
                <w:sz w:val="18"/>
                <w:szCs w:val="18"/>
              </w:rPr>
              <w:t>0.678290(**)</w:t>
            </w: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r w:rsidRPr="0021104B">
              <w:rPr>
                <w:rFonts w:ascii="Arial" w:hAnsi="Arial" w:cs="Arial"/>
                <w:color w:val="000000"/>
                <w:sz w:val="18"/>
                <w:szCs w:val="18"/>
              </w:rPr>
              <w:t>0.508262(**)</w:t>
            </w:r>
          </w:p>
        </w:tc>
      </w:tr>
      <w:tr w:rsidR="001041B1" w:rsidRPr="0021104B">
        <w:trPr>
          <w:trHeight w:val="347"/>
        </w:trPr>
        <w:tc>
          <w:tcPr>
            <w:tcW w:w="20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jc w:val="center"/>
              <w:rPr>
                <w:rFonts w:ascii="Times New Roman" w:hAnsi="Times New Roman" w:cs="Times New Roman"/>
                <w:color w:val="000000"/>
                <w:sz w:val="18"/>
                <w:szCs w:val="18"/>
              </w:rPr>
            </w:pPr>
          </w:p>
        </w:tc>
        <w:tc>
          <w:tcPr>
            <w:tcW w:w="2116"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2292"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c>
          <w:tcPr>
            <w:tcW w:w="2378" w:type="dxa"/>
            <w:tcBorders>
              <w:top w:val="nil"/>
              <w:left w:val="nil"/>
              <w:bottom w:val="nil"/>
              <w:right w:val="nil"/>
            </w:tcBorders>
            <w:vAlign w:val="bottom"/>
          </w:tcPr>
          <w:p w:rsidR="001041B1" w:rsidRPr="0021104B" w:rsidRDefault="001041B1">
            <w:pPr>
              <w:autoSpaceDE w:val="0"/>
              <w:autoSpaceDN w:val="0"/>
              <w:adjustRightInd w:val="0"/>
              <w:spacing w:after="0" w:line="240" w:lineRule="auto"/>
              <w:ind w:right="10"/>
              <w:rPr>
                <w:rFonts w:ascii="Times New Roman" w:hAnsi="Times New Roman" w:cs="Times New Roman"/>
                <w:color w:val="000000"/>
                <w:sz w:val="18"/>
                <w:szCs w:val="18"/>
              </w:rPr>
            </w:pPr>
          </w:p>
        </w:tc>
      </w:tr>
      <w:tr w:rsidR="001041B1" w:rsidRPr="0021104B" w:rsidTr="00987F95">
        <w:trPr>
          <w:trHeight w:val="236"/>
        </w:trPr>
        <w:tc>
          <w:tcPr>
            <w:tcW w:w="2078" w:type="dxa"/>
            <w:tcBorders>
              <w:top w:val="nil"/>
              <w:left w:val="nil"/>
              <w:bottom w:val="single" w:sz="12" w:space="0" w:color="auto"/>
              <w:right w:val="nil"/>
            </w:tcBorders>
          </w:tcPr>
          <w:p w:rsidR="001041B1" w:rsidRPr="0021104B" w:rsidRDefault="001041B1">
            <w:pPr>
              <w:pStyle w:val="NoSpacing"/>
              <w:spacing w:line="360" w:lineRule="auto"/>
              <w:rPr>
                <w:rFonts w:ascii="Times New Roman" w:hAnsi="Times New Roman" w:cs="Times New Roman"/>
                <w:b/>
                <w:bCs/>
                <w:sz w:val="20"/>
                <w:szCs w:val="20"/>
              </w:rPr>
            </w:pPr>
          </w:p>
        </w:tc>
        <w:tc>
          <w:tcPr>
            <w:tcW w:w="2116" w:type="dxa"/>
            <w:tcBorders>
              <w:top w:val="nil"/>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p>
        </w:tc>
        <w:tc>
          <w:tcPr>
            <w:tcW w:w="2292" w:type="dxa"/>
            <w:tcBorders>
              <w:top w:val="nil"/>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p>
        </w:tc>
        <w:tc>
          <w:tcPr>
            <w:tcW w:w="2378" w:type="dxa"/>
            <w:tcBorders>
              <w:top w:val="nil"/>
              <w:left w:val="nil"/>
              <w:bottom w:val="single" w:sz="12" w:space="0" w:color="auto"/>
              <w:right w:val="nil"/>
            </w:tcBorders>
            <w:vAlign w:val="bottom"/>
          </w:tcPr>
          <w:p w:rsidR="001041B1" w:rsidRPr="0021104B" w:rsidRDefault="001041B1">
            <w:pPr>
              <w:autoSpaceDE w:val="0"/>
              <w:autoSpaceDN w:val="0"/>
              <w:adjustRightInd w:val="0"/>
              <w:spacing w:after="0" w:line="240" w:lineRule="auto"/>
              <w:ind w:right="10"/>
              <w:rPr>
                <w:rFonts w:ascii="Arial" w:hAnsi="Arial" w:cs="Arial"/>
                <w:color w:val="000000"/>
                <w:sz w:val="18"/>
                <w:szCs w:val="18"/>
              </w:rPr>
            </w:pPr>
          </w:p>
        </w:tc>
      </w:tr>
    </w:tbl>
    <w:p w:rsidR="001041B1" w:rsidRDefault="001041B1">
      <w:pPr>
        <w:pStyle w:val="NoSpacing"/>
        <w:rPr>
          <w:rFonts w:ascii="Times New Roman" w:hAnsi="Times New Roman" w:cs="Times New Roman"/>
          <w:sz w:val="18"/>
          <w:szCs w:val="18"/>
          <w:lang w:val="en-GB"/>
        </w:rPr>
      </w:pPr>
      <w:r>
        <w:rPr>
          <w:rFonts w:ascii="Times New Roman" w:hAnsi="Times New Roman" w:cs="Times New Roman"/>
          <w:sz w:val="18"/>
          <w:szCs w:val="18"/>
          <w:lang w:val="en-GB"/>
        </w:rPr>
        <w:t xml:space="preserve">Notes: Regression 1: Latin America; regression 2: Europe; regression 3: Asia. </w:t>
      </w:r>
    </w:p>
    <w:p w:rsidR="001041B1" w:rsidRDefault="001041B1">
      <w:pPr>
        <w:pStyle w:val="NoSpacing"/>
        <w:rPr>
          <w:rFonts w:ascii="Times New Roman" w:hAnsi="Times New Roman" w:cs="Times New Roman"/>
          <w:sz w:val="18"/>
          <w:szCs w:val="18"/>
          <w:lang w:val="en-GB"/>
        </w:rPr>
      </w:pPr>
      <w:r>
        <w:rPr>
          <w:rFonts w:ascii="Times New Roman" w:hAnsi="Times New Roman" w:cs="Times New Roman"/>
          <w:sz w:val="18"/>
          <w:szCs w:val="18"/>
          <w:lang w:val="en-GB"/>
        </w:rPr>
        <w:t>Panel data are estimated per sector which might affect the P-value. Cross-sections included:10. The OLS estimation is used.  Crisis dummy has been removed from the models.</w:t>
      </w:r>
    </w:p>
    <w:p w:rsidR="001041B1" w:rsidRDefault="001041B1">
      <w:pPr>
        <w:spacing w:line="360" w:lineRule="auto"/>
        <w:jc w:val="both"/>
        <w:rPr>
          <w:rFonts w:ascii="Times New Roman" w:hAnsi="Times New Roman" w:cs="Times New Roman"/>
          <w:b/>
          <w:bCs/>
          <w:sz w:val="18"/>
          <w:szCs w:val="18"/>
          <w:lang w:val="en-GB"/>
        </w:rPr>
      </w:pPr>
    </w:p>
    <w:sectPr w:rsidR="001041B1" w:rsidSect="001B2940">
      <w:headerReference w:type="default" r:id="rId28"/>
      <w:footerReference w:type="default" r:id="rId29"/>
      <w:headerReference w:type="first" r:id="rId30"/>
      <w:pgSz w:w="11906" w:h="16838"/>
      <w:pgMar w:top="1417" w:right="1417" w:bottom="1417" w:left="1417" w:header="708" w:footer="708" w:gutter="0"/>
      <w:pgNumType w:fmt="numberInDash"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1B1" w:rsidRDefault="001041B1">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1041B1" w:rsidRDefault="001041B1">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B1" w:rsidRDefault="001041B1">
    <w:pPr>
      <w:pStyle w:val="Footer"/>
      <w:jc w:val="center"/>
    </w:pPr>
    <w:fldSimple w:instr=" PAGE   \* MERGEFORMAT ">
      <w:r>
        <w:rPr>
          <w:noProof/>
        </w:rPr>
        <w:t>- 2 -</w:t>
      </w:r>
    </w:fldSimple>
  </w:p>
  <w:p w:rsidR="001041B1" w:rsidRDefault="001041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1B1" w:rsidRDefault="001041B1">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1041B1" w:rsidRDefault="001041B1">
      <w:pPr>
        <w:spacing w:after="0" w:line="240" w:lineRule="auto"/>
        <w:rPr>
          <w:rFonts w:ascii="Times New Roman" w:hAnsi="Times New Roman" w:cs="Times New Roman"/>
        </w:rPr>
      </w:pPr>
      <w:r>
        <w:rPr>
          <w:rFonts w:ascii="Times New Roman" w:hAnsi="Times New Roman" w:cs="Times New Roman"/>
        </w:rPr>
        <w:continuationSeparator/>
      </w:r>
    </w:p>
  </w:footnote>
  <w:footnote w:id="2">
    <w:p w:rsidR="001041B1" w:rsidRDefault="001041B1">
      <w:pPr>
        <w:pStyle w:val="FootnoteText"/>
      </w:pPr>
      <w:r>
        <w:rPr>
          <w:rStyle w:val="FootnoteReference"/>
          <w:sz w:val="16"/>
          <w:szCs w:val="16"/>
        </w:rPr>
        <w:footnoteRef/>
      </w:r>
      <w:r>
        <w:rPr>
          <w:rFonts w:ascii="Times New Roman" w:hAnsi="Times New Roman" w:cs="Times New Roman"/>
          <w:sz w:val="16"/>
          <w:szCs w:val="16"/>
        </w:rPr>
        <w:t xml:space="preserve">  </w:t>
      </w:r>
      <w:r w:rsidRPr="00780293">
        <w:rPr>
          <w:rFonts w:ascii="Times New Roman" w:hAnsi="Times New Roman" w:cs="Times New Roman"/>
          <w:sz w:val="18"/>
          <w:szCs w:val="18"/>
        </w:rPr>
        <w:t>Except Argentina</w:t>
      </w:r>
      <w:r>
        <w:rPr>
          <w:rFonts w:ascii="Times New Roman" w:hAnsi="Times New Roman" w:cs="Times New Roman"/>
          <w:sz w:val="16"/>
          <w:szCs w:val="16"/>
        </w:rPr>
        <w:t>.</w:t>
      </w:r>
    </w:p>
  </w:footnote>
  <w:footnote w:id="3">
    <w:p w:rsidR="001041B1" w:rsidRDefault="001041B1">
      <w:pPr>
        <w:pStyle w:val="FootnoteText"/>
      </w:pPr>
      <w:r w:rsidRPr="00B46BDE">
        <w:rPr>
          <w:rStyle w:val="FootnoteReference"/>
          <w:sz w:val="18"/>
          <w:szCs w:val="18"/>
        </w:rPr>
        <w:footnoteRef/>
      </w:r>
      <w:r w:rsidRPr="00B46BDE">
        <w:rPr>
          <w:sz w:val="18"/>
          <w:szCs w:val="18"/>
        </w:rPr>
        <w:t xml:space="preserve"> </w:t>
      </w:r>
      <w:r w:rsidRPr="00B46BDE">
        <w:rPr>
          <w:rFonts w:ascii="Times New Roman" w:hAnsi="Times New Roman" w:cs="Times New Roman"/>
          <w:sz w:val="18"/>
          <w:szCs w:val="18"/>
        </w:rPr>
        <w:t>See Goldman Sachs (2000) for a more insight of the tool.</w:t>
      </w:r>
    </w:p>
  </w:footnote>
  <w:footnote w:id="4">
    <w:p w:rsidR="001041B1" w:rsidRDefault="001041B1">
      <w:pPr>
        <w:pStyle w:val="FootnoteText"/>
      </w:pPr>
      <w:r w:rsidRPr="00B46BDE">
        <w:rPr>
          <w:rStyle w:val="FootnoteReference"/>
          <w:sz w:val="18"/>
          <w:szCs w:val="18"/>
        </w:rPr>
        <w:footnoteRef/>
      </w:r>
      <w:r w:rsidRPr="00B46BDE">
        <w:rPr>
          <w:rFonts w:ascii="Times New Roman" w:hAnsi="Times New Roman" w:cs="Times New Roman"/>
          <w:sz w:val="18"/>
          <w:szCs w:val="18"/>
        </w:rPr>
        <w:t xml:space="preserve"> Cunniningham (1999)</w:t>
      </w:r>
      <w:r>
        <w:rPr>
          <w:rFonts w:ascii="Times New Roman" w:hAnsi="Times New Roman" w:cs="Times New Roman"/>
          <w:sz w:val="18"/>
          <w:szCs w:val="18"/>
        </w:rPr>
        <w:t xml:space="preserve"> and J.P.Morgan (2004) </w:t>
      </w:r>
      <w:r w:rsidRPr="00B46BDE">
        <w:rPr>
          <w:rFonts w:ascii="Times New Roman" w:hAnsi="Times New Roman" w:cs="Times New Roman"/>
          <w:sz w:val="18"/>
          <w:szCs w:val="18"/>
        </w:rPr>
        <w:t xml:space="preserve"> e</w:t>
      </w:r>
      <w:r>
        <w:rPr>
          <w:rFonts w:ascii="Times New Roman" w:hAnsi="Times New Roman" w:cs="Times New Roman"/>
          <w:sz w:val="18"/>
          <w:szCs w:val="18"/>
        </w:rPr>
        <w:t>xplain</w:t>
      </w:r>
      <w:r w:rsidRPr="00B46BDE">
        <w:rPr>
          <w:rFonts w:ascii="Times New Roman" w:hAnsi="Times New Roman" w:cs="Times New Roman"/>
          <w:sz w:val="18"/>
          <w:szCs w:val="18"/>
        </w:rPr>
        <w:t xml:space="preserve"> the difference between the J.P. Morgan index.</w:t>
      </w:r>
    </w:p>
  </w:footnote>
  <w:footnote w:id="5">
    <w:p w:rsidR="001041B1" w:rsidRDefault="001041B1">
      <w:pPr>
        <w:pStyle w:val="FootnoteText"/>
      </w:pPr>
      <w:r w:rsidRPr="00087318">
        <w:rPr>
          <w:rStyle w:val="FootnoteReference"/>
          <w:sz w:val="18"/>
          <w:szCs w:val="18"/>
        </w:rPr>
        <w:footnoteRef/>
      </w:r>
      <w:r w:rsidRPr="00087318">
        <w:rPr>
          <w:rFonts w:ascii="Times New Roman" w:hAnsi="Times New Roman" w:cs="Times New Roman"/>
          <w:sz w:val="18"/>
          <w:szCs w:val="18"/>
        </w:rPr>
        <w:t xml:space="preserve"> According to the authors sovereign</w:t>
      </w:r>
      <w:r>
        <w:rPr>
          <w:rFonts w:ascii="Times New Roman" w:hAnsi="Times New Roman" w:cs="Times New Roman"/>
          <w:sz w:val="18"/>
          <w:szCs w:val="18"/>
        </w:rPr>
        <w:t xml:space="preserve"> ceiling is that government has</w:t>
      </w:r>
      <w:r w:rsidRPr="00087318">
        <w:rPr>
          <w:rFonts w:ascii="Times New Roman" w:hAnsi="Times New Roman" w:cs="Times New Roman"/>
          <w:sz w:val="18"/>
          <w:szCs w:val="18"/>
        </w:rPr>
        <w:t xml:space="preserve"> the highest creditworthiness in a country. </w:t>
      </w:r>
    </w:p>
  </w:footnote>
  <w:footnote w:id="6">
    <w:p w:rsidR="001041B1" w:rsidRDefault="001041B1">
      <w:pPr>
        <w:pStyle w:val="FootnoteText"/>
      </w:pPr>
      <w:r>
        <w:rPr>
          <w:rStyle w:val="FootnoteReference"/>
          <w:sz w:val="18"/>
          <w:szCs w:val="18"/>
        </w:rPr>
        <w:footnoteRef/>
      </w:r>
      <w:r>
        <w:rPr>
          <w:rFonts w:ascii="Times New Roman" w:hAnsi="Times New Roman" w:cs="Times New Roman"/>
          <w:sz w:val="18"/>
          <w:szCs w:val="18"/>
        </w:rPr>
        <w:t xml:space="preserve">  </w:t>
      </w:r>
      <w:r>
        <w:rPr>
          <w:rFonts w:ascii="Times New Roman" w:hAnsi="Times New Roman" w:cs="Times New Roman"/>
          <w:i/>
          <w:iCs/>
          <w:sz w:val="18"/>
          <w:szCs w:val="18"/>
        </w:rPr>
        <w:t xml:space="preserve"> </w:t>
      </w:r>
      <w:r>
        <w:rPr>
          <w:rFonts w:ascii="Times New Roman" w:hAnsi="Times New Roman" w:cs="Times New Roman"/>
          <w:iCs/>
          <w:sz w:val="18"/>
          <w:szCs w:val="18"/>
        </w:rPr>
        <w:t xml:space="preserve">My calculations have been controlled with the numbers of </w:t>
      </w:r>
      <w:r w:rsidRPr="0072144D">
        <w:rPr>
          <w:rFonts w:ascii="Times New Roman" w:hAnsi="Times New Roman" w:cs="Times New Roman"/>
          <w:i/>
          <w:iCs/>
          <w:sz w:val="18"/>
          <w:szCs w:val="18"/>
        </w:rPr>
        <w:t>International Financial Statistic</w:t>
      </w:r>
      <w:r>
        <w:rPr>
          <w:rFonts w:ascii="Times New Roman" w:hAnsi="Times New Roman" w:cs="Times New Roman"/>
          <w:i/>
          <w:iCs/>
          <w:sz w:val="18"/>
          <w:szCs w:val="18"/>
        </w:rPr>
        <w:t xml:space="preserve">s. </w:t>
      </w:r>
      <w:r w:rsidRPr="0072144D">
        <w:rPr>
          <w:rFonts w:ascii="Times New Roman" w:hAnsi="Times New Roman" w:cs="Times New Roman"/>
          <w:iCs/>
          <w:sz w:val="18"/>
          <w:szCs w:val="18"/>
        </w:rPr>
        <w:t xml:space="preserve">The </w:t>
      </w:r>
      <w:r>
        <w:rPr>
          <w:rFonts w:ascii="Times New Roman" w:hAnsi="Times New Roman" w:cs="Times New Roman"/>
          <w:iCs/>
          <w:sz w:val="18"/>
          <w:szCs w:val="18"/>
        </w:rPr>
        <w:t>calculations are quite similar.</w:t>
      </w:r>
    </w:p>
  </w:footnote>
  <w:footnote w:id="7">
    <w:p w:rsidR="001041B1" w:rsidRDefault="001041B1">
      <w:pPr>
        <w:pStyle w:val="FootnoteText"/>
      </w:pPr>
      <w:r>
        <w:rPr>
          <w:rStyle w:val="FootnoteReference"/>
        </w:rPr>
        <w:footnoteRef/>
      </w:r>
      <w:r>
        <w:rPr>
          <w:rFonts w:ascii="Times New Roman" w:hAnsi="Times New Roman" w:cs="Times New Roman"/>
        </w:rPr>
        <w:t xml:space="preserve">  </w:t>
      </w:r>
      <w:r>
        <w:rPr>
          <w:rFonts w:ascii="Times New Roman" w:hAnsi="Times New Roman" w:cs="Times New Roman"/>
          <w:sz w:val="18"/>
          <w:szCs w:val="18"/>
        </w:rPr>
        <w:t>Calculated by dividing export prices by import prices.</w:t>
      </w:r>
    </w:p>
  </w:footnote>
  <w:footnote w:id="8">
    <w:p w:rsidR="001041B1" w:rsidRDefault="001041B1">
      <w:pPr>
        <w:pStyle w:val="FootnoteText"/>
      </w:pPr>
      <w:r>
        <w:rPr>
          <w:rStyle w:val="FootnoteReference"/>
        </w:rPr>
        <w:footnoteRef/>
      </w:r>
      <w:r>
        <w:rPr>
          <w:rFonts w:ascii="Times New Roman" w:hAnsi="Times New Roman" w:cs="Times New Roman"/>
          <w:sz w:val="18"/>
          <w:szCs w:val="18"/>
        </w:rPr>
        <w:t xml:space="preserve">  The yearly oil price is calculated by taking the cumulative monthly oil price divided by twelve.</w:t>
      </w:r>
    </w:p>
  </w:footnote>
  <w:footnote w:id="9">
    <w:p w:rsidR="001041B1" w:rsidRDefault="001041B1">
      <w:pPr>
        <w:pStyle w:val="FootnoteText"/>
      </w:pPr>
      <w:r>
        <w:rPr>
          <w:rStyle w:val="FootnoteReference"/>
          <w:sz w:val="18"/>
          <w:szCs w:val="18"/>
        </w:rPr>
        <w:footnoteRef/>
      </w:r>
      <w:r>
        <w:rPr>
          <w:rFonts w:ascii="Times New Roman" w:hAnsi="Times New Roman" w:cs="Times New Roman"/>
          <w:sz w:val="18"/>
          <w:szCs w:val="18"/>
        </w:rPr>
        <w:t xml:space="preserve">  Poland, Czech Republic, Hungary, Thailand, Philippines, Mexico and Honduras use the three month Treasury bill. For Pakistan the six month Treasury bill is used.</w:t>
      </w:r>
      <w:r>
        <w:rPr>
          <w:rFonts w:ascii="Times New Roman" w:hAnsi="Times New Roman" w:cs="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B1" w:rsidRDefault="001041B1" w:rsidP="00CB6637">
    <w:pPr>
      <w:pStyle w:val="Header"/>
      <w:jc w:val="right"/>
    </w:pPr>
    <w:r w:rsidRPr="0021104B">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7" type="#_x0000_t75" alt="http://socgeo.ruhosting.nl/html/images/Erasmus.gif" style="width:48pt;height:21.75pt;visibility:visible">
          <v:imagedata r:id="rId1" o:title=""/>
        </v:shape>
      </w:pict>
    </w:r>
  </w:p>
  <w:p w:rsidR="001041B1" w:rsidRDefault="001041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1B1" w:rsidRDefault="001041B1">
    <w:pPr>
      <w:pStyle w:val="Header"/>
    </w:pPr>
  </w:p>
  <w:p w:rsidR="001041B1" w:rsidRDefault="001041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 o:bullet="t">
        <v:imagedata r:id="rId1" o:title="" chromakey="white"/>
      </v:shape>
    </w:pict>
  </w:numPicBullet>
  <w:abstractNum w:abstractNumId="0">
    <w:nsid w:val="01E60105"/>
    <w:multiLevelType w:val="multilevel"/>
    <w:tmpl w:val="EBDE6CD2"/>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nsid w:val="02B15D6D"/>
    <w:multiLevelType w:val="hybridMultilevel"/>
    <w:tmpl w:val="5F6644F6"/>
    <w:lvl w:ilvl="0" w:tplc="298A04C0">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05791CFD"/>
    <w:multiLevelType w:val="multilevel"/>
    <w:tmpl w:val="BABC6B24"/>
    <w:lvl w:ilvl="0">
      <w:start w:val="3"/>
      <w:numFmt w:val="decimal"/>
      <w:lvlText w:val="%1."/>
      <w:lvlJc w:val="left"/>
      <w:pPr>
        <w:ind w:left="540" w:hanging="540"/>
      </w:pPr>
      <w:rPr>
        <w:rFonts w:cs="Times New Roman" w:hint="default"/>
        <w:color w:val="4F81BD"/>
      </w:rPr>
    </w:lvl>
    <w:lvl w:ilvl="1">
      <w:start w:val="1"/>
      <w:numFmt w:val="decimal"/>
      <w:lvlText w:val="%1.%2."/>
      <w:lvlJc w:val="left"/>
      <w:pPr>
        <w:ind w:left="540" w:hanging="540"/>
      </w:pPr>
      <w:rPr>
        <w:rFonts w:cs="Times New Roman" w:hint="default"/>
        <w:color w:val="4F81BD"/>
      </w:rPr>
    </w:lvl>
    <w:lvl w:ilvl="2">
      <w:start w:val="1"/>
      <w:numFmt w:val="decimal"/>
      <w:lvlText w:val="%1.%2.%3."/>
      <w:lvlJc w:val="left"/>
      <w:pPr>
        <w:ind w:left="720" w:hanging="720"/>
      </w:pPr>
      <w:rPr>
        <w:rFonts w:cs="Times New Roman" w:hint="default"/>
        <w:color w:val="4F81BD"/>
      </w:rPr>
    </w:lvl>
    <w:lvl w:ilvl="3">
      <w:start w:val="1"/>
      <w:numFmt w:val="decimal"/>
      <w:lvlText w:val="%1.%2.%3.%4."/>
      <w:lvlJc w:val="left"/>
      <w:pPr>
        <w:ind w:left="720" w:hanging="720"/>
      </w:pPr>
      <w:rPr>
        <w:rFonts w:cs="Times New Roman" w:hint="default"/>
        <w:color w:val="4F81BD"/>
      </w:rPr>
    </w:lvl>
    <w:lvl w:ilvl="4">
      <w:start w:val="1"/>
      <w:numFmt w:val="decimal"/>
      <w:lvlText w:val="%1.%2.%3.%4.%5."/>
      <w:lvlJc w:val="left"/>
      <w:pPr>
        <w:ind w:left="1080" w:hanging="1080"/>
      </w:pPr>
      <w:rPr>
        <w:rFonts w:cs="Times New Roman" w:hint="default"/>
        <w:color w:val="4F81BD"/>
      </w:rPr>
    </w:lvl>
    <w:lvl w:ilvl="5">
      <w:start w:val="1"/>
      <w:numFmt w:val="decimal"/>
      <w:lvlText w:val="%1.%2.%3.%4.%5.%6."/>
      <w:lvlJc w:val="left"/>
      <w:pPr>
        <w:ind w:left="1080" w:hanging="1080"/>
      </w:pPr>
      <w:rPr>
        <w:rFonts w:cs="Times New Roman" w:hint="default"/>
        <w:color w:val="4F81BD"/>
      </w:rPr>
    </w:lvl>
    <w:lvl w:ilvl="6">
      <w:start w:val="1"/>
      <w:numFmt w:val="decimal"/>
      <w:lvlText w:val="%1.%2.%3.%4.%5.%6.%7."/>
      <w:lvlJc w:val="left"/>
      <w:pPr>
        <w:ind w:left="1440" w:hanging="1440"/>
      </w:pPr>
      <w:rPr>
        <w:rFonts w:cs="Times New Roman" w:hint="default"/>
        <w:color w:val="4F81BD"/>
      </w:rPr>
    </w:lvl>
    <w:lvl w:ilvl="7">
      <w:start w:val="1"/>
      <w:numFmt w:val="decimal"/>
      <w:lvlText w:val="%1.%2.%3.%4.%5.%6.%7.%8."/>
      <w:lvlJc w:val="left"/>
      <w:pPr>
        <w:ind w:left="1440" w:hanging="1440"/>
      </w:pPr>
      <w:rPr>
        <w:rFonts w:cs="Times New Roman" w:hint="default"/>
        <w:color w:val="4F81BD"/>
      </w:rPr>
    </w:lvl>
    <w:lvl w:ilvl="8">
      <w:start w:val="1"/>
      <w:numFmt w:val="decimal"/>
      <w:lvlText w:val="%1.%2.%3.%4.%5.%6.%7.%8.%9."/>
      <w:lvlJc w:val="left"/>
      <w:pPr>
        <w:ind w:left="1800" w:hanging="1800"/>
      </w:pPr>
      <w:rPr>
        <w:rFonts w:cs="Times New Roman" w:hint="default"/>
        <w:color w:val="4F81BD"/>
      </w:rPr>
    </w:lvl>
  </w:abstractNum>
  <w:abstractNum w:abstractNumId="3">
    <w:nsid w:val="09D319F4"/>
    <w:multiLevelType w:val="multilevel"/>
    <w:tmpl w:val="6F5E022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548AB7"/>
      </w:rPr>
    </w:lvl>
    <w:lvl w:ilvl="2">
      <w:start w:val="1"/>
      <w:numFmt w:val="decimal"/>
      <w:lvlText w:val="%1.%2.%3."/>
      <w:lvlJc w:val="left"/>
      <w:pPr>
        <w:ind w:left="720" w:hanging="720"/>
      </w:pPr>
      <w:rPr>
        <w:rFonts w:cs="Times New Roman" w:hint="default"/>
        <w:color w:val="548AB7"/>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B1B3B23"/>
    <w:multiLevelType w:val="hybridMultilevel"/>
    <w:tmpl w:val="5F6644F6"/>
    <w:lvl w:ilvl="0" w:tplc="298A04C0">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0D175641"/>
    <w:multiLevelType w:val="multilevel"/>
    <w:tmpl w:val="CE0E63D4"/>
    <w:lvl w:ilvl="0">
      <w:start w:val="1"/>
      <w:numFmt w:val="decimal"/>
      <w:lvlText w:val="%1."/>
      <w:lvlJc w:val="left"/>
      <w:pPr>
        <w:ind w:left="720" w:hanging="360"/>
      </w:pPr>
      <w:rPr>
        <w:rFonts w:cs="Times New Roman" w:hint="default"/>
        <w:b/>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color w:val="548AB7"/>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4E13062"/>
    <w:multiLevelType w:val="hybridMultilevel"/>
    <w:tmpl w:val="67409D58"/>
    <w:lvl w:ilvl="0" w:tplc="0413000F">
      <w:start w:val="1"/>
      <w:numFmt w:val="decimal"/>
      <w:lvlText w:val="%1."/>
      <w:lvlJc w:val="left"/>
      <w:pPr>
        <w:ind w:left="720" w:hanging="360"/>
      </w:pPr>
      <w:rPr>
        <w:rFonts w:ascii="Times New Roman" w:hAnsi="Times New Roman" w:cs="Times New Roman"/>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7">
    <w:nsid w:val="17833C40"/>
    <w:multiLevelType w:val="hybridMultilevel"/>
    <w:tmpl w:val="6784B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CD259EC"/>
    <w:multiLevelType w:val="multilevel"/>
    <w:tmpl w:val="DDB4D69E"/>
    <w:lvl w:ilvl="0">
      <w:start w:val="3"/>
      <w:numFmt w:val="decimal"/>
      <w:lvlText w:val="%1."/>
      <w:lvlJc w:val="left"/>
      <w:pPr>
        <w:ind w:left="540" w:hanging="540"/>
      </w:pPr>
      <w:rPr>
        <w:rFonts w:cs="Times New Roman" w:hint="default"/>
        <w:color w:val="4F81BD"/>
      </w:rPr>
    </w:lvl>
    <w:lvl w:ilvl="1">
      <w:start w:val="1"/>
      <w:numFmt w:val="decimal"/>
      <w:lvlText w:val="%1.%2."/>
      <w:lvlJc w:val="left"/>
      <w:pPr>
        <w:ind w:left="540" w:hanging="540"/>
      </w:pPr>
      <w:rPr>
        <w:rFonts w:cs="Times New Roman" w:hint="default"/>
        <w:color w:val="4F81BD"/>
      </w:rPr>
    </w:lvl>
    <w:lvl w:ilvl="2">
      <w:start w:val="1"/>
      <w:numFmt w:val="decimal"/>
      <w:lvlText w:val="%1.%2.%3."/>
      <w:lvlJc w:val="left"/>
      <w:pPr>
        <w:ind w:left="720" w:hanging="720"/>
      </w:pPr>
      <w:rPr>
        <w:rFonts w:cs="Times New Roman" w:hint="default"/>
        <w:color w:val="4F81BD"/>
      </w:rPr>
    </w:lvl>
    <w:lvl w:ilvl="3">
      <w:start w:val="1"/>
      <w:numFmt w:val="decimal"/>
      <w:lvlText w:val="%1.%2.%3.%4."/>
      <w:lvlJc w:val="left"/>
      <w:pPr>
        <w:ind w:left="720" w:hanging="720"/>
      </w:pPr>
      <w:rPr>
        <w:rFonts w:cs="Times New Roman" w:hint="default"/>
        <w:color w:val="4F81BD"/>
      </w:rPr>
    </w:lvl>
    <w:lvl w:ilvl="4">
      <w:start w:val="1"/>
      <w:numFmt w:val="decimal"/>
      <w:lvlText w:val="%1.%2.%3.%4.%5."/>
      <w:lvlJc w:val="left"/>
      <w:pPr>
        <w:ind w:left="1080" w:hanging="1080"/>
      </w:pPr>
      <w:rPr>
        <w:rFonts w:cs="Times New Roman" w:hint="default"/>
        <w:color w:val="4F81BD"/>
      </w:rPr>
    </w:lvl>
    <w:lvl w:ilvl="5">
      <w:start w:val="1"/>
      <w:numFmt w:val="decimal"/>
      <w:lvlText w:val="%1.%2.%3.%4.%5.%6."/>
      <w:lvlJc w:val="left"/>
      <w:pPr>
        <w:ind w:left="1080" w:hanging="1080"/>
      </w:pPr>
      <w:rPr>
        <w:rFonts w:cs="Times New Roman" w:hint="default"/>
        <w:color w:val="4F81BD"/>
      </w:rPr>
    </w:lvl>
    <w:lvl w:ilvl="6">
      <w:start w:val="1"/>
      <w:numFmt w:val="decimal"/>
      <w:lvlText w:val="%1.%2.%3.%4.%5.%6.%7."/>
      <w:lvlJc w:val="left"/>
      <w:pPr>
        <w:ind w:left="1440" w:hanging="1440"/>
      </w:pPr>
      <w:rPr>
        <w:rFonts w:cs="Times New Roman" w:hint="default"/>
        <w:color w:val="4F81BD"/>
      </w:rPr>
    </w:lvl>
    <w:lvl w:ilvl="7">
      <w:start w:val="1"/>
      <w:numFmt w:val="decimal"/>
      <w:lvlText w:val="%1.%2.%3.%4.%5.%6.%7.%8."/>
      <w:lvlJc w:val="left"/>
      <w:pPr>
        <w:ind w:left="1440" w:hanging="1440"/>
      </w:pPr>
      <w:rPr>
        <w:rFonts w:cs="Times New Roman" w:hint="default"/>
        <w:color w:val="4F81BD"/>
      </w:rPr>
    </w:lvl>
    <w:lvl w:ilvl="8">
      <w:start w:val="1"/>
      <w:numFmt w:val="decimal"/>
      <w:lvlText w:val="%1.%2.%3.%4.%5.%6.%7.%8.%9."/>
      <w:lvlJc w:val="left"/>
      <w:pPr>
        <w:ind w:left="1800" w:hanging="1800"/>
      </w:pPr>
      <w:rPr>
        <w:rFonts w:cs="Times New Roman" w:hint="default"/>
        <w:color w:val="4F81BD"/>
      </w:rPr>
    </w:lvl>
  </w:abstractNum>
  <w:abstractNum w:abstractNumId="9">
    <w:nsid w:val="1DF9151D"/>
    <w:multiLevelType w:val="multilevel"/>
    <w:tmpl w:val="031C86EE"/>
    <w:lvl w:ilvl="0">
      <w:start w:val="3"/>
      <w:numFmt w:val="decimal"/>
      <w:lvlText w:val="%1."/>
      <w:lvlJc w:val="left"/>
      <w:pPr>
        <w:ind w:left="540" w:hanging="540"/>
      </w:pPr>
      <w:rPr>
        <w:rFonts w:cs="Times New Roman" w:hint="default"/>
        <w:color w:val="4F81BD"/>
      </w:rPr>
    </w:lvl>
    <w:lvl w:ilvl="1">
      <w:start w:val="1"/>
      <w:numFmt w:val="decimal"/>
      <w:lvlText w:val="%1.%2."/>
      <w:lvlJc w:val="left"/>
      <w:pPr>
        <w:ind w:left="540" w:hanging="540"/>
      </w:pPr>
      <w:rPr>
        <w:rFonts w:cs="Times New Roman" w:hint="default"/>
        <w:color w:val="4F81BD"/>
      </w:rPr>
    </w:lvl>
    <w:lvl w:ilvl="2">
      <w:start w:val="1"/>
      <w:numFmt w:val="decimal"/>
      <w:lvlText w:val="%1.%2.%3."/>
      <w:lvlJc w:val="left"/>
      <w:pPr>
        <w:ind w:left="720" w:hanging="720"/>
      </w:pPr>
      <w:rPr>
        <w:rFonts w:cs="Times New Roman" w:hint="default"/>
        <w:color w:val="4F81BD"/>
      </w:rPr>
    </w:lvl>
    <w:lvl w:ilvl="3">
      <w:start w:val="1"/>
      <w:numFmt w:val="decimal"/>
      <w:lvlText w:val="%1.%2.%3.%4."/>
      <w:lvlJc w:val="left"/>
      <w:pPr>
        <w:ind w:left="720" w:hanging="720"/>
      </w:pPr>
      <w:rPr>
        <w:rFonts w:cs="Times New Roman" w:hint="default"/>
        <w:color w:val="4F81BD"/>
      </w:rPr>
    </w:lvl>
    <w:lvl w:ilvl="4">
      <w:start w:val="1"/>
      <w:numFmt w:val="decimal"/>
      <w:lvlText w:val="%1.%2.%3.%4.%5."/>
      <w:lvlJc w:val="left"/>
      <w:pPr>
        <w:ind w:left="1080" w:hanging="1080"/>
      </w:pPr>
      <w:rPr>
        <w:rFonts w:cs="Times New Roman" w:hint="default"/>
        <w:color w:val="4F81BD"/>
      </w:rPr>
    </w:lvl>
    <w:lvl w:ilvl="5">
      <w:start w:val="1"/>
      <w:numFmt w:val="decimal"/>
      <w:lvlText w:val="%1.%2.%3.%4.%5.%6."/>
      <w:lvlJc w:val="left"/>
      <w:pPr>
        <w:ind w:left="1080" w:hanging="1080"/>
      </w:pPr>
      <w:rPr>
        <w:rFonts w:cs="Times New Roman" w:hint="default"/>
        <w:color w:val="4F81BD"/>
      </w:rPr>
    </w:lvl>
    <w:lvl w:ilvl="6">
      <w:start w:val="1"/>
      <w:numFmt w:val="decimal"/>
      <w:lvlText w:val="%1.%2.%3.%4.%5.%6.%7."/>
      <w:lvlJc w:val="left"/>
      <w:pPr>
        <w:ind w:left="1440" w:hanging="1440"/>
      </w:pPr>
      <w:rPr>
        <w:rFonts w:cs="Times New Roman" w:hint="default"/>
        <w:color w:val="4F81BD"/>
      </w:rPr>
    </w:lvl>
    <w:lvl w:ilvl="7">
      <w:start w:val="1"/>
      <w:numFmt w:val="decimal"/>
      <w:lvlText w:val="%1.%2.%3.%4.%5.%6.%7.%8."/>
      <w:lvlJc w:val="left"/>
      <w:pPr>
        <w:ind w:left="1440" w:hanging="1440"/>
      </w:pPr>
      <w:rPr>
        <w:rFonts w:cs="Times New Roman" w:hint="default"/>
        <w:color w:val="4F81BD"/>
      </w:rPr>
    </w:lvl>
    <w:lvl w:ilvl="8">
      <w:start w:val="1"/>
      <w:numFmt w:val="decimal"/>
      <w:lvlText w:val="%1.%2.%3.%4.%5.%6.%7.%8.%9."/>
      <w:lvlJc w:val="left"/>
      <w:pPr>
        <w:ind w:left="1800" w:hanging="1800"/>
      </w:pPr>
      <w:rPr>
        <w:rFonts w:cs="Times New Roman" w:hint="default"/>
        <w:color w:val="4F81BD"/>
      </w:rPr>
    </w:lvl>
  </w:abstractNum>
  <w:abstractNum w:abstractNumId="10">
    <w:nsid w:val="1E166B71"/>
    <w:multiLevelType w:val="multilevel"/>
    <w:tmpl w:val="1DD4D96A"/>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1">
    <w:nsid w:val="23216CB4"/>
    <w:multiLevelType w:val="multilevel"/>
    <w:tmpl w:val="01DEFDD0"/>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2">
    <w:nsid w:val="233E35C0"/>
    <w:multiLevelType w:val="multilevel"/>
    <w:tmpl w:val="B51688A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2E326C55"/>
    <w:multiLevelType w:val="hybridMultilevel"/>
    <w:tmpl w:val="9F3ADEB2"/>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2EBC306E"/>
    <w:multiLevelType w:val="hybridMultilevel"/>
    <w:tmpl w:val="9F3ADEB2"/>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3148453A"/>
    <w:multiLevelType w:val="multilevel"/>
    <w:tmpl w:val="0DA26530"/>
    <w:lvl w:ilvl="0">
      <w:start w:val="3"/>
      <w:numFmt w:val="decimal"/>
      <w:lvlText w:val="%1."/>
      <w:lvlJc w:val="left"/>
      <w:pPr>
        <w:ind w:left="540" w:hanging="540"/>
      </w:pPr>
      <w:rPr>
        <w:rFonts w:cs="Times New Roman" w:hint="default"/>
        <w:color w:val="4F81BD"/>
      </w:rPr>
    </w:lvl>
    <w:lvl w:ilvl="1">
      <w:start w:val="1"/>
      <w:numFmt w:val="decimal"/>
      <w:lvlText w:val="%1.%2."/>
      <w:lvlJc w:val="left"/>
      <w:pPr>
        <w:ind w:left="540" w:hanging="540"/>
      </w:pPr>
      <w:rPr>
        <w:rFonts w:cs="Times New Roman" w:hint="default"/>
        <w:color w:val="4F81BD"/>
      </w:rPr>
    </w:lvl>
    <w:lvl w:ilvl="2">
      <w:start w:val="1"/>
      <w:numFmt w:val="decimal"/>
      <w:lvlText w:val="%1.%2.%3."/>
      <w:lvlJc w:val="left"/>
      <w:pPr>
        <w:ind w:left="720" w:hanging="720"/>
      </w:pPr>
      <w:rPr>
        <w:rFonts w:cs="Times New Roman" w:hint="default"/>
        <w:color w:val="4F81BD"/>
      </w:rPr>
    </w:lvl>
    <w:lvl w:ilvl="3">
      <w:start w:val="1"/>
      <w:numFmt w:val="decimal"/>
      <w:lvlText w:val="%1.%2.%3.%4."/>
      <w:lvlJc w:val="left"/>
      <w:pPr>
        <w:ind w:left="720" w:hanging="720"/>
      </w:pPr>
      <w:rPr>
        <w:rFonts w:cs="Times New Roman" w:hint="default"/>
        <w:color w:val="4F81BD"/>
      </w:rPr>
    </w:lvl>
    <w:lvl w:ilvl="4">
      <w:start w:val="1"/>
      <w:numFmt w:val="decimal"/>
      <w:lvlText w:val="%1.%2.%3.%4.%5."/>
      <w:lvlJc w:val="left"/>
      <w:pPr>
        <w:ind w:left="1080" w:hanging="1080"/>
      </w:pPr>
      <w:rPr>
        <w:rFonts w:cs="Times New Roman" w:hint="default"/>
        <w:color w:val="4F81BD"/>
      </w:rPr>
    </w:lvl>
    <w:lvl w:ilvl="5">
      <w:start w:val="1"/>
      <w:numFmt w:val="decimal"/>
      <w:lvlText w:val="%1.%2.%3.%4.%5.%6."/>
      <w:lvlJc w:val="left"/>
      <w:pPr>
        <w:ind w:left="1080" w:hanging="1080"/>
      </w:pPr>
      <w:rPr>
        <w:rFonts w:cs="Times New Roman" w:hint="default"/>
        <w:color w:val="4F81BD"/>
      </w:rPr>
    </w:lvl>
    <w:lvl w:ilvl="6">
      <w:start w:val="1"/>
      <w:numFmt w:val="decimal"/>
      <w:lvlText w:val="%1.%2.%3.%4.%5.%6.%7."/>
      <w:lvlJc w:val="left"/>
      <w:pPr>
        <w:ind w:left="1440" w:hanging="1440"/>
      </w:pPr>
      <w:rPr>
        <w:rFonts w:cs="Times New Roman" w:hint="default"/>
        <w:color w:val="4F81BD"/>
      </w:rPr>
    </w:lvl>
    <w:lvl w:ilvl="7">
      <w:start w:val="1"/>
      <w:numFmt w:val="decimal"/>
      <w:lvlText w:val="%1.%2.%3.%4.%5.%6.%7.%8."/>
      <w:lvlJc w:val="left"/>
      <w:pPr>
        <w:ind w:left="1440" w:hanging="1440"/>
      </w:pPr>
      <w:rPr>
        <w:rFonts w:cs="Times New Roman" w:hint="default"/>
        <w:color w:val="4F81BD"/>
      </w:rPr>
    </w:lvl>
    <w:lvl w:ilvl="8">
      <w:start w:val="1"/>
      <w:numFmt w:val="decimal"/>
      <w:lvlText w:val="%1.%2.%3.%4.%5.%6.%7.%8.%9."/>
      <w:lvlJc w:val="left"/>
      <w:pPr>
        <w:ind w:left="1800" w:hanging="1800"/>
      </w:pPr>
      <w:rPr>
        <w:rFonts w:cs="Times New Roman" w:hint="default"/>
        <w:color w:val="4F81BD"/>
      </w:rPr>
    </w:lvl>
  </w:abstractNum>
  <w:abstractNum w:abstractNumId="16">
    <w:nsid w:val="36343400"/>
    <w:multiLevelType w:val="multilevel"/>
    <w:tmpl w:val="991AE4C8"/>
    <w:lvl w:ilvl="0">
      <w:start w:val="1"/>
      <w:numFmt w:val="decimal"/>
      <w:lvlText w:val="%1."/>
      <w:lvlJc w:val="left"/>
      <w:pPr>
        <w:ind w:left="720" w:hanging="360"/>
      </w:pPr>
      <w:rPr>
        <w:rFonts w:cs="Times New Roman" w:hint="default"/>
        <w:b/>
      </w:rPr>
    </w:lvl>
    <w:lvl w:ilvl="1">
      <w:start w:val="1"/>
      <w:numFmt w:val="decimal"/>
      <w:isLgl/>
      <w:lvlText w:val="%1.%2."/>
      <w:lvlJc w:val="left"/>
      <w:pPr>
        <w:ind w:left="900" w:hanging="540"/>
      </w:pPr>
      <w:rPr>
        <w:rFonts w:cs="Times New Roman" w:hint="default"/>
      </w:rPr>
    </w:lvl>
    <w:lvl w:ilvl="2">
      <w:start w:val="1"/>
      <w:numFmt w:val="decimal"/>
      <w:lvlText w:val="%3."/>
      <w:lvlJc w:val="left"/>
      <w:pPr>
        <w:ind w:left="1080" w:hanging="720"/>
      </w:pPr>
      <w:rPr>
        <w:rFonts w:cs="Times New Roman" w:hint="default"/>
        <w:color w:val="548AB7"/>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37046534"/>
    <w:multiLevelType w:val="multilevel"/>
    <w:tmpl w:val="902A0C6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8">
    <w:nsid w:val="395372D6"/>
    <w:multiLevelType w:val="multilevel"/>
    <w:tmpl w:val="86CCE41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E870C51"/>
    <w:multiLevelType w:val="hybridMultilevel"/>
    <w:tmpl w:val="BDE80E5E"/>
    <w:lvl w:ilvl="0" w:tplc="298A04C0">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42AD3927"/>
    <w:multiLevelType w:val="hybridMultilevel"/>
    <w:tmpl w:val="9F3ADEB2"/>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nsid w:val="4B1C3B5B"/>
    <w:multiLevelType w:val="hybridMultilevel"/>
    <w:tmpl w:val="87CC14A6"/>
    <w:lvl w:ilvl="0" w:tplc="A210BDF4">
      <w:start w:val="1"/>
      <w:numFmt w:val="bullet"/>
      <w:lvlText w:val=""/>
      <w:lvlPicBulletId w:val="0"/>
      <w:lvlJc w:val="left"/>
      <w:pPr>
        <w:tabs>
          <w:tab w:val="num" w:pos="720"/>
        </w:tabs>
        <w:ind w:left="720" w:hanging="360"/>
      </w:pPr>
      <w:rPr>
        <w:rFonts w:ascii="Symbol" w:hAnsi="Symbol" w:hint="default"/>
      </w:rPr>
    </w:lvl>
    <w:lvl w:ilvl="1" w:tplc="C8FA946A" w:tentative="1">
      <w:start w:val="1"/>
      <w:numFmt w:val="bullet"/>
      <w:lvlText w:val=""/>
      <w:lvlJc w:val="left"/>
      <w:pPr>
        <w:tabs>
          <w:tab w:val="num" w:pos="1440"/>
        </w:tabs>
        <w:ind w:left="1440" w:hanging="360"/>
      </w:pPr>
      <w:rPr>
        <w:rFonts w:ascii="Symbol" w:hAnsi="Symbol" w:hint="default"/>
      </w:rPr>
    </w:lvl>
    <w:lvl w:ilvl="2" w:tplc="0BDEB41C" w:tentative="1">
      <w:start w:val="1"/>
      <w:numFmt w:val="bullet"/>
      <w:lvlText w:val=""/>
      <w:lvlJc w:val="left"/>
      <w:pPr>
        <w:tabs>
          <w:tab w:val="num" w:pos="2160"/>
        </w:tabs>
        <w:ind w:left="2160" w:hanging="360"/>
      </w:pPr>
      <w:rPr>
        <w:rFonts w:ascii="Symbol" w:hAnsi="Symbol" w:hint="default"/>
      </w:rPr>
    </w:lvl>
    <w:lvl w:ilvl="3" w:tplc="2C807E60" w:tentative="1">
      <w:start w:val="1"/>
      <w:numFmt w:val="bullet"/>
      <w:lvlText w:val=""/>
      <w:lvlJc w:val="left"/>
      <w:pPr>
        <w:tabs>
          <w:tab w:val="num" w:pos="2880"/>
        </w:tabs>
        <w:ind w:left="2880" w:hanging="360"/>
      </w:pPr>
      <w:rPr>
        <w:rFonts w:ascii="Symbol" w:hAnsi="Symbol" w:hint="default"/>
      </w:rPr>
    </w:lvl>
    <w:lvl w:ilvl="4" w:tplc="B4080ADE" w:tentative="1">
      <w:start w:val="1"/>
      <w:numFmt w:val="bullet"/>
      <w:lvlText w:val=""/>
      <w:lvlJc w:val="left"/>
      <w:pPr>
        <w:tabs>
          <w:tab w:val="num" w:pos="3600"/>
        </w:tabs>
        <w:ind w:left="3600" w:hanging="360"/>
      </w:pPr>
      <w:rPr>
        <w:rFonts w:ascii="Symbol" w:hAnsi="Symbol" w:hint="default"/>
      </w:rPr>
    </w:lvl>
    <w:lvl w:ilvl="5" w:tplc="348E7682" w:tentative="1">
      <w:start w:val="1"/>
      <w:numFmt w:val="bullet"/>
      <w:lvlText w:val=""/>
      <w:lvlJc w:val="left"/>
      <w:pPr>
        <w:tabs>
          <w:tab w:val="num" w:pos="4320"/>
        </w:tabs>
        <w:ind w:left="4320" w:hanging="360"/>
      </w:pPr>
      <w:rPr>
        <w:rFonts w:ascii="Symbol" w:hAnsi="Symbol" w:hint="default"/>
      </w:rPr>
    </w:lvl>
    <w:lvl w:ilvl="6" w:tplc="CBAE49BA" w:tentative="1">
      <w:start w:val="1"/>
      <w:numFmt w:val="bullet"/>
      <w:lvlText w:val=""/>
      <w:lvlJc w:val="left"/>
      <w:pPr>
        <w:tabs>
          <w:tab w:val="num" w:pos="5040"/>
        </w:tabs>
        <w:ind w:left="5040" w:hanging="360"/>
      </w:pPr>
      <w:rPr>
        <w:rFonts w:ascii="Symbol" w:hAnsi="Symbol" w:hint="default"/>
      </w:rPr>
    </w:lvl>
    <w:lvl w:ilvl="7" w:tplc="B3CAEEF4" w:tentative="1">
      <w:start w:val="1"/>
      <w:numFmt w:val="bullet"/>
      <w:lvlText w:val=""/>
      <w:lvlJc w:val="left"/>
      <w:pPr>
        <w:tabs>
          <w:tab w:val="num" w:pos="5760"/>
        </w:tabs>
        <w:ind w:left="5760" w:hanging="360"/>
      </w:pPr>
      <w:rPr>
        <w:rFonts w:ascii="Symbol" w:hAnsi="Symbol" w:hint="default"/>
      </w:rPr>
    </w:lvl>
    <w:lvl w:ilvl="8" w:tplc="A4225126" w:tentative="1">
      <w:start w:val="1"/>
      <w:numFmt w:val="bullet"/>
      <w:lvlText w:val=""/>
      <w:lvlJc w:val="left"/>
      <w:pPr>
        <w:tabs>
          <w:tab w:val="num" w:pos="6480"/>
        </w:tabs>
        <w:ind w:left="6480" w:hanging="360"/>
      </w:pPr>
      <w:rPr>
        <w:rFonts w:ascii="Symbol" w:hAnsi="Symbol" w:hint="default"/>
      </w:rPr>
    </w:lvl>
  </w:abstractNum>
  <w:abstractNum w:abstractNumId="22">
    <w:nsid w:val="50AD4581"/>
    <w:multiLevelType w:val="multilevel"/>
    <w:tmpl w:val="16E00EF4"/>
    <w:lvl w:ilvl="0">
      <w:start w:val="1"/>
      <w:numFmt w:val="decimal"/>
      <w:lvlText w:val="%1"/>
      <w:lvlJc w:val="left"/>
      <w:pPr>
        <w:ind w:left="900" w:hanging="360"/>
      </w:pPr>
      <w:rPr>
        <w:rFonts w:cs="Times New Roman" w:hint="default"/>
      </w:rPr>
    </w:lvl>
    <w:lvl w:ilvl="1">
      <w:start w:val="1"/>
      <w:numFmt w:val="decimal"/>
      <w:lvlText w:val="%2.1"/>
      <w:lvlJc w:val="left"/>
      <w:pPr>
        <w:ind w:left="926" w:hanging="360"/>
      </w:pPr>
      <w:rPr>
        <w:rFonts w:cs="Times New Roman" w:hint="default"/>
      </w:rPr>
    </w:lvl>
    <w:lvl w:ilvl="2">
      <w:start w:val="1"/>
      <w:numFmt w:val="decimal"/>
      <w:isLgl/>
      <w:lvlText w:val="%1.%2.%3."/>
      <w:lvlJc w:val="left"/>
      <w:pPr>
        <w:ind w:left="1312" w:hanging="720"/>
      </w:pPr>
      <w:rPr>
        <w:rFonts w:cs="Times New Roman" w:hint="default"/>
      </w:rPr>
    </w:lvl>
    <w:lvl w:ilvl="3">
      <w:start w:val="1"/>
      <w:numFmt w:val="decimal"/>
      <w:isLgl/>
      <w:lvlText w:val="%1.%2.%3.%4."/>
      <w:lvlJc w:val="left"/>
      <w:pPr>
        <w:ind w:left="1338" w:hanging="720"/>
      </w:pPr>
      <w:rPr>
        <w:rFonts w:cs="Times New Roman" w:hint="default"/>
      </w:rPr>
    </w:lvl>
    <w:lvl w:ilvl="4">
      <w:start w:val="1"/>
      <w:numFmt w:val="decimal"/>
      <w:isLgl/>
      <w:lvlText w:val="%1.%2.%3.%4.%5."/>
      <w:lvlJc w:val="left"/>
      <w:pPr>
        <w:ind w:left="1724" w:hanging="1080"/>
      </w:pPr>
      <w:rPr>
        <w:rFonts w:cs="Times New Roman" w:hint="default"/>
      </w:rPr>
    </w:lvl>
    <w:lvl w:ilvl="5">
      <w:start w:val="1"/>
      <w:numFmt w:val="decimal"/>
      <w:isLgl/>
      <w:lvlText w:val="%1.%2.%3.%4.%5.%6."/>
      <w:lvlJc w:val="left"/>
      <w:pPr>
        <w:ind w:left="1750" w:hanging="1080"/>
      </w:pPr>
      <w:rPr>
        <w:rFonts w:cs="Times New Roman" w:hint="default"/>
      </w:rPr>
    </w:lvl>
    <w:lvl w:ilvl="6">
      <w:start w:val="1"/>
      <w:numFmt w:val="decimal"/>
      <w:isLgl/>
      <w:lvlText w:val="%1.%2.%3.%4.%5.%6.%7."/>
      <w:lvlJc w:val="left"/>
      <w:pPr>
        <w:ind w:left="2136" w:hanging="1440"/>
      </w:pPr>
      <w:rPr>
        <w:rFonts w:cs="Times New Roman" w:hint="default"/>
      </w:rPr>
    </w:lvl>
    <w:lvl w:ilvl="7">
      <w:start w:val="1"/>
      <w:numFmt w:val="decimal"/>
      <w:isLgl/>
      <w:lvlText w:val="%1.%2.%3.%4.%5.%6.%7.%8."/>
      <w:lvlJc w:val="left"/>
      <w:pPr>
        <w:ind w:left="2162" w:hanging="1440"/>
      </w:pPr>
      <w:rPr>
        <w:rFonts w:cs="Times New Roman" w:hint="default"/>
      </w:rPr>
    </w:lvl>
    <w:lvl w:ilvl="8">
      <w:start w:val="1"/>
      <w:numFmt w:val="decimal"/>
      <w:isLgl/>
      <w:lvlText w:val="%1.%2.%3.%4.%5.%6.%7.%8.%9."/>
      <w:lvlJc w:val="left"/>
      <w:pPr>
        <w:ind w:left="2548" w:hanging="1800"/>
      </w:pPr>
      <w:rPr>
        <w:rFonts w:cs="Times New Roman" w:hint="default"/>
      </w:rPr>
    </w:lvl>
  </w:abstractNum>
  <w:abstractNum w:abstractNumId="23">
    <w:nsid w:val="57BA510F"/>
    <w:multiLevelType w:val="multilevel"/>
    <w:tmpl w:val="16E00EF4"/>
    <w:lvl w:ilvl="0">
      <w:start w:val="1"/>
      <w:numFmt w:val="decimal"/>
      <w:lvlText w:val="%1"/>
      <w:lvlJc w:val="left"/>
      <w:pPr>
        <w:ind w:left="900" w:hanging="360"/>
      </w:pPr>
      <w:rPr>
        <w:rFonts w:cs="Times New Roman" w:hint="default"/>
      </w:rPr>
    </w:lvl>
    <w:lvl w:ilvl="1">
      <w:start w:val="1"/>
      <w:numFmt w:val="decimal"/>
      <w:lvlText w:val="%2.1"/>
      <w:lvlJc w:val="left"/>
      <w:pPr>
        <w:ind w:left="926" w:hanging="360"/>
      </w:pPr>
      <w:rPr>
        <w:rFonts w:cs="Times New Roman" w:hint="default"/>
      </w:rPr>
    </w:lvl>
    <w:lvl w:ilvl="2">
      <w:start w:val="1"/>
      <w:numFmt w:val="decimal"/>
      <w:isLgl/>
      <w:lvlText w:val="%1.%2.%3."/>
      <w:lvlJc w:val="left"/>
      <w:pPr>
        <w:ind w:left="1312" w:hanging="720"/>
      </w:pPr>
      <w:rPr>
        <w:rFonts w:cs="Times New Roman" w:hint="default"/>
      </w:rPr>
    </w:lvl>
    <w:lvl w:ilvl="3">
      <w:start w:val="1"/>
      <w:numFmt w:val="decimal"/>
      <w:isLgl/>
      <w:lvlText w:val="%1.%2.%3.%4."/>
      <w:lvlJc w:val="left"/>
      <w:pPr>
        <w:ind w:left="1338" w:hanging="720"/>
      </w:pPr>
      <w:rPr>
        <w:rFonts w:cs="Times New Roman" w:hint="default"/>
      </w:rPr>
    </w:lvl>
    <w:lvl w:ilvl="4">
      <w:start w:val="1"/>
      <w:numFmt w:val="decimal"/>
      <w:isLgl/>
      <w:lvlText w:val="%1.%2.%3.%4.%5."/>
      <w:lvlJc w:val="left"/>
      <w:pPr>
        <w:ind w:left="1724" w:hanging="1080"/>
      </w:pPr>
      <w:rPr>
        <w:rFonts w:cs="Times New Roman" w:hint="default"/>
      </w:rPr>
    </w:lvl>
    <w:lvl w:ilvl="5">
      <w:start w:val="1"/>
      <w:numFmt w:val="decimal"/>
      <w:isLgl/>
      <w:lvlText w:val="%1.%2.%3.%4.%5.%6."/>
      <w:lvlJc w:val="left"/>
      <w:pPr>
        <w:ind w:left="1750" w:hanging="1080"/>
      </w:pPr>
      <w:rPr>
        <w:rFonts w:cs="Times New Roman" w:hint="default"/>
      </w:rPr>
    </w:lvl>
    <w:lvl w:ilvl="6">
      <w:start w:val="1"/>
      <w:numFmt w:val="decimal"/>
      <w:isLgl/>
      <w:lvlText w:val="%1.%2.%3.%4.%5.%6.%7."/>
      <w:lvlJc w:val="left"/>
      <w:pPr>
        <w:ind w:left="2136" w:hanging="1440"/>
      </w:pPr>
      <w:rPr>
        <w:rFonts w:cs="Times New Roman" w:hint="default"/>
      </w:rPr>
    </w:lvl>
    <w:lvl w:ilvl="7">
      <w:start w:val="1"/>
      <w:numFmt w:val="decimal"/>
      <w:isLgl/>
      <w:lvlText w:val="%1.%2.%3.%4.%5.%6.%7.%8."/>
      <w:lvlJc w:val="left"/>
      <w:pPr>
        <w:ind w:left="2162" w:hanging="1440"/>
      </w:pPr>
      <w:rPr>
        <w:rFonts w:cs="Times New Roman" w:hint="default"/>
      </w:rPr>
    </w:lvl>
    <w:lvl w:ilvl="8">
      <w:start w:val="1"/>
      <w:numFmt w:val="decimal"/>
      <w:isLgl/>
      <w:lvlText w:val="%1.%2.%3.%4.%5.%6.%7.%8.%9."/>
      <w:lvlJc w:val="left"/>
      <w:pPr>
        <w:ind w:left="2548" w:hanging="1800"/>
      </w:pPr>
      <w:rPr>
        <w:rFonts w:cs="Times New Roman" w:hint="default"/>
      </w:rPr>
    </w:lvl>
  </w:abstractNum>
  <w:abstractNum w:abstractNumId="24">
    <w:nsid w:val="5E135C07"/>
    <w:multiLevelType w:val="multilevel"/>
    <w:tmpl w:val="CC0468D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548AB7"/>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5F2E212A"/>
    <w:multiLevelType w:val="multilevel"/>
    <w:tmpl w:val="E1B6C144"/>
    <w:lvl w:ilvl="0">
      <w:start w:val="1"/>
      <w:numFmt w:val="decimal"/>
      <w:lvlText w:val="%1."/>
      <w:lvlJc w:val="left"/>
      <w:pPr>
        <w:ind w:left="502"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5F63267F"/>
    <w:multiLevelType w:val="multilevel"/>
    <w:tmpl w:val="4130600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62732B1"/>
    <w:multiLevelType w:val="hybridMultilevel"/>
    <w:tmpl w:val="817E470A"/>
    <w:lvl w:ilvl="0" w:tplc="04130001">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8">
    <w:nsid w:val="6B85209A"/>
    <w:multiLevelType w:val="multilevel"/>
    <w:tmpl w:val="E2FA52C4"/>
    <w:lvl w:ilvl="0">
      <w:start w:val="1"/>
      <w:numFmt w:val="decimal"/>
      <w:lvlText w:val="%1."/>
      <w:lvlJc w:val="left"/>
      <w:pPr>
        <w:ind w:left="720" w:hanging="360"/>
      </w:pPr>
      <w:rPr>
        <w:rFonts w:cs="Times New Roman" w:hint="default"/>
        <w:b/>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6DD839F2"/>
    <w:multiLevelType w:val="multilevel"/>
    <w:tmpl w:val="0413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7002496B"/>
    <w:multiLevelType w:val="multilevel"/>
    <w:tmpl w:val="C596AFBA"/>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78D8461A"/>
    <w:multiLevelType w:val="hybridMultilevel"/>
    <w:tmpl w:val="DAE04B26"/>
    <w:lvl w:ilvl="0" w:tplc="0413000F">
      <w:start w:val="1"/>
      <w:numFmt w:val="decimal"/>
      <w:lvlText w:val="%1."/>
      <w:lvlJc w:val="left"/>
      <w:pPr>
        <w:ind w:left="720" w:hanging="360"/>
      </w:pPr>
      <w:rPr>
        <w:rFonts w:ascii="Times New Roman" w:hAnsi="Times New Roman" w:cs="Times New Roman" w:hint="default"/>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32">
    <w:nsid w:val="7A2773F6"/>
    <w:multiLevelType w:val="hybridMultilevel"/>
    <w:tmpl w:val="95A6A928"/>
    <w:lvl w:ilvl="0" w:tplc="0413000F">
      <w:start w:val="4"/>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3">
    <w:nsid w:val="7B220DF5"/>
    <w:multiLevelType w:val="multilevel"/>
    <w:tmpl w:val="635A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414638"/>
    <w:multiLevelType w:val="multilevel"/>
    <w:tmpl w:val="24369B08"/>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1"/>
  </w:num>
  <w:num w:numId="2">
    <w:abstractNumId w:val="6"/>
  </w:num>
  <w:num w:numId="3">
    <w:abstractNumId w:val="27"/>
  </w:num>
  <w:num w:numId="4">
    <w:abstractNumId w:val="0"/>
  </w:num>
  <w:num w:numId="5">
    <w:abstractNumId w:val="7"/>
  </w:num>
  <w:num w:numId="6">
    <w:abstractNumId w:val="10"/>
  </w:num>
  <w:num w:numId="7">
    <w:abstractNumId w:val="17"/>
  </w:num>
  <w:num w:numId="8">
    <w:abstractNumId w:val="32"/>
  </w:num>
  <w:num w:numId="9">
    <w:abstractNumId w:val="21"/>
  </w:num>
  <w:num w:numId="10">
    <w:abstractNumId w:val="26"/>
  </w:num>
  <w:num w:numId="11">
    <w:abstractNumId w:val="1"/>
  </w:num>
  <w:num w:numId="12">
    <w:abstractNumId w:val="25"/>
  </w:num>
  <w:num w:numId="13">
    <w:abstractNumId w:val="30"/>
  </w:num>
  <w:num w:numId="14">
    <w:abstractNumId w:val="34"/>
  </w:num>
  <w:num w:numId="15">
    <w:abstractNumId w:val="33"/>
  </w:num>
  <w:num w:numId="16">
    <w:abstractNumId w:val="16"/>
  </w:num>
  <w:num w:numId="17">
    <w:abstractNumId w:val="28"/>
  </w:num>
  <w:num w:numId="18">
    <w:abstractNumId w:val="5"/>
  </w:num>
  <w:num w:numId="19">
    <w:abstractNumId w:val="15"/>
  </w:num>
  <w:num w:numId="20">
    <w:abstractNumId w:val="8"/>
  </w:num>
  <w:num w:numId="21">
    <w:abstractNumId w:val="2"/>
  </w:num>
  <w:num w:numId="22">
    <w:abstractNumId w:val="9"/>
  </w:num>
  <w:num w:numId="23">
    <w:abstractNumId w:val="3"/>
  </w:num>
  <w:num w:numId="24">
    <w:abstractNumId w:val="12"/>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num>
  <w:num w:numId="29">
    <w:abstractNumId w:val="22"/>
    <w:lvlOverride w:ilvl="0">
      <w:startOverride w:val="2"/>
    </w:lvlOverride>
    <w:lvlOverride w:ilvl="1">
      <w:startOverride w:val="12"/>
    </w:lvlOverride>
  </w:num>
  <w:num w:numId="30">
    <w:abstractNumId w:val="11"/>
  </w:num>
  <w:num w:numId="31">
    <w:abstractNumId w:val="24"/>
  </w:num>
  <w:num w:numId="32">
    <w:abstractNumId w:val="18"/>
  </w:num>
  <w:num w:numId="33">
    <w:abstractNumId w:val="29"/>
  </w:num>
  <w:num w:numId="34">
    <w:abstractNumId w:val="14"/>
  </w:num>
  <w:num w:numId="35">
    <w:abstractNumId w:val="13"/>
  </w:num>
  <w:num w:numId="36">
    <w:abstractNumId w:val="20"/>
  </w:num>
  <w:num w:numId="37">
    <w:abstractNumId w:val="19"/>
  </w:num>
  <w:num w:numId="38">
    <w:abstractNumId w:val="23"/>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5EF"/>
    <w:rsid w:val="000336D5"/>
    <w:rsid w:val="000602E5"/>
    <w:rsid w:val="0006376C"/>
    <w:rsid w:val="00085890"/>
    <w:rsid w:val="00087318"/>
    <w:rsid w:val="00097D64"/>
    <w:rsid w:val="000A3331"/>
    <w:rsid w:val="000B0B15"/>
    <w:rsid w:val="000C091A"/>
    <w:rsid w:val="000D31DD"/>
    <w:rsid w:val="000D6F43"/>
    <w:rsid w:val="000E4B8E"/>
    <w:rsid w:val="000F06BA"/>
    <w:rsid w:val="00102567"/>
    <w:rsid w:val="001041B1"/>
    <w:rsid w:val="00121194"/>
    <w:rsid w:val="00125173"/>
    <w:rsid w:val="0012665D"/>
    <w:rsid w:val="0013338A"/>
    <w:rsid w:val="001511B0"/>
    <w:rsid w:val="00153E06"/>
    <w:rsid w:val="0015792D"/>
    <w:rsid w:val="00160583"/>
    <w:rsid w:val="0016273C"/>
    <w:rsid w:val="00166AF6"/>
    <w:rsid w:val="00176DD0"/>
    <w:rsid w:val="0018535D"/>
    <w:rsid w:val="00194847"/>
    <w:rsid w:val="001B0056"/>
    <w:rsid w:val="001B2940"/>
    <w:rsid w:val="001B3B38"/>
    <w:rsid w:val="001B7503"/>
    <w:rsid w:val="001F0F3F"/>
    <w:rsid w:val="001F4895"/>
    <w:rsid w:val="0021104B"/>
    <w:rsid w:val="002115C7"/>
    <w:rsid w:val="00212423"/>
    <w:rsid w:val="00243DA5"/>
    <w:rsid w:val="0026486C"/>
    <w:rsid w:val="00273A45"/>
    <w:rsid w:val="00273BBC"/>
    <w:rsid w:val="002764D5"/>
    <w:rsid w:val="002907E6"/>
    <w:rsid w:val="0029597A"/>
    <w:rsid w:val="002B4108"/>
    <w:rsid w:val="002C3160"/>
    <w:rsid w:val="002C3541"/>
    <w:rsid w:val="002D141F"/>
    <w:rsid w:val="002D1E78"/>
    <w:rsid w:val="002D54B7"/>
    <w:rsid w:val="002E0624"/>
    <w:rsid w:val="003032AB"/>
    <w:rsid w:val="00306542"/>
    <w:rsid w:val="00316526"/>
    <w:rsid w:val="00325E3E"/>
    <w:rsid w:val="003330B9"/>
    <w:rsid w:val="00334107"/>
    <w:rsid w:val="0034310A"/>
    <w:rsid w:val="0034442A"/>
    <w:rsid w:val="00373C8F"/>
    <w:rsid w:val="0037701C"/>
    <w:rsid w:val="00386B69"/>
    <w:rsid w:val="003B138A"/>
    <w:rsid w:val="003C724D"/>
    <w:rsid w:val="003D2BC0"/>
    <w:rsid w:val="004269BB"/>
    <w:rsid w:val="00452292"/>
    <w:rsid w:val="004610D6"/>
    <w:rsid w:val="00464EB7"/>
    <w:rsid w:val="00481F41"/>
    <w:rsid w:val="004866D8"/>
    <w:rsid w:val="00491C76"/>
    <w:rsid w:val="004971B9"/>
    <w:rsid w:val="00497922"/>
    <w:rsid w:val="004B1595"/>
    <w:rsid w:val="004C6671"/>
    <w:rsid w:val="004F460B"/>
    <w:rsid w:val="00520325"/>
    <w:rsid w:val="0053571B"/>
    <w:rsid w:val="00537869"/>
    <w:rsid w:val="00557FA3"/>
    <w:rsid w:val="00572226"/>
    <w:rsid w:val="005A1F24"/>
    <w:rsid w:val="005A6ED8"/>
    <w:rsid w:val="005B04E1"/>
    <w:rsid w:val="005C080C"/>
    <w:rsid w:val="005D33F8"/>
    <w:rsid w:val="005D530D"/>
    <w:rsid w:val="00606078"/>
    <w:rsid w:val="00624B32"/>
    <w:rsid w:val="00627012"/>
    <w:rsid w:val="00636EA4"/>
    <w:rsid w:val="00640E34"/>
    <w:rsid w:val="006419C6"/>
    <w:rsid w:val="006467EE"/>
    <w:rsid w:val="006472FD"/>
    <w:rsid w:val="00660057"/>
    <w:rsid w:val="00697B07"/>
    <w:rsid w:val="006A4341"/>
    <w:rsid w:val="006A583F"/>
    <w:rsid w:val="006B1359"/>
    <w:rsid w:val="006B18D6"/>
    <w:rsid w:val="006C1CD7"/>
    <w:rsid w:val="007108BC"/>
    <w:rsid w:val="0071182E"/>
    <w:rsid w:val="0072144D"/>
    <w:rsid w:val="0072281F"/>
    <w:rsid w:val="00734E15"/>
    <w:rsid w:val="00736AEA"/>
    <w:rsid w:val="0074566C"/>
    <w:rsid w:val="00762F1B"/>
    <w:rsid w:val="00775E10"/>
    <w:rsid w:val="007778BE"/>
    <w:rsid w:val="00777D33"/>
    <w:rsid w:val="0078014C"/>
    <w:rsid w:val="00780293"/>
    <w:rsid w:val="00790C23"/>
    <w:rsid w:val="00791CA7"/>
    <w:rsid w:val="007B2F2A"/>
    <w:rsid w:val="007B67B3"/>
    <w:rsid w:val="007D3ADC"/>
    <w:rsid w:val="007E68E7"/>
    <w:rsid w:val="008079FB"/>
    <w:rsid w:val="00822020"/>
    <w:rsid w:val="00843E6D"/>
    <w:rsid w:val="00851804"/>
    <w:rsid w:val="00862C33"/>
    <w:rsid w:val="008666E7"/>
    <w:rsid w:val="00880374"/>
    <w:rsid w:val="008B10D3"/>
    <w:rsid w:val="008B709F"/>
    <w:rsid w:val="008C70FF"/>
    <w:rsid w:val="008E2A5D"/>
    <w:rsid w:val="008F5DA3"/>
    <w:rsid w:val="008F769C"/>
    <w:rsid w:val="00900960"/>
    <w:rsid w:val="009103FC"/>
    <w:rsid w:val="009146BA"/>
    <w:rsid w:val="00935D4C"/>
    <w:rsid w:val="0096010E"/>
    <w:rsid w:val="0097537D"/>
    <w:rsid w:val="00980902"/>
    <w:rsid w:val="00987F95"/>
    <w:rsid w:val="009A3560"/>
    <w:rsid w:val="009A45E8"/>
    <w:rsid w:val="009C054D"/>
    <w:rsid w:val="009C20CF"/>
    <w:rsid w:val="009D022E"/>
    <w:rsid w:val="009D181D"/>
    <w:rsid w:val="009E5914"/>
    <w:rsid w:val="009F05F4"/>
    <w:rsid w:val="009F6736"/>
    <w:rsid w:val="00A03AD7"/>
    <w:rsid w:val="00A067D9"/>
    <w:rsid w:val="00A16F13"/>
    <w:rsid w:val="00A1736B"/>
    <w:rsid w:val="00A375BE"/>
    <w:rsid w:val="00A53810"/>
    <w:rsid w:val="00A54CBC"/>
    <w:rsid w:val="00A55100"/>
    <w:rsid w:val="00A7094C"/>
    <w:rsid w:val="00A715B1"/>
    <w:rsid w:val="00A819C0"/>
    <w:rsid w:val="00A83951"/>
    <w:rsid w:val="00A86229"/>
    <w:rsid w:val="00AA2DD7"/>
    <w:rsid w:val="00AA4A13"/>
    <w:rsid w:val="00AB14A4"/>
    <w:rsid w:val="00AB25AB"/>
    <w:rsid w:val="00AD0C37"/>
    <w:rsid w:val="00AD313A"/>
    <w:rsid w:val="00AE065A"/>
    <w:rsid w:val="00AE533D"/>
    <w:rsid w:val="00AE7630"/>
    <w:rsid w:val="00AF3DF7"/>
    <w:rsid w:val="00B10805"/>
    <w:rsid w:val="00B20B7D"/>
    <w:rsid w:val="00B22073"/>
    <w:rsid w:val="00B45688"/>
    <w:rsid w:val="00B469BD"/>
    <w:rsid w:val="00B46BDE"/>
    <w:rsid w:val="00B57D84"/>
    <w:rsid w:val="00B76A8C"/>
    <w:rsid w:val="00B76B43"/>
    <w:rsid w:val="00B805A9"/>
    <w:rsid w:val="00B81A4A"/>
    <w:rsid w:val="00B83F73"/>
    <w:rsid w:val="00B8668C"/>
    <w:rsid w:val="00B90DA7"/>
    <w:rsid w:val="00BA1446"/>
    <w:rsid w:val="00BA4178"/>
    <w:rsid w:val="00BD4A76"/>
    <w:rsid w:val="00BD5168"/>
    <w:rsid w:val="00BE219B"/>
    <w:rsid w:val="00BF07AB"/>
    <w:rsid w:val="00C1151B"/>
    <w:rsid w:val="00C11897"/>
    <w:rsid w:val="00C15182"/>
    <w:rsid w:val="00C2235B"/>
    <w:rsid w:val="00C300F1"/>
    <w:rsid w:val="00C37CF8"/>
    <w:rsid w:val="00C566EE"/>
    <w:rsid w:val="00C625EF"/>
    <w:rsid w:val="00C6411F"/>
    <w:rsid w:val="00C85EC5"/>
    <w:rsid w:val="00C91A9C"/>
    <w:rsid w:val="00CB3EF3"/>
    <w:rsid w:val="00CB6637"/>
    <w:rsid w:val="00CC34A6"/>
    <w:rsid w:val="00CC532E"/>
    <w:rsid w:val="00CD3294"/>
    <w:rsid w:val="00CE5643"/>
    <w:rsid w:val="00CF3B39"/>
    <w:rsid w:val="00D05873"/>
    <w:rsid w:val="00D26A21"/>
    <w:rsid w:val="00D63505"/>
    <w:rsid w:val="00D75391"/>
    <w:rsid w:val="00D8402E"/>
    <w:rsid w:val="00DA4E63"/>
    <w:rsid w:val="00DA76B3"/>
    <w:rsid w:val="00DB6172"/>
    <w:rsid w:val="00DC1E48"/>
    <w:rsid w:val="00DC327B"/>
    <w:rsid w:val="00DD0C3C"/>
    <w:rsid w:val="00DF227B"/>
    <w:rsid w:val="00E03AEB"/>
    <w:rsid w:val="00E07E83"/>
    <w:rsid w:val="00E11729"/>
    <w:rsid w:val="00E3542D"/>
    <w:rsid w:val="00E44863"/>
    <w:rsid w:val="00E66980"/>
    <w:rsid w:val="00E71433"/>
    <w:rsid w:val="00E72A67"/>
    <w:rsid w:val="00E770C2"/>
    <w:rsid w:val="00E77E23"/>
    <w:rsid w:val="00E858A2"/>
    <w:rsid w:val="00E867E8"/>
    <w:rsid w:val="00E9113E"/>
    <w:rsid w:val="00EA386C"/>
    <w:rsid w:val="00EC3BCF"/>
    <w:rsid w:val="00EE6F81"/>
    <w:rsid w:val="00EF6050"/>
    <w:rsid w:val="00F050CC"/>
    <w:rsid w:val="00F0791C"/>
    <w:rsid w:val="00F12D61"/>
    <w:rsid w:val="00F17E30"/>
    <w:rsid w:val="00F2211C"/>
    <w:rsid w:val="00F2402E"/>
    <w:rsid w:val="00F30F48"/>
    <w:rsid w:val="00F34907"/>
    <w:rsid w:val="00F64ABB"/>
    <w:rsid w:val="00F73303"/>
    <w:rsid w:val="00FB5FF5"/>
    <w:rsid w:val="00FC179C"/>
    <w:rsid w:val="00FC19A8"/>
    <w:rsid w:val="00FC1A5B"/>
    <w:rsid w:val="00FD18A8"/>
    <w:rsid w:val="00FE4724"/>
    <w:rsid w:val="00FF77A1"/>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semiHidden="0" w:uiPriority="0" w:unhideWhenUsed="0"/>
    <w:lsdException w:name="header" w:locked="0" w:semiHidden="0" w:uiPriority="0" w:unhideWhenUsed="0"/>
    <w:lsdException w:name="footer" w:locked="0" w:semiHidden="0" w:uiPriority="0" w:unhideWhenUsed="0"/>
    <w:lsdException w:name="caption" w:semiHidden="0" w:uiPriority="35" w:unhideWhenUsed="0" w:qFormat="1"/>
    <w:lsdException w:name="footnote reference" w:locked="0" w:semiHidden="0" w:uiPriority="0" w:unhideWhenUsed="0"/>
    <w:lsdException w:name="Title" w:semiHidden="0" w:uiPriority="10" w:unhideWhenUsed="0" w:qFormat="1"/>
    <w:lsdException w:name="Default Paragraph Font" w:locked="0" w:semiHidden="0" w:uiPriority="0" w:unhideWhenUsed="0"/>
    <w:lsdException w:name="Subtitle" w:semiHidden="0" w:uiPriority="11" w:unhideWhenUsed="0" w:qFormat="1"/>
    <w:lsdException w:name="Hyperlink" w:locked="0" w:semiHidden="0" w:uiPriority="0" w:unhideWhenUsed="0"/>
    <w:lsdException w:name="Strong" w:semiHidden="0" w:uiPriority="22" w:unhideWhenUsed="0" w:qFormat="1"/>
    <w:lsdException w:name="Emphasis" w:semiHidden="0" w:uiPriority="20" w:unhideWhenUsed="0" w:qFormat="1"/>
    <w:lsdException w:name="Balloon Text"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C532E"/>
    <w:pPr>
      <w:spacing w:after="200" w:line="276" w:lineRule="auto"/>
    </w:pPr>
    <w:rPr>
      <w:rFonts w:ascii="Cambria" w:hAnsi="Cambria" w:cs="Cambria"/>
    </w:rPr>
  </w:style>
  <w:style w:type="paragraph" w:styleId="Heading1">
    <w:name w:val="heading 1"/>
    <w:basedOn w:val="Normal"/>
    <w:next w:val="Normal"/>
    <w:link w:val="Heading1Char"/>
    <w:uiPriority w:val="99"/>
    <w:qFormat/>
    <w:rsid w:val="00CC532E"/>
    <w:pPr>
      <w:spacing w:before="480" w:after="0"/>
      <w:outlineLvl w:val="0"/>
    </w:pPr>
    <w:rPr>
      <w:smallCaps/>
      <w:spacing w:val="5"/>
      <w:sz w:val="36"/>
      <w:szCs w:val="36"/>
      <w:lang w:val="nl-NL" w:eastAsia="nl-NL"/>
    </w:rPr>
  </w:style>
  <w:style w:type="paragraph" w:styleId="Heading2">
    <w:name w:val="heading 2"/>
    <w:basedOn w:val="Normal"/>
    <w:next w:val="Normal"/>
    <w:link w:val="Heading2Char"/>
    <w:uiPriority w:val="99"/>
    <w:qFormat/>
    <w:rsid w:val="00CC532E"/>
    <w:pPr>
      <w:spacing w:before="200" w:after="0" w:line="271" w:lineRule="auto"/>
      <w:outlineLvl w:val="1"/>
    </w:pPr>
    <w:rPr>
      <w:smallCaps/>
      <w:sz w:val="28"/>
      <w:szCs w:val="28"/>
      <w:lang w:val="nl-NL" w:eastAsia="nl-NL"/>
    </w:rPr>
  </w:style>
  <w:style w:type="paragraph" w:styleId="Heading3">
    <w:name w:val="heading 3"/>
    <w:basedOn w:val="Normal"/>
    <w:next w:val="Normal"/>
    <w:link w:val="Heading3Char"/>
    <w:uiPriority w:val="99"/>
    <w:qFormat/>
    <w:rsid w:val="00CC532E"/>
    <w:pPr>
      <w:spacing w:before="200" w:after="0" w:line="271" w:lineRule="auto"/>
      <w:outlineLvl w:val="2"/>
    </w:pPr>
    <w:rPr>
      <w:i/>
      <w:iCs/>
      <w:smallCaps/>
      <w:spacing w:val="5"/>
      <w:sz w:val="26"/>
      <w:szCs w:val="26"/>
      <w:lang w:val="nl-NL" w:eastAsia="nl-NL"/>
    </w:rPr>
  </w:style>
  <w:style w:type="paragraph" w:styleId="Heading4">
    <w:name w:val="heading 4"/>
    <w:basedOn w:val="Normal"/>
    <w:next w:val="Normal"/>
    <w:link w:val="Heading4Char"/>
    <w:uiPriority w:val="99"/>
    <w:qFormat/>
    <w:rsid w:val="00CC532E"/>
    <w:pPr>
      <w:spacing w:after="0" w:line="271" w:lineRule="auto"/>
      <w:outlineLvl w:val="3"/>
    </w:pPr>
    <w:rPr>
      <w:b/>
      <w:bCs/>
      <w:spacing w:val="5"/>
      <w:sz w:val="24"/>
      <w:szCs w:val="24"/>
      <w:lang w:val="nl-NL" w:eastAsia="nl-NL"/>
    </w:rPr>
  </w:style>
  <w:style w:type="paragraph" w:styleId="Heading5">
    <w:name w:val="heading 5"/>
    <w:basedOn w:val="Normal"/>
    <w:next w:val="Normal"/>
    <w:link w:val="Heading5Char"/>
    <w:uiPriority w:val="99"/>
    <w:qFormat/>
    <w:rsid w:val="00CC532E"/>
    <w:pPr>
      <w:spacing w:after="0" w:line="271" w:lineRule="auto"/>
      <w:outlineLvl w:val="4"/>
    </w:pPr>
    <w:rPr>
      <w:i/>
      <w:iCs/>
      <w:sz w:val="24"/>
      <w:szCs w:val="24"/>
      <w:lang w:val="nl-NL" w:eastAsia="nl-NL"/>
    </w:rPr>
  </w:style>
  <w:style w:type="paragraph" w:styleId="Heading6">
    <w:name w:val="heading 6"/>
    <w:basedOn w:val="Normal"/>
    <w:next w:val="Normal"/>
    <w:link w:val="Heading6Char"/>
    <w:uiPriority w:val="99"/>
    <w:qFormat/>
    <w:rsid w:val="00CC532E"/>
    <w:pPr>
      <w:shd w:val="clear" w:color="auto" w:fill="FFFFFF"/>
      <w:spacing w:after="0" w:line="271" w:lineRule="auto"/>
      <w:outlineLvl w:val="5"/>
    </w:pPr>
    <w:rPr>
      <w:b/>
      <w:bCs/>
      <w:spacing w:val="5"/>
      <w:sz w:val="20"/>
      <w:szCs w:val="20"/>
      <w:lang w:val="nl-NL" w:eastAsia="nl-NL"/>
    </w:rPr>
  </w:style>
  <w:style w:type="paragraph" w:styleId="Heading7">
    <w:name w:val="heading 7"/>
    <w:basedOn w:val="Normal"/>
    <w:next w:val="Normal"/>
    <w:link w:val="Heading7Char"/>
    <w:uiPriority w:val="99"/>
    <w:qFormat/>
    <w:rsid w:val="00CC532E"/>
    <w:pPr>
      <w:spacing w:after="0"/>
      <w:outlineLvl w:val="6"/>
    </w:pPr>
    <w:rPr>
      <w:b/>
      <w:bCs/>
      <w:i/>
      <w:iCs/>
      <w:sz w:val="20"/>
      <w:szCs w:val="20"/>
      <w:lang w:val="nl-NL" w:eastAsia="nl-NL"/>
    </w:rPr>
  </w:style>
  <w:style w:type="paragraph" w:styleId="Heading8">
    <w:name w:val="heading 8"/>
    <w:basedOn w:val="Normal"/>
    <w:next w:val="Normal"/>
    <w:link w:val="Heading8Char"/>
    <w:uiPriority w:val="99"/>
    <w:qFormat/>
    <w:rsid w:val="00CC532E"/>
    <w:pPr>
      <w:spacing w:after="0"/>
      <w:outlineLvl w:val="7"/>
    </w:pPr>
    <w:rPr>
      <w:b/>
      <w:bCs/>
      <w:sz w:val="20"/>
      <w:szCs w:val="20"/>
      <w:lang w:val="nl-NL" w:eastAsia="nl-NL"/>
    </w:rPr>
  </w:style>
  <w:style w:type="paragraph" w:styleId="Heading9">
    <w:name w:val="heading 9"/>
    <w:basedOn w:val="Normal"/>
    <w:next w:val="Normal"/>
    <w:link w:val="Heading9Char"/>
    <w:uiPriority w:val="99"/>
    <w:qFormat/>
    <w:rsid w:val="00CC532E"/>
    <w:pPr>
      <w:spacing w:after="0" w:line="271" w:lineRule="auto"/>
      <w:outlineLvl w:val="8"/>
    </w:pPr>
    <w:rPr>
      <w:b/>
      <w:bCs/>
      <w:i/>
      <w:iCs/>
      <w:sz w:val="18"/>
      <w:szCs w:val="18"/>
      <w:lang w:val="nl-NL"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532E"/>
    <w:rPr>
      <w:rFonts w:ascii="Times New Roman" w:hAnsi="Times New Roman" w:cs="Times New Roman"/>
      <w:smallCaps/>
      <w:spacing w:val="5"/>
      <w:sz w:val="36"/>
      <w:szCs w:val="36"/>
    </w:rPr>
  </w:style>
  <w:style w:type="character" w:customStyle="1" w:styleId="Heading2Char">
    <w:name w:val="Heading 2 Char"/>
    <w:basedOn w:val="DefaultParagraphFont"/>
    <w:link w:val="Heading2"/>
    <w:uiPriority w:val="99"/>
    <w:locked/>
    <w:rsid w:val="00CC532E"/>
    <w:rPr>
      <w:rFonts w:ascii="Times New Roman" w:hAnsi="Times New Roman" w:cs="Times New Roman"/>
      <w:smallCaps/>
      <w:sz w:val="28"/>
      <w:szCs w:val="28"/>
    </w:rPr>
  </w:style>
  <w:style w:type="character" w:customStyle="1" w:styleId="Heading3Char">
    <w:name w:val="Heading 3 Char"/>
    <w:basedOn w:val="DefaultParagraphFont"/>
    <w:link w:val="Heading3"/>
    <w:uiPriority w:val="99"/>
    <w:locked/>
    <w:rsid w:val="00CC532E"/>
    <w:rPr>
      <w:rFonts w:ascii="Times New Roman" w:hAnsi="Times New Roman" w:cs="Times New Roman"/>
      <w:i/>
      <w:iCs/>
      <w:smallCaps/>
      <w:spacing w:val="5"/>
      <w:sz w:val="26"/>
      <w:szCs w:val="26"/>
    </w:rPr>
  </w:style>
  <w:style w:type="character" w:customStyle="1" w:styleId="Heading4Char">
    <w:name w:val="Heading 4 Char"/>
    <w:basedOn w:val="DefaultParagraphFont"/>
    <w:link w:val="Heading4"/>
    <w:uiPriority w:val="99"/>
    <w:locked/>
    <w:rsid w:val="00CC532E"/>
    <w:rPr>
      <w:rFonts w:ascii="Times New Roman" w:hAnsi="Times New Roman" w:cs="Times New Roman"/>
      <w:b/>
      <w:bCs/>
      <w:spacing w:val="5"/>
      <w:sz w:val="24"/>
      <w:szCs w:val="24"/>
    </w:rPr>
  </w:style>
  <w:style w:type="character" w:customStyle="1" w:styleId="Heading5Char">
    <w:name w:val="Heading 5 Char"/>
    <w:basedOn w:val="DefaultParagraphFont"/>
    <w:link w:val="Heading5"/>
    <w:uiPriority w:val="99"/>
    <w:locked/>
    <w:rsid w:val="00CC532E"/>
    <w:rPr>
      <w:rFonts w:ascii="Times New Roman" w:hAnsi="Times New Roman" w:cs="Times New Roman"/>
      <w:i/>
      <w:iCs/>
      <w:sz w:val="24"/>
      <w:szCs w:val="24"/>
    </w:rPr>
  </w:style>
  <w:style w:type="character" w:customStyle="1" w:styleId="Heading6Char">
    <w:name w:val="Heading 6 Char"/>
    <w:basedOn w:val="DefaultParagraphFont"/>
    <w:link w:val="Heading6"/>
    <w:uiPriority w:val="99"/>
    <w:locked/>
    <w:rsid w:val="00CC532E"/>
    <w:rPr>
      <w:rFonts w:ascii="Times New Roman" w:hAnsi="Times New Roman" w:cs="Times New Roman"/>
      <w:b/>
      <w:bCs/>
      <w:color w:val="auto"/>
      <w:spacing w:val="5"/>
      <w:shd w:val="clear" w:color="auto" w:fill="FFFFFF"/>
    </w:rPr>
  </w:style>
  <w:style w:type="character" w:customStyle="1" w:styleId="Heading7Char">
    <w:name w:val="Heading 7 Char"/>
    <w:basedOn w:val="DefaultParagraphFont"/>
    <w:link w:val="Heading7"/>
    <w:uiPriority w:val="99"/>
    <w:locked/>
    <w:rsid w:val="00CC532E"/>
    <w:rPr>
      <w:rFonts w:ascii="Times New Roman" w:hAnsi="Times New Roman" w:cs="Times New Roman"/>
      <w:b/>
      <w:bCs/>
      <w:i/>
      <w:iCs/>
      <w:color w:val="auto"/>
      <w:sz w:val="20"/>
      <w:szCs w:val="20"/>
    </w:rPr>
  </w:style>
  <w:style w:type="character" w:customStyle="1" w:styleId="Heading8Char">
    <w:name w:val="Heading 8 Char"/>
    <w:basedOn w:val="DefaultParagraphFont"/>
    <w:link w:val="Heading8"/>
    <w:uiPriority w:val="99"/>
    <w:locked/>
    <w:rsid w:val="00CC532E"/>
    <w:rPr>
      <w:rFonts w:ascii="Times New Roman" w:hAnsi="Times New Roman" w:cs="Times New Roman"/>
      <w:b/>
      <w:bCs/>
      <w:color w:val="auto"/>
      <w:sz w:val="20"/>
      <w:szCs w:val="20"/>
    </w:rPr>
  </w:style>
  <w:style w:type="character" w:customStyle="1" w:styleId="Heading9Char">
    <w:name w:val="Heading 9 Char"/>
    <w:basedOn w:val="DefaultParagraphFont"/>
    <w:link w:val="Heading9"/>
    <w:uiPriority w:val="99"/>
    <w:locked/>
    <w:rsid w:val="00CC532E"/>
    <w:rPr>
      <w:rFonts w:ascii="Times New Roman" w:hAnsi="Times New Roman" w:cs="Times New Roman"/>
      <w:b/>
      <w:bCs/>
      <w:i/>
      <w:iCs/>
      <w:color w:val="auto"/>
      <w:sz w:val="18"/>
      <w:szCs w:val="18"/>
    </w:rPr>
  </w:style>
  <w:style w:type="paragraph" w:styleId="Title">
    <w:name w:val="Title"/>
    <w:basedOn w:val="Normal"/>
    <w:next w:val="Normal"/>
    <w:link w:val="TitleChar"/>
    <w:uiPriority w:val="99"/>
    <w:qFormat/>
    <w:rsid w:val="00CC532E"/>
    <w:pPr>
      <w:spacing w:after="300" w:line="240" w:lineRule="auto"/>
    </w:pPr>
    <w:rPr>
      <w:smallCaps/>
      <w:sz w:val="52"/>
      <w:szCs w:val="52"/>
      <w:lang w:val="nl-NL" w:eastAsia="nl-NL"/>
    </w:rPr>
  </w:style>
  <w:style w:type="character" w:customStyle="1" w:styleId="TitleChar">
    <w:name w:val="Title Char"/>
    <w:basedOn w:val="DefaultParagraphFont"/>
    <w:link w:val="Title"/>
    <w:uiPriority w:val="99"/>
    <w:locked/>
    <w:rsid w:val="00CC532E"/>
    <w:rPr>
      <w:rFonts w:ascii="Times New Roman" w:hAnsi="Times New Roman" w:cs="Times New Roman"/>
      <w:smallCaps/>
      <w:sz w:val="52"/>
      <w:szCs w:val="52"/>
    </w:rPr>
  </w:style>
  <w:style w:type="paragraph" w:styleId="Subtitle">
    <w:name w:val="Subtitle"/>
    <w:basedOn w:val="Normal"/>
    <w:next w:val="Normal"/>
    <w:link w:val="SubtitleChar"/>
    <w:uiPriority w:val="99"/>
    <w:qFormat/>
    <w:rsid w:val="00CC532E"/>
    <w:rPr>
      <w:i/>
      <w:iCs/>
      <w:smallCaps/>
      <w:spacing w:val="10"/>
      <w:sz w:val="28"/>
      <w:szCs w:val="28"/>
      <w:lang w:val="nl-NL" w:eastAsia="nl-NL"/>
    </w:rPr>
  </w:style>
  <w:style w:type="character" w:customStyle="1" w:styleId="SubtitleChar">
    <w:name w:val="Subtitle Char"/>
    <w:basedOn w:val="DefaultParagraphFont"/>
    <w:link w:val="Subtitle"/>
    <w:uiPriority w:val="99"/>
    <w:locked/>
    <w:rsid w:val="00CC532E"/>
    <w:rPr>
      <w:rFonts w:ascii="Times New Roman" w:hAnsi="Times New Roman" w:cs="Times New Roman"/>
      <w:i/>
      <w:iCs/>
      <w:smallCaps/>
      <w:spacing w:val="10"/>
      <w:sz w:val="28"/>
      <w:szCs w:val="28"/>
    </w:rPr>
  </w:style>
  <w:style w:type="character" w:styleId="Strong">
    <w:name w:val="Strong"/>
    <w:basedOn w:val="DefaultParagraphFont"/>
    <w:uiPriority w:val="99"/>
    <w:qFormat/>
    <w:rsid w:val="00CC532E"/>
    <w:rPr>
      <w:rFonts w:ascii="Times New Roman" w:hAnsi="Times New Roman" w:cs="Times New Roman"/>
      <w:b/>
      <w:bCs/>
    </w:rPr>
  </w:style>
  <w:style w:type="character" w:styleId="Emphasis">
    <w:name w:val="Emphasis"/>
    <w:basedOn w:val="DefaultParagraphFont"/>
    <w:uiPriority w:val="99"/>
    <w:qFormat/>
    <w:rsid w:val="00CC532E"/>
    <w:rPr>
      <w:rFonts w:ascii="Times New Roman" w:hAnsi="Times New Roman" w:cs="Times New Roman"/>
      <w:b/>
      <w:bCs/>
      <w:i/>
      <w:iCs/>
      <w:spacing w:val="10"/>
    </w:rPr>
  </w:style>
  <w:style w:type="paragraph" w:styleId="NoSpacing">
    <w:name w:val="No Spacing"/>
    <w:basedOn w:val="Normal"/>
    <w:link w:val="NoSpacingChar1"/>
    <w:uiPriority w:val="99"/>
    <w:qFormat/>
    <w:rsid w:val="00CC532E"/>
    <w:pPr>
      <w:spacing w:after="0" w:line="240" w:lineRule="auto"/>
    </w:pPr>
  </w:style>
  <w:style w:type="character" w:customStyle="1" w:styleId="NoSpacingChar">
    <w:name w:val="No Spacing Char"/>
    <w:basedOn w:val="DefaultParagraphFont"/>
    <w:uiPriority w:val="99"/>
    <w:rsid w:val="00CC532E"/>
    <w:rPr>
      <w:rFonts w:ascii="Times New Roman" w:hAnsi="Times New Roman" w:cs="Times New Roman"/>
      <w:sz w:val="22"/>
      <w:szCs w:val="22"/>
      <w:lang w:val="en-US" w:eastAsia="en-US"/>
    </w:rPr>
  </w:style>
  <w:style w:type="paragraph" w:styleId="ListParagraph">
    <w:name w:val="List Paragraph"/>
    <w:basedOn w:val="Normal"/>
    <w:uiPriority w:val="99"/>
    <w:qFormat/>
    <w:rsid w:val="00CC532E"/>
    <w:pPr>
      <w:ind w:left="720"/>
    </w:pPr>
  </w:style>
  <w:style w:type="paragraph" w:styleId="Quote">
    <w:name w:val="Quote"/>
    <w:basedOn w:val="Normal"/>
    <w:next w:val="Normal"/>
    <w:link w:val="QuoteChar"/>
    <w:uiPriority w:val="99"/>
    <w:qFormat/>
    <w:rsid w:val="00CC532E"/>
    <w:rPr>
      <w:i/>
      <w:iCs/>
      <w:sz w:val="20"/>
      <w:szCs w:val="20"/>
      <w:lang w:val="nl-NL" w:eastAsia="nl-NL"/>
    </w:rPr>
  </w:style>
  <w:style w:type="character" w:customStyle="1" w:styleId="QuoteChar">
    <w:name w:val="Quote Char"/>
    <w:basedOn w:val="DefaultParagraphFont"/>
    <w:link w:val="Quote"/>
    <w:uiPriority w:val="99"/>
    <w:locked/>
    <w:rsid w:val="00CC532E"/>
    <w:rPr>
      <w:rFonts w:ascii="Times New Roman" w:hAnsi="Times New Roman" w:cs="Times New Roman"/>
      <w:i/>
      <w:iCs/>
    </w:rPr>
  </w:style>
  <w:style w:type="paragraph" w:styleId="IntenseQuote">
    <w:name w:val="Intense Quote"/>
    <w:basedOn w:val="Normal"/>
    <w:next w:val="Normal"/>
    <w:link w:val="IntenseQuoteChar"/>
    <w:uiPriority w:val="99"/>
    <w:qFormat/>
    <w:rsid w:val="00CC532E"/>
    <w:pPr>
      <w:pBdr>
        <w:top w:val="single" w:sz="4" w:space="10" w:color="auto"/>
        <w:bottom w:val="single" w:sz="4" w:space="10" w:color="auto"/>
      </w:pBdr>
      <w:spacing w:before="240" w:after="240" w:line="300" w:lineRule="auto"/>
      <w:ind w:left="1152" w:right="1152"/>
      <w:jc w:val="both"/>
    </w:pPr>
    <w:rPr>
      <w:i/>
      <w:iCs/>
      <w:sz w:val="20"/>
      <w:szCs w:val="20"/>
      <w:lang w:val="nl-NL" w:eastAsia="nl-NL"/>
    </w:rPr>
  </w:style>
  <w:style w:type="character" w:customStyle="1" w:styleId="IntenseQuoteChar">
    <w:name w:val="Intense Quote Char"/>
    <w:basedOn w:val="DefaultParagraphFont"/>
    <w:link w:val="IntenseQuote"/>
    <w:uiPriority w:val="99"/>
    <w:locked/>
    <w:rsid w:val="00CC532E"/>
    <w:rPr>
      <w:rFonts w:ascii="Times New Roman" w:hAnsi="Times New Roman" w:cs="Times New Roman"/>
      <w:i/>
      <w:iCs/>
    </w:rPr>
  </w:style>
  <w:style w:type="character" w:styleId="SubtleEmphasis">
    <w:name w:val="Subtle Emphasis"/>
    <w:basedOn w:val="DefaultParagraphFont"/>
    <w:uiPriority w:val="99"/>
    <w:qFormat/>
    <w:rsid w:val="00CC532E"/>
    <w:rPr>
      <w:rFonts w:ascii="Times New Roman" w:hAnsi="Times New Roman" w:cs="Times New Roman"/>
      <w:i/>
      <w:iCs/>
    </w:rPr>
  </w:style>
  <w:style w:type="character" w:styleId="IntenseEmphasis">
    <w:name w:val="Intense Emphasis"/>
    <w:basedOn w:val="DefaultParagraphFont"/>
    <w:uiPriority w:val="99"/>
    <w:qFormat/>
    <w:rsid w:val="00CC532E"/>
    <w:rPr>
      <w:rFonts w:ascii="Times New Roman" w:hAnsi="Times New Roman" w:cs="Times New Roman"/>
      <w:b/>
      <w:bCs/>
      <w:i/>
      <w:iCs/>
    </w:rPr>
  </w:style>
  <w:style w:type="character" w:styleId="SubtleReference">
    <w:name w:val="Subtle Reference"/>
    <w:basedOn w:val="DefaultParagraphFont"/>
    <w:uiPriority w:val="99"/>
    <w:qFormat/>
    <w:rsid w:val="00CC532E"/>
    <w:rPr>
      <w:rFonts w:ascii="Times New Roman" w:hAnsi="Times New Roman" w:cs="Times New Roman"/>
      <w:smallCaps/>
    </w:rPr>
  </w:style>
  <w:style w:type="character" w:styleId="IntenseReference">
    <w:name w:val="Intense Reference"/>
    <w:basedOn w:val="DefaultParagraphFont"/>
    <w:uiPriority w:val="99"/>
    <w:qFormat/>
    <w:rsid w:val="00CC532E"/>
    <w:rPr>
      <w:rFonts w:ascii="Times New Roman" w:hAnsi="Times New Roman" w:cs="Times New Roman"/>
      <w:b/>
      <w:bCs/>
      <w:smallCaps/>
    </w:rPr>
  </w:style>
  <w:style w:type="character" w:styleId="BookTitle">
    <w:name w:val="Book Title"/>
    <w:basedOn w:val="DefaultParagraphFont"/>
    <w:uiPriority w:val="99"/>
    <w:qFormat/>
    <w:rsid w:val="00CC532E"/>
    <w:rPr>
      <w:rFonts w:ascii="Times New Roman" w:hAnsi="Times New Roman" w:cs="Times New Roman"/>
      <w:i/>
      <w:iCs/>
      <w:smallCaps/>
      <w:spacing w:val="5"/>
    </w:rPr>
  </w:style>
  <w:style w:type="paragraph" w:styleId="TOCHeading">
    <w:name w:val="TOC Heading"/>
    <w:basedOn w:val="Heading1"/>
    <w:next w:val="Normal"/>
    <w:uiPriority w:val="99"/>
    <w:qFormat/>
    <w:rsid w:val="00CC532E"/>
    <w:pPr>
      <w:outlineLvl w:val="9"/>
    </w:pPr>
    <w:rPr>
      <w:lang w:val="en-US" w:eastAsia="en-US"/>
    </w:rPr>
  </w:style>
  <w:style w:type="paragraph" w:styleId="FootnoteText">
    <w:name w:val="footnote text"/>
    <w:basedOn w:val="Normal"/>
    <w:link w:val="FootnoteTextChar"/>
    <w:uiPriority w:val="99"/>
    <w:rsid w:val="00CC532E"/>
    <w:pPr>
      <w:spacing w:after="0" w:line="240" w:lineRule="auto"/>
    </w:pPr>
    <w:rPr>
      <w:sz w:val="20"/>
      <w:szCs w:val="20"/>
    </w:rPr>
  </w:style>
  <w:style w:type="character" w:customStyle="1" w:styleId="FootnoteTextChar">
    <w:name w:val="Footnote Text Char"/>
    <w:basedOn w:val="DefaultParagraphFont"/>
    <w:link w:val="FootnoteText"/>
    <w:uiPriority w:val="99"/>
    <w:locked/>
    <w:rsid w:val="00CC532E"/>
    <w:rPr>
      <w:rFonts w:ascii="Times New Roman" w:hAnsi="Times New Roman" w:cs="Times New Roman"/>
      <w:lang w:val="en-US" w:eastAsia="en-US"/>
    </w:rPr>
  </w:style>
  <w:style w:type="character" w:styleId="FootnoteReference">
    <w:name w:val="footnote reference"/>
    <w:basedOn w:val="DefaultParagraphFont"/>
    <w:uiPriority w:val="99"/>
    <w:rsid w:val="00CC532E"/>
    <w:rPr>
      <w:rFonts w:ascii="Times New Roman" w:hAnsi="Times New Roman" w:cs="Times New Roman"/>
      <w:vertAlign w:val="superscript"/>
    </w:rPr>
  </w:style>
  <w:style w:type="paragraph" w:styleId="BalloonText">
    <w:name w:val="Balloon Text"/>
    <w:basedOn w:val="Normal"/>
    <w:link w:val="BalloonTextChar"/>
    <w:uiPriority w:val="99"/>
    <w:rsid w:val="00CC532E"/>
    <w:pPr>
      <w:spacing w:after="0" w:line="240" w:lineRule="auto"/>
    </w:pPr>
    <w:rPr>
      <w:rFonts w:ascii="Tahoma" w:hAnsi="Tahoma" w:cs="Tahoma"/>
      <w:sz w:val="16"/>
      <w:szCs w:val="16"/>
      <w:lang w:val="nl-NL" w:eastAsia="nl-NL"/>
    </w:rPr>
  </w:style>
  <w:style w:type="character" w:customStyle="1" w:styleId="BalloonTextChar">
    <w:name w:val="Balloon Text Char"/>
    <w:basedOn w:val="DefaultParagraphFont"/>
    <w:link w:val="BalloonText"/>
    <w:uiPriority w:val="99"/>
    <w:locked/>
    <w:rsid w:val="00CC532E"/>
    <w:rPr>
      <w:rFonts w:ascii="Tahoma" w:hAnsi="Tahoma" w:cs="Tahoma"/>
      <w:sz w:val="16"/>
      <w:szCs w:val="16"/>
    </w:rPr>
  </w:style>
  <w:style w:type="character" w:styleId="Hyperlink">
    <w:name w:val="Hyperlink"/>
    <w:basedOn w:val="DefaultParagraphFont"/>
    <w:uiPriority w:val="99"/>
    <w:rsid w:val="00CC532E"/>
    <w:rPr>
      <w:rFonts w:ascii="Times New Roman" w:hAnsi="Times New Roman" w:cs="Times New Roman"/>
      <w:color w:val="0000FF"/>
      <w:u w:val="single"/>
    </w:rPr>
  </w:style>
  <w:style w:type="paragraph" w:customStyle="1" w:styleId="DecimalAligned">
    <w:name w:val="Decimal Aligned"/>
    <w:basedOn w:val="Normal"/>
    <w:uiPriority w:val="99"/>
    <w:rsid w:val="00CC532E"/>
    <w:pPr>
      <w:tabs>
        <w:tab w:val="decimal" w:pos="360"/>
      </w:tabs>
    </w:pPr>
    <w:rPr>
      <w:rFonts w:ascii="Calibri" w:hAnsi="Calibri" w:cs="Calibri"/>
      <w:lang w:val="nl-NL"/>
    </w:rPr>
  </w:style>
  <w:style w:type="paragraph" w:styleId="Header">
    <w:name w:val="header"/>
    <w:basedOn w:val="Normal"/>
    <w:link w:val="HeaderChar"/>
    <w:uiPriority w:val="99"/>
    <w:rsid w:val="00CC532E"/>
    <w:pPr>
      <w:tabs>
        <w:tab w:val="center" w:pos="4536"/>
        <w:tab w:val="right" w:pos="9072"/>
      </w:tabs>
      <w:spacing w:after="0" w:line="240" w:lineRule="auto"/>
    </w:pPr>
    <w:rPr>
      <w:sz w:val="24"/>
      <w:szCs w:val="24"/>
      <w:lang w:val="nl-NL" w:eastAsia="nl-NL"/>
    </w:rPr>
  </w:style>
  <w:style w:type="character" w:customStyle="1" w:styleId="HeaderChar">
    <w:name w:val="Header Char"/>
    <w:basedOn w:val="DefaultParagraphFont"/>
    <w:link w:val="Header"/>
    <w:uiPriority w:val="99"/>
    <w:locked/>
    <w:rsid w:val="00CC532E"/>
    <w:rPr>
      <w:rFonts w:ascii="Times New Roman" w:hAnsi="Times New Roman" w:cs="Times New Roman"/>
      <w:sz w:val="24"/>
      <w:szCs w:val="24"/>
    </w:rPr>
  </w:style>
  <w:style w:type="paragraph" w:styleId="Footer">
    <w:name w:val="footer"/>
    <w:basedOn w:val="Normal"/>
    <w:link w:val="FooterChar"/>
    <w:uiPriority w:val="99"/>
    <w:rsid w:val="00CC532E"/>
    <w:pPr>
      <w:tabs>
        <w:tab w:val="center" w:pos="4536"/>
        <w:tab w:val="right" w:pos="9072"/>
      </w:tabs>
      <w:spacing w:after="0" w:line="240" w:lineRule="auto"/>
    </w:pPr>
    <w:rPr>
      <w:sz w:val="24"/>
      <w:szCs w:val="24"/>
      <w:lang w:val="nl-NL" w:eastAsia="nl-NL"/>
    </w:rPr>
  </w:style>
  <w:style w:type="character" w:customStyle="1" w:styleId="FooterChar">
    <w:name w:val="Footer Char"/>
    <w:basedOn w:val="DefaultParagraphFont"/>
    <w:link w:val="Footer"/>
    <w:uiPriority w:val="99"/>
    <w:locked/>
    <w:rsid w:val="00CC532E"/>
    <w:rPr>
      <w:rFonts w:ascii="Times New Roman" w:hAnsi="Times New Roman" w:cs="Times New Roman"/>
      <w:sz w:val="24"/>
      <w:szCs w:val="24"/>
    </w:rPr>
  </w:style>
  <w:style w:type="paragraph" w:styleId="TOC2">
    <w:name w:val="toc 2"/>
    <w:basedOn w:val="Normal"/>
    <w:next w:val="Normal"/>
    <w:autoRedefine/>
    <w:uiPriority w:val="99"/>
    <w:rsid w:val="00640E34"/>
    <w:pPr>
      <w:tabs>
        <w:tab w:val="right" w:leader="dot" w:pos="9072"/>
      </w:tabs>
      <w:spacing w:after="100"/>
    </w:pPr>
    <w:rPr>
      <w:rFonts w:ascii="Times New Roman" w:hAnsi="Times New Roman" w:cs="Times New Roman"/>
      <w:b/>
      <w:color w:val="548AB7"/>
      <w:sz w:val="24"/>
      <w:szCs w:val="24"/>
    </w:rPr>
  </w:style>
  <w:style w:type="paragraph" w:styleId="TOC1">
    <w:name w:val="toc 1"/>
    <w:basedOn w:val="Normal"/>
    <w:next w:val="Normal"/>
    <w:autoRedefine/>
    <w:uiPriority w:val="99"/>
    <w:rsid w:val="00775E10"/>
    <w:pPr>
      <w:tabs>
        <w:tab w:val="right" w:leader="dot" w:pos="9072"/>
      </w:tabs>
      <w:spacing w:after="100"/>
      <w:ind w:left="540"/>
    </w:pPr>
    <w:rPr>
      <w:rFonts w:ascii="Times New Roman" w:hAnsi="Times New Roman" w:cs="Times New Roman"/>
      <w:b/>
      <w:sz w:val="24"/>
      <w:szCs w:val="24"/>
    </w:rPr>
  </w:style>
  <w:style w:type="paragraph" w:styleId="TOC3">
    <w:name w:val="toc 3"/>
    <w:basedOn w:val="Normal"/>
    <w:next w:val="Normal"/>
    <w:autoRedefine/>
    <w:uiPriority w:val="99"/>
    <w:rsid w:val="0034310A"/>
    <w:pPr>
      <w:tabs>
        <w:tab w:val="right" w:leader="dot" w:pos="9072"/>
      </w:tabs>
      <w:spacing w:after="100"/>
      <w:ind w:left="566"/>
    </w:pPr>
    <w:rPr>
      <w:rFonts w:ascii="Calibri" w:hAnsi="Calibri" w:cs="Calibri"/>
      <w:lang w:val="nl-NL"/>
    </w:rPr>
  </w:style>
  <w:style w:type="paragraph" w:styleId="Caption">
    <w:name w:val="caption"/>
    <w:basedOn w:val="Normal"/>
    <w:next w:val="Normal"/>
    <w:uiPriority w:val="99"/>
    <w:qFormat/>
    <w:rsid w:val="00CC532E"/>
    <w:pPr>
      <w:spacing w:line="240" w:lineRule="auto"/>
    </w:pPr>
    <w:rPr>
      <w:b/>
      <w:bCs/>
      <w:color w:val="4F81BD"/>
      <w:sz w:val="18"/>
      <w:szCs w:val="18"/>
    </w:rPr>
  </w:style>
  <w:style w:type="character" w:styleId="PlaceholderText">
    <w:name w:val="Placeholder Text"/>
    <w:basedOn w:val="DefaultParagraphFont"/>
    <w:uiPriority w:val="99"/>
    <w:rsid w:val="00CC532E"/>
    <w:rPr>
      <w:rFonts w:ascii="Times New Roman" w:hAnsi="Times New Roman" w:cs="Times New Roman"/>
      <w:color w:val="808080"/>
    </w:rPr>
  </w:style>
  <w:style w:type="character" w:customStyle="1" w:styleId="NoSpacingChar1">
    <w:name w:val="No Spacing Char1"/>
    <w:basedOn w:val="DefaultParagraphFont"/>
    <w:link w:val="NoSpacing"/>
    <w:uiPriority w:val="99"/>
    <w:locked/>
    <w:rsid w:val="006A583F"/>
    <w:rPr>
      <w:rFonts w:ascii="Cambria" w:hAnsi="Cambria" w:cs="Cambria"/>
      <w:lang w:val="en-US" w:eastAsia="en-US"/>
    </w:rPr>
  </w:style>
  <w:style w:type="paragraph" w:customStyle="1" w:styleId="ilr">
    <w:name w:val="il_r"/>
    <w:basedOn w:val="Normal"/>
    <w:uiPriority w:val="99"/>
    <w:rsid w:val="00481F41"/>
    <w:pPr>
      <w:spacing w:after="0" w:line="288" w:lineRule="auto"/>
    </w:pPr>
    <w:rPr>
      <w:rFonts w:ascii="Times New Roman" w:hAnsi="Times New Roman" w:cs="Times New Roman"/>
      <w:color w:val="228822"/>
      <w:sz w:val="24"/>
      <w:szCs w:val="24"/>
      <w:lang w:val="nl-NL" w:eastAsia="nl-NL"/>
    </w:rPr>
  </w:style>
  <w:style w:type="paragraph" w:styleId="NormalWeb">
    <w:name w:val="Normal (Web)"/>
    <w:basedOn w:val="Normal"/>
    <w:uiPriority w:val="99"/>
    <w:semiHidden/>
    <w:rsid w:val="00481F41"/>
    <w:pPr>
      <w:spacing w:before="100" w:beforeAutospacing="1" w:after="100" w:afterAutospacing="1" w:line="240" w:lineRule="auto"/>
    </w:pPr>
    <w:rPr>
      <w:rFonts w:ascii="Times New Roman" w:hAnsi="Times New Roman" w:cs="Times New Roman"/>
      <w:sz w:val="24"/>
      <w:szCs w:val="24"/>
      <w:lang w:val="nl-NL" w:eastAsia="nl-NL"/>
    </w:rPr>
  </w:style>
</w:styles>
</file>

<file path=word/webSettings.xml><?xml version="1.0" encoding="utf-8"?>
<w:webSettings xmlns:r="http://schemas.openxmlformats.org/officeDocument/2006/relationships" xmlns:w="http://schemas.openxmlformats.org/wordprocessingml/2006/main">
  <w:divs>
    <w:div w:id="2107115997">
      <w:marLeft w:val="0"/>
      <w:marRight w:val="4500"/>
      <w:marTop w:val="0"/>
      <w:marBottom w:val="0"/>
      <w:divBdr>
        <w:top w:val="none" w:sz="0" w:space="0" w:color="auto"/>
        <w:left w:val="none" w:sz="0" w:space="0" w:color="auto"/>
        <w:bottom w:val="none" w:sz="0" w:space="0" w:color="auto"/>
        <w:right w:val="none" w:sz="0" w:space="0" w:color="auto"/>
      </w:divBdr>
      <w:divsChild>
        <w:div w:id="2107116001">
          <w:marLeft w:val="0"/>
          <w:marRight w:val="0"/>
          <w:marTop w:val="0"/>
          <w:marBottom w:val="0"/>
          <w:divBdr>
            <w:top w:val="none" w:sz="0" w:space="0" w:color="auto"/>
            <w:left w:val="none" w:sz="0" w:space="0" w:color="auto"/>
            <w:bottom w:val="none" w:sz="0" w:space="0" w:color="auto"/>
            <w:right w:val="none" w:sz="0" w:space="0" w:color="auto"/>
          </w:divBdr>
          <w:divsChild>
            <w:div w:id="2107116000">
              <w:marLeft w:val="-6060"/>
              <w:marRight w:val="0"/>
              <w:marTop w:val="0"/>
              <w:marBottom w:val="0"/>
              <w:divBdr>
                <w:top w:val="none" w:sz="0" w:space="0" w:color="auto"/>
                <w:left w:val="none" w:sz="0" w:space="0" w:color="auto"/>
                <w:bottom w:val="none" w:sz="0" w:space="0" w:color="auto"/>
                <w:right w:val="none" w:sz="0" w:space="0" w:color="auto"/>
              </w:divBdr>
            </w:div>
          </w:divsChild>
        </w:div>
      </w:divsChild>
    </w:div>
    <w:div w:id="2107115999">
      <w:marLeft w:val="0"/>
      <w:marRight w:val="0"/>
      <w:marTop w:val="0"/>
      <w:marBottom w:val="0"/>
      <w:divBdr>
        <w:top w:val="none" w:sz="0" w:space="0" w:color="auto"/>
        <w:left w:val="single" w:sz="6" w:space="0" w:color="666666"/>
        <w:bottom w:val="none" w:sz="0" w:space="0" w:color="auto"/>
        <w:right w:val="none" w:sz="0" w:space="0" w:color="auto"/>
      </w:divBdr>
      <w:divsChild>
        <w:div w:id="2107115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165</Pages>
  <Words>12741</Words>
  <Characters>-32766</Characters>
  <Application>Microsoft Office Outlook</Application>
  <DocSecurity>0</DocSecurity>
  <Lines>0</Lines>
  <Paragraphs>0</Paragraphs>
  <ScaleCrop>false</ScaleCrop>
  <Company>ERASMUS UNIVERSITY ROTTERDAM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Sovereign bond spread of emerging economies versus the US Dollar: the role of country specific-variables and macroeconomic fundamentals</dc:title>
  <dc:subject>ERASMUS SCHOOL OF ECONOMICS  </dc:subject>
  <dc:creator>Tri Do</dc:creator>
  <cp:keywords/>
  <dc:description/>
  <cp:lastModifiedBy>Thea T. L. Kruining</cp:lastModifiedBy>
  <cp:revision>2</cp:revision>
  <cp:lastPrinted>2010-08-31T07:32:00Z</cp:lastPrinted>
  <dcterms:created xsi:type="dcterms:W3CDTF">2010-08-31T13:33:00Z</dcterms:created>
  <dcterms:modified xsi:type="dcterms:W3CDTF">2010-08-31T13:33:00Z</dcterms:modified>
</cp:coreProperties>
</file>